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olor w:val="156082" w:themeColor="accent1"/>
          <w:kern w:val="2"/>
          <w:szCs w:val="24"/>
          <w:lang w:eastAsia="zh-TW"/>
          <w14:ligatures w14:val="standardContextual"/>
        </w:rPr>
        <w:id w:val="257108646"/>
        <w:docPartObj>
          <w:docPartGallery w:val="Cover Pages"/>
          <w:docPartUnique/>
        </w:docPartObj>
      </w:sdtPr>
      <w:sdtEndPr>
        <w:rPr>
          <w:rFonts w:cs="Times New Roman"/>
          <w:b/>
          <w:color w:val="auto"/>
        </w:rPr>
      </w:sdtEndPr>
      <w:sdtContent>
        <w:p w14:paraId="59D16B7A" w14:textId="32D7C2C6" w:rsidR="00AC63EA" w:rsidRDefault="00AC63EA" w:rsidP="00360877">
          <w:pPr>
            <w:pStyle w:val="NoSpacing"/>
            <w:spacing w:before="1540" w:after="240"/>
            <w:rPr>
              <w:color w:val="156082" w:themeColor="accent1"/>
            </w:rPr>
          </w:pPr>
          <w:r w:rsidRPr="00915260">
            <w:rPr>
              <w:rFonts w:eastAsia="Times New Roman" w:cs="Times New Roman"/>
              <w:b/>
              <w:noProof/>
            </w:rPr>
            <w:drawing>
              <wp:inline distT="0" distB="0" distL="0" distR="0" wp14:anchorId="59253073" wp14:editId="02C08BEA">
                <wp:extent cx="2218690" cy="882650"/>
                <wp:effectExtent l="0" t="0" r="0" b="0"/>
                <wp:docPr id="1965238216" name="image1.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1.png" descr="一張含有 文字 的圖片&#10;&#10;自動產生的描述"/>
                        <pic:cNvPicPr preferRelativeResize="0"/>
                      </pic:nvPicPr>
                      <pic:blipFill>
                        <a:blip r:embed="rId11"/>
                        <a:srcRect/>
                        <a:stretch>
                          <a:fillRect/>
                        </a:stretch>
                      </pic:blipFill>
                      <pic:spPr>
                        <a:xfrm>
                          <a:off x="0" y="0"/>
                          <a:ext cx="2218690" cy="882650"/>
                        </a:xfrm>
                        <a:prstGeom prst="rect">
                          <a:avLst/>
                        </a:prstGeom>
                        <a:ln/>
                      </pic:spPr>
                    </pic:pic>
                  </a:graphicData>
                </a:graphic>
              </wp:inline>
            </w:drawing>
          </w:r>
        </w:p>
        <w:p w14:paraId="4AFFBC0C" w14:textId="6E813B93" w:rsidR="001205A4" w:rsidRPr="001205A4" w:rsidRDefault="001205A4" w:rsidP="001205A4">
          <w:pPr>
            <w:pStyle w:val="Heading"/>
            <w:numPr>
              <w:ilvl w:val="0"/>
              <w:numId w:val="10"/>
            </w:numPr>
            <w:ind w:left="720"/>
            <w:rPr>
              <w:rFonts w:cs="Times New Roman"/>
              <w:color w:val="FFFFFF" w:themeColor="background1"/>
              <w:sz w:val="22"/>
              <w:szCs w:val="22"/>
            </w:rPr>
          </w:pPr>
          <w:bookmarkStart w:id="0" w:name="_Toc213748887"/>
          <w:r w:rsidRPr="001205A4">
            <w:rPr>
              <w:rFonts w:cs="Times New Roman"/>
              <w:color w:val="FFFFFF" w:themeColor="background1"/>
              <w:sz w:val="22"/>
              <w:szCs w:val="22"/>
            </w:rPr>
            <w:t>COVER PAGE</w:t>
          </w:r>
          <w:bookmarkEnd w:id="0"/>
        </w:p>
        <w:p w14:paraId="1CC40C6F" w14:textId="77777777" w:rsidR="00360877" w:rsidRPr="001205A4" w:rsidRDefault="00360877" w:rsidP="00AC63EA">
          <w:pPr>
            <w:rPr>
              <w:rFonts w:cs="Times New Roman"/>
              <w:b/>
              <w:sz w:val="28"/>
              <w:szCs w:val="28"/>
            </w:rPr>
          </w:pPr>
        </w:p>
        <w:p w14:paraId="1A393C7C" w14:textId="72BB76A8" w:rsidR="00AC63EA" w:rsidRPr="00360877" w:rsidRDefault="00AC63EA" w:rsidP="00AC63EA">
          <w:pPr>
            <w:rPr>
              <w:rFonts w:cs="Times New Roman"/>
              <w:b/>
              <w:sz w:val="28"/>
              <w:szCs w:val="28"/>
            </w:rPr>
          </w:pPr>
          <w:r w:rsidRPr="00360877">
            <w:rPr>
              <w:rFonts w:cs="Times New Roman"/>
              <w:b/>
              <w:sz w:val="28"/>
              <w:szCs w:val="28"/>
            </w:rPr>
            <w:t>UWTSD MBA Dissertation</w:t>
          </w:r>
        </w:p>
        <w:p w14:paraId="6BB9A5DC" w14:textId="77777777" w:rsidR="00AC63EA" w:rsidRDefault="00AC63EA" w:rsidP="00AC63EA">
          <w:pPr>
            <w:rPr>
              <w:rFonts w:cs="Times New Roman"/>
              <w:b/>
              <w:sz w:val="28"/>
              <w:szCs w:val="28"/>
            </w:rPr>
          </w:pPr>
        </w:p>
        <w:p w14:paraId="4E6810F0" w14:textId="700C2973" w:rsidR="00AC63EA" w:rsidRPr="00FC7DC8" w:rsidRDefault="001700D6" w:rsidP="00360877">
          <w:pPr>
            <w:spacing w:line="480" w:lineRule="auto"/>
            <w:rPr>
              <w:rFonts w:cs="Times New Roman"/>
              <w:b/>
              <w:sz w:val="40"/>
              <w:szCs w:val="40"/>
            </w:rPr>
          </w:pPr>
          <w:r w:rsidRPr="00FC7DC8">
            <w:rPr>
              <w:rFonts w:cs="Times New Roman"/>
              <w:b/>
              <w:sz w:val="40"/>
              <w:szCs w:val="40"/>
            </w:rPr>
            <w:t xml:space="preserve">Factors </w:t>
          </w:r>
          <w:r w:rsidR="00FC7DC8" w:rsidRPr="00FC7DC8">
            <w:rPr>
              <w:rFonts w:cs="Times New Roman"/>
              <w:b/>
              <w:sz w:val="40"/>
              <w:szCs w:val="40"/>
            </w:rPr>
            <w:t>I</w:t>
          </w:r>
          <w:r w:rsidRPr="00FC7DC8">
            <w:rPr>
              <w:rFonts w:cs="Times New Roman"/>
              <w:b/>
              <w:sz w:val="40"/>
              <w:szCs w:val="40"/>
            </w:rPr>
            <w:t xml:space="preserve">nfluence </w:t>
          </w:r>
          <w:r w:rsidR="00FC7DC8" w:rsidRPr="00FC7DC8">
            <w:rPr>
              <w:rFonts w:cs="Times New Roman"/>
              <w:b/>
              <w:sz w:val="40"/>
              <w:szCs w:val="40"/>
            </w:rPr>
            <w:t>C</w:t>
          </w:r>
          <w:r w:rsidRPr="00FC7DC8">
            <w:rPr>
              <w:rFonts w:cs="Times New Roman"/>
              <w:b/>
              <w:sz w:val="40"/>
              <w:szCs w:val="40"/>
            </w:rPr>
            <w:t xml:space="preserve">onsumer </w:t>
          </w:r>
          <w:r w:rsidR="00FC7DC8" w:rsidRPr="00FC7DC8">
            <w:rPr>
              <w:rFonts w:cs="Times New Roman"/>
              <w:b/>
              <w:sz w:val="40"/>
              <w:szCs w:val="40"/>
            </w:rPr>
            <w:t>P</w:t>
          </w:r>
          <w:r w:rsidRPr="00FC7DC8">
            <w:rPr>
              <w:rFonts w:cs="Times New Roman"/>
              <w:b/>
              <w:sz w:val="40"/>
              <w:szCs w:val="40"/>
            </w:rPr>
            <w:t xml:space="preserve">urchase </w:t>
          </w:r>
          <w:r w:rsidR="00FC7DC8" w:rsidRPr="00FC7DC8">
            <w:rPr>
              <w:rFonts w:cs="Times New Roman"/>
              <w:b/>
              <w:sz w:val="40"/>
              <w:szCs w:val="40"/>
            </w:rPr>
            <w:t>I</w:t>
          </w:r>
          <w:r w:rsidRPr="00FC7DC8">
            <w:rPr>
              <w:rFonts w:cs="Times New Roman"/>
              <w:b/>
              <w:sz w:val="40"/>
              <w:szCs w:val="40"/>
            </w:rPr>
            <w:t xml:space="preserve">ntention for Nescafe </w:t>
          </w:r>
          <w:r w:rsidR="00FC7DC8" w:rsidRPr="00FC7DC8">
            <w:rPr>
              <w:rFonts w:cs="Times New Roman"/>
              <w:b/>
              <w:sz w:val="40"/>
              <w:szCs w:val="40"/>
            </w:rPr>
            <w:t>I</w:t>
          </w:r>
          <w:r w:rsidRPr="00FC7DC8">
            <w:rPr>
              <w:rFonts w:cs="Times New Roman"/>
              <w:b/>
              <w:sz w:val="40"/>
              <w:szCs w:val="40"/>
            </w:rPr>
            <w:t xml:space="preserve">nstant </w:t>
          </w:r>
          <w:r w:rsidR="00FC7DC8" w:rsidRPr="00FC7DC8">
            <w:rPr>
              <w:rFonts w:cs="Times New Roman"/>
              <w:b/>
              <w:sz w:val="40"/>
              <w:szCs w:val="40"/>
            </w:rPr>
            <w:t>C</w:t>
          </w:r>
          <w:r w:rsidRPr="00FC7DC8">
            <w:rPr>
              <w:rFonts w:cs="Times New Roman"/>
              <w:b/>
              <w:sz w:val="40"/>
              <w:szCs w:val="40"/>
            </w:rPr>
            <w:t>offee in Hong Kong</w:t>
          </w:r>
        </w:p>
        <w:p w14:paraId="0F349121" w14:textId="77777777" w:rsidR="00AC63EA" w:rsidRDefault="00AC63EA" w:rsidP="00AC63EA">
          <w:pPr>
            <w:rPr>
              <w:rFonts w:cs="Times New Roman"/>
              <w:b/>
              <w:sz w:val="28"/>
              <w:szCs w:val="28"/>
            </w:rPr>
          </w:pPr>
        </w:p>
        <w:p w14:paraId="2C1E8C4C" w14:textId="77777777" w:rsidR="00AC63EA" w:rsidRDefault="00AC63EA" w:rsidP="00AC63EA">
          <w:pPr>
            <w:rPr>
              <w:rFonts w:cs="Times New Roman"/>
              <w:b/>
              <w:sz w:val="28"/>
              <w:szCs w:val="28"/>
            </w:rPr>
          </w:pPr>
        </w:p>
        <w:p w14:paraId="3A0A74D2" w14:textId="77777777" w:rsidR="00AC63EA" w:rsidRDefault="00AC63EA" w:rsidP="00AC63EA">
          <w:pPr>
            <w:rPr>
              <w:rFonts w:cs="Times New Roman"/>
              <w:b/>
              <w:sz w:val="28"/>
              <w:szCs w:val="28"/>
            </w:rPr>
          </w:pPr>
        </w:p>
        <w:p w14:paraId="581FBB7F" w14:textId="77777777" w:rsidR="00AC63EA" w:rsidRDefault="00AC63EA" w:rsidP="00AC63EA">
          <w:pPr>
            <w:rPr>
              <w:rFonts w:cs="Times New Roman"/>
              <w:b/>
              <w:sz w:val="28"/>
              <w:szCs w:val="28"/>
            </w:rPr>
          </w:pPr>
        </w:p>
        <w:p w14:paraId="51284EEE" w14:textId="77777777" w:rsidR="00AC63EA" w:rsidRDefault="00AC63EA" w:rsidP="00AC63EA">
          <w:pPr>
            <w:rPr>
              <w:rFonts w:cs="Times New Roman"/>
              <w:b/>
              <w:sz w:val="28"/>
              <w:szCs w:val="28"/>
            </w:rPr>
          </w:pPr>
        </w:p>
        <w:tbl>
          <w:tblPr>
            <w:tblW w:w="8610" w:type="dxa"/>
            <w:tblInd w:w="-115" w:type="dxa"/>
            <w:tblLayout w:type="fixed"/>
            <w:tblLook w:val="0400" w:firstRow="0" w:lastRow="0" w:firstColumn="0" w:lastColumn="0" w:noHBand="0" w:noVBand="1"/>
          </w:tblPr>
          <w:tblGrid>
            <w:gridCol w:w="2942"/>
            <w:gridCol w:w="284"/>
            <w:gridCol w:w="5384"/>
          </w:tblGrid>
          <w:tr w:rsidR="00AC63EA" w:rsidRPr="00915260" w14:paraId="1FA63C10" w14:textId="77777777" w:rsidTr="00734053">
            <w:tc>
              <w:tcPr>
                <w:tcW w:w="2942" w:type="dxa"/>
              </w:tcPr>
              <w:p w14:paraId="1268DD43"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Times New Roman" w:cs="Times New Roman"/>
                    <w:b/>
                    <w:szCs w:val="22"/>
                  </w:rPr>
                  <w:t>Student Name</w:t>
                </w:r>
              </w:p>
            </w:tc>
            <w:tc>
              <w:tcPr>
                <w:tcW w:w="284" w:type="dxa"/>
              </w:tcPr>
              <w:p w14:paraId="5BFD1892"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17A492F3" w14:textId="77777777" w:rsidR="00AC63EA" w:rsidRPr="00915260" w:rsidRDefault="00AC63EA" w:rsidP="00734053">
                <w:pPr>
                  <w:tabs>
                    <w:tab w:val="left" w:pos="4606"/>
                  </w:tabs>
                  <w:spacing w:line="360" w:lineRule="auto"/>
                  <w:jc w:val="both"/>
                  <w:rPr>
                    <w:rFonts w:eastAsia="Times New Roman" w:cs="Times New Roman"/>
                    <w:b/>
                    <w:bCs/>
                    <w:szCs w:val="22"/>
                  </w:rPr>
                </w:pPr>
                <w:r w:rsidRPr="00915260">
                  <w:rPr>
                    <w:rFonts w:eastAsia="Times New Roman" w:cs="Times New Roman"/>
                    <w:b/>
                    <w:bCs/>
                    <w:szCs w:val="22"/>
                  </w:rPr>
                  <w:t>LEUNG WING CHONG FION</w:t>
                </w:r>
              </w:p>
            </w:tc>
          </w:tr>
          <w:tr w:rsidR="00AC63EA" w:rsidRPr="00915260" w14:paraId="45DD6743" w14:textId="77777777" w:rsidTr="00734053">
            <w:tc>
              <w:tcPr>
                <w:tcW w:w="2942" w:type="dxa"/>
              </w:tcPr>
              <w:p w14:paraId="475AE5BD"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Times New Roman" w:cs="Times New Roman"/>
                    <w:b/>
                    <w:szCs w:val="22"/>
                  </w:rPr>
                  <w:t>Student ID Number</w:t>
                </w:r>
              </w:p>
            </w:tc>
            <w:tc>
              <w:tcPr>
                <w:tcW w:w="284" w:type="dxa"/>
              </w:tcPr>
              <w:p w14:paraId="052C58C8"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1156B153" w14:textId="77777777" w:rsidR="00AC63EA" w:rsidRPr="00915260" w:rsidRDefault="00AC63EA" w:rsidP="00734053">
                <w:pPr>
                  <w:tabs>
                    <w:tab w:val="left" w:pos="4606"/>
                  </w:tabs>
                  <w:spacing w:line="360" w:lineRule="auto"/>
                  <w:jc w:val="both"/>
                  <w:rPr>
                    <w:rFonts w:cs="Times New Roman"/>
                    <w:b/>
                    <w:bCs/>
                    <w:szCs w:val="22"/>
                  </w:rPr>
                </w:pPr>
                <w:r w:rsidRPr="00915260">
                  <w:rPr>
                    <w:rFonts w:eastAsia="Times New Roman" w:cs="Times New Roman"/>
                    <w:b/>
                    <w:bCs/>
                    <w:szCs w:val="22"/>
                  </w:rPr>
                  <w:t>2337375</w:t>
                </w:r>
              </w:p>
            </w:tc>
          </w:tr>
          <w:tr w:rsidR="00AC63EA" w:rsidRPr="00915260" w14:paraId="0284E005" w14:textId="77777777" w:rsidTr="00734053">
            <w:tc>
              <w:tcPr>
                <w:tcW w:w="2942" w:type="dxa"/>
              </w:tcPr>
              <w:p w14:paraId="59CF5253"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Times New Roman" w:cs="Times New Roman"/>
                    <w:b/>
                    <w:szCs w:val="22"/>
                  </w:rPr>
                  <w:t>Date of Submission</w:t>
                </w:r>
              </w:p>
            </w:tc>
            <w:tc>
              <w:tcPr>
                <w:tcW w:w="284" w:type="dxa"/>
              </w:tcPr>
              <w:p w14:paraId="019623F5"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77EE0D65" w14:textId="77777777" w:rsidR="00AC63EA" w:rsidRPr="00915260" w:rsidRDefault="00AC63EA" w:rsidP="00734053">
                <w:pPr>
                  <w:tabs>
                    <w:tab w:val="left" w:pos="4606"/>
                  </w:tabs>
                  <w:spacing w:line="360" w:lineRule="auto"/>
                  <w:jc w:val="both"/>
                  <w:rPr>
                    <w:rFonts w:eastAsia="Times New Roman" w:cs="Times New Roman"/>
                    <w:b/>
                    <w:bCs/>
                    <w:szCs w:val="22"/>
                  </w:rPr>
                </w:pPr>
                <w:r w:rsidRPr="00915260">
                  <w:rPr>
                    <w:rFonts w:cs="Times New Roman"/>
                    <w:b/>
                    <w:bCs/>
                    <w:szCs w:val="22"/>
                  </w:rPr>
                  <w:t>17 Nov 2025</w:t>
                </w:r>
              </w:p>
            </w:tc>
          </w:tr>
          <w:tr w:rsidR="00AC63EA" w:rsidRPr="00915260" w14:paraId="764DF478" w14:textId="77777777" w:rsidTr="00734053">
            <w:tc>
              <w:tcPr>
                <w:tcW w:w="2942" w:type="dxa"/>
              </w:tcPr>
              <w:p w14:paraId="3E92D64A" w14:textId="77777777" w:rsidR="00AC63EA" w:rsidRPr="00915260" w:rsidRDefault="00AC63EA" w:rsidP="00734053">
                <w:pPr>
                  <w:tabs>
                    <w:tab w:val="left" w:pos="4606"/>
                  </w:tabs>
                  <w:spacing w:line="360" w:lineRule="auto"/>
                  <w:jc w:val="both"/>
                  <w:rPr>
                    <w:rFonts w:cs="Times New Roman"/>
                    <w:b/>
                    <w:szCs w:val="22"/>
                  </w:rPr>
                </w:pPr>
                <w:r w:rsidRPr="00915260">
                  <w:rPr>
                    <w:rFonts w:cs="Times New Roman"/>
                    <w:b/>
                    <w:szCs w:val="22"/>
                  </w:rPr>
                  <w:t>Supervisor</w:t>
                </w:r>
              </w:p>
            </w:tc>
            <w:tc>
              <w:tcPr>
                <w:tcW w:w="284" w:type="dxa"/>
              </w:tcPr>
              <w:p w14:paraId="2233B0C0" w14:textId="77777777" w:rsidR="00AC63EA" w:rsidRPr="00915260" w:rsidRDefault="00AC63EA" w:rsidP="00734053">
                <w:pPr>
                  <w:tabs>
                    <w:tab w:val="left" w:pos="4606"/>
                  </w:tabs>
                  <w:spacing w:line="360" w:lineRule="auto"/>
                  <w:jc w:val="both"/>
                  <w:rPr>
                    <w:rFonts w:eastAsia="Times New Roman" w:cs="Times New Roman"/>
                    <w:b/>
                    <w:szCs w:val="22"/>
                  </w:rPr>
                </w:pPr>
                <w:r w:rsidRPr="00915260">
                  <w:rPr>
                    <w:rFonts w:eastAsia="PMingLiU" w:cs="Times New Roman"/>
                    <w:b/>
                    <w:szCs w:val="22"/>
                  </w:rPr>
                  <w:t>：</w:t>
                </w:r>
              </w:p>
            </w:tc>
            <w:tc>
              <w:tcPr>
                <w:tcW w:w="5384" w:type="dxa"/>
              </w:tcPr>
              <w:p w14:paraId="34107464" w14:textId="77777777" w:rsidR="00AC63EA" w:rsidRPr="00915260" w:rsidRDefault="00AC63EA" w:rsidP="00734053">
                <w:pPr>
                  <w:tabs>
                    <w:tab w:val="left" w:pos="4606"/>
                  </w:tabs>
                  <w:spacing w:line="360" w:lineRule="auto"/>
                  <w:jc w:val="both"/>
                  <w:rPr>
                    <w:rFonts w:cs="Times New Roman"/>
                    <w:b/>
                    <w:bCs/>
                    <w:szCs w:val="22"/>
                  </w:rPr>
                </w:pPr>
                <w:r w:rsidRPr="00915260">
                  <w:rPr>
                    <w:rFonts w:cs="Times New Roman"/>
                    <w:b/>
                    <w:bCs/>
                    <w:szCs w:val="22"/>
                  </w:rPr>
                  <w:t>Dr. Arion Wong</w:t>
                </w:r>
              </w:p>
            </w:tc>
          </w:tr>
        </w:tbl>
        <w:p w14:paraId="2656CA2F" w14:textId="2AC13559" w:rsidR="00AC63EA" w:rsidRDefault="00AC63EA" w:rsidP="00AC63EA">
          <w:pPr>
            <w:rPr>
              <w:rFonts w:cs="Times New Roman"/>
              <w:b/>
              <w:szCs w:val="22"/>
            </w:rPr>
          </w:pPr>
          <w:r>
            <w:rPr>
              <w:rFonts w:cs="Times New Roman"/>
              <w:b/>
              <w:szCs w:val="22"/>
            </w:rPr>
            <w:br w:type="page"/>
          </w:r>
        </w:p>
      </w:sdtContent>
    </w:sdt>
    <w:p w14:paraId="6015BC7C" w14:textId="77777777" w:rsidR="00A40784" w:rsidRPr="007F198D" w:rsidRDefault="00A40784" w:rsidP="00A40784">
      <w:pPr>
        <w:pStyle w:val="Heading"/>
        <w:numPr>
          <w:ilvl w:val="0"/>
          <w:numId w:val="10"/>
        </w:numPr>
        <w:ind w:left="720"/>
        <w:rPr>
          <w:rFonts w:cs="Times New Roman"/>
          <w:szCs w:val="28"/>
        </w:rPr>
      </w:pPr>
      <w:bookmarkStart w:id="1" w:name="_Toc213748888"/>
      <w:bookmarkStart w:id="2" w:name="_Toc209184640"/>
      <w:r w:rsidRPr="007F198D">
        <w:rPr>
          <w:rFonts w:cs="Times New Roman"/>
          <w:szCs w:val="28"/>
        </w:rPr>
        <w:lastRenderedPageBreak/>
        <w:t>ABSTRACT</w:t>
      </w:r>
      <w:bookmarkEnd w:id="1"/>
    </w:p>
    <w:p w14:paraId="3CECCB5F" w14:textId="77777777" w:rsidR="00A40784" w:rsidRPr="00915260" w:rsidRDefault="00A40784" w:rsidP="00A40784">
      <w:pPr>
        <w:rPr>
          <w:rFonts w:cs="Times New Roman"/>
          <w:szCs w:val="22"/>
        </w:rPr>
      </w:pPr>
    </w:p>
    <w:p w14:paraId="3A94CDC0" w14:textId="2A8C886B" w:rsidR="003C1D94" w:rsidRPr="003C1D94" w:rsidRDefault="003C1D94" w:rsidP="003C1D94">
      <w:pPr>
        <w:spacing w:line="360" w:lineRule="auto"/>
        <w:jc w:val="both"/>
        <w:rPr>
          <w:rFonts w:cs="Times New Roman"/>
          <w:szCs w:val="22"/>
        </w:rPr>
      </w:pPr>
      <w:r w:rsidRPr="003C1D94">
        <w:rPr>
          <w:rFonts w:cs="Times New Roman"/>
          <w:szCs w:val="22"/>
        </w:rPr>
        <w:t xml:space="preserve">This dissertation investigates the key determinants influencing consumer purchase intentions toward Nescafé instant coffee in Hong Kong, focusing on social media marketing activities, environmental </w:t>
      </w:r>
      <w:r w:rsidR="00ED409C">
        <w:rPr>
          <w:rFonts w:cs="Times New Roman"/>
          <w:szCs w:val="22"/>
        </w:rPr>
        <w:t>conscious</w:t>
      </w:r>
      <w:r w:rsidRPr="003C1D94">
        <w:rPr>
          <w:rFonts w:cs="Times New Roman"/>
          <w:szCs w:val="22"/>
        </w:rPr>
        <w:t>, sustainability practices, and brand trust. Motivated by a gap in local scholarship and the evolving dynamics of Hong Kong's coffee market</w:t>
      </w:r>
      <w:r>
        <w:rPr>
          <w:rFonts w:cs="Times New Roman" w:hint="eastAsia"/>
          <w:szCs w:val="22"/>
        </w:rPr>
        <w:t xml:space="preserve">, </w:t>
      </w:r>
      <w:r w:rsidRPr="003C1D94">
        <w:rPr>
          <w:rFonts w:cs="Times New Roman"/>
          <w:szCs w:val="22"/>
        </w:rPr>
        <w:t>characterized by digital engagement and heightened sustainability awareness</w:t>
      </w:r>
      <w:r>
        <w:rPr>
          <w:rFonts w:cs="Times New Roman" w:hint="eastAsia"/>
          <w:szCs w:val="22"/>
        </w:rPr>
        <w:t xml:space="preserve">, </w:t>
      </w:r>
      <w:r w:rsidRPr="003C1D94">
        <w:rPr>
          <w:rFonts w:cs="Times New Roman"/>
          <w:szCs w:val="22"/>
        </w:rPr>
        <w:t>the research aims to clarify how these factors interrelate and impact consumer choice. Adopting a mixed-methods approach, the study integrates qualitative data from focus group interviews and quantitative data from structured online questionnaires completed by 238 Hong Kong residents. This methodological triangulation enhances the robustness and validity of the findings.</w:t>
      </w:r>
    </w:p>
    <w:p w14:paraId="747D255A" w14:textId="73B7ADD6" w:rsidR="003C1D94" w:rsidRPr="003C1D94" w:rsidRDefault="003C1D94" w:rsidP="003C1D94">
      <w:pPr>
        <w:spacing w:line="360" w:lineRule="auto"/>
        <w:jc w:val="both"/>
        <w:rPr>
          <w:rFonts w:cs="Times New Roman"/>
          <w:szCs w:val="22"/>
        </w:rPr>
      </w:pPr>
      <w:r w:rsidRPr="003C1D94">
        <w:rPr>
          <w:rFonts w:cs="Times New Roman"/>
          <w:szCs w:val="22"/>
        </w:rPr>
        <w:t>The research confirms that all four investigated factors</w:t>
      </w:r>
      <w:r w:rsidR="00C83606">
        <w:rPr>
          <w:rFonts w:cs="Times New Roman" w:hint="eastAsia"/>
          <w:szCs w:val="22"/>
        </w:rPr>
        <w:t xml:space="preserve">, social media marketing activities, </w:t>
      </w:r>
      <w:r w:rsidR="00C83606">
        <w:rPr>
          <w:rFonts w:cs="Times New Roman"/>
          <w:szCs w:val="22"/>
        </w:rPr>
        <w:t>environmental</w:t>
      </w:r>
      <w:r w:rsidR="00C83606">
        <w:rPr>
          <w:rFonts w:cs="Times New Roman" w:hint="eastAsia"/>
          <w:szCs w:val="22"/>
        </w:rPr>
        <w:t xml:space="preserve"> conscious, sustainability and brand </w:t>
      </w:r>
      <w:r w:rsidR="00C83606">
        <w:rPr>
          <w:rFonts w:cs="Times New Roman"/>
          <w:szCs w:val="22"/>
        </w:rPr>
        <w:t>trust are</w:t>
      </w:r>
      <w:r w:rsidR="00C83606">
        <w:rPr>
          <w:rFonts w:cs="Times New Roman" w:hint="eastAsia"/>
          <w:szCs w:val="22"/>
        </w:rPr>
        <w:t xml:space="preserve"> </w:t>
      </w:r>
      <w:r w:rsidRPr="003C1D94">
        <w:rPr>
          <w:rFonts w:cs="Times New Roman"/>
          <w:szCs w:val="22"/>
        </w:rPr>
        <w:t>positively and significantly impact purchase intention for Nescafé instant coffee. Regression analysis demonstrates that word-of-mouth social media marketing and brand trust are the most influential predictors, closely followed by environmental conscious</w:t>
      </w:r>
      <w:r w:rsidR="005069E5">
        <w:rPr>
          <w:rFonts w:cs="Times New Roman" w:hint="eastAsia"/>
          <w:szCs w:val="22"/>
        </w:rPr>
        <w:t xml:space="preserve"> and</w:t>
      </w:r>
      <w:r w:rsidR="005069E5" w:rsidRPr="005069E5">
        <w:rPr>
          <w:rFonts w:cs="Times New Roman"/>
          <w:szCs w:val="22"/>
        </w:rPr>
        <w:t xml:space="preserve"> </w:t>
      </w:r>
      <w:r w:rsidR="005069E5" w:rsidRPr="003C1D94">
        <w:rPr>
          <w:rFonts w:cs="Times New Roman"/>
          <w:szCs w:val="22"/>
        </w:rPr>
        <w:t>sustainability</w:t>
      </w:r>
      <w:r w:rsidRPr="003C1D94">
        <w:rPr>
          <w:rFonts w:cs="Times New Roman"/>
          <w:szCs w:val="22"/>
        </w:rPr>
        <w:t>. These relationships are substantiated through strong internal reliability and statistical significance, reinforcing the direct and interconnected effects of these constructs on consumer behavior within the fast-moving consumer goods sector.</w:t>
      </w:r>
    </w:p>
    <w:p w14:paraId="7EEF2CA5" w14:textId="37530C61" w:rsidR="00A40784" w:rsidRDefault="003C1D94" w:rsidP="003C1D94">
      <w:pPr>
        <w:spacing w:line="360" w:lineRule="auto"/>
        <w:jc w:val="both"/>
        <w:rPr>
          <w:rFonts w:cs="Times New Roman"/>
          <w:szCs w:val="22"/>
        </w:rPr>
      </w:pPr>
      <w:r w:rsidRPr="003C1D94">
        <w:rPr>
          <w:rFonts w:cs="Times New Roman"/>
          <w:szCs w:val="22"/>
        </w:rPr>
        <w:t>The conclusions highlight the necessity for Nescafé and similar brands to prioritize authentic digital engagement, transparent communication of sustainable practices, and continuous reinforcement of product quality and trust. Recommendations advocate for intensified social media advocacy, educational initiatives promoting eco-responsibility, and credible certification of sustainability efforts to counteract consumer skepticism. While contextual limitations exist</w:t>
      </w:r>
      <w:r w:rsidR="005316FD">
        <w:rPr>
          <w:rFonts w:cs="Times New Roman" w:hint="eastAsia"/>
          <w:szCs w:val="22"/>
        </w:rPr>
        <w:t xml:space="preserve"> </w:t>
      </w:r>
      <w:r w:rsidRPr="003C1D94">
        <w:rPr>
          <w:rFonts w:cs="Times New Roman"/>
          <w:szCs w:val="22"/>
        </w:rPr>
        <w:t>such as reliance on self-reported, cross-sectional data and non-probability sampling</w:t>
      </w:r>
      <w:r w:rsidR="005069E5">
        <w:rPr>
          <w:rFonts w:cs="Times New Roman" w:hint="eastAsia"/>
          <w:szCs w:val="22"/>
        </w:rPr>
        <w:t xml:space="preserve">, </w:t>
      </w:r>
      <w:r w:rsidRPr="003C1D94">
        <w:rPr>
          <w:rFonts w:cs="Times New Roman"/>
          <w:szCs w:val="22"/>
        </w:rPr>
        <w:t>the dissertation provides actionable managerial insights and sets a precedent for further academic inquiry in digitally connected, ethically conscious consumer markets.</w:t>
      </w:r>
    </w:p>
    <w:p w14:paraId="5F1F98E5" w14:textId="77777777" w:rsidR="00C850A5" w:rsidRDefault="00C850A5" w:rsidP="00A40784">
      <w:pPr>
        <w:spacing w:line="360" w:lineRule="auto"/>
        <w:jc w:val="both"/>
        <w:rPr>
          <w:rFonts w:cs="Times New Roman"/>
          <w:szCs w:val="22"/>
        </w:rPr>
      </w:pPr>
    </w:p>
    <w:p w14:paraId="37B0BE9D" w14:textId="77777777" w:rsidR="00A5082E" w:rsidRDefault="00A5082E" w:rsidP="00A40784">
      <w:pPr>
        <w:spacing w:line="360" w:lineRule="auto"/>
        <w:jc w:val="both"/>
        <w:rPr>
          <w:rFonts w:cs="Times New Roman"/>
          <w:szCs w:val="22"/>
        </w:rPr>
      </w:pPr>
    </w:p>
    <w:p w14:paraId="5288B563" w14:textId="77777777" w:rsidR="00A5082E" w:rsidRDefault="00A5082E" w:rsidP="00A40784">
      <w:pPr>
        <w:spacing w:line="360" w:lineRule="auto"/>
        <w:jc w:val="both"/>
        <w:rPr>
          <w:rFonts w:cs="Times New Roman"/>
          <w:szCs w:val="22"/>
        </w:rPr>
      </w:pPr>
    </w:p>
    <w:p w14:paraId="23469427" w14:textId="5D952970" w:rsidR="00A40784" w:rsidRDefault="00A40784" w:rsidP="00A40784">
      <w:pPr>
        <w:jc w:val="both"/>
        <w:rPr>
          <w:rFonts w:cs="Times New Roman"/>
          <w:sz w:val="21"/>
          <w:szCs w:val="21"/>
        </w:rPr>
      </w:pPr>
      <w:r w:rsidRPr="007B5EA4">
        <w:rPr>
          <w:rFonts w:cs="Times New Roman"/>
          <w:sz w:val="21"/>
          <w:szCs w:val="21"/>
        </w:rPr>
        <w:t xml:space="preserve">Keywords: Social Media Marketing Activities; Brand Trust; Environmental </w:t>
      </w:r>
      <w:r w:rsidR="00ED409C">
        <w:rPr>
          <w:rFonts w:cs="Times New Roman"/>
          <w:sz w:val="21"/>
          <w:szCs w:val="21"/>
        </w:rPr>
        <w:t>Conscious</w:t>
      </w:r>
      <w:r w:rsidRPr="007B5EA4">
        <w:rPr>
          <w:rFonts w:cs="Times New Roman"/>
          <w:sz w:val="21"/>
          <w:szCs w:val="21"/>
        </w:rPr>
        <w:t>; Sustainability; Purchase Intention; Instant Coffee; FMCG;</w:t>
      </w:r>
      <w:r>
        <w:rPr>
          <w:rFonts w:cs="Times New Roman"/>
          <w:sz w:val="21"/>
          <w:szCs w:val="21"/>
        </w:rPr>
        <w:t xml:space="preserve"> </w:t>
      </w:r>
      <w:r w:rsidRPr="007B5EA4">
        <w:rPr>
          <w:rFonts w:cs="Times New Roman"/>
          <w:sz w:val="21"/>
          <w:szCs w:val="21"/>
        </w:rPr>
        <w:t>Nescafé</w:t>
      </w:r>
    </w:p>
    <w:p w14:paraId="65AE60A7" w14:textId="77777777" w:rsidR="00A40784" w:rsidRDefault="00A40784" w:rsidP="00A40784">
      <w:pPr>
        <w:rPr>
          <w:rFonts w:cs="Times New Roman"/>
          <w:sz w:val="21"/>
          <w:szCs w:val="21"/>
        </w:rPr>
      </w:pPr>
      <w:r>
        <w:rPr>
          <w:rFonts w:cs="Times New Roman"/>
          <w:sz w:val="21"/>
          <w:szCs w:val="21"/>
        </w:rPr>
        <w:br w:type="page"/>
      </w:r>
    </w:p>
    <w:p w14:paraId="18FBC09C" w14:textId="16C2A5CE" w:rsidR="00251527" w:rsidRPr="007F198D" w:rsidRDefault="00251527" w:rsidP="008E5F38">
      <w:pPr>
        <w:pStyle w:val="Heading"/>
        <w:numPr>
          <w:ilvl w:val="0"/>
          <w:numId w:val="10"/>
        </w:numPr>
        <w:ind w:left="720"/>
        <w:rPr>
          <w:rFonts w:cs="Times New Roman"/>
          <w:szCs w:val="28"/>
        </w:rPr>
      </w:pPr>
      <w:bookmarkStart w:id="3" w:name="_Toc213748889"/>
      <w:r w:rsidRPr="007F198D">
        <w:rPr>
          <w:rFonts w:cs="Times New Roman"/>
          <w:szCs w:val="28"/>
        </w:rPr>
        <w:lastRenderedPageBreak/>
        <w:t>DECLARATION</w:t>
      </w:r>
      <w:bookmarkEnd w:id="3"/>
    </w:p>
    <w:p w14:paraId="2A20EB59" w14:textId="27F318E2" w:rsidR="00251527" w:rsidRDefault="00FE2964" w:rsidP="00251527">
      <w:r w:rsidRPr="00FE2964">
        <w:rPr>
          <w:noProof/>
        </w:rPr>
        <w:drawing>
          <wp:inline distT="0" distB="0" distL="0" distR="0" wp14:anchorId="340E6D78" wp14:editId="6CA6AC86">
            <wp:extent cx="5868063" cy="7428565"/>
            <wp:effectExtent l="0" t="0" r="0" b="1270"/>
            <wp:docPr id="21701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01124" name=""/>
                    <pic:cNvPicPr/>
                  </pic:nvPicPr>
                  <pic:blipFill>
                    <a:blip r:embed="rId12"/>
                    <a:stretch>
                      <a:fillRect/>
                    </a:stretch>
                  </pic:blipFill>
                  <pic:spPr>
                    <a:xfrm>
                      <a:off x="0" y="0"/>
                      <a:ext cx="5884452" cy="7449312"/>
                    </a:xfrm>
                    <a:prstGeom prst="rect">
                      <a:avLst/>
                    </a:prstGeom>
                  </pic:spPr>
                </pic:pic>
              </a:graphicData>
            </a:graphic>
          </wp:inline>
        </w:drawing>
      </w:r>
    </w:p>
    <w:p w14:paraId="44391A9F" w14:textId="77777777" w:rsidR="001B2D97" w:rsidRDefault="00251527">
      <w:r>
        <w:br w:type="page"/>
      </w:r>
      <w:r w:rsidR="004625EC" w:rsidRPr="004625EC">
        <w:rPr>
          <w:noProof/>
        </w:rPr>
        <w:lastRenderedPageBreak/>
        <w:drawing>
          <wp:inline distT="0" distB="0" distL="0" distR="0" wp14:anchorId="45811097" wp14:editId="72330AF6">
            <wp:extent cx="5939624" cy="7409378"/>
            <wp:effectExtent l="0" t="0" r="4445" b="1270"/>
            <wp:docPr id="938322994"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322994" name="Picture 1" descr="A document with text on it&#10;&#10;AI-generated content may be incorrect."/>
                    <pic:cNvPicPr/>
                  </pic:nvPicPr>
                  <pic:blipFill>
                    <a:blip r:embed="rId13"/>
                    <a:stretch>
                      <a:fillRect/>
                    </a:stretch>
                  </pic:blipFill>
                  <pic:spPr>
                    <a:xfrm>
                      <a:off x="0" y="0"/>
                      <a:ext cx="5949235" cy="7421367"/>
                    </a:xfrm>
                    <a:prstGeom prst="rect">
                      <a:avLst/>
                    </a:prstGeom>
                  </pic:spPr>
                </pic:pic>
              </a:graphicData>
            </a:graphic>
          </wp:inline>
        </w:drawing>
      </w:r>
    </w:p>
    <w:p w14:paraId="45AC6B94" w14:textId="0905F29D" w:rsidR="00FE2964" w:rsidRDefault="00FE2964">
      <w:r>
        <w:br w:type="page"/>
      </w:r>
    </w:p>
    <w:p w14:paraId="62CFE3A3" w14:textId="51FD1329" w:rsidR="009C4DAA" w:rsidRDefault="009C4DAA" w:rsidP="009C4DAA">
      <w:pPr>
        <w:pStyle w:val="Heading"/>
        <w:numPr>
          <w:ilvl w:val="0"/>
          <w:numId w:val="10"/>
        </w:numPr>
        <w:ind w:left="720"/>
        <w:rPr>
          <w:rFonts w:cs="Times New Roman"/>
          <w:szCs w:val="28"/>
        </w:rPr>
      </w:pPr>
      <w:bookmarkStart w:id="4" w:name="_Toc213748890"/>
      <w:bookmarkEnd w:id="2"/>
      <w:r w:rsidRPr="007F198D">
        <w:rPr>
          <w:rFonts w:cs="Times New Roman"/>
          <w:szCs w:val="28"/>
        </w:rPr>
        <w:lastRenderedPageBreak/>
        <w:t>TABLE OF CONTENTS</w:t>
      </w:r>
      <w:bookmarkEnd w:id="4"/>
    </w:p>
    <w:p w14:paraId="2EAABA78" w14:textId="19D45593" w:rsidR="003B4972" w:rsidRPr="007F198D" w:rsidRDefault="003B4972" w:rsidP="003B4972">
      <w:r w:rsidRPr="003B4972">
        <w:rPr>
          <w:noProof/>
        </w:rPr>
        <w:drawing>
          <wp:inline distT="0" distB="0" distL="0" distR="0" wp14:anchorId="01E3A5D9" wp14:editId="342E0F55">
            <wp:extent cx="5914875" cy="7804728"/>
            <wp:effectExtent l="0" t="0" r="0" b="6350"/>
            <wp:docPr id="1080065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065862" name=""/>
                    <pic:cNvPicPr/>
                  </pic:nvPicPr>
                  <pic:blipFill>
                    <a:blip r:embed="rId14"/>
                    <a:stretch>
                      <a:fillRect/>
                    </a:stretch>
                  </pic:blipFill>
                  <pic:spPr>
                    <a:xfrm>
                      <a:off x="0" y="0"/>
                      <a:ext cx="5923121" cy="7815608"/>
                    </a:xfrm>
                    <a:prstGeom prst="rect">
                      <a:avLst/>
                    </a:prstGeom>
                  </pic:spPr>
                </pic:pic>
              </a:graphicData>
            </a:graphic>
          </wp:inline>
        </w:drawing>
      </w:r>
    </w:p>
    <w:p w14:paraId="6D1D2324" w14:textId="2168C37F" w:rsidR="00A16D04" w:rsidRDefault="00A16D04">
      <w:bookmarkStart w:id="5" w:name="_Toc209184642"/>
      <w:r>
        <w:br w:type="page"/>
      </w:r>
      <w:r w:rsidR="00020E83" w:rsidRPr="00020E83">
        <w:rPr>
          <w:noProof/>
        </w:rPr>
        <w:lastRenderedPageBreak/>
        <w:drawing>
          <wp:inline distT="0" distB="0" distL="0" distR="0" wp14:anchorId="4B20A844" wp14:editId="5C463603">
            <wp:extent cx="5835432" cy="7795491"/>
            <wp:effectExtent l="0" t="0" r="0" b="0"/>
            <wp:docPr id="1068748703"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748703" name="Picture 1" descr="A close-up of a paper&#10;&#10;AI-generated content may be incorrect."/>
                    <pic:cNvPicPr/>
                  </pic:nvPicPr>
                  <pic:blipFill>
                    <a:blip r:embed="rId15"/>
                    <a:stretch>
                      <a:fillRect/>
                    </a:stretch>
                  </pic:blipFill>
                  <pic:spPr>
                    <a:xfrm>
                      <a:off x="0" y="0"/>
                      <a:ext cx="5846094" cy="7809734"/>
                    </a:xfrm>
                    <a:prstGeom prst="rect">
                      <a:avLst/>
                    </a:prstGeom>
                  </pic:spPr>
                </pic:pic>
              </a:graphicData>
            </a:graphic>
          </wp:inline>
        </w:drawing>
      </w:r>
    </w:p>
    <w:p w14:paraId="44D31ABE" w14:textId="71B5D32C" w:rsidR="00020E83" w:rsidRDefault="00020E83">
      <w:r>
        <w:br w:type="page"/>
      </w:r>
    </w:p>
    <w:p w14:paraId="67732B41" w14:textId="77777777" w:rsidR="00020E83" w:rsidRDefault="00020E83"/>
    <w:p w14:paraId="61C874F8" w14:textId="4C8A34EC" w:rsidR="00E31A41" w:rsidRDefault="00E31A41" w:rsidP="00E31A41">
      <w:pPr>
        <w:pStyle w:val="Heading"/>
        <w:numPr>
          <w:ilvl w:val="0"/>
          <w:numId w:val="10"/>
        </w:numPr>
        <w:ind w:left="720"/>
        <w:rPr>
          <w:rFonts w:cs="Times New Roman"/>
          <w:sz w:val="22"/>
          <w:szCs w:val="22"/>
        </w:rPr>
      </w:pPr>
      <w:bookmarkStart w:id="6" w:name="_Toc213748891"/>
      <w:r>
        <w:rPr>
          <w:rFonts w:cs="Times New Roman"/>
          <w:sz w:val="22"/>
          <w:szCs w:val="22"/>
        </w:rPr>
        <w:t>LIST OF FIGURES</w:t>
      </w:r>
      <w:bookmarkEnd w:id="6"/>
    </w:p>
    <w:p w14:paraId="1C0A25D0" w14:textId="77777777" w:rsidR="00C905F9" w:rsidRDefault="00C905F9">
      <w:pPr>
        <w:pStyle w:val="TableofFigures"/>
        <w:tabs>
          <w:tab w:val="right" w:leader="dot" w:pos="9350"/>
        </w:tabs>
      </w:pPr>
    </w:p>
    <w:tbl>
      <w:tblPr>
        <w:tblStyle w:val="TableGridLight"/>
        <w:tblW w:w="92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33"/>
        <w:gridCol w:w="498"/>
      </w:tblGrid>
      <w:tr w:rsidR="00E00F8F" w:rsidRPr="00E00F8F" w14:paraId="20B46676" w14:textId="77777777" w:rsidTr="00300FB0">
        <w:trPr>
          <w:trHeight w:val="524"/>
        </w:trPr>
        <w:tc>
          <w:tcPr>
            <w:tcW w:w="8735" w:type="dxa"/>
            <w:noWrap/>
            <w:vAlign w:val="bottom"/>
          </w:tcPr>
          <w:tbl>
            <w:tblPr>
              <w:tblW w:w="8617" w:type="dxa"/>
              <w:tblLook w:val="04A0" w:firstRow="1" w:lastRow="0" w:firstColumn="1" w:lastColumn="0" w:noHBand="0" w:noVBand="1"/>
            </w:tblPr>
            <w:tblGrid>
              <w:gridCol w:w="1415"/>
              <w:gridCol w:w="6721"/>
              <w:gridCol w:w="481"/>
            </w:tblGrid>
            <w:tr w:rsidR="00300FB0" w:rsidRPr="00300FB0" w14:paraId="752695D4" w14:textId="77777777" w:rsidTr="005E3769">
              <w:trPr>
                <w:trHeight w:val="589"/>
              </w:trPr>
              <w:tc>
                <w:tcPr>
                  <w:tcW w:w="1415" w:type="dxa"/>
                  <w:tcBorders>
                    <w:top w:val="nil"/>
                    <w:left w:val="nil"/>
                    <w:bottom w:val="nil"/>
                    <w:right w:val="nil"/>
                  </w:tcBorders>
                  <w:noWrap/>
                  <w:vAlign w:val="bottom"/>
                  <w:hideMark/>
                </w:tcPr>
                <w:p w14:paraId="515784F6"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1.1.1</w:t>
                  </w:r>
                </w:p>
              </w:tc>
              <w:tc>
                <w:tcPr>
                  <w:tcW w:w="6721" w:type="dxa"/>
                  <w:tcBorders>
                    <w:top w:val="nil"/>
                    <w:left w:val="nil"/>
                    <w:bottom w:val="nil"/>
                    <w:right w:val="nil"/>
                  </w:tcBorders>
                  <w:noWrap/>
                  <w:vAlign w:val="bottom"/>
                  <w:hideMark/>
                </w:tcPr>
                <w:p w14:paraId="2594ABA8" w14:textId="615D1459"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Global Instant Coffee Market size from Year 2018 and projection to Year 2030</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538A2126"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1</w:t>
                  </w:r>
                </w:p>
              </w:tc>
            </w:tr>
            <w:tr w:rsidR="00300FB0" w:rsidRPr="00300FB0" w14:paraId="10052522" w14:textId="77777777" w:rsidTr="005E3769">
              <w:trPr>
                <w:trHeight w:val="589"/>
              </w:trPr>
              <w:tc>
                <w:tcPr>
                  <w:tcW w:w="1415" w:type="dxa"/>
                  <w:tcBorders>
                    <w:top w:val="nil"/>
                    <w:left w:val="nil"/>
                    <w:bottom w:val="nil"/>
                    <w:right w:val="nil"/>
                  </w:tcBorders>
                  <w:noWrap/>
                  <w:vAlign w:val="bottom"/>
                  <w:hideMark/>
                </w:tcPr>
                <w:p w14:paraId="644EDCDA"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1.1.2</w:t>
                  </w:r>
                </w:p>
              </w:tc>
              <w:tc>
                <w:tcPr>
                  <w:tcW w:w="6721" w:type="dxa"/>
                  <w:tcBorders>
                    <w:top w:val="nil"/>
                    <w:left w:val="nil"/>
                    <w:bottom w:val="nil"/>
                    <w:right w:val="nil"/>
                  </w:tcBorders>
                  <w:noWrap/>
                  <w:vAlign w:val="bottom"/>
                  <w:hideMark/>
                </w:tcPr>
                <w:p w14:paraId="407B7455" w14:textId="40FF140C"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Hong Kong Instant Coffee Revenue Change from Year 2019 and projection to Year 2030</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5B2AB240"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2</w:t>
                  </w:r>
                </w:p>
              </w:tc>
            </w:tr>
            <w:tr w:rsidR="00300FB0" w:rsidRPr="00300FB0" w14:paraId="50F668EB" w14:textId="77777777" w:rsidTr="005E3769">
              <w:trPr>
                <w:trHeight w:val="589"/>
              </w:trPr>
              <w:tc>
                <w:tcPr>
                  <w:tcW w:w="1415" w:type="dxa"/>
                  <w:tcBorders>
                    <w:top w:val="nil"/>
                    <w:left w:val="nil"/>
                    <w:bottom w:val="nil"/>
                    <w:right w:val="nil"/>
                  </w:tcBorders>
                  <w:noWrap/>
                  <w:vAlign w:val="bottom"/>
                  <w:hideMark/>
                </w:tcPr>
                <w:p w14:paraId="306E41B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1.1.3</w:t>
                  </w:r>
                </w:p>
              </w:tc>
              <w:tc>
                <w:tcPr>
                  <w:tcW w:w="6721" w:type="dxa"/>
                  <w:tcBorders>
                    <w:top w:val="nil"/>
                    <w:left w:val="nil"/>
                    <w:bottom w:val="nil"/>
                    <w:right w:val="nil"/>
                  </w:tcBorders>
                  <w:noWrap/>
                  <w:vAlign w:val="bottom"/>
                  <w:hideMark/>
                </w:tcPr>
                <w:p w14:paraId="10DB3A49" w14:textId="79F8220A"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Overview of Social Media Use in Hong Kong</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4557B638"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3</w:t>
                  </w:r>
                </w:p>
              </w:tc>
            </w:tr>
            <w:tr w:rsidR="00300FB0" w:rsidRPr="00300FB0" w14:paraId="44BB7ECC" w14:textId="77777777" w:rsidTr="005E3769">
              <w:trPr>
                <w:trHeight w:val="589"/>
              </w:trPr>
              <w:tc>
                <w:tcPr>
                  <w:tcW w:w="1415" w:type="dxa"/>
                  <w:tcBorders>
                    <w:top w:val="nil"/>
                    <w:left w:val="nil"/>
                    <w:bottom w:val="nil"/>
                    <w:right w:val="nil"/>
                  </w:tcBorders>
                  <w:noWrap/>
                  <w:vAlign w:val="bottom"/>
                  <w:hideMark/>
                </w:tcPr>
                <w:p w14:paraId="1823F2C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1.1.4</w:t>
                  </w:r>
                </w:p>
              </w:tc>
              <w:tc>
                <w:tcPr>
                  <w:tcW w:w="6721" w:type="dxa"/>
                  <w:tcBorders>
                    <w:top w:val="nil"/>
                    <w:left w:val="nil"/>
                    <w:bottom w:val="nil"/>
                    <w:right w:val="nil"/>
                  </w:tcBorders>
                  <w:noWrap/>
                  <w:vAlign w:val="bottom"/>
                  <w:hideMark/>
                </w:tcPr>
                <w:p w14:paraId="3624F231" w14:textId="7A0C62E9"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Main Reasons for Using Social Media</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426C02FD"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w:t>
                  </w:r>
                </w:p>
              </w:tc>
            </w:tr>
            <w:tr w:rsidR="00300FB0" w:rsidRPr="00300FB0" w14:paraId="21C9FF9E" w14:textId="77777777" w:rsidTr="005E3769">
              <w:trPr>
                <w:trHeight w:val="589"/>
              </w:trPr>
              <w:tc>
                <w:tcPr>
                  <w:tcW w:w="1415" w:type="dxa"/>
                  <w:tcBorders>
                    <w:top w:val="nil"/>
                    <w:left w:val="nil"/>
                    <w:bottom w:val="nil"/>
                    <w:right w:val="nil"/>
                  </w:tcBorders>
                  <w:noWrap/>
                  <w:vAlign w:val="bottom"/>
                  <w:hideMark/>
                </w:tcPr>
                <w:p w14:paraId="67FC3E9C"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1.1.5</w:t>
                  </w:r>
                </w:p>
              </w:tc>
              <w:tc>
                <w:tcPr>
                  <w:tcW w:w="6721" w:type="dxa"/>
                  <w:tcBorders>
                    <w:top w:val="nil"/>
                    <w:left w:val="nil"/>
                    <w:bottom w:val="nil"/>
                    <w:right w:val="nil"/>
                  </w:tcBorders>
                  <w:noWrap/>
                  <w:vAlign w:val="bottom"/>
                  <w:hideMark/>
                </w:tcPr>
                <w:p w14:paraId="52FAD318" w14:textId="6A2732F1"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Hong Kong People Concern toward Sustainability and the Environment</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7B811330"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5</w:t>
                  </w:r>
                </w:p>
              </w:tc>
            </w:tr>
            <w:tr w:rsidR="00300FB0" w:rsidRPr="00300FB0" w14:paraId="2A2FBB8C" w14:textId="77777777" w:rsidTr="005E3769">
              <w:trPr>
                <w:trHeight w:val="589"/>
              </w:trPr>
              <w:tc>
                <w:tcPr>
                  <w:tcW w:w="1415" w:type="dxa"/>
                  <w:tcBorders>
                    <w:top w:val="nil"/>
                    <w:left w:val="nil"/>
                    <w:bottom w:val="nil"/>
                    <w:right w:val="nil"/>
                  </w:tcBorders>
                  <w:noWrap/>
                  <w:vAlign w:val="bottom"/>
                  <w:hideMark/>
                </w:tcPr>
                <w:p w14:paraId="5D600885"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1.1.6</w:t>
                  </w:r>
                </w:p>
              </w:tc>
              <w:tc>
                <w:tcPr>
                  <w:tcW w:w="6721" w:type="dxa"/>
                  <w:tcBorders>
                    <w:top w:val="nil"/>
                    <w:left w:val="nil"/>
                    <w:bottom w:val="nil"/>
                    <w:right w:val="nil"/>
                  </w:tcBorders>
                  <w:noWrap/>
                  <w:vAlign w:val="bottom"/>
                  <w:hideMark/>
                </w:tcPr>
                <w:p w14:paraId="4833B207" w14:textId="45F40071"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Hong Kong People Willingness to Pay More for Sustainable Efforts</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02419CF9"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5</w:t>
                  </w:r>
                </w:p>
              </w:tc>
            </w:tr>
            <w:tr w:rsidR="00300FB0" w:rsidRPr="00300FB0" w14:paraId="603F7C72" w14:textId="77777777" w:rsidTr="005E3769">
              <w:trPr>
                <w:trHeight w:val="589"/>
              </w:trPr>
              <w:tc>
                <w:tcPr>
                  <w:tcW w:w="1415" w:type="dxa"/>
                  <w:tcBorders>
                    <w:top w:val="nil"/>
                    <w:left w:val="nil"/>
                    <w:bottom w:val="nil"/>
                    <w:right w:val="nil"/>
                  </w:tcBorders>
                  <w:noWrap/>
                  <w:vAlign w:val="bottom"/>
                  <w:hideMark/>
                </w:tcPr>
                <w:p w14:paraId="043AC175"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3.3</w:t>
                  </w:r>
                </w:p>
              </w:tc>
              <w:tc>
                <w:tcPr>
                  <w:tcW w:w="6721" w:type="dxa"/>
                  <w:tcBorders>
                    <w:top w:val="nil"/>
                    <w:left w:val="nil"/>
                    <w:bottom w:val="nil"/>
                    <w:right w:val="nil"/>
                  </w:tcBorders>
                  <w:noWrap/>
                  <w:vAlign w:val="bottom"/>
                  <w:hideMark/>
                </w:tcPr>
                <w:p w14:paraId="5D1C5695" w14:textId="2AFD4133"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Conceptual Research Model</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23326AFF"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26</w:t>
                  </w:r>
                </w:p>
              </w:tc>
            </w:tr>
            <w:tr w:rsidR="00300FB0" w:rsidRPr="00300FB0" w14:paraId="27B583B0" w14:textId="77777777" w:rsidTr="005E3769">
              <w:trPr>
                <w:trHeight w:val="589"/>
              </w:trPr>
              <w:tc>
                <w:tcPr>
                  <w:tcW w:w="1415" w:type="dxa"/>
                  <w:tcBorders>
                    <w:top w:val="nil"/>
                    <w:left w:val="nil"/>
                    <w:bottom w:val="nil"/>
                    <w:right w:val="nil"/>
                  </w:tcBorders>
                  <w:noWrap/>
                  <w:vAlign w:val="bottom"/>
                  <w:hideMark/>
                </w:tcPr>
                <w:p w14:paraId="7E960A0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4.2.1</w:t>
                  </w:r>
                </w:p>
              </w:tc>
              <w:tc>
                <w:tcPr>
                  <w:tcW w:w="6721" w:type="dxa"/>
                  <w:tcBorders>
                    <w:top w:val="nil"/>
                    <w:left w:val="nil"/>
                    <w:bottom w:val="nil"/>
                    <w:right w:val="nil"/>
                  </w:tcBorders>
                  <w:noWrap/>
                  <w:vAlign w:val="bottom"/>
                  <w:hideMark/>
                </w:tcPr>
                <w:p w14:paraId="5D0B04CE" w14:textId="4EC25A8D"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Respondents Demographic Overview</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0AC44C73"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37</w:t>
                  </w:r>
                </w:p>
              </w:tc>
            </w:tr>
            <w:tr w:rsidR="00300FB0" w:rsidRPr="00300FB0" w14:paraId="19BD2D80" w14:textId="77777777" w:rsidTr="005E3769">
              <w:trPr>
                <w:trHeight w:val="589"/>
              </w:trPr>
              <w:tc>
                <w:tcPr>
                  <w:tcW w:w="1415" w:type="dxa"/>
                  <w:tcBorders>
                    <w:top w:val="nil"/>
                    <w:left w:val="nil"/>
                    <w:bottom w:val="nil"/>
                    <w:right w:val="nil"/>
                  </w:tcBorders>
                  <w:noWrap/>
                  <w:vAlign w:val="bottom"/>
                  <w:hideMark/>
                </w:tcPr>
                <w:p w14:paraId="7989BB58"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4.6.6</w:t>
                  </w:r>
                </w:p>
              </w:tc>
              <w:tc>
                <w:tcPr>
                  <w:tcW w:w="6721" w:type="dxa"/>
                  <w:tcBorders>
                    <w:top w:val="nil"/>
                    <w:left w:val="nil"/>
                    <w:bottom w:val="nil"/>
                    <w:right w:val="nil"/>
                  </w:tcBorders>
                  <w:noWrap/>
                  <w:vAlign w:val="bottom"/>
                  <w:hideMark/>
                </w:tcPr>
                <w:p w14:paraId="33E518F4" w14:textId="12A0DDBB"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Normality of Residuals Histogram and Normal P-Plot of Regression Standardized Residual</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76FB1763"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48</w:t>
                  </w:r>
                </w:p>
              </w:tc>
            </w:tr>
            <w:tr w:rsidR="00300FB0" w:rsidRPr="00300FB0" w14:paraId="47412721" w14:textId="77777777" w:rsidTr="005E3769">
              <w:trPr>
                <w:trHeight w:val="589"/>
              </w:trPr>
              <w:tc>
                <w:tcPr>
                  <w:tcW w:w="1415" w:type="dxa"/>
                  <w:tcBorders>
                    <w:top w:val="nil"/>
                    <w:left w:val="nil"/>
                    <w:bottom w:val="nil"/>
                    <w:right w:val="nil"/>
                  </w:tcBorders>
                  <w:noWrap/>
                  <w:vAlign w:val="bottom"/>
                  <w:hideMark/>
                </w:tcPr>
                <w:p w14:paraId="098736C9"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4.6.7</w:t>
                  </w:r>
                </w:p>
              </w:tc>
              <w:tc>
                <w:tcPr>
                  <w:tcW w:w="6721" w:type="dxa"/>
                  <w:tcBorders>
                    <w:top w:val="nil"/>
                    <w:left w:val="nil"/>
                    <w:bottom w:val="nil"/>
                    <w:right w:val="nil"/>
                  </w:tcBorders>
                  <w:noWrap/>
                  <w:vAlign w:val="bottom"/>
                  <w:hideMark/>
                </w:tcPr>
                <w:p w14:paraId="234D61BD" w14:textId="3AA525A4"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Scatterplot of Standardized Residuals</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6AAB4349"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48</w:t>
                  </w:r>
                </w:p>
              </w:tc>
            </w:tr>
            <w:tr w:rsidR="00300FB0" w:rsidRPr="00300FB0" w14:paraId="78CD5637" w14:textId="77777777" w:rsidTr="005E3769">
              <w:trPr>
                <w:trHeight w:val="589"/>
              </w:trPr>
              <w:tc>
                <w:tcPr>
                  <w:tcW w:w="1415" w:type="dxa"/>
                  <w:tcBorders>
                    <w:top w:val="nil"/>
                    <w:left w:val="nil"/>
                    <w:bottom w:val="nil"/>
                    <w:right w:val="nil"/>
                  </w:tcBorders>
                  <w:noWrap/>
                  <w:vAlign w:val="bottom"/>
                  <w:hideMark/>
                </w:tcPr>
                <w:p w14:paraId="2986EE23" w14:textId="77777777" w:rsidR="00300FB0" w:rsidRPr="00300FB0" w:rsidRDefault="00300FB0" w:rsidP="005E3769">
                  <w:pPr>
                    <w:spacing w:after="0" w:line="240" w:lineRule="auto"/>
                    <w:rPr>
                      <w:rFonts w:eastAsia="Times New Roman" w:cs="Times New Roman"/>
                      <w:color w:val="000000"/>
                      <w:kern w:val="0"/>
                      <w:sz w:val="20"/>
                      <w:szCs w:val="20"/>
                      <w:lang w:eastAsia="zh-CN"/>
                      <w14:ligatures w14:val="none"/>
                    </w:rPr>
                  </w:pPr>
                  <w:r w:rsidRPr="00300FB0">
                    <w:rPr>
                      <w:rFonts w:eastAsia="Times New Roman" w:cs="Times New Roman"/>
                      <w:color w:val="000000"/>
                      <w:kern w:val="0"/>
                      <w:sz w:val="20"/>
                      <w:szCs w:val="20"/>
                      <w:lang w:eastAsia="zh-CN"/>
                      <w14:ligatures w14:val="none"/>
                    </w:rPr>
                    <w:t>Figure 4.7</w:t>
                  </w:r>
                </w:p>
              </w:tc>
              <w:tc>
                <w:tcPr>
                  <w:tcW w:w="6721" w:type="dxa"/>
                  <w:tcBorders>
                    <w:top w:val="nil"/>
                    <w:left w:val="nil"/>
                    <w:bottom w:val="nil"/>
                    <w:right w:val="nil"/>
                  </w:tcBorders>
                  <w:noWrap/>
                  <w:vAlign w:val="bottom"/>
                  <w:hideMark/>
                </w:tcPr>
                <w:p w14:paraId="386A83B1" w14:textId="59EC720E" w:rsidR="00300FB0" w:rsidRPr="00300FB0" w:rsidRDefault="00300FB0" w:rsidP="005E3769">
                  <w:pPr>
                    <w:spacing w:after="0" w:line="240" w:lineRule="auto"/>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Research Result on the Conceptual Framework</w:t>
                  </w:r>
                  <w:r>
                    <w:rPr>
                      <w:rFonts w:eastAsia="Times New Roman" w:cs="Times New Roman"/>
                      <w:kern w:val="0"/>
                      <w:sz w:val="20"/>
                      <w:szCs w:val="20"/>
                      <w:lang w:eastAsia="zh-CN"/>
                      <w14:ligatures w14:val="none"/>
                    </w:rPr>
                    <w:t>…………………………………</w:t>
                  </w:r>
                </w:p>
              </w:tc>
              <w:tc>
                <w:tcPr>
                  <w:tcW w:w="481" w:type="dxa"/>
                  <w:tcBorders>
                    <w:top w:val="nil"/>
                    <w:left w:val="nil"/>
                    <w:bottom w:val="nil"/>
                    <w:right w:val="nil"/>
                  </w:tcBorders>
                  <w:noWrap/>
                  <w:vAlign w:val="bottom"/>
                  <w:hideMark/>
                </w:tcPr>
                <w:p w14:paraId="694AE202" w14:textId="77777777" w:rsidR="00300FB0" w:rsidRPr="00300FB0" w:rsidRDefault="00300FB0" w:rsidP="005E3769">
                  <w:pPr>
                    <w:spacing w:after="0" w:line="240" w:lineRule="auto"/>
                    <w:jc w:val="center"/>
                    <w:rPr>
                      <w:rFonts w:eastAsia="Times New Roman" w:cs="Times New Roman"/>
                      <w:kern w:val="0"/>
                      <w:sz w:val="20"/>
                      <w:szCs w:val="20"/>
                      <w:lang w:eastAsia="zh-CN"/>
                      <w14:ligatures w14:val="none"/>
                    </w:rPr>
                  </w:pPr>
                  <w:r w:rsidRPr="00300FB0">
                    <w:rPr>
                      <w:rFonts w:eastAsia="Times New Roman" w:cs="Times New Roman"/>
                      <w:kern w:val="0"/>
                      <w:sz w:val="20"/>
                      <w:szCs w:val="20"/>
                      <w:lang w:eastAsia="zh-CN"/>
                      <w14:ligatures w14:val="none"/>
                    </w:rPr>
                    <w:t>49</w:t>
                  </w:r>
                </w:p>
              </w:tc>
            </w:tr>
          </w:tbl>
          <w:p w14:paraId="29F5A76B" w14:textId="374CBA98"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50246E9D" w14:textId="18134BB9"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26331827" w14:textId="77777777" w:rsidTr="00300FB0">
        <w:trPr>
          <w:trHeight w:val="524"/>
        </w:trPr>
        <w:tc>
          <w:tcPr>
            <w:tcW w:w="8735" w:type="dxa"/>
            <w:noWrap/>
            <w:vAlign w:val="bottom"/>
          </w:tcPr>
          <w:p w14:paraId="43CB8626" w14:textId="7B674BFF" w:rsidR="00E00F8F" w:rsidRPr="00E26C06" w:rsidRDefault="00E00F8F" w:rsidP="00732131">
            <w:pPr>
              <w:spacing w:line="276" w:lineRule="auto"/>
              <w:ind w:left="1147" w:hanging="1170"/>
              <w:jc w:val="center"/>
              <w:rPr>
                <w:rFonts w:cs="Times New Roman"/>
                <w:color w:val="000000"/>
                <w:kern w:val="0"/>
                <w:szCs w:val="22"/>
                <w14:ligatures w14:val="none"/>
              </w:rPr>
            </w:pPr>
          </w:p>
        </w:tc>
        <w:tc>
          <w:tcPr>
            <w:tcW w:w="498" w:type="dxa"/>
            <w:noWrap/>
            <w:vAlign w:val="bottom"/>
          </w:tcPr>
          <w:p w14:paraId="71E62C01" w14:textId="159F3083"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0741A440" w14:textId="77777777" w:rsidTr="00300FB0">
        <w:trPr>
          <w:trHeight w:val="524"/>
        </w:trPr>
        <w:tc>
          <w:tcPr>
            <w:tcW w:w="8735" w:type="dxa"/>
            <w:noWrap/>
            <w:vAlign w:val="bottom"/>
          </w:tcPr>
          <w:p w14:paraId="11325854" w14:textId="30DA5B26"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53733EEB" w14:textId="44DB6C66"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1FF7E303" w14:textId="77777777" w:rsidTr="00300FB0">
        <w:trPr>
          <w:trHeight w:val="524"/>
        </w:trPr>
        <w:tc>
          <w:tcPr>
            <w:tcW w:w="8735" w:type="dxa"/>
            <w:noWrap/>
            <w:vAlign w:val="bottom"/>
          </w:tcPr>
          <w:p w14:paraId="7C46EDC8" w14:textId="25727125" w:rsidR="00E00F8F" w:rsidRPr="00732131" w:rsidRDefault="00E00F8F" w:rsidP="00732131">
            <w:pPr>
              <w:spacing w:line="276" w:lineRule="auto"/>
              <w:jc w:val="center"/>
              <w:rPr>
                <w:rFonts w:cs="Times New Roman"/>
                <w:color w:val="000000"/>
                <w:kern w:val="0"/>
                <w:szCs w:val="22"/>
                <w14:ligatures w14:val="none"/>
              </w:rPr>
            </w:pPr>
          </w:p>
        </w:tc>
        <w:tc>
          <w:tcPr>
            <w:tcW w:w="498" w:type="dxa"/>
            <w:noWrap/>
            <w:vAlign w:val="bottom"/>
          </w:tcPr>
          <w:p w14:paraId="481D1D3F" w14:textId="43E78F54"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6E8B9798" w14:textId="77777777" w:rsidTr="00300FB0">
        <w:trPr>
          <w:trHeight w:val="524"/>
        </w:trPr>
        <w:tc>
          <w:tcPr>
            <w:tcW w:w="8735" w:type="dxa"/>
            <w:noWrap/>
            <w:vAlign w:val="bottom"/>
          </w:tcPr>
          <w:p w14:paraId="03CCBDDD" w14:textId="5A7FDA34" w:rsidR="00E00F8F" w:rsidRPr="00732131" w:rsidRDefault="00E00F8F" w:rsidP="00732131">
            <w:pPr>
              <w:spacing w:line="276" w:lineRule="auto"/>
              <w:rPr>
                <w:rFonts w:cs="Times New Roman"/>
                <w:color w:val="000000"/>
                <w:kern w:val="0"/>
                <w:szCs w:val="22"/>
                <w14:ligatures w14:val="none"/>
              </w:rPr>
            </w:pPr>
          </w:p>
        </w:tc>
        <w:tc>
          <w:tcPr>
            <w:tcW w:w="498" w:type="dxa"/>
            <w:noWrap/>
            <w:vAlign w:val="bottom"/>
          </w:tcPr>
          <w:p w14:paraId="609C7D9B" w14:textId="326B53F0"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733BD4DD" w14:textId="77777777" w:rsidTr="00300FB0">
        <w:trPr>
          <w:trHeight w:val="524"/>
        </w:trPr>
        <w:tc>
          <w:tcPr>
            <w:tcW w:w="8735" w:type="dxa"/>
            <w:noWrap/>
            <w:vAlign w:val="bottom"/>
          </w:tcPr>
          <w:p w14:paraId="7C439ED2" w14:textId="1D2BD4E3" w:rsidR="00E00F8F" w:rsidRPr="00732131" w:rsidRDefault="00E00F8F" w:rsidP="00732131">
            <w:pPr>
              <w:spacing w:line="276" w:lineRule="auto"/>
              <w:rPr>
                <w:rFonts w:cs="Times New Roman"/>
                <w:color w:val="000000"/>
                <w:kern w:val="0"/>
                <w:szCs w:val="22"/>
                <w14:ligatures w14:val="none"/>
              </w:rPr>
            </w:pPr>
          </w:p>
        </w:tc>
        <w:tc>
          <w:tcPr>
            <w:tcW w:w="498" w:type="dxa"/>
            <w:noWrap/>
            <w:vAlign w:val="bottom"/>
          </w:tcPr>
          <w:p w14:paraId="4930E130" w14:textId="75E2E9AF"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5B6EFECB" w14:textId="77777777" w:rsidTr="00300FB0">
        <w:trPr>
          <w:trHeight w:val="524"/>
        </w:trPr>
        <w:tc>
          <w:tcPr>
            <w:tcW w:w="8735" w:type="dxa"/>
            <w:noWrap/>
            <w:vAlign w:val="bottom"/>
          </w:tcPr>
          <w:p w14:paraId="596207BD" w14:textId="5DECA86C"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20CFB567" w14:textId="3592DB1D"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73260FDD" w14:textId="77777777" w:rsidTr="00300FB0">
        <w:trPr>
          <w:trHeight w:val="524"/>
        </w:trPr>
        <w:tc>
          <w:tcPr>
            <w:tcW w:w="8735" w:type="dxa"/>
            <w:noWrap/>
            <w:vAlign w:val="bottom"/>
          </w:tcPr>
          <w:p w14:paraId="4C318B6F" w14:textId="148483A9"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23BF0B6D" w14:textId="5B061C9C"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2EE990CD" w14:textId="77777777" w:rsidTr="00300FB0">
        <w:trPr>
          <w:trHeight w:val="524"/>
        </w:trPr>
        <w:tc>
          <w:tcPr>
            <w:tcW w:w="8735" w:type="dxa"/>
            <w:noWrap/>
            <w:vAlign w:val="bottom"/>
          </w:tcPr>
          <w:p w14:paraId="163B8521" w14:textId="11F1F731" w:rsidR="00E00F8F" w:rsidRPr="00732131" w:rsidRDefault="00E00F8F" w:rsidP="00732131">
            <w:pPr>
              <w:spacing w:line="276" w:lineRule="auto"/>
              <w:ind w:left="1147" w:hanging="1147"/>
              <w:rPr>
                <w:rFonts w:eastAsia="Times New Roman" w:cs="Times New Roman"/>
                <w:color w:val="000000"/>
                <w:kern w:val="0"/>
                <w:szCs w:val="22"/>
                <w14:ligatures w14:val="none"/>
              </w:rPr>
            </w:pPr>
          </w:p>
        </w:tc>
        <w:tc>
          <w:tcPr>
            <w:tcW w:w="498" w:type="dxa"/>
            <w:noWrap/>
            <w:vAlign w:val="bottom"/>
          </w:tcPr>
          <w:p w14:paraId="046EEF93" w14:textId="3ABBAEF4"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34A800E7" w14:textId="77777777" w:rsidTr="00300FB0">
        <w:trPr>
          <w:trHeight w:val="524"/>
        </w:trPr>
        <w:tc>
          <w:tcPr>
            <w:tcW w:w="8735" w:type="dxa"/>
            <w:noWrap/>
            <w:vAlign w:val="bottom"/>
          </w:tcPr>
          <w:p w14:paraId="5164DD5E" w14:textId="6CA2771F"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258D3146" w14:textId="0AA4BAE4" w:rsidR="00E00F8F" w:rsidRPr="00732131" w:rsidRDefault="00E00F8F" w:rsidP="00732131">
            <w:pPr>
              <w:spacing w:line="276" w:lineRule="auto"/>
              <w:jc w:val="center"/>
              <w:rPr>
                <w:rFonts w:eastAsia="Times New Roman" w:cs="Times New Roman"/>
                <w:color w:val="000000"/>
                <w:kern w:val="0"/>
                <w:szCs w:val="22"/>
                <w14:ligatures w14:val="none"/>
              </w:rPr>
            </w:pPr>
          </w:p>
        </w:tc>
      </w:tr>
      <w:tr w:rsidR="00E00F8F" w:rsidRPr="00E00F8F" w14:paraId="45F6F93E" w14:textId="77777777" w:rsidTr="00300FB0">
        <w:trPr>
          <w:trHeight w:val="524"/>
        </w:trPr>
        <w:tc>
          <w:tcPr>
            <w:tcW w:w="8735" w:type="dxa"/>
            <w:noWrap/>
            <w:vAlign w:val="bottom"/>
          </w:tcPr>
          <w:p w14:paraId="2C3779C8" w14:textId="1181F43F" w:rsidR="00E00F8F" w:rsidRPr="00732131" w:rsidRDefault="00E00F8F" w:rsidP="00732131">
            <w:pPr>
              <w:spacing w:line="276" w:lineRule="auto"/>
              <w:jc w:val="center"/>
              <w:rPr>
                <w:rFonts w:eastAsia="Times New Roman" w:cs="Times New Roman"/>
                <w:color w:val="000000"/>
                <w:kern w:val="0"/>
                <w:szCs w:val="22"/>
                <w14:ligatures w14:val="none"/>
              </w:rPr>
            </w:pPr>
          </w:p>
        </w:tc>
        <w:tc>
          <w:tcPr>
            <w:tcW w:w="498" w:type="dxa"/>
            <w:noWrap/>
            <w:vAlign w:val="bottom"/>
          </w:tcPr>
          <w:p w14:paraId="6747BBA8" w14:textId="2FC0C63E" w:rsidR="00E00F8F" w:rsidRPr="00732131" w:rsidRDefault="00E00F8F" w:rsidP="00732131">
            <w:pPr>
              <w:spacing w:line="276" w:lineRule="auto"/>
              <w:jc w:val="center"/>
              <w:rPr>
                <w:rFonts w:eastAsia="Times New Roman" w:cs="Times New Roman"/>
                <w:color w:val="000000"/>
                <w:kern w:val="0"/>
                <w:szCs w:val="22"/>
                <w14:ligatures w14:val="none"/>
              </w:rPr>
            </w:pPr>
          </w:p>
        </w:tc>
      </w:tr>
    </w:tbl>
    <w:p w14:paraId="1D9C2DF8" w14:textId="77777777" w:rsidR="008614DF" w:rsidRPr="00E00F8F" w:rsidRDefault="008614DF" w:rsidP="00E31A41"/>
    <w:p w14:paraId="4ECAD27B" w14:textId="36D52025" w:rsidR="00E31A41" w:rsidRPr="00915260" w:rsidRDefault="00E31A41" w:rsidP="00E31A41">
      <w:pPr>
        <w:pStyle w:val="Heading"/>
        <w:numPr>
          <w:ilvl w:val="0"/>
          <w:numId w:val="10"/>
        </w:numPr>
        <w:ind w:left="720"/>
        <w:rPr>
          <w:rFonts w:cs="Times New Roman"/>
          <w:sz w:val="22"/>
          <w:szCs w:val="22"/>
        </w:rPr>
      </w:pPr>
      <w:bookmarkStart w:id="7" w:name="_Toc213748892"/>
      <w:r>
        <w:rPr>
          <w:rFonts w:cs="Times New Roman"/>
          <w:sz w:val="22"/>
          <w:szCs w:val="22"/>
        </w:rPr>
        <w:t>LIST OF TABLES</w:t>
      </w:r>
      <w:bookmarkEnd w:id="7"/>
    </w:p>
    <w:p w14:paraId="45C5D3E0" w14:textId="77777777" w:rsidR="00592AD1" w:rsidRDefault="00592AD1" w:rsidP="00A93ACA"/>
    <w:tbl>
      <w:tblPr>
        <w:tblStyle w:val="TableGridLight"/>
        <w:tblW w:w="927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53"/>
        <w:gridCol w:w="7433"/>
        <w:gridCol w:w="503"/>
      </w:tblGrid>
      <w:tr w:rsidR="00C82A95" w:rsidRPr="00C82A95" w14:paraId="201B1E5E" w14:textId="77777777" w:rsidTr="00020E83">
        <w:trPr>
          <w:trHeight w:val="366"/>
        </w:trPr>
        <w:tc>
          <w:tcPr>
            <w:tcW w:w="1353" w:type="dxa"/>
            <w:noWrap/>
            <w:vAlign w:val="bottom"/>
            <w:hideMark/>
          </w:tcPr>
          <w:p w14:paraId="000835C8"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2.2.1</w:t>
            </w:r>
          </w:p>
        </w:tc>
        <w:tc>
          <w:tcPr>
            <w:tcW w:w="7420" w:type="dxa"/>
            <w:noWrap/>
            <w:vAlign w:val="bottom"/>
            <w:hideMark/>
          </w:tcPr>
          <w:p w14:paraId="5603F3E0" w14:textId="7AC43B2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Social Media Marketing Activities</w:t>
            </w:r>
            <w:r w:rsidR="005E3769">
              <w:rPr>
                <w:rFonts w:eastAsia="Times New Roman" w:cs="Times New Roman"/>
                <w:kern w:val="0"/>
                <w:sz w:val="20"/>
                <w:szCs w:val="20"/>
                <w:lang w:eastAsia="zh-CN"/>
                <w14:ligatures w14:val="none"/>
              </w:rPr>
              <w:t>…………………………………………..</w:t>
            </w:r>
          </w:p>
        </w:tc>
        <w:tc>
          <w:tcPr>
            <w:tcW w:w="503" w:type="dxa"/>
            <w:noWrap/>
            <w:vAlign w:val="bottom"/>
            <w:hideMark/>
          </w:tcPr>
          <w:p w14:paraId="70AFB762"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10</w:t>
            </w:r>
          </w:p>
        </w:tc>
      </w:tr>
      <w:tr w:rsidR="00C82A95" w:rsidRPr="00C82A95" w14:paraId="0C7BCBD5" w14:textId="77777777" w:rsidTr="00020E83">
        <w:trPr>
          <w:trHeight w:val="366"/>
        </w:trPr>
        <w:tc>
          <w:tcPr>
            <w:tcW w:w="1353" w:type="dxa"/>
            <w:noWrap/>
            <w:vAlign w:val="bottom"/>
            <w:hideMark/>
          </w:tcPr>
          <w:p w14:paraId="4B68C80D"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2.2.2</w:t>
            </w:r>
          </w:p>
        </w:tc>
        <w:tc>
          <w:tcPr>
            <w:tcW w:w="7420" w:type="dxa"/>
            <w:noWrap/>
            <w:vAlign w:val="bottom"/>
            <w:hideMark/>
          </w:tcPr>
          <w:p w14:paraId="0DCF74A4" w14:textId="0669EEDF"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SMMA</w:t>
            </w:r>
            <w:r w:rsidR="005E3769">
              <w:rPr>
                <w:rFonts w:eastAsia="Times New Roman" w:cs="Times New Roman"/>
                <w:kern w:val="0"/>
                <w:sz w:val="20"/>
                <w:szCs w:val="20"/>
                <w:lang w:eastAsia="zh-CN"/>
                <w14:ligatures w14:val="none"/>
              </w:rPr>
              <w:t>……………………………………………………………………</w:t>
            </w:r>
          </w:p>
        </w:tc>
        <w:tc>
          <w:tcPr>
            <w:tcW w:w="503" w:type="dxa"/>
            <w:noWrap/>
            <w:vAlign w:val="bottom"/>
            <w:hideMark/>
          </w:tcPr>
          <w:p w14:paraId="6ABA69D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11</w:t>
            </w:r>
          </w:p>
        </w:tc>
      </w:tr>
      <w:tr w:rsidR="00C82A95" w:rsidRPr="00C82A95" w14:paraId="5DAF2A76" w14:textId="77777777" w:rsidTr="00020E83">
        <w:trPr>
          <w:trHeight w:val="366"/>
        </w:trPr>
        <w:tc>
          <w:tcPr>
            <w:tcW w:w="1353" w:type="dxa"/>
            <w:noWrap/>
            <w:vAlign w:val="bottom"/>
            <w:hideMark/>
          </w:tcPr>
          <w:p w14:paraId="0447529F"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2.2.1</w:t>
            </w:r>
          </w:p>
        </w:tc>
        <w:tc>
          <w:tcPr>
            <w:tcW w:w="7420" w:type="dxa"/>
            <w:noWrap/>
            <w:vAlign w:val="bottom"/>
            <w:hideMark/>
          </w:tcPr>
          <w:p w14:paraId="3F393FA1" w14:textId="3FE58BD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Environmental Conscious</w:t>
            </w:r>
            <w:r w:rsidR="005E3769">
              <w:rPr>
                <w:rFonts w:eastAsia="Times New Roman" w:cs="Times New Roman"/>
                <w:kern w:val="0"/>
                <w:sz w:val="20"/>
                <w:szCs w:val="20"/>
                <w:lang w:eastAsia="zh-CN"/>
                <w14:ligatures w14:val="none"/>
              </w:rPr>
              <w:t>……………………………………………………</w:t>
            </w:r>
          </w:p>
        </w:tc>
        <w:tc>
          <w:tcPr>
            <w:tcW w:w="503" w:type="dxa"/>
            <w:noWrap/>
            <w:vAlign w:val="bottom"/>
            <w:hideMark/>
          </w:tcPr>
          <w:p w14:paraId="124AE13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13</w:t>
            </w:r>
          </w:p>
        </w:tc>
      </w:tr>
      <w:tr w:rsidR="00C82A95" w:rsidRPr="00C82A95" w14:paraId="3F1222E8" w14:textId="77777777" w:rsidTr="00020E83">
        <w:trPr>
          <w:trHeight w:val="366"/>
        </w:trPr>
        <w:tc>
          <w:tcPr>
            <w:tcW w:w="1353" w:type="dxa"/>
            <w:noWrap/>
            <w:vAlign w:val="bottom"/>
            <w:hideMark/>
          </w:tcPr>
          <w:p w14:paraId="23FCDA25"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2.2.2</w:t>
            </w:r>
          </w:p>
        </w:tc>
        <w:tc>
          <w:tcPr>
            <w:tcW w:w="7420" w:type="dxa"/>
            <w:noWrap/>
            <w:vAlign w:val="bottom"/>
            <w:hideMark/>
          </w:tcPr>
          <w:p w14:paraId="364978C9" w14:textId="0B5ED4C8"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Environmental Conscious</w:t>
            </w:r>
            <w:r w:rsidR="005E3769">
              <w:rPr>
                <w:rFonts w:eastAsia="Times New Roman" w:cs="Times New Roman"/>
                <w:kern w:val="0"/>
                <w:sz w:val="20"/>
                <w:szCs w:val="20"/>
                <w:lang w:eastAsia="zh-CN"/>
                <w14:ligatures w14:val="none"/>
              </w:rPr>
              <w:t>………………………………………………...</w:t>
            </w:r>
          </w:p>
        </w:tc>
        <w:tc>
          <w:tcPr>
            <w:tcW w:w="503" w:type="dxa"/>
            <w:noWrap/>
            <w:vAlign w:val="bottom"/>
            <w:hideMark/>
          </w:tcPr>
          <w:p w14:paraId="3BAB8B77"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14</w:t>
            </w:r>
          </w:p>
        </w:tc>
      </w:tr>
      <w:tr w:rsidR="00C82A95" w:rsidRPr="00C82A95" w14:paraId="0E57CF6B" w14:textId="77777777" w:rsidTr="00020E83">
        <w:trPr>
          <w:trHeight w:val="366"/>
        </w:trPr>
        <w:tc>
          <w:tcPr>
            <w:tcW w:w="1353" w:type="dxa"/>
            <w:noWrap/>
            <w:vAlign w:val="bottom"/>
            <w:hideMark/>
          </w:tcPr>
          <w:p w14:paraId="35D1ED7B"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2.3.1</w:t>
            </w:r>
          </w:p>
        </w:tc>
        <w:tc>
          <w:tcPr>
            <w:tcW w:w="7420" w:type="dxa"/>
            <w:noWrap/>
            <w:vAlign w:val="bottom"/>
            <w:hideMark/>
          </w:tcPr>
          <w:p w14:paraId="5190614C" w14:textId="3E6A6A3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Sustainability</w:t>
            </w:r>
            <w:r w:rsidR="005E3769">
              <w:rPr>
                <w:rFonts w:eastAsia="Times New Roman" w:cs="Times New Roman"/>
                <w:kern w:val="0"/>
                <w:sz w:val="20"/>
                <w:szCs w:val="20"/>
                <w:lang w:eastAsia="zh-CN"/>
                <w14:ligatures w14:val="none"/>
              </w:rPr>
              <w:t>…………………………………………………………………</w:t>
            </w:r>
          </w:p>
        </w:tc>
        <w:tc>
          <w:tcPr>
            <w:tcW w:w="503" w:type="dxa"/>
            <w:noWrap/>
            <w:vAlign w:val="bottom"/>
            <w:hideMark/>
          </w:tcPr>
          <w:p w14:paraId="2AF183B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16</w:t>
            </w:r>
          </w:p>
        </w:tc>
      </w:tr>
      <w:tr w:rsidR="00C82A95" w:rsidRPr="00C82A95" w14:paraId="73892DDE" w14:textId="77777777" w:rsidTr="00020E83">
        <w:trPr>
          <w:trHeight w:val="366"/>
        </w:trPr>
        <w:tc>
          <w:tcPr>
            <w:tcW w:w="1353" w:type="dxa"/>
            <w:noWrap/>
            <w:vAlign w:val="bottom"/>
            <w:hideMark/>
          </w:tcPr>
          <w:p w14:paraId="59BCE29C"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2.3.2</w:t>
            </w:r>
          </w:p>
        </w:tc>
        <w:tc>
          <w:tcPr>
            <w:tcW w:w="7420" w:type="dxa"/>
            <w:noWrap/>
            <w:vAlign w:val="bottom"/>
            <w:hideMark/>
          </w:tcPr>
          <w:p w14:paraId="3E4E50FD" w14:textId="2D27D86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Sustainability</w:t>
            </w:r>
            <w:r w:rsidR="005E3769">
              <w:rPr>
                <w:rFonts w:eastAsia="Times New Roman" w:cs="Times New Roman"/>
                <w:kern w:val="0"/>
                <w:sz w:val="20"/>
                <w:szCs w:val="20"/>
                <w:lang w:eastAsia="zh-CN"/>
                <w14:ligatures w14:val="none"/>
              </w:rPr>
              <w:t>……………………………………………………………..</w:t>
            </w:r>
          </w:p>
        </w:tc>
        <w:tc>
          <w:tcPr>
            <w:tcW w:w="503" w:type="dxa"/>
            <w:noWrap/>
            <w:vAlign w:val="bottom"/>
            <w:hideMark/>
          </w:tcPr>
          <w:p w14:paraId="5D85DD57"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17</w:t>
            </w:r>
          </w:p>
        </w:tc>
      </w:tr>
      <w:tr w:rsidR="00C82A95" w:rsidRPr="00C82A95" w14:paraId="07ACBB8B" w14:textId="77777777" w:rsidTr="00020E83">
        <w:trPr>
          <w:trHeight w:val="366"/>
        </w:trPr>
        <w:tc>
          <w:tcPr>
            <w:tcW w:w="1353" w:type="dxa"/>
            <w:noWrap/>
            <w:vAlign w:val="bottom"/>
            <w:hideMark/>
          </w:tcPr>
          <w:p w14:paraId="70B180A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2.4.1</w:t>
            </w:r>
          </w:p>
        </w:tc>
        <w:tc>
          <w:tcPr>
            <w:tcW w:w="7420" w:type="dxa"/>
            <w:noWrap/>
            <w:vAlign w:val="bottom"/>
            <w:hideMark/>
          </w:tcPr>
          <w:p w14:paraId="64A07861" w14:textId="35FD5A4E"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Definition of Brand Trust</w:t>
            </w:r>
            <w:r w:rsidR="005E3769">
              <w:rPr>
                <w:rFonts w:eastAsia="Times New Roman" w:cs="Times New Roman"/>
                <w:kern w:val="0"/>
                <w:sz w:val="20"/>
                <w:szCs w:val="20"/>
                <w:lang w:eastAsia="zh-CN"/>
                <w14:ligatures w14:val="none"/>
              </w:rPr>
              <w:t>…………………………………………………………………..</w:t>
            </w:r>
          </w:p>
        </w:tc>
        <w:tc>
          <w:tcPr>
            <w:tcW w:w="503" w:type="dxa"/>
            <w:noWrap/>
            <w:vAlign w:val="bottom"/>
            <w:hideMark/>
          </w:tcPr>
          <w:p w14:paraId="7B36FD9F"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19</w:t>
            </w:r>
          </w:p>
        </w:tc>
      </w:tr>
      <w:tr w:rsidR="00C82A95" w:rsidRPr="00C82A95" w14:paraId="28D1F957" w14:textId="77777777" w:rsidTr="00020E83">
        <w:trPr>
          <w:trHeight w:val="366"/>
        </w:trPr>
        <w:tc>
          <w:tcPr>
            <w:tcW w:w="1353" w:type="dxa"/>
            <w:noWrap/>
            <w:vAlign w:val="bottom"/>
            <w:hideMark/>
          </w:tcPr>
          <w:p w14:paraId="08A383DD"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2.4,2</w:t>
            </w:r>
          </w:p>
        </w:tc>
        <w:tc>
          <w:tcPr>
            <w:tcW w:w="7420" w:type="dxa"/>
            <w:noWrap/>
            <w:vAlign w:val="bottom"/>
            <w:hideMark/>
          </w:tcPr>
          <w:p w14:paraId="040669E4" w14:textId="5D5C5A07"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Measurement of Brand Trust</w:t>
            </w:r>
            <w:r w:rsidR="005E3769">
              <w:rPr>
                <w:rFonts w:eastAsia="Times New Roman" w:cs="Times New Roman"/>
                <w:kern w:val="0"/>
                <w:sz w:val="20"/>
                <w:szCs w:val="20"/>
                <w:lang w:eastAsia="zh-CN"/>
                <w14:ligatures w14:val="none"/>
              </w:rPr>
              <w:t>……………………………………………………………….</w:t>
            </w:r>
          </w:p>
        </w:tc>
        <w:tc>
          <w:tcPr>
            <w:tcW w:w="503" w:type="dxa"/>
            <w:noWrap/>
            <w:vAlign w:val="bottom"/>
            <w:hideMark/>
          </w:tcPr>
          <w:p w14:paraId="0518F093"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20</w:t>
            </w:r>
          </w:p>
        </w:tc>
      </w:tr>
      <w:tr w:rsidR="00C82A95" w:rsidRPr="00C82A95" w14:paraId="4D17F59B" w14:textId="77777777" w:rsidTr="00020E83">
        <w:trPr>
          <w:trHeight w:val="366"/>
        </w:trPr>
        <w:tc>
          <w:tcPr>
            <w:tcW w:w="1353" w:type="dxa"/>
            <w:noWrap/>
            <w:vAlign w:val="bottom"/>
            <w:hideMark/>
          </w:tcPr>
          <w:p w14:paraId="1A575274"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3.3</w:t>
            </w:r>
          </w:p>
        </w:tc>
        <w:tc>
          <w:tcPr>
            <w:tcW w:w="7420" w:type="dxa"/>
            <w:noWrap/>
            <w:vAlign w:val="bottom"/>
            <w:hideMark/>
          </w:tcPr>
          <w:p w14:paraId="2302E96F" w14:textId="5095C24F"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Hypotheses of relationships between variables</w:t>
            </w:r>
            <w:r w:rsidR="005E3769">
              <w:rPr>
                <w:rFonts w:eastAsia="Times New Roman" w:cs="Times New Roman"/>
                <w:kern w:val="0"/>
                <w:sz w:val="20"/>
                <w:szCs w:val="20"/>
                <w:lang w:eastAsia="zh-CN"/>
                <w14:ligatures w14:val="none"/>
              </w:rPr>
              <w:t>…………………………………………….</w:t>
            </w:r>
          </w:p>
        </w:tc>
        <w:tc>
          <w:tcPr>
            <w:tcW w:w="503" w:type="dxa"/>
            <w:noWrap/>
            <w:vAlign w:val="bottom"/>
            <w:hideMark/>
          </w:tcPr>
          <w:p w14:paraId="41C21121"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26</w:t>
            </w:r>
          </w:p>
        </w:tc>
      </w:tr>
      <w:tr w:rsidR="00C82A95" w:rsidRPr="00C82A95" w14:paraId="7D7F92E8" w14:textId="77777777" w:rsidTr="00020E83">
        <w:trPr>
          <w:trHeight w:val="366"/>
        </w:trPr>
        <w:tc>
          <w:tcPr>
            <w:tcW w:w="1353" w:type="dxa"/>
            <w:noWrap/>
            <w:vAlign w:val="bottom"/>
            <w:hideMark/>
          </w:tcPr>
          <w:p w14:paraId="2B36144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3.6.1</w:t>
            </w:r>
          </w:p>
        </w:tc>
        <w:tc>
          <w:tcPr>
            <w:tcW w:w="7420" w:type="dxa"/>
            <w:noWrap/>
            <w:vAlign w:val="bottom"/>
            <w:hideMark/>
          </w:tcPr>
          <w:p w14:paraId="54B3A607" w14:textId="0427DEB3"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Descriptive Data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0AF53F06"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29</w:t>
            </w:r>
          </w:p>
        </w:tc>
      </w:tr>
      <w:tr w:rsidR="00C82A95" w:rsidRPr="00C82A95" w14:paraId="2870F257" w14:textId="77777777" w:rsidTr="00020E83">
        <w:trPr>
          <w:trHeight w:val="366"/>
        </w:trPr>
        <w:tc>
          <w:tcPr>
            <w:tcW w:w="1353" w:type="dxa"/>
            <w:noWrap/>
            <w:vAlign w:val="bottom"/>
            <w:hideMark/>
          </w:tcPr>
          <w:p w14:paraId="2233C44C"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3.6.2</w:t>
            </w:r>
          </w:p>
        </w:tc>
        <w:tc>
          <w:tcPr>
            <w:tcW w:w="7420" w:type="dxa"/>
            <w:noWrap/>
            <w:vAlign w:val="bottom"/>
            <w:hideMark/>
          </w:tcPr>
          <w:p w14:paraId="36FE4E62" w14:textId="7D2230A7"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Reliability Test Result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5511D6F9"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30</w:t>
            </w:r>
          </w:p>
        </w:tc>
      </w:tr>
      <w:tr w:rsidR="00C82A95" w:rsidRPr="00C82A95" w14:paraId="59A94457" w14:textId="77777777" w:rsidTr="00020E83">
        <w:trPr>
          <w:trHeight w:val="366"/>
        </w:trPr>
        <w:tc>
          <w:tcPr>
            <w:tcW w:w="1353" w:type="dxa"/>
            <w:noWrap/>
            <w:vAlign w:val="bottom"/>
            <w:hideMark/>
          </w:tcPr>
          <w:p w14:paraId="100DABF4"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3.6.3</w:t>
            </w:r>
          </w:p>
        </w:tc>
        <w:tc>
          <w:tcPr>
            <w:tcW w:w="7420" w:type="dxa"/>
            <w:noWrap/>
            <w:vAlign w:val="bottom"/>
            <w:hideMark/>
          </w:tcPr>
          <w:p w14:paraId="778A79E4" w14:textId="48EE8CF4"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Pearson's Correlation Coefficient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16732042"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30</w:t>
            </w:r>
          </w:p>
        </w:tc>
      </w:tr>
      <w:tr w:rsidR="00C82A95" w:rsidRPr="00C82A95" w14:paraId="655AF3DE" w14:textId="77777777" w:rsidTr="00020E83">
        <w:trPr>
          <w:trHeight w:val="366"/>
        </w:trPr>
        <w:tc>
          <w:tcPr>
            <w:tcW w:w="1353" w:type="dxa"/>
            <w:noWrap/>
            <w:vAlign w:val="bottom"/>
            <w:hideMark/>
          </w:tcPr>
          <w:p w14:paraId="4DAF9891"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3.6.4</w:t>
            </w:r>
          </w:p>
        </w:tc>
        <w:tc>
          <w:tcPr>
            <w:tcW w:w="7420" w:type="dxa"/>
            <w:noWrap/>
            <w:vAlign w:val="bottom"/>
            <w:hideMark/>
          </w:tcPr>
          <w:p w14:paraId="647CE025" w14:textId="749A2AE1"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Regression Analysis Interpretation</w:t>
            </w:r>
            <w:r w:rsidR="005E3769">
              <w:rPr>
                <w:rFonts w:eastAsia="Times New Roman" w:cs="Times New Roman"/>
                <w:kern w:val="0"/>
                <w:sz w:val="20"/>
                <w:szCs w:val="20"/>
                <w:lang w:eastAsia="zh-CN"/>
                <w14:ligatures w14:val="none"/>
              </w:rPr>
              <w:t>…………………………………………………………</w:t>
            </w:r>
          </w:p>
        </w:tc>
        <w:tc>
          <w:tcPr>
            <w:tcW w:w="503" w:type="dxa"/>
            <w:noWrap/>
            <w:vAlign w:val="bottom"/>
            <w:hideMark/>
          </w:tcPr>
          <w:p w14:paraId="25AFD3B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31</w:t>
            </w:r>
          </w:p>
        </w:tc>
      </w:tr>
      <w:tr w:rsidR="00C82A95" w:rsidRPr="00C82A95" w14:paraId="4A01C979" w14:textId="77777777" w:rsidTr="00020E83">
        <w:trPr>
          <w:trHeight w:val="366"/>
        </w:trPr>
        <w:tc>
          <w:tcPr>
            <w:tcW w:w="1353" w:type="dxa"/>
            <w:noWrap/>
            <w:vAlign w:val="bottom"/>
            <w:hideMark/>
          </w:tcPr>
          <w:p w14:paraId="6D4A6F4D"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3.7.1</w:t>
            </w:r>
          </w:p>
        </w:tc>
        <w:tc>
          <w:tcPr>
            <w:tcW w:w="7420" w:type="dxa"/>
            <w:noWrap/>
            <w:vAlign w:val="bottom"/>
            <w:hideMark/>
          </w:tcPr>
          <w:p w14:paraId="5B9CCD24" w14:textId="39E09F4E"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Pilot Test Questionnaire</w:t>
            </w:r>
            <w:r w:rsidR="005E3769">
              <w:rPr>
                <w:rFonts w:eastAsia="Times New Roman" w:cs="Times New Roman"/>
                <w:kern w:val="0"/>
                <w:sz w:val="20"/>
                <w:szCs w:val="20"/>
                <w:lang w:eastAsia="zh-CN"/>
                <w14:ligatures w14:val="none"/>
              </w:rPr>
              <w:t>……………………………………………………………………</w:t>
            </w:r>
          </w:p>
        </w:tc>
        <w:tc>
          <w:tcPr>
            <w:tcW w:w="503" w:type="dxa"/>
            <w:noWrap/>
            <w:vAlign w:val="bottom"/>
            <w:hideMark/>
          </w:tcPr>
          <w:p w14:paraId="2976B4C6"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32</w:t>
            </w:r>
          </w:p>
        </w:tc>
      </w:tr>
      <w:tr w:rsidR="00C82A95" w:rsidRPr="00C82A95" w14:paraId="3B47D391" w14:textId="77777777" w:rsidTr="00020E83">
        <w:trPr>
          <w:trHeight w:val="366"/>
        </w:trPr>
        <w:tc>
          <w:tcPr>
            <w:tcW w:w="1353" w:type="dxa"/>
            <w:noWrap/>
            <w:vAlign w:val="bottom"/>
            <w:hideMark/>
          </w:tcPr>
          <w:p w14:paraId="419B13FA"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3.7.2</w:t>
            </w:r>
          </w:p>
        </w:tc>
        <w:tc>
          <w:tcPr>
            <w:tcW w:w="7420" w:type="dxa"/>
            <w:noWrap/>
            <w:vAlign w:val="bottom"/>
            <w:hideMark/>
          </w:tcPr>
          <w:p w14:paraId="755A42AC" w14:textId="0F11930A"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Pilot Test Reliability Test Result</w:t>
            </w:r>
            <w:r w:rsidR="005E3769">
              <w:rPr>
                <w:rFonts w:eastAsia="Times New Roman" w:cs="Times New Roman"/>
                <w:kern w:val="0"/>
                <w:sz w:val="20"/>
                <w:szCs w:val="20"/>
                <w:lang w:eastAsia="zh-CN"/>
                <w14:ligatures w14:val="none"/>
              </w:rPr>
              <w:t>…………………………………………………………...</w:t>
            </w:r>
          </w:p>
        </w:tc>
        <w:tc>
          <w:tcPr>
            <w:tcW w:w="503" w:type="dxa"/>
            <w:noWrap/>
            <w:vAlign w:val="bottom"/>
            <w:hideMark/>
          </w:tcPr>
          <w:p w14:paraId="22BCAD0F"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33</w:t>
            </w:r>
          </w:p>
        </w:tc>
      </w:tr>
      <w:tr w:rsidR="00C82A95" w:rsidRPr="00C82A95" w14:paraId="3933F5D3" w14:textId="77777777" w:rsidTr="00020E83">
        <w:trPr>
          <w:trHeight w:val="366"/>
        </w:trPr>
        <w:tc>
          <w:tcPr>
            <w:tcW w:w="1353" w:type="dxa"/>
            <w:noWrap/>
            <w:vAlign w:val="bottom"/>
            <w:hideMark/>
          </w:tcPr>
          <w:p w14:paraId="4D8C4794"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3.7.3.1</w:t>
            </w:r>
          </w:p>
        </w:tc>
        <w:tc>
          <w:tcPr>
            <w:tcW w:w="7420" w:type="dxa"/>
            <w:noWrap/>
            <w:vAlign w:val="bottom"/>
            <w:hideMark/>
          </w:tcPr>
          <w:p w14:paraId="19A2D3CE" w14:textId="704EEA7A"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Questionnaire comparison of initial and final</w:t>
            </w:r>
            <w:r w:rsidR="005E3769">
              <w:rPr>
                <w:rFonts w:eastAsia="Times New Roman" w:cs="Times New Roman"/>
                <w:kern w:val="0"/>
                <w:sz w:val="20"/>
                <w:szCs w:val="20"/>
                <w:lang w:eastAsia="zh-CN"/>
                <w14:ligatures w14:val="none"/>
              </w:rPr>
              <w:t>………………………………………………</w:t>
            </w:r>
          </w:p>
        </w:tc>
        <w:tc>
          <w:tcPr>
            <w:tcW w:w="503" w:type="dxa"/>
            <w:noWrap/>
            <w:vAlign w:val="bottom"/>
            <w:hideMark/>
          </w:tcPr>
          <w:p w14:paraId="16A453E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34</w:t>
            </w:r>
          </w:p>
        </w:tc>
      </w:tr>
      <w:tr w:rsidR="00C82A95" w:rsidRPr="00C82A95" w14:paraId="17AA8BDB" w14:textId="77777777" w:rsidTr="00020E83">
        <w:trPr>
          <w:trHeight w:val="366"/>
        </w:trPr>
        <w:tc>
          <w:tcPr>
            <w:tcW w:w="1353" w:type="dxa"/>
            <w:noWrap/>
            <w:vAlign w:val="bottom"/>
            <w:hideMark/>
          </w:tcPr>
          <w:p w14:paraId="196A73E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3.7.3.2</w:t>
            </w:r>
          </w:p>
        </w:tc>
        <w:tc>
          <w:tcPr>
            <w:tcW w:w="7420" w:type="dxa"/>
            <w:noWrap/>
            <w:vAlign w:val="bottom"/>
            <w:hideMark/>
          </w:tcPr>
          <w:p w14:paraId="23EC1226" w14:textId="15B65618"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Pilot Test Reliability Test Comparison after deleted questions</w:t>
            </w:r>
            <w:r w:rsidR="005E3769">
              <w:rPr>
                <w:rFonts w:eastAsia="Times New Roman" w:cs="Times New Roman"/>
                <w:kern w:val="0"/>
                <w:sz w:val="20"/>
                <w:szCs w:val="20"/>
                <w:lang w:eastAsia="zh-CN"/>
                <w14:ligatures w14:val="none"/>
              </w:rPr>
              <w:t>…………………………….</w:t>
            </w:r>
          </w:p>
        </w:tc>
        <w:tc>
          <w:tcPr>
            <w:tcW w:w="503" w:type="dxa"/>
            <w:noWrap/>
            <w:vAlign w:val="bottom"/>
            <w:hideMark/>
          </w:tcPr>
          <w:p w14:paraId="3280F101"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35</w:t>
            </w:r>
          </w:p>
        </w:tc>
      </w:tr>
      <w:tr w:rsidR="00C82A95" w:rsidRPr="00C82A95" w14:paraId="3A925DA9" w14:textId="77777777" w:rsidTr="00020E83">
        <w:trPr>
          <w:trHeight w:val="366"/>
        </w:trPr>
        <w:tc>
          <w:tcPr>
            <w:tcW w:w="1353" w:type="dxa"/>
            <w:noWrap/>
            <w:vAlign w:val="bottom"/>
            <w:hideMark/>
          </w:tcPr>
          <w:p w14:paraId="04C417E5"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4.2.1</w:t>
            </w:r>
          </w:p>
        </w:tc>
        <w:tc>
          <w:tcPr>
            <w:tcW w:w="7420" w:type="dxa"/>
            <w:noWrap/>
            <w:vAlign w:val="bottom"/>
            <w:hideMark/>
          </w:tcPr>
          <w:p w14:paraId="71D55CAB" w14:textId="2A1FD47A"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Respondents Demographic Comparison with HK Government Data</w:t>
            </w:r>
            <w:r w:rsidR="005E3769">
              <w:rPr>
                <w:rFonts w:eastAsia="Times New Roman" w:cs="Times New Roman"/>
                <w:kern w:val="0"/>
                <w:sz w:val="20"/>
                <w:szCs w:val="20"/>
                <w:lang w:eastAsia="zh-CN"/>
                <w14:ligatures w14:val="none"/>
              </w:rPr>
              <w:t>……………………...</w:t>
            </w:r>
          </w:p>
        </w:tc>
        <w:tc>
          <w:tcPr>
            <w:tcW w:w="503" w:type="dxa"/>
            <w:noWrap/>
            <w:vAlign w:val="bottom"/>
            <w:hideMark/>
          </w:tcPr>
          <w:p w14:paraId="2150F9F8"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38</w:t>
            </w:r>
          </w:p>
        </w:tc>
      </w:tr>
      <w:tr w:rsidR="00C82A95" w:rsidRPr="00C82A95" w14:paraId="713EF880" w14:textId="77777777" w:rsidTr="00020E83">
        <w:trPr>
          <w:trHeight w:val="366"/>
        </w:trPr>
        <w:tc>
          <w:tcPr>
            <w:tcW w:w="1353" w:type="dxa"/>
            <w:noWrap/>
            <w:vAlign w:val="bottom"/>
            <w:hideMark/>
          </w:tcPr>
          <w:p w14:paraId="1C1FE993"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4.2.2</w:t>
            </w:r>
          </w:p>
        </w:tc>
        <w:tc>
          <w:tcPr>
            <w:tcW w:w="7420" w:type="dxa"/>
            <w:noWrap/>
            <w:vAlign w:val="bottom"/>
            <w:hideMark/>
          </w:tcPr>
          <w:p w14:paraId="0F506354" w14:textId="6EF0FE0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Respondents Age Group Overview &amp; Comparison with HK Government Data</w:t>
            </w:r>
            <w:r w:rsidR="005E3769">
              <w:rPr>
                <w:rFonts w:eastAsia="Times New Roman" w:cs="Times New Roman"/>
                <w:kern w:val="0"/>
                <w:sz w:val="20"/>
                <w:szCs w:val="20"/>
                <w:lang w:eastAsia="zh-CN"/>
                <w14:ligatures w14:val="none"/>
              </w:rPr>
              <w:t>…………..</w:t>
            </w:r>
          </w:p>
        </w:tc>
        <w:tc>
          <w:tcPr>
            <w:tcW w:w="503" w:type="dxa"/>
            <w:noWrap/>
            <w:vAlign w:val="bottom"/>
            <w:hideMark/>
          </w:tcPr>
          <w:p w14:paraId="19FF4677"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38</w:t>
            </w:r>
          </w:p>
        </w:tc>
      </w:tr>
      <w:tr w:rsidR="00C82A95" w:rsidRPr="00C82A95" w14:paraId="0EBF901C" w14:textId="77777777" w:rsidTr="00020E83">
        <w:trPr>
          <w:trHeight w:val="366"/>
        </w:trPr>
        <w:tc>
          <w:tcPr>
            <w:tcW w:w="1353" w:type="dxa"/>
            <w:noWrap/>
            <w:vAlign w:val="bottom"/>
            <w:hideMark/>
          </w:tcPr>
          <w:p w14:paraId="17D04C53"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4.2.3</w:t>
            </w:r>
          </w:p>
        </w:tc>
        <w:tc>
          <w:tcPr>
            <w:tcW w:w="7420" w:type="dxa"/>
            <w:noWrap/>
            <w:vAlign w:val="bottom"/>
            <w:hideMark/>
          </w:tcPr>
          <w:p w14:paraId="2D0CCF84" w14:textId="05068C7B"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Respondents Education Level Overview &amp; Comparison with HK Government Data</w:t>
            </w:r>
            <w:r w:rsidR="005E3769">
              <w:rPr>
                <w:rFonts w:eastAsia="Times New Roman" w:cs="Times New Roman"/>
                <w:kern w:val="0"/>
                <w:sz w:val="20"/>
                <w:szCs w:val="20"/>
                <w:lang w:eastAsia="zh-CN"/>
                <w14:ligatures w14:val="none"/>
              </w:rPr>
              <w:t>……..</w:t>
            </w:r>
          </w:p>
        </w:tc>
        <w:tc>
          <w:tcPr>
            <w:tcW w:w="503" w:type="dxa"/>
            <w:noWrap/>
            <w:vAlign w:val="bottom"/>
            <w:hideMark/>
          </w:tcPr>
          <w:p w14:paraId="5F81B9B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39</w:t>
            </w:r>
          </w:p>
        </w:tc>
      </w:tr>
      <w:tr w:rsidR="00C82A95" w:rsidRPr="00C82A95" w14:paraId="3598AFB7" w14:textId="77777777" w:rsidTr="00020E83">
        <w:trPr>
          <w:trHeight w:val="366"/>
        </w:trPr>
        <w:tc>
          <w:tcPr>
            <w:tcW w:w="1353" w:type="dxa"/>
            <w:noWrap/>
            <w:vAlign w:val="bottom"/>
            <w:hideMark/>
          </w:tcPr>
          <w:p w14:paraId="66082CBB"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4.2.4</w:t>
            </w:r>
          </w:p>
        </w:tc>
        <w:tc>
          <w:tcPr>
            <w:tcW w:w="7420" w:type="dxa"/>
            <w:noWrap/>
            <w:vAlign w:val="bottom"/>
            <w:hideMark/>
          </w:tcPr>
          <w:p w14:paraId="62A8E25D" w14:textId="6D9DCCB9"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Monthly Personal Income Distribution of Respondents Compare to Hong Kong Population</w:t>
            </w:r>
            <w:r w:rsidR="005E3769">
              <w:rPr>
                <w:rFonts w:eastAsia="Times New Roman" w:cs="Times New Roman"/>
                <w:kern w:val="0"/>
                <w:sz w:val="20"/>
                <w:szCs w:val="20"/>
                <w:lang w:eastAsia="zh-CN"/>
                <w14:ligatures w14:val="none"/>
              </w:rPr>
              <w:t>…………………………………………………………………………………...</w:t>
            </w:r>
          </w:p>
        </w:tc>
        <w:tc>
          <w:tcPr>
            <w:tcW w:w="503" w:type="dxa"/>
            <w:noWrap/>
            <w:vAlign w:val="bottom"/>
            <w:hideMark/>
          </w:tcPr>
          <w:p w14:paraId="0401013A"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39</w:t>
            </w:r>
          </w:p>
        </w:tc>
      </w:tr>
      <w:tr w:rsidR="00C82A95" w:rsidRPr="00C82A95" w14:paraId="45E16C2C" w14:textId="77777777" w:rsidTr="00020E83">
        <w:trPr>
          <w:trHeight w:val="366"/>
        </w:trPr>
        <w:tc>
          <w:tcPr>
            <w:tcW w:w="1353" w:type="dxa"/>
            <w:noWrap/>
            <w:vAlign w:val="bottom"/>
            <w:hideMark/>
          </w:tcPr>
          <w:p w14:paraId="3D99C850"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4.3</w:t>
            </w:r>
          </w:p>
        </w:tc>
        <w:tc>
          <w:tcPr>
            <w:tcW w:w="7420" w:type="dxa"/>
            <w:noWrap/>
            <w:vAlign w:val="bottom"/>
            <w:hideMark/>
          </w:tcPr>
          <w:p w14:paraId="4FA66DD1" w14:textId="6A3E10E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Core Content Mean and Standard Deviation Overview</w:t>
            </w:r>
            <w:r w:rsidR="005E3769">
              <w:rPr>
                <w:rFonts w:eastAsia="Times New Roman" w:cs="Times New Roman"/>
                <w:kern w:val="0"/>
                <w:sz w:val="20"/>
                <w:szCs w:val="20"/>
                <w:lang w:eastAsia="zh-CN"/>
                <w14:ligatures w14:val="none"/>
              </w:rPr>
              <w:t>…………………………………….</w:t>
            </w:r>
          </w:p>
        </w:tc>
        <w:tc>
          <w:tcPr>
            <w:tcW w:w="503" w:type="dxa"/>
            <w:noWrap/>
            <w:vAlign w:val="bottom"/>
            <w:hideMark/>
          </w:tcPr>
          <w:p w14:paraId="3ECFD314"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41</w:t>
            </w:r>
          </w:p>
        </w:tc>
      </w:tr>
      <w:tr w:rsidR="00C82A95" w:rsidRPr="00C82A95" w14:paraId="1DBBD976" w14:textId="77777777" w:rsidTr="00020E83">
        <w:trPr>
          <w:trHeight w:val="366"/>
        </w:trPr>
        <w:tc>
          <w:tcPr>
            <w:tcW w:w="1353" w:type="dxa"/>
            <w:noWrap/>
            <w:vAlign w:val="bottom"/>
            <w:hideMark/>
          </w:tcPr>
          <w:p w14:paraId="73FFBFE1"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4.4</w:t>
            </w:r>
          </w:p>
        </w:tc>
        <w:tc>
          <w:tcPr>
            <w:tcW w:w="7420" w:type="dxa"/>
            <w:noWrap/>
            <w:vAlign w:val="bottom"/>
            <w:hideMark/>
          </w:tcPr>
          <w:p w14:paraId="35710A28" w14:textId="73223375"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Reliability Statistic Result</w:t>
            </w:r>
            <w:r w:rsidR="005E3769">
              <w:rPr>
                <w:rFonts w:eastAsia="Times New Roman" w:cs="Times New Roman"/>
                <w:kern w:val="0"/>
                <w:sz w:val="20"/>
                <w:szCs w:val="20"/>
                <w:lang w:eastAsia="zh-CN"/>
                <w14:ligatures w14:val="none"/>
              </w:rPr>
              <w:t>…………………………………………………………………..</w:t>
            </w:r>
          </w:p>
        </w:tc>
        <w:tc>
          <w:tcPr>
            <w:tcW w:w="503" w:type="dxa"/>
            <w:noWrap/>
            <w:vAlign w:val="bottom"/>
            <w:hideMark/>
          </w:tcPr>
          <w:p w14:paraId="4C9F7E44"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42</w:t>
            </w:r>
          </w:p>
        </w:tc>
      </w:tr>
      <w:tr w:rsidR="00C82A95" w:rsidRPr="00C82A95" w14:paraId="6B359A16" w14:textId="77777777" w:rsidTr="00020E83">
        <w:trPr>
          <w:trHeight w:val="366"/>
        </w:trPr>
        <w:tc>
          <w:tcPr>
            <w:tcW w:w="1353" w:type="dxa"/>
            <w:noWrap/>
            <w:vAlign w:val="bottom"/>
            <w:hideMark/>
          </w:tcPr>
          <w:p w14:paraId="4A9246C7"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4.5</w:t>
            </w:r>
          </w:p>
        </w:tc>
        <w:tc>
          <w:tcPr>
            <w:tcW w:w="7420" w:type="dxa"/>
            <w:noWrap/>
            <w:vAlign w:val="bottom"/>
            <w:hideMark/>
          </w:tcPr>
          <w:p w14:paraId="68B221FF" w14:textId="09E2A071"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Correlation between Variables</w:t>
            </w:r>
            <w:r w:rsidR="005E3769">
              <w:rPr>
                <w:rFonts w:eastAsia="Times New Roman" w:cs="Times New Roman"/>
                <w:kern w:val="0"/>
                <w:sz w:val="20"/>
                <w:szCs w:val="20"/>
                <w:lang w:eastAsia="zh-CN"/>
                <w14:ligatures w14:val="none"/>
              </w:rPr>
              <w:t>……………………………………………………………...</w:t>
            </w:r>
          </w:p>
        </w:tc>
        <w:tc>
          <w:tcPr>
            <w:tcW w:w="503" w:type="dxa"/>
            <w:noWrap/>
            <w:vAlign w:val="bottom"/>
            <w:hideMark/>
          </w:tcPr>
          <w:p w14:paraId="14CF2E72"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44</w:t>
            </w:r>
          </w:p>
        </w:tc>
      </w:tr>
      <w:tr w:rsidR="00C82A95" w:rsidRPr="00C82A95" w14:paraId="2FE686C1" w14:textId="77777777" w:rsidTr="00020E83">
        <w:trPr>
          <w:trHeight w:val="366"/>
        </w:trPr>
        <w:tc>
          <w:tcPr>
            <w:tcW w:w="1353" w:type="dxa"/>
            <w:noWrap/>
            <w:vAlign w:val="bottom"/>
            <w:hideMark/>
          </w:tcPr>
          <w:p w14:paraId="0265338F"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4.6.1</w:t>
            </w:r>
          </w:p>
        </w:tc>
        <w:tc>
          <w:tcPr>
            <w:tcW w:w="7420" w:type="dxa"/>
            <w:noWrap/>
            <w:vAlign w:val="bottom"/>
            <w:hideMark/>
          </w:tcPr>
          <w:p w14:paraId="7F77A846" w14:textId="487ED35E"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Regression Analysis Model Summary</w:t>
            </w:r>
            <w:r w:rsidR="005E3769">
              <w:rPr>
                <w:rFonts w:eastAsia="Times New Roman" w:cs="Times New Roman"/>
                <w:kern w:val="0"/>
                <w:sz w:val="20"/>
                <w:szCs w:val="20"/>
                <w:lang w:eastAsia="zh-CN"/>
                <w14:ligatures w14:val="none"/>
              </w:rPr>
              <w:t>……………………………………………………...</w:t>
            </w:r>
          </w:p>
        </w:tc>
        <w:tc>
          <w:tcPr>
            <w:tcW w:w="503" w:type="dxa"/>
            <w:noWrap/>
            <w:vAlign w:val="bottom"/>
            <w:hideMark/>
          </w:tcPr>
          <w:p w14:paraId="2C7F6F88"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45</w:t>
            </w:r>
          </w:p>
        </w:tc>
      </w:tr>
      <w:tr w:rsidR="00C82A95" w:rsidRPr="00C82A95" w14:paraId="3755A83C" w14:textId="77777777" w:rsidTr="00020E83">
        <w:trPr>
          <w:trHeight w:val="366"/>
        </w:trPr>
        <w:tc>
          <w:tcPr>
            <w:tcW w:w="1353" w:type="dxa"/>
            <w:noWrap/>
            <w:vAlign w:val="bottom"/>
            <w:hideMark/>
          </w:tcPr>
          <w:p w14:paraId="39CC657E"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4.6.2</w:t>
            </w:r>
          </w:p>
        </w:tc>
        <w:tc>
          <w:tcPr>
            <w:tcW w:w="7420" w:type="dxa"/>
            <w:noWrap/>
            <w:vAlign w:val="bottom"/>
            <w:hideMark/>
          </w:tcPr>
          <w:p w14:paraId="715E6245" w14:textId="4E7C3CF4"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ANOVA and Model Significance</w:t>
            </w:r>
            <w:r w:rsidR="005E3769">
              <w:rPr>
                <w:rFonts w:eastAsia="Times New Roman" w:cs="Times New Roman"/>
                <w:kern w:val="0"/>
                <w:sz w:val="20"/>
                <w:szCs w:val="20"/>
                <w:lang w:eastAsia="zh-CN"/>
                <w14:ligatures w14:val="none"/>
              </w:rPr>
              <w:t>…………………………………………………………..</w:t>
            </w:r>
          </w:p>
        </w:tc>
        <w:tc>
          <w:tcPr>
            <w:tcW w:w="503" w:type="dxa"/>
            <w:noWrap/>
            <w:vAlign w:val="bottom"/>
            <w:hideMark/>
          </w:tcPr>
          <w:p w14:paraId="4CECE68E"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45</w:t>
            </w:r>
          </w:p>
        </w:tc>
      </w:tr>
      <w:tr w:rsidR="00C82A95" w:rsidRPr="00C82A95" w14:paraId="26AF7E23" w14:textId="77777777" w:rsidTr="00020E83">
        <w:trPr>
          <w:trHeight w:val="366"/>
        </w:trPr>
        <w:tc>
          <w:tcPr>
            <w:tcW w:w="1353" w:type="dxa"/>
            <w:noWrap/>
            <w:vAlign w:val="bottom"/>
            <w:hideMark/>
          </w:tcPr>
          <w:p w14:paraId="6C23C6AF"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4.6.3</w:t>
            </w:r>
          </w:p>
        </w:tc>
        <w:tc>
          <w:tcPr>
            <w:tcW w:w="7420" w:type="dxa"/>
            <w:noWrap/>
            <w:vAlign w:val="bottom"/>
            <w:hideMark/>
          </w:tcPr>
          <w:p w14:paraId="338A0CF4" w14:textId="07B2AF39"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Coefficients Summary</w:t>
            </w:r>
            <w:r w:rsidR="005E3769">
              <w:rPr>
                <w:rFonts w:eastAsia="Times New Roman" w:cs="Times New Roman"/>
                <w:kern w:val="0"/>
                <w:sz w:val="20"/>
                <w:szCs w:val="20"/>
                <w:lang w:eastAsia="zh-CN"/>
                <w14:ligatures w14:val="none"/>
              </w:rPr>
              <w:t>………………………………………………………………………</w:t>
            </w:r>
          </w:p>
        </w:tc>
        <w:tc>
          <w:tcPr>
            <w:tcW w:w="503" w:type="dxa"/>
            <w:noWrap/>
            <w:vAlign w:val="bottom"/>
            <w:hideMark/>
          </w:tcPr>
          <w:p w14:paraId="521FBD56"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46</w:t>
            </w:r>
          </w:p>
        </w:tc>
      </w:tr>
      <w:tr w:rsidR="00C82A95" w:rsidRPr="00C82A95" w14:paraId="5C67264A" w14:textId="77777777" w:rsidTr="00020E83">
        <w:trPr>
          <w:trHeight w:val="366"/>
        </w:trPr>
        <w:tc>
          <w:tcPr>
            <w:tcW w:w="1353" w:type="dxa"/>
            <w:noWrap/>
            <w:vAlign w:val="bottom"/>
            <w:hideMark/>
          </w:tcPr>
          <w:p w14:paraId="3586BBCA"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4.6.4</w:t>
            </w:r>
          </w:p>
        </w:tc>
        <w:tc>
          <w:tcPr>
            <w:tcW w:w="7420" w:type="dxa"/>
            <w:noWrap/>
            <w:vAlign w:val="bottom"/>
            <w:hideMark/>
          </w:tcPr>
          <w:p w14:paraId="0CDEFB45" w14:textId="1AB691F9"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Collinearity Diagnostics</w:t>
            </w:r>
            <w:r w:rsidR="005E3769">
              <w:rPr>
                <w:rFonts w:eastAsia="Times New Roman" w:cs="Times New Roman"/>
                <w:kern w:val="0"/>
                <w:sz w:val="20"/>
                <w:szCs w:val="20"/>
                <w:lang w:eastAsia="zh-CN"/>
                <w14:ligatures w14:val="none"/>
              </w:rPr>
              <w:t>…………………………………………………………………….</w:t>
            </w:r>
          </w:p>
        </w:tc>
        <w:tc>
          <w:tcPr>
            <w:tcW w:w="503" w:type="dxa"/>
            <w:noWrap/>
            <w:vAlign w:val="bottom"/>
            <w:hideMark/>
          </w:tcPr>
          <w:p w14:paraId="615A3319"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47</w:t>
            </w:r>
          </w:p>
        </w:tc>
      </w:tr>
      <w:tr w:rsidR="00C82A95" w:rsidRPr="00C82A95" w14:paraId="554A947A" w14:textId="77777777" w:rsidTr="00020E83">
        <w:trPr>
          <w:trHeight w:val="366"/>
        </w:trPr>
        <w:tc>
          <w:tcPr>
            <w:tcW w:w="1353" w:type="dxa"/>
            <w:noWrap/>
            <w:vAlign w:val="bottom"/>
            <w:hideMark/>
          </w:tcPr>
          <w:p w14:paraId="7C34C769" w14:textId="77777777" w:rsidR="00C82A95" w:rsidRPr="00C82A95" w:rsidRDefault="00C82A95" w:rsidP="005E3769">
            <w:pPr>
              <w:rPr>
                <w:rFonts w:eastAsia="Times New Roman" w:cs="Times New Roman"/>
                <w:color w:val="000000"/>
                <w:kern w:val="0"/>
                <w:sz w:val="20"/>
                <w:szCs w:val="20"/>
                <w:lang w:eastAsia="zh-CN"/>
                <w14:ligatures w14:val="none"/>
              </w:rPr>
            </w:pPr>
            <w:r w:rsidRPr="00C82A95">
              <w:rPr>
                <w:rFonts w:eastAsia="Times New Roman" w:cs="Times New Roman"/>
                <w:color w:val="000000"/>
                <w:kern w:val="0"/>
                <w:sz w:val="20"/>
                <w:szCs w:val="20"/>
                <w:lang w:eastAsia="zh-CN"/>
                <w14:ligatures w14:val="none"/>
              </w:rPr>
              <w:t>Table 4.6.4</w:t>
            </w:r>
          </w:p>
        </w:tc>
        <w:tc>
          <w:tcPr>
            <w:tcW w:w="7420" w:type="dxa"/>
            <w:noWrap/>
            <w:vAlign w:val="bottom"/>
            <w:hideMark/>
          </w:tcPr>
          <w:p w14:paraId="0FD301E1" w14:textId="1F06A5D6" w:rsidR="00C82A95" w:rsidRPr="00C82A95" w:rsidRDefault="00C82A95" w:rsidP="005E3769">
            <w:pP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Residuals Statistic</w:t>
            </w:r>
            <w:r w:rsidR="005E3769">
              <w:rPr>
                <w:rFonts w:eastAsia="Times New Roman" w:cs="Times New Roman"/>
                <w:kern w:val="0"/>
                <w:sz w:val="20"/>
                <w:szCs w:val="20"/>
                <w:lang w:eastAsia="zh-CN"/>
                <w14:ligatures w14:val="none"/>
              </w:rPr>
              <w:t>…………………………………………………………………………..</w:t>
            </w:r>
          </w:p>
        </w:tc>
        <w:tc>
          <w:tcPr>
            <w:tcW w:w="503" w:type="dxa"/>
            <w:noWrap/>
            <w:vAlign w:val="bottom"/>
            <w:hideMark/>
          </w:tcPr>
          <w:p w14:paraId="2CFBDC99" w14:textId="77777777" w:rsidR="00C82A95" w:rsidRPr="00C82A95" w:rsidRDefault="00C82A95" w:rsidP="005E3769">
            <w:pPr>
              <w:jc w:val="center"/>
              <w:rPr>
                <w:rFonts w:eastAsia="Times New Roman" w:cs="Times New Roman"/>
                <w:kern w:val="0"/>
                <w:sz w:val="20"/>
                <w:szCs w:val="20"/>
                <w:lang w:eastAsia="zh-CN"/>
                <w14:ligatures w14:val="none"/>
              </w:rPr>
            </w:pPr>
            <w:r w:rsidRPr="00C82A95">
              <w:rPr>
                <w:rFonts w:eastAsia="Times New Roman" w:cs="Times New Roman"/>
                <w:kern w:val="0"/>
                <w:sz w:val="20"/>
                <w:szCs w:val="20"/>
                <w:lang w:eastAsia="zh-CN"/>
                <w14:ligatures w14:val="none"/>
              </w:rPr>
              <w:t>47</w:t>
            </w:r>
          </w:p>
        </w:tc>
      </w:tr>
    </w:tbl>
    <w:p w14:paraId="4E8382C6" w14:textId="2B684C4E" w:rsidR="005C4A9D" w:rsidRDefault="00E31A41" w:rsidP="00F52A53">
      <w:pPr>
        <w:spacing w:line="240" w:lineRule="auto"/>
        <w:rPr>
          <w:rFonts w:eastAsiaTheme="majorEastAsia" w:cs="Times New Roman"/>
          <w:szCs w:val="22"/>
        </w:rPr>
      </w:pPr>
      <w:r w:rsidRPr="008614DF">
        <w:rPr>
          <w:rFonts w:eastAsiaTheme="majorEastAsia" w:cs="Times New Roman"/>
          <w:szCs w:val="22"/>
        </w:rPr>
        <w:br w:type="page"/>
      </w:r>
    </w:p>
    <w:p w14:paraId="1FD69D0A" w14:textId="1CA8531B" w:rsidR="005C4A9D" w:rsidRDefault="005C4A9D">
      <w:pPr>
        <w:rPr>
          <w:rFonts w:eastAsiaTheme="majorEastAsia" w:cs="Times New Roman"/>
          <w:b/>
          <w:szCs w:val="22"/>
        </w:rPr>
        <w:sectPr w:rsidR="005C4A9D" w:rsidSect="008E5F38">
          <w:footerReference w:type="default" r:id="rId16"/>
          <w:pgSz w:w="12240" w:h="15840"/>
          <w:pgMar w:top="1440" w:right="1440" w:bottom="810" w:left="1440" w:header="720" w:footer="720" w:gutter="0"/>
          <w:pgNumType w:fmt="lowerRoman"/>
          <w:cols w:space="720"/>
          <w:docGrid w:linePitch="360"/>
        </w:sectPr>
      </w:pPr>
    </w:p>
    <w:p w14:paraId="2D6B2638" w14:textId="262D40A7" w:rsidR="002D0E69" w:rsidRPr="00915260" w:rsidRDefault="002D0E69" w:rsidP="004F76CE">
      <w:pPr>
        <w:pStyle w:val="Heading"/>
        <w:numPr>
          <w:ilvl w:val="0"/>
          <w:numId w:val="5"/>
        </w:numPr>
        <w:spacing w:line="360" w:lineRule="auto"/>
        <w:jc w:val="both"/>
        <w:rPr>
          <w:rFonts w:cs="Times New Roman"/>
          <w:szCs w:val="28"/>
        </w:rPr>
      </w:pPr>
      <w:bookmarkStart w:id="8" w:name="_Toc213748893"/>
      <w:r w:rsidRPr="00915260">
        <w:rPr>
          <w:rFonts w:cs="Times New Roman"/>
          <w:szCs w:val="28"/>
        </w:rPr>
        <w:lastRenderedPageBreak/>
        <w:t>Introduction</w:t>
      </w:r>
      <w:bookmarkEnd w:id="5"/>
      <w:bookmarkEnd w:id="8"/>
    </w:p>
    <w:p w14:paraId="77762FB4" w14:textId="1829F1F5" w:rsidR="00677DEB" w:rsidRPr="00915260" w:rsidRDefault="008A7998" w:rsidP="004F76CE">
      <w:pPr>
        <w:spacing w:line="360" w:lineRule="auto"/>
        <w:jc w:val="both"/>
        <w:rPr>
          <w:rFonts w:cs="Times New Roman"/>
          <w:szCs w:val="22"/>
        </w:rPr>
      </w:pPr>
      <w:r w:rsidRPr="00915260">
        <w:rPr>
          <w:rFonts w:cs="Times New Roman"/>
          <w:szCs w:val="22"/>
        </w:rPr>
        <w:t xml:space="preserve">This chapter examines the global and Hong Kong instant coffee industries, analyzing trends, preferences, and competitive dynamics. It covers the study’s background, rationale, and relevance </w:t>
      </w:r>
      <w:r w:rsidR="007D3B2E" w:rsidRPr="00915260">
        <w:rPr>
          <w:rFonts w:cs="Times New Roman"/>
          <w:szCs w:val="22"/>
        </w:rPr>
        <w:t>considering</w:t>
      </w:r>
      <w:r w:rsidRPr="00915260">
        <w:rPr>
          <w:rFonts w:cs="Times New Roman"/>
          <w:szCs w:val="22"/>
        </w:rPr>
        <w:t xml:space="preserve"> evolving market demands. Research questions and objectives are stated, providing a framework for the investigation. The chapter concludes by outlining the potential contributions of this study, emphasizing how its findings could enhance business practices and strategies within the instant coffee sector.</w:t>
      </w:r>
    </w:p>
    <w:p w14:paraId="238CF2BB" w14:textId="77777777" w:rsidR="00971EFF" w:rsidRPr="00915260" w:rsidRDefault="00971EFF" w:rsidP="004F76CE">
      <w:pPr>
        <w:spacing w:line="360" w:lineRule="auto"/>
        <w:jc w:val="both"/>
        <w:rPr>
          <w:rFonts w:cs="Times New Roman"/>
          <w:szCs w:val="22"/>
        </w:rPr>
      </w:pPr>
    </w:p>
    <w:p w14:paraId="3CBD0678" w14:textId="71D1AC30" w:rsidR="0036005C" w:rsidRPr="00915260" w:rsidRDefault="00677DEB" w:rsidP="004F76CE">
      <w:pPr>
        <w:pStyle w:val="Heading2"/>
        <w:numPr>
          <w:ilvl w:val="1"/>
          <w:numId w:val="5"/>
        </w:numPr>
        <w:spacing w:line="360" w:lineRule="auto"/>
        <w:ind w:left="450"/>
        <w:rPr>
          <w:rFonts w:cs="Times New Roman"/>
          <w:b/>
          <w:bCs/>
          <w:sz w:val="22"/>
          <w:szCs w:val="22"/>
        </w:rPr>
      </w:pPr>
      <w:bookmarkStart w:id="9" w:name="_Toc209184643"/>
      <w:bookmarkStart w:id="10" w:name="_Toc213748894"/>
      <w:r w:rsidRPr="00915260">
        <w:rPr>
          <w:rFonts w:cs="Times New Roman"/>
          <w:b/>
          <w:bCs/>
          <w:sz w:val="22"/>
          <w:szCs w:val="22"/>
        </w:rPr>
        <w:t>R</w:t>
      </w:r>
      <w:r w:rsidR="0036005C" w:rsidRPr="00915260">
        <w:rPr>
          <w:rFonts w:cs="Times New Roman"/>
          <w:b/>
          <w:bCs/>
          <w:sz w:val="22"/>
          <w:szCs w:val="22"/>
        </w:rPr>
        <w:t xml:space="preserve">esearch </w:t>
      </w:r>
      <w:r w:rsidR="004062AB" w:rsidRPr="00915260">
        <w:rPr>
          <w:rFonts w:cs="Times New Roman"/>
          <w:b/>
          <w:bCs/>
          <w:sz w:val="22"/>
          <w:szCs w:val="22"/>
        </w:rPr>
        <w:t>B</w:t>
      </w:r>
      <w:r w:rsidR="0036005C" w:rsidRPr="00915260">
        <w:rPr>
          <w:rFonts w:cs="Times New Roman"/>
          <w:b/>
          <w:bCs/>
          <w:sz w:val="22"/>
          <w:szCs w:val="22"/>
        </w:rPr>
        <w:t>ackground</w:t>
      </w:r>
      <w:bookmarkEnd w:id="9"/>
      <w:bookmarkEnd w:id="10"/>
    </w:p>
    <w:p w14:paraId="51C0D444" w14:textId="0AB94F21" w:rsidR="005D3816" w:rsidRPr="00915260" w:rsidRDefault="0042100C" w:rsidP="0034291F">
      <w:pPr>
        <w:spacing w:line="360" w:lineRule="auto"/>
        <w:jc w:val="both"/>
        <w:rPr>
          <w:rFonts w:eastAsiaTheme="majorEastAsia" w:cs="Times New Roman"/>
          <w:szCs w:val="22"/>
        </w:rPr>
      </w:pPr>
      <w:r w:rsidRPr="0042100C">
        <w:rPr>
          <w:rFonts w:eastAsiaTheme="majorEastAsia" w:cs="Times New Roman"/>
          <w:szCs w:val="22"/>
        </w:rPr>
        <w:t xml:space="preserve">The global instant coffee industry continues to experience steady growth, driven by convenience-oriented consumption, rapid urbanization, and the evolution of coffee culture. </w:t>
      </w:r>
      <w:r w:rsidR="00A55EAC">
        <w:rPr>
          <w:rFonts w:eastAsiaTheme="majorEastAsia" w:cs="Times New Roman" w:hint="eastAsia"/>
          <w:szCs w:val="22"/>
        </w:rPr>
        <w:t xml:space="preserve">From Figure 1.1.1 show the global instant </w:t>
      </w:r>
      <w:r w:rsidR="00A55EAC">
        <w:rPr>
          <w:rFonts w:eastAsiaTheme="majorEastAsia" w:cs="Times New Roman"/>
          <w:szCs w:val="22"/>
        </w:rPr>
        <w:t>coffee</w:t>
      </w:r>
      <w:r w:rsidR="00A55EAC">
        <w:rPr>
          <w:rFonts w:eastAsiaTheme="majorEastAsia" w:cs="Times New Roman" w:hint="eastAsia"/>
          <w:szCs w:val="22"/>
        </w:rPr>
        <w:t xml:space="preserve"> market size </w:t>
      </w:r>
      <w:r w:rsidR="00582C1C">
        <w:rPr>
          <w:rFonts w:eastAsiaTheme="majorEastAsia" w:cs="Times New Roman" w:hint="eastAsia"/>
          <w:szCs w:val="22"/>
        </w:rPr>
        <w:t xml:space="preserve">is projected to reach USD </w:t>
      </w:r>
      <w:r w:rsidR="00CC02FA">
        <w:rPr>
          <w:rFonts w:eastAsiaTheme="majorEastAsia" w:cs="Times New Roman" w:hint="eastAsia"/>
          <w:szCs w:val="22"/>
        </w:rPr>
        <w:t>110.28</w:t>
      </w:r>
      <w:r w:rsidR="00582C1C">
        <w:rPr>
          <w:rFonts w:eastAsiaTheme="majorEastAsia" w:cs="Times New Roman" w:hint="eastAsia"/>
          <w:szCs w:val="22"/>
        </w:rPr>
        <w:t xml:space="preserve"> billion by 2030</w:t>
      </w:r>
      <w:r w:rsidR="00CC02FA">
        <w:rPr>
          <w:rFonts w:eastAsiaTheme="majorEastAsia" w:cs="Times New Roman" w:hint="eastAsia"/>
          <w:szCs w:val="22"/>
        </w:rPr>
        <w:t xml:space="preserve"> </w:t>
      </w:r>
      <w:r w:rsidRPr="0042100C">
        <w:rPr>
          <w:rFonts w:eastAsiaTheme="majorEastAsia" w:cs="Times New Roman"/>
          <w:szCs w:val="22"/>
        </w:rPr>
        <w:t>(CAGR 5</w:t>
      </w:r>
      <w:r w:rsidR="00A06F79">
        <w:rPr>
          <w:rFonts w:eastAsiaTheme="majorEastAsia" w:cs="Times New Roman" w:hint="eastAsia"/>
          <w:szCs w:val="22"/>
        </w:rPr>
        <w:t>.4</w:t>
      </w:r>
      <w:r w:rsidRPr="0042100C">
        <w:rPr>
          <w:rFonts w:eastAsiaTheme="majorEastAsia" w:cs="Times New Roman"/>
          <w:szCs w:val="22"/>
        </w:rPr>
        <w:t>%), supported by innovations in flavor, sustainability, and packaging technologies (Grand View Research, 2024). Enhanced sachet portability, “home café” aesthetics, and digital marketing integration have reshaped how consumers perceive instant coffee—from a functional commodity to a lifestyle-oriented product.</w:t>
      </w:r>
      <w:r w:rsidR="00207100">
        <w:rPr>
          <w:rFonts w:eastAsiaTheme="majorEastAsia" w:cs="Times New Roman"/>
          <w:szCs w:val="22"/>
        </w:rPr>
        <w:t xml:space="preserve"> According to Grand View Research (2024), t</w:t>
      </w:r>
      <w:r w:rsidR="00207100" w:rsidRPr="00207100">
        <w:rPr>
          <w:rFonts w:eastAsiaTheme="majorEastAsia" w:cs="Times New Roman"/>
          <w:szCs w:val="22"/>
        </w:rPr>
        <w:t>he report identifies “a significant increase in consumption of coffee by all age groups,” with a growing preference for instant coffee associated with health benefits, convenience, and quick preparation, especially among Gen Z and millennials. This reflects shifting consumer values toward “instant gratification” and health-conscious choices, which aligns with social media-driven purchasing and the focus on digital branding strategies.</w:t>
      </w:r>
    </w:p>
    <w:p w14:paraId="2508D841" w14:textId="030A161C" w:rsidR="00055E9B" w:rsidRPr="00915260" w:rsidRDefault="00702BA6" w:rsidP="003C1EA0">
      <w:pPr>
        <w:spacing w:line="360" w:lineRule="auto"/>
        <w:jc w:val="center"/>
        <w:rPr>
          <w:rFonts w:eastAsiaTheme="majorEastAsia" w:cs="Times New Roman"/>
          <w:szCs w:val="22"/>
        </w:rPr>
      </w:pPr>
      <w:r w:rsidRPr="00702BA6">
        <w:rPr>
          <w:rFonts w:eastAsiaTheme="majorEastAsia" w:cs="Times New Roman"/>
          <w:noProof/>
          <w:szCs w:val="22"/>
        </w:rPr>
        <w:drawing>
          <wp:inline distT="0" distB="0" distL="0" distR="0" wp14:anchorId="34FEE5E5" wp14:editId="2FDC6924">
            <wp:extent cx="4897999" cy="3260785"/>
            <wp:effectExtent l="0" t="0" r="0" b="0"/>
            <wp:docPr id="1495359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359564" name=""/>
                    <pic:cNvPicPr/>
                  </pic:nvPicPr>
                  <pic:blipFill>
                    <a:blip r:embed="rId17"/>
                    <a:stretch>
                      <a:fillRect/>
                    </a:stretch>
                  </pic:blipFill>
                  <pic:spPr>
                    <a:xfrm>
                      <a:off x="0" y="0"/>
                      <a:ext cx="4903356" cy="3264352"/>
                    </a:xfrm>
                    <a:prstGeom prst="rect">
                      <a:avLst/>
                    </a:prstGeom>
                  </pic:spPr>
                </pic:pic>
              </a:graphicData>
            </a:graphic>
          </wp:inline>
        </w:drawing>
      </w:r>
    </w:p>
    <w:p w14:paraId="52D30362" w14:textId="77777777" w:rsidR="005B5694" w:rsidRPr="00915260" w:rsidRDefault="005B5694" w:rsidP="005B5694">
      <w:pPr>
        <w:spacing w:line="360" w:lineRule="auto"/>
        <w:rPr>
          <w:rFonts w:eastAsiaTheme="majorEastAsia" w:cs="Times New Roman"/>
          <w:szCs w:val="22"/>
        </w:rPr>
      </w:pPr>
    </w:p>
    <w:p w14:paraId="0435A1F1" w14:textId="4C4A3DB1" w:rsidR="005B5694" w:rsidRDefault="006D06F5" w:rsidP="0060216A">
      <w:pPr>
        <w:spacing w:line="360" w:lineRule="auto"/>
        <w:jc w:val="both"/>
        <w:rPr>
          <w:rFonts w:eastAsiaTheme="majorEastAsia" w:cs="Times New Roman"/>
          <w:szCs w:val="22"/>
        </w:rPr>
      </w:pPr>
      <w:r>
        <w:rPr>
          <w:rFonts w:eastAsiaTheme="majorEastAsia" w:cs="Times New Roman"/>
          <w:szCs w:val="22"/>
        </w:rPr>
        <w:t>Figure 1.1.2 show t</w:t>
      </w:r>
      <w:r w:rsidR="00D54860" w:rsidRPr="00D54860">
        <w:rPr>
          <w:rFonts w:eastAsiaTheme="majorEastAsia" w:cs="Times New Roman"/>
          <w:szCs w:val="22"/>
        </w:rPr>
        <w:t>he at-home instant coffee market in Hong Kong is forecasted to grow at CAGR of approximately 1% from 2025 to 2030, reflecting a mature and stable market with incremental expansion. Leading global brands continue to dominate retail sales channels</w:t>
      </w:r>
      <w:r w:rsidR="00EF3E55">
        <w:rPr>
          <w:rFonts w:eastAsiaTheme="majorEastAsia" w:cs="Times New Roman"/>
          <w:szCs w:val="22"/>
        </w:rPr>
        <w:t xml:space="preserve"> like </w:t>
      </w:r>
      <w:r w:rsidR="00D54860" w:rsidRPr="00D54860">
        <w:rPr>
          <w:rFonts w:eastAsiaTheme="majorEastAsia" w:cs="Times New Roman"/>
          <w:szCs w:val="22"/>
        </w:rPr>
        <w:t>supermarkets, convenience stores, and eCommerce</w:t>
      </w:r>
      <w:r w:rsidR="00EF3E55">
        <w:rPr>
          <w:rFonts w:eastAsiaTheme="majorEastAsia" w:cs="Times New Roman"/>
          <w:szCs w:val="22"/>
        </w:rPr>
        <w:t xml:space="preserve">, </w:t>
      </w:r>
      <w:r w:rsidR="00D54860" w:rsidRPr="00D54860">
        <w:rPr>
          <w:rFonts w:eastAsiaTheme="majorEastAsia" w:cs="Times New Roman"/>
          <w:szCs w:val="22"/>
        </w:rPr>
        <w:t xml:space="preserve">where convenience and affordability drive steady demand among urban households </w:t>
      </w:r>
      <w:r w:rsidR="005E14AE" w:rsidRPr="005E14AE">
        <w:rPr>
          <w:rFonts w:eastAsiaTheme="majorEastAsia" w:cs="Times New Roman"/>
          <w:szCs w:val="22"/>
        </w:rPr>
        <w:t>(Statista, 2025).</w:t>
      </w:r>
      <w:r w:rsidR="005E14AE">
        <w:rPr>
          <w:rFonts w:eastAsiaTheme="majorEastAsia" w:cs="Times New Roman" w:hint="eastAsia"/>
          <w:szCs w:val="22"/>
        </w:rPr>
        <w:t xml:space="preserve"> </w:t>
      </w:r>
      <w:r w:rsidR="00C4178A">
        <w:rPr>
          <w:rFonts w:eastAsiaTheme="majorEastAsia" w:cs="Times New Roman" w:hint="eastAsia"/>
          <w:szCs w:val="22"/>
        </w:rPr>
        <w:t>I</w:t>
      </w:r>
      <w:r w:rsidR="009957C6" w:rsidRPr="009957C6">
        <w:rPr>
          <w:rFonts w:eastAsiaTheme="majorEastAsia" w:cs="Times New Roman"/>
          <w:szCs w:val="22"/>
        </w:rPr>
        <w:t>nstant coffee dominates the at-home consumption segment, aligning with post-pandemic lifestyle shifts emphasizing flexibility, self-care, and digital convenience. Despite a modest overall CAGR</w:t>
      </w:r>
      <w:r w:rsidR="00363082">
        <w:rPr>
          <w:rFonts w:eastAsiaTheme="majorEastAsia" w:cs="Times New Roman"/>
          <w:szCs w:val="22"/>
        </w:rPr>
        <w:t xml:space="preserve"> from Statista Marketing </w:t>
      </w:r>
      <w:r w:rsidR="007D3B2E">
        <w:rPr>
          <w:rFonts w:eastAsiaTheme="majorEastAsia" w:cs="Times New Roman"/>
          <w:szCs w:val="22"/>
        </w:rPr>
        <w:t>Insights,</w:t>
      </w:r>
      <w:r w:rsidR="009957C6" w:rsidRPr="009957C6">
        <w:rPr>
          <w:rFonts w:eastAsiaTheme="majorEastAsia" w:cs="Times New Roman"/>
          <w:szCs w:val="22"/>
        </w:rPr>
        <w:t xml:space="preserve"> the market remains highly profitable, supported by premiumization trends, such as instant blends infused with vitamins, reduced sugar, and sustainable packaging (Statista, 2025). </w:t>
      </w:r>
      <w:r w:rsidR="00E64128" w:rsidRPr="00E64128">
        <w:rPr>
          <w:rFonts w:eastAsiaTheme="majorEastAsia" w:cs="Times New Roman"/>
          <w:szCs w:val="22"/>
        </w:rPr>
        <w:t>Hong Kong’s instant coffee at-home segment reflects strong penetration in daily consumer routines</w:t>
      </w:r>
      <w:r w:rsidR="00C25FC5">
        <w:rPr>
          <w:rFonts w:eastAsiaTheme="majorEastAsia" w:cs="Times New Roman"/>
          <w:szCs w:val="22"/>
        </w:rPr>
        <w:t>. Data</w:t>
      </w:r>
      <w:r w:rsidR="009957C6" w:rsidRPr="009957C6">
        <w:rPr>
          <w:rFonts w:eastAsiaTheme="majorEastAsia" w:cs="Times New Roman"/>
          <w:szCs w:val="22"/>
        </w:rPr>
        <w:t xml:space="preserve"> from Hong Kong’s Census and Statistics Department (2024</w:t>
      </w:r>
      <w:r w:rsidR="00A14F0A">
        <w:rPr>
          <w:rFonts w:eastAsiaTheme="majorEastAsia" w:cs="Times New Roman"/>
          <w:szCs w:val="22"/>
        </w:rPr>
        <w:t>b</w:t>
      </w:r>
      <w:r w:rsidR="009957C6" w:rsidRPr="009957C6">
        <w:rPr>
          <w:rFonts w:eastAsiaTheme="majorEastAsia" w:cs="Times New Roman"/>
          <w:szCs w:val="22"/>
        </w:rPr>
        <w:t xml:space="preserve">) </w:t>
      </w:r>
      <w:r w:rsidR="00591CE0" w:rsidRPr="009957C6">
        <w:rPr>
          <w:rFonts w:eastAsiaTheme="majorEastAsia" w:cs="Times New Roman"/>
          <w:szCs w:val="22"/>
        </w:rPr>
        <w:t>show that</w:t>
      </w:r>
      <w:r w:rsidR="009957C6" w:rsidRPr="009957C6">
        <w:rPr>
          <w:rFonts w:eastAsiaTheme="majorEastAsia" w:cs="Times New Roman"/>
          <w:szCs w:val="22"/>
        </w:rPr>
        <w:t xml:space="preserve"> over 68% of adults consume coffee daily, with instant coffee accounting for more than 60% of at-home consumption. Consumers prioritize health benefits and time efficiency: approximately 52% associate instant coffee with wellness attributes, reflecting growing demand for balanced indulgence and sustainability awareness.</w:t>
      </w:r>
    </w:p>
    <w:p w14:paraId="3D0664B5" w14:textId="75CC9CB4" w:rsidR="009957C6" w:rsidRPr="00915260" w:rsidRDefault="009957C6" w:rsidP="0060216A">
      <w:pPr>
        <w:spacing w:line="360" w:lineRule="auto"/>
        <w:jc w:val="both"/>
        <w:rPr>
          <w:rFonts w:eastAsiaTheme="majorEastAsia" w:cs="Times New Roman"/>
          <w:szCs w:val="22"/>
        </w:rPr>
      </w:pPr>
      <w:r w:rsidRPr="009957C6">
        <w:rPr>
          <w:rFonts w:eastAsiaTheme="majorEastAsia" w:cs="Times New Roman"/>
          <w:szCs w:val="22"/>
        </w:rPr>
        <w:t>This dual emphasis</w:t>
      </w:r>
      <w:r w:rsidR="00480A0F">
        <w:rPr>
          <w:rFonts w:eastAsiaTheme="majorEastAsia" w:cs="Times New Roman"/>
          <w:szCs w:val="22"/>
        </w:rPr>
        <w:t xml:space="preserve"> o</w:t>
      </w:r>
      <w:r w:rsidRPr="009957C6">
        <w:rPr>
          <w:rFonts w:eastAsiaTheme="majorEastAsia" w:cs="Times New Roman"/>
          <w:szCs w:val="22"/>
        </w:rPr>
        <w:t xml:space="preserve">n health and </w:t>
      </w:r>
      <w:r w:rsidR="00591CE0" w:rsidRPr="009957C6">
        <w:rPr>
          <w:rFonts w:eastAsiaTheme="majorEastAsia" w:cs="Times New Roman"/>
          <w:szCs w:val="22"/>
        </w:rPr>
        <w:t>convenience</w:t>
      </w:r>
      <w:r w:rsidR="00480A0F">
        <w:rPr>
          <w:rFonts w:eastAsiaTheme="majorEastAsia" w:cs="Times New Roman"/>
          <w:szCs w:val="22"/>
        </w:rPr>
        <w:t xml:space="preserve"> </w:t>
      </w:r>
      <w:r w:rsidRPr="009957C6">
        <w:rPr>
          <w:rFonts w:eastAsiaTheme="majorEastAsia" w:cs="Times New Roman"/>
          <w:szCs w:val="22"/>
        </w:rPr>
        <w:t>creates strategic opportunities for brands such as Nestlé to leverage innovation, transparency, and social media communication to maintain trust and relevance in an increasingly competitive market.</w:t>
      </w:r>
    </w:p>
    <w:p w14:paraId="0FB32395" w14:textId="4FEC33DD" w:rsidR="00836673" w:rsidRDefault="00171087" w:rsidP="00836673">
      <w:pPr>
        <w:keepNext/>
        <w:spacing w:line="360" w:lineRule="auto"/>
        <w:jc w:val="center"/>
      </w:pPr>
      <w:r w:rsidRPr="00171087">
        <w:rPr>
          <w:noProof/>
        </w:rPr>
        <w:drawing>
          <wp:inline distT="0" distB="0" distL="0" distR="0" wp14:anchorId="338E8E30" wp14:editId="134F4EE4">
            <wp:extent cx="5355836" cy="3381555"/>
            <wp:effectExtent l="0" t="0" r="0" b="9525"/>
            <wp:docPr id="1164639242" name="Picture 1" descr="A graph with blue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639242" name="Picture 1" descr="A graph with blue lines and numbers&#10;&#10;AI-generated content may be incorrect."/>
                    <pic:cNvPicPr/>
                  </pic:nvPicPr>
                  <pic:blipFill>
                    <a:blip r:embed="rId18"/>
                    <a:stretch>
                      <a:fillRect/>
                    </a:stretch>
                  </pic:blipFill>
                  <pic:spPr>
                    <a:xfrm>
                      <a:off x="0" y="0"/>
                      <a:ext cx="5361163" cy="3384918"/>
                    </a:xfrm>
                    <a:prstGeom prst="rect">
                      <a:avLst/>
                    </a:prstGeom>
                  </pic:spPr>
                </pic:pic>
              </a:graphicData>
            </a:graphic>
          </wp:inline>
        </w:drawing>
      </w:r>
    </w:p>
    <w:p w14:paraId="43A42E25" w14:textId="406B4504" w:rsidR="00A20542" w:rsidRPr="00915260" w:rsidRDefault="00A20542">
      <w:pPr>
        <w:rPr>
          <w:rFonts w:eastAsiaTheme="majorEastAsia" w:cs="Times New Roman"/>
          <w:szCs w:val="22"/>
        </w:rPr>
      </w:pPr>
    </w:p>
    <w:p w14:paraId="19D97D3B" w14:textId="0D521F56" w:rsidR="00430C72" w:rsidRDefault="00484628" w:rsidP="008B5510">
      <w:pPr>
        <w:spacing w:line="360" w:lineRule="auto"/>
        <w:jc w:val="both"/>
        <w:rPr>
          <w:rFonts w:eastAsiaTheme="majorEastAsia" w:cs="Times New Roman"/>
          <w:szCs w:val="22"/>
        </w:rPr>
      </w:pPr>
      <w:r w:rsidRPr="00484628">
        <w:rPr>
          <w:rFonts w:eastAsiaTheme="majorEastAsia" w:cs="Times New Roman"/>
          <w:szCs w:val="22"/>
        </w:rPr>
        <w:t xml:space="preserve">Digitalization has profoundly transformed how Hong Kong consumers discover and evaluate fast-moving consumer goods. </w:t>
      </w:r>
      <w:r w:rsidR="00522C95">
        <w:rPr>
          <w:rFonts w:eastAsiaTheme="majorEastAsia" w:cs="Times New Roman"/>
          <w:szCs w:val="22"/>
        </w:rPr>
        <w:t>Figure 1.1.3</w:t>
      </w:r>
      <w:r w:rsidR="00284720">
        <w:rPr>
          <w:rFonts w:eastAsiaTheme="majorEastAsia" w:cs="Times New Roman"/>
          <w:szCs w:val="22"/>
        </w:rPr>
        <w:t xml:space="preserve"> show the s</w:t>
      </w:r>
      <w:r w:rsidR="00E86AE0" w:rsidRPr="00E86AE0">
        <w:rPr>
          <w:rFonts w:eastAsiaTheme="majorEastAsia" w:cs="Times New Roman"/>
          <w:szCs w:val="22"/>
        </w:rPr>
        <w:t xml:space="preserve">ocial media holds significant influence in Hong Kong, with 6.15 million user </w:t>
      </w:r>
      <w:r w:rsidR="00E86AE0" w:rsidRPr="00E86AE0">
        <w:rPr>
          <w:rFonts w:eastAsiaTheme="majorEastAsia" w:cs="Times New Roman"/>
          <w:szCs w:val="22"/>
        </w:rPr>
        <w:lastRenderedPageBreak/>
        <w:t>identities accounting for 83.1% of the population in February 2025. Adults demonstrate even higher engagement at 85.5%, and users actively participate across an average of 6.4 platforms each month. Despite a slight reduction in daily usage to 1 hour 42 minutes, the breadth of platform adoption and deep integration into everyday life underscore social media's vital role in both communication and commerce, shaping public opinion and consumer behavior across the city</w:t>
      </w:r>
      <w:r w:rsidR="00284720">
        <w:rPr>
          <w:rFonts w:eastAsiaTheme="majorEastAsia" w:cs="Times New Roman"/>
          <w:szCs w:val="22"/>
        </w:rPr>
        <w:t xml:space="preserve"> (Meltwater, 2025)</w:t>
      </w:r>
      <w:r w:rsidR="00E86AE0" w:rsidRPr="00E86AE0">
        <w:rPr>
          <w:rFonts w:eastAsiaTheme="majorEastAsia" w:cs="Times New Roman"/>
          <w:szCs w:val="22"/>
        </w:rPr>
        <w:t>.</w:t>
      </w:r>
      <w:r w:rsidR="006E5D19">
        <w:rPr>
          <w:rFonts w:eastAsiaTheme="majorEastAsia" w:cs="Times New Roman" w:hint="eastAsia"/>
          <w:szCs w:val="22"/>
        </w:rPr>
        <w:t xml:space="preserve"> </w:t>
      </w:r>
      <w:r w:rsidR="006E5D19" w:rsidRPr="006E5D19">
        <w:rPr>
          <w:rFonts w:eastAsiaTheme="majorEastAsia" w:cs="Times New Roman"/>
          <w:szCs w:val="22"/>
        </w:rPr>
        <w:t>Qualitative studies and data-driven analyses reveal that brands engaging in robust digital storytelling, influencer partnerships, and transparent communications enjoy stronger consumer trust and positive brand attitudes. Importantly, trust emerges as a pivotal mediator between digital marketing efforts and purchase intention, particularly when consumers perceive brand claims about sustainability to be credible and authentic</w:t>
      </w:r>
      <w:r w:rsidR="006E5D19">
        <w:rPr>
          <w:rFonts w:eastAsiaTheme="majorEastAsia" w:cs="Times New Roman" w:hint="eastAsia"/>
          <w:szCs w:val="22"/>
        </w:rPr>
        <w:t xml:space="preserve"> </w:t>
      </w:r>
      <w:r w:rsidR="004D3A02" w:rsidRPr="004D3A02">
        <w:rPr>
          <w:rFonts w:eastAsiaTheme="majorEastAsia" w:cs="Times New Roman"/>
          <w:szCs w:val="22"/>
        </w:rPr>
        <w:t>(</w:t>
      </w:r>
      <w:proofErr w:type="spellStart"/>
      <w:r w:rsidR="004D3A02" w:rsidRPr="004D3A02">
        <w:rPr>
          <w:rFonts w:eastAsiaTheme="majorEastAsia" w:cs="Times New Roman"/>
          <w:szCs w:val="22"/>
        </w:rPr>
        <w:t>Jakwatanatham</w:t>
      </w:r>
      <w:proofErr w:type="spellEnd"/>
      <w:r w:rsidR="004D3A02" w:rsidRPr="004D3A02">
        <w:rPr>
          <w:rFonts w:eastAsiaTheme="majorEastAsia" w:cs="Times New Roman"/>
          <w:szCs w:val="22"/>
        </w:rPr>
        <w:t xml:space="preserve">, </w:t>
      </w:r>
      <w:proofErr w:type="spellStart"/>
      <w:r w:rsidR="004D3A02" w:rsidRPr="004D3A02">
        <w:rPr>
          <w:rFonts w:eastAsiaTheme="majorEastAsia" w:cs="Times New Roman"/>
          <w:szCs w:val="22"/>
        </w:rPr>
        <w:t>Phayaphrom</w:t>
      </w:r>
      <w:proofErr w:type="spellEnd"/>
      <w:r w:rsidR="004D3A02" w:rsidRPr="004D3A02">
        <w:rPr>
          <w:rFonts w:eastAsiaTheme="majorEastAsia" w:cs="Times New Roman"/>
          <w:szCs w:val="22"/>
        </w:rPr>
        <w:t xml:space="preserve"> and </w:t>
      </w:r>
      <w:proofErr w:type="spellStart"/>
      <w:r w:rsidR="004D3A02" w:rsidRPr="004D3A02">
        <w:rPr>
          <w:rFonts w:eastAsiaTheme="majorEastAsia" w:cs="Times New Roman"/>
          <w:szCs w:val="22"/>
        </w:rPr>
        <w:t>Nurittamont</w:t>
      </w:r>
      <w:proofErr w:type="spellEnd"/>
      <w:r w:rsidR="004D3A02" w:rsidRPr="004D3A02">
        <w:rPr>
          <w:rFonts w:eastAsiaTheme="majorEastAsia" w:cs="Times New Roman"/>
          <w:szCs w:val="22"/>
        </w:rPr>
        <w:t>, 2022)</w:t>
      </w:r>
      <w:r w:rsidR="006E5D19" w:rsidRPr="006E5D19">
        <w:rPr>
          <w:rFonts w:eastAsiaTheme="majorEastAsia" w:cs="Times New Roman"/>
          <w:szCs w:val="22"/>
        </w:rPr>
        <w:t>.</w:t>
      </w:r>
    </w:p>
    <w:p w14:paraId="49457081" w14:textId="488D41E7" w:rsidR="00873E54" w:rsidRDefault="003C38F7" w:rsidP="003C38F7">
      <w:pPr>
        <w:spacing w:line="360" w:lineRule="auto"/>
        <w:jc w:val="center"/>
        <w:rPr>
          <w:rFonts w:eastAsiaTheme="majorEastAsia" w:cs="Times New Roman"/>
          <w:szCs w:val="22"/>
        </w:rPr>
      </w:pPr>
      <w:r w:rsidRPr="003C38F7">
        <w:rPr>
          <w:rFonts w:eastAsiaTheme="majorEastAsia" w:cs="Times New Roman"/>
          <w:noProof/>
          <w:szCs w:val="22"/>
        </w:rPr>
        <w:drawing>
          <wp:inline distT="0" distB="0" distL="0" distR="0" wp14:anchorId="715BD917" wp14:editId="055E2286">
            <wp:extent cx="4201045" cy="2855343"/>
            <wp:effectExtent l="0" t="0" r="0" b="2540"/>
            <wp:docPr id="1846163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163447" name=""/>
                    <pic:cNvPicPr/>
                  </pic:nvPicPr>
                  <pic:blipFill>
                    <a:blip r:embed="rId19"/>
                    <a:stretch>
                      <a:fillRect/>
                    </a:stretch>
                  </pic:blipFill>
                  <pic:spPr>
                    <a:xfrm>
                      <a:off x="0" y="0"/>
                      <a:ext cx="4207302" cy="2859596"/>
                    </a:xfrm>
                    <a:prstGeom prst="rect">
                      <a:avLst/>
                    </a:prstGeom>
                  </pic:spPr>
                </pic:pic>
              </a:graphicData>
            </a:graphic>
          </wp:inline>
        </w:drawing>
      </w:r>
    </w:p>
    <w:p w14:paraId="46ACCD2D" w14:textId="77777777" w:rsidR="003C38F7" w:rsidRPr="00484628" w:rsidRDefault="003C38F7" w:rsidP="003C38F7">
      <w:pPr>
        <w:spacing w:line="360" w:lineRule="auto"/>
        <w:jc w:val="center"/>
        <w:rPr>
          <w:rFonts w:eastAsiaTheme="majorEastAsia" w:cs="Times New Roman"/>
          <w:szCs w:val="22"/>
        </w:rPr>
      </w:pPr>
    </w:p>
    <w:p w14:paraId="588F7CE9" w14:textId="2C2461F4" w:rsidR="00D144D3" w:rsidRDefault="00811FB4" w:rsidP="00811FB4">
      <w:pPr>
        <w:spacing w:line="360" w:lineRule="auto"/>
        <w:jc w:val="both"/>
        <w:rPr>
          <w:rFonts w:eastAsiaTheme="majorEastAsia" w:cs="Times New Roman"/>
          <w:szCs w:val="22"/>
        </w:rPr>
      </w:pPr>
      <w:r w:rsidRPr="00811FB4">
        <w:rPr>
          <w:rFonts w:eastAsiaTheme="majorEastAsia" w:cs="Times New Roman"/>
          <w:szCs w:val="22"/>
        </w:rPr>
        <w:t>The data from Figure 1.1.4 provides valuable insight into the primary motivations driving social media usage among Hong Kong’s population. The most cited reasons for engaging with social media platforms are to fill spare time (43.6%) and to keep in touch with friends and family (42.0%), highlighting the role of social media as both a leisure activity and a crucial tool for maintaining social connections. Reading news stories (30.6%) and seeing what is being talked about (29.7%) are also prominent, emphasizing users' reliance on these platforms for real-time updates and collective discourse, rather than traditional news sources.</w:t>
      </w:r>
      <w:r w:rsidR="00B37F92">
        <w:rPr>
          <w:rFonts w:eastAsiaTheme="majorEastAsia" w:cs="Times New Roman" w:hint="eastAsia"/>
          <w:szCs w:val="22"/>
        </w:rPr>
        <w:t xml:space="preserve"> </w:t>
      </w:r>
      <w:r w:rsidR="00B37F92" w:rsidRPr="00B37F92">
        <w:rPr>
          <w:rFonts w:eastAsiaTheme="majorEastAsia" w:cs="Times New Roman"/>
          <w:szCs w:val="22"/>
        </w:rPr>
        <w:t xml:space="preserve">A significant proportion of users (26.5%) are interested in seeing content from </w:t>
      </w:r>
      <w:r w:rsidR="00A42549">
        <w:rPr>
          <w:rFonts w:eastAsiaTheme="majorEastAsia" w:cs="Times New Roman"/>
          <w:szCs w:val="22"/>
        </w:rPr>
        <w:t>their</w:t>
      </w:r>
      <w:r w:rsidR="00B37F92" w:rsidRPr="00B37F92">
        <w:rPr>
          <w:rFonts w:eastAsiaTheme="majorEastAsia" w:cs="Times New Roman"/>
          <w:szCs w:val="22"/>
        </w:rPr>
        <w:t xml:space="preserve"> favorite brands, while 26.1% seek informative content such as articles and videos. This demonstrates that social media functions as an important channel for brand engagement and consumer education, not just interpersonal communication. Further, inspiration for activities and purchases is a factor for 22.3% of users, and following celebrities or influencers motivates 21.1%, indicating the importance of aspirational and influencer-driven content in shaping interests and behaviors.</w:t>
      </w:r>
      <w:r w:rsidR="00B37F92">
        <w:rPr>
          <w:rFonts w:eastAsiaTheme="majorEastAsia" w:cs="Times New Roman" w:hint="eastAsia"/>
          <w:szCs w:val="22"/>
        </w:rPr>
        <w:t xml:space="preserve"> </w:t>
      </w:r>
      <w:r w:rsidR="00B37F92" w:rsidRPr="00B37F92">
        <w:rPr>
          <w:rFonts w:eastAsiaTheme="majorEastAsia" w:cs="Times New Roman"/>
          <w:szCs w:val="22"/>
        </w:rPr>
        <w:t xml:space="preserve">Reasons such as finding products to purchase </w:t>
      </w:r>
      <w:r w:rsidR="00B37F92" w:rsidRPr="00B37F92">
        <w:rPr>
          <w:rFonts w:eastAsiaTheme="majorEastAsia" w:cs="Times New Roman"/>
          <w:szCs w:val="22"/>
        </w:rPr>
        <w:lastRenderedPageBreak/>
        <w:t>(20.4%) and sharing opinions (19.2%) are also noteworthy, as they underscore the platforms’ evolving roles in commercial discovery and user-generated content. These findings align with academic literature, which highlights the multifaceted nature of social media</w:t>
      </w:r>
      <w:r w:rsidR="00B37F92">
        <w:rPr>
          <w:rFonts w:eastAsiaTheme="majorEastAsia" w:cs="Times New Roman" w:hint="eastAsia"/>
          <w:szCs w:val="22"/>
        </w:rPr>
        <w:t>.</w:t>
      </w:r>
    </w:p>
    <w:p w14:paraId="6CB9B32B" w14:textId="6E0E3089" w:rsidR="008A5623" w:rsidRPr="00915260" w:rsidRDefault="00781546" w:rsidP="00A76F5F">
      <w:pPr>
        <w:spacing w:line="360" w:lineRule="auto"/>
        <w:jc w:val="center"/>
        <w:rPr>
          <w:rFonts w:eastAsiaTheme="majorEastAsia" w:cs="Times New Roman"/>
          <w:szCs w:val="22"/>
        </w:rPr>
      </w:pPr>
      <w:r w:rsidRPr="00781546">
        <w:rPr>
          <w:rFonts w:eastAsiaTheme="majorEastAsia" w:cs="Times New Roman"/>
          <w:noProof/>
          <w:szCs w:val="22"/>
        </w:rPr>
        <w:drawing>
          <wp:inline distT="0" distB="0" distL="0" distR="0" wp14:anchorId="3168F460" wp14:editId="2273E36A">
            <wp:extent cx="4540483" cy="3054507"/>
            <wp:effectExtent l="0" t="0" r="0" b="0"/>
            <wp:docPr id="737030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030075" name=""/>
                    <pic:cNvPicPr/>
                  </pic:nvPicPr>
                  <pic:blipFill>
                    <a:blip r:embed="rId20"/>
                    <a:stretch>
                      <a:fillRect/>
                    </a:stretch>
                  </pic:blipFill>
                  <pic:spPr>
                    <a:xfrm>
                      <a:off x="0" y="0"/>
                      <a:ext cx="4540483" cy="3054507"/>
                    </a:xfrm>
                    <a:prstGeom prst="rect">
                      <a:avLst/>
                    </a:prstGeom>
                  </pic:spPr>
                </pic:pic>
              </a:graphicData>
            </a:graphic>
          </wp:inline>
        </w:drawing>
      </w:r>
    </w:p>
    <w:p w14:paraId="34F1961E" w14:textId="13478D9B" w:rsidR="00DF69E2" w:rsidRDefault="00B50428" w:rsidP="00DF69E2">
      <w:pPr>
        <w:spacing w:line="360" w:lineRule="auto"/>
        <w:jc w:val="both"/>
        <w:rPr>
          <w:rFonts w:eastAsiaTheme="majorEastAsia" w:cs="Times New Roman"/>
          <w:szCs w:val="22"/>
        </w:rPr>
      </w:pPr>
      <w:r w:rsidRPr="00B50428">
        <w:rPr>
          <w:rFonts w:eastAsiaTheme="majorEastAsia" w:cs="Times New Roman"/>
          <w:szCs w:val="22"/>
        </w:rPr>
        <w:t xml:space="preserve">Hong Kong consumers exhibit exceptionally high awareness and concern for sustainability. According to Standard Insights (2023), 93% of respondents are concerned about environmental issues, </w:t>
      </w:r>
      <w:r w:rsidR="00277081" w:rsidRPr="00277081">
        <w:rPr>
          <w:rFonts w:eastAsiaTheme="majorEastAsia" w:cs="Times New Roman"/>
          <w:szCs w:val="22"/>
        </w:rPr>
        <w:t>with 50.8% reporting they’re deeply worried about our planet’s future</w:t>
      </w:r>
      <w:r w:rsidR="00666F51">
        <w:rPr>
          <w:rFonts w:eastAsiaTheme="majorEastAsia" w:cs="Times New Roman" w:hint="eastAsia"/>
          <w:szCs w:val="22"/>
        </w:rPr>
        <w:t xml:space="preserve"> that show in </w:t>
      </w:r>
      <w:r w:rsidR="00BC051A">
        <w:rPr>
          <w:rFonts w:eastAsiaTheme="majorEastAsia" w:cs="Times New Roman" w:hint="eastAsia"/>
          <w:szCs w:val="22"/>
        </w:rPr>
        <w:t>F</w:t>
      </w:r>
      <w:r w:rsidR="00666F51">
        <w:rPr>
          <w:rFonts w:eastAsiaTheme="majorEastAsia" w:cs="Times New Roman" w:hint="eastAsia"/>
          <w:szCs w:val="22"/>
        </w:rPr>
        <w:t xml:space="preserve">igure 1.1.5, </w:t>
      </w:r>
      <w:r w:rsidRPr="00B50428">
        <w:rPr>
          <w:rFonts w:eastAsiaTheme="majorEastAsia" w:cs="Times New Roman"/>
          <w:szCs w:val="22"/>
        </w:rPr>
        <w:t xml:space="preserve">70% would stop </w:t>
      </w:r>
      <w:r w:rsidR="00D27638" w:rsidRPr="00B50428">
        <w:rPr>
          <w:rFonts w:eastAsiaTheme="majorEastAsia" w:cs="Times New Roman"/>
          <w:szCs w:val="22"/>
        </w:rPr>
        <w:t>buying</w:t>
      </w:r>
      <w:r w:rsidRPr="00B50428">
        <w:rPr>
          <w:rFonts w:eastAsiaTheme="majorEastAsia" w:cs="Times New Roman"/>
          <w:szCs w:val="22"/>
        </w:rPr>
        <w:t xml:space="preserve"> brands performing poorly in this area. Furthermore, </w:t>
      </w:r>
      <w:r w:rsidR="00B55E8E">
        <w:rPr>
          <w:rFonts w:eastAsiaTheme="majorEastAsia" w:cs="Times New Roman" w:hint="eastAsia"/>
          <w:szCs w:val="22"/>
        </w:rPr>
        <w:t xml:space="preserve">in </w:t>
      </w:r>
      <w:r w:rsidR="00BC051A">
        <w:rPr>
          <w:rFonts w:eastAsiaTheme="majorEastAsia" w:cs="Times New Roman" w:hint="eastAsia"/>
          <w:szCs w:val="22"/>
        </w:rPr>
        <w:t>F</w:t>
      </w:r>
      <w:r w:rsidR="00B55E8E">
        <w:rPr>
          <w:rFonts w:eastAsiaTheme="majorEastAsia" w:cs="Times New Roman" w:hint="eastAsia"/>
          <w:szCs w:val="22"/>
        </w:rPr>
        <w:t xml:space="preserve">igure 1.1.6, </w:t>
      </w:r>
      <w:r w:rsidR="00C72C36">
        <w:rPr>
          <w:rFonts w:eastAsiaTheme="majorEastAsia" w:cs="Times New Roman" w:hint="eastAsia"/>
          <w:szCs w:val="22"/>
        </w:rPr>
        <w:t>70</w:t>
      </w:r>
      <w:r w:rsidRPr="00B50428">
        <w:rPr>
          <w:rFonts w:eastAsiaTheme="majorEastAsia" w:cs="Times New Roman"/>
          <w:szCs w:val="22"/>
        </w:rPr>
        <w:t>% stated willingness to pay a premium for sustainable products, emphasizing the moral and lifestyle integration of green values. However, the same study reveals a 65% perception of greenwashing, highlighting consumers' skepticism toward unverified claims.</w:t>
      </w:r>
      <w:r w:rsidR="00DF69E2">
        <w:rPr>
          <w:rFonts w:eastAsiaTheme="majorEastAsia" w:cs="Times New Roman"/>
          <w:szCs w:val="22"/>
        </w:rPr>
        <w:t xml:space="preserve"> </w:t>
      </w:r>
      <w:r w:rsidRPr="00B50428">
        <w:rPr>
          <w:rFonts w:eastAsiaTheme="majorEastAsia" w:cs="Times New Roman"/>
          <w:szCs w:val="22"/>
        </w:rPr>
        <w:t>Government-led initiatives, such as Waste Blueprint for Hong Kong 2035 and the Hong Kong Green Purchasing Charter</w:t>
      </w:r>
      <w:r w:rsidR="00552B5D">
        <w:rPr>
          <w:rFonts w:eastAsiaTheme="majorEastAsia" w:cs="Times New Roman"/>
          <w:szCs w:val="22"/>
        </w:rPr>
        <w:t xml:space="preserve"> </w:t>
      </w:r>
      <w:r w:rsidR="00552B5D" w:rsidRPr="00552B5D">
        <w:rPr>
          <w:rFonts w:eastAsiaTheme="majorEastAsia" w:cs="Times New Roman"/>
          <w:szCs w:val="22"/>
        </w:rPr>
        <w:t>(GovHK , 2025)</w:t>
      </w:r>
      <w:r w:rsidRPr="00B50428">
        <w:rPr>
          <w:rFonts w:eastAsiaTheme="majorEastAsia" w:cs="Times New Roman"/>
          <w:szCs w:val="22"/>
        </w:rPr>
        <w:t xml:space="preserve">, reinforce the public's eco-awareness while reshaping business accountability. </w:t>
      </w:r>
      <w:r w:rsidR="00F5108B" w:rsidRPr="00F5108B">
        <w:rPr>
          <w:rFonts w:eastAsiaTheme="majorEastAsia" w:cs="Times New Roman"/>
          <w:szCs w:val="22"/>
        </w:rPr>
        <w:t>While many consumers report positive attitudes toward sustainability, the HKFYG study highlights a significant disparity between knowledge and practical action, suggesting that educational initiatives alone are insufficient. Therefore, Nescafé should design multistage programs that combine clear, relatable messaging about the environmental benefits of sustainable consumption with active prompts that make environmentally friendly choices easier and more appealing at the point of purchase</w:t>
      </w:r>
      <w:r w:rsidR="003D6EC7">
        <w:rPr>
          <w:rFonts w:eastAsiaTheme="majorEastAsia" w:cs="Times New Roman"/>
          <w:szCs w:val="22"/>
        </w:rPr>
        <w:t xml:space="preserve"> </w:t>
      </w:r>
      <w:r w:rsidR="003D6EC7" w:rsidRPr="003D6EC7">
        <w:rPr>
          <w:rFonts w:eastAsiaTheme="majorEastAsia" w:cs="Times New Roman"/>
          <w:szCs w:val="22"/>
        </w:rPr>
        <w:t>(HKFYG, 2023)</w:t>
      </w:r>
      <w:r w:rsidR="00F5108B" w:rsidRPr="00F5108B">
        <w:rPr>
          <w:rFonts w:eastAsiaTheme="majorEastAsia" w:cs="Times New Roman"/>
          <w:szCs w:val="22"/>
        </w:rPr>
        <w:t>.</w:t>
      </w:r>
      <w:r w:rsidR="00F5108B">
        <w:rPr>
          <w:rFonts w:eastAsiaTheme="majorEastAsia" w:cs="Times New Roman"/>
          <w:szCs w:val="22"/>
        </w:rPr>
        <w:t xml:space="preserve"> </w:t>
      </w:r>
      <w:r w:rsidRPr="00B50428">
        <w:rPr>
          <w:rFonts w:eastAsiaTheme="majorEastAsia" w:cs="Times New Roman"/>
          <w:szCs w:val="22"/>
        </w:rPr>
        <w:t>For the instant coffee industry, this suggests competitive differentiation lies not only in taste or convenience but also in supply chain transparency, recyclable packaging, and carbon reduction practices. Nestlé Hong Kong’s leadership in introducing plant-based packaging and achieving a 20% CO₂ reduction by 2025 establishes it as a role model for sustainability within FMCG</w:t>
      </w:r>
      <w:r w:rsidR="00E46F1C">
        <w:rPr>
          <w:rFonts w:eastAsiaTheme="majorEastAsia" w:cs="Times New Roman" w:hint="eastAsia"/>
          <w:szCs w:val="22"/>
        </w:rPr>
        <w:t xml:space="preserve"> </w:t>
      </w:r>
      <w:r w:rsidR="00887D40" w:rsidRPr="00887D40">
        <w:rPr>
          <w:rFonts w:eastAsiaTheme="majorEastAsia" w:cs="Times New Roman"/>
          <w:szCs w:val="22"/>
        </w:rPr>
        <w:t>(Nestlé Sustainability Report, 2025)</w:t>
      </w:r>
      <w:r w:rsidRPr="00B50428">
        <w:rPr>
          <w:rFonts w:eastAsiaTheme="majorEastAsia" w:cs="Times New Roman"/>
          <w:szCs w:val="22"/>
        </w:rPr>
        <w:t>.</w:t>
      </w:r>
      <w:r w:rsidR="0048722C">
        <w:rPr>
          <w:rFonts w:eastAsiaTheme="majorEastAsia" w:cs="Times New Roman" w:hint="eastAsia"/>
          <w:szCs w:val="22"/>
        </w:rPr>
        <w:t xml:space="preserve"> </w:t>
      </w:r>
      <w:r w:rsidRPr="00B50428">
        <w:rPr>
          <w:rFonts w:eastAsiaTheme="majorEastAsia" w:cs="Times New Roman"/>
          <w:szCs w:val="22"/>
        </w:rPr>
        <w:t>Sustainability thus transcends ethics</w:t>
      </w:r>
      <w:r w:rsidR="0048722C">
        <w:rPr>
          <w:rFonts w:eastAsiaTheme="majorEastAsia" w:cs="Times New Roman" w:hint="eastAsia"/>
          <w:szCs w:val="22"/>
        </w:rPr>
        <w:t xml:space="preserve">, </w:t>
      </w:r>
      <w:r w:rsidRPr="00B50428">
        <w:rPr>
          <w:rFonts w:eastAsiaTheme="majorEastAsia" w:cs="Times New Roman"/>
          <w:szCs w:val="22"/>
        </w:rPr>
        <w:t>it now operationalizes market legitimacy and consumer trust, directly connecting to brand authenticity and purchase intention.</w:t>
      </w:r>
    </w:p>
    <w:p w14:paraId="756C1C96" w14:textId="46BDBFFF" w:rsidR="00351C39" w:rsidRDefault="000E2981" w:rsidP="00351C39">
      <w:pPr>
        <w:pStyle w:val="Caption"/>
        <w:keepNext/>
        <w:jc w:val="center"/>
      </w:pPr>
      <w:r w:rsidRPr="000E2981">
        <w:rPr>
          <w:noProof/>
        </w:rPr>
        <w:lastRenderedPageBreak/>
        <w:drawing>
          <wp:inline distT="0" distB="0" distL="0" distR="0" wp14:anchorId="0695E849" wp14:editId="66271999">
            <wp:extent cx="4153113" cy="2806844"/>
            <wp:effectExtent l="0" t="0" r="0" b="0"/>
            <wp:docPr id="114909694" name="Picture 1" descr="A graph of green and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9694" name="Picture 1" descr="A graph of green and blue bars&#10;&#10;AI-generated content may be incorrect."/>
                    <pic:cNvPicPr/>
                  </pic:nvPicPr>
                  <pic:blipFill>
                    <a:blip r:embed="rId21"/>
                    <a:stretch>
                      <a:fillRect/>
                    </a:stretch>
                  </pic:blipFill>
                  <pic:spPr>
                    <a:xfrm>
                      <a:off x="0" y="0"/>
                      <a:ext cx="4153113" cy="2806844"/>
                    </a:xfrm>
                    <a:prstGeom prst="rect">
                      <a:avLst/>
                    </a:prstGeom>
                  </pic:spPr>
                </pic:pic>
              </a:graphicData>
            </a:graphic>
          </wp:inline>
        </w:drawing>
      </w:r>
    </w:p>
    <w:p w14:paraId="54CF3A8A" w14:textId="77777777" w:rsidR="000E2981" w:rsidRPr="000E2981" w:rsidRDefault="000E2981" w:rsidP="000E2981"/>
    <w:p w14:paraId="4B5DB641" w14:textId="76A64894" w:rsidR="00471BE5" w:rsidRDefault="00231EFA" w:rsidP="00DF69E2">
      <w:pPr>
        <w:spacing w:line="360" w:lineRule="auto"/>
        <w:jc w:val="center"/>
        <w:rPr>
          <w:rFonts w:eastAsiaTheme="majorEastAsia" w:cs="Times New Roman"/>
          <w:szCs w:val="22"/>
        </w:rPr>
      </w:pPr>
      <w:r w:rsidRPr="00231EFA">
        <w:rPr>
          <w:rFonts w:eastAsiaTheme="majorEastAsia" w:cs="Times New Roman"/>
          <w:noProof/>
          <w:szCs w:val="22"/>
        </w:rPr>
        <w:drawing>
          <wp:inline distT="0" distB="0" distL="0" distR="0" wp14:anchorId="643B4243" wp14:editId="08945B5A">
            <wp:extent cx="4064209" cy="2787793"/>
            <wp:effectExtent l="0" t="0" r="0" b="0"/>
            <wp:docPr id="2021842651" name="Picture 1" descr="A green graph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842651" name="Picture 1" descr="A green graph with text&#10;&#10;AI-generated content may be incorrect."/>
                    <pic:cNvPicPr/>
                  </pic:nvPicPr>
                  <pic:blipFill>
                    <a:blip r:embed="rId22"/>
                    <a:stretch>
                      <a:fillRect/>
                    </a:stretch>
                  </pic:blipFill>
                  <pic:spPr>
                    <a:xfrm>
                      <a:off x="0" y="0"/>
                      <a:ext cx="4064209" cy="2787793"/>
                    </a:xfrm>
                    <a:prstGeom prst="rect">
                      <a:avLst/>
                    </a:prstGeom>
                  </pic:spPr>
                </pic:pic>
              </a:graphicData>
            </a:graphic>
          </wp:inline>
        </w:drawing>
      </w:r>
    </w:p>
    <w:p w14:paraId="3157EB86" w14:textId="77777777" w:rsidR="000E2981" w:rsidRPr="00915260" w:rsidRDefault="000E2981" w:rsidP="00DF69E2">
      <w:pPr>
        <w:spacing w:line="360" w:lineRule="auto"/>
        <w:jc w:val="center"/>
        <w:rPr>
          <w:rFonts w:eastAsiaTheme="majorEastAsia" w:cs="Times New Roman"/>
          <w:szCs w:val="22"/>
        </w:rPr>
      </w:pPr>
    </w:p>
    <w:p w14:paraId="3FCAEA9D" w14:textId="77777777" w:rsidR="00B50428" w:rsidRPr="00B50428" w:rsidRDefault="00B50428" w:rsidP="00B50428">
      <w:pPr>
        <w:spacing w:line="360" w:lineRule="auto"/>
        <w:jc w:val="both"/>
        <w:rPr>
          <w:rFonts w:eastAsiaTheme="majorEastAsia" w:cs="Times New Roman"/>
          <w:szCs w:val="22"/>
        </w:rPr>
      </w:pPr>
      <w:r w:rsidRPr="00B50428">
        <w:rPr>
          <w:rFonts w:eastAsiaTheme="majorEastAsia" w:cs="Times New Roman"/>
          <w:szCs w:val="22"/>
        </w:rPr>
        <w:t>Brand trust mediates consumers’ perceptions of marketing practices, particularly in markets where skepticism toward environmental claims and digital advertising is high. Studies show that 80% of Hong Kong consumers prefer brands with visible social impact, and over 60% follow sustainability-related brand content online (Grey, 2025). For global brands like Nestlé, maintaining trust depends on perceived honesty, consistent quality, and demonstrated commitment to social good.</w:t>
      </w:r>
    </w:p>
    <w:p w14:paraId="06DA9556" w14:textId="7BD12A01" w:rsidR="005B5694" w:rsidRDefault="00B50428" w:rsidP="00B50428">
      <w:pPr>
        <w:spacing w:line="360" w:lineRule="auto"/>
        <w:jc w:val="both"/>
        <w:rPr>
          <w:rFonts w:eastAsiaTheme="majorEastAsia" w:cs="Times New Roman"/>
          <w:szCs w:val="22"/>
        </w:rPr>
      </w:pPr>
      <w:r w:rsidRPr="00B50428">
        <w:rPr>
          <w:rFonts w:eastAsiaTheme="majorEastAsia" w:cs="Times New Roman"/>
          <w:szCs w:val="22"/>
        </w:rPr>
        <w:t>Nestlé has maintained top-of-mind awareness in Hong Kong through its Nescafé brand</w:t>
      </w:r>
      <w:r w:rsidR="00B806AD">
        <w:rPr>
          <w:rFonts w:eastAsiaTheme="majorEastAsia" w:cs="Times New Roman" w:hint="eastAsia"/>
          <w:szCs w:val="22"/>
        </w:rPr>
        <w:t xml:space="preserve"> </w:t>
      </w:r>
      <w:r w:rsidR="00DB5B13" w:rsidRPr="00DB5B13">
        <w:rPr>
          <w:rFonts w:eastAsiaTheme="majorEastAsia" w:cs="Times New Roman"/>
          <w:szCs w:val="22"/>
        </w:rPr>
        <w:t>(</w:t>
      </w:r>
      <w:r w:rsidR="007D3B2E" w:rsidRPr="00DB5B13">
        <w:rPr>
          <w:rFonts w:eastAsiaTheme="majorEastAsia" w:cs="Times New Roman"/>
          <w:szCs w:val="22"/>
        </w:rPr>
        <w:t>Kantar Worldpanel</w:t>
      </w:r>
      <w:r w:rsidR="00DB5B13" w:rsidRPr="00DB5B13">
        <w:rPr>
          <w:rFonts w:eastAsiaTheme="majorEastAsia" w:cs="Times New Roman"/>
          <w:szCs w:val="22"/>
        </w:rPr>
        <w:t>, 2025)</w:t>
      </w:r>
      <w:r w:rsidRPr="00B50428">
        <w:rPr>
          <w:rFonts w:eastAsiaTheme="majorEastAsia" w:cs="Times New Roman"/>
          <w:szCs w:val="22"/>
        </w:rPr>
        <w:t xml:space="preserve">, combining global recognition with local adaptation strategies such as sustainable sourcing, recyclable packaging, </w:t>
      </w:r>
      <w:r w:rsidRPr="00B50428">
        <w:rPr>
          <w:rFonts w:eastAsiaTheme="majorEastAsia" w:cs="Times New Roman"/>
          <w:szCs w:val="22"/>
        </w:rPr>
        <w:lastRenderedPageBreak/>
        <w:t>and digital storytelling authenticity. Its efforts to advance regenerative agriculture and zero-waste packaging initiatives not only reinforce consumer trust but also address the expectation for brands to align purpose with practice</w:t>
      </w:r>
      <w:r w:rsidR="008A0609">
        <w:rPr>
          <w:rFonts w:eastAsiaTheme="majorEastAsia" w:cs="Times New Roman"/>
          <w:szCs w:val="22"/>
        </w:rPr>
        <w:t xml:space="preserve"> </w:t>
      </w:r>
      <w:r w:rsidR="008A0609" w:rsidRPr="008A0609">
        <w:rPr>
          <w:rFonts w:eastAsiaTheme="majorEastAsia" w:cs="Times New Roman"/>
          <w:szCs w:val="22"/>
        </w:rPr>
        <w:t>(UCLA, 2025)</w:t>
      </w:r>
      <w:r w:rsidRPr="00B50428">
        <w:rPr>
          <w:rFonts w:eastAsiaTheme="majorEastAsia" w:cs="Times New Roman"/>
          <w:szCs w:val="22"/>
        </w:rPr>
        <w:t xml:space="preserve">. This positions Nestlé as a fitting focal point for analyzing how brand trust converges with social media </w:t>
      </w:r>
      <w:r w:rsidR="0048394D">
        <w:rPr>
          <w:rFonts w:eastAsiaTheme="majorEastAsia" w:cs="Times New Roman"/>
          <w:szCs w:val="22"/>
        </w:rPr>
        <w:t xml:space="preserve">marketing activities </w:t>
      </w:r>
      <w:r w:rsidRPr="00B50428">
        <w:rPr>
          <w:rFonts w:eastAsiaTheme="majorEastAsia" w:cs="Times New Roman"/>
          <w:szCs w:val="22"/>
        </w:rPr>
        <w:t>strategy and sustainability to shape consumer purchase intentions.</w:t>
      </w:r>
    </w:p>
    <w:p w14:paraId="23530BB6" w14:textId="659E626C" w:rsidR="00CD1E89" w:rsidRPr="00915260" w:rsidRDefault="00CD1E89" w:rsidP="009760B7">
      <w:pPr>
        <w:spacing w:line="360" w:lineRule="auto"/>
        <w:jc w:val="both"/>
        <w:rPr>
          <w:rFonts w:eastAsiaTheme="majorEastAsia" w:cs="Times New Roman"/>
          <w:szCs w:val="22"/>
        </w:rPr>
      </w:pPr>
    </w:p>
    <w:p w14:paraId="23A6D066" w14:textId="19908797" w:rsidR="009F6713" w:rsidRPr="00915260" w:rsidRDefault="00CD1E89" w:rsidP="004F76CE">
      <w:pPr>
        <w:pStyle w:val="Heading2"/>
        <w:numPr>
          <w:ilvl w:val="1"/>
          <w:numId w:val="5"/>
        </w:numPr>
        <w:spacing w:line="360" w:lineRule="auto"/>
        <w:ind w:left="450"/>
        <w:rPr>
          <w:rFonts w:cs="Times New Roman"/>
          <w:b/>
          <w:bCs/>
          <w:sz w:val="22"/>
          <w:szCs w:val="22"/>
        </w:rPr>
      </w:pPr>
      <w:bookmarkStart w:id="11" w:name="_Toc209184644"/>
      <w:bookmarkStart w:id="12" w:name="_Toc213748895"/>
      <w:r w:rsidRPr="00915260">
        <w:rPr>
          <w:rFonts w:cs="Times New Roman"/>
          <w:b/>
          <w:bCs/>
          <w:sz w:val="22"/>
          <w:szCs w:val="22"/>
        </w:rPr>
        <w:t>R</w:t>
      </w:r>
      <w:r w:rsidR="0036005C" w:rsidRPr="00915260">
        <w:rPr>
          <w:rFonts w:cs="Times New Roman"/>
          <w:b/>
          <w:bCs/>
          <w:sz w:val="22"/>
          <w:szCs w:val="22"/>
        </w:rPr>
        <w:t xml:space="preserve">esearch </w:t>
      </w:r>
      <w:r w:rsidRPr="00915260">
        <w:rPr>
          <w:rFonts w:cs="Times New Roman"/>
          <w:b/>
          <w:bCs/>
          <w:sz w:val="22"/>
          <w:szCs w:val="22"/>
        </w:rPr>
        <w:t>M</w:t>
      </w:r>
      <w:r w:rsidR="0036005C" w:rsidRPr="00915260">
        <w:rPr>
          <w:rFonts w:cs="Times New Roman"/>
          <w:b/>
          <w:bCs/>
          <w:sz w:val="22"/>
          <w:szCs w:val="22"/>
        </w:rPr>
        <w:t>otivation</w:t>
      </w:r>
      <w:bookmarkEnd w:id="11"/>
      <w:bookmarkEnd w:id="12"/>
    </w:p>
    <w:p w14:paraId="1645E0E9" w14:textId="681AC76D" w:rsidR="007C30B3" w:rsidRPr="00915260" w:rsidRDefault="007C30B3" w:rsidP="007C30B3">
      <w:pPr>
        <w:spacing w:line="360" w:lineRule="auto"/>
        <w:jc w:val="both"/>
        <w:rPr>
          <w:rFonts w:eastAsiaTheme="majorEastAsia" w:cs="Times New Roman"/>
          <w:szCs w:val="22"/>
        </w:rPr>
      </w:pPr>
      <w:r w:rsidRPr="00915260">
        <w:rPr>
          <w:rFonts w:eastAsiaTheme="majorEastAsia" w:cs="Times New Roman"/>
          <w:szCs w:val="22"/>
        </w:rPr>
        <w:t>While extensive research exists globally on social media marketing, environmental conscious, sustainability, and brand trust as determinants of consumer purchase intention, limited academic attention has been dedicated to examining these variables within Hong Kong’s instant coffee market context. Existing literature often focuses on general coffee consumption or Western retail settings, leaving a clear empirical gap regarding how these factors interact in a densely digital, sustainability-conscious, and culturally hybrid market such as Hong Kong.</w:t>
      </w:r>
    </w:p>
    <w:p w14:paraId="3FC9C00A" w14:textId="77777777" w:rsidR="007C30B3" w:rsidRPr="00915260" w:rsidRDefault="007C30B3" w:rsidP="007C30B3">
      <w:pPr>
        <w:spacing w:line="360" w:lineRule="auto"/>
        <w:jc w:val="both"/>
        <w:rPr>
          <w:rFonts w:eastAsiaTheme="majorEastAsia" w:cs="Times New Roman"/>
          <w:szCs w:val="22"/>
        </w:rPr>
      </w:pPr>
      <w:r w:rsidRPr="00915260">
        <w:rPr>
          <w:rFonts w:eastAsiaTheme="majorEastAsia" w:cs="Times New Roman"/>
          <w:szCs w:val="22"/>
        </w:rPr>
        <w:t>This scarcity of local studies provides a strong academic motivation for conducting this research. By empirically investigating how social media marketing activities, environmental values, sustainability practices, and brand trust collectively influence purchase intention toward Nescafé, this study seeks to generate localized insights that extend beyond current global models.</w:t>
      </w:r>
    </w:p>
    <w:p w14:paraId="24A486DD" w14:textId="5634E557" w:rsidR="006D10FA" w:rsidRPr="00915260" w:rsidRDefault="007C30B3" w:rsidP="007C30B3">
      <w:pPr>
        <w:spacing w:line="360" w:lineRule="auto"/>
        <w:jc w:val="both"/>
        <w:rPr>
          <w:rFonts w:eastAsiaTheme="majorEastAsia" w:cs="Times New Roman"/>
          <w:szCs w:val="22"/>
        </w:rPr>
      </w:pPr>
      <w:r w:rsidRPr="00915260">
        <w:rPr>
          <w:rFonts w:eastAsiaTheme="majorEastAsia" w:cs="Times New Roman"/>
          <w:szCs w:val="22"/>
        </w:rPr>
        <w:t>From a managerial perspective, the findings will offer Nestlé Hong Kong actionable knowledge to refine brand positioning, strengthen consumer trust, and enhance digital marketing communication strategies aligned with the city’s evolving environmental awareness and consumer values. The study thus aims to make both scholarly and practical contributions by filling a critical research gap and supporting strategic decision-making in an increasingly competitive and ethically driven beverage market.</w:t>
      </w:r>
    </w:p>
    <w:p w14:paraId="14E94CD8" w14:textId="77777777" w:rsidR="00D121E1" w:rsidRPr="00915260" w:rsidRDefault="00D121E1" w:rsidP="007C30B3">
      <w:pPr>
        <w:spacing w:line="360" w:lineRule="auto"/>
        <w:jc w:val="both"/>
        <w:rPr>
          <w:rFonts w:eastAsiaTheme="majorEastAsia" w:cs="Times New Roman"/>
          <w:szCs w:val="22"/>
        </w:rPr>
      </w:pPr>
    </w:p>
    <w:p w14:paraId="4067AF44" w14:textId="382E60CD" w:rsidR="0036005C" w:rsidRPr="00915260" w:rsidRDefault="006D10FA" w:rsidP="004F76CE">
      <w:pPr>
        <w:pStyle w:val="Heading2"/>
        <w:numPr>
          <w:ilvl w:val="1"/>
          <w:numId w:val="5"/>
        </w:numPr>
        <w:spacing w:line="360" w:lineRule="auto"/>
        <w:ind w:left="450"/>
        <w:rPr>
          <w:rFonts w:cs="Times New Roman"/>
          <w:b/>
          <w:bCs/>
          <w:sz w:val="22"/>
          <w:szCs w:val="22"/>
        </w:rPr>
      </w:pPr>
      <w:bookmarkStart w:id="13" w:name="_Toc209184645"/>
      <w:bookmarkStart w:id="14" w:name="_Toc213748896"/>
      <w:r w:rsidRPr="00915260">
        <w:rPr>
          <w:rFonts w:cs="Times New Roman"/>
          <w:b/>
          <w:bCs/>
          <w:sz w:val="22"/>
          <w:szCs w:val="22"/>
        </w:rPr>
        <w:t>R</w:t>
      </w:r>
      <w:r w:rsidR="0036005C" w:rsidRPr="00915260">
        <w:rPr>
          <w:rFonts w:cs="Times New Roman"/>
          <w:b/>
          <w:bCs/>
          <w:sz w:val="22"/>
          <w:szCs w:val="22"/>
        </w:rPr>
        <w:t xml:space="preserve">esearch </w:t>
      </w:r>
      <w:r w:rsidRPr="00915260">
        <w:rPr>
          <w:rFonts w:cs="Times New Roman"/>
          <w:b/>
          <w:bCs/>
          <w:sz w:val="22"/>
          <w:szCs w:val="22"/>
        </w:rPr>
        <w:t>Q</w:t>
      </w:r>
      <w:r w:rsidR="0036005C" w:rsidRPr="00915260">
        <w:rPr>
          <w:rFonts w:cs="Times New Roman"/>
          <w:b/>
          <w:bCs/>
          <w:sz w:val="22"/>
          <w:szCs w:val="22"/>
        </w:rPr>
        <w:t>uestions</w:t>
      </w:r>
      <w:bookmarkEnd w:id="13"/>
      <w:bookmarkEnd w:id="14"/>
    </w:p>
    <w:p w14:paraId="676FCED2" w14:textId="3C60A828" w:rsidR="00C9005E" w:rsidRPr="00915260" w:rsidRDefault="00C9005E" w:rsidP="004F76CE">
      <w:pPr>
        <w:spacing w:line="360" w:lineRule="auto"/>
        <w:jc w:val="both"/>
        <w:rPr>
          <w:rFonts w:eastAsiaTheme="majorEastAsia" w:cs="Times New Roman"/>
          <w:szCs w:val="22"/>
        </w:rPr>
      </w:pPr>
      <w:r w:rsidRPr="00915260">
        <w:rPr>
          <w:rFonts w:eastAsiaTheme="majorEastAsia" w:cs="Times New Roman"/>
          <w:szCs w:val="22"/>
        </w:rPr>
        <w:t>This study aims to investigate the following key questions:</w:t>
      </w:r>
    </w:p>
    <w:p w14:paraId="6D5DC179" w14:textId="3DDB00FE" w:rsidR="00CE7B5E" w:rsidRPr="00915260" w:rsidRDefault="00C9005E" w:rsidP="004F76CE">
      <w:pPr>
        <w:pStyle w:val="ListParagraph"/>
        <w:numPr>
          <w:ilvl w:val="0"/>
          <w:numId w:val="3"/>
        </w:numPr>
        <w:spacing w:line="360" w:lineRule="auto"/>
        <w:jc w:val="both"/>
        <w:rPr>
          <w:rFonts w:eastAsiaTheme="majorEastAsia" w:cs="Times New Roman"/>
          <w:i/>
          <w:iCs/>
          <w:szCs w:val="22"/>
        </w:rPr>
      </w:pPr>
      <w:r w:rsidRPr="00915260">
        <w:rPr>
          <w:rFonts w:eastAsiaTheme="majorEastAsia" w:cs="Times New Roman"/>
          <w:i/>
          <w:iCs/>
          <w:szCs w:val="22"/>
        </w:rPr>
        <w:t xml:space="preserve">What are the key factors influence consumer purchase intention for Nescafe </w:t>
      </w:r>
      <w:r w:rsidR="00CF1273" w:rsidRPr="00915260">
        <w:rPr>
          <w:rFonts w:eastAsiaTheme="majorEastAsia" w:cs="Times New Roman"/>
          <w:i/>
          <w:iCs/>
          <w:szCs w:val="22"/>
        </w:rPr>
        <w:t>i</w:t>
      </w:r>
      <w:r w:rsidRPr="00915260">
        <w:rPr>
          <w:rFonts w:eastAsiaTheme="majorEastAsia" w:cs="Times New Roman"/>
          <w:i/>
          <w:iCs/>
          <w:szCs w:val="22"/>
        </w:rPr>
        <w:t>nstant coffee</w:t>
      </w:r>
      <w:r w:rsidR="00CF1273" w:rsidRPr="00915260">
        <w:rPr>
          <w:rFonts w:eastAsiaTheme="majorEastAsia" w:cs="Times New Roman"/>
          <w:i/>
          <w:iCs/>
          <w:szCs w:val="22"/>
        </w:rPr>
        <w:t xml:space="preserve"> in Hong Kong?</w:t>
      </w:r>
    </w:p>
    <w:p w14:paraId="7A05AFBC" w14:textId="2F67E712" w:rsidR="00C9005E" w:rsidRPr="00915260" w:rsidRDefault="00CF1273" w:rsidP="004F76CE">
      <w:pPr>
        <w:pStyle w:val="ListParagraph"/>
        <w:numPr>
          <w:ilvl w:val="0"/>
          <w:numId w:val="3"/>
        </w:numPr>
        <w:spacing w:line="360" w:lineRule="auto"/>
        <w:jc w:val="both"/>
        <w:rPr>
          <w:rFonts w:eastAsiaTheme="majorEastAsia" w:cs="Times New Roman"/>
          <w:i/>
          <w:iCs/>
          <w:szCs w:val="22"/>
        </w:rPr>
      </w:pPr>
      <w:r w:rsidRPr="00915260">
        <w:rPr>
          <w:rFonts w:eastAsiaTheme="majorEastAsia" w:cs="Times New Roman"/>
          <w:i/>
          <w:iCs/>
          <w:szCs w:val="22"/>
        </w:rPr>
        <w:t xml:space="preserve">How do these factors interrelate </w:t>
      </w:r>
      <w:r w:rsidR="008D4574" w:rsidRPr="00915260">
        <w:rPr>
          <w:rFonts w:eastAsiaTheme="majorEastAsia" w:cs="Times New Roman"/>
          <w:i/>
          <w:iCs/>
          <w:szCs w:val="22"/>
        </w:rPr>
        <w:t>for purchase intention in instant coffee industry?</w:t>
      </w:r>
    </w:p>
    <w:p w14:paraId="04BCE085" w14:textId="55DDC3E6" w:rsidR="008D4574" w:rsidRPr="00915260" w:rsidRDefault="00A96AEA" w:rsidP="004F76CE">
      <w:pPr>
        <w:pStyle w:val="ListParagraph"/>
        <w:numPr>
          <w:ilvl w:val="0"/>
          <w:numId w:val="3"/>
        </w:numPr>
        <w:spacing w:line="360" w:lineRule="auto"/>
        <w:jc w:val="both"/>
        <w:rPr>
          <w:rFonts w:eastAsiaTheme="majorEastAsia" w:cs="Times New Roman"/>
          <w:i/>
          <w:iCs/>
          <w:szCs w:val="22"/>
        </w:rPr>
      </w:pPr>
      <w:r w:rsidRPr="00915260">
        <w:rPr>
          <w:rFonts w:eastAsiaTheme="majorEastAsia" w:cs="Times New Roman"/>
          <w:i/>
          <w:iCs/>
          <w:szCs w:val="22"/>
        </w:rPr>
        <w:t>What practical recommendations can be made to Nestlé regarding Nescafé instant coffee to effectively enhance its market presence in Hong Kong?</w:t>
      </w:r>
    </w:p>
    <w:p w14:paraId="10DE7915" w14:textId="77777777" w:rsidR="00C9005E" w:rsidRPr="00915260" w:rsidRDefault="00C9005E" w:rsidP="004F76CE">
      <w:pPr>
        <w:spacing w:line="360" w:lineRule="auto"/>
        <w:jc w:val="both"/>
        <w:rPr>
          <w:rFonts w:eastAsiaTheme="majorEastAsia" w:cs="Times New Roman"/>
          <w:szCs w:val="22"/>
        </w:rPr>
      </w:pPr>
    </w:p>
    <w:p w14:paraId="006F73DF" w14:textId="5EBC9FA8" w:rsidR="003D06D9" w:rsidRPr="00915260" w:rsidRDefault="006A464C" w:rsidP="004F76CE">
      <w:pPr>
        <w:pStyle w:val="Heading2"/>
        <w:numPr>
          <w:ilvl w:val="1"/>
          <w:numId w:val="5"/>
        </w:numPr>
        <w:spacing w:line="360" w:lineRule="auto"/>
        <w:ind w:left="450"/>
        <w:rPr>
          <w:rFonts w:cs="Times New Roman"/>
          <w:b/>
          <w:bCs/>
          <w:sz w:val="22"/>
          <w:szCs w:val="22"/>
        </w:rPr>
      </w:pPr>
      <w:bookmarkStart w:id="15" w:name="_Toc209184646"/>
      <w:bookmarkStart w:id="16" w:name="_Toc213748897"/>
      <w:r w:rsidRPr="00915260">
        <w:rPr>
          <w:rFonts w:cs="Times New Roman"/>
          <w:b/>
          <w:bCs/>
          <w:sz w:val="22"/>
          <w:szCs w:val="22"/>
        </w:rPr>
        <w:t>Research Aims and Objectives</w:t>
      </w:r>
      <w:bookmarkEnd w:id="15"/>
      <w:bookmarkEnd w:id="16"/>
    </w:p>
    <w:p w14:paraId="3874BEBD" w14:textId="45F05D5C" w:rsidR="00E544ED" w:rsidRPr="00915260" w:rsidRDefault="00381948" w:rsidP="004F76CE">
      <w:pPr>
        <w:spacing w:line="360" w:lineRule="auto"/>
        <w:jc w:val="both"/>
        <w:rPr>
          <w:rFonts w:eastAsiaTheme="majorEastAsia" w:cs="Times New Roman"/>
          <w:szCs w:val="22"/>
        </w:rPr>
      </w:pPr>
      <w:r w:rsidRPr="00381948">
        <w:rPr>
          <w:rFonts w:eastAsiaTheme="majorEastAsia" w:cs="Times New Roman"/>
          <w:szCs w:val="22"/>
        </w:rPr>
        <w:t>Given the dynamic intersection of digitalization and sustainability in Hong Kong, this research further distinguishes by addressing</w:t>
      </w:r>
      <w:r>
        <w:rPr>
          <w:rFonts w:eastAsiaTheme="majorEastAsia" w:cs="Times New Roman" w:hint="eastAsia"/>
          <w:szCs w:val="22"/>
        </w:rPr>
        <w:t xml:space="preserve"> </w:t>
      </w:r>
      <w:r w:rsidR="003825B9">
        <w:rPr>
          <w:rFonts w:eastAsiaTheme="majorEastAsia" w:cs="Times New Roman" w:hint="eastAsia"/>
          <w:szCs w:val="22"/>
        </w:rPr>
        <w:t>the factors</w:t>
      </w:r>
      <w:r w:rsidRPr="00381948">
        <w:rPr>
          <w:rFonts w:eastAsiaTheme="majorEastAsia" w:cs="Times New Roman"/>
          <w:szCs w:val="22"/>
        </w:rPr>
        <w:t xml:space="preserve"> to affect purchase intention in the instant coffee segment. The study’s contribution lies in </w:t>
      </w:r>
      <w:r w:rsidRPr="00381948">
        <w:rPr>
          <w:rFonts w:eastAsiaTheme="majorEastAsia" w:cs="Times New Roman"/>
          <w:szCs w:val="22"/>
        </w:rPr>
        <w:lastRenderedPageBreak/>
        <w:t>its comprehensive investigation of these variables</w:t>
      </w:r>
      <w:r w:rsidR="003825B9">
        <w:rPr>
          <w:rFonts w:eastAsiaTheme="majorEastAsia" w:cs="Times New Roman" w:hint="eastAsia"/>
          <w:szCs w:val="22"/>
        </w:rPr>
        <w:t xml:space="preserve"> including </w:t>
      </w:r>
      <w:r w:rsidRPr="00381948">
        <w:rPr>
          <w:rFonts w:eastAsiaTheme="majorEastAsia" w:cs="Times New Roman"/>
          <w:szCs w:val="22"/>
        </w:rPr>
        <w:t>social media marketing</w:t>
      </w:r>
      <w:r w:rsidR="003825B9">
        <w:rPr>
          <w:rFonts w:eastAsiaTheme="majorEastAsia" w:cs="Times New Roman" w:hint="eastAsia"/>
          <w:szCs w:val="22"/>
        </w:rPr>
        <w:t xml:space="preserve"> activities</w:t>
      </w:r>
      <w:r w:rsidRPr="00381948">
        <w:rPr>
          <w:rFonts w:eastAsiaTheme="majorEastAsia" w:cs="Times New Roman"/>
          <w:szCs w:val="22"/>
        </w:rPr>
        <w:t>, sustainability, environmental conscious, and brand trust</w:t>
      </w:r>
      <w:r w:rsidR="003825B9">
        <w:rPr>
          <w:rFonts w:eastAsiaTheme="majorEastAsia" w:cs="Times New Roman" w:hint="eastAsia"/>
          <w:szCs w:val="22"/>
        </w:rPr>
        <w:t xml:space="preserve"> </w:t>
      </w:r>
      <w:r w:rsidRPr="00381948">
        <w:rPr>
          <w:rFonts w:eastAsiaTheme="majorEastAsia" w:cs="Times New Roman"/>
          <w:szCs w:val="22"/>
        </w:rPr>
        <w:t xml:space="preserve">within Hong Kong’s unique cultural and digital milieu. Such insights are crucial for brands pursuing sustained relevance in local </w:t>
      </w:r>
      <w:r w:rsidR="003825B9">
        <w:rPr>
          <w:rFonts w:eastAsiaTheme="majorEastAsia" w:cs="Times New Roman" w:hint="eastAsia"/>
          <w:szCs w:val="22"/>
        </w:rPr>
        <w:t>instant</w:t>
      </w:r>
      <w:r w:rsidRPr="00381948">
        <w:rPr>
          <w:rFonts w:eastAsiaTheme="majorEastAsia" w:cs="Times New Roman"/>
          <w:szCs w:val="22"/>
        </w:rPr>
        <w:t xml:space="preserve"> coffee markets while navigating increased scrutiny around green marketing and digital engagement strategies.</w:t>
      </w:r>
      <w:r>
        <w:rPr>
          <w:rFonts w:eastAsiaTheme="majorEastAsia" w:cs="Times New Roman" w:hint="eastAsia"/>
          <w:szCs w:val="22"/>
        </w:rPr>
        <w:t xml:space="preserve"> </w:t>
      </w:r>
      <w:r w:rsidR="00E544ED" w:rsidRPr="00915260">
        <w:rPr>
          <w:rFonts w:eastAsiaTheme="majorEastAsia" w:cs="Times New Roman"/>
          <w:szCs w:val="22"/>
        </w:rPr>
        <w:t>This research aims to comprehensively examine the relative impact of brand authenticity, sustainability practices, and evolving cultural trends on consumers’ purchase intentions toward Nescafé, a leading instant coffee brand in Hong Kong’s dynamic coffee market.</w:t>
      </w:r>
      <w:r w:rsidR="00F934AC" w:rsidRPr="00915260">
        <w:rPr>
          <w:rFonts w:cs="Times New Roman"/>
          <w:szCs w:val="22"/>
        </w:rPr>
        <w:t xml:space="preserve"> </w:t>
      </w:r>
      <w:r w:rsidR="00F934AC" w:rsidRPr="00915260">
        <w:rPr>
          <w:rFonts w:eastAsiaTheme="majorEastAsia" w:cs="Times New Roman"/>
          <w:szCs w:val="22"/>
        </w:rPr>
        <w:t>Motivated by the city’s transformation, characterized by experiential consumption, social media</w:t>
      </w:r>
      <w:r w:rsidR="00B45C2B" w:rsidRPr="00915260">
        <w:rPr>
          <w:rFonts w:eastAsiaTheme="majorEastAsia" w:cs="Times New Roman"/>
          <w:szCs w:val="22"/>
        </w:rPr>
        <w:t xml:space="preserve"> marketing</w:t>
      </w:r>
      <w:r w:rsidR="00F934AC" w:rsidRPr="00915260">
        <w:rPr>
          <w:rFonts w:eastAsiaTheme="majorEastAsia" w:cs="Times New Roman"/>
          <w:szCs w:val="22"/>
        </w:rPr>
        <w:t xml:space="preserve"> activities engagement, and environmental conscious</w:t>
      </w:r>
      <w:r w:rsidR="00B45C2B" w:rsidRPr="00915260">
        <w:rPr>
          <w:rFonts w:eastAsiaTheme="majorEastAsia" w:cs="Times New Roman"/>
          <w:szCs w:val="22"/>
        </w:rPr>
        <w:t xml:space="preserve"> and sustainability, </w:t>
      </w:r>
      <w:r w:rsidR="00F934AC" w:rsidRPr="00915260">
        <w:rPr>
          <w:rFonts w:eastAsiaTheme="majorEastAsia" w:cs="Times New Roman"/>
          <w:szCs w:val="22"/>
        </w:rPr>
        <w:t xml:space="preserve">this study seeks to </w:t>
      </w:r>
      <w:r w:rsidR="00775958">
        <w:rPr>
          <w:rFonts w:eastAsiaTheme="majorEastAsia" w:cs="Times New Roman" w:hint="eastAsia"/>
          <w:szCs w:val="22"/>
        </w:rPr>
        <w:t>tailor for Hong Kong market</w:t>
      </w:r>
      <w:r w:rsidR="00F934AC" w:rsidRPr="00915260">
        <w:rPr>
          <w:rFonts w:eastAsiaTheme="majorEastAsia" w:cs="Times New Roman"/>
          <w:szCs w:val="22"/>
        </w:rPr>
        <w:t xml:space="preserve"> on how these critical factors influence preference formation within the commoditized instant coffee segment. Understanding these influences is essential for crafting brand strategies that resonate with Hong Kong’s increasingly sophisticated and ethically minded consumers.</w:t>
      </w:r>
      <w:r w:rsidR="00320784" w:rsidRPr="00915260">
        <w:rPr>
          <w:rFonts w:eastAsiaTheme="majorEastAsia" w:cs="Times New Roman"/>
          <w:szCs w:val="22"/>
        </w:rPr>
        <w:t xml:space="preserve"> The research objectives are structured to systematically investigate this broad aim by breaking it down into measurable and achievable goals. </w:t>
      </w:r>
      <w:r w:rsidR="00840D75" w:rsidRPr="00915260">
        <w:rPr>
          <w:rFonts w:eastAsiaTheme="majorEastAsia" w:cs="Times New Roman"/>
          <w:szCs w:val="22"/>
        </w:rPr>
        <w:t>This</w:t>
      </w:r>
      <w:r w:rsidR="00320784" w:rsidRPr="00915260">
        <w:rPr>
          <w:rFonts w:eastAsiaTheme="majorEastAsia" w:cs="Times New Roman"/>
          <w:szCs w:val="22"/>
        </w:rPr>
        <w:t xml:space="preserve"> research will analyze key variables relationship with purchase intention, consumer perceptions of brand authenticity in the context of Nescafé, exploring how transparency, consistency, and genuine brand engagement affect consumer trust and loyalty. This objective addresses the documented rise in consumer demand for authentic brands that offer credibility and trustworthy narratives, a key concern given that 88% of Hong Kong consumers prioritize perceived genuineness in purchasing decisions</w:t>
      </w:r>
      <w:r w:rsidR="000F2FB1" w:rsidRPr="00915260">
        <w:rPr>
          <w:rFonts w:eastAsiaTheme="majorEastAsia" w:cs="Times New Roman"/>
          <w:szCs w:val="22"/>
        </w:rPr>
        <w:t xml:space="preserve"> (</w:t>
      </w:r>
      <w:proofErr w:type="spellStart"/>
      <w:r w:rsidR="000F2FB1" w:rsidRPr="00915260">
        <w:rPr>
          <w:rFonts w:eastAsiaTheme="majorEastAsia" w:cs="Times New Roman"/>
          <w:szCs w:val="22"/>
        </w:rPr>
        <w:t>BlueBell</w:t>
      </w:r>
      <w:proofErr w:type="spellEnd"/>
      <w:r w:rsidR="000F2FB1" w:rsidRPr="00915260">
        <w:rPr>
          <w:rFonts w:eastAsiaTheme="majorEastAsia" w:cs="Times New Roman"/>
          <w:szCs w:val="22"/>
        </w:rPr>
        <w:t>, 2025)</w:t>
      </w:r>
      <w:r w:rsidR="00320784" w:rsidRPr="00915260">
        <w:rPr>
          <w:rFonts w:eastAsiaTheme="majorEastAsia" w:cs="Times New Roman"/>
          <w:szCs w:val="22"/>
        </w:rPr>
        <w:t>.</w:t>
      </w:r>
    </w:p>
    <w:p w14:paraId="038FFA78" w14:textId="7D22BB34" w:rsidR="00A13C6C" w:rsidRPr="00915260" w:rsidRDefault="00EB4457" w:rsidP="004F76CE">
      <w:pPr>
        <w:spacing w:line="360" w:lineRule="auto"/>
        <w:jc w:val="both"/>
        <w:rPr>
          <w:rFonts w:eastAsiaTheme="majorEastAsia" w:cs="Times New Roman"/>
          <w:szCs w:val="22"/>
        </w:rPr>
      </w:pPr>
      <w:r w:rsidRPr="00915260">
        <w:rPr>
          <w:rFonts w:eastAsiaTheme="majorEastAsia" w:cs="Times New Roman"/>
          <w:szCs w:val="22"/>
        </w:rPr>
        <w:t xml:space="preserve">This study explores the key factors that drive consumers' purchase intentions for instant coffee in Hong Kong.  By examining Nescafé's strategic approaches to expanding its consumer base, it </w:t>
      </w:r>
      <w:r w:rsidR="0090257A" w:rsidRPr="00915260">
        <w:rPr>
          <w:rFonts w:eastAsiaTheme="majorEastAsia" w:cs="Times New Roman"/>
          <w:szCs w:val="22"/>
        </w:rPr>
        <w:t>aims</w:t>
      </w:r>
      <w:r w:rsidRPr="00915260">
        <w:rPr>
          <w:rFonts w:eastAsiaTheme="majorEastAsia" w:cs="Times New Roman"/>
          <w:szCs w:val="22"/>
        </w:rPr>
        <w:t xml:space="preserve"> to uncover effective methods for business growth in this competitive market.</w:t>
      </w:r>
    </w:p>
    <w:p w14:paraId="77F3EF4A" w14:textId="263B4728" w:rsidR="00EB4457" w:rsidRPr="00915260" w:rsidRDefault="00EB4457" w:rsidP="004F76CE">
      <w:pPr>
        <w:pStyle w:val="ListParagraph"/>
        <w:numPr>
          <w:ilvl w:val="0"/>
          <w:numId w:val="7"/>
        </w:numPr>
        <w:spacing w:line="360" w:lineRule="auto"/>
        <w:jc w:val="both"/>
        <w:rPr>
          <w:rFonts w:cs="Times New Roman"/>
          <w:i/>
          <w:iCs/>
          <w:szCs w:val="22"/>
        </w:rPr>
      </w:pPr>
      <w:r w:rsidRPr="00915260">
        <w:rPr>
          <w:rFonts w:cs="Times New Roman"/>
          <w:i/>
          <w:iCs/>
          <w:szCs w:val="22"/>
        </w:rPr>
        <w:t>To identify and analyze the key factors that contribute for purchase intention for instant coffee brands in Hong Kong</w:t>
      </w:r>
      <w:r w:rsidR="000E65F8" w:rsidRPr="00915260">
        <w:rPr>
          <w:rFonts w:cs="Times New Roman"/>
          <w:i/>
          <w:iCs/>
          <w:szCs w:val="22"/>
        </w:rPr>
        <w:t>.</w:t>
      </w:r>
    </w:p>
    <w:p w14:paraId="6AA0E65D" w14:textId="28E6A381" w:rsidR="00EB4457" w:rsidRPr="00915260" w:rsidRDefault="00EB4457" w:rsidP="004F76CE">
      <w:pPr>
        <w:pStyle w:val="ListParagraph"/>
        <w:numPr>
          <w:ilvl w:val="0"/>
          <w:numId w:val="7"/>
        </w:numPr>
        <w:spacing w:line="360" w:lineRule="auto"/>
        <w:jc w:val="both"/>
        <w:rPr>
          <w:rFonts w:cs="Times New Roman"/>
          <w:i/>
          <w:iCs/>
          <w:szCs w:val="22"/>
        </w:rPr>
      </w:pPr>
      <w:r w:rsidRPr="00915260">
        <w:rPr>
          <w:rFonts w:cs="Times New Roman"/>
          <w:i/>
          <w:iCs/>
          <w:szCs w:val="22"/>
        </w:rPr>
        <w:t xml:space="preserve">To explore the relationships between these factors and </w:t>
      </w:r>
      <w:r w:rsidR="00FE3BEF">
        <w:rPr>
          <w:rFonts w:cs="Times New Roman"/>
          <w:i/>
          <w:iCs/>
          <w:szCs w:val="22"/>
        </w:rPr>
        <w:t>the</w:t>
      </w:r>
      <w:r w:rsidRPr="00915260">
        <w:rPr>
          <w:rFonts w:cs="Times New Roman"/>
          <w:i/>
          <w:iCs/>
          <w:szCs w:val="22"/>
        </w:rPr>
        <w:t xml:space="preserve"> impact on </w:t>
      </w:r>
      <w:r w:rsidR="000E65F8" w:rsidRPr="00915260">
        <w:rPr>
          <w:rFonts w:cs="Times New Roman"/>
          <w:i/>
          <w:iCs/>
          <w:szCs w:val="22"/>
        </w:rPr>
        <w:t>purchase intention.</w:t>
      </w:r>
    </w:p>
    <w:p w14:paraId="53560644" w14:textId="04633F88" w:rsidR="000E65F8" w:rsidRPr="00915260" w:rsidRDefault="000E65F8" w:rsidP="004F76CE">
      <w:pPr>
        <w:pStyle w:val="ListParagraph"/>
        <w:numPr>
          <w:ilvl w:val="0"/>
          <w:numId w:val="7"/>
        </w:numPr>
        <w:spacing w:line="360" w:lineRule="auto"/>
        <w:jc w:val="both"/>
        <w:rPr>
          <w:rFonts w:cs="Times New Roman"/>
          <w:i/>
          <w:iCs/>
          <w:szCs w:val="22"/>
        </w:rPr>
      </w:pPr>
      <w:r w:rsidRPr="00915260">
        <w:rPr>
          <w:rFonts w:cs="Times New Roman"/>
          <w:i/>
          <w:iCs/>
          <w:szCs w:val="22"/>
        </w:rPr>
        <w:t>To provide practical recommendations for Nescafe and similar brands to e</w:t>
      </w:r>
      <w:r w:rsidR="0090257A" w:rsidRPr="00915260">
        <w:rPr>
          <w:rFonts w:cs="Times New Roman"/>
          <w:i/>
          <w:iCs/>
          <w:szCs w:val="22"/>
        </w:rPr>
        <w:t xml:space="preserve">xpand </w:t>
      </w:r>
      <w:r w:rsidR="00A96AEA" w:rsidRPr="00915260">
        <w:rPr>
          <w:rFonts w:cs="Times New Roman"/>
          <w:i/>
          <w:iCs/>
          <w:szCs w:val="22"/>
        </w:rPr>
        <w:t>the customer</w:t>
      </w:r>
      <w:r w:rsidR="0090257A" w:rsidRPr="00915260">
        <w:rPr>
          <w:rFonts w:cs="Times New Roman"/>
          <w:i/>
          <w:iCs/>
          <w:szCs w:val="22"/>
        </w:rPr>
        <w:t xml:space="preserve"> base in the competitive Jong Kong market.</w:t>
      </w:r>
    </w:p>
    <w:p w14:paraId="2036938F" w14:textId="77777777" w:rsidR="0090257A" w:rsidRPr="00915260" w:rsidRDefault="0090257A" w:rsidP="004F76CE">
      <w:pPr>
        <w:spacing w:line="360" w:lineRule="auto"/>
        <w:jc w:val="both"/>
        <w:rPr>
          <w:rFonts w:cs="Times New Roman"/>
          <w:szCs w:val="22"/>
        </w:rPr>
      </w:pPr>
    </w:p>
    <w:p w14:paraId="6C91DC78" w14:textId="794E4E08" w:rsidR="0090257A" w:rsidRPr="00915260" w:rsidRDefault="0090257A" w:rsidP="004F76CE">
      <w:pPr>
        <w:pStyle w:val="Heading2"/>
        <w:numPr>
          <w:ilvl w:val="1"/>
          <w:numId w:val="5"/>
        </w:numPr>
        <w:spacing w:line="360" w:lineRule="auto"/>
        <w:ind w:left="450" w:hanging="450"/>
        <w:rPr>
          <w:rFonts w:cs="Times New Roman"/>
          <w:b/>
          <w:bCs/>
          <w:sz w:val="22"/>
          <w:szCs w:val="22"/>
        </w:rPr>
      </w:pPr>
      <w:bookmarkStart w:id="17" w:name="_Toc209184647"/>
      <w:bookmarkStart w:id="18" w:name="_Toc213748898"/>
      <w:r w:rsidRPr="00915260">
        <w:rPr>
          <w:rFonts w:cs="Times New Roman"/>
          <w:b/>
          <w:bCs/>
          <w:sz w:val="22"/>
          <w:szCs w:val="22"/>
        </w:rPr>
        <w:t xml:space="preserve">Research </w:t>
      </w:r>
      <w:bookmarkEnd w:id="17"/>
      <w:r w:rsidR="00F4166B" w:rsidRPr="00915260">
        <w:rPr>
          <w:rFonts w:cs="Times New Roman"/>
          <w:b/>
          <w:bCs/>
          <w:sz w:val="22"/>
          <w:szCs w:val="22"/>
        </w:rPr>
        <w:t>Limitation</w:t>
      </w:r>
      <w:bookmarkEnd w:id="18"/>
    </w:p>
    <w:p w14:paraId="4C9A54F3" w14:textId="26A0774F" w:rsidR="00F4166B" w:rsidRDefault="00AD631A" w:rsidP="004F76CE">
      <w:pPr>
        <w:spacing w:line="360" w:lineRule="auto"/>
        <w:jc w:val="both"/>
        <w:rPr>
          <w:rFonts w:cs="Times New Roman"/>
          <w:szCs w:val="22"/>
        </w:rPr>
      </w:pPr>
      <w:r w:rsidRPr="00AD631A">
        <w:rPr>
          <w:rFonts w:cs="Times New Roman"/>
          <w:szCs w:val="22"/>
        </w:rPr>
        <w:t>Despite the rigor and relevance of this study, several limitations must be acknowledged, especially given Hong Kong’s market context. A primary constraint arises from the limited availability of comprehensive open-source market information specific to Hong Kong’s instant coffee industry. Much of the publicly accessible data is either aggregated at an Asia-Pacific or global level, or available only through paid proprietary sources, making it challenging to obtain granular, up-to-date statistics tailored to Hong Kong consumer behavior and brand dynamics.</w:t>
      </w:r>
      <w:r w:rsidR="00242C58">
        <w:rPr>
          <w:rFonts w:cs="Times New Roman"/>
          <w:szCs w:val="22"/>
        </w:rPr>
        <w:t xml:space="preserve"> T</w:t>
      </w:r>
      <w:r w:rsidR="00242C58" w:rsidRPr="00242C58">
        <w:rPr>
          <w:rFonts w:cs="Times New Roman"/>
          <w:szCs w:val="22"/>
        </w:rPr>
        <w:t>his research is the first in Hong Kong to empirically examine the combined influence of four independent variables</w:t>
      </w:r>
      <w:r w:rsidR="009C3F4C">
        <w:rPr>
          <w:rFonts w:cs="Times New Roman"/>
          <w:szCs w:val="22"/>
        </w:rPr>
        <w:t xml:space="preserve">, </w:t>
      </w:r>
      <w:r w:rsidR="00242C58" w:rsidRPr="00242C58">
        <w:rPr>
          <w:rFonts w:cs="Times New Roman"/>
          <w:szCs w:val="22"/>
        </w:rPr>
        <w:lastRenderedPageBreak/>
        <w:t>social media marketing activities, environmental consciou</w:t>
      </w:r>
      <w:r w:rsidR="007F2812">
        <w:rPr>
          <w:rFonts w:cs="Times New Roman"/>
          <w:szCs w:val="22"/>
        </w:rPr>
        <w:t>s</w:t>
      </w:r>
      <w:r w:rsidR="00242C58" w:rsidRPr="00242C58">
        <w:rPr>
          <w:rFonts w:cs="Times New Roman"/>
          <w:szCs w:val="22"/>
        </w:rPr>
        <w:t>, sustainability, and brand trust</w:t>
      </w:r>
      <w:r w:rsidR="009C3F4C">
        <w:rPr>
          <w:rFonts w:cs="Times New Roman"/>
          <w:szCs w:val="22"/>
        </w:rPr>
        <w:t xml:space="preserve"> </w:t>
      </w:r>
      <w:r w:rsidR="00242C58" w:rsidRPr="00242C58">
        <w:rPr>
          <w:rFonts w:cs="Times New Roman"/>
          <w:szCs w:val="22"/>
        </w:rPr>
        <w:t>on purchase intention for instant coffee. While global studies have explored these constructs separately, there is a conspicuous lack of academic literature or primary data addressing all four variables together within the unique digital, sustainability-oriented, and culturally hybrid environment of Hong Kong. This novelty underscores both the significance and the boundary of the study: findings may be contextually relevant to Hong Kong in 2025, but not entirely generalizable to other regions, time periods, or alternative product categories.</w:t>
      </w:r>
    </w:p>
    <w:p w14:paraId="484DD827" w14:textId="77777777" w:rsidR="00242C58" w:rsidRPr="00915260" w:rsidRDefault="00242C58" w:rsidP="004F76CE">
      <w:pPr>
        <w:spacing w:line="360" w:lineRule="auto"/>
        <w:jc w:val="both"/>
        <w:rPr>
          <w:rFonts w:cs="Times New Roman"/>
          <w:szCs w:val="22"/>
        </w:rPr>
      </w:pPr>
    </w:p>
    <w:p w14:paraId="188B9F5D" w14:textId="236310CE" w:rsidR="003D06D9" w:rsidRPr="00915260" w:rsidRDefault="003D06D9"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t xml:space="preserve"> </w:t>
      </w:r>
      <w:bookmarkStart w:id="19" w:name="_Toc209184648"/>
      <w:bookmarkStart w:id="20" w:name="_Toc213748899"/>
      <w:r w:rsidRPr="00915260">
        <w:rPr>
          <w:rFonts w:cs="Times New Roman"/>
          <w:b/>
          <w:bCs/>
          <w:sz w:val="22"/>
          <w:szCs w:val="22"/>
        </w:rPr>
        <w:t>Concluding Summary</w:t>
      </w:r>
      <w:bookmarkEnd w:id="19"/>
      <w:bookmarkEnd w:id="20"/>
    </w:p>
    <w:p w14:paraId="17515812" w14:textId="21706CAA" w:rsidR="00697BF2" w:rsidRDefault="00697BF2" w:rsidP="00662FAC">
      <w:pPr>
        <w:spacing w:line="360" w:lineRule="auto"/>
        <w:jc w:val="both"/>
        <w:rPr>
          <w:rFonts w:cs="Times New Roman"/>
          <w:szCs w:val="22"/>
        </w:rPr>
      </w:pPr>
      <w:r w:rsidRPr="00697BF2">
        <w:rPr>
          <w:rFonts w:cs="Times New Roman"/>
          <w:szCs w:val="22"/>
        </w:rPr>
        <w:t>Chapter 1 establishes the relevance and academic value of investigating purchase intention for instant coffee in Hong Kong through the intersecting lenses of digital marketing and sustainability ethics. By situating Nescafé within the city’s e-commerce-driven, conscious consumption culture, this study justifies its inquiry into how social media activities build brand trust amid growing environmental awareness. The chapter also positions the research as a timely contribution to both marketing theory and practice</w:t>
      </w:r>
      <w:r w:rsidR="00445ADE">
        <w:rPr>
          <w:rFonts w:cs="Times New Roman"/>
          <w:szCs w:val="22"/>
        </w:rPr>
        <w:t xml:space="preserve">, </w:t>
      </w:r>
      <w:r w:rsidRPr="00697BF2">
        <w:rPr>
          <w:rFonts w:cs="Times New Roman"/>
          <w:szCs w:val="22"/>
        </w:rPr>
        <w:t>delivering actionable insights for FMCG businesses navigating environmentally and digitally motivated consumer markets.</w:t>
      </w:r>
    </w:p>
    <w:p w14:paraId="5B35D4C2" w14:textId="7FD7E369" w:rsidR="008751A0" w:rsidRPr="00915260" w:rsidRDefault="00C00F16" w:rsidP="00662FAC">
      <w:pPr>
        <w:spacing w:line="360" w:lineRule="auto"/>
        <w:jc w:val="both"/>
        <w:rPr>
          <w:rFonts w:cs="Times New Roman"/>
          <w:szCs w:val="22"/>
        </w:rPr>
      </w:pPr>
      <w:r w:rsidRPr="00915260">
        <w:rPr>
          <w:rFonts w:cs="Times New Roman"/>
          <w:szCs w:val="22"/>
        </w:rPr>
        <w:t>The following chapter will examine the theoretical frameworks and literature underpinning this research. It will critically review concepts related to social media marketing activities, environmental conscious, sustainability, and brand trust, and will synthesize these into a coherent conceptual framework aimed at guiding strategic actions for Nescafé to expand its customer base and boost consumption in Hong Kong.</w:t>
      </w:r>
    </w:p>
    <w:p w14:paraId="16123ADA" w14:textId="77777777" w:rsidR="008751A0" w:rsidRPr="00915260" w:rsidRDefault="008751A0" w:rsidP="004F76CE">
      <w:pPr>
        <w:spacing w:line="360" w:lineRule="auto"/>
        <w:rPr>
          <w:rFonts w:cs="Times New Roman"/>
          <w:szCs w:val="22"/>
        </w:rPr>
      </w:pPr>
      <w:r w:rsidRPr="00915260">
        <w:rPr>
          <w:rFonts w:cs="Times New Roman"/>
          <w:szCs w:val="22"/>
        </w:rPr>
        <w:br w:type="page"/>
      </w:r>
    </w:p>
    <w:p w14:paraId="56B5D221" w14:textId="1FAD6FB5" w:rsidR="0089684D" w:rsidRPr="00915260" w:rsidRDefault="008751A0" w:rsidP="004F76CE">
      <w:pPr>
        <w:pStyle w:val="Heading"/>
        <w:numPr>
          <w:ilvl w:val="0"/>
          <w:numId w:val="5"/>
        </w:numPr>
        <w:spacing w:line="360" w:lineRule="auto"/>
        <w:jc w:val="both"/>
        <w:rPr>
          <w:rFonts w:cs="Times New Roman"/>
          <w:szCs w:val="28"/>
        </w:rPr>
      </w:pPr>
      <w:bookmarkStart w:id="21" w:name="_Toc209184649"/>
      <w:bookmarkStart w:id="22" w:name="_Toc213748900"/>
      <w:r w:rsidRPr="00915260">
        <w:rPr>
          <w:rFonts w:cs="Times New Roman"/>
          <w:szCs w:val="28"/>
        </w:rPr>
        <w:lastRenderedPageBreak/>
        <w:t>Literature Review</w:t>
      </w:r>
      <w:bookmarkEnd w:id="21"/>
      <w:bookmarkEnd w:id="22"/>
    </w:p>
    <w:p w14:paraId="6753BC7B" w14:textId="596AF360" w:rsidR="008751A0" w:rsidRPr="00915260" w:rsidRDefault="006505DA" w:rsidP="004F76CE">
      <w:pPr>
        <w:spacing w:line="360" w:lineRule="auto"/>
        <w:jc w:val="both"/>
        <w:rPr>
          <w:rFonts w:cs="Times New Roman"/>
          <w:szCs w:val="22"/>
        </w:rPr>
      </w:pPr>
      <w:r w:rsidRPr="00915260">
        <w:rPr>
          <w:rFonts w:cs="Times New Roman"/>
          <w:szCs w:val="22"/>
        </w:rPr>
        <w:t>This chapter offers an in-depth exploration of the fundamental concepts and theoretical frameworks that form the backbone of this research. It provides a critical analysis of social media marketing activities, environmental conscious, sustainability, brand trust, and purchase intention. By dissecting the connections between these vital constructs, the chapter builds a compelling conceptual framework to enhance the understanding and impact of this study.</w:t>
      </w:r>
    </w:p>
    <w:p w14:paraId="006DDEE3" w14:textId="77777777" w:rsidR="00664FE3" w:rsidRPr="00915260" w:rsidRDefault="00664FE3" w:rsidP="004F76CE">
      <w:pPr>
        <w:spacing w:line="360" w:lineRule="auto"/>
        <w:jc w:val="both"/>
        <w:rPr>
          <w:rFonts w:cs="Times New Roman"/>
          <w:szCs w:val="22"/>
        </w:rPr>
      </w:pPr>
    </w:p>
    <w:p w14:paraId="76B327C1" w14:textId="6EE29869" w:rsidR="00137300" w:rsidRPr="00915260" w:rsidRDefault="00137300"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t xml:space="preserve"> </w:t>
      </w:r>
      <w:bookmarkStart w:id="23" w:name="_Toc209184650"/>
      <w:bookmarkStart w:id="24" w:name="_Toc213748901"/>
      <w:r w:rsidRPr="00915260">
        <w:rPr>
          <w:rFonts w:cs="Times New Roman"/>
          <w:b/>
          <w:bCs/>
          <w:sz w:val="22"/>
          <w:szCs w:val="22"/>
        </w:rPr>
        <w:t>Social Media Marketing Activities</w:t>
      </w:r>
      <w:bookmarkEnd w:id="23"/>
      <w:bookmarkEnd w:id="24"/>
    </w:p>
    <w:p w14:paraId="1F32DFC5" w14:textId="1725F00B" w:rsidR="003460C4" w:rsidRDefault="003460C4" w:rsidP="00915260">
      <w:pPr>
        <w:pStyle w:val="ListParagraph"/>
        <w:spacing w:line="360" w:lineRule="auto"/>
        <w:ind w:left="0"/>
        <w:jc w:val="both"/>
        <w:rPr>
          <w:rFonts w:cs="Times New Roman"/>
          <w:szCs w:val="22"/>
        </w:rPr>
      </w:pPr>
      <w:r w:rsidRPr="00915260">
        <w:rPr>
          <w:rFonts w:cs="Times New Roman"/>
          <w:szCs w:val="22"/>
        </w:rPr>
        <w:t>Social Media Marketing Activities (SMMA) refer to strategic, interactive, and consumer-engaging actions that brands perform across social platforms to promote awareness, foster relationships, and influence purchase behavior.</w:t>
      </w:r>
    </w:p>
    <w:p w14:paraId="1B88854B" w14:textId="77777777" w:rsidR="00D81D69" w:rsidRPr="00915260" w:rsidRDefault="00D81D69" w:rsidP="00915260">
      <w:pPr>
        <w:pStyle w:val="ListParagraph"/>
        <w:spacing w:line="360" w:lineRule="auto"/>
        <w:ind w:left="0"/>
        <w:jc w:val="both"/>
        <w:rPr>
          <w:szCs w:val="22"/>
        </w:rPr>
      </w:pPr>
    </w:p>
    <w:p w14:paraId="587BFC19" w14:textId="328762FC" w:rsidR="00137300" w:rsidRPr="00915260" w:rsidRDefault="004B0125" w:rsidP="004F76CE">
      <w:pPr>
        <w:pStyle w:val="Heading2"/>
        <w:numPr>
          <w:ilvl w:val="2"/>
          <w:numId w:val="5"/>
        </w:numPr>
        <w:spacing w:line="360" w:lineRule="auto"/>
        <w:rPr>
          <w:rFonts w:cs="Times New Roman"/>
          <w:b/>
          <w:bCs/>
          <w:sz w:val="22"/>
          <w:szCs w:val="22"/>
        </w:rPr>
      </w:pPr>
      <w:bookmarkStart w:id="25" w:name="_Toc213748902"/>
      <w:r w:rsidRPr="00915260">
        <w:rPr>
          <w:rFonts w:cs="Times New Roman"/>
          <w:b/>
          <w:bCs/>
          <w:sz w:val="22"/>
          <w:szCs w:val="22"/>
        </w:rPr>
        <w:t>Definition of Social Media Marketing Activities (SMMA)</w:t>
      </w:r>
      <w:bookmarkEnd w:id="25"/>
    </w:p>
    <w:p w14:paraId="1FA0036D" w14:textId="3D4C64AC" w:rsidR="00A93ACA" w:rsidRPr="00A93ACA" w:rsidRDefault="00A93ACA" w:rsidP="00A93ACA">
      <w:pPr>
        <w:spacing w:line="360" w:lineRule="auto"/>
        <w:ind w:left="720"/>
        <w:jc w:val="both"/>
        <w:rPr>
          <w:rFonts w:cs="Times New Roman"/>
          <w:szCs w:val="22"/>
        </w:rPr>
      </w:pPr>
      <w:r w:rsidRPr="00A93ACA">
        <w:rPr>
          <w:rFonts w:cs="Times New Roman"/>
          <w:szCs w:val="22"/>
        </w:rPr>
        <w:t xml:space="preserve">Social media marketing activities (SMMA) refer to the strategic actions that brands use on digital platforms to engage, interact, and build relationships with consumers. According to Kim &amp; Ko (2012), SMMA are defined as </w:t>
      </w:r>
      <w:r w:rsidR="00E673CB">
        <w:rPr>
          <w:rFonts w:cs="Times New Roman"/>
          <w:szCs w:val="22"/>
        </w:rPr>
        <w:t>a</w:t>
      </w:r>
      <w:r w:rsidR="00E673CB" w:rsidRPr="00E673CB">
        <w:rPr>
          <w:rFonts w:cs="Times New Roman"/>
          <w:szCs w:val="22"/>
        </w:rPr>
        <w:t>n integrated pattern of activities designed to achieve marketing goals by enhancing online interoperability between brands and consumers</w:t>
      </w:r>
      <w:r w:rsidR="00E673CB">
        <w:rPr>
          <w:rFonts w:cs="Times New Roman"/>
          <w:szCs w:val="22"/>
        </w:rPr>
        <w:t>, the</w:t>
      </w:r>
      <w:r w:rsidRPr="00A93ACA">
        <w:rPr>
          <w:rFonts w:cs="Times New Roman"/>
          <w:szCs w:val="22"/>
        </w:rPr>
        <w:t xml:space="preserve"> activities encompassing entertainment, interaction, trendiness, customization, and word-of-mouth within a social media setting, particularly examined in the context of luxury fashion brands. </w:t>
      </w:r>
      <w:r w:rsidR="006803E4">
        <w:rPr>
          <w:rFonts w:cs="Times New Roman" w:hint="eastAsia"/>
          <w:szCs w:val="22"/>
        </w:rPr>
        <w:t xml:space="preserve">The </w:t>
      </w:r>
      <w:r w:rsidR="00D942B0">
        <w:rPr>
          <w:rFonts w:cs="Times New Roman"/>
          <w:szCs w:val="22"/>
        </w:rPr>
        <w:t>constructs</w:t>
      </w:r>
      <w:r w:rsidR="006803E4">
        <w:rPr>
          <w:rFonts w:cs="Times New Roman" w:hint="eastAsia"/>
          <w:szCs w:val="22"/>
        </w:rPr>
        <w:t xml:space="preserve"> </w:t>
      </w:r>
      <w:r w:rsidRPr="00A93ACA">
        <w:rPr>
          <w:rFonts w:cs="Times New Roman"/>
          <w:szCs w:val="22"/>
        </w:rPr>
        <w:t>highlight how social media is used not just to inform, but to build value-driven relationships and encourage customer advocacy.​</w:t>
      </w:r>
    </w:p>
    <w:p w14:paraId="7A914AA1" w14:textId="01F96C0C" w:rsidR="00A93ACA" w:rsidRPr="00A93ACA" w:rsidRDefault="00A93ACA" w:rsidP="00A93ACA">
      <w:pPr>
        <w:spacing w:line="360" w:lineRule="auto"/>
        <w:ind w:left="720"/>
        <w:jc w:val="both"/>
        <w:rPr>
          <w:rFonts w:cs="Times New Roman"/>
          <w:szCs w:val="22"/>
        </w:rPr>
      </w:pPr>
      <w:r w:rsidRPr="00A93ACA">
        <w:rPr>
          <w:rFonts w:cs="Times New Roman"/>
          <w:szCs w:val="22"/>
        </w:rPr>
        <w:t>Carr and Hayes (2015) contributed to the conceptualization of SMMAs by emphasizing digital technologies that facilitate user interaction, user-generated content, and real-time communication, rooted in the ideologies of Web 2.0. The definition stresses the interactive and collaborative nature of social media platforms, which distinguish from traditional media channels by fostering engagement and peer-influenced decision-making through shared content and immediate feedback.​</w:t>
      </w:r>
    </w:p>
    <w:p w14:paraId="687D0B7D" w14:textId="7B68CD78" w:rsidR="00915260" w:rsidRDefault="00A93ACA" w:rsidP="00A93ACA">
      <w:pPr>
        <w:spacing w:line="360" w:lineRule="auto"/>
        <w:ind w:left="720"/>
        <w:jc w:val="both"/>
        <w:rPr>
          <w:rFonts w:cs="Times New Roman"/>
          <w:szCs w:val="22"/>
        </w:rPr>
      </w:pPr>
      <w:r w:rsidRPr="00A93ACA">
        <w:rPr>
          <w:rFonts w:cs="Times New Roman"/>
          <w:szCs w:val="22"/>
        </w:rPr>
        <w:t xml:space="preserve">Building on </w:t>
      </w:r>
      <w:r w:rsidR="006803E4">
        <w:rPr>
          <w:rFonts w:cs="Times New Roman" w:hint="eastAsia"/>
          <w:szCs w:val="22"/>
        </w:rPr>
        <w:t>the</w:t>
      </w:r>
      <w:r w:rsidRPr="00A93ACA">
        <w:rPr>
          <w:rFonts w:cs="Times New Roman"/>
          <w:szCs w:val="22"/>
        </w:rPr>
        <w:t xml:space="preserve"> perspectives, Hayes (2025) takes a more contemporary approach by defining SMMAs as the practice of using platforms like Instagram, Facebook, TikTok, and others to connect with audiences and cultivate brand recognition through genuine engagement, consistent content creation, and data-driven strategies. Hayes emphasizes that effective SMMA in 2025 involves not only active presence but also intentional, consistent actions that foster authentic community connections and support business objectives.</w:t>
      </w:r>
    </w:p>
    <w:p w14:paraId="43F52968" w14:textId="5AB40749" w:rsidR="00B53642" w:rsidRDefault="00F5652B" w:rsidP="00F5652B">
      <w:pPr>
        <w:jc w:val="center"/>
      </w:pPr>
      <w:r w:rsidRPr="00F5652B">
        <w:rPr>
          <w:noProof/>
        </w:rPr>
        <w:lastRenderedPageBreak/>
        <w:drawing>
          <wp:inline distT="0" distB="0" distL="0" distR="0" wp14:anchorId="478859C7" wp14:editId="0DCCAB83">
            <wp:extent cx="5170726" cy="2187615"/>
            <wp:effectExtent l="0" t="0" r="0" b="3175"/>
            <wp:docPr id="1260931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31850" name=""/>
                    <pic:cNvPicPr/>
                  </pic:nvPicPr>
                  <pic:blipFill>
                    <a:blip r:embed="rId23"/>
                    <a:stretch>
                      <a:fillRect/>
                    </a:stretch>
                  </pic:blipFill>
                  <pic:spPr>
                    <a:xfrm>
                      <a:off x="0" y="0"/>
                      <a:ext cx="5177228" cy="2190366"/>
                    </a:xfrm>
                    <a:prstGeom prst="rect">
                      <a:avLst/>
                    </a:prstGeom>
                  </pic:spPr>
                </pic:pic>
              </a:graphicData>
            </a:graphic>
          </wp:inline>
        </w:drawing>
      </w:r>
    </w:p>
    <w:p w14:paraId="65E65EA7" w14:textId="77777777" w:rsidR="00D81D69" w:rsidRDefault="00D81D69" w:rsidP="00F5652B">
      <w:pPr>
        <w:jc w:val="center"/>
      </w:pPr>
    </w:p>
    <w:p w14:paraId="19DD07F1" w14:textId="0185CB9B" w:rsidR="00B917CE" w:rsidRDefault="00B917CE" w:rsidP="00B917CE">
      <w:pPr>
        <w:pStyle w:val="Heading2"/>
        <w:numPr>
          <w:ilvl w:val="2"/>
          <w:numId w:val="5"/>
        </w:numPr>
        <w:spacing w:line="360" w:lineRule="auto"/>
        <w:rPr>
          <w:rFonts w:cs="Times New Roman"/>
          <w:b/>
          <w:bCs/>
          <w:sz w:val="22"/>
          <w:szCs w:val="22"/>
        </w:rPr>
      </w:pPr>
      <w:r w:rsidRPr="00B917CE">
        <w:rPr>
          <w:rFonts w:cs="Times New Roman"/>
          <w:b/>
          <w:bCs/>
          <w:sz w:val="22"/>
          <w:szCs w:val="22"/>
        </w:rPr>
        <w:tab/>
      </w:r>
      <w:bookmarkStart w:id="26" w:name="_Toc213748903"/>
      <w:r w:rsidRPr="00B917CE">
        <w:rPr>
          <w:rFonts w:cs="Times New Roman"/>
          <w:b/>
          <w:bCs/>
          <w:sz w:val="22"/>
          <w:szCs w:val="22"/>
        </w:rPr>
        <w:t>Measurement of Social Media Marketing Activities</w:t>
      </w:r>
      <w:bookmarkEnd w:id="26"/>
    </w:p>
    <w:p w14:paraId="3272E399" w14:textId="544967E1" w:rsidR="007303E4" w:rsidRDefault="007303E4" w:rsidP="007303E4">
      <w:pPr>
        <w:spacing w:line="360" w:lineRule="auto"/>
        <w:ind w:left="720"/>
        <w:jc w:val="both"/>
      </w:pPr>
      <w:r>
        <w:t xml:space="preserve">The measurement of social media marketing activities (SMMA) is approached differently by various scholars in the literature. Kim &amp; Ko (2012) conceptualize SMMA measurement through five distinct experiential constructs: entertainment, interaction, trendiness, customization, and word-of-mouth. These constructs reflect the diversity that </w:t>
      </w:r>
      <w:r w:rsidR="00CF24CA">
        <w:t>characterizes</w:t>
      </w:r>
      <w:r>
        <w:t xml:space="preserve"> the consumers engagement with branded content on social platforms, ranging from the enjoyment of content to the relevance and personalization of brand communication, as well as the propensity to share brand content within social circles.​</w:t>
      </w:r>
    </w:p>
    <w:p w14:paraId="0D63D599" w14:textId="54C8F58A" w:rsidR="007303E4" w:rsidRDefault="007303E4" w:rsidP="007303E4">
      <w:pPr>
        <w:spacing w:line="360" w:lineRule="auto"/>
        <w:ind w:left="720"/>
        <w:jc w:val="both"/>
      </w:pPr>
      <w:r>
        <w:t>Carr and Hayes (2015) assess SMMA by considering the interactive capabilities and opportunities for user-generated content facilitated by social media platforms. The</w:t>
      </w:r>
      <w:r w:rsidR="00D37D6F">
        <w:rPr>
          <w:rFonts w:hint="eastAsia"/>
        </w:rPr>
        <w:t xml:space="preserve"> </w:t>
      </w:r>
      <w:r>
        <w:t>measurement focuses on factors such as self-presentation, engagement with broad and narrow audiences, and the value users find in sharing and interacting through digital media. These measurements revolve around real-time and asynchronous interactions, emphasizing the perceived presence and communication between users and brands.​</w:t>
      </w:r>
    </w:p>
    <w:p w14:paraId="48D5EB0D" w14:textId="2E241B50" w:rsidR="0098151B" w:rsidRPr="000B711A" w:rsidRDefault="007303E4" w:rsidP="007303E4">
      <w:pPr>
        <w:spacing w:line="360" w:lineRule="auto"/>
        <w:ind w:left="720"/>
        <w:jc w:val="both"/>
      </w:pPr>
      <w:r>
        <w:t>Hayes (2025) advances SMMA measurement by highlighting the importance of authentic engagement, community-building, and the sustained impact of brand actions on social media audiences. Measurement encompasses how platforms enable brands to create and deliver marketing messages that capture attention, foster ongoing engagement, and cultivate meaningful relationships, focusing on metrics like engagement rates, sentiment, and conversion as indicative of marketing effectiveness.</w:t>
      </w:r>
    </w:p>
    <w:p w14:paraId="02218D08" w14:textId="7DE73E65" w:rsidR="00431D70" w:rsidRDefault="00431D70">
      <w:r>
        <w:br w:type="page"/>
      </w:r>
    </w:p>
    <w:p w14:paraId="04A7D139" w14:textId="21AA72A2" w:rsidR="00B14D5F" w:rsidRDefault="0071421D" w:rsidP="0071421D">
      <w:pPr>
        <w:ind w:left="720"/>
      </w:pPr>
      <w:r w:rsidRPr="0071421D">
        <w:rPr>
          <w:noProof/>
        </w:rPr>
        <w:lastRenderedPageBreak/>
        <w:drawing>
          <wp:inline distT="0" distB="0" distL="0" distR="0" wp14:anchorId="22FC7EDB" wp14:editId="201BC420">
            <wp:extent cx="5562886" cy="3016405"/>
            <wp:effectExtent l="0" t="0" r="0" b="0"/>
            <wp:docPr id="1992179734"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79734" name="Picture 1" descr="A screenshot of a web page&#10;&#10;AI-generated content may be incorrect."/>
                    <pic:cNvPicPr/>
                  </pic:nvPicPr>
                  <pic:blipFill>
                    <a:blip r:embed="rId24"/>
                    <a:stretch>
                      <a:fillRect/>
                    </a:stretch>
                  </pic:blipFill>
                  <pic:spPr>
                    <a:xfrm>
                      <a:off x="0" y="0"/>
                      <a:ext cx="5562886" cy="3016405"/>
                    </a:xfrm>
                    <a:prstGeom prst="rect">
                      <a:avLst/>
                    </a:prstGeom>
                  </pic:spPr>
                </pic:pic>
              </a:graphicData>
            </a:graphic>
          </wp:inline>
        </w:drawing>
      </w:r>
    </w:p>
    <w:p w14:paraId="48DE8CBA" w14:textId="77777777" w:rsidR="0077130C" w:rsidRPr="00B917CE" w:rsidRDefault="0077130C" w:rsidP="00B14D5F">
      <w:pPr>
        <w:ind w:left="720"/>
      </w:pPr>
    </w:p>
    <w:p w14:paraId="631AF7E3" w14:textId="39555650" w:rsidR="001575B8" w:rsidRPr="00915260" w:rsidRDefault="001575B8" w:rsidP="001575B8">
      <w:pPr>
        <w:pStyle w:val="Heading2"/>
        <w:numPr>
          <w:ilvl w:val="2"/>
          <w:numId w:val="5"/>
        </w:numPr>
        <w:spacing w:line="360" w:lineRule="auto"/>
        <w:rPr>
          <w:rFonts w:cs="Times New Roman"/>
          <w:b/>
          <w:bCs/>
          <w:sz w:val="22"/>
          <w:szCs w:val="22"/>
        </w:rPr>
      </w:pPr>
      <w:bookmarkStart w:id="27" w:name="_Toc213748904"/>
      <w:r w:rsidRPr="00915260">
        <w:rPr>
          <w:rFonts w:cs="Times New Roman"/>
          <w:b/>
          <w:bCs/>
          <w:sz w:val="22"/>
          <w:szCs w:val="22"/>
        </w:rPr>
        <w:t>Concluding Summary</w:t>
      </w:r>
      <w:bookmarkEnd w:id="27"/>
    </w:p>
    <w:p w14:paraId="0D6109A5" w14:textId="6861263E" w:rsidR="009D6002" w:rsidRDefault="001206C3" w:rsidP="00B53642">
      <w:pPr>
        <w:spacing w:line="360" w:lineRule="auto"/>
        <w:ind w:left="720"/>
        <w:jc w:val="both"/>
        <w:rPr>
          <w:rFonts w:cs="Times New Roman"/>
          <w:szCs w:val="22"/>
        </w:rPr>
      </w:pPr>
      <w:r w:rsidRPr="001206C3">
        <w:rPr>
          <w:rFonts w:cs="Times New Roman"/>
          <w:szCs w:val="22"/>
        </w:rPr>
        <w:t xml:space="preserve">The framework proposed by Kim and Ko (2012) for measuring social media marketing activities (SMMA) remains advantageous due to its comprehensiveness, empirical validation, and inclusion of five distinct experiential constructs </w:t>
      </w:r>
      <w:r>
        <w:rPr>
          <w:rFonts w:cs="Times New Roman"/>
          <w:szCs w:val="22"/>
        </w:rPr>
        <w:t>including</w:t>
      </w:r>
      <w:r w:rsidR="005D664E">
        <w:rPr>
          <w:rFonts w:cs="Times New Roman"/>
          <w:szCs w:val="22"/>
        </w:rPr>
        <w:t xml:space="preserve"> </w:t>
      </w:r>
      <w:r w:rsidR="005D664E" w:rsidRPr="005D664E">
        <w:rPr>
          <w:rFonts w:cs="Times New Roman"/>
          <w:szCs w:val="22"/>
        </w:rPr>
        <w:t>entertainment, interaction, trendiness, customization, and word-of-mouth</w:t>
      </w:r>
      <w:r w:rsidR="005D664E">
        <w:rPr>
          <w:rFonts w:cs="Times New Roman"/>
          <w:szCs w:val="22"/>
        </w:rPr>
        <w:t xml:space="preserve"> </w:t>
      </w:r>
      <w:r w:rsidR="005D664E" w:rsidRPr="005D664E">
        <w:rPr>
          <w:rFonts w:cs="Times New Roman"/>
          <w:szCs w:val="22"/>
        </w:rPr>
        <w:t>which capture the multi-faceted ways consumers engage with brand content on social platforms. This perspective offers clear analytical distinctions that are well-suited for both academic research and practical assessment of marketing effectiveness. Furthermore, Kim &amp; Ko’s model has been frequently adopted and validated across various studies and industry contexts, making it both reliable and adaptable for understanding how SMMA influence brand equity, customer experience, and purchase intention. As a result, this approach provides a strategically relevant and robust foundation for evaluating SMMA in contemporary research.</w:t>
      </w:r>
      <w:r w:rsidR="00961B1D">
        <w:rPr>
          <w:rFonts w:cs="Times New Roman" w:hint="eastAsia"/>
          <w:szCs w:val="22"/>
        </w:rPr>
        <w:t xml:space="preserve"> In contrast, </w:t>
      </w:r>
      <w:r w:rsidR="00961B1D" w:rsidRPr="00961B1D">
        <w:rPr>
          <w:rFonts w:cs="Times New Roman"/>
          <w:szCs w:val="22"/>
        </w:rPr>
        <w:t xml:space="preserve">Carr and Hayes (2015) and Hayes (2025) </w:t>
      </w:r>
      <w:r w:rsidR="00BC44BF" w:rsidRPr="00961B1D">
        <w:rPr>
          <w:rFonts w:cs="Times New Roman"/>
          <w:szCs w:val="22"/>
        </w:rPr>
        <w:t>frameworks</w:t>
      </w:r>
      <w:r w:rsidR="00961B1D" w:rsidRPr="00961B1D">
        <w:rPr>
          <w:rFonts w:cs="Times New Roman"/>
          <w:szCs w:val="22"/>
        </w:rPr>
        <w:t xml:space="preserve"> focus mainly on technological features, user-generated content, or platform-specific engagement, which may lack empirical validation, stability, and generalizability for assessing broader marketing effectiveness across different contexts. </w:t>
      </w:r>
      <w:r w:rsidR="005344F1">
        <w:rPr>
          <w:rFonts w:cs="Times New Roman"/>
          <w:szCs w:val="22"/>
        </w:rPr>
        <w:t>The</w:t>
      </w:r>
      <w:r w:rsidR="00961B1D" w:rsidRPr="00961B1D">
        <w:rPr>
          <w:rFonts w:cs="Times New Roman"/>
          <w:szCs w:val="22"/>
        </w:rPr>
        <w:t xml:space="preserve"> definitions risk being either limited by current trends or too broad to offer precise, consistent </w:t>
      </w:r>
      <w:r w:rsidR="00BC44BF" w:rsidRPr="00961B1D">
        <w:rPr>
          <w:rFonts w:cs="Times New Roman"/>
          <w:szCs w:val="22"/>
        </w:rPr>
        <w:t>measurements</w:t>
      </w:r>
      <w:r w:rsidR="00961B1D" w:rsidRPr="00961B1D">
        <w:rPr>
          <w:rFonts w:cs="Times New Roman"/>
          <w:szCs w:val="22"/>
        </w:rPr>
        <w:t xml:space="preserve"> for research purposes.</w:t>
      </w:r>
    </w:p>
    <w:p w14:paraId="3B98874D" w14:textId="77777777" w:rsidR="00B53642" w:rsidRPr="00915260" w:rsidRDefault="00B53642" w:rsidP="00B53642">
      <w:pPr>
        <w:spacing w:line="360" w:lineRule="auto"/>
        <w:ind w:left="720"/>
        <w:jc w:val="both"/>
        <w:rPr>
          <w:rFonts w:eastAsia="Times New Roman" w:cs="Times New Roman"/>
          <w:kern w:val="0"/>
          <w:szCs w:val="22"/>
          <w14:ligatures w14:val="none"/>
        </w:rPr>
      </w:pPr>
    </w:p>
    <w:p w14:paraId="1FEB751A" w14:textId="29800A2F" w:rsidR="002B71DB" w:rsidRDefault="00BE4BB7"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lastRenderedPageBreak/>
        <w:t xml:space="preserve"> </w:t>
      </w:r>
      <w:bookmarkStart w:id="28" w:name="_Toc209184653"/>
      <w:bookmarkStart w:id="29" w:name="_Toc213748905"/>
      <w:r w:rsidRPr="00915260">
        <w:rPr>
          <w:rFonts w:cs="Times New Roman"/>
          <w:b/>
          <w:bCs/>
          <w:sz w:val="22"/>
          <w:szCs w:val="22"/>
        </w:rPr>
        <w:t>Environmental Conscious</w:t>
      </w:r>
      <w:bookmarkEnd w:id="28"/>
      <w:bookmarkEnd w:id="29"/>
    </w:p>
    <w:p w14:paraId="552FEA92" w14:textId="20D2AC83" w:rsidR="00CB1807" w:rsidRPr="00CB1807" w:rsidRDefault="00CB1807" w:rsidP="00CB1807">
      <w:pPr>
        <w:spacing w:line="360" w:lineRule="auto"/>
        <w:jc w:val="both"/>
      </w:pPr>
      <w:r w:rsidRPr="00CB1807">
        <w:t>Environmental conscious refers to an individual’s awareness, concern, and behavioral intention regarding the preservation and protection of the natural environment. It represents a cognitive, affective, and behavioral construct that influences eco-friendly attitudes and sustainable consumption decisions.</w:t>
      </w:r>
    </w:p>
    <w:p w14:paraId="6379569E" w14:textId="77777777" w:rsidR="00821E2A" w:rsidRPr="00CB1807" w:rsidRDefault="00821E2A" w:rsidP="00CB1807">
      <w:pPr>
        <w:spacing w:line="360" w:lineRule="auto"/>
        <w:jc w:val="both"/>
      </w:pPr>
    </w:p>
    <w:p w14:paraId="26F828E9" w14:textId="55103CCA" w:rsidR="002B71DB" w:rsidRDefault="002B71DB" w:rsidP="004F76CE">
      <w:pPr>
        <w:pStyle w:val="Heading2"/>
        <w:numPr>
          <w:ilvl w:val="2"/>
          <w:numId w:val="5"/>
        </w:numPr>
        <w:spacing w:line="360" w:lineRule="auto"/>
        <w:rPr>
          <w:rFonts w:cs="Times New Roman"/>
          <w:b/>
          <w:bCs/>
          <w:sz w:val="22"/>
          <w:szCs w:val="22"/>
        </w:rPr>
      </w:pPr>
      <w:bookmarkStart w:id="30" w:name="_Toc209184654"/>
      <w:bookmarkStart w:id="31" w:name="_Toc213748906"/>
      <w:r w:rsidRPr="00915260">
        <w:rPr>
          <w:rFonts w:cs="Times New Roman"/>
          <w:b/>
          <w:bCs/>
          <w:sz w:val="22"/>
          <w:szCs w:val="22"/>
        </w:rPr>
        <w:t>Definition</w:t>
      </w:r>
      <w:bookmarkEnd w:id="30"/>
      <w:r w:rsidR="00CB1807">
        <w:rPr>
          <w:rFonts w:cs="Times New Roman" w:hint="eastAsia"/>
          <w:b/>
          <w:bCs/>
          <w:sz w:val="22"/>
          <w:szCs w:val="22"/>
        </w:rPr>
        <w:t xml:space="preserve"> of </w:t>
      </w:r>
      <w:r w:rsidR="005D76EA">
        <w:rPr>
          <w:rFonts w:cs="Times New Roman"/>
          <w:b/>
          <w:bCs/>
          <w:sz w:val="22"/>
          <w:szCs w:val="22"/>
        </w:rPr>
        <w:t>Environmental</w:t>
      </w:r>
      <w:r w:rsidR="00CB1807">
        <w:rPr>
          <w:rFonts w:cs="Times New Roman" w:hint="eastAsia"/>
          <w:b/>
          <w:bCs/>
          <w:sz w:val="22"/>
          <w:szCs w:val="22"/>
        </w:rPr>
        <w:t xml:space="preserve"> Con</w:t>
      </w:r>
      <w:r w:rsidR="005D76EA">
        <w:rPr>
          <w:rFonts w:cs="Times New Roman" w:hint="eastAsia"/>
          <w:b/>
          <w:bCs/>
          <w:sz w:val="22"/>
          <w:szCs w:val="22"/>
        </w:rPr>
        <w:t>scious</w:t>
      </w:r>
      <w:bookmarkEnd w:id="31"/>
    </w:p>
    <w:p w14:paraId="1145937C" w14:textId="447B7805" w:rsidR="00D948D7" w:rsidRDefault="005D76EA" w:rsidP="005D76EA">
      <w:pPr>
        <w:spacing w:line="360" w:lineRule="auto"/>
        <w:ind w:left="720"/>
        <w:jc w:val="both"/>
      </w:pPr>
      <w:r>
        <w:t xml:space="preserve">Majeed et al. (2022) characterized environmental </w:t>
      </w:r>
      <w:r w:rsidR="00ED409C">
        <w:t>conscious</w:t>
      </w:r>
      <w:r>
        <w:t xml:space="preserve"> as an individual’s level of awareness and sensitivity toward environmental sustainability, emphasizing the relationship between eco-awareness and responsible purchasing behavior. The study found that consumers with higher environmental awareness exhibit a stronger inclination toward green products and ethical brands.</w:t>
      </w:r>
    </w:p>
    <w:p w14:paraId="33578970" w14:textId="2B184B94" w:rsidR="00D948D7" w:rsidRDefault="005D76EA" w:rsidP="00D948D7">
      <w:pPr>
        <w:spacing w:line="360" w:lineRule="auto"/>
        <w:ind w:left="720"/>
        <w:jc w:val="both"/>
      </w:pPr>
      <w:r>
        <w:t>Kim and Lee (2023) expande</w:t>
      </w:r>
      <w:r w:rsidR="00B82219">
        <w:rPr>
          <w:rFonts w:hint="eastAsia"/>
        </w:rPr>
        <w:t xml:space="preserve">d </w:t>
      </w:r>
      <w:r w:rsidR="00B82219">
        <w:t>environment</w:t>
      </w:r>
      <w:r w:rsidR="00B82219">
        <w:rPr>
          <w:rFonts w:hint="eastAsia"/>
        </w:rPr>
        <w:t xml:space="preserve">al </w:t>
      </w:r>
      <w:r w:rsidR="00ED409C">
        <w:rPr>
          <w:rFonts w:hint="eastAsia"/>
        </w:rPr>
        <w:t>conscious</w:t>
      </w:r>
      <w:r>
        <w:t xml:space="preserve"> by focusing on the psychological and moral. </w:t>
      </w:r>
      <w:r w:rsidR="00B82219">
        <w:t>I</w:t>
      </w:r>
      <w:r w:rsidR="00B82219">
        <w:rPr>
          <w:rFonts w:hint="eastAsia"/>
        </w:rPr>
        <w:t>t</w:t>
      </w:r>
      <w:r>
        <w:t xml:space="preserve"> defined environmental </w:t>
      </w:r>
      <w:r w:rsidR="00ED409C">
        <w:t>conscious</w:t>
      </w:r>
      <w:r>
        <w:t xml:space="preserve"> as an internalized belief system that reflects moral obligation and ecological responsibility in daily consumption patterns. According to the framework, environmental </w:t>
      </w:r>
      <w:r w:rsidR="00ED409C">
        <w:t>conscious</w:t>
      </w:r>
      <w:r>
        <w:t xml:space="preserve"> extends beyond awareness</w:t>
      </w:r>
      <w:r w:rsidR="00AE571C">
        <w:t xml:space="preserve">, </w:t>
      </w:r>
      <w:r>
        <w:t>it incorporates perceived behavioral control and ecological self-identity.</w:t>
      </w:r>
    </w:p>
    <w:p w14:paraId="40B2FAF8" w14:textId="58F85A4B" w:rsidR="005D76EA" w:rsidRDefault="005D76EA" w:rsidP="00D948D7">
      <w:pPr>
        <w:spacing w:line="360" w:lineRule="auto"/>
        <w:ind w:left="720"/>
        <w:jc w:val="both"/>
      </w:pPr>
      <w:r>
        <w:t xml:space="preserve">D’Attoma and Ieva (2024) further conceptualized environmental </w:t>
      </w:r>
      <w:r w:rsidR="00ED409C">
        <w:t>conscious</w:t>
      </w:r>
      <w:r>
        <w:t xml:space="preserve"> within the context of sustainable consumption, framing it as a multidimensional construct that integrates knowledge, concern, and action. The research emphasized how consumers’ cognitive understanding of environmental issues and emotional involvement drive active environmental and purchase decisions</w:t>
      </w:r>
      <w:r w:rsidR="003F10F2">
        <w:t xml:space="preserve"> </w:t>
      </w:r>
      <w:r w:rsidR="003F10F2" w:rsidRPr="003F10F2">
        <w:t>Sebastian et al.</w:t>
      </w:r>
      <w:r w:rsidR="003F10F2">
        <w:t xml:space="preserve"> (</w:t>
      </w:r>
      <w:r w:rsidR="003F10F2" w:rsidRPr="003F10F2">
        <w:t xml:space="preserve">2025) </w:t>
      </w:r>
      <w:r>
        <w:t xml:space="preserve">defined environmental </w:t>
      </w:r>
      <w:r w:rsidR="00ED409C">
        <w:t>conscious</w:t>
      </w:r>
      <w:r>
        <w:t xml:space="preserve"> as a proactive consumer orientation toward minimizing environmental impact through sustainable choices and lifestyle practices. They emphasized digital literacy and social influence as recent determinants, showing how modern consumers integrate sustainability into online and offline behaviors.</w:t>
      </w:r>
    </w:p>
    <w:p w14:paraId="6CC3B40D" w14:textId="2ADF35F5" w:rsidR="000E7ABB" w:rsidRDefault="000E7ABB">
      <w:r>
        <w:br w:type="page"/>
      </w:r>
    </w:p>
    <w:p w14:paraId="753A8440" w14:textId="6CECD2B9" w:rsidR="00B224DE" w:rsidRDefault="00C95E2B" w:rsidP="00376604">
      <w:pPr>
        <w:spacing w:line="360" w:lineRule="auto"/>
        <w:ind w:left="720"/>
        <w:jc w:val="both"/>
        <w:rPr>
          <w:rFonts w:cs="Times New Roman"/>
          <w:b/>
          <w:bCs/>
          <w:szCs w:val="22"/>
        </w:rPr>
      </w:pPr>
      <w:bookmarkStart w:id="32" w:name="_Toc209184655"/>
      <w:r w:rsidRPr="00C95E2B">
        <w:rPr>
          <w:rFonts w:cs="Times New Roman"/>
          <w:b/>
          <w:bCs/>
          <w:noProof/>
          <w:szCs w:val="22"/>
        </w:rPr>
        <w:lastRenderedPageBreak/>
        <w:drawing>
          <wp:inline distT="0" distB="0" distL="0" distR="0" wp14:anchorId="545CE669" wp14:editId="35B1BC9E">
            <wp:extent cx="5450117" cy="3541853"/>
            <wp:effectExtent l="0" t="0" r="0" b="1905"/>
            <wp:docPr id="1453624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624031" name=""/>
                    <pic:cNvPicPr/>
                  </pic:nvPicPr>
                  <pic:blipFill>
                    <a:blip r:embed="rId25"/>
                    <a:stretch>
                      <a:fillRect/>
                    </a:stretch>
                  </pic:blipFill>
                  <pic:spPr>
                    <a:xfrm>
                      <a:off x="0" y="0"/>
                      <a:ext cx="5458297" cy="3547169"/>
                    </a:xfrm>
                    <a:prstGeom prst="rect">
                      <a:avLst/>
                    </a:prstGeom>
                  </pic:spPr>
                </pic:pic>
              </a:graphicData>
            </a:graphic>
          </wp:inline>
        </w:drawing>
      </w:r>
    </w:p>
    <w:p w14:paraId="514579EB" w14:textId="77777777" w:rsidR="00D81D69" w:rsidRDefault="00D81D69" w:rsidP="00376604">
      <w:pPr>
        <w:spacing w:line="360" w:lineRule="auto"/>
        <w:ind w:left="720"/>
        <w:jc w:val="both"/>
        <w:rPr>
          <w:rFonts w:cs="Times New Roman"/>
          <w:b/>
          <w:bCs/>
          <w:szCs w:val="22"/>
        </w:rPr>
      </w:pPr>
    </w:p>
    <w:p w14:paraId="33DADD4E" w14:textId="6582366F" w:rsidR="002B71DB" w:rsidRPr="00915260" w:rsidRDefault="004D4693" w:rsidP="004F76CE">
      <w:pPr>
        <w:pStyle w:val="Heading2"/>
        <w:numPr>
          <w:ilvl w:val="2"/>
          <w:numId w:val="5"/>
        </w:numPr>
        <w:spacing w:line="360" w:lineRule="auto"/>
        <w:rPr>
          <w:rFonts w:cs="Times New Roman"/>
          <w:b/>
          <w:bCs/>
          <w:sz w:val="22"/>
          <w:szCs w:val="22"/>
        </w:rPr>
      </w:pPr>
      <w:bookmarkStart w:id="33" w:name="_Toc213748907"/>
      <w:bookmarkEnd w:id="32"/>
      <w:r w:rsidRPr="004D4693">
        <w:rPr>
          <w:rFonts w:cs="Times New Roman"/>
          <w:b/>
          <w:bCs/>
          <w:sz w:val="22"/>
          <w:szCs w:val="22"/>
        </w:rPr>
        <w:t xml:space="preserve">Measurement of Environmental </w:t>
      </w:r>
      <w:r w:rsidR="00ED409C">
        <w:rPr>
          <w:rFonts w:cs="Times New Roman"/>
          <w:b/>
          <w:bCs/>
          <w:sz w:val="22"/>
          <w:szCs w:val="22"/>
        </w:rPr>
        <w:t>Conscious</w:t>
      </w:r>
      <w:bookmarkEnd w:id="33"/>
    </w:p>
    <w:p w14:paraId="0BEC79B5" w14:textId="04979662" w:rsidR="003337EC"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 xml:space="preserve">Majeed et al. (2022) operationalized environmental </w:t>
      </w:r>
      <w:r w:rsidR="00ED409C">
        <w:rPr>
          <w:rFonts w:eastAsia="Times New Roman" w:cs="Times New Roman"/>
          <w:kern w:val="0"/>
          <w:szCs w:val="22"/>
          <w14:ligatures w14:val="none"/>
        </w:rPr>
        <w:t>conscious</w:t>
      </w:r>
      <w:r w:rsidRPr="00BA7A59">
        <w:rPr>
          <w:rFonts w:eastAsia="Times New Roman" w:cs="Times New Roman"/>
          <w:kern w:val="0"/>
          <w:szCs w:val="22"/>
          <w14:ligatures w14:val="none"/>
        </w:rPr>
        <w:t xml:space="preserve"> through three primary indicators: environmental knowledge, concern, and perceived behavioral intention. These dimensions assess how individuals recognize ecological issues, express care for environmental protection, and act sustainably.</w:t>
      </w:r>
    </w:p>
    <w:p w14:paraId="7FC7C51E" w14:textId="71300830" w:rsidR="003337EC"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 xml:space="preserve">Kim and Lee (2023) measured environmental </w:t>
      </w:r>
      <w:r w:rsidR="00ED409C">
        <w:rPr>
          <w:rFonts w:eastAsia="Times New Roman" w:cs="Times New Roman"/>
          <w:kern w:val="0"/>
          <w:szCs w:val="22"/>
          <w14:ligatures w14:val="none"/>
        </w:rPr>
        <w:t>conscious</w:t>
      </w:r>
      <w:r w:rsidRPr="00BA7A59">
        <w:rPr>
          <w:rFonts w:eastAsia="Times New Roman" w:cs="Times New Roman"/>
          <w:kern w:val="0"/>
          <w:szCs w:val="22"/>
          <w14:ligatures w14:val="none"/>
        </w:rPr>
        <w:t xml:space="preserve"> through cognitive, affective, and behavioral components. The approach emphasized moral norms, personal responsibility, and the extent to which consumers translate environmental values into real consumption choices.</w:t>
      </w:r>
    </w:p>
    <w:p w14:paraId="3E83AAB0" w14:textId="2648A765" w:rsidR="003337EC"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 xml:space="preserve">D’Attoma and Ieva (2024) proposed a </w:t>
      </w:r>
      <w:r w:rsidR="00475C8D" w:rsidRPr="00BA7A59">
        <w:rPr>
          <w:rFonts w:eastAsia="Times New Roman" w:cs="Times New Roman"/>
          <w:kern w:val="0"/>
          <w:szCs w:val="22"/>
          <w14:ligatures w14:val="none"/>
        </w:rPr>
        <w:t>four-measurement</w:t>
      </w:r>
      <w:r w:rsidRPr="00BA7A59">
        <w:rPr>
          <w:rFonts w:eastAsia="Times New Roman" w:cs="Times New Roman"/>
          <w:kern w:val="0"/>
          <w:szCs w:val="22"/>
          <w14:ligatures w14:val="none"/>
        </w:rPr>
        <w:t xml:space="preserve"> model</w:t>
      </w:r>
      <w:r w:rsidR="00C97144">
        <w:rPr>
          <w:rFonts w:cs="Times New Roman" w:hint="eastAsia"/>
          <w:kern w:val="0"/>
          <w:szCs w:val="22"/>
          <w14:ligatures w14:val="none"/>
        </w:rPr>
        <w:t xml:space="preserve"> </w:t>
      </w:r>
      <w:r w:rsidR="00475C8D">
        <w:rPr>
          <w:rFonts w:cs="Times New Roman"/>
          <w:kern w:val="0"/>
          <w:szCs w:val="22"/>
          <w14:ligatures w14:val="none"/>
        </w:rPr>
        <w:t>including</w:t>
      </w:r>
      <w:r w:rsidRPr="00BA7A59">
        <w:rPr>
          <w:rFonts w:eastAsia="Times New Roman" w:cs="Times New Roman"/>
          <w:kern w:val="0"/>
          <w:szCs w:val="22"/>
          <w14:ligatures w14:val="none"/>
        </w:rPr>
        <w:t xml:space="preserve"> environmental knowledge, awareness, ecological concern, and environmentally responsible behavior. </w:t>
      </w:r>
      <w:r w:rsidR="00C97144">
        <w:rPr>
          <w:rFonts w:cs="Times New Roman" w:hint="eastAsia"/>
          <w:kern w:val="0"/>
          <w:szCs w:val="22"/>
          <w14:ligatures w14:val="none"/>
        </w:rPr>
        <w:t>T</w:t>
      </w:r>
      <w:r w:rsidRPr="00BA7A59">
        <w:rPr>
          <w:rFonts w:eastAsia="Times New Roman" w:cs="Times New Roman"/>
          <w:kern w:val="0"/>
          <w:szCs w:val="22"/>
          <w14:ligatures w14:val="none"/>
        </w:rPr>
        <w:t>he role of experiential learning in enhancing the link between concern and sustainable actions.</w:t>
      </w:r>
    </w:p>
    <w:p w14:paraId="21B4609F" w14:textId="43AF7E0E" w:rsidR="002B71DB" w:rsidRDefault="00BA7A59" w:rsidP="00BA7A59">
      <w:pPr>
        <w:spacing w:line="360" w:lineRule="auto"/>
        <w:ind w:left="720"/>
        <w:jc w:val="both"/>
        <w:rPr>
          <w:rFonts w:cs="Times New Roman"/>
          <w:kern w:val="0"/>
          <w:szCs w:val="22"/>
          <w14:ligatures w14:val="none"/>
        </w:rPr>
      </w:pPr>
      <w:r w:rsidRPr="00BA7A59">
        <w:rPr>
          <w:rFonts w:eastAsia="Times New Roman" w:cs="Times New Roman"/>
          <w:kern w:val="0"/>
          <w:szCs w:val="22"/>
          <w14:ligatures w14:val="none"/>
        </w:rPr>
        <w:t>Sebastian et al. (2025) introduced updated digital-age metrics, such as consumers’ engagement with sustainable brands on social media, participation in eco-friendly online communities, and sustainability-based purchase patterns. The study adds a technological and behavioral measurement dimension reflective of modern market realities.</w:t>
      </w:r>
    </w:p>
    <w:p w14:paraId="49B567D5" w14:textId="0E5EABBD" w:rsidR="00D14F27" w:rsidRPr="002704F0" w:rsidRDefault="00D00EAB" w:rsidP="002704F0">
      <w:pPr>
        <w:ind w:left="720"/>
        <w:rPr>
          <w:rFonts w:cs="Times New Roman"/>
          <w:kern w:val="0"/>
          <w:szCs w:val="22"/>
          <w14:ligatures w14:val="none"/>
        </w:rPr>
      </w:pPr>
      <w:r>
        <w:rPr>
          <w:rFonts w:cs="Times New Roman"/>
          <w:kern w:val="0"/>
          <w:szCs w:val="22"/>
          <w14:ligatures w14:val="none"/>
        </w:rPr>
        <w:br w:type="page"/>
      </w:r>
      <w:r w:rsidR="002704F0" w:rsidRPr="002704F0">
        <w:rPr>
          <w:rFonts w:cs="Times New Roman"/>
          <w:noProof/>
          <w:kern w:val="0"/>
          <w:szCs w:val="22"/>
          <w14:ligatures w14:val="none"/>
        </w:rPr>
        <w:lastRenderedPageBreak/>
        <w:drawing>
          <wp:inline distT="0" distB="0" distL="0" distR="0" wp14:anchorId="60EF35EB" wp14:editId="3B98308D">
            <wp:extent cx="5534992" cy="3136739"/>
            <wp:effectExtent l="0" t="0" r="8890" b="6985"/>
            <wp:docPr id="42595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5443" name="Picture 1"/>
                    <pic:cNvPicPr/>
                  </pic:nvPicPr>
                  <pic:blipFill>
                    <a:blip r:embed="rId26"/>
                    <a:stretch>
                      <a:fillRect/>
                    </a:stretch>
                  </pic:blipFill>
                  <pic:spPr>
                    <a:xfrm>
                      <a:off x="0" y="0"/>
                      <a:ext cx="5539773" cy="3139448"/>
                    </a:xfrm>
                    <a:prstGeom prst="rect">
                      <a:avLst/>
                    </a:prstGeom>
                  </pic:spPr>
                </pic:pic>
              </a:graphicData>
            </a:graphic>
          </wp:inline>
        </w:drawing>
      </w:r>
    </w:p>
    <w:p w14:paraId="56C4EEB6" w14:textId="77777777" w:rsidR="002704F0" w:rsidRDefault="002704F0" w:rsidP="00821E2A"/>
    <w:p w14:paraId="38C21D12" w14:textId="06E992E7" w:rsidR="00307E7F" w:rsidRPr="00915260" w:rsidRDefault="00307E7F" w:rsidP="00307E7F">
      <w:pPr>
        <w:pStyle w:val="Heading2"/>
        <w:numPr>
          <w:ilvl w:val="2"/>
          <w:numId w:val="5"/>
        </w:numPr>
        <w:spacing w:line="360" w:lineRule="auto"/>
        <w:rPr>
          <w:rFonts w:cs="Times New Roman"/>
          <w:b/>
          <w:bCs/>
          <w:sz w:val="22"/>
          <w:szCs w:val="22"/>
        </w:rPr>
      </w:pPr>
      <w:bookmarkStart w:id="34" w:name="_Toc213748908"/>
      <w:r w:rsidRPr="00915260">
        <w:rPr>
          <w:rFonts w:cs="Times New Roman"/>
          <w:b/>
          <w:bCs/>
          <w:sz w:val="22"/>
          <w:szCs w:val="22"/>
        </w:rPr>
        <w:t>Concluding Summary</w:t>
      </w:r>
      <w:bookmarkEnd w:id="34"/>
    </w:p>
    <w:p w14:paraId="5D6138BA" w14:textId="055E276F" w:rsidR="00F408C5" w:rsidRDefault="008A3321" w:rsidP="001F665C">
      <w:pPr>
        <w:spacing w:line="360" w:lineRule="auto"/>
        <w:ind w:left="720"/>
        <w:jc w:val="both"/>
        <w:rPr>
          <w:rFonts w:cs="Times New Roman"/>
          <w:szCs w:val="22"/>
        </w:rPr>
      </w:pPr>
      <w:r w:rsidRPr="008A3321">
        <w:rPr>
          <w:rFonts w:cs="Times New Roman"/>
          <w:szCs w:val="22"/>
        </w:rPr>
        <w:t xml:space="preserve">Across the reviewed literature, environmental </w:t>
      </w:r>
      <w:r w:rsidR="00ED409C">
        <w:rPr>
          <w:rFonts w:cs="Times New Roman"/>
          <w:szCs w:val="22"/>
        </w:rPr>
        <w:t>conscious</w:t>
      </w:r>
      <w:r w:rsidRPr="008A3321">
        <w:rPr>
          <w:rFonts w:cs="Times New Roman"/>
          <w:szCs w:val="22"/>
        </w:rPr>
        <w:t xml:space="preserve"> has evolved from a unidimensional concern-based construct to a multi-faceted model integrating cognition, emotional connection, and digital behavior. Majeed et al. (2022) provided the foundation </w:t>
      </w:r>
      <w:r w:rsidR="008B6601" w:rsidRPr="008B6601">
        <w:rPr>
          <w:rFonts w:cs="Times New Roman"/>
          <w:szCs w:val="22"/>
        </w:rPr>
        <w:t xml:space="preserve">for measuring environmental </w:t>
      </w:r>
      <w:r w:rsidR="00ED409C">
        <w:rPr>
          <w:rFonts w:cs="Times New Roman"/>
          <w:szCs w:val="22"/>
        </w:rPr>
        <w:t>conscious</w:t>
      </w:r>
      <w:r w:rsidR="008B6601" w:rsidRPr="008B6601">
        <w:rPr>
          <w:rFonts w:cs="Times New Roman"/>
          <w:szCs w:val="22"/>
        </w:rPr>
        <w:t xml:space="preserve"> offers several advantages for research focused on sustainable consumer behavior. The model is direct and actionable, centering on three essential </w:t>
      </w:r>
      <w:r w:rsidR="008B6601">
        <w:rPr>
          <w:rFonts w:cs="Times New Roman" w:hint="eastAsia"/>
          <w:szCs w:val="22"/>
        </w:rPr>
        <w:t>element</w:t>
      </w:r>
      <w:r w:rsidR="00682EE3">
        <w:rPr>
          <w:rFonts w:cs="Times New Roman" w:hint="eastAsia"/>
          <w:szCs w:val="22"/>
        </w:rPr>
        <w:t xml:space="preserve">s </w:t>
      </w:r>
      <w:r w:rsidR="00682EE3">
        <w:rPr>
          <w:rFonts w:cs="Times New Roman"/>
          <w:szCs w:val="22"/>
        </w:rPr>
        <w:t>including</w:t>
      </w:r>
      <w:r w:rsidR="008B6601" w:rsidRPr="008B6601">
        <w:rPr>
          <w:rFonts w:cs="Times New Roman"/>
          <w:szCs w:val="22"/>
        </w:rPr>
        <w:t xml:space="preserve"> environmental knowledge, concern, and perceived behavioral intention, which robustly capture how individuals recognize, care about, and act upon ecological issues. By clearly linking awareness and sensitivity to green purchasing, the operationalization connects psychological factors with responsible decision-making, ensuring relevance to market and consumption studies. Furthermore, Majeed et al.'s approach provides analytical clarity and research practicality, making it especially suitable for empirical studies seeking to quantify the effects of environmental </w:t>
      </w:r>
      <w:r w:rsidR="00ED409C">
        <w:rPr>
          <w:rFonts w:cs="Times New Roman"/>
          <w:szCs w:val="22"/>
        </w:rPr>
        <w:t>conscious</w:t>
      </w:r>
      <w:r w:rsidR="008B6601" w:rsidRPr="008B6601">
        <w:rPr>
          <w:rFonts w:cs="Times New Roman"/>
          <w:szCs w:val="22"/>
        </w:rPr>
        <w:t xml:space="preserve"> on purchase intention and observed consumer behaviors. This focus on direct behavioral intention facilitates investigation of the attitude-behavior gap, which is crucial for actionable insights in sustainability research.</w:t>
      </w:r>
      <w:r w:rsidR="00682EE3">
        <w:rPr>
          <w:rFonts w:cs="Times New Roman" w:hint="eastAsia"/>
          <w:szCs w:val="22"/>
        </w:rPr>
        <w:t xml:space="preserve"> </w:t>
      </w:r>
      <w:r w:rsidRPr="008A3321">
        <w:rPr>
          <w:rFonts w:cs="Times New Roman"/>
          <w:szCs w:val="22"/>
        </w:rPr>
        <w:t xml:space="preserve">This approach aligns with the city’s digitally connected, sustainability-conscious consumer culture and supports a robust understanding of environmental </w:t>
      </w:r>
      <w:r w:rsidR="00ED409C">
        <w:rPr>
          <w:rFonts w:cs="Times New Roman"/>
          <w:szCs w:val="22"/>
        </w:rPr>
        <w:t>conscious</w:t>
      </w:r>
      <w:r w:rsidRPr="008A3321">
        <w:rPr>
          <w:rFonts w:cs="Times New Roman"/>
          <w:szCs w:val="22"/>
        </w:rPr>
        <w:t xml:space="preserve"> influencing purchase intention toward eco-oriented brands like Nestlé Hong Kong.</w:t>
      </w:r>
      <w:r w:rsidR="00D35BEB">
        <w:rPr>
          <w:rFonts w:cs="Times New Roman" w:hint="eastAsia"/>
          <w:szCs w:val="22"/>
        </w:rPr>
        <w:t xml:space="preserve"> </w:t>
      </w:r>
      <w:r w:rsidR="0034691E">
        <w:rPr>
          <w:rFonts w:cs="Times New Roman" w:hint="eastAsia"/>
          <w:szCs w:val="22"/>
        </w:rPr>
        <w:t xml:space="preserve">Frameworks in </w:t>
      </w:r>
      <w:r w:rsidR="00D35BEB" w:rsidRPr="00D35BEB">
        <w:rPr>
          <w:rFonts w:cs="Times New Roman"/>
          <w:szCs w:val="22"/>
        </w:rPr>
        <w:t xml:space="preserve">Kim and Lee (2023), D’Attoma and Ieva (2024), and Sebastian et al. (2025) are either too focused on psychological and experiential components, introduce complexity with multidimensional models, or emphasize digital and technological aspects that may not provide enough empirical clarity or generalizability for broad research on environmental </w:t>
      </w:r>
      <w:r w:rsidR="00ED409C">
        <w:rPr>
          <w:rFonts w:cs="Times New Roman"/>
          <w:szCs w:val="22"/>
        </w:rPr>
        <w:t>conscious</w:t>
      </w:r>
      <w:r w:rsidR="00D35BEB" w:rsidRPr="00D35BEB">
        <w:rPr>
          <w:rFonts w:cs="Times New Roman"/>
          <w:szCs w:val="22"/>
        </w:rPr>
        <w:t>.</w:t>
      </w:r>
    </w:p>
    <w:p w14:paraId="0035D0D5" w14:textId="77777777" w:rsidR="008A3321" w:rsidRDefault="008A3321" w:rsidP="008A3321">
      <w:pPr>
        <w:spacing w:line="360" w:lineRule="auto"/>
        <w:ind w:left="720"/>
        <w:jc w:val="both"/>
        <w:rPr>
          <w:rFonts w:cs="Times New Roman"/>
          <w:kern w:val="0"/>
          <w:szCs w:val="22"/>
          <w14:ligatures w14:val="none"/>
        </w:rPr>
      </w:pPr>
    </w:p>
    <w:p w14:paraId="25B4BCF9" w14:textId="7BF1555C" w:rsidR="00E219A6" w:rsidRDefault="00E219A6" w:rsidP="004F76CE">
      <w:pPr>
        <w:pStyle w:val="Heading2"/>
        <w:numPr>
          <w:ilvl w:val="1"/>
          <w:numId w:val="5"/>
        </w:numPr>
        <w:spacing w:line="360" w:lineRule="auto"/>
        <w:ind w:left="450" w:hanging="450"/>
        <w:rPr>
          <w:rFonts w:cs="Times New Roman"/>
          <w:b/>
          <w:bCs/>
          <w:sz w:val="22"/>
          <w:szCs w:val="22"/>
        </w:rPr>
      </w:pPr>
      <w:r w:rsidRPr="00915260">
        <w:rPr>
          <w:rFonts w:cs="Times New Roman"/>
          <w:b/>
          <w:bCs/>
          <w:sz w:val="22"/>
          <w:szCs w:val="22"/>
        </w:rPr>
        <w:lastRenderedPageBreak/>
        <w:t xml:space="preserve"> </w:t>
      </w:r>
      <w:bookmarkStart w:id="35" w:name="_Toc209184656"/>
      <w:bookmarkStart w:id="36" w:name="_Toc213748909"/>
      <w:r w:rsidRPr="00915260">
        <w:rPr>
          <w:rFonts w:cs="Times New Roman"/>
          <w:b/>
          <w:bCs/>
          <w:sz w:val="22"/>
          <w:szCs w:val="22"/>
        </w:rPr>
        <w:t>Sustainability</w:t>
      </w:r>
      <w:bookmarkEnd w:id="35"/>
      <w:bookmarkEnd w:id="36"/>
    </w:p>
    <w:p w14:paraId="0EEC9CC1" w14:textId="6601DCDE" w:rsidR="00EA1B6F" w:rsidRDefault="00EA1B6F" w:rsidP="00EA1B6F">
      <w:pPr>
        <w:spacing w:line="360" w:lineRule="auto"/>
        <w:jc w:val="both"/>
      </w:pPr>
      <w:r w:rsidRPr="00EA1B6F">
        <w:t xml:space="preserve">Sustainability refers to the capacity to meet current needs without compromising the ability of future generations to meet </w:t>
      </w:r>
      <w:r w:rsidR="004D081B">
        <w:rPr>
          <w:rFonts w:hint="eastAsia"/>
        </w:rPr>
        <w:t>by</w:t>
      </w:r>
      <w:r w:rsidRPr="00EA1B6F">
        <w:t xml:space="preserve"> own. Over time, the concept has expanded from environmental conservation to a comprehensive model encompassing economic, social, and environmental dimensions.</w:t>
      </w:r>
    </w:p>
    <w:p w14:paraId="37FC7B08" w14:textId="77777777" w:rsidR="00413FCC" w:rsidRPr="00EA1B6F" w:rsidRDefault="00413FCC" w:rsidP="00EA1B6F">
      <w:pPr>
        <w:spacing w:line="360" w:lineRule="auto"/>
        <w:jc w:val="both"/>
      </w:pPr>
    </w:p>
    <w:p w14:paraId="21C251A9" w14:textId="45B6C96E" w:rsidR="00E219A6" w:rsidRPr="00915260" w:rsidRDefault="00E219A6" w:rsidP="004F76CE">
      <w:pPr>
        <w:pStyle w:val="Heading2"/>
        <w:numPr>
          <w:ilvl w:val="2"/>
          <w:numId w:val="5"/>
        </w:numPr>
        <w:spacing w:line="360" w:lineRule="auto"/>
        <w:rPr>
          <w:rFonts w:cs="Times New Roman"/>
          <w:b/>
          <w:bCs/>
          <w:sz w:val="22"/>
          <w:szCs w:val="22"/>
        </w:rPr>
      </w:pPr>
      <w:bookmarkStart w:id="37" w:name="_Toc209184657"/>
      <w:bookmarkStart w:id="38" w:name="_Toc213748910"/>
      <w:r w:rsidRPr="00915260">
        <w:rPr>
          <w:rFonts w:cs="Times New Roman"/>
          <w:b/>
          <w:bCs/>
          <w:sz w:val="22"/>
          <w:szCs w:val="22"/>
        </w:rPr>
        <w:t>Definition</w:t>
      </w:r>
      <w:bookmarkEnd w:id="37"/>
      <w:r w:rsidR="00EA1B6F">
        <w:rPr>
          <w:rFonts w:cs="Times New Roman" w:hint="eastAsia"/>
          <w:b/>
          <w:bCs/>
          <w:sz w:val="22"/>
          <w:szCs w:val="22"/>
        </w:rPr>
        <w:t xml:space="preserve"> of Sustainability</w:t>
      </w:r>
      <w:bookmarkEnd w:id="38"/>
    </w:p>
    <w:p w14:paraId="721DB3E2" w14:textId="77777777" w:rsidR="00917706" w:rsidRDefault="00C65DC4" w:rsidP="00C65DC4">
      <w:pPr>
        <w:spacing w:line="360" w:lineRule="auto"/>
        <w:ind w:left="720"/>
        <w:jc w:val="both"/>
        <w:rPr>
          <w:rFonts w:cs="Times New Roman"/>
          <w:szCs w:val="22"/>
        </w:rPr>
      </w:pPr>
      <w:r w:rsidRPr="00C65DC4">
        <w:rPr>
          <w:rFonts w:cs="Times New Roman"/>
          <w:szCs w:val="22"/>
        </w:rPr>
        <w:t>Panda et al. (2020) describe sustainability as the simultaneous pursuit of environmental integrity, economic prosperity, and social welfare, emphasizing the need for responsible resource usage and long-term value across all three pillars.</w:t>
      </w:r>
    </w:p>
    <w:p w14:paraId="320F6654" w14:textId="287380B7" w:rsidR="00917706" w:rsidRDefault="002D7809" w:rsidP="00C65DC4">
      <w:pPr>
        <w:spacing w:line="360" w:lineRule="auto"/>
        <w:ind w:left="720"/>
        <w:jc w:val="both"/>
        <w:rPr>
          <w:rFonts w:cs="Times New Roman"/>
          <w:szCs w:val="22"/>
        </w:rPr>
      </w:pPr>
      <w:proofErr w:type="spellStart"/>
      <w:r w:rsidRPr="00C65DC4">
        <w:rPr>
          <w:rFonts w:cs="Times New Roman"/>
          <w:szCs w:val="22"/>
        </w:rPr>
        <w:t>Vardari</w:t>
      </w:r>
      <w:proofErr w:type="spellEnd"/>
      <w:r w:rsidRPr="00C65DC4">
        <w:rPr>
          <w:rFonts w:cs="Times New Roman"/>
          <w:szCs w:val="22"/>
        </w:rPr>
        <w:t xml:space="preserve"> et al. (2020) define corporate sustainability as the adaptation of economic, environmental, and social dimensions into organizational decision-making, risk management, and value creation, highlighting the strategic role of corporate governance.​</w:t>
      </w:r>
    </w:p>
    <w:p w14:paraId="4F5E2B97" w14:textId="77777777" w:rsidR="00917706" w:rsidRDefault="002D7809" w:rsidP="00C65DC4">
      <w:pPr>
        <w:spacing w:line="360" w:lineRule="auto"/>
        <w:ind w:left="720"/>
        <w:jc w:val="both"/>
        <w:rPr>
          <w:rFonts w:cs="Times New Roman"/>
          <w:szCs w:val="22"/>
        </w:rPr>
      </w:pPr>
      <w:r w:rsidRPr="00C65DC4">
        <w:rPr>
          <w:rFonts w:cs="Times New Roman"/>
          <w:szCs w:val="22"/>
        </w:rPr>
        <w:t>Conceptual Analysis of Sustainability (2021) positions sustainability as the equitable, ethical, and efficient use of natural resources to ensure the continued well-being of both current and future human societies, framed within the balance of social-ecological systems and the classic "triple bottom line" (TBL) of economic, social, and environmental factors.​</w:t>
      </w:r>
    </w:p>
    <w:p w14:paraId="75F31965" w14:textId="77777777" w:rsidR="00917706" w:rsidRDefault="00C65DC4" w:rsidP="00C65DC4">
      <w:pPr>
        <w:spacing w:line="360" w:lineRule="auto"/>
        <w:ind w:left="720"/>
        <w:jc w:val="both"/>
        <w:rPr>
          <w:rFonts w:cs="Times New Roman"/>
          <w:szCs w:val="22"/>
        </w:rPr>
      </w:pPr>
      <w:r w:rsidRPr="00C65DC4">
        <w:rPr>
          <w:rFonts w:cs="Times New Roman"/>
          <w:szCs w:val="22"/>
        </w:rPr>
        <w:t>Smowltech (2023) highlight sustainability as the integration of environmental stewardship, ethical practices, and community engagement within organizational strategy, aligning operational practices with stakeholder trust and corporate responsibility.</w:t>
      </w:r>
    </w:p>
    <w:p w14:paraId="77CE7528" w14:textId="547B2034" w:rsidR="00E219A6" w:rsidRDefault="00C65DC4" w:rsidP="00C65DC4">
      <w:pPr>
        <w:spacing w:line="360" w:lineRule="auto"/>
        <w:ind w:left="720"/>
        <w:jc w:val="both"/>
        <w:rPr>
          <w:rFonts w:cs="Times New Roman"/>
          <w:szCs w:val="22"/>
        </w:rPr>
      </w:pPr>
      <w:r w:rsidRPr="00C65DC4">
        <w:rPr>
          <w:rFonts w:cs="Times New Roman"/>
          <w:szCs w:val="22"/>
        </w:rPr>
        <w:t>Takkinen (2025) adds a critical, recent perspective by exploring the plurality and context-specificity of sustainability, recognizing the growing complexity, the need for transformative approaches, and the acknowledgment of limitations when pursuing sustainability goals in the Anthropocene era.</w:t>
      </w:r>
    </w:p>
    <w:p w14:paraId="7A15F68D" w14:textId="40BC554D" w:rsidR="002D7809" w:rsidRDefault="00393468" w:rsidP="00C65DC4">
      <w:pPr>
        <w:spacing w:line="360" w:lineRule="auto"/>
        <w:ind w:left="720"/>
        <w:jc w:val="both"/>
        <w:rPr>
          <w:rFonts w:cs="Times New Roman"/>
          <w:szCs w:val="22"/>
        </w:rPr>
      </w:pPr>
      <w:r w:rsidRPr="00393468">
        <w:rPr>
          <w:rFonts w:cs="Times New Roman"/>
          <w:noProof/>
          <w:szCs w:val="22"/>
        </w:rPr>
        <w:lastRenderedPageBreak/>
        <w:drawing>
          <wp:inline distT="0" distB="0" distL="0" distR="0" wp14:anchorId="14213395" wp14:editId="56F6ADE1">
            <wp:extent cx="5470229" cy="3032567"/>
            <wp:effectExtent l="0" t="0" r="0" b="0"/>
            <wp:docPr id="832300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30006" name=""/>
                    <pic:cNvPicPr/>
                  </pic:nvPicPr>
                  <pic:blipFill>
                    <a:blip r:embed="rId27"/>
                    <a:stretch>
                      <a:fillRect/>
                    </a:stretch>
                  </pic:blipFill>
                  <pic:spPr>
                    <a:xfrm>
                      <a:off x="0" y="0"/>
                      <a:ext cx="5474074" cy="3034698"/>
                    </a:xfrm>
                    <a:prstGeom prst="rect">
                      <a:avLst/>
                    </a:prstGeom>
                  </pic:spPr>
                </pic:pic>
              </a:graphicData>
            </a:graphic>
          </wp:inline>
        </w:drawing>
      </w:r>
    </w:p>
    <w:p w14:paraId="2F43B7EF" w14:textId="07FC4B6E" w:rsidR="00E219A6" w:rsidRPr="00915260" w:rsidRDefault="00E219A6" w:rsidP="004F76CE">
      <w:pPr>
        <w:pStyle w:val="Heading2"/>
        <w:numPr>
          <w:ilvl w:val="2"/>
          <w:numId w:val="5"/>
        </w:numPr>
        <w:spacing w:line="360" w:lineRule="auto"/>
        <w:rPr>
          <w:rFonts w:cs="Times New Roman"/>
          <w:b/>
          <w:bCs/>
          <w:sz w:val="22"/>
          <w:szCs w:val="22"/>
        </w:rPr>
      </w:pPr>
      <w:bookmarkStart w:id="39" w:name="_Toc209184658"/>
      <w:bookmarkStart w:id="40" w:name="_Toc213748911"/>
      <w:r w:rsidRPr="00915260">
        <w:rPr>
          <w:rFonts w:cs="Times New Roman"/>
          <w:b/>
          <w:bCs/>
          <w:sz w:val="22"/>
          <w:szCs w:val="22"/>
        </w:rPr>
        <w:t>Measurement</w:t>
      </w:r>
      <w:bookmarkEnd w:id="39"/>
      <w:r w:rsidR="002D7809">
        <w:rPr>
          <w:rFonts w:cs="Times New Roman" w:hint="eastAsia"/>
          <w:b/>
          <w:bCs/>
          <w:sz w:val="22"/>
          <w:szCs w:val="22"/>
        </w:rPr>
        <w:t xml:space="preserve"> of Sustainability</w:t>
      </w:r>
      <w:bookmarkEnd w:id="40"/>
    </w:p>
    <w:p w14:paraId="58A7CB92" w14:textId="5B5D0E1B" w:rsidR="00917706" w:rsidRDefault="00C72B46" w:rsidP="00C72B46">
      <w:pPr>
        <w:spacing w:line="360" w:lineRule="auto"/>
        <w:ind w:left="720"/>
        <w:jc w:val="both"/>
        <w:rPr>
          <w:rFonts w:cs="Times New Roman"/>
          <w:kern w:val="0"/>
          <w:szCs w:val="22"/>
          <w14:ligatures w14:val="none"/>
        </w:rPr>
      </w:pPr>
      <w:r w:rsidRPr="00C72B46">
        <w:rPr>
          <w:rFonts w:eastAsia="Times New Roman" w:cs="Times New Roman"/>
          <w:kern w:val="0"/>
          <w:szCs w:val="22"/>
          <w14:ligatures w14:val="none"/>
        </w:rPr>
        <w:t xml:space="preserve">Panda et al. (2020) advocate for the "Triple Bottom Line" (TBL) </w:t>
      </w:r>
      <w:r w:rsidR="00393468">
        <w:rPr>
          <w:rFonts w:eastAsia="Times New Roman" w:cs="Times New Roman"/>
          <w:kern w:val="0"/>
          <w:szCs w:val="22"/>
          <w14:ligatures w14:val="none"/>
        </w:rPr>
        <w:t>assess</w:t>
      </w:r>
      <w:r w:rsidR="00393468">
        <w:rPr>
          <w:rFonts w:eastAsia="Times New Roman" w:cs="Times New Roman"/>
          <w:kern w:val="0"/>
          <w:szCs w:val="22"/>
          <w14:ligatures w14:val="none"/>
        </w:rPr>
        <w:tab/>
      </w:r>
      <w:proofErr w:type="spellStart"/>
      <w:r w:rsidRPr="00C72B46">
        <w:rPr>
          <w:rFonts w:eastAsia="Times New Roman" w:cs="Times New Roman"/>
          <w:kern w:val="0"/>
          <w:szCs w:val="22"/>
          <w14:ligatures w14:val="none"/>
        </w:rPr>
        <w:t>ent</w:t>
      </w:r>
      <w:proofErr w:type="spellEnd"/>
      <w:r w:rsidRPr="00C72B46">
        <w:rPr>
          <w:rFonts w:eastAsia="Times New Roman" w:cs="Times New Roman"/>
          <w:kern w:val="0"/>
          <w:szCs w:val="22"/>
          <w14:ligatures w14:val="none"/>
        </w:rPr>
        <w:t>, covering economic growth, social responsibility, and environmental protection, with integrated metrics on resource usage, profitability, and community impact.</w:t>
      </w:r>
    </w:p>
    <w:p w14:paraId="0C706156" w14:textId="77777777" w:rsidR="00917706" w:rsidRDefault="00C72B46" w:rsidP="00C72B46">
      <w:pPr>
        <w:spacing w:line="360" w:lineRule="auto"/>
        <w:ind w:left="720"/>
        <w:jc w:val="both"/>
        <w:rPr>
          <w:rFonts w:cs="Times New Roman"/>
          <w:kern w:val="0"/>
          <w:szCs w:val="22"/>
          <w14:ligatures w14:val="none"/>
        </w:rPr>
      </w:pPr>
      <w:r w:rsidRPr="00C72B46">
        <w:rPr>
          <w:rFonts w:eastAsia="Times New Roman" w:cs="Times New Roman"/>
          <w:kern w:val="0"/>
          <w:szCs w:val="22"/>
          <w14:ligatures w14:val="none"/>
        </w:rPr>
        <w:t>Smowltech (2023) recommend using ESG (Environmental, Social, Governance) indicators, carbon footprint tracking, ethical employment metrics, and social investment reporting for comprehensive measurement.</w:t>
      </w:r>
    </w:p>
    <w:p w14:paraId="5D096F10" w14:textId="77777777" w:rsidR="00917706" w:rsidRDefault="00C72B46" w:rsidP="00C72B46">
      <w:pPr>
        <w:spacing w:line="360" w:lineRule="auto"/>
        <w:ind w:left="720"/>
        <w:jc w:val="both"/>
        <w:rPr>
          <w:rFonts w:cs="Times New Roman"/>
          <w:kern w:val="0"/>
          <w:szCs w:val="22"/>
          <w14:ligatures w14:val="none"/>
        </w:rPr>
      </w:pPr>
      <w:r w:rsidRPr="00C72B46">
        <w:rPr>
          <w:rFonts w:eastAsia="Times New Roman" w:cs="Times New Roman"/>
          <w:kern w:val="0"/>
          <w:szCs w:val="22"/>
          <w14:ligatures w14:val="none"/>
        </w:rPr>
        <w:t>Conceptual Analysis (2021) supports customized indicators spanning environmental health, water and air quality, biodiversity, resource use efficiency, and socioeconomic progress, emphasizing the use of community and regionally tailored indicators.​</w:t>
      </w:r>
      <w:r w:rsidR="001F350C">
        <w:rPr>
          <w:rFonts w:eastAsia="Times New Roman" w:cs="Times New Roman"/>
          <w:kern w:val="0"/>
          <w:szCs w:val="22"/>
          <w14:ligatures w14:val="none"/>
        </w:rPr>
        <w:t xml:space="preserve"> </w:t>
      </w:r>
    </w:p>
    <w:p w14:paraId="2A5B4519" w14:textId="5FC182DC" w:rsidR="00917706" w:rsidRDefault="00C72B46" w:rsidP="00C72B46">
      <w:pPr>
        <w:spacing w:line="360" w:lineRule="auto"/>
        <w:ind w:left="720"/>
        <w:jc w:val="both"/>
        <w:rPr>
          <w:rFonts w:cs="Times New Roman"/>
          <w:kern w:val="0"/>
          <w:szCs w:val="22"/>
          <w14:ligatures w14:val="none"/>
        </w:rPr>
      </w:pPr>
      <w:proofErr w:type="spellStart"/>
      <w:r w:rsidRPr="00C72B46">
        <w:rPr>
          <w:rFonts w:eastAsia="Times New Roman" w:cs="Times New Roman"/>
          <w:kern w:val="0"/>
          <w:szCs w:val="22"/>
          <w14:ligatures w14:val="none"/>
        </w:rPr>
        <w:t>Vardari</w:t>
      </w:r>
      <w:proofErr w:type="spellEnd"/>
      <w:r w:rsidRPr="00C72B46">
        <w:rPr>
          <w:rFonts w:eastAsia="Times New Roman" w:cs="Times New Roman"/>
          <w:kern w:val="0"/>
          <w:szCs w:val="22"/>
          <w14:ligatures w14:val="none"/>
        </w:rPr>
        <w:t xml:space="preserve"> et al. (2020) </w:t>
      </w:r>
      <w:r w:rsidR="00DB2104" w:rsidRPr="00C72B46">
        <w:rPr>
          <w:rFonts w:eastAsia="Times New Roman" w:cs="Times New Roman"/>
          <w:kern w:val="0"/>
          <w:szCs w:val="22"/>
          <w14:ligatures w14:val="none"/>
        </w:rPr>
        <w:t>points</w:t>
      </w:r>
      <w:r w:rsidRPr="00C72B46">
        <w:rPr>
          <w:rFonts w:eastAsia="Times New Roman" w:cs="Times New Roman"/>
          <w:kern w:val="0"/>
          <w:szCs w:val="22"/>
          <w14:ligatures w14:val="none"/>
        </w:rPr>
        <w:t xml:space="preserve"> to financial and non-financial reporting (including risk management, compliance, and stakeholder engagement) that captures long-term value creation and sustainable performance.​</w:t>
      </w:r>
    </w:p>
    <w:p w14:paraId="0CA7DCD0" w14:textId="77777777" w:rsidR="007C5FAC" w:rsidRDefault="00C72B46" w:rsidP="007C5FAC">
      <w:pPr>
        <w:spacing w:line="360" w:lineRule="auto"/>
        <w:ind w:left="720"/>
        <w:jc w:val="both"/>
        <w:rPr>
          <w:rFonts w:cs="Times New Roman"/>
          <w:szCs w:val="22"/>
        </w:rPr>
      </w:pPr>
      <w:r w:rsidRPr="00C72B46">
        <w:rPr>
          <w:rFonts w:eastAsia="Times New Roman" w:cs="Times New Roman"/>
          <w:kern w:val="0"/>
          <w:szCs w:val="22"/>
          <w14:ligatures w14:val="none"/>
        </w:rPr>
        <w:t>Takkinen (2025) discusses the challenge of singular measurement, suggesting a move toward multi-scale, adaptive, and process-oriented indicators, while warning of conceptual pitfalls in comparing across contexts.​</w:t>
      </w:r>
    </w:p>
    <w:p w14:paraId="21314914" w14:textId="77777777" w:rsidR="00C72B46" w:rsidRDefault="00C72B46" w:rsidP="00C72B46">
      <w:pPr>
        <w:spacing w:line="360" w:lineRule="auto"/>
        <w:ind w:left="720"/>
        <w:jc w:val="both"/>
        <w:rPr>
          <w:i/>
          <w:iCs/>
          <w:sz w:val="20"/>
          <w:szCs w:val="20"/>
        </w:rPr>
      </w:pPr>
    </w:p>
    <w:p w14:paraId="655DCF0B" w14:textId="529D28FD" w:rsidR="00246D8E" w:rsidRDefault="00246D8E" w:rsidP="00C72B46">
      <w:pPr>
        <w:spacing w:line="360" w:lineRule="auto"/>
        <w:ind w:left="720"/>
        <w:jc w:val="both"/>
        <w:rPr>
          <w:rFonts w:cs="Times New Roman"/>
          <w:kern w:val="0"/>
          <w:szCs w:val="22"/>
          <w14:ligatures w14:val="none"/>
        </w:rPr>
      </w:pPr>
      <w:r w:rsidRPr="00246D8E">
        <w:rPr>
          <w:rFonts w:cs="Times New Roman"/>
          <w:noProof/>
          <w:kern w:val="0"/>
          <w:szCs w:val="22"/>
          <w14:ligatures w14:val="none"/>
        </w:rPr>
        <w:lastRenderedPageBreak/>
        <w:drawing>
          <wp:inline distT="0" distB="0" distL="0" distR="0" wp14:anchorId="723A6659" wp14:editId="0E8F5EFD">
            <wp:extent cx="5501423" cy="3090441"/>
            <wp:effectExtent l="0" t="0" r="4445" b="0"/>
            <wp:docPr id="338139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139887" name="Picture 1" descr="A screenshot of a computer&#10;&#10;AI-generated content may be incorrect."/>
                    <pic:cNvPicPr/>
                  </pic:nvPicPr>
                  <pic:blipFill>
                    <a:blip r:embed="rId28"/>
                    <a:stretch>
                      <a:fillRect/>
                    </a:stretch>
                  </pic:blipFill>
                  <pic:spPr>
                    <a:xfrm>
                      <a:off x="0" y="0"/>
                      <a:ext cx="5507473" cy="3093840"/>
                    </a:xfrm>
                    <a:prstGeom prst="rect">
                      <a:avLst/>
                    </a:prstGeom>
                  </pic:spPr>
                </pic:pic>
              </a:graphicData>
            </a:graphic>
          </wp:inline>
        </w:drawing>
      </w:r>
    </w:p>
    <w:p w14:paraId="6BF6B9C7" w14:textId="77777777" w:rsidR="00246D8E" w:rsidRDefault="00246D8E" w:rsidP="00C72B46">
      <w:pPr>
        <w:spacing w:line="360" w:lineRule="auto"/>
        <w:ind w:left="720"/>
        <w:jc w:val="both"/>
        <w:rPr>
          <w:rFonts w:cs="Times New Roman"/>
          <w:kern w:val="0"/>
          <w:szCs w:val="22"/>
          <w14:ligatures w14:val="none"/>
        </w:rPr>
      </w:pPr>
    </w:p>
    <w:p w14:paraId="16A83B87" w14:textId="77777777" w:rsidR="00242123" w:rsidRPr="00915260" w:rsidRDefault="00242123" w:rsidP="00242123">
      <w:pPr>
        <w:pStyle w:val="Heading2"/>
        <w:numPr>
          <w:ilvl w:val="2"/>
          <w:numId w:val="5"/>
        </w:numPr>
        <w:spacing w:line="360" w:lineRule="auto"/>
        <w:rPr>
          <w:rFonts w:cs="Times New Roman"/>
          <w:b/>
          <w:bCs/>
          <w:sz w:val="22"/>
          <w:szCs w:val="22"/>
        </w:rPr>
      </w:pPr>
      <w:bookmarkStart w:id="41" w:name="_Toc213748912"/>
      <w:r w:rsidRPr="00915260">
        <w:rPr>
          <w:rFonts w:cs="Times New Roman"/>
          <w:b/>
          <w:bCs/>
          <w:sz w:val="22"/>
          <w:szCs w:val="22"/>
        </w:rPr>
        <w:t>Concluding Summary</w:t>
      </w:r>
      <w:bookmarkEnd w:id="41"/>
    </w:p>
    <w:p w14:paraId="29B2CC89" w14:textId="2E15F387" w:rsidR="00D4034E" w:rsidRPr="00D4034E" w:rsidRDefault="008608B0" w:rsidP="00D4034E">
      <w:pPr>
        <w:spacing w:line="360" w:lineRule="auto"/>
        <w:ind w:left="720"/>
        <w:jc w:val="both"/>
        <w:rPr>
          <w:rFonts w:cs="Times New Roman"/>
          <w:kern w:val="0"/>
          <w:szCs w:val="22"/>
          <w14:ligatures w14:val="none"/>
        </w:rPr>
      </w:pPr>
      <w:r w:rsidRPr="008608B0">
        <w:rPr>
          <w:rFonts w:cs="Times New Roman"/>
          <w:kern w:val="0"/>
          <w:szCs w:val="22"/>
          <w14:ligatures w14:val="none"/>
        </w:rPr>
        <w:t>Selecting Panda et al. (2020) as the guiding framework for measuring sustainability in this research dissertation offers distinct strengths. The Triple Bottom Line (TBL) approach captures the full breadth of sustainability by integrating economic, social, and environmental perspectives</w:t>
      </w:r>
      <w:r w:rsidR="006E2D1C">
        <w:rPr>
          <w:rFonts w:cs="Times New Roman" w:hint="eastAsia"/>
          <w:kern w:val="0"/>
          <w:szCs w:val="22"/>
          <w14:ligatures w14:val="none"/>
        </w:rPr>
        <w:t xml:space="preserve">, </w:t>
      </w:r>
      <w:r w:rsidRPr="008608B0">
        <w:rPr>
          <w:rFonts w:cs="Times New Roman"/>
          <w:kern w:val="0"/>
          <w:szCs w:val="22"/>
          <w14:ligatures w14:val="none"/>
        </w:rPr>
        <w:t xml:space="preserve">an analytical structure widely endorsed across academic, industry, and policy domains. This balanced model provides clarity, comparability, and actionable insights through standardized metrics like resource usage, profitability, and community impact, making it particularly suitable for empirical research and practical application. By addressing each pillar equally, the TBL framework ensures that sustainability efforts do not favor one dimension at the expense of others and </w:t>
      </w:r>
      <w:r w:rsidR="006E2D1C" w:rsidRPr="008608B0">
        <w:rPr>
          <w:rFonts w:cs="Times New Roman"/>
          <w:kern w:val="0"/>
          <w:szCs w:val="22"/>
          <w14:ligatures w14:val="none"/>
        </w:rPr>
        <w:t>facilitate</w:t>
      </w:r>
      <w:r w:rsidRPr="008608B0">
        <w:rPr>
          <w:rFonts w:cs="Times New Roman"/>
          <w:kern w:val="0"/>
          <w:szCs w:val="22"/>
          <w14:ligatures w14:val="none"/>
        </w:rPr>
        <w:t xml:space="preserve"> rigorous evaluation of long-term value. Furthermore, the prevalence and reliability of this model support its adoption for cross-sectoral studies, enabling findings to influence both theoretical advancement and decision-making for sustainable development.</w:t>
      </w:r>
      <w:r w:rsidR="00394F9C">
        <w:rPr>
          <w:rFonts w:cs="Times New Roman" w:hint="eastAsia"/>
          <w:kern w:val="0"/>
          <w:szCs w:val="22"/>
          <w14:ligatures w14:val="none"/>
        </w:rPr>
        <w:t xml:space="preserve"> </w:t>
      </w:r>
      <w:proofErr w:type="spellStart"/>
      <w:r w:rsidR="00394F9C" w:rsidRPr="00394F9C">
        <w:rPr>
          <w:rFonts w:cs="Times New Roman"/>
          <w:kern w:val="0"/>
          <w:szCs w:val="22"/>
          <w14:ligatures w14:val="none"/>
        </w:rPr>
        <w:t>Vardari</w:t>
      </w:r>
      <w:proofErr w:type="spellEnd"/>
      <w:r w:rsidR="00394F9C" w:rsidRPr="00394F9C">
        <w:rPr>
          <w:rFonts w:cs="Times New Roman"/>
          <w:kern w:val="0"/>
          <w:szCs w:val="22"/>
          <w14:ligatures w14:val="none"/>
        </w:rPr>
        <w:t xml:space="preserve"> et al. (2020), Conceptual Analysis (2021), Smowltech (2023), and Takkinen (2025)</w:t>
      </w:r>
      <w:r w:rsidR="006A2376">
        <w:rPr>
          <w:rFonts w:cs="Times New Roman" w:hint="eastAsia"/>
          <w:kern w:val="0"/>
          <w:szCs w:val="22"/>
          <w14:ligatures w14:val="none"/>
        </w:rPr>
        <w:t xml:space="preserve"> </w:t>
      </w:r>
      <w:r w:rsidR="00394F9C" w:rsidRPr="00394F9C">
        <w:rPr>
          <w:rFonts w:cs="Times New Roman"/>
          <w:kern w:val="0"/>
          <w:szCs w:val="22"/>
          <w14:ligatures w14:val="none"/>
        </w:rPr>
        <w:t>are not selected as</w:t>
      </w:r>
      <w:r w:rsidR="006A2376">
        <w:rPr>
          <w:rFonts w:cs="Times New Roman" w:hint="eastAsia"/>
          <w:kern w:val="0"/>
          <w:szCs w:val="22"/>
          <w14:ligatures w14:val="none"/>
        </w:rPr>
        <w:t xml:space="preserve"> the frameworks</w:t>
      </w:r>
      <w:r w:rsidR="00394F9C" w:rsidRPr="00394F9C">
        <w:rPr>
          <w:rFonts w:cs="Times New Roman"/>
          <w:kern w:val="0"/>
          <w:szCs w:val="22"/>
          <w14:ligatures w14:val="none"/>
        </w:rPr>
        <w:t xml:space="preserve"> either emphasize context-specific indicators, focus on social or ethical dimensions at the expense of comparability, rely on specialized metrics that may lack generalizability, or present conceptual complexity that can restrict practical application in empirical research contexts.</w:t>
      </w:r>
    </w:p>
    <w:p w14:paraId="419D34B4" w14:textId="318E0A11" w:rsidR="00AB76D9" w:rsidRDefault="00AB76D9">
      <w:pPr>
        <w:rPr>
          <w:rFonts w:eastAsia="Times New Roman" w:cs="Times New Roman"/>
          <w:kern w:val="0"/>
          <w:szCs w:val="22"/>
          <w14:ligatures w14:val="none"/>
        </w:rPr>
      </w:pPr>
      <w:r>
        <w:rPr>
          <w:rFonts w:eastAsia="Times New Roman" w:cs="Times New Roman"/>
          <w:kern w:val="0"/>
          <w:szCs w:val="22"/>
          <w14:ligatures w14:val="none"/>
        </w:rPr>
        <w:br w:type="page"/>
      </w:r>
    </w:p>
    <w:p w14:paraId="3124F43C" w14:textId="77777777" w:rsidR="00D4034E" w:rsidRPr="00915260" w:rsidRDefault="00D4034E" w:rsidP="00D4034E">
      <w:pPr>
        <w:spacing w:line="360" w:lineRule="auto"/>
        <w:jc w:val="both"/>
        <w:rPr>
          <w:rFonts w:eastAsia="Times New Roman" w:cs="Times New Roman"/>
          <w:kern w:val="0"/>
          <w:szCs w:val="22"/>
          <w14:ligatures w14:val="none"/>
        </w:rPr>
      </w:pPr>
    </w:p>
    <w:p w14:paraId="206ABD23" w14:textId="11609E32" w:rsidR="009E1E2A" w:rsidRDefault="009E1E2A" w:rsidP="004F76CE">
      <w:pPr>
        <w:pStyle w:val="Heading2"/>
        <w:numPr>
          <w:ilvl w:val="1"/>
          <w:numId w:val="5"/>
        </w:numPr>
        <w:spacing w:line="360" w:lineRule="auto"/>
        <w:ind w:left="450" w:hanging="450"/>
        <w:rPr>
          <w:rFonts w:cs="Times New Roman"/>
          <w:b/>
          <w:bCs/>
          <w:sz w:val="22"/>
          <w:szCs w:val="22"/>
        </w:rPr>
      </w:pPr>
      <w:bookmarkStart w:id="42" w:name="_Toc209184659"/>
      <w:bookmarkStart w:id="43" w:name="_Toc213748913"/>
      <w:r w:rsidRPr="00915260">
        <w:rPr>
          <w:rFonts w:cs="Times New Roman"/>
          <w:b/>
          <w:bCs/>
          <w:sz w:val="22"/>
          <w:szCs w:val="22"/>
        </w:rPr>
        <w:t>Brand Trust</w:t>
      </w:r>
      <w:bookmarkEnd w:id="42"/>
      <w:bookmarkEnd w:id="43"/>
    </w:p>
    <w:p w14:paraId="3B1C0578" w14:textId="32D3C51E" w:rsidR="00DD0C39" w:rsidRDefault="00FE4632" w:rsidP="00487436">
      <w:pPr>
        <w:spacing w:line="360" w:lineRule="auto"/>
        <w:jc w:val="both"/>
      </w:pPr>
      <w:r w:rsidRPr="00FE4632">
        <w:t>Brand trust is described as the consumer’s confidence in a brand’s promise and reliability, emerging as both a mediating and moderating variable in digital environments. Cardoso et al. (2022) highlight trust as a critical bridge between brand attitudes and purchase intention, particularly when transparency and perceived ethicality are salient. Trust is multi-dimensional, encompassing perceived competence, reliability, honesty, and emotional attachment. Systematic literature reviews identify content marketing quality, perceived authenticity, and active social engagement as contributing factors in trust formation.</w:t>
      </w:r>
    </w:p>
    <w:p w14:paraId="635B0912" w14:textId="77777777" w:rsidR="00F16BE9" w:rsidRPr="00DD0C39" w:rsidRDefault="00F16BE9" w:rsidP="00487436">
      <w:pPr>
        <w:spacing w:line="360" w:lineRule="auto"/>
        <w:jc w:val="both"/>
      </w:pPr>
    </w:p>
    <w:p w14:paraId="39E69BF1" w14:textId="4B43E008" w:rsidR="009E1E2A" w:rsidRPr="00915260" w:rsidRDefault="009E1E2A" w:rsidP="004F76CE">
      <w:pPr>
        <w:pStyle w:val="Heading2"/>
        <w:numPr>
          <w:ilvl w:val="2"/>
          <w:numId w:val="5"/>
        </w:numPr>
        <w:spacing w:line="360" w:lineRule="auto"/>
        <w:rPr>
          <w:rFonts w:cs="Times New Roman"/>
          <w:b/>
          <w:bCs/>
          <w:sz w:val="22"/>
          <w:szCs w:val="22"/>
        </w:rPr>
      </w:pPr>
      <w:bookmarkStart w:id="44" w:name="_Toc209184660"/>
      <w:bookmarkStart w:id="45" w:name="_Toc213748914"/>
      <w:r w:rsidRPr="00915260">
        <w:rPr>
          <w:rFonts w:cs="Times New Roman"/>
          <w:b/>
          <w:bCs/>
          <w:sz w:val="22"/>
          <w:szCs w:val="22"/>
        </w:rPr>
        <w:t>Definition</w:t>
      </w:r>
      <w:bookmarkEnd w:id="44"/>
      <w:r w:rsidR="00487436">
        <w:rPr>
          <w:rFonts w:cs="Times New Roman" w:hint="eastAsia"/>
          <w:b/>
          <w:bCs/>
          <w:sz w:val="22"/>
          <w:szCs w:val="22"/>
        </w:rPr>
        <w:t xml:space="preserve"> of Brand Trust</w:t>
      </w:r>
      <w:bookmarkEnd w:id="45"/>
    </w:p>
    <w:p w14:paraId="5989C5C0" w14:textId="0BFA142D" w:rsidR="00487436" w:rsidRPr="00487436" w:rsidRDefault="00487436" w:rsidP="00487436">
      <w:pPr>
        <w:spacing w:line="360" w:lineRule="auto"/>
        <w:ind w:left="720"/>
        <w:jc w:val="both"/>
        <w:rPr>
          <w:rFonts w:cs="Times New Roman"/>
          <w:szCs w:val="22"/>
        </w:rPr>
      </w:pPr>
      <w:r w:rsidRPr="00487436">
        <w:rPr>
          <w:rFonts w:cs="Times New Roman"/>
          <w:szCs w:val="22"/>
        </w:rPr>
        <w:t>Morwitz (2014) established early understanding of trust in consumer behavior, demonstrating how consumers’ intentions and decisions are significantly influenced by the</w:t>
      </w:r>
      <w:r w:rsidR="00E6046F">
        <w:rPr>
          <w:rFonts w:cs="Times New Roman" w:hint="eastAsia"/>
          <w:szCs w:val="22"/>
        </w:rPr>
        <w:t xml:space="preserve"> </w:t>
      </w:r>
      <w:r w:rsidRPr="00487436">
        <w:rPr>
          <w:rFonts w:cs="Times New Roman"/>
          <w:szCs w:val="22"/>
        </w:rPr>
        <w:t>confidence in a brand’s competence and consistency. This laid the foundation for linking trust to behavioral intention.</w:t>
      </w:r>
    </w:p>
    <w:p w14:paraId="61BEEF21" w14:textId="77777777" w:rsidR="001F2E5E" w:rsidRDefault="00487436" w:rsidP="00487436">
      <w:pPr>
        <w:spacing w:line="360" w:lineRule="auto"/>
        <w:ind w:left="720"/>
        <w:jc w:val="both"/>
        <w:rPr>
          <w:rFonts w:cs="Times New Roman"/>
          <w:szCs w:val="22"/>
        </w:rPr>
      </w:pPr>
      <w:r w:rsidRPr="00487436">
        <w:rPr>
          <w:rFonts w:cs="Times New Roman"/>
          <w:szCs w:val="22"/>
        </w:rPr>
        <w:t>Dam (2020) explained brand trust as the willingness of consumers to rely on a brand’s ability to perform its promised function and represent sincerity, reliability, and safety in transactions. Trust serves as an indicator of risk reduction and emotional assurance, which enhances purchase intention.</w:t>
      </w:r>
    </w:p>
    <w:p w14:paraId="772E2DF0" w14:textId="77777777" w:rsidR="001F2E5E" w:rsidRDefault="00487436" w:rsidP="00487436">
      <w:pPr>
        <w:spacing w:line="360" w:lineRule="auto"/>
        <w:ind w:left="720"/>
        <w:jc w:val="both"/>
        <w:rPr>
          <w:rFonts w:cs="Times New Roman"/>
          <w:szCs w:val="22"/>
        </w:rPr>
      </w:pPr>
      <w:r w:rsidRPr="00487436">
        <w:rPr>
          <w:rFonts w:cs="Times New Roman"/>
          <w:szCs w:val="22"/>
        </w:rPr>
        <w:t xml:space="preserve">Cardoso et al. (2022) expanded on this by positioning brand trust as a mediator between brand attitude and loyalty, describing it as the consumer’s belief in a brand’s ability to meet expectations. </w:t>
      </w:r>
      <w:r w:rsidR="00E6046F">
        <w:rPr>
          <w:rFonts w:cs="Times New Roman"/>
          <w:szCs w:val="22"/>
        </w:rPr>
        <w:t>T</w:t>
      </w:r>
      <w:r w:rsidR="00E6046F">
        <w:rPr>
          <w:rFonts w:cs="Times New Roman" w:hint="eastAsia"/>
          <w:szCs w:val="22"/>
        </w:rPr>
        <w:t>he</w:t>
      </w:r>
      <w:r w:rsidRPr="00487436">
        <w:rPr>
          <w:rFonts w:cs="Times New Roman"/>
          <w:szCs w:val="22"/>
        </w:rPr>
        <w:t xml:space="preserve"> research conceptualized trust through affective dimensions (confidence, integrity) that strengthen commitment to the brand.</w:t>
      </w:r>
    </w:p>
    <w:p w14:paraId="5F3E42A6" w14:textId="2068FFE8" w:rsidR="00507808" w:rsidRDefault="00487436" w:rsidP="00487436">
      <w:pPr>
        <w:spacing w:line="360" w:lineRule="auto"/>
        <w:ind w:left="720"/>
        <w:jc w:val="both"/>
        <w:rPr>
          <w:rFonts w:cs="Times New Roman"/>
          <w:szCs w:val="22"/>
        </w:rPr>
      </w:pPr>
      <w:r w:rsidRPr="00487436">
        <w:rPr>
          <w:rFonts w:cs="Times New Roman"/>
          <w:szCs w:val="22"/>
        </w:rPr>
        <w:t>Liang and Jui (2024) redefined brand trust within the digital and experiential context, emphasizing emotional connection, predictability, and authenticity in brand-consumer relationships. They argue that trust now reflects the consumer’s holistic experience of brand reliability across various digital touchpoints and service interactions.</w:t>
      </w:r>
      <w:r w:rsidR="001F350C">
        <w:rPr>
          <w:rFonts w:cs="Times New Roman"/>
          <w:szCs w:val="22"/>
        </w:rPr>
        <w:t xml:space="preserve"> </w:t>
      </w:r>
      <w:r w:rsidRPr="00487436">
        <w:rPr>
          <w:rFonts w:cs="Times New Roman"/>
          <w:szCs w:val="22"/>
        </w:rPr>
        <w:t>Collectively, these authors illustrate that brand trust evolves from a cognitive assessment of brand reliability to an emotional and relational construct strengthening brand attachment and long-term loyalty.</w:t>
      </w:r>
    </w:p>
    <w:p w14:paraId="36523709" w14:textId="3C457318" w:rsidR="00FC15ED" w:rsidRDefault="00FC15ED" w:rsidP="00487436">
      <w:pPr>
        <w:spacing w:line="360" w:lineRule="auto"/>
        <w:ind w:left="720"/>
        <w:jc w:val="both"/>
        <w:rPr>
          <w:rFonts w:cs="Times New Roman"/>
          <w:szCs w:val="22"/>
        </w:rPr>
      </w:pPr>
      <w:r w:rsidRPr="00FC15ED">
        <w:rPr>
          <w:rFonts w:cs="Times New Roman"/>
          <w:noProof/>
          <w:szCs w:val="22"/>
        </w:rPr>
        <w:lastRenderedPageBreak/>
        <w:drawing>
          <wp:inline distT="0" distB="0" distL="0" distR="0" wp14:anchorId="4523B78C" wp14:editId="3B096D5C">
            <wp:extent cx="5469418" cy="2968906"/>
            <wp:effectExtent l="0" t="0" r="0" b="3175"/>
            <wp:docPr id="274857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57653" name="Picture 1" descr="A screenshot of a computer&#10;&#10;AI-generated content may be incorrect."/>
                    <pic:cNvPicPr/>
                  </pic:nvPicPr>
                  <pic:blipFill>
                    <a:blip r:embed="rId29"/>
                    <a:stretch>
                      <a:fillRect/>
                    </a:stretch>
                  </pic:blipFill>
                  <pic:spPr>
                    <a:xfrm>
                      <a:off x="0" y="0"/>
                      <a:ext cx="5518251" cy="2995414"/>
                    </a:xfrm>
                    <a:prstGeom prst="rect">
                      <a:avLst/>
                    </a:prstGeom>
                  </pic:spPr>
                </pic:pic>
              </a:graphicData>
            </a:graphic>
          </wp:inline>
        </w:drawing>
      </w:r>
    </w:p>
    <w:p w14:paraId="084085C3" w14:textId="77777777" w:rsidR="00EA7E82" w:rsidRDefault="00EA7E82" w:rsidP="00487436">
      <w:pPr>
        <w:spacing w:line="360" w:lineRule="auto"/>
        <w:ind w:left="720"/>
        <w:jc w:val="both"/>
        <w:rPr>
          <w:rFonts w:cs="Times New Roman"/>
          <w:szCs w:val="22"/>
        </w:rPr>
      </w:pPr>
    </w:p>
    <w:p w14:paraId="19C6B641" w14:textId="6C9F5EA2" w:rsidR="009E1E2A" w:rsidRPr="00915260" w:rsidRDefault="009E1E2A" w:rsidP="004F76CE">
      <w:pPr>
        <w:pStyle w:val="Heading2"/>
        <w:numPr>
          <w:ilvl w:val="2"/>
          <w:numId w:val="5"/>
        </w:numPr>
        <w:spacing w:line="360" w:lineRule="auto"/>
        <w:rPr>
          <w:rFonts w:cs="Times New Roman"/>
          <w:b/>
          <w:bCs/>
          <w:sz w:val="22"/>
          <w:szCs w:val="22"/>
        </w:rPr>
      </w:pPr>
      <w:bookmarkStart w:id="46" w:name="_Toc209184661"/>
      <w:bookmarkStart w:id="47" w:name="_Toc213748915"/>
      <w:r w:rsidRPr="00915260">
        <w:rPr>
          <w:rFonts w:cs="Times New Roman"/>
          <w:b/>
          <w:bCs/>
          <w:sz w:val="22"/>
          <w:szCs w:val="22"/>
        </w:rPr>
        <w:t>Measurement</w:t>
      </w:r>
      <w:bookmarkEnd w:id="46"/>
      <w:r w:rsidR="002D04FE">
        <w:rPr>
          <w:rFonts w:cs="Times New Roman" w:hint="eastAsia"/>
          <w:b/>
          <w:bCs/>
          <w:sz w:val="22"/>
          <w:szCs w:val="22"/>
        </w:rPr>
        <w:t xml:space="preserve"> of Brand Trust</w:t>
      </w:r>
      <w:bookmarkEnd w:id="47"/>
    </w:p>
    <w:p w14:paraId="3DAE5FA8" w14:textId="77777777" w:rsidR="00467EE9" w:rsidRPr="00467EE9" w:rsidRDefault="00467EE9" w:rsidP="00467EE9">
      <w:pPr>
        <w:spacing w:line="360" w:lineRule="auto"/>
        <w:ind w:left="720"/>
        <w:jc w:val="both"/>
        <w:rPr>
          <w:rFonts w:eastAsia="Times New Roman" w:cs="Times New Roman"/>
          <w:kern w:val="0"/>
          <w:szCs w:val="22"/>
          <w14:ligatures w14:val="none"/>
        </w:rPr>
      </w:pPr>
      <w:r w:rsidRPr="00467EE9">
        <w:rPr>
          <w:rFonts w:eastAsia="Times New Roman" w:cs="Times New Roman"/>
          <w:kern w:val="0"/>
          <w:szCs w:val="22"/>
          <w14:ligatures w14:val="none"/>
        </w:rPr>
        <w:t>Brand trust is commonly measured through constructs that assess a consumer's perception of a brand’s reliability, competence, and integrity. Morwitz (2014) conceptualizes brand trust through cognitive dimensions, focusing on the consumer’s confidence in a brand’s competence, reliability, and performance consistency. This approach centers on how these cognitive factors contribute to repeat purchases and overall brand credibility, underlining the importance of consistently meeting consumer expectations.</w:t>
      </w:r>
    </w:p>
    <w:p w14:paraId="26DA0E1A" w14:textId="77777777" w:rsidR="00467EE9" w:rsidRPr="00467EE9" w:rsidRDefault="00467EE9" w:rsidP="00467EE9">
      <w:pPr>
        <w:spacing w:line="360" w:lineRule="auto"/>
        <w:ind w:left="720"/>
        <w:jc w:val="both"/>
        <w:rPr>
          <w:rFonts w:eastAsia="Times New Roman" w:cs="Times New Roman"/>
          <w:kern w:val="0"/>
          <w:szCs w:val="22"/>
          <w14:ligatures w14:val="none"/>
        </w:rPr>
      </w:pPr>
      <w:r w:rsidRPr="00467EE9">
        <w:rPr>
          <w:rFonts w:eastAsia="Times New Roman" w:cs="Times New Roman"/>
          <w:kern w:val="0"/>
          <w:szCs w:val="22"/>
          <w14:ligatures w14:val="none"/>
        </w:rPr>
        <w:t>Dam (2020) expands the measurement of brand trust by incorporating both perceptual and emotional dimensions, specifically highlighting reliability (including promise keeping), integrity (acting honestly), and benevolence (having consumers’ best interests in mind). Dam’s framework positions trust as an indicator of risk reduction and emotional assurance, capturing how brand behaviors foster confidence and mitigate consumer uncertainty during transactions.</w:t>
      </w:r>
    </w:p>
    <w:p w14:paraId="580D117D" w14:textId="77777777" w:rsidR="00467EE9" w:rsidRDefault="00467EE9" w:rsidP="00467EE9">
      <w:pPr>
        <w:spacing w:line="360" w:lineRule="auto"/>
        <w:ind w:left="720"/>
        <w:jc w:val="both"/>
        <w:rPr>
          <w:rFonts w:cs="Times New Roman"/>
          <w:kern w:val="0"/>
          <w:szCs w:val="22"/>
          <w14:ligatures w14:val="none"/>
        </w:rPr>
      </w:pPr>
      <w:r w:rsidRPr="00467EE9">
        <w:rPr>
          <w:rFonts w:eastAsia="Times New Roman" w:cs="Times New Roman"/>
          <w:kern w:val="0"/>
          <w:szCs w:val="22"/>
          <w14:ligatures w14:val="none"/>
        </w:rPr>
        <w:t>Cardoso et al. (2022) further develop the measurement by emphasizing relational trust, including constructs such as credibility, honesty, reliability, and relational confidence, all of which are reinforced through the brand’s consistent communication practices. This model underscores the crucial role of honesty and consistency in brand actions, which strengthen consumer perception of trustworthiness and foster loyalty.</w:t>
      </w:r>
    </w:p>
    <w:p w14:paraId="3A33F098" w14:textId="2DE4DDAF" w:rsidR="00B21B9C" w:rsidRDefault="00B21B9C" w:rsidP="00467EE9">
      <w:pPr>
        <w:spacing w:line="360" w:lineRule="auto"/>
        <w:ind w:left="720"/>
        <w:jc w:val="both"/>
        <w:rPr>
          <w:rFonts w:cs="Times New Roman"/>
          <w:kern w:val="0"/>
          <w:szCs w:val="22"/>
          <w14:ligatures w14:val="none"/>
        </w:rPr>
      </w:pPr>
      <w:r w:rsidRPr="00B21B9C">
        <w:rPr>
          <w:rFonts w:cs="Times New Roman"/>
          <w:kern w:val="0"/>
          <w:szCs w:val="22"/>
          <w14:ligatures w14:val="none"/>
        </w:rPr>
        <w:t xml:space="preserve">Liang and Jui (2024) extend trust measurement to contemporary digital environments, employing a multi-dimensional scale encompassing benevolence, integrity, competence, and experience-based trust, as well as brand predictability, authenticity, and empathy across omnichannel contexts. These frameworks </w:t>
      </w:r>
      <w:r w:rsidRPr="00B21B9C">
        <w:rPr>
          <w:rFonts w:cs="Times New Roman"/>
          <w:kern w:val="0"/>
          <w:szCs w:val="22"/>
          <w14:ligatures w14:val="none"/>
        </w:rPr>
        <w:lastRenderedPageBreak/>
        <w:t>collectively underscore the multi-faceted nature of brand trust and its relevance for empirical study and strategic management.</w:t>
      </w:r>
    </w:p>
    <w:p w14:paraId="5ECF7C41" w14:textId="60343091" w:rsidR="009B2749" w:rsidRDefault="009772DE" w:rsidP="009B2749">
      <w:pPr>
        <w:spacing w:line="360" w:lineRule="auto"/>
        <w:ind w:left="720"/>
        <w:jc w:val="both"/>
        <w:rPr>
          <w:rFonts w:cs="Times New Roman"/>
          <w:kern w:val="0"/>
          <w:szCs w:val="22"/>
          <w14:ligatures w14:val="none"/>
        </w:rPr>
      </w:pPr>
      <w:r w:rsidRPr="009772DE">
        <w:rPr>
          <w:rFonts w:cs="Times New Roman"/>
          <w:noProof/>
          <w:kern w:val="0"/>
          <w:szCs w:val="22"/>
          <w14:ligatures w14:val="none"/>
        </w:rPr>
        <w:drawing>
          <wp:inline distT="0" distB="0" distL="0" distR="0" wp14:anchorId="4D381D04" wp14:editId="62EEDFD8">
            <wp:extent cx="5460030" cy="3489767"/>
            <wp:effectExtent l="0" t="0" r="7620" b="0"/>
            <wp:docPr id="96355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550203" name=""/>
                    <pic:cNvPicPr/>
                  </pic:nvPicPr>
                  <pic:blipFill>
                    <a:blip r:embed="rId30"/>
                    <a:stretch>
                      <a:fillRect/>
                    </a:stretch>
                  </pic:blipFill>
                  <pic:spPr>
                    <a:xfrm>
                      <a:off x="0" y="0"/>
                      <a:ext cx="5466586" cy="3493958"/>
                    </a:xfrm>
                    <a:prstGeom prst="rect">
                      <a:avLst/>
                    </a:prstGeom>
                  </pic:spPr>
                </pic:pic>
              </a:graphicData>
            </a:graphic>
          </wp:inline>
        </w:drawing>
      </w:r>
    </w:p>
    <w:p w14:paraId="47C3A042" w14:textId="77777777" w:rsidR="00EA7E82" w:rsidRDefault="00EA7E82" w:rsidP="009B2749">
      <w:pPr>
        <w:spacing w:line="360" w:lineRule="auto"/>
        <w:ind w:left="720"/>
        <w:jc w:val="both"/>
        <w:rPr>
          <w:rFonts w:cs="Times New Roman"/>
          <w:kern w:val="0"/>
          <w:szCs w:val="22"/>
          <w14:ligatures w14:val="none"/>
        </w:rPr>
      </w:pPr>
    </w:p>
    <w:p w14:paraId="3F3A52B0" w14:textId="1F0C0AF7" w:rsidR="00A760C7" w:rsidRPr="00915260" w:rsidRDefault="00A760C7" w:rsidP="00A760C7">
      <w:pPr>
        <w:pStyle w:val="Heading2"/>
        <w:numPr>
          <w:ilvl w:val="2"/>
          <w:numId w:val="5"/>
        </w:numPr>
        <w:spacing w:line="360" w:lineRule="auto"/>
        <w:rPr>
          <w:rFonts w:cs="Times New Roman"/>
          <w:b/>
          <w:bCs/>
          <w:sz w:val="22"/>
          <w:szCs w:val="22"/>
        </w:rPr>
      </w:pPr>
      <w:bookmarkStart w:id="48" w:name="_Toc213748916"/>
      <w:r w:rsidRPr="00915260">
        <w:rPr>
          <w:rFonts w:cs="Times New Roman"/>
          <w:b/>
          <w:bCs/>
          <w:sz w:val="22"/>
          <w:szCs w:val="22"/>
        </w:rPr>
        <w:t>Concluding Summary</w:t>
      </w:r>
      <w:bookmarkEnd w:id="48"/>
    </w:p>
    <w:p w14:paraId="23EC670E" w14:textId="6FDFA96F" w:rsidR="00A760C7" w:rsidRDefault="00E50F40" w:rsidP="00E50F40">
      <w:pPr>
        <w:spacing w:line="360" w:lineRule="auto"/>
        <w:ind w:left="720"/>
        <w:jc w:val="both"/>
        <w:rPr>
          <w:rFonts w:cs="Times New Roman"/>
          <w:szCs w:val="22"/>
        </w:rPr>
      </w:pPr>
      <w:r w:rsidRPr="00E50F40">
        <w:rPr>
          <w:rFonts w:cs="Times New Roman"/>
          <w:szCs w:val="22"/>
        </w:rPr>
        <w:t>Cardoso et al. (2022) was chosen as the foundation for this research because the framework positions brand trust as a critical mediating variable between brand attitude and loyalty, offering a comprehensive and empirically validated model that captures trust’s dual cognitive and affective dimensions. Th</w:t>
      </w:r>
      <w:r w:rsidR="003E08EC">
        <w:rPr>
          <w:rFonts w:cs="Times New Roman" w:hint="eastAsia"/>
          <w:szCs w:val="22"/>
        </w:rPr>
        <w:t>e</w:t>
      </w:r>
      <w:r w:rsidRPr="00E50F40">
        <w:rPr>
          <w:rFonts w:cs="Times New Roman"/>
          <w:szCs w:val="22"/>
        </w:rPr>
        <w:t xml:space="preserve"> measurement approach goes beyond traditional definitions by incorporating relational trust and consumer belief constructs, emphasizing credibility, reliability, and honesty as key drivers of satisfaction and loyalty intention. This aligns closely with modern understandings of brand-consumer relationships, where trust is not only about perceived ability but also about building genuine emotional connections. By using Cardoso et al.'s (2022) model, the research benefits from a robust conceptual structure that is well-suited to exploring the nuanced, mediating role of brand trust in driving sustainable consumer behaviors and long-term brand commitment.</w:t>
      </w:r>
      <w:r w:rsidR="00F15DA3">
        <w:rPr>
          <w:rFonts w:cs="Times New Roman" w:hint="eastAsia"/>
          <w:szCs w:val="22"/>
        </w:rPr>
        <w:t xml:space="preserve"> </w:t>
      </w:r>
      <w:r w:rsidR="00F15DA3">
        <w:rPr>
          <w:rFonts w:cs="Times New Roman"/>
          <w:szCs w:val="22"/>
        </w:rPr>
        <w:t>I</w:t>
      </w:r>
      <w:r w:rsidR="00F15DA3">
        <w:rPr>
          <w:rFonts w:cs="Times New Roman" w:hint="eastAsia"/>
          <w:szCs w:val="22"/>
        </w:rPr>
        <w:t>n contrast, o</w:t>
      </w:r>
      <w:r w:rsidR="00F15DA3" w:rsidRPr="00F15DA3">
        <w:rPr>
          <w:rFonts w:cs="Times New Roman"/>
          <w:szCs w:val="22"/>
        </w:rPr>
        <w:t xml:space="preserve">ther frameworks, such as those proposed by Morwitz (2014), Dam (2020), and Liang and Jui (2024), </w:t>
      </w:r>
      <w:r w:rsidR="00F15DA3">
        <w:rPr>
          <w:rFonts w:cs="Times New Roman" w:hint="eastAsia"/>
          <w:szCs w:val="22"/>
        </w:rPr>
        <w:t>that</w:t>
      </w:r>
      <w:r w:rsidR="00F15DA3" w:rsidRPr="00F15DA3">
        <w:rPr>
          <w:rFonts w:cs="Times New Roman"/>
          <w:szCs w:val="22"/>
        </w:rPr>
        <w:t xml:space="preserve"> either focus primarily on cognitive or emotional dimensions, or emphasize digital and multi-dimensional constructs that, while valuable, may not provide as comprehensive a relational approach to mediating brand </w:t>
      </w:r>
      <w:r w:rsidR="00F15DA3">
        <w:rPr>
          <w:rFonts w:cs="Times New Roman" w:hint="eastAsia"/>
          <w:szCs w:val="22"/>
        </w:rPr>
        <w:t>trust.</w:t>
      </w:r>
    </w:p>
    <w:p w14:paraId="0E33B9FE" w14:textId="22EEC008" w:rsidR="005F58C1" w:rsidRDefault="005F58C1" w:rsidP="004F76CE">
      <w:pPr>
        <w:pStyle w:val="Heading2"/>
        <w:numPr>
          <w:ilvl w:val="1"/>
          <w:numId w:val="5"/>
        </w:numPr>
        <w:spacing w:line="360" w:lineRule="auto"/>
        <w:ind w:left="450" w:hanging="360"/>
        <w:rPr>
          <w:rFonts w:cs="Times New Roman"/>
          <w:b/>
          <w:bCs/>
          <w:sz w:val="22"/>
          <w:szCs w:val="22"/>
        </w:rPr>
      </w:pPr>
      <w:r w:rsidRPr="00915260">
        <w:rPr>
          <w:rFonts w:cs="Times New Roman"/>
          <w:b/>
          <w:bCs/>
          <w:sz w:val="22"/>
          <w:szCs w:val="22"/>
        </w:rPr>
        <w:lastRenderedPageBreak/>
        <w:t xml:space="preserve"> </w:t>
      </w:r>
      <w:bookmarkStart w:id="49" w:name="_Toc209184662"/>
      <w:bookmarkStart w:id="50" w:name="_Toc213748917"/>
      <w:r w:rsidRPr="00915260">
        <w:rPr>
          <w:rFonts w:cs="Times New Roman"/>
          <w:b/>
          <w:bCs/>
          <w:sz w:val="22"/>
          <w:szCs w:val="22"/>
        </w:rPr>
        <w:t>Relationship between Variables</w:t>
      </w:r>
      <w:bookmarkEnd w:id="49"/>
      <w:bookmarkEnd w:id="50"/>
    </w:p>
    <w:p w14:paraId="0B5420E8" w14:textId="24CC8BC1" w:rsidR="00987E40" w:rsidRDefault="00573D8D" w:rsidP="002D0EBC">
      <w:pPr>
        <w:spacing w:line="360" w:lineRule="auto"/>
        <w:jc w:val="both"/>
        <w:rPr>
          <w:rFonts w:cs="Times New Roman"/>
          <w:szCs w:val="22"/>
        </w:rPr>
      </w:pPr>
      <w:r w:rsidRPr="00573D8D">
        <w:rPr>
          <w:rFonts w:cs="Times New Roman"/>
          <w:szCs w:val="22"/>
        </w:rPr>
        <w:t>This section examines the empirical relationships between the core variables</w:t>
      </w:r>
      <w:r>
        <w:rPr>
          <w:rFonts w:cs="Times New Roman" w:hint="eastAsia"/>
          <w:szCs w:val="22"/>
        </w:rPr>
        <w:t xml:space="preserve">, </w:t>
      </w:r>
      <w:r w:rsidRPr="00573D8D">
        <w:rPr>
          <w:rFonts w:cs="Times New Roman"/>
          <w:szCs w:val="22"/>
        </w:rPr>
        <w:t xml:space="preserve">social media marketing activities, environmental </w:t>
      </w:r>
      <w:r w:rsidR="00ED409C">
        <w:rPr>
          <w:rFonts w:cs="Times New Roman"/>
          <w:szCs w:val="22"/>
        </w:rPr>
        <w:t>conscious</w:t>
      </w:r>
      <w:r w:rsidRPr="00573D8D">
        <w:rPr>
          <w:rFonts w:cs="Times New Roman"/>
          <w:szCs w:val="22"/>
        </w:rPr>
        <w:t>, sustainability, brand trust</w:t>
      </w:r>
      <w:r>
        <w:rPr>
          <w:rFonts w:cs="Times New Roman" w:hint="eastAsia"/>
          <w:szCs w:val="22"/>
        </w:rPr>
        <w:t xml:space="preserve">, </w:t>
      </w:r>
      <w:r w:rsidRPr="00573D8D">
        <w:rPr>
          <w:rFonts w:cs="Times New Roman"/>
          <w:szCs w:val="22"/>
        </w:rPr>
        <w:t>and consumer purchase intention. Analysis of these relationships provides the foundation for developing hypotheses and guiding statistical analyses for this study.</w:t>
      </w:r>
    </w:p>
    <w:p w14:paraId="4C56E281" w14:textId="77777777" w:rsidR="00D81D69" w:rsidRDefault="00D81D69" w:rsidP="002D0EBC">
      <w:pPr>
        <w:spacing w:line="360" w:lineRule="auto"/>
        <w:jc w:val="both"/>
        <w:rPr>
          <w:rFonts w:cs="Times New Roman"/>
          <w:szCs w:val="22"/>
        </w:rPr>
      </w:pPr>
    </w:p>
    <w:p w14:paraId="5A9F98C9" w14:textId="708C2D81" w:rsidR="002B71DB" w:rsidRPr="00915260" w:rsidRDefault="005F58C1" w:rsidP="004F76CE">
      <w:pPr>
        <w:pStyle w:val="Heading2"/>
        <w:numPr>
          <w:ilvl w:val="2"/>
          <w:numId w:val="5"/>
        </w:numPr>
        <w:spacing w:line="360" w:lineRule="auto"/>
        <w:rPr>
          <w:rFonts w:cs="Times New Roman"/>
          <w:b/>
          <w:bCs/>
          <w:sz w:val="22"/>
          <w:szCs w:val="22"/>
        </w:rPr>
      </w:pPr>
      <w:bookmarkStart w:id="51" w:name="_Toc209184663"/>
      <w:bookmarkStart w:id="52" w:name="_Toc213748918"/>
      <w:r w:rsidRPr="00915260">
        <w:rPr>
          <w:rFonts w:cs="Times New Roman"/>
          <w:b/>
          <w:bCs/>
          <w:sz w:val="22"/>
          <w:szCs w:val="22"/>
        </w:rPr>
        <w:t>Social Meida Marketing Activities and Purchase Intention</w:t>
      </w:r>
      <w:bookmarkEnd w:id="51"/>
      <w:bookmarkEnd w:id="52"/>
    </w:p>
    <w:p w14:paraId="57583B56" w14:textId="4A585E2B" w:rsidR="001B14F5" w:rsidRDefault="00BF4551" w:rsidP="00626087">
      <w:pPr>
        <w:spacing w:line="360" w:lineRule="auto"/>
        <w:ind w:left="720"/>
        <w:jc w:val="both"/>
        <w:rPr>
          <w:rFonts w:cs="Times New Roman"/>
          <w:kern w:val="0"/>
          <w:szCs w:val="22"/>
          <w14:ligatures w14:val="none"/>
        </w:rPr>
      </w:pPr>
      <w:r w:rsidRPr="00BF4551">
        <w:rPr>
          <w:rFonts w:eastAsia="Times New Roman" w:cs="Times New Roman"/>
          <w:kern w:val="0"/>
          <w:szCs w:val="22"/>
          <w14:ligatures w14:val="none"/>
        </w:rPr>
        <w:t>Social media marketing activities (SMMA) have been found to exert a significant and direct positive effect on consumer purchase intention, independent of mediating factors like engagement or perceived value. Several empirical studies confirm that SMMA elements such as entertainment, interaction, and word-of-mouth communication directly influence the willingness of consumers to buy products promoted through social channels, supporting a direct relationship between SMMA and purchase intention without relying solely on mediation by brand equity or engagement. For example, Kim and Ko (2012) demonstrated through survey data that social media marketing efforts positively and directly affect consumers’ intention to purchase luxury brands, highlighting immediate impact beyond indirect pathways</w:t>
      </w:r>
      <w:r>
        <w:rPr>
          <w:rFonts w:cs="Times New Roman" w:hint="eastAsia"/>
          <w:kern w:val="0"/>
          <w:szCs w:val="22"/>
          <w14:ligatures w14:val="none"/>
        </w:rPr>
        <w:t xml:space="preserve"> </w:t>
      </w:r>
      <w:r w:rsidR="000600DD" w:rsidRPr="000600DD">
        <w:rPr>
          <w:rFonts w:cs="Times New Roman"/>
          <w:kern w:val="0"/>
          <w:szCs w:val="22"/>
          <w14:ligatures w14:val="none"/>
        </w:rPr>
        <w:t>(</w:t>
      </w:r>
      <w:proofErr w:type="spellStart"/>
      <w:r w:rsidR="000600DD" w:rsidRPr="000600DD">
        <w:rPr>
          <w:rFonts w:cs="Times New Roman"/>
          <w:kern w:val="0"/>
          <w:szCs w:val="22"/>
          <w14:ligatures w14:val="none"/>
        </w:rPr>
        <w:t>Olfebri</w:t>
      </w:r>
      <w:proofErr w:type="spellEnd"/>
      <w:r w:rsidR="000600DD" w:rsidRPr="000600DD">
        <w:rPr>
          <w:rFonts w:cs="Times New Roman"/>
          <w:kern w:val="0"/>
          <w:szCs w:val="22"/>
          <w14:ligatures w14:val="none"/>
        </w:rPr>
        <w:t xml:space="preserve">, </w:t>
      </w:r>
      <w:proofErr w:type="spellStart"/>
      <w:r w:rsidR="000600DD" w:rsidRPr="000600DD">
        <w:rPr>
          <w:rFonts w:cs="Times New Roman"/>
          <w:kern w:val="0"/>
          <w:szCs w:val="22"/>
          <w14:ligatures w14:val="none"/>
        </w:rPr>
        <w:t>Yuliantini</w:t>
      </w:r>
      <w:proofErr w:type="spellEnd"/>
      <w:r w:rsidR="000600DD" w:rsidRPr="000600DD">
        <w:rPr>
          <w:rFonts w:cs="Times New Roman"/>
          <w:kern w:val="0"/>
          <w:szCs w:val="22"/>
          <w14:ligatures w14:val="none"/>
        </w:rPr>
        <w:t xml:space="preserve"> and Cecep Pahrudin, 2025)</w:t>
      </w:r>
      <w:r w:rsidRPr="00BF4551">
        <w:rPr>
          <w:rFonts w:eastAsia="Times New Roman" w:cs="Times New Roman"/>
          <w:kern w:val="0"/>
          <w:szCs w:val="22"/>
          <w14:ligatures w14:val="none"/>
        </w:rPr>
        <w:t>.</w:t>
      </w:r>
      <w:r w:rsidR="00376FC5" w:rsidRPr="00376FC5">
        <w:rPr>
          <w:rFonts w:eastAsia="Times New Roman" w:cs="Times New Roman"/>
          <w:kern w:val="0"/>
          <w:szCs w:val="22"/>
          <w14:ligatures w14:val="none"/>
        </w:rPr>
        <w:t xml:space="preserve"> </w:t>
      </w:r>
    </w:p>
    <w:p w14:paraId="0F01A260" w14:textId="77777777" w:rsidR="000600DD" w:rsidRPr="000600DD" w:rsidRDefault="000600DD" w:rsidP="00626087">
      <w:pPr>
        <w:spacing w:line="360" w:lineRule="auto"/>
        <w:ind w:left="720"/>
        <w:jc w:val="both"/>
        <w:rPr>
          <w:rFonts w:cs="Times New Roman"/>
          <w:kern w:val="0"/>
          <w:szCs w:val="22"/>
          <w14:ligatures w14:val="none"/>
        </w:rPr>
      </w:pPr>
    </w:p>
    <w:p w14:paraId="303350BF" w14:textId="0B5858ED" w:rsidR="005F58C1" w:rsidRPr="00915260" w:rsidRDefault="007162C8" w:rsidP="004F76CE">
      <w:pPr>
        <w:pStyle w:val="Heading2"/>
        <w:numPr>
          <w:ilvl w:val="2"/>
          <w:numId w:val="5"/>
        </w:numPr>
        <w:spacing w:line="360" w:lineRule="auto"/>
        <w:rPr>
          <w:rFonts w:cs="Times New Roman"/>
          <w:b/>
          <w:bCs/>
          <w:sz w:val="22"/>
          <w:szCs w:val="22"/>
        </w:rPr>
      </w:pPr>
      <w:bookmarkStart w:id="53" w:name="_Toc209184664"/>
      <w:bookmarkStart w:id="54" w:name="_Toc213748919"/>
      <w:r w:rsidRPr="00915260">
        <w:rPr>
          <w:rFonts w:cs="Times New Roman"/>
          <w:b/>
          <w:bCs/>
          <w:sz w:val="22"/>
          <w:szCs w:val="22"/>
        </w:rPr>
        <w:t>Environmental Conscious and Purchase Intention</w:t>
      </w:r>
      <w:bookmarkEnd w:id="53"/>
      <w:bookmarkEnd w:id="54"/>
    </w:p>
    <w:p w14:paraId="4D897BBD" w14:textId="1F9E29CE" w:rsidR="001B14F5" w:rsidRDefault="00634366" w:rsidP="00626087">
      <w:pPr>
        <w:spacing w:line="360" w:lineRule="auto"/>
        <w:ind w:left="720"/>
        <w:jc w:val="both"/>
        <w:rPr>
          <w:rFonts w:cs="Times New Roman"/>
          <w:kern w:val="0"/>
          <w:szCs w:val="22"/>
          <w14:ligatures w14:val="none"/>
        </w:rPr>
      </w:pPr>
      <w:r w:rsidRPr="00634366">
        <w:rPr>
          <w:rFonts w:eastAsia="Times New Roman" w:cs="Times New Roman"/>
          <w:kern w:val="0"/>
          <w:szCs w:val="22"/>
          <w14:ligatures w14:val="none"/>
        </w:rPr>
        <w:t xml:space="preserve">Environmental </w:t>
      </w:r>
      <w:r w:rsidR="00ED409C">
        <w:rPr>
          <w:rFonts w:eastAsia="Times New Roman" w:cs="Times New Roman"/>
          <w:kern w:val="0"/>
          <w:szCs w:val="22"/>
          <w14:ligatures w14:val="none"/>
        </w:rPr>
        <w:t>conscious</w:t>
      </w:r>
      <w:r w:rsidRPr="00634366">
        <w:rPr>
          <w:rFonts w:eastAsia="Times New Roman" w:cs="Times New Roman"/>
          <w:kern w:val="0"/>
          <w:szCs w:val="22"/>
          <w14:ligatures w14:val="none"/>
        </w:rPr>
        <w:t xml:space="preserve"> has a direct and significant positive relationship with purchase intention, as demonstrated by empirical studies in recent literature. Higher levels of environmental concern and awareness consistently predict increased likelihood of purchasing sustainable products, confirming that environmental </w:t>
      </w:r>
      <w:r w:rsidR="00ED409C">
        <w:rPr>
          <w:rFonts w:eastAsia="Times New Roman" w:cs="Times New Roman"/>
          <w:kern w:val="0"/>
          <w:szCs w:val="22"/>
          <w14:ligatures w14:val="none"/>
        </w:rPr>
        <w:t>conscious</w:t>
      </w:r>
      <w:r w:rsidRPr="00634366">
        <w:rPr>
          <w:rFonts w:eastAsia="Times New Roman" w:cs="Times New Roman"/>
          <w:kern w:val="0"/>
          <w:szCs w:val="22"/>
          <w14:ligatures w14:val="none"/>
        </w:rPr>
        <w:t xml:space="preserve"> directly influences consumer purchase intention</w:t>
      </w:r>
      <w:r w:rsidR="00473411">
        <w:rPr>
          <w:rFonts w:cs="Times New Roman" w:hint="eastAsia"/>
          <w:kern w:val="0"/>
          <w:szCs w:val="22"/>
          <w14:ligatures w14:val="none"/>
        </w:rPr>
        <w:t xml:space="preserve"> </w:t>
      </w:r>
      <w:r w:rsidR="00473411" w:rsidRPr="00473411">
        <w:rPr>
          <w:rFonts w:cs="Times New Roman"/>
          <w:kern w:val="0"/>
          <w:szCs w:val="22"/>
          <w14:ligatures w14:val="none"/>
        </w:rPr>
        <w:t>(Fethi Klabi, 2025)</w:t>
      </w:r>
      <w:r>
        <w:rPr>
          <w:rFonts w:cs="Times New Roman" w:hint="eastAsia"/>
          <w:kern w:val="0"/>
          <w:szCs w:val="22"/>
          <w14:ligatures w14:val="none"/>
        </w:rPr>
        <w:t>.  E</w:t>
      </w:r>
      <w:r w:rsidR="004A57C6" w:rsidRPr="004A57C6">
        <w:rPr>
          <w:rFonts w:eastAsia="Times New Roman" w:cs="Times New Roman"/>
          <w:kern w:val="0"/>
          <w:szCs w:val="22"/>
          <w14:ligatures w14:val="none"/>
        </w:rPr>
        <w:t xml:space="preserve">specially with the rising demand for ethical and sustainable consumption. Environmentally conscious consumers demonstrate higher purchase intention for products and brands reflecting eco-friendly values and practices. </w:t>
      </w:r>
      <w:r w:rsidR="008A267C" w:rsidRPr="008A267C">
        <w:rPr>
          <w:rFonts w:eastAsia="Times New Roman" w:cs="Times New Roman"/>
          <w:kern w:val="0"/>
          <w:szCs w:val="22"/>
          <w14:ligatures w14:val="none"/>
        </w:rPr>
        <w:t>Laroche (2001)</w:t>
      </w:r>
      <w:r w:rsidR="008A267C" w:rsidRPr="004A57C6">
        <w:rPr>
          <w:rFonts w:eastAsia="Times New Roman" w:cs="Times New Roman"/>
          <w:kern w:val="0"/>
          <w:szCs w:val="22"/>
          <w14:ligatures w14:val="none"/>
        </w:rPr>
        <w:t xml:space="preserve"> further emphasized the role of environmental attitude in shaping ethical purchasing patterns. Biswas and Roy (2015) highlighted that environmental concern significantly predicts consumers’ intentions to engage in green purchasing, especially for fast-moving consumer goods.</w:t>
      </w:r>
      <w:r w:rsidR="008A267C">
        <w:rPr>
          <w:rFonts w:cs="Times New Roman" w:hint="eastAsia"/>
          <w:kern w:val="0"/>
          <w:szCs w:val="22"/>
          <w14:ligatures w14:val="none"/>
        </w:rPr>
        <w:t xml:space="preserve">  </w:t>
      </w:r>
      <w:r w:rsidR="008A267C" w:rsidRPr="004A57C6">
        <w:rPr>
          <w:rFonts w:eastAsia="Times New Roman" w:cs="Times New Roman"/>
          <w:kern w:val="0"/>
          <w:szCs w:val="22"/>
          <w14:ligatures w14:val="none"/>
        </w:rPr>
        <w:t>Similarly,</w:t>
      </w:r>
      <w:r w:rsidR="008A267C">
        <w:rPr>
          <w:rFonts w:cs="Times New Roman" w:hint="eastAsia"/>
          <w:kern w:val="0"/>
          <w:szCs w:val="22"/>
          <w14:ligatures w14:val="none"/>
        </w:rPr>
        <w:t xml:space="preserve"> </w:t>
      </w:r>
      <w:r w:rsidR="00B04632" w:rsidRPr="00B04632">
        <w:rPr>
          <w:rFonts w:eastAsia="Times New Roman" w:cs="Times New Roman"/>
          <w:kern w:val="0"/>
          <w:szCs w:val="22"/>
          <w14:ligatures w14:val="none"/>
        </w:rPr>
        <w:t>Kumar, Prakash and Kumar (2021)</w:t>
      </w:r>
      <w:r w:rsidR="004A57C6" w:rsidRPr="004A57C6">
        <w:rPr>
          <w:rFonts w:eastAsia="Times New Roman" w:cs="Times New Roman"/>
          <w:kern w:val="0"/>
          <w:szCs w:val="22"/>
          <w14:ligatures w14:val="none"/>
        </w:rPr>
        <w:t xml:space="preserve"> found that environmental knowledge and perceived consumer effectiveness are key antecedents to eco-product purchase intention</w:t>
      </w:r>
      <w:r w:rsidR="001F4D5A">
        <w:rPr>
          <w:rFonts w:eastAsia="Times New Roman" w:cs="Times New Roman"/>
          <w:kern w:val="0"/>
          <w:szCs w:val="22"/>
          <w14:ligatures w14:val="none"/>
        </w:rPr>
        <w:t xml:space="preserve"> </w:t>
      </w:r>
      <w:r w:rsidR="001F4D5A" w:rsidRPr="001F4D5A">
        <w:rPr>
          <w:rFonts w:eastAsia="Times New Roman" w:cs="Times New Roman"/>
          <w:kern w:val="0"/>
          <w:szCs w:val="22"/>
          <w14:ligatures w14:val="none"/>
        </w:rPr>
        <w:t>(Ansar, 2013)</w:t>
      </w:r>
      <w:r w:rsidR="004A57C6" w:rsidRPr="004A57C6">
        <w:rPr>
          <w:rFonts w:eastAsia="Times New Roman" w:cs="Times New Roman"/>
          <w:kern w:val="0"/>
          <w:szCs w:val="22"/>
          <w14:ligatures w14:val="none"/>
        </w:rPr>
        <w:t>.</w:t>
      </w:r>
    </w:p>
    <w:p w14:paraId="7624CA12" w14:textId="77777777" w:rsidR="00AC1282" w:rsidRPr="00AC1282" w:rsidRDefault="00AC1282" w:rsidP="00626087">
      <w:pPr>
        <w:spacing w:line="360" w:lineRule="auto"/>
        <w:ind w:left="720"/>
        <w:jc w:val="both"/>
        <w:rPr>
          <w:rFonts w:cs="Times New Roman"/>
          <w:kern w:val="0"/>
          <w:szCs w:val="22"/>
          <w14:ligatures w14:val="none"/>
        </w:rPr>
      </w:pPr>
    </w:p>
    <w:p w14:paraId="538F5E8B" w14:textId="72C6834F" w:rsidR="007162C8" w:rsidRPr="00915260" w:rsidRDefault="007162C8" w:rsidP="004F76CE">
      <w:pPr>
        <w:pStyle w:val="Heading2"/>
        <w:numPr>
          <w:ilvl w:val="2"/>
          <w:numId w:val="5"/>
        </w:numPr>
        <w:spacing w:line="360" w:lineRule="auto"/>
        <w:rPr>
          <w:rFonts w:cs="Times New Roman"/>
          <w:b/>
          <w:bCs/>
          <w:sz w:val="22"/>
          <w:szCs w:val="22"/>
        </w:rPr>
      </w:pPr>
      <w:bookmarkStart w:id="55" w:name="_Toc209184665"/>
      <w:bookmarkStart w:id="56" w:name="_Toc213748920"/>
      <w:r w:rsidRPr="00915260">
        <w:rPr>
          <w:rFonts w:cs="Times New Roman"/>
          <w:b/>
          <w:bCs/>
          <w:sz w:val="22"/>
          <w:szCs w:val="22"/>
        </w:rPr>
        <w:t>Sustainability and Purchase Intention</w:t>
      </w:r>
      <w:bookmarkEnd w:id="55"/>
      <w:bookmarkEnd w:id="56"/>
    </w:p>
    <w:p w14:paraId="148D89AA" w14:textId="41B7AF3D" w:rsidR="00A20BD5" w:rsidRPr="00F35E81" w:rsidRDefault="00A20BD5" w:rsidP="00626087">
      <w:pPr>
        <w:spacing w:line="360" w:lineRule="auto"/>
        <w:ind w:left="720"/>
        <w:jc w:val="both"/>
        <w:rPr>
          <w:rFonts w:cs="Times New Roman"/>
          <w:kern w:val="0"/>
          <w:szCs w:val="22"/>
          <w14:ligatures w14:val="none"/>
        </w:rPr>
      </w:pPr>
      <w:r w:rsidRPr="002F5405">
        <w:rPr>
          <w:rFonts w:eastAsia="Times New Roman" w:cs="Times New Roman"/>
          <w:kern w:val="0"/>
          <w:szCs w:val="22"/>
          <w14:ligatures w14:val="none"/>
        </w:rPr>
        <w:t xml:space="preserve">Panda et al. (2020) found that triple-bottom-line </w:t>
      </w:r>
      <w:r w:rsidRPr="00C178CB">
        <w:rPr>
          <w:rFonts w:asciiTheme="majorBidi" w:eastAsia="Times New Roman" w:hAnsiTheme="majorBidi" w:cstheme="majorBidi"/>
          <w:kern w:val="0"/>
          <w:szCs w:val="22"/>
          <w14:ligatures w14:val="none"/>
        </w:rPr>
        <w:t xml:space="preserve">sustainability </w:t>
      </w:r>
      <w:r w:rsidRPr="00C178CB">
        <w:rPr>
          <w:rFonts w:asciiTheme="majorBidi" w:eastAsia="PMingLiU" w:hAnsiTheme="majorBidi" w:cstheme="majorBidi"/>
          <w:kern w:val="0"/>
          <w:szCs w:val="22"/>
          <w14:ligatures w14:val="none"/>
        </w:rPr>
        <w:t xml:space="preserve">included </w:t>
      </w:r>
      <w:r w:rsidRPr="00C178CB">
        <w:rPr>
          <w:rFonts w:asciiTheme="majorBidi" w:eastAsia="Times New Roman" w:hAnsiTheme="majorBidi" w:cstheme="majorBidi"/>
          <w:kern w:val="0"/>
          <w:szCs w:val="22"/>
          <w14:ligatures w14:val="none"/>
        </w:rPr>
        <w:t xml:space="preserve">covering economic, social, and environmental aspects correlates with enhanced green purchase intention. </w:t>
      </w:r>
      <w:proofErr w:type="spellStart"/>
      <w:r w:rsidRPr="004A30BF">
        <w:rPr>
          <w:rFonts w:asciiTheme="majorBidi" w:eastAsia="Times New Roman" w:hAnsiTheme="majorBidi" w:cstheme="majorBidi"/>
          <w:kern w:val="0"/>
          <w:szCs w:val="22"/>
          <w14:ligatures w14:val="none"/>
        </w:rPr>
        <w:t>Lavuri</w:t>
      </w:r>
      <w:proofErr w:type="spellEnd"/>
      <w:r w:rsidRPr="004A30BF">
        <w:rPr>
          <w:rFonts w:asciiTheme="majorBidi" w:eastAsia="Times New Roman" w:hAnsiTheme="majorBidi" w:cstheme="majorBidi"/>
          <w:kern w:val="0"/>
          <w:szCs w:val="22"/>
          <w14:ligatures w14:val="none"/>
        </w:rPr>
        <w:t xml:space="preserve"> (2022)</w:t>
      </w:r>
      <w:r>
        <w:rPr>
          <w:rFonts w:asciiTheme="majorBidi" w:hAnsiTheme="majorBidi" w:cstheme="majorBidi" w:hint="eastAsia"/>
          <w:kern w:val="0"/>
          <w:szCs w:val="22"/>
          <w14:ligatures w14:val="none"/>
        </w:rPr>
        <w:t xml:space="preserve"> </w:t>
      </w:r>
      <w:r w:rsidRPr="00C178CB">
        <w:rPr>
          <w:rFonts w:asciiTheme="majorBidi" w:eastAsia="Times New Roman" w:hAnsiTheme="majorBidi" w:cstheme="majorBidi"/>
          <w:kern w:val="0"/>
          <w:szCs w:val="22"/>
          <w14:ligatures w14:val="none"/>
        </w:rPr>
        <w:t>explored Asian</w:t>
      </w:r>
      <w:r w:rsidRPr="002F5405">
        <w:rPr>
          <w:rFonts w:eastAsia="Times New Roman" w:cs="Times New Roman"/>
          <w:kern w:val="0"/>
          <w:szCs w:val="22"/>
          <w14:ligatures w14:val="none"/>
        </w:rPr>
        <w:t xml:space="preserve"> </w:t>
      </w:r>
      <w:r w:rsidRPr="002F5405">
        <w:rPr>
          <w:rFonts w:eastAsia="Times New Roman" w:cs="Times New Roman"/>
          <w:kern w:val="0"/>
          <w:szCs w:val="22"/>
          <w14:ligatures w14:val="none"/>
        </w:rPr>
        <w:lastRenderedPageBreak/>
        <w:t>consumer markets and found that clear brand sustainability communication is a key antecedent to sustainable purchase intention.</w:t>
      </w:r>
      <w:r>
        <w:rPr>
          <w:rFonts w:cs="Times New Roman" w:hint="eastAsia"/>
          <w:kern w:val="0"/>
          <w:szCs w:val="22"/>
          <w14:ligatures w14:val="none"/>
        </w:rPr>
        <w:t xml:space="preserve"> </w:t>
      </w:r>
      <w:r w:rsidRPr="00A20BD5">
        <w:rPr>
          <w:rFonts w:eastAsia="Times New Roman" w:cs="Times New Roman"/>
          <w:kern w:val="0"/>
          <w:szCs w:val="22"/>
          <w14:ligatures w14:val="none"/>
        </w:rPr>
        <w:t>Sustainability has a direct, significant positive relationship with consumer purchase intention, as shown by recent empirical findings</w:t>
      </w:r>
      <w:r w:rsidR="00B25CB1">
        <w:rPr>
          <w:rFonts w:cs="Times New Roman" w:hint="eastAsia"/>
          <w:kern w:val="0"/>
          <w:szCs w:val="22"/>
          <w14:ligatures w14:val="none"/>
        </w:rPr>
        <w:t xml:space="preserve"> </w:t>
      </w:r>
      <w:r w:rsidR="00B25CB1" w:rsidRPr="00B25CB1">
        <w:rPr>
          <w:rFonts w:cs="Times New Roman"/>
          <w:kern w:val="0"/>
          <w:szCs w:val="22"/>
          <w14:ligatures w14:val="none"/>
        </w:rPr>
        <w:t>(Nong and Xue, 2025)</w:t>
      </w:r>
      <w:r w:rsidRPr="00A20BD5">
        <w:rPr>
          <w:rFonts w:eastAsia="Times New Roman" w:cs="Times New Roman"/>
          <w:kern w:val="0"/>
          <w:szCs w:val="22"/>
          <w14:ligatures w14:val="none"/>
        </w:rPr>
        <w:t>. Research demonstrates that increased sustainability awareness and clear sustainability initiatives by brands directly enhance consumers’ willingness to buy</w:t>
      </w:r>
      <w:r w:rsidR="00F35E81">
        <w:rPr>
          <w:rFonts w:cs="Times New Roman" w:hint="eastAsia"/>
          <w:kern w:val="0"/>
          <w:szCs w:val="22"/>
          <w14:ligatures w14:val="none"/>
        </w:rPr>
        <w:t xml:space="preserve"> </w:t>
      </w:r>
      <w:r w:rsidR="00F35E81" w:rsidRPr="00F35E81">
        <w:rPr>
          <w:rFonts w:cs="Times New Roman"/>
          <w:kern w:val="0"/>
          <w:szCs w:val="22"/>
          <w14:ligatures w14:val="none"/>
        </w:rPr>
        <w:t>(Sakr et al., 2023)</w:t>
      </w:r>
      <w:r w:rsidR="00F35E81">
        <w:rPr>
          <w:rFonts w:cs="Times New Roman" w:hint="eastAsia"/>
          <w:kern w:val="0"/>
          <w:szCs w:val="22"/>
          <w14:ligatures w14:val="none"/>
        </w:rPr>
        <w:t>.</w:t>
      </w:r>
    </w:p>
    <w:p w14:paraId="747B751D" w14:textId="77777777" w:rsidR="00B25CB1" w:rsidRPr="00B25CB1" w:rsidRDefault="00B25CB1" w:rsidP="00626087">
      <w:pPr>
        <w:spacing w:line="360" w:lineRule="auto"/>
        <w:ind w:left="720"/>
        <w:jc w:val="both"/>
        <w:rPr>
          <w:rFonts w:cs="Times New Roman"/>
          <w:kern w:val="0"/>
          <w:szCs w:val="22"/>
          <w14:ligatures w14:val="none"/>
        </w:rPr>
      </w:pPr>
    </w:p>
    <w:p w14:paraId="287CDD0A" w14:textId="538319C5" w:rsidR="007162C8" w:rsidRPr="00915260" w:rsidRDefault="007162C8" w:rsidP="004F76CE">
      <w:pPr>
        <w:pStyle w:val="Heading2"/>
        <w:numPr>
          <w:ilvl w:val="2"/>
          <w:numId w:val="5"/>
        </w:numPr>
        <w:spacing w:line="360" w:lineRule="auto"/>
        <w:rPr>
          <w:rFonts w:cs="Times New Roman"/>
          <w:b/>
          <w:bCs/>
          <w:sz w:val="22"/>
          <w:szCs w:val="22"/>
        </w:rPr>
      </w:pPr>
      <w:bookmarkStart w:id="57" w:name="_Toc209184666"/>
      <w:bookmarkStart w:id="58" w:name="_Toc213748921"/>
      <w:r w:rsidRPr="00915260">
        <w:rPr>
          <w:rFonts w:cs="Times New Roman"/>
          <w:b/>
          <w:bCs/>
          <w:sz w:val="22"/>
          <w:szCs w:val="22"/>
        </w:rPr>
        <w:t>Brand Trust and Purchase Intention</w:t>
      </w:r>
      <w:bookmarkEnd w:id="57"/>
      <w:bookmarkEnd w:id="58"/>
    </w:p>
    <w:p w14:paraId="12E83B53" w14:textId="77777777" w:rsidR="006E4ECB" w:rsidRDefault="00462F63" w:rsidP="006E4ECB">
      <w:pPr>
        <w:spacing w:line="360" w:lineRule="auto"/>
        <w:ind w:left="720"/>
        <w:jc w:val="both"/>
        <w:rPr>
          <w:rFonts w:cs="Times New Roman"/>
          <w:kern w:val="0"/>
          <w:szCs w:val="22"/>
          <w14:ligatures w14:val="none"/>
        </w:rPr>
      </w:pPr>
      <w:r w:rsidRPr="00462F63">
        <w:rPr>
          <w:rFonts w:eastAsia="Times New Roman" w:cs="Times New Roman"/>
          <w:kern w:val="0"/>
          <w:szCs w:val="22"/>
          <w14:ligatures w14:val="none"/>
        </w:rPr>
        <w:t>Brand trust is a critical determinant of purchase intention, acting as both a direct driver and as a mediator of other influences such as marketing communications and sustainability claims. Morwitz (2014) and Dam (2020) explain that consumer confidence in a brand’s reliability and integrity reduces perceived risk and increases willingness to buy. Recent systematic reviews</w:t>
      </w:r>
      <w:r>
        <w:rPr>
          <w:rFonts w:cs="Times New Roman" w:hint="eastAsia"/>
          <w:kern w:val="0"/>
          <w:szCs w:val="22"/>
          <w14:ligatures w14:val="none"/>
        </w:rPr>
        <w:t xml:space="preserve">, </w:t>
      </w:r>
      <w:r w:rsidRPr="00462F63">
        <w:rPr>
          <w:rFonts w:eastAsia="Times New Roman" w:cs="Times New Roman"/>
          <w:kern w:val="0"/>
          <w:szCs w:val="22"/>
          <w14:ligatures w14:val="none"/>
        </w:rPr>
        <w:t xml:space="preserve">including </w:t>
      </w:r>
      <w:r w:rsidR="00E20A11" w:rsidRPr="00E20A11">
        <w:rPr>
          <w:rFonts w:eastAsia="Times New Roman" w:cs="Times New Roman"/>
          <w:kern w:val="0"/>
          <w:szCs w:val="22"/>
          <w14:ligatures w14:val="none"/>
        </w:rPr>
        <w:t>Khurana et al. (2025)</w:t>
      </w:r>
      <w:r w:rsidR="00E20A11">
        <w:rPr>
          <w:rFonts w:cs="Times New Roman" w:hint="eastAsia"/>
          <w:kern w:val="0"/>
          <w:szCs w:val="22"/>
          <w14:ligatures w14:val="none"/>
        </w:rPr>
        <w:t xml:space="preserve"> </w:t>
      </w:r>
      <w:r w:rsidRPr="00462F63">
        <w:rPr>
          <w:rFonts w:eastAsia="Times New Roman" w:cs="Times New Roman"/>
          <w:kern w:val="0"/>
          <w:szCs w:val="22"/>
          <w14:ligatures w14:val="none"/>
        </w:rPr>
        <w:t xml:space="preserve">corroborate these relationships, showing that higher brand trust increases purchase intention across product categories. </w:t>
      </w:r>
      <w:r w:rsidR="0054734F" w:rsidRPr="0054734F">
        <w:rPr>
          <w:rFonts w:eastAsia="Times New Roman" w:cs="Times New Roman"/>
          <w:kern w:val="0"/>
          <w:szCs w:val="22"/>
          <w14:ligatures w14:val="none"/>
        </w:rPr>
        <w:t>Guerreiro and Pacheco (2021</w:t>
      </w:r>
      <w:r w:rsidR="006E4ECB">
        <w:rPr>
          <w:rFonts w:cs="Times New Roman" w:hint="eastAsia"/>
          <w:kern w:val="0"/>
          <w:szCs w:val="22"/>
          <w14:ligatures w14:val="none"/>
        </w:rPr>
        <w:t>)</w:t>
      </w:r>
      <w:r w:rsidRPr="00462F63">
        <w:rPr>
          <w:rFonts w:eastAsia="Times New Roman" w:cs="Times New Roman"/>
          <w:kern w:val="0"/>
          <w:szCs w:val="22"/>
          <w14:ligatures w14:val="none"/>
        </w:rPr>
        <w:t xml:space="preserve"> identify brand trust as especially crucial for green or ethical purchase scenarios, further reinforcing its importance amid rising skepticism regarding brand claims. </w:t>
      </w:r>
    </w:p>
    <w:p w14:paraId="4DABF9C8" w14:textId="65373B3B" w:rsidR="00221095" w:rsidRPr="00915260" w:rsidRDefault="00221095" w:rsidP="006E4ECB">
      <w:pPr>
        <w:spacing w:line="360" w:lineRule="auto"/>
        <w:ind w:left="720"/>
        <w:jc w:val="both"/>
        <w:rPr>
          <w:rFonts w:eastAsia="Times New Roman" w:cs="Times New Roman"/>
          <w:kern w:val="0"/>
          <w:szCs w:val="22"/>
          <w14:ligatures w14:val="none"/>
        </w:rPr>
      </w:pPr>
      <w:r w:rsidRPr="00915260">
        <w:rPr>
          <w:rFonts w:eastAsia="Times New Roman" w:cs="Times New Roman"/>
          <w:kern w:val="0"/>
          <w:szCs w:val="22"/>
          <w14:ligatures w14:val="none"/>
        </w:rPr>
        <w:br w:type="page"/>
      </w:r>
    </w:p>
    <w:p w14:paraId="5A219B55" w14:textId="46829E90" w:rsidR="00221095" w:rsidRPr="008A13FE" w:rsidRDefault="00A64F33" w:rsidP="004F76CE">
      <w:pPr>
        <w:pStyle w:val="Heading"/>
        <w:numPr>
          <w:ilvl w:val="0"/>
          <w:numId w:val="5"/>
        </w:numPr>
        <w:spacing w:line="360" w:lineRule="auto"/>
        <w:jc w:val="both"/>
        <w:rPr>
          <w:rFonts w:cs="Times New Roman"/>
          <w:szCs w:val="28"/>
        </w:rPr>
      </w:pPr>
      <w:bookmarkStart w:id="59" w:name="_Toc209184667"/>
      <w:bookmarkStart w:id="60" w:name="_Toc213748922"/>
      <w:r>
        <w:rPr>
          <w:rFonts w:cs="Times New Roman" w:hint="eastAsia"/>
          <w:szCs w:val="28"/>
        </w:rPr>
        <w:lastRenderedPageBreak/>
        <w:t xml:space="preserve">Research </w:t>
      </w:r>
      <w:r w:rsidR="0089723B" w:rsidRPr="008A13FE">
        <w:rPr>
          <w:rFonts w:cs="Times New Roman"/>
          <w:szCs w:val="28"/>
        </w:rPr>
        <w:t>Methodology</w:t>
      </w:r>
      <w:bookmarkEnd w:id="59"/>
      <w:bookmarkEnd w:id="60"/>
    </w:p>
    <w:p w14:paraId="1F99591B" w14:textId="23D4BE27" w:rsidR="008751A0" w:rsidRPr="00915260" w:rsidRDefault="004053DE" w:rsidP="004F76CE">
      <w:pPr>
        <w:pStyle w:val="ListParagraph"/>
        <w:spacing w:line="360" w:lineRule="auto"/>
        <w:ind w:left="0"/>
        <w:jc w:val="both"/>
        <w:rPr>
          <w:rFonts w:eastAsia="Times New Roman" w:cs="Times New Roman"/>
          <w:kern w:val="0"/>
          <w:szCs w:val="22"/>
          <w14:ligatures w14:val="none"/>
        </w:rPr>
      </w:pPr>
      <w:r w:rsidRPr="00915260">
        <w:rPr>
          <w:rFonts w:eastAsia="Times New Roman" w:cs="Times New Roman"/>
          <w:kern w:val="0"/>
          <w:szCs w:val="22"/>
          <w14:ligatures w14:val="none"/>
        </w:rPr>
        <w:t xml:space="preserve">This chapter outlines the research design, data collection methods, </w:t>
      </w:r>
      <w:r w:rsidR="005D46D7" w:rsidRPr="00915260">
        <w:rPr>
          <w:rFonts w:eastAsia="Times New Roman" w:cs="Times New Roman"/>
          <w:kern w:val="0"/>
          <w:szCs w:val="22"/>
          <w14:ligatures w14:val="none"/>
        </w:rPr>
        <w:t>pilot test</w:t>
      </w:r>
      <w:r w:rsidRPr="00915260">
        <w:rPr>
          <w:rFonts w:eastAsia="Times New Roman" w:cs="Times New Roman"/>
          <w:kern w:val="0"/>
          <w:szCs w:val="22"/>
          <w14:ligatures w14:val="none"/>
        </w:rPr>
        <w:t xml:space="preserve"> and data analysis strategies for this study. </w:t>
      </w:r>
      <w:r w:rsidR="005D46D7" w:rsidRPr="00915260">
        <w:rPr>
          <w:rFonts w:eastAsia="Times New Roman" w:cs="Times New Roman"/>
          <w:kern w:val="0"/>
          <w:szCs w:val="22"/>
          <w14:ligatures w14:val="none"/>
        </w:rPr>
        <w:t>it</w:t>
      </w:r>
      <w:r w:rsidRPr="00915260">
        <w:rPr>
          <w:rFonts w:eastAsia="Times New Roman" w:cs="Times New Roman"/>
          <w:kern w:val="0"/>
          <w:szCs w:val="22"/>
          <w14:ligatures w14:val="none"/>
        </w:rPr>
        <w:t xml:space="preserve"> aim</w:t>
      </w:r>
      <w:r w:rsidR="00EF54D4" w:rsidRPr="00915260">
        <w:rPr>
          <w:rFonts w:eastAsia="Times New Roman" w:cs="Times New Roman"/>
          <w:kern w:val="0"/>
          <w:szCs w:val="22"/>
          <w14:ligatures w14:val="none"/>
        </w:rPr>
        <w:t>s</w:t>
      </w:r>
      <w:r w:rsidRPr="00915260">
        <w:rPr>
          <w:rFonts w:eastAsia="Times New Roman" w:cs="Times New Roman"/>
          <w:kern w:val="0"/>
          <w:szCs w:val="22"/>
          <w14:ligatures w14:val="none"/>
        </w:rPr>
        <w:t xml:space="preserve"> to explore the connections between social media marketing, environmental </w:t>
      </w:r>
      <w:r w:rsidR="00ED409C">
        <w:rPr>
          <w:rFonts w:eastAsia="Times New Roman" w:cs="Times New Roman"/>
          <w:kern w:val="0"/>
          <w:szCs w:val="22"/>
          <w14:ligatures w14:val="none"/>
        </w:rPr>
        <w:t>conscious</w:t>
      </w:r>
      <w:r w:rsidRPr="00915260">
        <w:rPr>
          <w:rFonts w:eastAsia="Times New Roman" w:cs="Times New Roman"/>
          <w:kern w:val="0"/>
          <w:szCs w:val="22"/>
          <w14:ligatures w14:val="none"/>
        </w:rPr>
        <w:t xml:space="preserve">, sustainability, brand trust, and purchase intention for Nescafé instant coffee in Hong Kong. </w:t>
      </w:r>
      <w:r w:rsidR="00EF54D4" w:rsidRPr="00915260">
        <w:rPr>
          <w:rFonts w:eastAsia="Times New Roman" w:cs="Times New Roman"/>
          <w:kern w:val="0"/>
          <w:szCs w:val="22"/>
          <w14:ligatures w14:val="none"/>
        </w:rPr>
        <w:t>I</w:t>
      </w:r>
      <w:r w:rsidR="00ED2F42" w:rsidRPr="00915260">
        <w:rPr>
          <w:rFonts w:eastAsia="Times New Roman" w:cs="Times New Roman"/>
          <w:kern w:val="0"/>
          <w:szCs w:val="22"/>
          <w14:ligatures w14:val="none"/>
        </w:rPr>
        <w:t>t</w:t>
      </w:r>
      <w:r w:rsidRPr="00915260">
        <w:rPr>
          <w:rFonts w:eastAsia="Times New Roman" w:cs="Times New Roman"/>
          <w:kern w:val="0"/>
          <w:szCs w:val="22"/>
          <w14:ligatures w14:val="none"/>
        </w:rPr>
        <w:t xml:space="preserve"> will ensure that our results are reliable and provide valuable insights into the brand's market impact.</w:t>
      </w:r>
    </w:p>
    <w:p w14:paraId="3E08ED46" w14:textId="77777777" w:rsidR="00A918F3" w:rsidRPr="00A918F3" w:rsidRDefault="00A918F3" w:rsidP="004F76CE">
      <w:pPr>
        <w:spacing w:line="360" w:lineRule="auto"/>
        <w:rPr>
          <w:rFonts w:cs="Times New Roman"/>
          <w:szCs w:val="22"/>
        </w:rPr>
      </w:pPr>
    </w:p>
    <w:p w14:paraId="1307B6C2" w14:textId="77777777" w:rsidR="00815038" w:rsidRPr="00915260" w:rsidRDefault="00815038" w:rsidP="00815038">
      <w:pPr>
        <w:pStyle w:val="Heading2"/>
        <w:numPr>
          <w:ilvl w:val="1"/>
          <w:numId w:val="5"/>
        </w:numPr>
        <w:spacing w:line="360" w:lineRule="auto"/>
        <w:ind w:left="450" w:hanging="450"/>
        <w:rPr>
          <w:rFonts w:cs="Times New Roman"/>
          <w:b/>
          <w:bCs/>
          <w:sz w:val="22"/>
          <w:szCs w:val="22"/>
        </w:rPr>
      </w:pPr>
      <w:bookmarkStart w:id="61" w:name="_Toc213748923"/>
      <w:bookmarkStart w:id="62" w:name="_Toc209184669"/>
      <w:r w:rsidRPr="00915260">
        <w:rPr>
          <w:rFonts w:cs="Times New Roman"/>
          <w:b/>
          <w:bCs/>
          <w:sz w:val="22"/>
          <w:szCs w:val="22"/>
        </w:rPr>
        <w:t>Type of Research</w:t>
      </w:r>
      <w:bookmarkEnd w:id="61"/>
    </w:p>
    <w:p w14:paraId="29FADBF0" w14:textId="2A59A47F" w:rsidR="00815038" w:rsidRDefault="00815038" w:rsidP="00815038">
      <w:pPr>
        <w:spacing w:line="360" w:lineRule="auto"/>
        <w:jc w:val="both"/>
        <w:rPr>
          <w:rFonts w:cs="Times New Roman"/>
          <w:kern w:val="0"/>
          <w:szCs w:val="22"/>
          <w14:ligatures w14:val="none"/>
        </w:rPr>
      </w:pPr>
      <w:r w:rsidRPr="003013E3">
        <w:rPr>
          <w:rFonts w:eastAsia="Times New Roman" w:cs="Times New Roman"/>
          <w:kern w:val="0"/>
          <w:szCs w:val="22"/>
          <w14:ligatures w14:val="none"/>
        </w:rPr>
        <w:t xml:space="preserve">This study adopts a mixed-methods approach that integrates both qualitative and quantitative research designs to achieve a comprehensive understanding of consumer purchase intentions for instant coffee in Hong Kong. By leveraging methodological triangulation, the research aims to enhance the robustness and credibility of findings. These combined methods help address complex relationships between social media marketing activities, environmental </w:t>
      </w:r>
      <w:r w:rsidR="00ED409C">
        <w:rPr>
          <w:rFonts w:eastAsia="Times New Roman" w:cs="Times New Roman"/>
          <w:kern w:val="0"/>
          <w:szCs w:val="22"/>
          <w14:ligatures w14:val="none"/>
        </w:rPr>
        <w:t>conscious</w:t>
      </w:r>
      <w:r w:rsidRPr="003013E3">
        <w:rPr>
          <w:rFonts w:eastAsia="Times New Roman" w:cs="Times New Roman"/>
          <w:kern w:val="0"/>
          <w:szCs w:val="22"/>
          <w14:ligatures w14:val="none"/>
        </w:rPr>
        <w:t>, sustainability, brand trust, and purchase intention in a manner suitable for both theory-building and statistical analysis (University of Westminster, 2022).</w:t>
      </w:r>
    </w:p>
    <w:p w14:paraId="39BD4DF9" w14:textId="77777777" w:rsidR="009C026F" w:rsidRPr="009C026F" w:rsidRDefault="009C026F" w:rsidP="00815038">
      <w:pPr>
        <w:spacing w:line="360" w:lineRule="auto"/>
        <w:jc w:val="both"/>
        <w:rPr>
          <w:rFonts w:cs="Times New Roman"/>
          <w:kern w:val="0"/>
          <w:szCs w:val="22"/>
          <w14:ligatures w14:val="none"/>
        </w:rPr>
      </w:pPr>
    </w:p>
    <w:p w14:paraId="45BA6927" w14:textId="77777777" w:rsidR="00815038" w:rsidRDefault="00815038" w:rsidP="00815038">
      <w:pPr>
        <w:pStyle w:val="Heading2"/>
        <w:numPr>
          <w:ilvl w:val="2"/>
          <w:numId w:val="5"/>
        </w:numPr>
        <w:spacing w:line="360" w:lineRule="auto"/>
        <w:rPr>
          <w:rFonts w:cs="Times New Roman"/>
          <w:b/>
          <w:bCs/>
          <w:sz w:val="22"/>
          <w:szCs w:val="22"/>
        </w:rPr>
      </w:pPr>
      <w:bookmarkStart w:id="63" w:name="_Toc213748924"/>
      <w:r>
        <w:rPr>
          <w:rFonts w:cs="Times New Roman" w:hint="eastAsia"/>
          <w:b/>
          <w:bCs/>
          <w:sz w:val="22"/>
          <w:szCs w:val="22"/>
        </w:rPr>
        <w:t>Qualitative Research</w:t>
      </w:r>
      <w:bookmarkEnd w:id="63"/>
    </w:p>
    <w:p w14:paraId="7F27496B" w14:textId="6D7223E9" w:rsidR="00D76C4E" w:rsidRDefault="00D76C4E" w:rsidP="00815038">
      <w:pPr>
        <w:spacing w:line="360" w:lineRule="auto"/>
        <w:ind w:left="720"/>
        <w:jc w:val="both"/>
      </w:pPr>
      <w:r w:rsidRPr="00D76C4E">
        <w:t xml:space="preserve">Qualitative research is an approach that investigates how people interpret and make sense of experiences, behaviors, and interactions in real-life contexts. It is particularly useful for exploring complex phenomena and capturing in-depth insights, using non-numerical data gathered through interviews, focus group discussions, and open-ended questions. In this dissertation, qualitative data was collected mainly through focus group interviews, which allowed participants to express personal views and experiences regarding Nescafé, social media marketing activities, and sustainability. </w:t>
      </w:r>
      <w:r w:rsidRPr="00D61D1E">
        <w:t xml:space="preserve">According to </w:t>
      </w:r>
      <w:proofErr w:type="spellStart"/>
      <w:r w:rsidRPr="00D61D1E">
        <w:t>Oranga</w:t>
      </w:r>
      <w:proofErr w:type="spellEnd"/>
      <w:r w:rsidRPr="00D61D1E">
        <w:t xml:space="preserve"> and </w:t>
      </w:r>
      <w:proofErr w:type="spellStart"/>
      <w:r w:rsidRPr="00D61D1E">
        <w:t>Matere</w:t>
      </w:r>
      <w:proofErr w:type="spellEnd"/>
      <w:r w:rsidRPr="00D61D1E">
        <w:t xml:space="preserve"> (2023), qualitative methods facilitate thematic saturation and allow researchers to identify emergent patterns that may not surface in structured surveys.</w:t>
      </w:r>
    </w:p>
    <w:p w14:paraId="77C8DAA2" w14:textId="77777777" w:rsidR="009C026F" w:rsidRDefault="009C026F" w:rsidP="00815038">
      <w:pPr>
        <w:spacing w:line="360" w:lineRule="auto"/>
        <w:ind w:left="720"/>
        <w:jc w:val="both"/>
      </w:pPr>
    </w:p>
    <w:p w14:paraId="6B25906B" w14:textId="77777777" w:rsidR="00815038" w:rsidRDefault="00815038" w:rsidP="00815038">
      <w:pPr>
        <w:pStyle w:val="Heading2"/>
        <w:numPr>
          <w:ilvl w:val="2"/>
          <w:numId w:val="5"/>
        </w:numPr>
        <w:spacing w:line="360" w:lineRule="auto"/>
        <w:rPr>
          <w:rFonts w:cs="Times New Roman"/>
          <w:b/>
          <w:bCs/>
          <w:sz w:val="22"/>
          <w:szCs w:val="22"/>
        </w:rPr>
      </w:pPr>
      <w:bookmarkStart w:id="64" w:name="_Toc213748925"/>
      <w:r>
        <w:rPr>
          <w:rFonts w:cs="Times New Roman" w:hint="eastAsia"/>
          <w:b/>
          <w:bCs/>
          <w:sz w:val="22"/>
          <w:szCs w:val="22"/>
        </w:rPr>
        <w:t>Quantitative Research</w:t>
      </w:r>
      <w:bookmarkEnd w:id="64"/>
    </w:p>
    <w:p w14:paraId="1B2236E9" w14:textId="5A10AD6A" w:rsidR="00815038" w:rsidRDefault="00F25505" w:rsidP="009155A6">
      <w:pPr>
        <w:spacing w:line="360" w:lineRule="auto"/>
        <w:ind w:left="720"/>
        <w:jc w:val="both"/>
      </w:pPr>
      <w:r w:rsidRPr="00694E0A">
        <w:t xml:space="preserve">Quantitative research measures relationships among predefined variables using standardized survey instruments and statistical analysis. </w:t>
      </w:r>
      <w:r w:rsidR="009155A6">
        <w:rPr>
          <w:rFonts w:hint="eastAsia"/>
        </w:rPr>
        <w:t xml:space="preserve">The </w:t>
      </w:r>
      <w:r w:rsidRPr="00F25505">
        <w:t>main purpose is to test hypotheses and examine the relationships between specific variables by analyzing data from large, representative samples through structured tools like surveys or experiments.</w:t>
      </w:r>
      <w:r w:rsidR="009155A6">
        <w:rPr>
          <w:rFonts w:hint="eastAsia"/>
        </w:rPr>
        <w:t xml:space="preserve"> </w:t>
      </w:r>
      <w:r w:rsidR="00815038" w:rsidRPr="00694E0A">
        <w:t xml:space="preserve">Creswell (2018) notes that quantitative research excels in empirically testing theoretical predictions and quantifying variable relationships, offering generalizability and objectivity. </w:t>
      </w:r>
      <w:proofErr w:type="spellStart"/>
      <w:r w:rsidR="00815038" w:rsidRPr="00694E0A">
        <w:lastRenderedPageBreak/>
        <w:t>Ghanad</w:t>
      </w:r>
      <w:proofErr w:type="spellEnd"/>
      <w:r w:rsidR="00815038" w:rsidRPr="00694E0A">
        <w:t xml:space="preserve"> (2023) emphasizes its reliance on large samples and logical, standardized metrics, vital for the robust examination of purchase behavior determinants in the Hong Kong context.</w:t>
      </w:r>
    </w:p>
    <w:p w14:paraId="430D9F08" w14:textId="77777777" w:rsidR="009C026F" w:rsidRDefault="009C026F" w:rsidP="009155A6">
      <w:pPr>
        <w:spacing w:line="360" w:lineRule="auto"/>
        <w:ind w:left="720"/>
        <w:jc w:val="both"/>
      </w:pPr>
    </w:p>
    <w:p w14:paraId="0AA13AA0" w14:textId="77777777" w:rsidR="00815038" w:rsidRDefault="00815038" w:rsidP="00815038">
      <w:pPr>
        <w:pStyle w:val="Heading2"/>
        <w:numPr>
          <w:ilvl w:val="2"/>
          <w:numId w:val="5"/>
        </w:numPr>
        <w:spacing w:line="360" w:lineRule="auto"/>
        <w:rPr>
          <w:rFonts w:cs="Times New Roman"/>
          <w:b/>
          <w:bCs/>
          <w:sz w:val="22"/>
          <w:szCs w:val="22"/>
        </w:rPr>
      </w:pPr>
      <w:bookmarkStart w:id="65" w:name="_Toc213748926"/>
      <w:r w:rsidRPr="00694E0A">
        <w:rPr>
          <w:rFonts w:cs="Times New Roman"/>
          <w:b/>
          <w:bCs/>
          <w:sz w:val="22"/>
          <w:szCs w:val="22"/>
        </w:rPr>
        <w:t>Triangulation Research</w:t>
      </w:r>
      <w:bookmarkEnd w:id="65"/>
    </w:p>
    <w:p w14:paraId="6B8D16AB" w14:textId="607D98FE" w:rsidR="004538BB" w:rsidRDefault="000067AE" w:rsidP="00815038">
      <w:pPr>
        <w:spacing w:line="360" w:lineRule="auto"/>
        <w:ind w:left="720"/>
        <w:jc w:val="both"/>
      </w:pPr>
      <w:r w:rsidRPr="000067AE">
        <w:t>Triangulation in research refers to the integration of multiple methods, data sources, and perspectives to study a single phenomenon, thereby enhancing the validity and credibility of research findings</w:t>
      </w:r>
      <w:r w:rsidR="00220FFA">
        <w:rPr>
          <w:rFonts w:hint="eastAsia"/>
        </w:rPr>
        <w:t xml:space="preserve"> </w:t>
      </w:r>
      <w:r w:rsidR="00220FFA" w:rsidRPr="00220FFA">
        <w:t>(Östlund et al., 2020)</w:t>
      </w:r>
      <w:r w:rsidRPr="000067AE">
        <w:t xml:space="preserve">. This dissertation adopts methodological triangulation by combining qualitative methods </w:t>
      </w:r>
      <w:r w:rsidR="00E74B94">
        <w:rPr>
          <w:rFonts w:hint="eastAsia"/>
        </w:rPr>
        <w:t xml:space="preserve">with </w:t>
      </w:r>
      <w:r w:rsidRPr="000067AE">
        <w:t xml:space="preserve">focus group interviews, quantitative methods </w:t>
      </w:r>
      <w:r w:rsidR="00E74B94">
        <w:rPr>
          <w:rFonts w:hint="eastAsia"/>
        </w:rPr>
        <w:t xml:space="preserve">by </w:t>
      </w:r>
      <w:r w:rsidRPr="000067AE">
        <w:t>standardized surveys, and a comprehensive literature review. Such integration allows for the cross-validation of results, facilitates a broader and deeper understanding of the research problem, and addresses potential biases inherent in any single method</w:t>
      </w:r>
      <w:r w:rsidR="00262068">
        <w:rPr>
          <w:rFonts w:hint="eastAsia"/>
        </w:rPr>
        <w:t xml:space="preserve"> </w:t>
      </w:r>
      <w:r w:rsidR="00BE70EB" w:rsidRPr="00BE70EB">
        <w:t>(</w:t>
      </w:r>
      <w:proofErr w:type="spellStart"/>
      <w:r w:rsidR="00BE70EB" w:rsidRPr="00BE70EB">
        <w:t>Jick</w:t>
      </w:r>
      <w:proofErr w:type="spellEnd"/>
      <w:r w:rsidR="00BE70EB" w:rsidRPr="00BE70EB">
        <w:t>, 1979)</w:t>
      </w:r>
      <w:r w:rsidRPr="000067AE">
        <w:t>. As demonstrated in the literature, methodological triangulation enhances the reliability of findings by merging the strengths of qualitative and quantitative approaches and connecting empirical analysis with existing theory, ultimately providing a more holistic and robust analysis.</w:t>
      </w:r>
      <w:r w:rsidR="00861664">
        <w:rPr>
          <w:rFonts w:hint="eastAsia"/>
        </w:rPr>
        <w:t xml:space="preserve"> </w:t>
      </w:r>
      <w:r w:rsidR="00C27E45">
        <w:t xml:space="preserve">This study adopting </w:t>
      </w:r>
      <w:r w:rsidR="00E22B42" w:rsidRPr="00E22B42">
        <w:t>triangulation</w:t>
      </w:r>
      <w:r w:rsidR="00C27E45">
        <w:t xml:space="preserve"> methodology that</w:t>
      </w:r>
      <w:r w:rsidR="00E22B42" w:rsidRPr="00E22B42">
        <w:t xml:space="preserve"> strengthens both the internal and external validity of the research, as recommended by </w:t>
      </w:r>
      <w:proofErr w:type="spellStart"/>
      <w:r w:rsidR="00E22B42" w:rsidRPr="00E22B42">
        <w:t>Jick</w:t>
      </w:r>
      <w:proofErr w:type="spellEnd"/>
      <w:r w:rsidR="00E22B42" w:rsidRPr="00E22B42">
        <w:t xml:space="preserve"> (1979) and </w:t>
      </w:r>
      <w:proofErr w:type="spellStart"/>
      <w:r w:rsidR="00E22B42" w:rsidRPr="00E22B42">
        <w:t>stlund</w:t>
      </w:r>
      <w:proofErr w:type="spellEnd"/>
      <w:r w:rsidR="00E22B42" w:rsidRPr="00E22B42">
        <w:t xml:space="preserve"> et al. (2020), ensuring cross-validation and broadening the depth of findings.</w:t>
      </w:r>
    </w:p>
    <w:p w14:paraId="4A06B7B6" w14:textId="77777777" w:rsidR="009F2605" w:rsidRPr="005D71FA" w:rsidRDefault="009F2605" w:rsidP="00F467E2">
      <w:pPr>
        <w:spacing w:line="360" w:lineRule="auto"/>
        <w:jc w:val="both"/>
      </w:pPr>
    </w:p>
    <w:p w14:paraId="4AE0AB11" w14:textId="325F441C" w:rsidR="00ED3ADD" w:rsidRPr="00915260" w:rsidRDefault="00B15853" w:rsidP="004F76CE">
      <w:pPr>
        <w:pStyle w:val="Heading2"/>
        <w:numPr>
          <w:ilvl w:val="1"/>
          <w:numId w:val="5"/>
        </w:numPr>
        <w:spacing w:line="360" w:lineRule="auto"/>
        <w:ind w:left="450" w:hanging="450"/>
        <w:rPr>
          <w:rFonts w:cs="Times New Roman"/>
          <w:b/>
          <w:bCs/>
          <w:sz w:val="22"/>
          <w:szCs w:val="22"/>
        </w:rPr>
      </w:pPr>
      <w:bookmarkStart w:id="66" w:name="_Toc213748927"/>
      <w:r w:rsidRPr="00915260">
        <w:rPr>
          <w:rFonts w:cs="Times New Roman"/>
          <w:b/>
          <w:bCs/>
          <w:sz w:val="22"/>
          <w:szCs w:val="22"/>
        </w:rPr>
        <w:t>Research Hypothesis</w:t>
      </w:r>
      <w:bookmarkEnd w:id="66"/>
    </w:p>
    <w:p w14:paraId="2D542DC1" w14:textId="79E53D89" w:rsidR="00DD17DF" w:rsidRDefault="00963313" w:rsidP="00DD17DF">
      <w:pPr>
        <w:spacing w:line="360" w:lineRule="auto"/>
        <w:jc w:val="both"/>
        <w:rPr>
          <w:rFonts w:cs="Times New Roman"/>
          <w:kern w:val="0"/>
          <w:szCs w:val="22"/>
          <w14:ligatures w14:val="none"/>
        </w:rPr>
      </w:pPr>
      <w:r w:rsidRPr="00963313">
        <w:rPr>
          <w:rFonts w:cs="Times New Roman"/>
          <w:kern w:val="0"/>
          <w:szCs w:val="22"/>
          <w14:ligatures w14:val="none"/>
        </w:rPr>
        <w:t xml:space="preserve">Based on a synthesis of current scholarly literature, the following research hypotheses are proposed to examine the influence of social media marketing activities, environmental </w:t>
      </w:r>
      <w:r w:rsidR="00ED409C">
        <w:rPr>
          <w:rFonts w:cs="Times New Roman"/>
          <w:kern w:val="0"/>
          <w:szCs w:val="22"/>
          <w14:ligatures w14:val="none"/>
        </w:rPr>
        <w:t>conscious</w:t>
      </w:r>
      <w:r w:rsidRPr="00963313">
        <w:rPr>
          <w:rFonts w:cs="Times New Roman"/>
          <w:kern w:val="0"/>
          <w:szCs w:val="22"/>
          <w14:ligatures w14:val="none"/>
        </w:rPr>
        <w:t>, sustainability, and brand trust on consumer purchase intention. These hypotheses collectively form the foundation of the conceptual research model used in this study.</w:t>
      </w:r>
    </w:p>
    <w:p w14:paraId="547DAE7A" w14:textId="77777777" w:rsidR="00963313" w:rsidRPr="00DD17DF" w:rsidRDefault="00963313" w:rsidP="00DD17DF">
      <w:pPr>
        <w:spacing w:line="360" w:lineRule="auto"/>
        <w:jc w:val="both"/>
        <w:rPr>
          <w:rFonts w:cs="Times New Roman"/>
          <w:kern w:val="0"/>
          <w:szCs w:val="22"/>
          <w14:ligatures w14:val="none"/>
        </w:rPr>
      </w:pPr>
    </w:p>
    <w:p w14:paraId="7B0A4CC5" w14:textId="77777777" w:rsidR="00B56F54" w:rsidRDefault="00B56F54" w:rsidP="00DD17DF">
      <w:pPr>
        <w:spacing w:line="360" w:lineRule="auto"/>
        <w:jc w:val="both"/>
        <w:rPr>
          <w:rFonts w:cs="Times New Roman"/>
          <w:kern w:val="0"/>
          <w:szCs w:val="22"/>
          <w14:ligatures w14:val="none"/>
        </w:rPr>
      </w:pPr>
      <w:r w:rsidRPr="00B56F54">
        <w:rPr>
          <w:rFonts w:cs="Times New Roman"/>
          <w:kern w:val="0"/>
          <w:szCs w:val="22"/>
          <w14:ligatures w14:val="none"/>
        </w:rPr>
        <w:t>H1: Social media marketing activities positively influence purchase intention.</w:t>
      </w:r>
    </w:p>
    <w:p w14:paraId="7903C9CE" w14:textId="7CBD43D7" w:rsidR="00DD17DF" w:rsidRPr="00DD17DF" w:rsidRDefault="00B56F54" w:rsidP="00DD17DF">
      <w:pPr>
        <w:spacing w:line="360" w:lineRule="auto"/>
        <w:jc w:val="both"/>
        <w:rPr>
          <w:rFonts w:cs="Times New Roman"/>
          <w:kern w:val="0"/>
          <w:szCs w:val="22"/>
          <w14:ligatures w14:val="none"/>
        </w:rPr>
      </w:pPr>
      <w:r w:rsidRPr="00B56F54">
        <w:rPr>
          <w:rFonts w:cs="Times New Roman"/>
          <w:kern w:val="0"/>
          <w:szCs w:val="22"/>
          <w14:ligatures w14:val="none"/>
        </w:rPr>
        <w:t>Extant research indicates that innovative and engaging social media marketing activities—such as interactive content, real-time engagement, and platform-driven entertainment—are strongly associated with increased purchase intentions among consumers (Kim &amp; Ko, 2012; Alnaser et al., 2024). Empirical evidence shows that brand-driven digital campaigns foster consumer-brand relationships, mediate value perceptions, and directly motivate buying decisions.</w:t>
      </w:r>
    </w:p>
    <w:p w14:paraId="2161DCC6" w14:textId="428A2992" w:rsidR="00B236B0" w:rsidRDefault="00B236B0">
      <w:pPr>
        <w:rPr>
          <w:rFonts w:cs="Times New Roman"/>
          <w:kern w:val="0"/>
          <w:szCs w:val="22"/>
          <w14:ligatures w14:val="none"/>
        </w:rPr>
      </w:pPr>
      <w:r>
        <w:rPr>
          <w:rFonts w:cs="Times New Roman"/>
          <w:kern w:val="0"/>
          <w:szCs w:val="22"/>
          <w14:ligatures w14:val="none"/>
        </w:rPr>
        <w:br w:type="page"/>
      </w:r>
    </w:p>
    <w:p w14:paraId="25EAD442" w14:textId="67DAC998" w:rsidR="00B56F54" w:rsidRDefault="00B56F54" w:rsidP="00B56F54">
      <w:pPr>
        <w:spacing w:line="360" w:lineRule="auto"/>
        <w:jc w:val="both"/>
        <w:rPr>
          <w:rFonts w:cs="Times New Roman"/>
          <w:kern w:val="0"/>
          <w:szCs w:val="22"/>
          <w14:ligatures w14:val="none"/>
        </w:rPr>
      </w:pPr>
      <w:r w:rsidRPr="00B56F54">
        <w:rPr>
          <w:rFonts w:cs="Times New Roman"/>
          <w:kern w:val="0"/>
          <w:szCs w:val="22"/>
          <w14:ligatures w14:val="none"/>
        </w:rPr>
        <w:lastRenderedPageBreak/>
        <w:t>H2: Environmental conscious positively influences purchase intention.</w:t>
      </w:r>
    </w:p>
    <w:p w14:paraId="5DD99B12" w14:textId="286316BC" w:rsidR="00DD17DF" w:rsidRPr="00DD17DF" w:rsidRDefault="00DF025C" w:rsidP="007152ED">
      <w:pPr>
        <w:spacing w:line="360" w:lineRule="auto"/>
        <w:jc w:val="both"/>
        <w:rPr>
          <w:rFonts w:cs="Times New Roman"/>
          <w:kern w:val="0"/>
          <w:szCs w:val="22"/>
          <w14:ligatures w14:val="none"/>
        </w:rPr>
      </w:pPr>
      <w:r w:rsidRPr="00DF025C">
        <w:rPr>
          <w:rFonts w:cs="Times New Roman"/>
          <w:kern w:val="0"/>
          <w:szCs w:val="22"/>
          <w14:ligatures w14:val="none"/>
        </w:rPr>
        <w:t xml:space="preserve">Environmental </w:t>
      </w:r>
      <w:r w:rsidR="00ED409C">
        <w:rPr>
          <w:rFonts w:cs="Times New Roman"/>
          <w:kern w:val="0"/>
          <w:szCs w:val="22"/>
          <w14:ligatures w14:val="none"/>
        </w:rPr>
        <w:t>conscious</w:t>
      </w:r>
      <w:r>
        <w:rPr>
          <w:rFonts w:cs="Times New Roman"/>
          <w:kern w:val="0"/>
          <w:szCs w:val="22"/>
          <w14:ligatures w14:val="none"/>
        </w:rPr>
        <w:t xml:space="preserve"> that </w:t>
      </w:r>
      <w:r w:rsidRPr="00DF025C">
        <w:rPr>
          <w:rFonts w:cs="Times New Roman"/>
          <w:kern w:val="0"/>
          <w:szCs w:val="22"/>
          <w14:ligatures w14:val="none"/>
        </w:rPr>
        <w:t>including eco-awareness, sustainability concern, and responsible consumption attitudes</w:t>
      </w:r>
      <w:r>
        <w:rPr>
          <w:rFonts w:cs="Times New Roman"/>
          <w:kern w:val="0"/>
          <w:szCs w:val="22"/>
          <w14:ligatures w14:val="none"/>
        </w:rPr>
        <w:t xml:space="preserve"> </w:t>
      </w:r>
      <w:r w:rsidRPr="00DF025C">
        <w:rPr>
          <w:rFonts w:cs="Times New Roman"/>
          <w:kern w:val="0"/>
          <w:szCs w:val="22"/>
          <w14:ligatures w14:val="none"/>
        </w:rPr>
        <w:t xml:space="preserve">has a direct and significant positive relationship with purchase intention, as supported by recent empirical studies (Laroche, 2001; Biswas and Roy, 2015; Kumar, Prakash, and Kumar, 2021). Higher levels of environmental concern and knowledge independently predict increased likelihood of purchasing sustainable products, confirming that environmental </w:t>
      </w:r>
      <w:r w:rsidR="00ED409C">
        <w:rPr>
          <w:rFonts w:cs="Times New Roman"/>
          <w:kern w:val="0"/>
          <w:szCs w:val="22"/>
          <w14:ligatures w14:val="none"/>
        </w:rPr>
        <w:t>conscious</w:t>
      </w:r>
      <w:r w:rsidRPr="00DF025C">
        <w:rPr>
          <w:rFonts w:cs="Times New Roman"/>
          <w:kern w:val="0"/>
          <w:szCs w:val="22"/>
          <w14:ligatures w14:val="none"/>
        </w:rPr>
        <w:t xml:space="preserve"> </w:t>
      </w:r>
      <w:r w:rsidR="009F4894">
        <w:rPr>
          <w:rFonts w:cs="Times New Roman"/>
          <w:kern w:val="0"/>
          <w:szCs w:val="22"/>
          <w14:ligatures w14:val="none"/>
        </w:rPr>
        <w:t>is</w:t>
      </w:r>
      <w:r w:rsidRPr="00DF025C">
        <w:rPr>
          <w:rFonts w:cs="Times New Roman"/>
          <w:kern w:val="0"/>
          <w:szCs w:val="22"/>
          <w14:ligatures w14:val="none"/>
        </w:rPr>
        <w:t xml:space="preserve"> direct antecedent to consumers’ intention to purchase.</w:t>
      </w:r>
      <w:r w:rsidR="00DD17DF" w:rsidRPr="00DD17DF">
        <w:rPr>
          <w:rFonts w:cs="Times New Roman"/>
          <w:kern w:val="0"/>
          <w:szCs w:val="22"/>
          <w14:ligatures w14:val="none"/>
        </w:rPr>
        <w:t>​</w:t>
      </w:r>
    </w:p>
    <w:p w14:paraId="001EEFEA" w14:textId="77777777" w:rsidR="00DD17DF" w:rsidRPr="00DD17DF" w:rsidRDefault="00DD17DF" w:rsidP="00DD17DF">
      <w:pPr>
        <w:spacing w:line="360" w:lineRule="auto"/>
        <w:jc w:val="both"/>
        <w:rPr>
          <w:rFonts w:cs="Times New Roman"/>
          <w:kern w:val="0"/>
          <w:szCs w:val="22"/>
          <w14:ligatures w14:val="none"/>
        </w:rPr>
      </w:pPr>
    </w:p>
    <w:p w14:paraId="543488DF" w14:textId="77777777"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H3: Sustainability positively influences purchase intention.</w:t>
      </w:r>
    </w:p>
    <w:p w14:paraId="24352E36" w14:textId="1DC69632"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The sustainable orientation of brands</w:t>
      </w:r>
      <w:r w:rsidR="007152ED">
        <w:rPr>
          <w:rFonts w:cs="Times New Roman" w:hint="eastAsia"/>
          <w:kern w:val="0"/>
          <w:szCs w:val="22"/>
          <w14:ligatures w14:val="none"/>
        </w:rPr>
        <w:t xml:space="preserve"> </w:t>
      </w:r>
      <w:r w:rsidR="007152ED">
        <w:rPr>
          <w:rFonts w:cs="Times New Roman"/>
          <w:kern w:val="0"/>
          <w:szCs w:val="22"/>
          <w14:ligatures w14:val="none"/>
        </w:rPr>
        <w:t>that</w:t>
      </w:r>
      <w:r w:rsidR="007152ED">
        <w:rPr>
          <w:rFonts w:cs="Times New Roman" w:hint="eastAsia"/>
          <w:kern w:val="0"/>
          <w:szCs w:val="22"/>
          <w14:ligatures w14:val="none"/>
        </w:rPr>
        <w:t xml:space="preserve"> </w:t>
      </w:r>
      <w:r w:rsidR="00A1328D" w:rsidRPr="006C6115">
        <w:rPr>
          <w:rFonts w:cs="Times New Roman"/>
          <w:kern w:val="0"/>
          <w:szCs w:val="22"/>
          <w14:ligatures w14:val="none"/>
        </w:rPr>
        <w:t>include</w:t>
      </w:r>
      <w:r w:rsidRPr="006C6115">
        <w:rPr>
          <w:rFonts w:cs="Times New Roman"/>
          <w:kern w:val="0"/>
          <w:szCs w:val="22"/>
          <w14:ligatures w14:val="none"/>
        </w:rPr>
        <w:t xml:space="preserve"> commitments to ethical sourcing, eco-friendly packaging, and transparent supply chain practices</w:t>
      </w:r>
      <w:r w:rsidR="007152ED">
        <w:rPr>
          <w:rFonts w:cs="Times New Roman" w:hint="eastAsia"/>
          <w:kern w:val="0"/>
          <w:szCs w:val="22"/>
          <w14:ligatures w14:val="none"/>
        </w:rPr>
        <w:t xml:space="preserve">, </w:t>
      </w:r>
      <w:r w:rsidRPr="006C6115">
        <w:rPr>
          <w:rFonts w:cs="Times New Roman"/>
          <w:kern w:val="0"/>
          <w:szCs w:val="22"/>
          <w14:ligatures w14:val="none"/>
        </w:rPr>
        <w:t>has a positive relationship with consumer purchase intentions (Panda et al., 2020). When brands clearly communicate and genuinely act on sustainability, consumers perceive higher value and are more motivated to make purchasing decisions accordingly</w:t>
      </w:r>
      <w:r w:rsidR="001F4D5A">
        <w:rPr>
          <w:rFonts w:cs="Times New Roman"/>
          <w:kern w:val="0"/>
          <w:szCs w:val="22"/>
          <w14:ligatures w14:val="none"/>
        </w:rPr>
        <w:t xml:space="preserve"> </w:t>
      </w:r>
      <w:r w:rsidR="001F4D5A" w:rsidRPr="001F4D5A">
        <w:rPr>
          <w:rFonts w:cs="Times New Roman"/>
          <w:kern w:val="0"/>
          <w:szCs w:val="22"/>
          <w14:ligatures w14:val="none"/>
        </w:rPr>
        <w:t>(Ansar, 2013)</w:t>
      </w:r>
      <w:r w:rsidRPr="006C6115">
        <w:rPr>
          <w:rFonts w:cs="Times New Roman"/>
          <w:kern w:val="0"/>
          <w:szCs w:val="22"/>
          <w14:ligatures w14:val="none"/>
        </w:rPr>
        <w:t>.​​</w:t>
      </w:r>
    </w:p>
    <w:p w14:paraId="4DAD2E4E" w14:textId="77777777" w:rsidR="007152ED" w:rsidRPr="006C6115" w:rsidRDefault="007152ED" w:rsidP="006C6115">
      <w:pPr>
        <w:spacing w:line="360" w:lineRule="auto"/>
        <w:jc w:val="both"/>
        <w:rPr>
          <w:rFonts w:cs="Times New Roman"/>
          <w:kern w:val="0"/>
          <w:szCs w:val="22"/>
          <w14:ligatures w14:val="none"/>
        </w:rPr>
      </w:pPr>
    </w:p>
    <w:p w14:paraId="3733B370" w14:textId="77777777"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H4: Brand trust positively influences purchase intention.</w:t>
      </w:r>
    </w:p>
    <w:p w14:paraId="273A86A4" w14:textId="39A2FCF9" w:rsidR="006C6115" w:rsidRDefault="006C6115" w:rsidP="006C6115">
      <w:pPr>
        <w:spacing w:line="360" w:lineRule="auto"/>
        <w:jc w:val="both"/>
        <w:rPr>
          <w:rFonts w:cs="Times New Roman"/>
          <w:kern w:val="0"/>
          <w:szCs w:val="22"/>
          <w14:ligatures w14:val="none"/>
        </w:rPr>
      </w:pPr>
      <w:r w:rsidRPr="006C6115">
        <w:rPr>
          <w:rFonts w:cs="Times New Roman"/>
          <w:kern w:val="0"/>
          <w:szCs w:val="22"/>
          <w14:ligatures w14:val="none"/>
        </w:rPr>
        <w:t xml:space="preserve">Brand trust, which arises from demonstrated brand reliability, honesty, and consistent delivery of promises, is found to directly enhance purchase intention (Morwitz, 2014; </w:t>
      </w:r>
      <w:r w:rsidR="00AB36B3">
        <w:rPr>
          <w:rFonts w:cs="Times New Roman"/>
          <w:kern w:val="0"/>
          <w:szCs w:val="22"/>
          <w14:ligatures w14:val="none"/>
        </w:rPr>
        <w:t>Dam 2020</w:t>
      </w:r>
      <w:r w:rsidRPr="006C6115">
        <w:rPr>
          <w:rFonts w:cs="Times New Roman"/>
          <w:kern w:val="0"/>
          <w:szCs w:val="22"/>
          <w14:ligatures w14:val="none"/>
        </w:rPr>
        <w:t>). High brand trust reduces consumer risk perceptions and underpins long-term loyalty, making trust a significant anchor for purchase in the instant coffee market.</w:t>
      </w:r>
    </w:p>
    <w:p w14:paraId="5ADC837B" w14:textId="77777777" w:rsidR="00A64AE1" w:rsidRPr="006C6115" w:rsidRDefault="00A64AE1" w:rsidP="006C6115">
      <w:pPr>
        <w:spacing w:line="360" w:lineRule="auto"/>
        <w:jc w:val="both"/>
        <w:rPr>
          <w:rFonts w:cs="Times New Roman"/>
          <w:kern w:val="0"/>
          <w:szCs w:val="22"/>
          <w14:ligatures w14:val="none"/>
        </w:rPr>
      </w:pPr>
    </w:p>
    <w:p w14:paraId="12110456" w14:textId="635D1147" w:rsidR="00EC60BF" w:rsidRDefault="00DD17DF" w:rsidP="00A64AE1">
      <w:pPr>
        <w:spacing w:line="360" w:lineRule="auto"/>
        <w:jc w:val="both"/>
        <w:rPr>
          <w:rFonts w:cs="Times New Roman"/>
          <w:kern w:val="0"/>
          <w:szCs w:val="22"/>
          <w14:ligatures w14:val="none"/>
        </w:rPr>
      </w:pPr>
      <w:r w:rsidRPr="00DD17DF">
        <w:rPr>
          <w:rFonts w:cs="Times New Roman"/>
          <w:kern w:val="0"/>
          <w:szCs w:val="22"/>
          <w14:ligatures w14:val="none"/>
        </w:rPr>
        <w:t>​</w:t>
      </w:r>
      <w:r w:rsidR="00A64AE1" w:rsidRPr="00A64AE1">
        <w:t xml:space="preserve"> </w:t>
      </w:r>
      <w:r w:rsidR="00A64AE1" w:rsidRPr="00A64AE1">
        <w:rPr>
          <w:rFonts w:cs="Times New Roman"/>
          <w:kern w:val="0"/>
          <w:szCs w:val="22"/>
          <w14:ligatures w14:val="none"/>
        </w:rPr>
        <w:t>These four hypotheses (H1, H2, H3, and H4) form an integrated conceptual research model (H1+ H2+ H3+ H4+), postulating that social media marketing activities, environmental conscious, sustainability, and brand trust are critical and mutually reinforcing drivers of consumer purchase intention</w:t>
      </w:r>
      <w:r w:rsidR="000F14BA">
        <w:rPr>
          <w:rFonts w:cs="Times New Roman"/>
          <w:kern w:val="0"/>
          <w:szCs w:val="22"/>
          <w14:ligatures w14:val="none"/>
        </w:rPr>
        <w:t>.</w:t>
      </w:r>
    </w:p>
    <w:p w14:paraId="14AB3B9F" w14:textId="77777777" w:rsidR="00A64AE1" w:rsidRPr="00915260" w:rsidRDefault="00A64AE1" w:rsidP="00A64AE1">
      <w:pPr>
        <w:spacing w:line="360" w:lineRule="auto"/>
        <w:jc w:val="both"/>
        <w:rPr>
          <w:rFonts w:cs="Times New Roman"/>
          <w:kern w:val="0"/>
          <w:szCs w:val="22"/>
          <w14:ligatures w14:val="none"/>
        </w:rPr>
      </w:pPr>
    </w:p>
    <w:p w14:paraId="2972B5DF" w14:textId="77777777" w:rsidR="00693E8C" w:rsidRPr="00915260" w:rsidRDefault="00693E8C" w:rsidP="00693E8C">
      <w:pPr>
        <w:pStyle w:val="Heading2"/>
        <w:numPr>
          <w:ilvl w:val="1"/>
          <w:numId w:val="5"/>
        </w:numPr>
        <w:spacing w:line="360" w:lineRule="auto"/>
        <w:ind w:left="450" w:hanging="450"/>
        <w:rPr>
          <w:rFonts w:cs="Times New Roman"/>
          <w:b/>
          <w:bCs/>
          <w:sz w:val="22"/>
          <w:szCs w:val="22"/>
        </w:rPr>
      </w:pPr>
      <w:bookmarkStart w:id="67" w:name="_Toc209184668"/>
      <w:bookmarkStart w:id="68" w:name="_Toc213748928"/>
      <w:r>
        <w:rPr>
          <w:rFonts w:cs="Times New Roman"/>
          <w:b/>
          <w:bCs/>
          <w:sz w:val="22"/>
          <w:szCs w:val="22"/>
        </w:rPr>
        <w:lastRenderedPageBreak/>
        <w:t xml:space="preserve">Conceptual </w:t>
      </w:r>
      <w:r w:rsidRPr="00915260">
        <w:rPr>
          <w:rFonts w:cs="Times New Roman"/>
          <w:b/>
          <w:bCs/>
          <w:sz w:val="22"/>
          <w:szCs w:val="22"/>
        </w:rPr>
        <w:t>Research M</w:t>
      </w:r>
      <w:bookmarkEnd w:id="67"/>
      <w:r w:rsidRPr="00915260">
        <w:rPr>
          <w:rFonts w:cs="Times New Roman"/>
          <w:b/>
          <w:bCs/>
          <w:sz w:val="22"/>
          <w:szCs w:val="22"/>
        </w:rPr>
        <w:t>odel</w:t>
      </w:r>
      <w:bookmarkEnd w:id="68"/>
    </w:p>
    <w:p w14:paraId="4BD9C8D7" w14:textId="7FC14A40" w:rsidR="00FE015D" w:rsidRDefault="00596592" w:rsidP="00FE015D">
      <w:pPr>
        <w:keepNext/>
        <w:spacing w:line="360" w:lineRule="auto"/>
        <w:jc w:val="center"/>
      </w:pPr>
      <w:r w:rsidRPr="00596592">
        <w:rPr>
          <w:noProof/>
        </w:rPr>
        <w:drawing>
          <wp:inline distT="0" distB="0" distL="0" distR="0" wp14:anchorId="354A6B38" wp14:editId="0C704B65">
            <wp:extent cx="4114800" cy="3564120"/>
            <wp:effectExtent l="0" t="0" r="0" b="0"/>
            <wp:docPr id="1655348594" name="Picture 1" descr="A diagram of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348594" name="Picture 1" descr="A diagram of a model&#10;&#10;AI-generated content may be incorrect."/>
                    <pic:cNvPicPr/>
                  </pic:nvPicPr>
                  <pic:blipFill>
                    <a:blip r:embed="rId31"/>
                    <a:stretch>
                      <a:fillRect/>
                    </a:stretch>
                  </pic:blipFill>
                  <pic:spPr>
                    <a:xfrm>
                      <a:off x="0" y="0"/>
                      <a:ext cx="4121163" cy="3569632"/>
                    </a:xfrm>
                    <a:prstGeom prst="rect">
                      <a:avLst/>
                    </a:prstGeom>
                  </pic:spPr>
                </pic:pic>
              </a:graphicData>
            </a:graphic>
          </wp:inline>
        </w:drawing>
      </w:r>
    </w:p>
    <w:p w14:paraId="2232B23C" w14:textId="5DF71C8A" w:rsidR="00CC1BB1" w:rsidRDefault="00CC1BB1" w:rsidP="00CC1BB1">
      <w:pPr>
        <w:spacing w:line="360" w:lineRule="auto"/>
        <w:jc w:val="both"/>
        <w:rPr>
          <w:rFonts w:eastAsia="Times New Roman" w:cs="Times New Roman"/>
          <w:kern w:val="0"/>
          <w:szCs w:val="22"/>
          <w14:ligatures w14:val="none"/>
        </w:rPr>
      </w:pPr>
      <w:r w:rsidRPr="00915260">
        <w:rPr>
          <w:rFonts w:eastAsia="Times New Roman" w:cs="Times New Roman"/>
          <w:kern w:val="0"/>
          <w:szCs w:val="22"/>
          <w14:ligatures w14:val="none"/>
        </w:rPr>
        <w:t>The research framework enhances this study by illustrating the relationships between key variables. Figure 3.</w:t>
      </w:r>
      <w:r>
        <w:rPr>
          <w:rFonts w:eastAsia="Times New Roman" w:cs="Times New Roman"/>
          <w:kern w:val="0"/>
          <w:szCs w:val="22"/>
          <w14:ligatures w14:val="none"/>
        </w:rPr>
        <w:t>3</w:t>
      </w:r>
      <w:r w:rsidRPr="00915260">
        <w:rPr>
          <w:rFonts w:eastAsia="Times New Roman" w:cs="Times New Roman"/>
          <w:kern w:val="0"/>
          <w:szCs w:val="22"/>
          <w14:ligatures w14:val="none"/>
        </w:rPr>
        <w:t xml:space="preserve"> presents the conceptual framework that examines how social media marketing, environmental conscious, sustainability, and brand trust collectively influence purchase intention. This framework, supported by the literature review in Chapter 2, highlights the importance of these variables in shaping consumer decisions.</w:t>
      </w:r>
      <w:r>
        <w:rPr>
          <w:rFonts w:eastAsia="Times New Roman" w:cs="Times New Roman"/>
          <w:kern w:val="0"/>
          <w:szCs w:val="22"/>
          <w14:ligatures w14:val="none"/>
        </w:rPr>
        <w:t xml:space="preserve"> Table 3.3 summarizes the underscores the significance of these factors toward purchase intention.</w:t>
      </w:r>
    </w:p>
    <w:p w14:paraId="42099298" w14:textId="77777777" w:rsidR="00CC1BB1" w:rsidRDefault="00CC1BB1" w:rsidP="00CC1BB1">
      <w:pPr>
        <w:spacing w:line="360" w:lineRule="auto"/>
        <w:jc w:val="both"/>
        <w:rPr>
          <w:rFonts w:eastAsia="Times New Roman" w:cs="Times New Roman"/>
          <w:kern w:val="0"/>
          <w:szCs w:val="22"/>
          <w14:ligatures w14:val="none"/>
        </w:rPr>
      </w:pPr>
    </w:p>
    <w:bookmarkEnd w:id="62"/>
    <w:p w14:paraId="5334373B" w14:textId="06F3FB5E" w:rsidR="00546B52" w:rsidRDefault="00CC1BB1" w:rsidP="004F76CE">
      <w:pPr>
        <w:spacing w:line="360" w:lineRule="auto"/>
        <w:jc w:val="both"/>
        <w:rPr>
          <w:rFonts w:cs="Times New Roman"/>
          <w:kern w:val="0"/>
          <w:szCs w:val="22"/>
          <w14:ligatures w14:val="none"/>
        </w:rPr>
      </w:pPr>
      <w:r w:rsidRPr="00CC1BB1">
        <w:rPr>
          <w:rFonts w:cs="Times New Roman"/>
          <w:noProof/>
          <w:kern w:val="0"/>
          <w:szCs w:val="22"/>
          <w14:ligatures w14:val="none"/>
        </w:rPr>
        <w:drawing>
          <wp:inline distT="0" distB="0" distL="0" distR="0" wp14:anchorId="58FEE90A" wp14:editId="7E91DF72">
            <wp:extent cx="5667128" cy="2419673"/>
            <wp:effectExtent l="0" t="0" r="0" b="0"/>
            <wp:docPr id="1765344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44802" name=""/>
                    <pic:cNvPicPr/>
                  </pic:nvPicPr>
                  <pic:blipFill>
                    <a:blip r:embed="rId32"/>
                    <a:stretch>
                      <a:fillRect/>
                    </a:stretch>
                  </pic:blipFill>
                  <pic:spPr>
                    <a:xfrm>
                      <a:off x="0" y="0"/>
                      <a:ext cx="5679234" cy="2424842"/>
                    </a:xfrm>
                    <a:prstGeom prst="rect">
                      <a:avLst/>
                    </a:prstGeom>
                  </pic:spPr>
                </pic:pic>
              </a:graphicData>
            </a:graphic>
          </wp:inline>
        </w:drawing>
      </w:r>
    </w:p>
    <w:p w14:paraId="50B9CBD9" w14:textId="77777777" w:rsidR="002A69A5" w:rsidRPr="00915260" w:rsidRDefault="002A69A5" w:rsidP="004F76CE">
      <w:pPr>
        <w:spacing w:line="360" w:lineRule="auto"/>
        <w:jc w:val="both"/>
        <w:rPr>
          <w:rFonts w:cs="Times New Roman"/>
          <w:kern w:val="0"/>
          <w:szCs w:val="22"/>
          <w14:ligatures w14:val="none"/>
        </w:rPr>
      </w:pPr>
    </w:p>
    <w:p w14:paraId="4DCC8B9A" w14:textId="38F4A6EE" w:rsidR="00831F81" w:rsidRPr="00915260" w:rsidRDefault="006F1C1E" w:rsidP="004F76CE">
      <w:pPr>
        <w:pStyle w:val="Heading2"/>
        <w:numPr>
          <w:ilvl w:val="1"/>
          <w:numId w:val="5"/>
        </w:numPr>
        <w:spacing w:line="360" w:lineRule="auto"/>
        <w:ind w:left="450" w:hanging="450"/>
        <w:rPr>
          <w:rFonts w:cs="Times New Roman"/>
          <w:b/>
          <w:bCs/>
          <w:sz w:val="22"/>
          <w:szCs w:val="22"/>
        </w:rPr>
      </w:pPr>
      <w:bookmarkStart w:id="69" w:name="_Toc213748929"/>
      <w:r>
        <w:rPr>
          <w:rFonts w:cs="Times New Roman" w:hint="eastAsia"/>
          <w:b/>
          <w:bCs/>
          <w:sz w:val="22"/>
          <w:szCs w:val="22"/>
        </w:rPr>
        <w:lastRenderedPageBreak/>
        <w:t>Type of Data</w:t>
      </w:r>
      <w:bookmarkEnd w:id="69"/>
    </w:p>
    <w:p w14:paraId="507C8A58" w14:textId="512030C2" w:rsidR="00334CA3" w:rsidRDefault="00AC2BFA" w:rsidP="00334CA3">
      <w:pPr>
        <w:spacing w:line="360" w:lineRule="auto"/>
        <w:jc w:val="both"/>
        <w:rPr>
          <w:rFonts w:cs="Times New Roman"/>
          <w:kern w:val="0"/>
          <w:szCs w:val="22"/>
          <w14:ligatures w14:val="none"/>
        </w:rPr>
      </w:pPr>
      <w:r w:rsidRPr="00AC2BFA">
        <w:rPr>
          <w:rFonts w:eastAsia="Times New Roman" w:cs="Times New Roman"/>
          <w:kern w:val="0"/>
          <w:szCs w:val="22"/>
          <w14:ligatures w14:val="none"/>
        </w:rPr>
        <w:t>This study utilizes both primary and secondary data to ensure comprehensive and reliable findings. The integration of these two data types enables triangulation of insights while capturing both direct participant perspectives and broader contextual market understanding</w:t>
      </w:r>
      <w:r w:rsidR="00B96B64" w:rsidRPr="00B96B64">
        <w:rPr>
          <w:rFonts w:eastAsia="Times New Roman" w:cs="Times New Roman"/>
          <w:kern w:val="0"/>
          <w:szCs w:val="22"/>
          <w14:ligatures w14:val="none"/>
        </w:rPr>
        <w:t xml:space="preserve"> </w:t>
      </w:r>
      <w:r w:rsidR="00B96B64">
        <w:rPr>
          <w:rFonts w:cs="Times New Roman" w:hint="eastAsia"/>
          <w:kern w:val="0"/>
          <w:szCs w:val="22"/>
          <w14:ligatures w14:val="none"/>
        </w:rPr>
        <w:t>(</w:t>
      </w:r>
      <w:r w:rsidR="00B96B64" w:rsidRPr="00AC2BFA">
        <w:rPr>
          <w:rFonts w:eastAsia="Times New Roman" w:cs="Times New Roman"/>
          <w:kern w:val="0"/>
          <w:szCs w:val="22"/>
          <w14:ligatures w14:val="none"/>
        </w:rPr>
        <w:t>Creswell, 2018</w:t>
      </w:r>
      <w:r w:rsidR="00B96B64">
        <w:rPr>
          <w:rFonts w:cs="Times New Roman" w:hint="eastAsia"/>
          <w:kern w:val="0"/>
          <w:szCs w:val="22"/>
          <w14:ligatures w14:val="none"/>
        </w:rPr>
        <w:t>)</w:t>
      </w:r>
      <w:r w:rsidRPr="00AC2BFA">
        <w:rPr>
          <w:rFonts w:eastAsia="Times New Roman" w:cs="Times New Roman"/>
          <w:kern w:val="0"/>
          <w:szCs w:val="22"/>
          <w14:ligatures w14:val="none"/>
        </w:rPr>
        <w:t>. Using multiple data sources strengthens the research’s validity and ensures a well-rounded basis for analysis (</w:t>
      </w:r>
      <w:r w:rsidR="00B96B64" w:rsidRPr="00B96B64">
        <w:rPr>
          <w:rFonts w:eastAsia="Times New Roman" w:cs="Times New Roman"/>
          <w:kern w:val="0"/>
          <w:szCs w:val="22"/>
          <w14:ligatures w14:val="none"/>
        </w:rPr>
        <w:t>Andrade, 2023</w:t>
      </w:r>
      <w:r w:rsidRPr="00AC2BFA">
        <w:rPr>
          <w:rFonts w:eastAsia="Times New Roman" w:cs="Times New Roman"/>
          <w:kern w:val="0"/>
          <w:szCs w:val="22"/>
          <w14:ligatures w14:val="none"/>
        </w:rPr>
        <w:t>).</w:t>
      </w:r>
    </w:p>
    <w:p w14:paraId="086D110C" w14:textId="77777777" w:rsidR="00044E4A" w:rsidRPr="00044E4A" w:rsidRDefault="00044E4A" w:rsidP="00334CA3">
      <w:pPr>
        <w:spacing w:line="360" w:lineRule="auto"/>
        <w:jc w:val="both"/>
        <w:rPr>
          <w:rFonts w:cs="Times New Roman"/>
          <w:kern w:val="0"/>
          <w:szCs w:val="22"/>
          <w14:ligatures w14:val="none"/>
        </w:rPr>
      </w:pPr>
    </w:p>
    <w:p w14:paraId="283686AE" w14:textId="5A6B9D4A" w:rsidR="00374ECB" w:rsidRDefault="00374ECB" w:rsidP="00374ECB">
      <w:pPr>
        <w:pStyle w:val="Heading2"/>
        <w:numPr>
          <w:ilvl w:val="2"/>
          <w:numId w:val="5"/>
        </w:numPr>
        <w:spacing w:line="360" w:lineRule="auto"/>
        <w:rPr>
          <w:rFonts w:cs="Times New Roman"/>
          <w:b/>
          <w:bCs/>
          <w:sz w:val="22"/>
          <w:szCs w:val="22"/>
        </w:rPr>
      </w:pPr>
      <w:bookmarkStart w:id="70" w:name="_Toc213748930"/>
      <w:r>
        <w:rPr>
          <w:rFonts w:cs="Times New Roman" w:hint="eastAsia"/>
          <w:b/>
          <w:bCs/>
          <w:sz w:val="22"/>
          <w:szCs w:val="22"/>
        </w:rPr>
        <w:t>Primary Data</w:t>
      </w:r>
      <w:bookmarkEnd w:id="70"/>
    </w:p>
    <w:p w14:paraId="695F580B" w14:textId="283D2801" w:rsidR="00044E4A" w:rsidRDefault="00D279BE" w:rsidP="00374ECB">
      <w:pPr>
        <w:spacing w:line="360" w:lineRule="auto"/>
        <w:ind w:left="720"/>
        <w:jc w:val="both"/>
      </w:pPr>
      <w:r w:rsidRPr="00D279BE">
        <w:t xml:space="preserve">Primary data refers to original, context-specific information collected by the researcher, using surveys and focus groups among Hong Kong consumers to address specific objectives for instant coffee </w:t>
      </w:r>
      <w:r w:rsidR="001F6577">
        <w:t>purchase intention</w:t>
      </w:r>
      <w:r w:rsidRPr="00D279BE">
        <w:t>. These data sources provide targeted insights relevant to social media marketing</w:t>
      </w:r>
      <w:r w:rsidR="001F6577">
        <w:t xml:space="preserve"> activities, environmental conscious,</w:t>
      </w:r>
      <w:r w:rsidRPr="00D279BE">
        <w:t xml:space="preserve"> sustainability and brand trust. According to </w:t>
      </w:r>
      <w:proofErr w:type="spellStart"/>
      <w:r w:rsidRPr="00D279BE">
        <w:t>Slettenal</w:t>
      </w:r>
      <w:proofErr w:type="spellEnd"/>
      <w:r w:rsidRPr="00D279BE">
        <w:t xml:space="preserve">, Sandvik and Ringvold (2021), Williams (2024), and Andrade (2023), methods such as surveys and interviews offer higher accuracy, control, and suitability for </w:t>
      </w:r>
      <w:r w:rsidR="007176C3">
        <w:t>effective</w:t>
      </w:r>
      <w:r w:rsidRPr="00D279BE">
        <w:t xml:space="preserve"> analysis. In this study, Google Form surveys and </w:t>
      </w:r>
      <w:r w:rsidR="007176C3">
        <w:t>focus group</w:t>
      </w:r>
      <w:r w:rsidRPr="00D279BE">
        <w:t xml:space="preserve"> enhance efficiency, reliability, and contextual relevance of findings.</w:t>
      </w:r>
    </w:p>
    <w:p w14:paraId="50477D87" w14:textId="77777777" w:rsidR="00D279BE" w:rsidRPr="00374ECB" w:rsidRDefault="00D279BE" w:rsidP="00374ECB">
      <w:pPr>
        <w:spacing w:line="360" w:lineRule="auto"/>
        <w:ind w:left="720"/>
        <w:jc w:val="both"/>
      </w:pPr>
    </w:p>
    <w:p w14:paraId="0E3AED16" w14:textId="21D9FA52" w:rsidR="00641177" w:rsidRDefault="00641177" w:rsidP="00641177">
      <w:pPr>
        <w:pStyle w:val="Heading2"/>
        <w:numPr>
          <w:ilvl w:val="2"/>
          <w:numId w:val="5"/>
        </w:numPr>
        <w:spacing w:line="360" w:lineRule="auto"/>
        <w:rPr>
          <w:rFonts w:cs="Times New Roman"/>
          <w:b/>
          <w:bCs/>
          <w:sz w:val="22"/>
          <w:szCs w:val="22"/>
        </w:rPr>
      </w:pPr>
      <w:bookmarkStart w:id="71" w:name="_Toc213748931"/>
      <w:r>
        <w:rPr>
          <w:rFonts w:cs="Times New Roman" w:hint="eastAsia"/>
          <w:b/>
          <w:bCs/>
          <w:sz w:val="22"/>
          <w:szCs w:val="22"/>
        </w:rPr>
        <w:t>Secondary Data</w:t>
      </w:r>
      <w:bookmarkEnd w:id="71"/>
    </w:p>
    <w:p w14:paraId="0979811A" w14:textId="61EFC309" w:rsidR="00AC2BFA" w:rsidRDefault="00DB51CE" w:rsidP="003563C9">
      <w:pPr>
        <w:spacing w:line="360" w:lineRule="auto"/>
        <w:ind w:left="720"/>
        <w:jc w:val="both"/>
        <w:rPr>
          <w:rFonts w:cs="Times New Roman"/>
          <w:kern w:val="0"/>
          <w:szCs w:val="22"/>
          <w14:ligatures w14:val="none"/>
        </w:rPr>
      </w:pPr>
      <w:r w:rsidRPr="00DB51CE">
        <w:rPr>
          <w:rFonts w:cs="Times New Roman"/>
          <w:kern w:val="0"/>
          <w:szCs w:val="22"/>
          <w14:ligatures w14:val="none"/>
        </w:rPr>
        <w:t xml:space="preserve">Secondary data comprises information gathered by other organizations for different purposes, such as published market reports, academic articles, and sustainability records. Wagh (2024) notes its value for providing context, historical trends, and supplementing primary findings. Andrade (2023) highlights secondary data’s role in refining hypotheses and leveraging validated insights, though it may lack context-specific relevance. In this research, secondary data supports market trend analysis, theoretical framework evaluation, and variable measurement for </w:t>
      </w:r>
      <w:r>
        <w:rPr>
          <w:rFonts w:cs="Times New Roman"/>
          <w:kern w:val="0"/>
          <w:szCs w:val="22"/>
          <w14:ligatures w14:val="none"/>
        </w:rPr>
        <w:t>study</w:t>
      </w:r>
      <w:r w:rsidRPr="00DB51CE">
        <w:rPr>
          <w:rFonts w:cs="Times New Roman"/>
          <w:kern w:val="0"/>
          <w:szCs w:val="22"/>
          <w14:ligatures w14:val="none"/>
        </w:rPr>
        <w:t>.</w:t>
      </w:r>
    </w:p>
    <w:p w14:paraId="17080D0C" w14:textId="77777777" w:rsidR="00AC2BFA" w:rsidRPr="00AC2BFA" w:rsidRDefault="00AC2BFA" w:rsidP="00334CA3">
      <w:pPr>
        <w:spacing w:line="360" w:lineRule="auto"/>
        <w:jc w:val="both"/>
        <w:rPr>
          <w:rFonts w:cs="Times New Roman"/>
          <w:kern w:val="0"/>
          <w:szCs w:val="22"/>
          <w14:ligatures w14:val="none"/>
        </w:rPr>
      </w:pPr>
    </w:p>
    <w:p w14:paraId="3462B60B" w14:textId="77777777" w:rsidR="006541B6" w:rsidRPr="00915260" w:rsidRDefault="006541B6" w:rsidP="006541B6">
      <w:pPr>
        <w:pStyle w:val="Heading2"/>
        <w:numPr>
          <w:ilvl w:val="1"/>
          <w:numId w:val="5"/>
        </w:numPr>
        <w:spacing w:line="360" w:lineRule="auto"/>
        <w:ind w:left="450" w:hanging="450"/>
        <w:rPr>
          <w:rFonts w:cs="Times New Roman"/>
          <w:b/>
          <w:bCs/>
          <w:sz w:val="22"/>
          <w:szCs w:val="22"/>
        </w:rPr>
      </w:pPr>
      <w:bookmarkStart w:id="72" w:name="_Toc209184671"/>
      <w:bookmarkStart w:id="73" w:name="_Toc213748932"/>
      <w:r w:rsidRPr="00915260">
        <w:rPr>
          <w:rFonts w:cs="Times New Roman"/>
          <w:b/>
          <w:bCs/>
          <w:sz w:val="22"/>
          <w:szCs w:val="22"/>
        </w:rPr>
        <w:t>Participant of Study</w:t>
      </w:r>
      <w:bookmarkEnd w:id="72"/>
      <w:bookmarkEnd w:id="73"/>
    </w:p>
    <w:p w14:paraId="2F428DD0" w14:textId="2DC56EAC" w:rsidR="00044E4A" w:rsidRDefault="00A3198C" w:rsidP="005050F4">
      <w:pPr>
        <w:spacing w:line="360" w:lineRule="auto"/>
        <w:jc w:val="both"/>
        <w:rPr>
          <w:rFonts w:cs="Times New Roman"/>
          <w:kern w:val="0"/>
          <w:szCs w:val="22"/>
          <w14:ligatures w14:val="none"/>
        </w:rPr>
      </w:pPr>
      <w:r w:rsidRPr="00A3198C">
        <w:rPr>
          <w:rFonts w:cs="Times New Roman"/>
          <w:kern w:val="0"/>
          <w:szCs w:val="22"/>
          <w14:ligatures w14:val="none"/>
        </w:rPr>
        <w:t xml:space="preserve">Participants will be Hong Kong residents aged over 16, as recommended for caffeine studies by </w:t>
      </w:r>
      <w:proofErr w:type="spellStart"/>
      <w:r w:rsidRPr="00A3198C">
        <w:rPr>
          <w:rFonts w:cs="Times New Roman"/>
          <w:kern w:val="0"/>
          <w:szCs w:val="22"/>
          <w14:ligatures w14:val="none"/>
        </w:rPr>
        <w:t>Caffelab</w:t>
      </w:r>
      <w:proofErr w:type="spellEnd"/>
      <w:r w:rsidRPr="00A3198C">
        <w:rPr>
          <w:rFonts w:cs="Times New Roman"/>
          <w:kern w:val="0"/>
          <w:szCs w:val="22"/>
          <w14:ligatures w14:val="none"/>
        </w:rPr>
        <w:t xml:space="preserve"> (2025). This age cutoff aligns with scientific guidance for ethical research on caffeine users. Based on Census and Statistics Department (2024a), this group includes about 6.3 million people, providing a representative sample of the core instant coffee consumer segment in Hong Kong.</w:t>
      </w:r>
    </w:p>
    <w:p w14:paraId="6F12313E" w14:textId="77777777" w:rsidR="00A3198C" w:rsidRPr="00044E4A" w:rsidRDefault="00A3198C" w:rsidP="005050F4">
      <w:pPr>
        <w:spacing w:line="360" w:lineRule="auto"/>
        <w:jc w:val="both"/>
        <w:rPr>
          <w:rFonts w:cs="Times New Roman"/>
          <w:kern w:val="0"/>
          <w:szCs w:val="22"/>
          <w14:ligatures w14:val="none"/>
        </w:rPr>
      </w:pPr>
    </w:p>
    <w:p w14:paraId="5F558D01" w14:textId="1849E40F" w:rsidR="006541B6" w:rsidRPr="00AF4A09" w:rsidRDefault="006541B6" w:rsidP="006541B6">
      <w:pPr>
        <w:pStyle w:val="Heading2"/>
        <w:numPr>
          <w:ilvl w:val="2"/>
          <w:numId w:val="5"/>
        </w:numPr>
        <w:spacing w:line="360" w:lineRule="auto"/>
        <w:rPr>
          <w:rFonts w:cs="Times New Roman"/>
          <w:b/>
          <w:bCs/>
          <w:sz w:val="22"/>
          <w:szCs w:val="22"/>
        </w:rPr>
      </w:pPr>
      <w:bookmarkStart w:id="74" w:name="_Toc209184672"/>
      <w:bookmarkStart w:id="75" w:name="_Toc213748933"/>
      <w:r w:rsidRPr="00AF4A09">
        <w:rPr>
          <w:rFonts w:cs="Times New Roman"/>
          <w:b/>
          <w:bCs/>
          <w:sz w:val="22"/>
          <w:szCs w:val="22"/>
        </w:rPr>
        <w:lastRenderedPageBreak/>
        <w:t xml:space="preserve">Sample </w:t>
      </w:r>
      <w:bookmarkEnd w:id="74"/>
      <w:r w:rsidR="00327AA5" w:rsidRPr="00AF4A09">
        <w:rPr>
          <w:rFonts w:cs="Times New Roman"/>
          <w:b/>
          <w:bCs/>
          <w:sz w:val="22"/>
          <w:szCs w:val="22"/>
        </w:rPr>
        <w:t>Strategy</w:t>
      </w:r>
      <w:bookmarkEnd w:id="75"/>
    </w:p>
    <w:p w14:paraId="4AC83DB3" w14:textId="50ED78C7" w:rsidR="00AA2493" w:rsidRPr="00EF4435" w:rsidRDefault="000951C0" w:rsidP="00EF4435">
      <w:pPr>
        <w:spacing w:line="360" w:lineRule="auto"/>
        <w:ind w:left="720"/>
        <w:jc w:val="both"/>
        <w:rPr>
          <w:rFonts w:eastAsia="Times New Roman" w:cs="Times New Roman"/>
          <w:kern w:val="0"/>
          <w:szCs w:val="22"/>
          <w14:ligatures w14:val="none"/>
        </w:rPr>
      </w:pPr>
      <w:r w:rsidRPr="000951C0">
        <w:rPr>
          <w:rFonts w:eastAsia="Times New Roman" w:cs="Times New Roman"/>
          <w:kern w:val="0"/>
          <w:szCs w:val="22"/>
          <w14:ligatures w14:val="none"/>
        </w:rPr>
        <w:t xml:space="preserve">Quantitative research uses probability and non-probability sampling strategies. Probability sampling like random sampling requires a complete list of all consumers, which is often unavailable for informal groups such as Hong Kong instant coffee drinkers. Non-probability sampling, including snowball sampling, starts with a small group who then recruit others </w:t>
      </w:r>
      <w:r w:rsidR="00EF4435" w:rsidRPr="00EF4435">
        <w:rPr>
          <w:rFonts w:eastAsia="Times New Roman" w:cs="Times New Roman"/>
          <w:kern w:val="0"/>
          <w:szCs w:val="22"/>
          <w14:ligatures w14:val="none"/>
        </w:rPr>
        <w:t>(Cohen and Arieli, 2011)</w:t>
      </w:r>
      <w:r w:rsidR="00EF4435">
        <w:rPr>
          <w:rFonts w:eastAsia="Times New Roman" w:cs="Times New Roman"/>
          <w:kern w:val="0"/>
          <w:szCs w:val="22"/>
          <w14:ligatures w14:val="none"/>
        </w:rPr>
        <w:t>.</w:t>
      </w:r>
      <w:r w:rsidRPr="000951C0">
        <w:rPr>
          <w:rFonts w:eastAsia="Times New Roman" w:cs="Times New Roman"/>
          <w:kern w:val="0"/>
          <w:szCs w:val="22"/>
          <w14:ligatures w14:val="none"/>
        </w:rPr>
        <w:t xml:space="preserve"> This is useful for hard-to-reach populations or when no sampling frame exists. This study adopts non-probability snowball sampling</w:t>
      </w:r>
      <w:r w:rsidR="007221EC">
        <w:rPr>
          <w:rFonts w:cs="Times New Roman" w:hint="eastAsia"/>
          <w:kern w:val="0"/>
          <w:szCs w:val="22"/>
          <w14:ligatures w14:val="none"/>
        </w:rPr>
        <w:t xml:space="preserve">, </w:t>
      </w:r>
      <w:r w:rsidR="00687F97" w:rsidRPr="00687F97">
        <w:rPr>
          <w:rFonts w:cs="Times New Roman"/>
          <w:kern w:val="0"/>
          <w:szCs w:val="22"/>
          <w14:ligatures w14:val="none"/>
        </w:rPr>
        <w:t>integrates qualitative insights from focus group interviews with robust quantitative</w:t>
      </w:r>
      <w:r w:rsidRPr="000951C0">
        <w:rPr>
          <w:rFonts w:eastAsia="Times New Roman" w:cs="Times New Roman"/>
          <w:kern w:val="0"/>
          <w:szCs w:val="22"/>
          <w14:ligatures w14:val="none"/>
        </w:rPr>
        <w:t xml:space="preserve">. While this may increase selection bias, </w:t>
      </w:r>
      <w:r w:rsidR="008B5460" w:rsidRPr="008B5460">
        <w:rPr>
          <w:rFonts w:eastAsia="Times New Roman" w:cs="Times New Roman"/>
          <w:kern w:val="0"/>
          <w:szCs w:val="22"/>
          <w14:ligatures w14:val="none"/>
        </w:rPr>
        <w:t>the quantitative survey ensures minimum statistical requirements for multivariate analysis, referencing Green’s (1991) threshold. The use of Google Forms for data capture maximizes accessibility and responses from digitally engaged consumers, aligning with empirical research by Andrade (2023) on the relevance of online instruments for consumer studies.</w:t>
      </w:r>
      <w:r w:rsidRPr="000951C0">
        <w:rPr>
          <w:rFonts w:eastAsia="Times New Roman" w:cs="Times New Roman"/>
          <w:kern w:val="0"/>
          <w:szCs w:val="22"/>
          <w14:ligatures w14:val="none"/>
        </w:rPr>
        <w:t xml:space="preserve"> (Ting et al., 2025).</w:t>
      </w:r>
    </w:p>
    <w:p w14:paraId="07F23929" w14:textId="77777777" w:rsidR="00044E4A" w:rsidRPr="00044E4A" w:rsidRDefault="00044E4A" w:rsidP="00FF19BD">
      <w:pPr>
        <w:spacing w:line="360" w:lineRule="auto"/>
        <w:ind w:left="720"/>
        <w:jc w:val="both"/>
        <w:rPr>
          <w:rFonts w:cs="Times New Roman"/>
          <w:kern w:val="0"/>
          <w:szCs w:val="22"/>
          <w14:ligatures w14:val="none"/>
        </w:rPr>
      </w:pPr>
    </w:p>
    <w:p w14:paraId="13688DB0" w14:textId="77777777" w:rsidR="006541B6" w:rsidRPr="00AF4A09" w:rsidRDefault="006541B6" w:rsidP="00AF4A09">
      <w:pPr>
        <w:pStyle w:val="Heading2"/>
        <w:numPr>
          <w:ilvl w:val="2"/>
          <w:numId w:val="5"/>
        </w:numPr>
        <w:spacing w:line="360" w:lineRule="auto"/>
        <w:rPr>
          <w:rFonts w:cs="Times New Roman"/>
          <w:b/>
          <w:bCs/>
          <w:sz w:val="22"/>
          <w:szCs w:val="22"/>
        </w:rPr>
      </w:pPr>
      <w:bookmarkStart w:id="76" w:name="_Toc213748934"/>
      <w:r w:rsidRPr="00AF4A09">
        <w:rPr>
          <w:rFonts w:cs="Times New Roman"/>
          <w:b/>
          <w:bCs/>
          <w:sz w:val="22"/>
          <w:szCs w:val="22"/>
        </w:rPr>
        <w:t>Sample Size</w:t>
      </w:r>
      <w:bookmarkEnd w:id="76"/>
    </w:p>
    <w:p w14:paraId="2D10436C" w14:textId="3267E68F" w:rsidR="006541B6" w:rsidRPr="00915260" w:rsidRDefault="00A60500" w:rsidP="002065FE">
      <w:pPr>
        <w:pStyle w:val="ListParagraph"/>
        <w:spacing w:line="360" w:lineRule="auto"/>
        <w:jc w:val="both"/>
        <w:rPr>
          <w:rFonts w:cs="Times New Roman"/>
          <w:szCs w:val="22"/>
        </w:rPr>
      </w:pPr>
      <w:r w:rsidRPr="00915260">
        <w:rPr>
          <w:rFonts w:cs="Times New Roman"/>
          <w:szCs w:val="22"/>
        </w:rPr>
        <w:t xml:space="preserve">To determine the appropriate sample size for this study, the calculation is based on the formula proposed by </w:t>
      </w:r>
      <w:r w:rsidR="002B5EAA" w:rsidRPr="002B5EAA">
        <w:rPr>
          <w:rFonts w:cs="Times New Roman"/>
          <w:szCs w:val="22"/>
        </w:rPr>
        <w:t>William Gemmell Cochran</w:t>
      </w:r>
      <w:r w:rsidR="00D14EFE">
        <w:rPr>
          <w:rFonts w:cs="Times New Roman"/>
          <w:szCs w:val="22"/>
        </w:rPr>
        <w:t xml:space="preserve"> (</w:t>
      </w:r>
      <w:r w:rsidR="002B5EAA" w:rsidRPr="002B5EAA">
        <w:rPr>
          <w:rFonts w:cs="Times New Roman"/>
          <w:szCs w:val="22"/>
        </w:rPr>
        <w:t>1977)</w:t>
      </w:r>
      <w:r w:rsidR="002B5EAA">
        <w:rPr>
          <w:rFonts w:cs="Times New Roman"/>
          <w:szCs w:val="22"/>
        </w:rPr>
        <w:t>.</w:t>
      </w:r>
      <w:r w:rsidR="008B5460">
        <w:rPr>
          <w:rFonts w:cs="Times New Roman"/>
          <w:szCs w:val="22"/>
        </w:rPr>
        <w:t xml:space="preserve"> </w:t>
      </w:r>
    </w:p>
    <w:p w14:paraId="63F75FB2" w14:textId="77777777" w:rsidR="006541B6" w:rsidRPr="00915260" w:rsidRDefault="00000000" w:rsidP="002065FE">
      <w:pPr>
        <w:pStyle w:val="ListParagraph"/>
        <w:spacing w:line="360" w:lineRule="auto"/>
        <w:jc w:val="both"/>
        <w:rPr>
          <w:rFonts w:cs="Times New Roman"/>
          <w:szCs w:val="22"/>
        </w:rPr>
      </w:pPr>
      <m:oMath>
        <m:sSup>
          <m:sSupPr>
            <m:ctrlPr>
              <w:rPr>
                <w:rFonts w:ascii="Cambria Math" w:hAnsi="Cambria Math" w:cs="Times New Roman"/>
                <w:i/>
                <w:szCs w:val="22"/>
              </w:rPr>
            </m:ctrlPr>
          </m:sSupPr>
          <m:e>
            <m:r>
              <w:rPr>
                <w:rFonts w:ascii="Cambria Math" w:hAnsi="Cambria Math" w:cs="Times New Roman"/>
                <w:szCs w:val="22"/>
              </w:rPr>
              <m:t>n=</m:t>
            </m:r>
            <m:sSup>
              <m:sSupPr>
                <m:ctrlPr>
                  <w:rPr>
                    <w:rFonts w:ascii="Cambria Math" w:hAnsi="Cambria Math" w:cs="Times New Roman"/>
                    <w:i/>
                    <w:szCs w:val="22"/>
                  </w:rPr>
                </m:ctrlPr>
              </m:sSupPr>
              <m:e>
                <m:r>
                  <w:rPr>
                    <w:rFonts w:ascii="Cambria Math" w:hAnsi="Cambria Math" w:cs="Times New Roman"/>
                    <w:szCs w:val="22"/>
                  </w:rPr>
                  <m:t>[Z</m:t>
                </m:r>
              </m:e>
              <m:sup>
                <m:r>
                  <w:rPr>
                    <w:rFonts w:ascii="Cambria Math" w:hAnsi="Cambria Math" w:cs="Times New Roman"/>
                    <w:szCs w:val="22"/>
                  </w:rPr>
                  <m:t>2</m:t>
                </m:r>
              </m:sup>
            </m:sSup>
            <m:r>
              <w:rPr>
                <w:rFonts w:ascii="Cambria Math" w:hAnsi="Cambria Math" w:cs="Times New Roman"/>
                <w:szCs w:val="22"/>
              </w:rPr>
              <m:t>*</m:t>
            </m:r>
            <m:sSup>
              <m:sSupPr>
                <m:ctrlPr>
                  <w:rPr>
                    <w:rFonts w:ascii="Cambria Math" w:hAnsi="Cambria Math" w:cs="Times New Roman"/>
                    <w:i/>
                    <w:szCs w:val="22"/>
                  </w:rPr>
                </m:ctrlPr>
              </m:sSupPr>
              <m:e>
                <m:r>
                  <w:rPr>
                    <w:rFonts w:ascii="Cambria Math" w:hAnsi="Cambria Math" w:cs="Times New Roman"/>
                    <w:szCs w:val="22"/>
                  </w:rPr>
                  <m:t>p</m:t>
                </m:r>
              </m:e>
              <m:sup>
                <m:r>
                  <w:rPr>
                    <w:rFonts w:ascii="Cambria Math" w:hAnsi="Cambria Math" w:cs="Times New Roman"/>
                    <w:szCs w:val="22"/>
                  </w:rPr>
                  <m:t>*</m:t>
                </m:r>
              </m:sup>
            </m:sSup>
            <m:r>
              <w:rPr>
                <w:rFonts w:ascii="Cambria Math" w:hAnsi="Cambria Math" w:cs="Times New Roman"/>
                <w:szCs w:val="22"/>
              </w:rPr>
              <m:t>(1-p)]/</m:t>
            </m:r>
            <m:sSup>
              <m:sSupPr>
                <m:ctrlPr>
                  <w:rPr>
                    <w:rFonts w:ascii="Cambria Math" w:hAnsi="Cambria Math" w:cs="Times New Roman"/>
                    <w:i/>
                    <w:szCs w:val="22"/>
                  </w:rPr>
                </m:ctrlPr>
              </m:sSupPr>
              <m:e>
                <m:r>
                  <w:rPr>
                    <w:rFonts w:ascii="Cambria Math" w:hAnsi="Cambria Math" w:cs="Times New Roman"/>
                    <w:szCs w:val="22"/>
                  </w:rPr>
                  <m:t>e</m:t>
                </m:r>
              </m:e>
              <m:sup>
                <m:r>
                  <w:rPr>
                    <w:rFonts w:ascii="Cambria Math" w:hAnsi="Cambria Math" w:cs="Times New Roman"/>
                    <w:szCs w:val="22"/>
                  </w:rPr>
                  <m:t>2</m:t>
                </m:r>
              </m:sup>
            </m:sSup>
          </m:e>
          <m:sup/>
        </m:sSup>
      </m:oMath>
      <w:r w:rsidR="006541B6" w:rsidRPr="00915260">
        <w:rPr>
          <w:rFonts w:cs="Times New Roman"/>
          <w:szCs w:val="22"/>
        </w:rPr>
        <w:t xml:space="preserve"> </w:t>
      </w:r>
    </w:p>
    <w:p w14:paraId="3C030CF6" w14:textId="77777777" w:rsidR="005A418E" w:rsidRPr="00915260" w:rsidRDefault="005A418E" w:rsidP="002065FE">
      <w:pPr>
        <w:pStyle w:val="ListParagraph"/>
        <w:spacing w:line="360" w:lineRule="auto"/>
        <w:jc w:val="both"/>
        <w:rPr>
          <w:rFonts w:cs="Times New Roman"/>
          <w:szCs w:val="22"/>
        </w:rPr>
      </w:pPr>
      <w:r w:rsidRPr="00915260">
        <w:rPr>
          <w:rFonts w:cs="Times New Roman"/>
          <w:szCs w:val="22"/>
        </w:rPr>
        <w:t>where ( n ) represents the required sample size, ( e ) is the tolerable margin of error, and ( Z ) is the Z-value corresponding to the desired confidence level. For this study, a confidence level of 95% is adopted, with a standard Z-value of 1.96. To maximize the sample size and account for variability in the population proportion, a conservative estimate of ( p = 0.5 ) is employed, which ensures the largest possible sample size. The margin of error ( e ) is set at 0.05, reflecting a range within which the true population parameter is likely to fall with 95% confidence.</w:t>
      </w:r>
    </w:p>
    <w:p w14:paraId="50966614" w14:textId="77777777" w:rsidR="00343513" w:rsidRPr="00915260" w:rsidRDefault="00343513" w:rsidP="002065FE">
      <w:pPr>
        <w:pStyle w:val="ListParagraph"/>
        <w:spacing w:line="360" w:lineRule="auto"/>
        <w:jc w:val="both"/>
        <w:rPr>
          <w:rFonts w:cs="Times New Roman"/>
          <w:szCs w:val="22"/>
        </w:rPr>
      </w:pPr>
      <w:r w:rsidRPr="00915260">
        <w:rPr>
          <w:rFonts w:cs="Times New Roman"/>
          <w:szCs w:val="22"/>
        </w:rPr>
        <w:t>Applying these parameters, the calculation proceeds as follows:</w:t>
      </w:r>
    </w:p>
    <w:p w14:paraId="71DC7AE6" w14:textId="7CDF9BFE" w:rsidR="00343513" w:rsidRPr="00915260" w:rsidRDefault="00632873" w:rsidP="002065FE">
      <w:pPr>
        <w:pStyle w:val="ListParagraph"/>
        <w:spacing w:line="360" w:lineRule="auto"/>
        <w:jc w:val="both"/>
        <w:rPr>
          <w:rFonts w:cs="Times New Roman"/>
          <w:szCs w:val="22"/>
        </w:rPr>
      </w:pPr>
      <w:r w:rsidRPr="00915260">
        <w:rPr>
          <w:rFonts w:cs="Times New Roman"/>
          <w:szCs w:val="22"/>
          <w:lang w:eastAsia="zh-HK"/>
        </w:rPr>
        <w:t xml:space="preserve">n </w:t>
      </w:r>
      <w:r w:rsidR="006541B6" w:rsidRPr="00915260">
        <w:rPr>
          <w:rFonts w:cs="Times New Roman"/>
          <w:szCs w:val="22"/>
          <w:lang w:eastAsia="zh-HK"/>
        </w:rPr>
        <w:t>=</w:t>
      </w:r>
      <w:r w:rsidRPr="00915260">
        <w:rPr>
          <w:rFonts w:cs="Times New Roman"/>
          <w:szCs w:val="22"/>
          <w:lang w:eastAsia="zh-HK"/>
        </w:rPr>
        <w:t xml:space="preserve"> </w:t>
      </w:r>
      <w:r w:rsidR="006541B6" w:rsidRPr="00915260">
        <w:rPr>
          <w:rFonts w:cs="Times New Roman"/>
          <w:szCs w:val="22"/>
          <w:lang w:eastAsia="zh-HK"/>
        </w:rPr>
        <w:t>(1.96)</w:t>
      </w:r>
      <w:r w:rsidR="006541B6" w:rsidRPr="00915260">
        <w:rPr>
          <w:rFonts w:cs="Times New Roman"/>
          <w:szCs w:val="22"/>
          <w:vertAlign w:val="superscript"/>
          <w:lang w:eastAsia="zh-HK"/>
        </w:rPr>
        <w:t>2</w:t>
      </w:r>
      <w:r w:rsidR="006541B6" w:rsidRPr="00915260">
        <w:rPr>
          <w:rFonts w:cs="Times New Roman"/>
          <w:szCs w:val="22"/>
          <w:lang w:eastAsia="zh-HK"/>
        </w:rPr>
        <w:t>(0.5)(0.5)/(0.05)</w:t>
      </w:r>
      <w:r w:rsidR="006541B6" w:rsidRPr="00915260">
        <w:rPr>
          <w:rFonts w:cs="Times New Roman"/>
          <w:szCs w:val="22"/>
          <w:vertAlign w:val="superscript"/>
          <w:lang w:eastAsia="zh-HK"/>
        </w:rPr>
        <w:t>2</w:t>
      </w:r>
      <w:r w:rsidR="006541B6" w:rsidRPr="00915260">
        <w:rPr>
          <w:rFonts w:cs="Times New Roman"/>
          <w:szCs w:val="22"/>
          <w:lang w:eastAsia="zh-HK"/>
        </w:rPr>
        <w:t xml:space="preserve"> = 384</w:t>
      </w:r>
      <w:r w:rsidR="00484DC2" w:rsidRPr="00915260">
        <w:rPr>
          <w:rFonts w:cs="Times New Roman"/>
          <w:szCs w:val="22"/>
        </w:rPr>
        <w:t>.16</w:t>
      </w:r>
      <w:r w:rsidR="00A17B9D" w:rsidRPr="00915260">
        <w:rPr>
          <w:rFonts w:cs="Times New Roman"/>
          <w:szCs w:val="22"/>
        </w:rPr>
        <w:t xml:space="preserve"> (i.e. 385)</w:t>
      </w:r>
      <w:r w:rsidR="000E5E37">
        <w:rPr>
          <w:rFonts w:cs="Times New Roman"/>
          <w:szCs w:val="22"/>
        </w:rPr>
        <w:t xml:space="preserve">, </w:t>
      </w:r>
      <w:r w:rsidR="000E5E37" w:rsidRPr="00061C90">
        <w:rPr>
          <w:rFonts w:cs="Times New Roman"/>
          <w:szCs w:val="22"/>
        </w:rPr>
        <w:t>(Wilson Van Voorhis and Morgan, 2007)</w:t>
      </w:r>
      <w:r w:rsidR="00E87661" w:rsidRPr="00915260">
        <w:rPr>
          <w:rFonts w:cs="Times New Roman"/>
          <w:szCs w:val="22"/>
        </w:rPr>
        <w:t>.</w:t>
      </w:r>
    </w:p>
    <w:p w14:paraId="241F2B39" w14:textId="0167227E" w:rsidR="00AA740D" w:rsidRPr="00915260" w:rsidRDefault="00343513" w:rsidP="002065FE">
      <w:pPr>
        <w:pStyle w:val="ListParagraph"/>
        <w:spacing w:line="360" w:lineRule="auto"/>
        <w:jc w:val="both"/>
        <w:rPr>
          <w:rFonts w:cs="Times New Roman"/>
          <w:szCs w:val="22"/>
        </w:rPr>
      </w:pPr>
      <w:r w:rsidRPr="00915260">
        <w:rPr>
          <w:rFonts w:cs="Times New Roman"/>
          <w:szCs w:val="22"/>
        </w:rPr>
        <w:t>Rounding up, this suggests a minimum sample size of 385 respondents. To account for potential non-responses or invalid data, as recommended by Green (1991), which stipulates that the minimum sample size should be at least (N</w:t>
      </w:r>
      <w:r w:rsidR="00FC31A9" w:rsidRPr="00915260">
        <w:rPr>
          <w:rFonts w:cs="Times New Roman"/>
          <w:szCs w:val="22"/>
        </w:rPr>
        <w:t xml:space="preserve">≥ </w:t>
      </w:r>
      <w:r w:rsidRPr="00915260">
        <w:rPr>
          <w:rFonts w:cs="Times New Roman"/>
          <w:szCs w:val="22"/>
        </w:rPr>
        <w:t>50 + 8m), where (m) is the number of variables in the study, this threshold provides a safeguard to ensure the robustness and representativeness of the data collected.</w:t>
      </w:r>
    </w:p>
    <w:p w14:paraId="4B20915A" w14:textId="7154FA35" w:rsidR="00AA740D" w:rsidRPr="00915260" w:rsidRDefault="00AA740D">
      <w:pPr>
        <w:rPr>
          <w:rFonts w:cs="Times New Roman"/>
          <w:szCs w:val="22"/>
        </w:rPr>
      </w:pPr>
    </w:p>
    <w:p w14:paraId="09D4DE09" w14:textId="16823B00" w:rsidR="006A4A5A" w:rsidRDefault="006A4A5A" w:rsidP="00C30211">
      <w:pPr>
        <w:pStyle w:val="Heading2"/>
        <w:numPr>
          <w:ilvl w:val="1"/>
          <w:numId w:val="5"/>
        </w:numPr>
        <w:spacing w:line="360" w:lineRule="auto"/>
        <w:ind w:left="450" w:hanging="450"/>
        <w:jc w:val="both"/>
        <w:rPr>
          <w:rFonts w:cs="Times New Roman"/>
          <w:b/>
          <w:bCs/>
          <w:sz w:val="22"/>
          <w:szCs w:val="22"/>
        </w:rPr>
      </w:pPr>
      <w:bookmarkStart w:id="77" w:name="_Toc213748935"/>
      <w:bookmarkStart w:id="78" w:name="_Toc209184676"/>
      <w:r>
        <w:rPr>
          <w:rFonts w:cs="Times New Roman"/>
          <w:b/>
          <w:bCs/>
          <w:sz w:val="22"/>
          <w:szCs w:val="22"/>
        </w:rPr>
        <w:t>Data Analytical Methods</w:t>
      </w:r>
      <w:bookmarkEnd w:id="77"/>
      <w:r>
        <w:rPr>
          <w:rFonts w:cs="Times New Roman"/>
          <w:b/>
          <w:bCs/>
          <w:sz w:val="22"/>
          <w:szCs w:val="22"/>
        </w:rPr>
        <w:t xml:space="preserve"> </w:t>
      </w:r>
    </w:p>
    <w:p w14:paraId="2BA6EB42" w14:textId="26BDAB28" w:rsidR="006A4A5A" w:rsidRPr="006A4A5A" w:rsidRDefault="00676BAF" w:rsidP="00676BAF">
      <w:pPr>
        <w:spacing w:line="360" w:lineRule="auto"/>
        <w:jc w:val="both"/>
      </w:pPr>
      <w:r w:rsidRPr="00676BAF">
        <w:t xml:space="preserve">This study applies to a systematic data analysis process, with the core focus on transforming raw survey responses into meaningful quantitative insights using IBM SPSS. The main analysis steps involve descriptive data analysis, </w:t>
      </w:r>
      <w:r w:rsidRPr="00676BAF">
        <w:lastRenderedPageBreak/>
        <w:t>reliability testing, correlation analysis, and regression, following established quantitative methods for consumer research.</w:t>
      </w:r>
    </w:p>
    <w:p w14:paraId="5AF3E5CE" w14:textId="77777777" w:rsidR="00044E4A" w:rsidRPr="006A4A5A" w:rsidRDefault="00044E4A" w:rsidP="00676BAF">
      <w:pPr>
        <w:spacing w:line="360" w:lineRule="auto"/>
        <w:jc w:val="both"/>
      </w:pPr>
    </w:p>
    <w:p w14:paraId="54D4B281" w14:textId="307B6B6C" w:rsidR="00C30211" w:rsidRPr="00915260" w:rsidRDefault="00C30211" w:rsidP="006A4A5A">
      <w:pPr>
        <w:pStyle w:val="Heading2"/>
        <w:numPr>
          <w:ilvl w:val="2"/>
          <w:numId w:val="5"/>
        </w:numPr>
        <w:spacing w:line="360" w:lineRule="auto"/>
        <w:rPr>
          <w:rFonts w:cs="Times New Roman"/>
          <w:b/>
          <w:bCs/>
          <w:sz w:val="22"/>
          <w:szCs w:val="22"/>
        </w:rPr>
      </w:pPr>
      <w:bookmarkStart w:id="79" w:name="_Toc213748936"/>
      <w:r w:rsidRPr="00915260">
        <w:rPr>
          <w:rFonts w:cs="Times New Roman"/>
          <w:b/>
          <w:bCs/>
          <w:sz w:val="22"/>
          <w:szCs w:val="22"/>
        </w:rPr>
        <w:t>Descriptive Data Analysis</w:t>
      </w:r>
      <w:bookmarkEnd w:id="78"/>
      <w:bookmarkEnd w:id="79"/>
    </w:p>
    <w:p w14:paraId="4CD91FE7" w14:textId="0CEC495E" w:rsidR="00D17D69" w:rsidRDefault="0057218D" w:rsidP="006A4A5A">
      <w:pPr>
        <w:pStyle w:val="ListParagraph"/>
        <w:spacing w:line="360" w:lineRule="auto"/>
        <w:jc w:val="both"/>
        <w:rPr>
          <w:rFonts w:cs="Times New Roman"/>
          <w:szCs w:val="22"/>
        </w:rPr>
      </w:pPr>
      <w:r w:rsidRPr="0057218D">
        <w:rPr>
          <w:rFonts w:cs="Times New Roman"/>
          <w:szCs w:val="22"/>
        </w:rPr>
        <w:t>Descriptive data analysis uses mean and standard deviation to summarize survey responses on each construct</w:t>
      </w:r>
      <w:r w:rsidR="00F11978">
        <w:rPr>
          <w:rFonts w:cs="Times New Roman"/>
          <w:szCs w:val="22"/>
        </w:rPr>
        <w:t xml:space="preserve"> illustrated </w:t>
      </w:r>
      <w:r w:rsidR="004E64F7">
        <w:rPr>
          <w:rFonts w:cs="Times New Roman"/>
          <w:szCs w:val="22"/>
        </w:rPr>
        <w:t>in Table 3.6.1</w:t>
      </w:r>
      <w:r w:rsidRPr="0057218D">
        <w:rPr>
          <w:rFonts w:cs="Times New Roman"/>
          <w:szCs w:val="22"/>
        </w:rPr>
        <w:t xml:space="preserve">, following Field (2024). The mean shows the average rating, while standard deviation reveals </w:t>
      </w:r>
      <w:r w:rsidR="004E64F7">
        <w:rPr>
          <w:rFonts w:cs="Times New Roman"/>
          <w:szCs w:val="22"/>
        </w:rPr>
        <w:t xml:space="preserve">on </w:t>
      </w:r>
      <w:r w:rsidR="004E64F7" w:rsidRPr="0057218D">
        <w:rPr>
          <w:rFonts w:cs="Times New Roman"/>
          <w:szCs w:val="22"/>
        </w:rPr>
        <w:t>responses</w:t>
      </w:r>
      <w:r w:rsidRPr="0057218D">
        <w:rPr>
          <w:rFonts w:cs="Times New Roman"/>
          <w:szCs w:val="22"/>
        </w:rPr>
        <w:t xml:space="preserve"> vary. A six-point Likert scale is used, where values below 3 indicate disagreement and above 3 indicate agreement with a statement</w:t>
      </w:r>
      <w:r w:rsidR="007A21D9">
        <w:rPr>
          <w:rFonts w:cs="Times New Roman"/>
          <w:szCs w:val="22"/>
        </w:rPr>
        <w:t xml:space="preserve"> </w:t>
      </w:r>
      <w:r w:rsidR="007A21D9" w:rsidRPr="007A21D9">
        <w:rPr>
          <w:rFonts w:cs="Times New Roman"/>
          <w:szCs w:val="22"/>
        </w:rPr>
        <w:t>(Thompson, 2018)</w:t>
      </w:r>
      <w:r w:rsidRPr="0057218D">
        <w:rPr>
          <w:rFonts w:cs="Times New Roman"/>
          <w:szCs w:val="22"/>
        </w:rPr>
        <w:t>. Low standard deviations show consensus, while high values mean diverse views. Demographic data are compared to 2025 Hong Kong Census statistics; sample gaps within 5% are considered acceptable for consumer studies (Malhotra, 2020). Any major differences are discussed transparently to improve the study’s validity and representativeness.</w:t>
      </w:r>
    </w:p>
    <w:p w14:paraId="4ABC5122" w14:textId="48FBBBD5" w:rsidR="0057218D" w:rsidRDefault="00620E4B" w:rsidP="006A4A5A">
      <w:pPr>
        <w:pStyle w:val="ListParagraph"/>
        <w:spacing w:line="360" w:lineRule="auto"/>
        <w:jc w:val="both"/>
        <w:rPr>
          <w:rFonts w:cs="Times New Roman"/>
          <w:szCs w:val="22"/>
        </w:rPr>
      </w:pPr>
      <w:r w:rsidRPr="00620E4B">
        <w:rPr>
          <w:rFonts w:cs="Times New Roman"/>
          <w:noProof/>
          <w:szCs w:val="22"/>
        </w:rPr>
        <w:drawing>
          <wp:inline distT="0" distB="0" distL="0" distR="0" wp14:anchorId="7C61BD48" wp14:editId="1AE222D3">
            <wp:extent cx="5549316" cy="1655180"/>
            <wp:effectExtent l="0" t="0" r="0" b="2540"/>
            <wp:docPr id="1377193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93754" name=""/>
                    <pic:cNvPicPr/>
                  </pic:nvPicPr>
                  <pic:blipFill>
                    <a:blip r:embed="rId33"/>
                    <a:stretch>
                      <a:fillRect/>
                    </a:stretch>
                  </pic:blipFill>
                  <pic:spPr>
                    <a:xfrm>
                      <a:off x="0" y="0"/>
                      <a:ext cx="5562324" cy="1659060"/>
                    </a:xfrm>
                    <a:prstGeom prst="rect">
                      <a:avLst/>
                    </a:prstGeom>
                  </pic:spPr>
                </pic:pic>
              </a:graphicData>
            </a:graphic>
          </wp:inline>
        </w:drawing>
      </w:r>
    </w:p>
    <w:p w14:paraId="5C316DEC" w14:textId="77777777" w:rsidR="00620E4B" w:rsidRPr="00915260" w:rsidRDefault="00620E4B" w:rsidP="006A4A5A">
      <w:pPr>
        <w:pStyle w:val="ListParagraph"/>
        <w:spacing w:line="360" w:lineRule="auto"/>
        <w:jc w:val="both"/>
        <w:rPr>
          <w:rFonts w:cs="Times New Roman"/>
          <w:szCs w:val="22"/>
        </w:rPr>
      </w:pPr>
    </w:p>
    <w:p w14:paraId="5DB81073" w14:textId="77777777" w:rsidR="00C30211" w:rsidRPr="00AF4A09" w:rsidRDefault="00C30211" w:rsidP="00AF4A09">
      <w:pPr>
        <w:pStyle w:val="Heading2"/>
        <w:numPr>
          <w:ilvl w:val="2"/>
          <w:numId w:val="5"/>
        </w:numPr>
        <w:spacing w:line="360" w:lineRule="auto"/>
        <w:rPr>
          <w:rFonts w:cs="Times New Roman"/>
          <w:b/>
          <w:bCs/>
          <w:sz w:val="22"/>
          <w:szCs w:val="22"/>
        </w:rPr>
      </w:pPr>
      <w:bookmarkStart w:id="80" w:name="_Toc213748937"/>
      <w:r w:rsidRPr="00AF4A09">
        <w:rPr>
          <w:rFonts w:cs="Times New Roman"/>
          <w:b/>
          <w:bCs/>
          <w:sz w:val="22"/>
          <w:szCs w:val="22"/>
        </w:rPr>
        <w:t>Reliability testing</w:t>
      </w:r>
      <w:bookmarkEnd w:id="80"/>
    </w:p>
    <w:p w14:paraId="795BEE15" w14:textId="77CB1BC7" w:rsidR="00C30211" w:rsidRDefault="00C30211" w:rsidP="00C30211">
      <w:pPr>
        <w:spacing w:line="360" w:lineRule="auto"/>
        <w:ind w:left="720"/>
        <w:jc w:val="both"/>
        <w:rPr>
          <w:rFonts w:cs="Times New Roman"/>
          <w:szCs w:val="22"/>
        </w:rPr>
      </w:pPr>
      <w:r w:rsidRPr="00915260">
        <w:rPr>
          <w:rFonts w:cs="Times New Roman"/>
          <w:szCs w:val="22"/>
        </w:rPr>
        <w:t>Reliability testing is crucial to ensure the consistency of the measurement instrument. In this study, Cronbach’s Alpha coefficient will be employed to evaluate the internal consistency of the survey items</w:t>
      </w:r>
      <w:r w:rsidR="00B703C5">
        <w:rPr>
          <w:rFonts w:cs="Times New Roman"/>
          <w:szCs w:val="22"/>
        </w:rPr>
        <w:t xml:space="preserve"> </w:t>
      </w:r>
      <w:r w:rsidR="00B703C5" w:rsidRPr="00B703C5">
        <w:rPr>
          <w:rFonts w:cs="Times New Roman"/>
          <w:szCs w:val="22"/>
        </w:rPr>
        <w:t>(</w:t>
      </w:r>
      <w:proofErr w:type="spellStart"/>
      <w:r w:rsidR="00B703C5" w:rsidRPr="00B703C5">
        <w:rPr>
          <w:rFonts w:cs="Times New Roman"/>
          <w:szCs w:val="22"/>
        </w:rPr>
        <w:t>Tavakol</w:t>
      </w:r>
      <w:proofErr w:type="spellEnd"/>
      <w:r w:rsidR="00B703C5" w:rsidRPr="00B703C5">
        <w:rPr>
          <w:rFonts w:cs="Times New Roman"/>
          <w:szCs w:val="22"/>
        </w:rPr>
        <w:t xml:space="preserve"> and Dennick, 2011)</w:t>
      </w:r>
      <w:r w:rsidRPr="00915260">
        <w:rPr>
          <w:rFonts w:cs="Times New Roman"/>
          <w:szCs w:val="22"/>
        </w:rPr>
        <w:t xml:space="preserve">. A Cronbach’s Alpha value above 0.70 indicates acceptable reliability, suggesting that the items reliably measure the same construct, therefore, this report will </w:t>
      </w:r>
      <w:r w:rsidR="002B7EE6" w:rsidRPr="00915260">
        <w:rPr>
          <w:rFonts w:cs="Times New Roman"/>
          <w:szCs w:val="22"/>
        </w:rPr>
        <w:t>base</w:t>
      </w:r>
      <w:r w:rsidRPr="00915260">
        <w:rPr>
          <w:rFonts w:cs="Times New Roman"/>
          <w:szCs w:val="22"/>
        </w:rPr>
        <w:t xml:space="preserve"> at least 0.7 on reliability level for analysis (Nunnally and Bernstein, 1994).  The reliability test results are summarized in Table </w:t>
      </w:r>
      <w:r w:rsidR="00084D1B">
        <w:rPr>
          <w:rFonts w:cs="Times New Roman" w:hint="eastAsia"/>
          <w:szCs w:val="22"/>
        </w:rPr>
        <w:t>3.6.2</w:t>
      </w:r>
      <w:r w:rsidRPr="00915260">
        <w:rPr>
          <w:rFonts w:cs="Times New Roman"/>
          <w:szCs w:val="22"/>
        </w:rPr>
        <w:t>.</w:t>
      </w:r>
    </w:p>
    <w:p w14:paraId="44E7E273" w14:textId="314D627C" w:rsidR="00C30211" w:rsidRDefault="007E5E5B" w:rsidP="00C30211">
      <w:pPr>
        <w:spacing w:line="360" w:lineRule="auto"/>
        <w:ind w:left="720"/>
        <w:jc w:val="both"/>
        <w:rPr>
          <w:rFonts w:cs="Times New Roman"/>
          <w:szCs w:val="22"/>
        </w:rPr>
      </w:pPr>
      <w:r w:rsidRPr="007E5E5B">
        <w:rPr>
          <w:rFonts w:cs="Times New Roman"/>
          <w:noProof/>
          <w:szCs w:val="22"/>
        </w:rPr>
        <w:lastRenderedPageBreak/>
        <w:drawing>
          <wp:inline distT="0" distB="0" distL="0" distR="0" wp14:anchorId="00C80C43" wp14:editId="58505DDB">
            <wp:extent cx="5428527" cy="1958607"/>
            <wp:effectExtent l="0" t="0" r="1270" b="3810"/>
            <wp:docPr id="117664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644256" name=""/>
                    <pic:cNvPicPr/>
                  </pic:nvPicPr>
                  <pic:blipFill>
                    <a:blip r:embed="rId34"/>
                    <a:stretch>
                      <a:fillRect/>
                    </a:stretch>
                  </pic:blipFill>
                  <pic:spPr>
                    <a:xfrm>
                      <a:off x="0" y="0"/>
                      <a:ext cx="5433578" cy="1960429"/>
                    </a:xfrm>
                    <a:prstGeom prst="rect">
                      <a:avLst/>
                    </a:prstGeom>
                  </pic:spPr>
                </pic:pic>
              </a:graphicData>
            </a:graphic>
          </wp:inline>
        </w:drawing>
      </w:r>
    </w:p>
    <w:p w14:paraId="0EE71FE2" w14:textId="70417E5C" w:rsidR="00C30211" w:rsidRPr="00AF4A09" w:rsidRDefault="00C30211" w:rsidP="00AF4A09">
      <w:pPr>
        <w:pStyle w:val="Heading2"/>
        <w:numPr>
          <w:ilvl w:val="2"/>
          <w:numId w:val="5"/>
        </w:numPr>
        <w:spacing w:line="360" w:lineRule="auto"/>
        <w:rPr>
          <w:rFonts w:cs="Times New Roman"/>
          <w:b/>
          <w:bCs/>
          <w:sz w:val="22"/>
          <w:szCs w:val="22"/>
        </w:rPr>
      </w:pPr>
      <w:bookmarkStart w:id="81" w:name="_Toc213748938"/>
      <w:r w:rsidRPr="00AF4A09">
        <w:rPr>
          <w:rFonts w:cs="Times New Roman"/>
          <w:b/>
          <w:bCs/>
          <w:sz w:val="22"/>
          <w:szCs w:val="22"/>
        </w:rPr>
        <w:t xml:space="preserve">Pearson’s </w:t>
      </w:r>
      <w:r w:rsidR="00B43821">
        <w:rPr>
          <w:rFonts w:cs="Times New Roman"/>
          <w:b/>
          <w:bCs/>
          <w:sz w:val="22"/>
          <w:szCs w:val="22"/>
        </w:rPr>
        <w:t>C</w:t>
      </w:r>
      <w:r w:rsidRPr="00AF4A09">
        <w:rPr>
          <w:rFonts w:cs="Times New Roman"/>
          <w:b/>
          <w:bCs/>
          <w:sz w:val="22"/>
          <w:szCs w:val="22"/>
        </w:rPr>
        <w:t xml:space="preserve">orrelation </w:t>
      </w:r>
      <w:r w:rsidR="00B43821">
        <w:rPr>
          <w:rFonts w:cs="Times New Roman"/>
          <w:b/>
          <w:bCs/>
          <w:sz w:val="22"/>
          <w:szCs w:val="22"/>
        </w:rPr>
        <w:t>C</w:t>
      </w:r>
      <w:r w:rsidRPr="00AF4A09">
        <w:rPr>
          <w:rFonts w:cs="Times New Roman"/>
          <w:b/>
          <w:bCs/>
          <w:sz w:val="22"/>
          <w:szCs w:val="22"/>
        </w:rPr>
        <w:t>oefficient</w:t>
      </w:r>
      <w:bookmarkEnd w:id="81"/>
    </w:p>
    <w:p w14:paraId="3EEFE97D" w14:textId="39AED582" w:rsidR="00C30211" w:rsidRDefault="00C30211" w:rsidP="00831010">
      <w:pPr>
        <w:spacing w:line="360" w:lineRule="auto"/>
        <w:ind w:left="720"/>
        <w:jc w:val="both"/>
        <w:rPr>
          <w:rFonts w:cs="Times New Roman"/>
          <w:szCs w:val="22"/>
        </w:rPr>
      </w:pPr>
      <w:r w:rsidRPr="00915260">
        <w:rPr>
          <w:rFonts w:cs="Times New Roman"/>
          <w:szCs w:val="22"/>
        </w:rPr>
        <w:t>Pearson’s correlation coefficient will be used to assess the degree of linear relationship between variables</w:t>
      </w:r>
      <w:r w:rsidR="00A13550">
        <w:rPr>
          <w:rFonts w:cs="Times New Roman"/>
          <w:szCs w:val="22"/>
        </w:rPr>
        <w:t xml:space="preserve"> as the summary in Table 3.6.3</w:t>
      </w:r>
      <w:r w:rsidRPr="00915260">
        <w:rPr>
          <w:rFonts w:cs="Times New Roman"/>
          <w:szCs w:val="22"/>
        </w:rPr>
        <w:t>. This parametric test measures the strength and direction of the association, with values ranging from -1 to +1. A coefficient close to +1 indicates a strong positive linear relationship, whereas a value near -1 suggests a strong negative linear relationship (Field, 2024). The correlation matrix in Table 2 displays the relationships among key variables.</w:t>
      </w:r>
    </w:p>
    <w:p w14:paraId="19F27354" w14:textId="57864F9D" w:rsidR="00831010" w:rsidRDefault="00831010" w:rsidP="00831010">
      <w:pPr>
        <w:spacing w:line="360" w:lineRule="auto"/>
        <w:ind w:left="720"/>
        <w:jc w:val="both"/>
        <w:rPr>
          <w:rFonts w:cs="Times New Roman"/>
          <w:szCs w:val="22"/>
        </w:rPr>
      </w:pPr>
      <w:r w:rsidRPr="00831010">
        <w:rPr>
          <w:rFonts w:cs="Times New Roman"/>
          <w:noProof/>
          <w:szCs w:val="22"/>
        </w:rPr>
        <w:drawing>
          <wp:inline distT="0" distB="0" distL="0" distR="0" wp14:anchorId="56A90CC1" wp14:editId="1F556A33">
            <wp:extent cx="5005044" cy="2232809"/>
            <wp:effectExtent l="0" t="0" r="5715" b="0"/>
            <wp:docPr id="1897043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43801" name=""/>
                    <pic:cNvPicPr/>
                  </pic:nvPicPr>
                  <pic:blipFill>
                    <a:blip r:embed="rId35"/>
                    <a:stretch>
                      <a:fillRect/>
                    </a:stretch>
                  </pic:blipFill>
                  <pic:spPr>
                    <a:xfrm>
                      <a:off x="0" y="0"/>
                      <a:ext cx="5026583" cy="2242418"/>
                    </a:xfrm>
                    <a:prstGeom prst="rect">
                      <a:avLst/>
                    </a:prstGeom>
                  </pic:spPr>
                </pic:pic>
              </a:graphicData>
            </a:graphic>
          </wp:inline>
        </w:drawing>
      </w:r>
    </w:p>
    <w:p w14:paraId="08275D15" w14:textId="77777777" w:rsidR="0033675B" w:rsidRPr="00831010" w:rsidRDefault="0033675B" w:rsidP="00831010">
      <w:pPr>
        <w:spacing w:line="360" w:lineRule="auto"/>
        <w:ind w:left="720"/>
        <w:jc w:val="both"/>
        <w:rPr>
          <w:rFonts w:cs="Times New Roman"/>
          <w:szCs w:val="22"/>
        </w:rPr>
      </w:pPr>
    </w:p>
    <w:p w14:paraId="14DD3827" w14:textId="7EAE9958" w:rsidR="00C30211" w:rsidRPr="00AF4A09" w:rsidRDefault="00C30211" w:rsidP="00AF4A09">
      <w:pPr>
        <w:pStyle w:val="Heading2"/>
        <w:numPr>
          <w:ilvl w:val="2"/>
          <w:numId w:val="5"/>
        </w:numPr>
        <w:spacing w:line="360" w:lineRule="auto"/>
        <w:rPr>
          <w:rFonts w:cs="Times New Roman"/>
          <w:b/>
          <w:bCs/>
          <w:sz w:val="22"/>
          <w:szCs w:val="22"/>
        </w:rPr>
      </w:pPr>
      <w:bookmarkStart w:id="82" w:name="_Toc213748939"/>
      <w:r w:rsidRPr="00AF4A09">
        <w:rPr>
          <w:rFonts w:cs="Times New Roman"/>
          <w:b/>
          <w:bCs/>
          <w:sz w:val="22"/>
          <w:szCs w:val="22"/>
        </w:rPr>
        <w:t xml:space="preserve">Regression </w:t>
      </w:r>
      <w:r w:rsidR="00B43821">
        <w:rPr>
          <w:rFonts w:cs="Times New Roman"/>
          <w:b/>
          <w:bCs/>
          <w:sz w:val="22"/>
          <w:szCs w:val="22"/>
        </w:rPr>
        <w:t>A</w:t>
      </w:r>
      <w:r w:rsidRPr="00AF4A09">
        <w:rPr>
          <w:rFonts w:cs="Times New Roman"/>
          <w:b/>
          <w:bCs/>
          <w:sz w:val="22"/>
          <w:szCs w:val="22"/>
        </w:rPr>
        <w:t>nalysis</w:t>
      </w:r>
      <w:bookmarkEnd w:id="82"/>
    </w:p>
    <w:p w14:paraId="59C90E9D" w14:textId="0717286A" w:rsidR="00C30211" w:rsidRDefault="0035089A" w:rsidP="00C30211">
      <w:pPr>
        <w:pStyle w:val="ListParagraph"/>
        <w:spacing w:line="360" w:lineRule="auto"/>
        <w:jc w:val="both"/>
        <w:rPr>
          <w:rFonts w:cs="Times New Roman"/>
          <w:szCs w:val="22"/>
        </w:rPr>
      </w:pPr>
      <w:r w:rsidRPr="0035089A">
        <w:rPr>
          <w:rFonts w:cs="Times New Roman"/>
          <w:szCs w:val="22"/>
        </w:rPr>
        <w:t xml:space="preserve">Regression analysis </w:t>
      </w:r>
      <w:r w:rsidR="00E36309">
        <w:rPr>
          <w:rFonts w:cs="Times New Roman"/>
          <w:szCs w:val="22"/>
        </w:rPr>
        <w:t xml:space="preserve">component in Table 3.6.4, </w:t>
      </w:r>
      <w:r w:rsidRPr="0035089A">
        <w:rPr>
          <w:rFonts w:cs="Times New Roman"/>
          <w:szCs w:val="22"/>
        </w:rPr>
        <w:t>estimates relationships between a dependent variable and one or more independent variables for hypothesis testing and prediction (Wooldridge, 2020). Key steps include calculating coefficients, t-statistics, and p-values. R-squared measures model fit, and diagnostic checks like heteroskedasticity and multicollinearity ensure valid results (</w:t>
      </w:r>
      <w:proofErr w:type="spellStart"/>
      <w:r w:rsidRPr="0035089A">
        <w:rPr>
          <w:rFonts w:cs="Times New Roman"/>
          <w:szCs w:val="22"/>
        </w:rPr>
        <w:t>Gujirati</w:t>
      </w:r>
      <w:proofErr w:type="spellEnd"/>
      <w:r w:rsidRPr="0035089A">
        <w:rPr>
          <w:rFonts w:cs="Times New Roman"/>
          <w:szCs w:val="22"/>
        </w:rPr>
        <w:t xml:space="preserve"> &amp; Porter, 2016). </w:t>
      </w:r>
      <w:r>
        <w:rPr>
          <w:rFonts w:cs="Times New Roman"/>
          <w:szCs w:val="22"/>
        </w:rPr>
        <w:t xml:space="preserve"> Simple linear regression </w:t>
      </w:r>
      <w:r w:rsidR="00B43821">
        <w:rPr>
          <w:rFonts w:cs="Times New Roman"/>
          <w:szCs w:val="22"/>
        </w:rPr>
        <w:t xml:space="preserve">uses the equation </w:t>
      </w:r>
      <w:r w:rsidR="00C30211" w:rsidRPr="00915260">
        <w:rPr>
          <w:rFonts w:cs="Times New Roman"/>
          <w:szCs w:val="22"/>
        </w:rPr>
        <w:t xml:space="preserve">y = β0 + β1x + ε, where β0 </w:t>
      </w:r>
      <w:r w:rsidR="00B43821" w:rsidRPr="00B43821">
        <w:rPr>
          <w:rFonts w:cs="Times New Roman"/>
          <w:szCs w:val="22"/>
        </w:rPr>
        <w:t>as the intercept and β1 as the slope. R² shows explained variance.</w:t>
      </w:r>
    </w:p>
    <w:p w14:paraId="1796797B" w14:textId="6119798F" w:rsidR="00B43821" w:rsidRDefault="0033675B" w:rsidP="00C30211">
      <w:pPr>
        <w:pStyle w:val="ListParagraph"/>
        <w:spacing w:line="360" w:lineRule="auto"/>
        <w:jc w:val="both"/>
        <w:rPr>
          <w:rFonts w:cs="Times New Roman"/>
          <w:szCs w:val="22"/>
        </w:rPr>
      </w:pPr>
      <w:r w:rsidRPr="0033675B">
        <w:rPr>
          <w:rFonts w:cs="Times New Roman"/>
          <w:noProof/>
          <w:szCs w:val="22"/>
        </w:rPr>
        <w:lastRenderedPageBreak/>
        <w:drawing>
          <wp:inline distT="0" distB="0" distL="0" distR="0" wp14:anchorId="2959584A" wp14:editId="0FE3084D">
            <wp:extent cx="5330013" cy="2299482"/>
            <wp:effectExtent l="0" t="0" r="4445" b="5715"/>
            <wp:docPr id="332294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294233" name=""/>
                    <pic:cNvPicPr/>
                  </pic:nvPicPr>
                  <pic:blipFill>
                    <a:blip r:embed="rId36"/>
                    <a:stretch>
                      <a:fillRect/>
                    </a:stretch>
                  </pic:blipFill>
                  <pic:spPr>
                    <a:xfrm>
                      <a:off x="0" y="0"/>
                      <a:ext cx="5472724" cy="2361051"/>
                    </a:xfrm>
                    <a:prstGeom prst="rect">
                      <a:avLst/>
                    </a:prstGeom>
                  </pic:spPr>
                </pic:pic>
              </a:graphicData>
            </a:graphic>
          </wp:inline>
        </w:drawing>
      </w:r>
    </w:p>
    <w:p w14:paraId="58A8D1E1" w14:textId="77777777" w:rsidR="008856BA" w:rsidRPr="00915260" w:rsidRDefault="008856BA" w:rsidP="008856BA">
      <w:pPr>
        <w:pStyle w:val="Heading2"/>
        <w:numPr>
          <w:ilvl w:val="1"/>
          <w:numId w:val="5"/>
        </w:numPr>
        <w:spacing w:line="360" w:lineRule="auto"/>
        <w:ind w:left="450" w:hanging="450"/>
        <w:jc w:val="both"/>
        <w:rPr>
          <w:rFonts w:cs="Times New Roman"/>
          <w:b/>
          <w:bCs/>
          <w:sz w:val="22"/>
          <w:szCs w:val="22"/>
        </w:rPr>
      </w:pPr>
      <w:bookmarkStart w:id="83" w:name="_Toc213748940"/>
      <w:r w:rsidRPr="00915260">
        <w:rPr>
          <w:rFonts w:cs="Times New Roman"/>
          <w:b/>
          <w:bCs/>
          <w:sz w:val="22"/>
          <w:szCs w:val="22"/>
        </w:rPr>
        <w:t>Questionnaire and Instrument Design</w:t>
      </w:r>
      <w:bookmarkEnd w:id="83"/>
    </w:p>
    <w:p w14:paraId="7952FDB9" w14:textId="232C4EA9" w:rsidR="00F14039" w:rsidRDefault="00F14039" w:rsidP="001B2C3C">
      <w:pPr>
        <w:spacing w:line="360" w:lineRule="auto"/>
        <w:jc w:val="both"/>
        <w:rPr>
          <w:rFonts w:cs="Times New Roman"/>
          <w:szCs w:val="22"/>
        </w:rPr>
      </w:pPr>
      <w:r w:rsidRPr="00F14039">
        <w:rPr>
          <w:rFonts w:cs="Times New Roman"/>
          <w:szCs w:val="22"/>
        </w:rPr>
        <w:t>A pilot test was conducted with a sample of target consumers to evaluate the questionnaire’s reliability and identify any issues in question wording or structure</w:t>
      </w:r>
      <w:r w:rsidR="000B59B1" w:rsidRPr="000B59B1">
        <w:rPr>
          <w:rFonts w:cs="Times New Roman"/>
          <w:szCs w:val="22"/>
        </w:rPr>
        <w:t xml:space="preserve"> </w:t>
      </w:r>
      <w:r w:rsidR="000B59B1" w:rsidRPr="009B67A4">
        <w:rPr>
          <w:rFonts w:cs="Times New Roman"/>
          <w:szCs w:val="22"/>
        </w:rPr>
        <w:t>Creswell (2018)</w:t>
      </w:r>
      <w:r w:rsidRPr="00F14039">
        <w:rPr>
          <w:rFonts w:cs="Times New Roman"/>
          <w:szCs w:val="22"/>
        </w:rPr>
        <w:t>. The pilot feedback and Cronbach’s Alpha results guided further refinement, ultimately strengthening both the validity and reliability of the final survey instrument</w:t>
      </w:r>
      <w:r w:rsidR="000B59B1" w:rsidRPr="000B59B1">
        <w:rPr>
          <w:rFonts w:cs="Times New Roman"/>
          <w:szCs w:val="22"/>
        </w:rPr>
        <w:t xml:space="preserve"> </w:t>
      </w:r>
      <w:r w:rsidR="000B59B1" w:rsidRPr="002179B8">
        <w:rPr>
          <w:rFonts w:cs="Times New Roman"/>
          <w:szCs w:val="22"/>
        </w:rPr>
        <w:t>Devellis (2017)</w:t>
      </w:r>
      <w:r w:rsidRPr="00F14039">
        <w:rPr>
          <w:rFonts w:cs="Times New Roman"/>
          <w:szCs w:val="22"/>
        </w:rPr>
        <w:t>. This process ensured the questionnaire was well-adapted to the Hong Kong market context and capable of collecting robust attitudinal and behavioral data for analysis.</w:t>
      </w:r>
    </w:p>
    <w:p w14:paraId="45D13494" w14:textId="77777777" w:rsidR="00233593" w:rsidRDefault="00233593" w:rsidP="001B2C3C">
      <w:pPr>
        <w:spacing w:line="360" w:lineRule="auto"/>
        <w:jc w:val="both"/>
        <w:rPr>
          <w:rFonts w:cs="Times New Roman"/>
          <w:szCs w:val="22"/>
        </w:rPr>
      </w:pPr>
    </w:p>
    <w:p w14:paraId="6CFF9150" w14:textId="6E7970D9" w:rsidR="000B59B1" w:rsidRDefault="001914B4" w:rsidP="000B59B1">
      <w:pPr>
        <w:pStyle w:val="Heading2"/>
        <w:numPr>
          <w:ilvl w:val="2"/>
          <w:numId w:val="5"/>
        </w:numPr>
        <w:spacing w:line="360" w:lineRule="auto"/>
        <w:rPr>
          <w:rFonts w:cs="Times New Roman"/>
          <w:b/>
          <w:bCs/>
          <w:sz w:val="22"/>
          <w:szCs w:val="22"/>
        </w:rPr>
      </w:pPr>
      <w:bookmarkStart w:id="84" w:name="_Toc213748941"/>
      <w:r w:rsidRPr="001914B4">
        <w:rPr>
          <w:rFonts w:cs="Times New Roman"/>
          <w:b/>
          <w:bCs/>
          <w:sz w:val="22"/>
          <w:szCs w:val="22"/>
        </w:rPr>
        <w:t>Pilot Test Questionnaire</w:t>
      </w:r>
      <w:r w:rsidRPr="001914B4">
        <w:rPr>
          <w:rFonts w:cs="Times New Roman" w:hint="eastAsia"/>
          <w:b/>
          <w:bCs/>
          <w:sz w:val="22"/>
          <w:szCs w:val="22"/>
        </w:rPr>
        <w:t xml:space="preserve"> </w:t>
      </w:r>
      <w:r w:rsidR="000B59B1">
        <w:rPr>
          <w:rFonts w:cs="Times New Roman" w:hint="eastAsia"/>
          <w:b/>
          <w:bCs/>
          <w:sz w:val="22"/>
          <w:szCs w:val="22"/>
        </w:rPr>
        <w:t>Design</w:t>
      </w:r>
      <w:bookmarkEnd w:id="84"/>
    </w:p>
    <w:p w14:paraId="3BD76887" w14:textId="4A520D97" w:rsidR="00BA0478" w:rsidRDefault="00A10B6D" w:rsidP="00BA0478">
      <w:pPr>
        <w:spacing w:line="360" w:lineRule="auto"/>
        <w:ind w:left="720"/>
        <w:jc w:val="both"/>
        <w:rPr>
          <w:noProof/>
        </w:rPr>
      </w:pPr>
      <w:r>
        <w:t>Pilot test</w:t>
      </w:r>
      <w:r w:rsidR="00653F03" w:rsidRPr="00653F03">
        <w:t xml:space="preserve"> questionnaire focused on adapting and organizing validated items into clear, structured sections representing each core variable identified in the literature review. Each construct</w:t>
      </w:r>
      <w:r w:rsidR="00653F03">
        <w:rPr>
          <w:rFonts w:hint="eastAsia"/>
        </w:rPr>
        <w:t xml:space="preserve"> </w:t>
      </w:r>
      <w:r w:rsidR="001E1F12">
        <w:rPr>
          <w:rFonts w:hint="eastAsia"/>
        </w:rPr>
        <w:t xml:space="preserve">on </w:t>
      </w:r>
      <w:r w:rsidR="00653F03" w:rsidRPr="00653F03">
        <w:t>social media marketing activities, environmental conscious, sustainability, and brand trust</w:t>
      </w:r>
      <w:r w:rsidR="001E1F12">
        <w:rPr>
          <w:rFonts w:hint="eastAsia"/>
        </w:rPr>
        <w:t>, were</w:t>
      </w:r>
      <w:r w:rsidR="00653F03" w:rsidRPr="00653F03">
        <w:t xml:space="preserve"> measured through multiple items refined for linguistic and cultural clarity. Demographic questions covering gender, age, income</w:t>
      </w:r>
      <w:r w:rsidR="001E1F12">
        <w:rPr>
          <w:rFonts w:hint="eastAsia"/>
        </w:rPr>
        <w:t xml:space="preserve"> and</w:t>
      </w:r>
      <w:r w:rsidR="00653F03" w:rsidRPr="00653F03">
        <w:t xml:space="preserve"> education</w:t>
      </w:r>
      <w:r w:rsidR="001E1F12">
        <w:rPr>
          <w:rFonts w:hint="eastAsia"/>
        </w:rPr>
        <w:t xml:space="preserve"> level </w:t>
      </w:r>
      <w:r w:rsidR="00653F03" w:rsidRPr="00653F03">
        <w:t>were included for sample characterization. The design prioritized empirical rigor and practical applicability, providing reliable data for both statistical and thematic analysis while ensuring respondent comprehension and survey accessibility</w:t>
      </w:r>
      <w:r w:rsidR="00BA0478">
        <w:rPr>
          <w:rFonts w:hint="eastAsia"/>
        </w:rPr>
        <w:t xml:space="preserve">.  </w:t>
      </w:r>
      <w:r w:rsidR="00BA0478">
        <w:rPr>
          <w:noProof/>
        </w:rPr>
        <w:t xml:space="preserve">To further enhance reliability, </w:t>
      </w:r>
      <w:r>
        <w:rPr>
          <w:noProof/>
        </w:rPr>
        <w:t>pilot test</w:t>
      </w:r>
      <w:r w:rsidR="00BA0478">
        <w:rPr>
          <w:noProof/>
        </w:rPr>
        <w:t xml:space="preserve"> was conducted on 14 June 2025 through three scheduled sessions at 11:00, 12:30, and 14:00 via Microsoft Teams. Consistent with the recommendations of Bryman (2016) and Saunders, Lewis and Thornhill (2019), th</w:t>
      </w:r>
      <w:r>
        <w:rPr>
          <w:noProof/>
        </w:rPr>
        <w:t>e</w:t>
      </w:r>
      <w:r w:rsidR="00BA0478">
        <w:rPr>
          <w:noProof/>
        </w:rPr>
        <w:t xml:space="preserve"> preliminary phase integrated a focus group component, blending qualitative feedback with quantitative pretesting. Two primary objectives guided the pilot test, firstly, to ensure the composite reliability coefficients (Cronbach’s α) of all constructs exceeded 0.7, the minimum threshold for internal consistency as suggested by Nunnally (1978).  Secondly, to gather participant feedback within the focus group on question clarity, wording precision, and flow to ensure the instrument’s face validity and comprehensibility.    </w:t>
      </w:r>
    </w:p>
    <w:p w14:paraId="067A5144" w14:textId="7DB60EC0" w:rsidR="001E1F12" w:rsidRPr="000E28C6" w:rsidRDefault="008108F3" w:rsidP="001E1F12">
      <w:r w:rsidRPr="008108F3">
        <w:rPr>
          <w:noProof/>
        </w:rPr>
        <w:lastRenderedPageBreak/>
        <w:drawing>
          <wp:inline distT="0" distB="0" distL="0" distR="0" wp14:anchorId="2BB3A22F" wp14:editId="46AADDF9">
            <wp:extent cx="5776332" cy="8529680"/>
            <wp:effectExtent l="0" t="0" r="0" b="5080"/>
            <wp:docPr id="12930514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83290" cy="8539955"/>
                    </a:xfrm>
                    <a:prstGeom prst="rect">
                      <a:avLst/>
                    </a:prstGeom>
                    <a:noFill/>
                    <a:ln>
                      <a:noFill/>
                    </a:ln>
                  </pic:spPr>
                </pic:pic>
              </a:graphicData>
            </a:graphic>
          </wp:inline>
        </w:drawing>
      </w:r>
    </w:p>
    <w:p w14:paraId="6EE940DB" w14:textId="77777777" w:rsidR="001E1F12" w:rsidRDefault="001E1F12" w:rsidP="00653F03">
      <w:pPr>
        <w:spacing w:line="360" w:lineRule="auto"/>
        <w:ind w:left="720"/>
        <w:jc w:val="both"/>
      </w:pPr>
    </w:p>
    <w:p w14:paraId="7316E3BB" w14:textId="539C51D4" w:rsidR="001E1F12" w:rsidRDefault="00BA0478" w:rsidP="001E1F12">
      <w:pPr>
        <w:pStyle w:val="Heading2"/>
        <w:numPr>
          <w:ilvl w:val="2"/>
          <w:numId w:val="5"/>
        </w:numPr>
        <w:spacing w:line="360" w:lineRule="auto"/>
        <w:ind w:left="1260" w:hanging="540"/>
        <w:rPr>
          <w:rFonts w:cs="Times New Roman"/>
          <w:b/>
          <w:bCs/>
          <w:sz w:val="22"/>
          <w:szCs w:val="22"/>
        </w:rPr>
      </w:pPr>
      <w:bookmarkStart w:id="85" w:name="_Toc213748942"/>
      <w:r>
        <w:rPr>
          <w:rFonts w:cs="Times New Roman" w:hint="eastAsia"/>
          <w:b/>
          <w:bCs/>
          <w:sz w:val="22"/>
          <w:szCs w:val="22"/>
        </w:rPr>
        <w:t xml:space="preserve">Pilot Test </w:t>
      </w:r>
      <w:r>
        <w:rPr>
          <w:rFonts w:cs="Times New Roman"/>
          <w:b/>
          <w:bCs/>
          <w:sz w:val="22"/>
          <w:szCs w:val="22"/>
        </w:rPr>
        <w:t>Reliability</w:t>
      </w:r>
      <w:r>
        <w:rPr>
          <w:rFonts w:cs="Times New Roman" w:hint="eastAsia"/>
          <w:b/>
          <w:bCs/>
          <w:sz w:val="22"/>
          <w:szCs w:val="22"/>
        </w:rPr>
        <w:t xml:space="preserve"> Result</w:t>
      </w:r>
      <w:bookmarkEnd w:id="85"/>
    </w:p>
    <w:p w14:paraId="63595F34" w14:textId="77777777" w:rsidR="00CD5828" w:rsidRDefault="00CD5828" w:rsidP="00DB02DF">
      <w:pPr>
        <w:spacing w:line="360" w:lineRule="auto"/>
        <w:ind w:left="720"/>
        <w:jc w:val="both"/>
        <w:rPr>
          <w:noProof/>
        </w:rPr>
      </w:pPr>
      <w:r>
        <w:rPr>
          <w:noProof/>
        </w:rPr>
        <w:t>Table 3.7.2 illustrates the reliability result for the pilot test conducted before the main data collection phase. The pilot study achieved an overall Cronbach’s Alpha coefficient of 0.926, confirming excellent internal consistency across all measurement constructs. This high value exceeds the 0.70 benchmark recommended by Nunnally (1978), demonstrating that the instrument items reliably measured the respective variables. Participant feedback obtained during the pilot sessions was used to refine item wording, ensuring clarity and face validity before administering the full survey. These results affirm that the questionnaire is both statistically reliable and contextually appropriate for large-scale application.</w:t>
      </w:r>
    </w:p>
    <w:p w14:paraId="2078FF45" w14:textId="05EE1D2A" w:rsidR="009F224E" w:rsidRDefault="009F224E" w:rsidP="00DB02DF">
      <w:pPr>
        <w:spacing w:line="360" w:lineRule="auto"/>
        <w:ind w:left="720"/>
        <w:jc w:val="both"/>
        <w:rPr>
          <w:noProof/>
        </w:rPr>
      </w:pPr>
      <w:r w:rsidRPr="009F224E">
        <w:rPr>
          <w:noProof/>
        </w:rPr>
        <w:drawing>
          <wp:inline distT="0" distB="0" distL="0" distR="0" wp14:anchorId="1AE18B68" wp14:editId="2383631F">
            <wp:extent cx="4166886" cy="2448220"/>
            <wp:effectExtent l="0" t="0" r="5080" b="9525"/>
            <wp:docPr id="2112355235" name="Picture 1" descr="A close-up of a test resul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355235" name="Picture 1" descr="A close-up of a test results&#10;&#10;AI-generated content may be incorrect."/>
                    <pic:cNvPicPr/>
                  </pic:nvPicPr>
                  <pic:blipFill>
                    <a:blip r:embed="rId38"/>
                    <a:stretch>
                      <a:fillRect/>
                    </a:stretch>
                  </pic:blipFill>
                  <pic:spPr>
                    <a:xfrm>
                      <a:off x="0" y="0"/>
                      <a:ext cx="4182812" cy="2457577"/>
                    </a:xfrm>
                    <a:prstGeom prst="rect">
                      <a:avLst/>
                    </a:prstGeom>
                  </pic:spPr>
                </pic:pic>
              </a:graphicData>
            </a:graphic>
          </wp:inline>
        </w:drawing>
      </w:r>
    </w:p>
    <w:p w14:paraId="054F3525" w14:textId="2D17D183" w:rsidR="000E28C6" w:rsidRDefault="00A321C4" w:rsidP="00A321C4">
      <w:pPr>
        <w:spacing w:line="360" w:lineRule="auto"/>
        <w:jc w:val="both"/>
        <w:rPr>
          <w:noProof/>
        </w:rPr>
      </w:pPr>
      <w:r>
        <w:rPr>
          <w:noProof/>
        </w:rPr>
        <w:t>In summary, the final questionnaire reflects a rigorously validated and culturally tailored survey instrument, combining theoretical constructs with practical insights gained from the pilot testing and focus group feedback. This ensured the tool was reliable with a Cronbach’s alpha of 0.926 post-pilot, and valid for capturing the multidimensional factors influencing purchase intention toward instant coffee in the Hong Kong market.</w:t>
      </w:r>
    </w:p>
    <w:p w14:paraId="2E02BF8A" w14:textId="6E382B38" w:rsidR="0067364F" w:rsidRPr="00953CCB" w:rsidRDefault="0067364F" w:rsidP="00953CCB">
      <w:pPr>
        <w:spacing w:line="360" w:lineRule="auto"/>
        <w:jc w:val="both"/>
        <w:rPr>
          <w:rFonts w:cs="Times New Roman"/>
          <w:szCs w:val="22"/>
        </w:rPr>
      </w:pPr>
    </w:p>
    <w:p w14:paraId="4C7423EF" w14:textId="3A6D5AE1" w:rsidR="00DF33BD" w:rsidRDefault="00162D2D" w:rsidP="00AF4A09">
      <w:pPr>
        <w:pStyle w:val="Heading2"/>
        <w:numPr>
          <w:ilvl w:val="2"/>
          <w:numId w:val="5"/>
        </w:numPr>
        <w:spacing w:line="360" w:lineRule="auto"/>
        <w:rPr>
          <w:rFonts w:cs="Times New Roman"/>
          <w:b/>
          <w:bCs/>
          <w:sz w:val="22"/>
          <w:szCs w:val="22"/>
        </w:rPr>
      </w:pPr>
      <w:bookmarkStart w:id="86" w:name="_Toc213748943"/>
      <w:r>
        <w:rPr>
          <w:rFonts w:cs="Times New Roman" w:hint="eastAsia"/>
          <w:b/>
          <w:bCs/>
          <w:sz w:val="22"/>
          <w:szCs w:val="22"/>
        </w:rPr>
        <w:t>Final Questionnaire</w:t>
      </w:r>
      <w:r w:rsidR="00800338">
        <w:rPr>
          <w:rFonts w:cs="Times New Roman" w:hint="eastAsia"/>
          <w:b/>
          <w:bCs/>
          <w:sz w:val="22"/>
          <w:szCs w:val="22"/>
        </w:rPr>
        <w:t xml:space="preserve"> Implementation</w:t>
      </w:r>
      <w:bookmarkEnd w:id="86"/>
    </w:p>
    <w:p w14:paraId="4ABD822C" w14:textId="77777777" w:rsidR="007E4826" w:rsidRDefault="001F0EE8" w:rsidP="007E4826">
      <w:pPr>
        <w:spacing w:line="360" w:lineRule="auto"/>
        <w:ind w:left="720"/>
        <w:jc w:val="both"/>
      </w:pPr>
      <w:r w:rsidRPr="001F0EE8">
        <w:t>After the pilot test and group feedback, the questionnaire was revised for clarity and reliability. Problematic items were removed as suggested by participants. The final version accurately measured all constructs, reduced ambiguity, and improved comprehension. Table 3.7.3.1 shows the validated questionnaire. The instrument was deployed for large-scale data collection as planned.</w:t>
      </w:r>
    </w:p>
    <w:p w14:paraId="51450EEA" w14:textId="58157886" w:rsidR="004F3536" w:rsidRDefault="001F0EE8" w:rsidP="007E4826">
      <w:pPr>
        <w:spacing w:line="360" w:lineRule="auto"/>
        <w:jc w:val="both"/>
      </w:pPr>
      <w:r w:rsidRPr="001F0EE8">
        <w:lastRenderedPageBreak/>
        <w:t xml:space="preserve"> </w:t>
      </w:r>
      <w:r w:rsidR="00F92358" w:rsidRPr="00F92358">
        <w:rPr>
          <w:noProof/>
        </w:rPr>
        <w:drawing>
          <wp:inline distT="0" distB="0" distL="0" distR="0" wp14:anchorId="31F3B4A9" wp14:editId="1066F018">
            <wp:extent cx="5937813" cy="5587634"/>
            <wp:effectExtent l="0" t="0" r="6350" b="0"/>
            <wp:docPr id="440476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60089" cy="5608596"/>
                    </a:xfrm>
                    <a:prstGeom prst="rect">
                      <a:avLst/>
                    </a:prstGeom>
                    <a:noFill/>
                    <a:ln>
                      <a:noFill/>
                    </a:ln>
                  </pic:spPr>
                </pic:pic>
              </a:graphicData>
            </a:graphic>
          </wp:inline>
        </w:drawing>
      </w:r>
    </w:p>
    <w:p w14:paraId="438EBF0B" w14:textId="77777777" w:rsidR="008261F2" w:rsidRDefault="008261F2">
      <w:pPr>
        <w:rPr>
          <w:sz w:val="20"/>
          <w:szCs w:val="20"/>
        </w:rPr>
      </w:pPr>
      <w:r>
        <w:rPr>
          <w:sz w:val="20"/>
          <w:szCs w:val="20"/>
        </w:rPr>
        <w:br w:type="page"/>
      </w:r>
    </w:p>
    <w:p w14:paraId="67288319" w14:textId="6B374CEB" w:rsidR="007E4826" w:rsidRDefault="007E4826" w:rsidP="007E4826">
      <w:pPr>
        <w:spacing w:line="360" w:lineRule="auto"/>
        <w:ind w:left="720"/>
        <w:jc w:val="both"/>
        <w:rPr>
          <w:sz w:val="20"/>
          <w:szCs w:val="20"/>
        </w:rPr>
      </w:pPr>
      <w:r w:rsidRPr="007E4826">
        <w:rPr>
          <w:sz w:val="20"/>
          <w:szCs w:val="20"/>
        </w:rPr>
        <w:lastRenderedPageBreak/>
        <w:t>Reliability results in Table 3.7.3.2 confirm that deleting weak questions</w:t>
      </w:r>
      <w:r>
        <w:rPr>
          <w:sz w:val="20"/>
          <w:szCs w:val="20"/>
        </w:rPr>
        <w:t xml:space="preserve"> to</w:t>
      </w:r>
      <w:r w:rsidRPr="007E4826">
        <w:rPr>
          <w:sz w:val="20"/>
          <w:szCs w:val="20"/>
        </w:rPr>
        <w:t xml:space="preserve"> improve the reliability of the final instrument, ensuring robust and accurate measurement.</w:t>
      </w:r>
    </w:p>
    <w:p w14:paraId="27966B98" w14:textId="0548F810" w:rsidR="009540DC" w:rsidRDefault="009540DC" w:rsidP="007E4826">
      <w:pPr>
        <w:spacing w:line="360" w:lineRule="auto"/>
        <w:ind w:left="720"/>
        <w:rPr>
          <w:sz w:val="20"/>
          <w:szCs w:val="20"/>
        </w:rPr>
      </w:pPr>
      <w:r w:rsidRPr="009540DC">
        <w:rPr>
          <w:noProof/>
          <w:sz w:val="20"/>
          <w:szCs w:val="20"/>
        </w:rPr>
        <w:drawing>
          <wp:inline distT="0" distB="0" distL="0" distR="0" wp14:anchorId="5B612D3E" wp14:editId="2865FA12">
            <wp:extent cx="5064235" cy="2133600"/>
            <wp:effectExtent l="0" t="0" r="3175" b="0"/>
            <wp:docPr id="1805889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889159" name=""/>
                    <pic:cNvPicPr/>
                  </pic:nvPicPr>
                  <pic:blipFill>
                    <a:blip r:embed="rId40"/>
                    <a:stretch>
                      <a:fillRect/>
                    </a:stretch>
                  </pic:blipFill>
                  <pic:spPr>
                    <a:xfrm>
                      <a:off x="0" y="0"/>
                      <a:ext cx="5103321" cy="2150067"/>
                    </a:xfrm>
                    <a:prstGeom prst="rect">
                      <a:avLst/>
                    </a:prstGeom>
                  </pic:spPr>
                </pic:pic>
              </a:graphicData>
            </a:graphic>
          </wp:inline>
        </w:drawing>
      </w:r>
    </w:p>
    <w:p w14:paraId="2312A6CA" w14:textId="77777777" w:rsidR="004F3536" w:rsidRDefault="004F3536" w:rsidP="0040041C">
      <w:pPr>
        <w:spacing w:line="360" w:lineRule="auto"/>
        <w:jc w:val="both"/>
      </w:pPr>
    </w:p>
    <w:p w14:paraId="48D2E9A4" w14:textId="77777777" w:rsidR="007F7742" w:rsidRDefault="007F7742" w:rsidP="007F7742">
      <w:pPr>
        <w:pStyle w:val="Heading2"/>
        <w:numPr>
          <w:ilvl w:val="2"/>
          <w:numId w:val="5"/>
        </w:numPr>
        <w:spacing w:line="360" w:lineRule="auto"/>
        <w:rPr>
          <w:rFonts w:cs="Times New Roman"/>
          <w:b/>
          <w:bCs/>
          <w:sz w:val="22"/>
          <w:szCs w:val="22"/>
        </w:rPr>
      </w:pPr>
      <w:bookmarkStart w:id="87" w:name="_Toc213748944"/>
      <w:r w:rsidRPr="00AF4A09">
        <w:rPr>
          <w:rFonts w:cs="Times New Roman"/>
          <w:b/>
          <w:bCs/>
          <w:sz w:val="22"/>
          <w:szCs w:val="22"/>
        </w:rPr>
        <w:t>Methodology Limitation</w:t>
      </w:r>
      <w:bookmarkEnd w:id="87"/>
    </w:p>
    <w:p w14:paraId="7FD6073A" w14:textId="77777777" w:rsidR="002065FE" w:rsidRDefault="00F16342" w:rsidP="002065FE">
      <w:pPr>
        <w:pStyle w:val="ListParagraph"/>
        <w:spacing w:line="360" w:lineRule="auto"/>
        <w:jc w:val="both"/>
        <w:rPr>
          <w:rFonts w:cs="Times New Roman"/>
          <w:szCs w:val="22"/>
        </w:rPr>
      </w:pPr>
      <w:r w:rsidRPr="00915260">
        <w:rPr>
          <w:rFonts w:cs="Times New Roman"/>
          <w:szCs w:val="22"/>
        </w:rPr>
        <w:t>Despite the rigorous approach taken in this study, several methodological limitations should be acknowledged. These limitations may affect the generalizability, validity, and interpretation of the research findings.</w:t>
      </w:r>
      <w:r w:rsidR="00A06339" w:rsidRPr="00915260">
        <w:rPr>
          <w:rFonts w:cs="Times New Roman"/>
          <w:szCs w:val="22"/>
        </w:rPr>
        <w:t xml:space="preserve"> A primary limitation arises from the use of snowball sampling, a non-probability technique. While efficient for accessing participants within niche or hard-to-reach populations, snowball sampling is susceptible to selection bias and lack of control over sample size and composition. Recruitment through social networks may result in a sample that is overrepresented by certain subgroups and underrepresents or </w:t>
      </w:r>
      <w:r w:rsidR="007C72E0" w:rsidRPr="00915260">
        <w:rPr>
          <w:rFonts w:cs="Times New Roman"/>
          <w:szCs w:val="22"/>
        </w:rPr>
        <w:t>excluding</w:t>
      </w:r>
      <w:r w:rsidR="00A06339" w:rsidRPr="00915260">
        <w:rPr>
          <w:rFonts w:cs="Times New Roman"/>
          <w:szCs w:val="22"/>
        </w:rPr>
        <w:t xml:space="preserve"> others, limiting the diversity and representativeness of the sample</w:t>
      </w:r>
      <w:r w:rsidR="00C03EE1" w:rsidRPr="00915260">
        <w:rPr>
          <w:rFonts w:cs="Times New Roman"/>
          <w:szCs w:val="22"/>
        </w:rPr>
        <w:t xml:space="preserve"> (Ting et al., 2025)</w:t>
      </w:r>
      <w:r w:rsidR="007C72E0" w:rsidRPr="00915260">
        <w:rPr>
          <w:rFonts w:cs="Times New Roman"/>
          <w:szCs w:val="22"/>
        </w:rPr>
        <w:t>. Consequently, the findings cannot be confidently generalized to the broader population of instant coffee consumers in Hong Kong. Additionally, this approach does not allow for accurate calculation of response rates, further complicating the assessment of sample representativeness.</w:t>
      </w:r>
    </w:p>
    <w:p w14:paraId="3398B849" w14:textId="77777777" w:rsidR="002065FE" w:rsidRDefault="00BA5610" w:rsidP="002065FE">
      <w:pPr>
        <w:pStyle w:val="ListParagraph"/>
        <w:spacing w:line="360" w:lineRule="auto"/>
        <w:jc w:val="both"/>
        <w:rPr>
          <w:rFonts w:cs="Times New Roman"/>
          <w:szCs w:val="22"/>
        </w:rPr>
      </w:pPr>
      <w:r w:rsidRPr="00915260">
        <w:rPr>
          <w:rFonts w:cs="Times New Roman"/>
          <w:szCs w:val="22"/>
        </w:rPr>
        <w:t xml:space="preserve">The reliance on self-reported data introduces another set of limitations. Participants may provide responses influenced by social desirability bias, memory recall issues, or misunderstandings of survey questions, potentially leading to inaccuracies or distortions in the data. For example, respondents may inadvertently report behaviors or attitudes they perceive as more socially acceptable rather than </w:t>
      </w:r>
      <w:r w:rsidR="00E6046F">
        <w:rPr>
          <w:rFonts w:cs="Times New Roman" w:hint="eastAsia"/>
          <w:szCs w:val="22"/>
        </w:rPr>
        <w:t>the</w:t>
      </w:r>
      <w:r w:rsidRPr="00915260">
        <w:rPr>
          <w:rFonts w:cs="Times New Roman"/>
          <w:szCs w:val="22"/>
        </w:rPr>
        <w:t xml:space="preserve"> true beliefs or practices. Such constraints can ultimately affect the reliability and validity of the study's conclusions</w:t>
      </w:r>
      <w:r w:rsidR="00F5277A" w:rsidRPr="00915260">
        <w:rPr>
          <w:rFonts w:cs="Times New Roman"/>
          <w:szCs w:val="22"/>
        </w:rPr>
        <w:t xml:space="preserve"> (Wilson Van Voorhis and Morgan, 2007)</w:t>
      </w:r>
      <w:r w:rsidRPr="00915260">
        <w:rPr>
          <w:rFonts w:cs="Times New Roman"/>
          <w:szCs w:val="22"/>
        </w:rPr>
        <w:t>.</w:t>
      </w:r>
      <w:r w:rsidR="002065FE">
        <w:rPr>
          <w:rFonts w:cs="Times New Roman"/>
          <w:szCs w:val="22"/>
        </w:rPr>
        <w:t xml:space="preserve"> </w:t>
      </w:r>
    </w:p>
    <w:p w14:paraId="2B12F18E" w14:textId="323197C9" w:rsidR="00984640" w:rsidRPr="00915260" w:rsidRDefault="00984640" w:rsidP="002065FE">
      <w:pPr>
        <w:pStyle w:val="ListParagraph"/>
        <w:spacing w:line="360" w:lineRule="auto"/>
        <w:jc w:val="both"/>
        <w:rPr>
          <w:rFonts w:cs="Times New Roman"/>
          <w:szCs w:val="22"/>
        </w:rPr>
      </w:pPr>
      <w:r w:rsidRPr="00915260">
        <w:rPr>
          <w:rFonts w:cs="Times New Roman"/>
          <w:szCs w:val="22"/>
        </w:rPr>
        <w:t>The study’s findings reflect the specific cultural, social, and economic context of Hong Kong in 2025. As such, generalizability to other regions or periods should be made with caution, especially considering that digital marketing practices and consumer sustainability attitudes evolve rapidly over time</w:t>
      </w:r>
      <w:r w:rsidR="006567EF" w:rsidRPr="00915260">
        <w:rPr>
          <w:rFonts w:cs="Times New Roman"/>
          <w:szCs w:val="22"/>
        </w:rPr>
        <w:t xml:space="preserve"> (Ross and Zaidi, 2019).</w:t>
      </w:r>
    </w:p>
    <w:p w14:paraId="3D7EF8E5" w14:textId="6110378A" w:rsidR="00103B4B" w:rsidRPr="008505A6" w:rsidRDefault="00103B4B" w:rsidP="008505A6">
      <w:pPr>
        <w:spacing w:line="360" w:lineRule="auto"/>
        <w:jc w:val="both"/>
        <w:rPr>
          <w:rFonts w:cs="Times New Roman"/>
          <w:szCs w:val="22"/>
        </w:rPr>
      </w:pPr>
      <w:bookmarkStart w:id="88" w:name="_Toc209184677"/>
    </w:p>
    <w:p w14:paraId="6458E0BC" w14:textId="27F52309" w:rsidR="008856BA" w:rsidRDefault="00A655E4" w:rsidP="00A655E4">
      <w:pPr>
        <w:pStyle w:val="Heading2"/>
        <w:numPr>
          <w:ilvl w:val="1"/>
          <w:numId w:val="5"/>
        </w:numPr>
        <w:spacing w:line="360" w:lineRule="auto"/>
        <w:ind w:left="450" w:hanging="450"/>
        <w:jc w:val="both"/>
        <w:rPr>
          <w:rFonts w:cs="Times New Roman"/>
          <w:b/>
          <w:bCs/>
          <w:sz w:val="22"/>
          <w:szCs w:val="22"/>
        </w:rPr>
      </w:pPr>
      <w:bookmarkStart w:id="89" w:name="_Toc213748945"/>
      <w:bookmarkEnd w:id="88"/>
      <w:r w:rsidRPr="00A655E4">
        <w:rPr>
          <w:rFonts w:cs="Times New Roman"/>
          <w:b/>
          <w:bCs/>
          <w:sz w:val="22"/>
          <w:szCs w:val="22"/>
        </w:rPr>
        <w:t>Validity, Reliability, and Ethical Considerations</w:t>
      </w:r>
      <w:bookmarkEnd w:id="89"/>
    </w:p>
    <w:p w14:paraId="18E231A6" w14:textId="58C6804B" w:rsidR="00A655E4" w:rsidRDefault="00570959" w:rsidP="00570959">
      <w:pPr>
        <w:spacing w:line="360" w:lineRule="auto"/>
        <w:jc w:val="both"/>
      </w:pPr>
      <w:r w:rsidRPr="00570959">
        <w:t>Questionnaire reliability is validated through pilot testing and analysis of Cronbach's Alpha coefficients, ensuring all construct reliabilities exceed the 0.7 threshold (Nunnally, 1978). Such internal consistency is fundamental for the empirical robustness of the regression and correlation analyses that underpin the quantitative results. Construct validity is reinforced by drawing survey items from widely used, literature-backed frameworks, with cross-cultural and linguistic adaptation to the Hong Kong market context.</w:t>
      </w:r>
    </w:p>
    <w:p w14:paraId="14860A5C" w14:textId="77777777" w:rsidR="00570959" w:rsidRDefault="00570959" w:rsidP="00570959">
      <w:pPr>
        <w:spacing w:line="360" w:lineRule="auto"/>
        <w:jc w:val="both"/>
      </w:pPr>
      <w:r>
        <w:t>Statistical analysis is conducted using IBM SPSS, involving descriptive analyses, reliability tests, Pearson’s correlation, and regression modeling. Each analytical step is aligned with best practices as outlined in Field (2024), ensuring that data interpretation remains transparent and statistically sound.</w:t>
      </w:r>
    </w:p>
    <w:p w14:paraId="5BC30401" w14:textId="6A0178CB" w:rsidR="00570959" w:rsidRDefault="00570959" w:rsidP="00570959">
      <w:pPr>
        <w:spacing w:line="360" w:lineRule="auto"/>
        <w:jc w:val="both"/>
      </w:pPr>
      <w:r>
        <w:t>Ethically, the research adheres to UWTSD and MBA-level standards, maintaining participant confidentiality, informed consent, and right to withdraw. Data is reported via anonymized, aggregate summaries, and the study was registered and approved through relevant university dissertation protocols.</w:t>
      </w:r>
    </w:p>
    <w:p w14:paraId="1D8C9F8B" w14:textId="77777777" w:rsidR="00570959" w:rsidRPr="00A655E4" w:rsidRDefault="00570959" w:rsidP="00570959">
      <w:pPr>
        <w:spacing w:line="360" w:lineRule="auto"/>
        <w:jc w:val="both"/>
      </w:pPr>
    </w:p>
    <w:p w14:paraId="086DDE86" w14:textId="0ED6DFEB" w:rsidR="005D191A" w:rsidRPr="00915260" w:rsidRDefault="00754EF5" w:rsidP="004F76CE">
      <w:pPr>
        <w:pStyle w:val="Heading2"/>
        <w:numPr>
          <w:ilvl w:val="1"/>
          <w:numId w:val="5"/>
        </w:numPr>
        <w:spacing w:line="360" w:lineRule="auto"/>
        <w:ind w:left="450" w:hanging="450"/>
        <w:jc w:val="both"/>
        <w:rPr>
          <w:rFonts w:cs="Times New Roman"/>
          <w:b/>
          <w:bCs/>
          <w:sz w:val="22"/>
          <w:szCs w:val="22"/>
        </w:rPr>
      </w:pPr>
      <w:bookmarkStart w:id="90" w:name="_Toc213748946"/>
      <w:r w:rsidRPr="00915260">
        <w:rPr>
          <w:rFonts w:cs="Times New Roman"/>
          <w:b/>
          <w:bCs/>
          <w:sz w:val="22"/>
          <w:szCs w:val="22"/>
        </w:rPr>
        <w:t>Concluding Summary</w:t>
      </w:r>
      <w:bookmarkEnd w:id="90"/>
    </w:p>
    <w:p w14:paraId="783C4565" w14:textId="0CFF8992" w:rsidR="00890BE8" w:rsidRDefault="00DC57D4" w:rsidP="00103B4B">
      <w:pPr>
        <w:spacing w:line="360" w:lineRule="auto"/>
        <w:jc w:val="both"/>
        <w:rPr>
          <w:rFonts w:cs="Times New Roman"/>
          <w:szCs w:val="22"/>
        </w:rPr>
      </w:pPr>
      <w:r w:rsidRPr="00DC57D4">
        <w:rPr>
          <w:rFonts w:cs="Times New Roman"/>
          <w:szCs w:val="22"/>
        </w:rPr>
        <w:t>Chapter 3 established the study’s methodological rigor by outlining the method</w:t>
      </w:r>
      <w:r w:rsidR="00DE67CA">
        <w:rPr>
          <w:rFonts w:cs="Times New Roman"/>
          <w:szCs w:val="22"/>
        </w:rPr>
        <w:t>ology</w:t>
      </w:r>
      <w:r w:rsidRPr="00DC57D4">
        <w:rPr>
          <w:rFonts w:cs="Times New Roman"/>
          <w:szCs w:val="22"/>
        </w:rPr>
        <w:t xml:space="preserve"> approach used to investigate consumer purchase intention. The research design integrated qualitative and quantitative techniques, ensuring comprehensive data collection and robust analysis. Careful attention was paid to questionnaire reliability and validity, validated through pilot testing and refinement. Sampling strategies and data analysis methods, including descriptive statistics and regression analysis, were clearly defined, enhancing the study’s credibility. Together, these procedures provided a solid foundation for exploring the relationships between social media marketin</w:t>
      </w:r>
      <w:r w:rsidR="00DE67CA">
        <w:rPr>
          <w:rFonts w:cs="Times New Roman"/>
          <w:szCs w:val="22"/>
        </w:rPr>
        <w:t xml:space="preserve">g activities, environmental conscious, </w:t>
      </w:r>
      <w:r w:rsidRPr="00DC57D4">
        <w:rPr>
          <w:rFonts w:cs="Times New Roman"/>
          <w:szCs w:val="22"/>
        </w:rPr>
        <w:t>brand trust, sustainability, and purchase intention in subsequent chapters.</w:t>
      </w:r>
    </w:p>
    <w:p w14:paraId="424D5A30" w14:textId="77777777" w:rsidR="00890BE8" w:rsidRDefault="00890BE8">
      <w:pPr>
        <w:rPr>
          <w:rFonts w:cs="Times New Roman"/>
          <w:szCs w:val="22"/>
        </w:rPr>
      </w:pPr>
      <w:r>
        <w:rPr>
          <w:rFonts w:cs="Times New Roman"/>
          <w:szCs w:val="22"/>
        </w:rPr>
        <w:br w:type="page"/>
      </w:r>
    </w:p>
    <w:p w14:paraId="69C08003" w14:textId="632A5C7A" w:rsidR="000763BA" w:rsidRPr="00912E3B" w:rsidRDefault="000763BA" w:rsidP="000763BA">
      <w:pPr>
        <w:pStyle w:val="Heading"/>
        <w:numPr>
          <w:ilvl w:val="0"/>
          <w:numId w:val="5"/>
        </w:numPr>
        <w:spacing w:line="360" w:lineRule="auto"/>
        <w:jc w:val="both"/>
        <w:rPr>
          <w:rFonts w:cs="Times New Roman"/>
          <w:szCs w:val="28"/>
        </w:rPr>
      </w:pPr>
      <w:bookmarkStart w:id="91" w:name="_Toc213748947"/>
      <w:r w:rsidRPr="00912E3B">
        <w:rPr>
          <w:rFonts w:cs="Times New Roman"/>
          <w:szCs w:val="28"/>
        </w:rPr>
        <w:lastRenderedPageBreak/>
        <w:t>Research Results and Analysis</w:t>
      </w:r>
      <w:bookmarkEnd w:id="91"/>
    </w:p>
    <w:p w14:paraId="1429AC0D" w14:textId="1D0F91F5" w:rsidR="00B97484" w:rsidRDefault="000F570A" w:rsidP="00B50685">
      <w:pPr>
        <w:spacing w:line="360" w:lineRule="auto"/>
        <w:jc w:val="both"/>
        <w:rPr>
          <w:rFonts w:cs="Times New Roman"/>
          <w:szCs w:val="22"/>
        </w:rPr>
      </w:pPr>
      <w:r>
        <w:rPr>
          <w:rFonts w:cs="Times New Roman" w:hint="eastAsia"/>
          <w:szCs w:val="22"/>
        </w:rPr>
        <w:t>This chapter</w:t>
      </w:r>
      <w:r w:rsidR="00E440EE" w:rsidRPr="00E440EE">
        <w:rPr>
          <w:rFonts w:cs="Times New Roman"/>
          <w:szCs w:val="22"/>
        </w:rPr>
        <w:t xml:space="preserve"> presents a comprehensive analysis of the research data collected from the target sample using a systematic and statistically rigorous process. The raw data obtained from the finalized questionnaire </w:t>
      </w:r>
      <w:r w:rsidR="00816E53" w:rsidRPr="00E440EE">
        <w:rPr>
          <w:rFonts w:cs="Times New Roman"/>
          <w:szCs w:val="22"/>
        </w:rPr>
        <w:t>was</w:t>
      </w:r>
      <w:r w:rsidR="00E440EE" w:rsidRPr="00E440EE">
        <w:rPr>
          <w:rFonts w:cs="Times New Roman"/>
          <w:szCs w:val="22"/>
        </w:rPr>
        <w:t xml:space="preserve"> imported into IBM SPSS, enabling a robust transformation of numerical responses into graphical representations and summary tables. This method facilitates not only a more intuitive visual understanding but also deeper statistical analysis of the sample’s core characteristics and research variables.</w:t>
      </w:r>
    </w:p>
    <w:p w14:paraId="6B3AC90F" w14:textId="77777777" w:rsidR="00216857" w:rsidRDefault="00216857" w:rsidP="00B50685">
      <w:pPr>
        <w:spacing w:line="360" w:lineRule="auto"/>
        <w:jc w:val="both"/>
        <w:rPr>
          <w:rFonts w:cs="Times New Roman"/>
          <w:szCs w:val="22"/>
        </w:rPr>
      </w:pPr>
    </w:p>
    <w:p w14:paraId="14426381" w14:textId="62F6A5CF" w:rsidR="00B97484" w:rsidRPr="00915260" w:rsidRDefault="00216857" w:rsidP="00B97484">
      <w:pPr>
        <w:pStyle w:val="Heading2"/>
        <w:numPr>
          <w:ilvl w:val="1"/>
          <w:numId w:val="5"/>
        </w:numPr>
        <w:spacing w:line="360" w:lineRule="auto"/>
        <w:ind w:left="450" w:hanging="450"/>
        <w:jc w:val="both"/>
        <w:rPr>
          <w:rFonts w:cs="Times New Roman"/>
          <w:b/>
          <w:bCs/>
          <w:sz w:val="22"/>
          <w:szCs w:val="22"/>
        </w:rPr>
      </w:pPr>
      <w:bookmarkStart w:id="92" w:name="_Toc213748948"/>
      <w:r w:rsidRPr="00216857">
        <w:rPr>
          <w:rFonts w:cs="Times New Roman"/>
          <w:b/>
          <w:bCs/>
          <w:sz w:val="22"/>
          <w:szCs w:val="22"/>
        </w:rPr>
        <w:t xml:space="preserve">Questionnaire </w:t>
      </w:r>
      <w:r w:rsidR="00C030B5">
        <w:rPr>
          <w:rFonts w:cs="Times New Roman" w:hint="eastAsia"/>
          <w:b/>
          <w:bCs/>
          <w:sz w:val="22"/>
          <w:szCs w:val="22"/>
        </w:rPr>
        <w:t>C</w:t>
      </w:r>
      <w:r w:rsidRPr="00216857">
        <w:rPr>
          <w:rFonts w:cs="Times New Roman"/>
          <w:b/>
          <w:bCs/>
          <w:sz w:val="22"/>
          <w:szCs w:val="22"/>
        </w:rPr>
        <w:t xml:space="preserve">ollection </w:t>
      </w:r>
      <w:r w:rsidR="00C030B5">
        <w:rPr>
          <w:rFonts w:cs="Times New Roman" w:hint="eastAsia"/>
          <w:b/>
          <w:bCs/>
          <w:sz w:val="22"/>
          <w:szCs w:val="22"/>
        </w:rPr>
        <w:t>M</w:t>
      </w:r>
      <w:r w:rsidRPr="00216857">
        <w:rPr>
          <w:rFonts w:cs="Times New Roman"/>
          <w:b/>
          <w:bCs/>
          <w:sz w:val="22"/>
          <w:szCs w:val="22"/>
        </w:rPr>
        <w:t>ethods</w:t>
      </w:r>
      <w:bookmarkEnd w:id="92"/>
    </w:p>
    <w:p w14:paraId="5AD85FE2" w14:textId="0CEA8CBE" w:rsidR="00664FE3" w:rsidRDefault="00E440EE" w:rsidP="00B50685">
      <w:pPr>
        <w:spacing w:line="360" w:lineRule="auto"/>
        <w:jc w:val="both"/>
        <w:rPr>
          <w:rFonts w:cs="Times New Roman"/>
          <w:szCs w:val="22"/>
        </w:rPr>
      </w:pPr>
      <w:r w:rsidRPr="00E440EE">
        <w:rPr>
          <w:rFonts w:cs="Times New Roman"/>
          <w:szCs w:val="22"/>
        </w:rPr>
        <w:t xml:space="preserve">The questionnaire was distributed online using Google Forms from July 1 to July 31, 2025. </w:t>
      </w:r>
      <w:r w:rsidR="00C030B5" w:rsidRPr="00E440EE">
        <w:rPr>
          <w:rFonts w:cs="Times New Roman"/>
          <w:szCs w:val="22"/>
        </w:rPr>
        <w:t xml:space="preserve">a reminder was issued </w:t>
      </w:r>
      <w:r w:rsidR="00C030B5">
        <w:rPr>
          <w:rFonts w:cs="Times New Roman" w:hint="eastAsia"/>
          <w:szCs w:val="22"/>
        </w:rPr>
        <w:t>o</w:t>
      </w:r>
      <w:r w:rsidRPr="00E440EE">
        <w:rPr>
          <w:rFonts w:cs="Times New Roman"/>
          <w:szCs w:val="22"/>
        </w:rPr>
        <w:t xml:space="preserve">n July 15, </w:t>
      </w:r>
      <w:r w:rsidR="00C030B5" w:rsidRPr="00E440EE">
        <w:rPr>
          <w:rFonts w:cs="Times New Roman"/>
          <w:szCs w:val="22"/>
        </w:rPr>
        <w:t>2025,</w:t>
      </w:r>
      <w:r w:rsidR="00C030B5">
        <w:rPr>
          <w:rFonts w:cs="Times New Roman" w:hint="eastAsia"/>
          <w:szCs w:val="22"/>
        </w:rPr>
        <w:t xml:space="preserve"> </w:t>
      </w:r>
      <w:r w:rsidRPr="00E440EE">
        <w:rPr>
          <w:rFonts w:cs="Times New Roman"/>
          <w:szCs w:val="22"/>
        </w:rPr>
        <w:t>to encourage additional responses. At the close of the data collection period, a total of 238 complete questionnaires were collected. This final sample size meets the minimum requirements specified by Green (1991) for multivariate analysis and demonstrates methodological adequacy for the study’s inferential objectives.</w:t>
      </w:r>
    </w:p>
    <w:p w14:paraId="35233834" w14:textId="77777777" w:rsidR="00E440EE" w:rsidRPr="00915260" w:rsidRDefault="00E440EE" w:rsidP="00B50685">
      <w:pPr>
        <w:spacing w:line="360" w:lineRule="auto"/>
        <w:jc w:val="both"/>
        <w:rPr>
          <w:rFonts w:cs="Times New Roman"/>
          <w:szCs w:val="22"/>
        </w:rPr>
      </w:pPr>
    </w:p>
    <w:p w14:paraId="4B30698E" w14:textId="3ACCD435" w:rsidR="00B50685" w:rsidRPr="00915260" w:rsidRDefault="0084473F" w:rsidP="00B50685">
      <w:pPr>
        <w:pStyle w:val="Heading2"/>
        <w:numPr>
          <w:ilvl w:val="1"/>
          <w:numId w:val="5"/>
        </w:numPr>
        <w:spacing w:line="360" w:lineRule="auto"/>
        <w:ind w:left="450" w:hanging="450"/>
        <w:jc w:val="both"/>
        <w:rPr>
          <w:rFonts w:cs="Times New Roman"/>
          <w:b/>
          <w:bCs/>
          <w:sz w:val="22"/>
          <w:szCs w:val="22"/>
        </w:rPr>
      </w:pPr>
      <w:bookmarkStart w:id="93" w:name="_Toc213748949"/>
      <w:r w:rsidRPr="0084473F">
        <w:rPr>
          <w:rFonts w:cs="Times New Roman"/>
          <w:b/>
          <w:bCs/>
          <w:sz w:val="22"/>
          <w:szCs w:val="22"/>
        </w:rPr>
        <w:t>Descriptive Statistics on Demographic Information</w:t>
      </w:r>
      <w:bookmarkEnd w:id="93"/>
    </w:p>
    <w:p w14:paraId="54832F19" w14:textId="5736EA80" w:rsidR="00664FE3" w:rsidRDefault="00164F9B" w:rsidP="001B3361">
      <w:pPr>
        <w:spacing w:line="360" w:lineRule="auto"/>
        <w:jc w:val="both"/>
        <w:rPr>
          <w:rFonts w:cs="Times New Roman"/>
          <w:szCs w:val="22"/>
        </w:rPr>
      </w:pPr>
      <w:r>
        <w:rPr>
          <w:rFonts w:cs="Times New Roman" w:hint="eastAsia"/>
          <w:szCs w:val="22"/>
        </w:rPr>
        <w:t>T</w:t>
      </w:r>
      <w:r w:rsidR="00BF1475">
        <w:rPr>
          <w:rFonts w:cs="Times New Roman"/>
          <w:szCs w:val="22"/>
        </w:rPr>
        <w:t>he</w:t>
      </w:r>
      <w:r w:rsidR="008C1173" w:rsidRPr="008C1173">
        <w:rPr>
          <w:rFonts w:cs="Times New Roman"/>
          <w:szCs w:val="22"/>
        </w:rPr>
        <w:t xml:space="preserve"> overview of the </w:t>
      </w:r>
      <w:r>
        <w:rPr>
          <w:rFonts w:cs="Times New Roman" w:hint="eastAsia"/>
          <w:szCs w:val="22"/>
        </w:rPr>
        <w:t>demographic</w:t>
      </w:r>
      <w:r w:rsidR="00BF1475">
        <w:rPr>
          <w:rFonts w:cs="Times New Roman"/>
          <w:szCs w:val="22"/>
        </w:rPr>
        <w:t xml:space="preserve"> descriptive </w:t>
      </w:r>
      <w:r>
        <w:rPr>
          <w:rFonts w:cs="Times New Roman" w:hint="eastAsia"/>
          <w:szCs w:val="22"/>
        </w:rPr>
        <w:t>analysis</w:t>
      </w:r>
      <w:r w:rsidR="008C1173" w:rsidRPr="008C1173">
        <w:rPr>
          <w:rFonts w:cs="Times New Roman"/>
          <w:szCs w:val="22"/>
        </w:rPr>
        <w:t xml:space="preserve"> of the respondents. The sample consisted of 238 respondents</w:t>
      </w:r>
      <w:r w:rsidR="00EA2108">
        <w:rPr>
          <w:rFonts w:cs="Times New Roman"/>
          <w:szCs w:val="22"/>
        </w:rPr>
        <w:t>.</w:t>
      </w:r>
    </w:p>
    <w:p w14:paraId="503381B7" w14:textId="333A01DD" w:rsidR="00AC472A" w:rsidRPr="008F38BF" w:rsidRDefault="00AC472A" w:rsidP="00AC472A">
      <w:pPr>
        <w:pStyle w:val="ListParagraph"/>
        <w:numPr>
          <w:ilvl w:val="2"/>
          <w:numId w:val="5"/>
        </w:numPr>
        <w:spacing w:line="360" w:lineRule="auto"/>
        <w:jc w:val="both"/>
        <w:rPr>
          <w:rFonts w:cs="Times New Roman"/>
          <w:b/>
          <w:bCs/>
          <w:szCs w:val="22"/>
        </w:rPr>
      </w:pPr>
      <w:r w:rsidRPr="008F38BF">
        <w:rPr>
          <w:rFonts w:cs="Times New Roman"/>
          <w:b/>
          <w:bCs/>
          <w:szCs w:val="22"/>
        </w:rPr>
        <w:t>Gender Distribution</w:t>
      </w:r>
    </w:p>
    <w:p w14:paraId="57A9057B" w14:textId="7957B2DA" w:rsidR="000F570A" w:rsidRDefault="00083000" w:rsidP="008F38BF">
      <w:pPr>
        <w:spacing w:line="360" w:lineRule="auto"/>
        <w:ind w:left="720"/>
        <w:jc w:val="both"/>
        <w:rPr>
          <w:rFonts w:cs="Times New Roman"/>
          <w:szCs w:val="22"/>
        </w:rPr>
      </w:pPr>
      <w:r>
        <w:rPr>
          <w:rFonts w:cs="Times New Roman"/>
          <w:szCs w:val="22"/>
        </w:rPr>
        <w:t>Figure 4.</w:t>
      </w:r>
      <w:r w:rsidR="002D26FF">
        <w:rPr>
          <w:rFonts w:cs="Times New Roman" w:hint="eastAsia"/>
          <w:szCs w:val="22"/>
        </w:rPr>
        <w:t>2</w:t>
      </w:r>
      <w:r>
        <w:rPr>
          <w:rFonts w:cs="Times New Roman"/>
          <w:szCs w:val="22"/>
        </w:rPr>
        <w:t xml:space="preserve">.1 </w:t>
      </w:r>
      <w:r w:rsidR="000F570A" w:rsidRPr="000F570A">
        <w:rPr>
          <w:rFonts w:cs="Times New Roman"/>
          <w:szCs w:val="22"/>
        </w:rPr>
        <w:t>shows a sample consisting of 238 individuals, with a higher proportion of female participants compared to male participants.</w:t>
      </w:r>
    </w:p>
    <w:p w14:paraId="3729E764" w14:textId="703F093F" w:rsidR="008F38BF" w:rsidRDefault="00437783" w:rsidP="008F38BF">
      <w:pPr>
        <w:spacing w:line="360" w:lineRule="auto"/>
        <w:ind w:left="720"/>
        <w:jc w:val="both"/>
        <w:rPr>
          <w:rFonts w:cs="Times New Roman"/>
          <w:szCs w:val="22"/>
        </w:rPr>
      </w:pPr>
      <w:r w:rsidRPr="00437783">
        <w:rPr>
          <w:rFonts w:cs="Times New Roman"/>
          <w:noProof/>
          <w:szCs w:val="22"/>
        </w:rPr>
        <w:drawing>
          <wp:inline distT="0" distB="0" distL="0" distR="0" wp14:anchorId="33871869" wp14:editId="58383184">
            <wp:extent cx="3485760" cy="2463855"/>
            <wp:effectExtent l="0" t="0" r="635" b="0"/>
            <wp:docPr id="2020290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290816" name=""/>
                    <pic:cNvPicPr/>
                  </pic:nvPicPr>
                  <pic:blipFill>
                    <a:blip r:embed="rId41"/>
                    <a:stretch>
                      <a:fillRect/>
                    </a:stretch>
                  </pic:blipFill>
                  <pic:spPr>
                    <a:xfrm>
                      <a:off x="0" y="0"/>
                      <a:ext cx="3505481" cy="2477795"/>
                    </a:xfrm>
                    <a:prstGeom prst="rect">
                      <a:avLst/>
                    </a:prstGeom>
                  </pic:spPr>
                </pic:pic>
              </a:graphicData>
            </a:graphic>
          </wp:inline>
        </w:drawing>
      </w:r>
    </w:p>
    <w:p w14:paraId="2C22E9E0" w14:textId="1D393BDC" w:rsidR="00F84382" w:rsidRDefault="000F570A" w:rsidP="008F38BF">
      <w:pPr>
        <w:spacing w:line="360" w:lineRule="auto"/>
        <w:ind w:left="720"/>
        <w:jc w:val="both"/>
        <w:rPr>
          <w:rFonts w:cs="Times New Roman"/>
          <w:szCs w:val="22"/>
        </w:rPr>
      </w:pPr>
      <w:r>
        <w:rPr>
          <w:rFonts w:cs="Times New Roman" w:hint="eastAsia"/>
          <w:szCs w:val="22"/>
        </w:rPr>
        <w:t>Tab</w:t>
      </w:r>
      <w:r w:rsidR="00983E7B">
        <w:rPr>
          <w:rFonts w:cs="Times New Roman"/>
          <w:szCs w:val="22"/>
        </w:rPr>
        <w:t>l</w:t>
      </w:r>
      <w:r>
        <w:rPr>
          <w:rFonts w:cs="Times New Roman" w:hint="eastAsia"/>
          <w:szCs w:val="22"/>
        </w:rPr>
        <w:t xml:space="preserve">e 4.2.1 shows </w:t>
      </w:r>
      <w:r>
        <w:rPr>
          <w:rFonts w:cs="Times New Roman"/>
          <w:szCs w:val="22"/>
        </w:rPr>
        <w:t>r</w:t>
      </w:r>
      <w:r w:rsidRPr="005E31A6">
        <w:rPr>
          <w:rFonts w:cs="Times New Roman"/>
          <w:szCs w:val="22"/>
        </w:rPr>
        <w:t xml:space="preserve">espondents were 42.02% male and 57.98% female, slightly underrepresenting males and overrepresenting females compared to Hong Kong’s mid-2025 population benchmarks of 45.43% male </w:t>
      </w:r>
      <w:r w:rsidRPr="005E31A6">
        <w:rPr>
          <w:rFonts w:cs="Times New Roman"/>
          <w:szCs w:val="22"/>
        </w:rPr>
        <w:lastRenderedPageBreak/>
        <w:t xml:space="preserve">and 54.57% female. </w:t>
      </w:r>
      <w:r>
        <w:rPr>
          <w:rFonts w:cs="Times New Roman"/>
          <w:szCs w:val="22"/>
        </w:rPr>
        <w:t>The difference showed in Table 4.</w:t>
      </w:r>
      <w:r>
        <w:rPr>
          <w:rFonts w:cs="Times New Roman" w:hint="eastAsia"/>
          <w:szCs w:val="22"/>
        </w:rPr>
        <w:t>2</w:t>
      </w:r>
      <w:r>
        <w:rPr>
          <w:rFonts w:cs="Times New Roman"/>
          <w:szCs w:val="22"/>
        </w:rPr>
        <w:t>.1, t</w:t>
      </w:r>
      <w:r w:rsidRPr="005E31A6">
        <w:rPr>
          <w:rFonts w:cs="Times New Roman"/>
          <w:szCs w:val="22"/>
        </w:rPr>
        <w:t>his minor skew is typical in consumer research, especially surveys where women may be more likely to participate.</w:t>
      </w:r>
      <w:r>
        <w:rPr>
          <w:rFonts w:cs="Times New Roman" w:hint="eastAsia"/>
          <w:szCs w:val="22"/>
        </w:rPr>
        <w:t xml:space="preserve"> </w:t>
      </w:r>
      <w:r w:rsidRPr="00ED75DC">
        <w:rPr>
          <w:rFonts w:cs="Times New Roman"/>
          <w:szCs w:val="22"/>
        </w:rPr>
        <w:t>Such discrepancies are common in consumer research, especially in questionnaire-based studies, due to potential differences in willingness to participate across genders and sampling frame effects (Bryman, 2016; Saunders et al., 2019).</w:t>
      </w:r>
    </w:p>
    <w:p w14:paraId="2F06590D" w14:textId="047473C0" w:rsidR="008F38BF" w:rsidRDefault="00437783" w:rsidP="008F38BF">
      <w:pPr>
        <w:spacing w:line="360" w:lineRule="auto"/>
        <w:ind w:left="720"/>
        <w:jc w:val="both"/>
        <w:rPr>
          <w:rFonts w:cs="Times New Roman"/>
          <w:szCs w:val="22"/>
        </w:rPr>
      </w:pPr>
      <w:r w:rsidRPr="00437783">
        <w:rPr>
          <w:rFonts w:cs="Times New Roman"/>
          <w:noProof/>
          <w:szCs w:val="22"/>
        </w:rPr>
        <w:drawing>
          <wp:inline distT="0" distB="0" distL="0" distR="0" wp14:anchorId="02894EFE" wp14:editId="0182C73D">
            <wp:extent cx="5284053" cy="1111170"/>
            <wp:effectExtent l="0" t="0" r="0" b="0"/>
            <wp:docPr id="744013798"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013798" name="Picture 1" descr="A screenshot of a document&#10;&#10;AI-generated content may be incorrect."/>
                    <pic:cNvPicPr/>
                  </pic:nvPicPr>
                  <pic:blipFill>
                    <a:blip r:embed="rId42"/>
                    <a:stretch>
                      <a:fillRect/>
                    </a:stretch>
                  </pic:blipFill>
                  <pic:spPr>
                    <a:xfrm>
                      <a:off x="0" y="0"/>
                      <a:ext cx="5312723" cy="1117199"/>
                    </a:xfrm>
                    <a:prstGeom prst="rect">
                      <a:avLst/>
                    </a:prstGeom>
                  </pic:spPr>
                </pic:pic>
              </a:graphicData>
            </a:graphic>
          </wp:inline>
        </w:drawing>
      </w:r>
    </w:p>
    <w:p w14:paraId="38555B0D" w14:textId="77777777" w:rsidR="00437783" w:rsidRPr="00437783" w:rsidRDefault="00437783" w:rsidP="00437783">
      <w:pPr>
        <w:spacing w:line="360" w:lineRule="auto"/>
        <w:jc w:val="both"/>
        <w:rPr>
          <w:rFonts w:cs="Times New Roman"/>
          <w:b/>
          <w:bCs/>
          <w:szCs w:val="22"/>
        </w:rPr>
      </w:pPr>
    </w:p>
    <w:p w14:paraId="4398356C" w14:textId="375AFAD4" w:rsidR="008F38BF" w:rsidRPr="008F38BF" w:rsidRDefault="009B4312" w:rsidP="008F38BF">
      <w:pPr>
        <w:pStyle w:val="ListParagraph"/>
        <w:numPr>
          <w:ilvl w:val="2"/>
          <w:numId w:val="5"/>
        </w:numPr>
        <w:spacing w:line="360" w:lineRule="auto"/>
        <w:jc w:val="both"/>
        <w:rPr>
          <w:rFonts w:cs="Times New Roman"/>
          <w:b/>
          <w:bCs/>
          <w:szCs w:val="22"/>
        </w:rPr>
      </w:pPr>
      <w:r>
        <w:rPr>
          <w:rFonts w:cs="Times New Roman"/>
          <w:b/>
          <w:bCs/>
          <w:szCs w:val="22"/>
        </w:rPr>
        <w:t>Age Group</w:t>
      </w:r>
      <w:r w:rsidR="008F38BF" w:rsidRPr="008F38BF">
        <w:rPr>
          <w:rFonts w:cs="Times New Roman"/>
          <w:b/>
          <w:bCs/>
          <w:szCs w:val="22"/>
        </w:rPr>
        <w:t xml:space="preserve"> Distribution</w:t>
      </w:r>
    </w:p>
    <w:p w14:paraId="4B02C04D" w14:textId="779443F7" w:rsidR="008F38BF" w:rsidRDefault="00D41421" w:rsidP="00187709">
      <w:pPr>
        <w:spacing w:line="360" w:lineRule="auto"/>
        <w:ind w:left="720"/>
        <w:jc w:val="both"/>
        <w:rPr>
          <w:rFonts w:cs="Times New Roman"/>
          <w:szCs w:val="22"/>
        </w:rPr>
      </w:pPr>
      <w:r w:rsidRPr="00D41421">
        <w:rPr>
          <w:rFonts w:cs="Times New Roman"/>
          <w:szCs w:val="22"/>
        </w:rPr>
        <w:t>Most respondents in the survey are aged 35–44 and 45–54. These two groups make up the majority of the sample, while younger adults (15–24) and older adults (55+) have much fewer responses. The age group 25–34 matches closely with the overall Hong Kong population. This pattern reflects</w:t>
      </w:r>
      <w:r w:rsidR="00671F49">
        <w:rPr>
          <w:rFonts w:cs="Times New Roman"/>
          <w:szCs w:val="22"/>
        </w:rPr>
        <w:t xml:space="preserve"> </w:t>
      </w:r>
      <w:r w:rsidR="00671F49" w:rsidRPr="00671F49">
        <w:rPr>
          <w:rFonts w:cs="Times New Roman"/>
          <w:szCs w:val="22"/>
        </w:rPr>
        <w:t>the survey using a "snowball" sampling method, most respondents were friends, classmates, or relatives. As a result, certain age groups became overrepresented in the sample, leading to age bias in the survey results.</w:t>
      </w:r>
    </w:p>
    <w:p w14:paraId="60926818" w14:textId="229B08C7" w:rsidR="00491545" w:rsidRDefault="00F04573" w:rsidP="00187709">
      <w:pPr>
        <w:spacing w:line="360" w:lineRule="auto"/>
        <w:ind w:left="720"/>
        <w:jc w:val="both"/>
        <w:rPr>
          <w:rFonts w:cs="Times New Roman"/>
          <w:szCs w:val="22"/>
        </w:rPr>
      </w:pPr>
      <w:r w:rsidRPr="00F04573">
        <w:rPr>
          <w:rFonts w:cs="Times New Roman"/>
          <w:noProof/>
          <w:szCs w:val="22"/>
        </w:rPr>
        <w:drawing>
          <wp:inline distT="0" distB="0" distL="0" distR="0" wp14:anchorId="30AC8838" wp14:editId="1EB78758">
            <wp:extent cx="5467090" cy="1533646"/>
            <wp:effectExtent l="0" t="0" r="635" b="9525"/>
            <wp:docPr id="212140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403099" name=""/>
                    <pic:cNvPicPr/>
                  </pic:nvPicPr>
                  <pic:blipFill>
                    <a:blip r:embed="rId43"/>
                    <a:stretch>
                      <a:fillRect/>
                    </a:stretch>
                  </pic:blipFill>
                  <pic:spPr>
                    <a:xfrm>
                      <a:off x="0" y="0"/>
                      <a:ext cx="5486651" cy="1539133"/>
                    </a:xfrm>
                    <a:prstGeom prst="rect">
                      <a:avLst/>
                    </a:prstGeom>
                  </pic:spPr>
                </pic:pic>
              </a:graphicData>
            </a:graphic>
          </wp:inline>
        </w:drawing>
      </w:r>
    </w:p>
    <w:p w14:paraId="05A1BC5B" w14:textId="7123EF50" w:rsidR="00491545" w:rsidRPr="008F38BF" w:rsidRDefault="004A52F5" w:rsidP="00491545">
      <w:pPr>
        <w:pStyle w:val="ListParagraph"/>
        <w:numPr>
          <w:ilvl w:val="2"/>
          <w:numId w:val="5"/>
        </w:numPr>
        <w:spacing w:line="360" w:lineRule="auto"/>
        <w:jc w:val="both"/>
        <w:rPr>
          <w:rFonts w:cs="Times New Roman"/>
          <w:b/>
          <w:bCs/>
          <w:szCs w:val="22"/>
        </w:rPr>
      </w:pPr>
      <w:r>
        <w:rPr>
          <w:rFonts w:cs="Times New Roman"/>
          <w:b/>
          <w:bCs/>
          <w:szCs w:val="22"/>
        </w:rPr>
        <w:t>Education Level</w:t>
      </w:r>
      <w:r w:rsidR="00491545">
        <w:rPr>
          <w:rFonts w:cs="Times New Roman"/>
          <w:b/>
          <w:bCs/>
          <w:szCs w:val="22"/>
        </w:rPr>
        <w:t xml:space="preserve"> Group</w:t>
      </w:r>
      <w:r w:rsidR="00491545" w:rsidRPr="008F38BF">
        <w:rPr>
          <w:rFonts w:cs="Times New Roman"/>
          <w:b/>
          <w:bCs/>
          <w:szCs w:val="22"/>
        </w:rPr>
        <w:t xml:space="preserve"> Distribution</w:t>
      </w:r>
    </w:p>
    <w:p w14:paraId="1367271C" w14:textId="4F27F12B" w:rsidR="000C5AE5" w:rsidRDefault="00EF3EEC" w:rsidP="00EF3EEC">
      <w:pPr>
        <w:spacing w:line="360" w:lineRule="auto"/>
        <w:ind w:left="720"/>
        <w:jc w:val="both"/>
        <w:rPr>
          <w:rFonts w:cs="Times New Roman"/>
          <w:szCs w:val="22"/>
        </w:rPr>
      </w:pPr>
      <w:r w:rsidRPr="00EF3EEC">
        <w:rPr>
          <w:rFonts w:cs="Times New Roman"/>
          <w:szCs w:val="22"/>
        </w:rPr>
        <w:t>Table 4.</w:t>
      </w:r>
      <w:r w:rsidR="00B021A9">
        <w:rPr>
          <w:rFonts w:cs="Times New Roman"/>
          <w:szCs w:val="22"/>
        </w:rPr>
        <w:t>1</w:t>
      </w:r>
      <w:r w:rsidRPr="00EF3EEC">
        <w:rPr>
          <w:rFonts w:cs="Times New Roman"/>
          <w:szCs w:val="22"/>
        </w:rPr>
        <w:t>.3</w:t>
      </w:r>
      <w:r w:rsidR="00C917FA">
        <w:rPr>
          <w:rFonts w:cs="Times New Roman"/>
          <w:szCs w:val="22"/>
        </w:rPr>
        <w:t xml:space="preserve">, </w:t>
      </w:r>
      <w:r w:rsidR="00C917FA" w:rsidRPr="00C917FA">
        <w:rPr>
          <w:rFonts w:cs="Times New Roman"/>
          <w:szCs w:val="22"/>
        </w:rPr>
        <w:t>the survey most respondents have higher education levels compared to the general population in Hong Kong. Specifically, 42.26% hold a bachelor’s degree and 10.88% have a master’s degree or above</w:t>
      </w:r>
      <w:r w:rsidR="00C917FA">
        <w:rPr>
          <w:rFonts w:cs="Times New Roman"/>
          <w:szCs w:val="22"/>
        </w:rPr>
        <w:t xml:space="preserve">, </w:t>
      </w:r>
      <w:r w:rsidR="00C917FA" w:rsidRPr="00C917FA">
        <w:rPr>
          <w:rFonts w:cs="Times New Roman"/>
          <w:szCs w:val="22"/>
        </w:rPr>
        <w:t>much higher than the</w:t>
      </w:r>
      <w:r w:rsidR="00C917FA">
        <w:rPr>
          <w:rFonts w:cs="Times New Roman"/>
          <w:szCs w:val="22"/>
        </w:rPr>
        <w:t xml:space="preserve"> government</w:t>
      </w:r>
      <w:r w:rsidR="00C917FA" w:rsidRPr="00C917FA">
        <w:rPr>
          <w:rFonts w:cs="Times New Roman"/>
          <w:szCs w:val="22"/>
        </w:rPr>
        <w:t xml:space="preserve"> averages. Fewer respondents (26.36%) have only secondary school or below, which is much lower than the broader population. This difference can be explained by the snowball sampling method</w:t>
      </w:r>
      <w:r w:rsidR="00C917FA">
        <w:rPr>
          <w:rFonts w:cs="Times New Roman"/>
          <w:szCs w:val="22"/>
        </w:rPr>
        <w:t xml:space="preserve">, </w:t>
      </w:r>
      <w:r w:rsidR="00C917FA" w:rsidRPr="00C917FA">
        <w:rPr>
          <w:rFonts w:cs="Times New Roman"/>
          <w:szCs w:val="22"/>
        </w:rPr>
        <w:t>since participants were mainly friends, classmates, and relatives, they tended to be more educated, resulting in an education bias in the survey sample.</w:t>
      </w:r>
    </w:p>
    <w:p w14:paraId="7BC4C225" w14:textId="7F6037C6" w:rsidR="00CA4BCE" w:rsidRDefault="00CA4BCE" w:rsidP="00EF3EEC">
      <w:pPr>
        <w:spacing w:line="360" w:lineRule="auto"/>
        <w:ind w:left="720"/>
        <w:jc w:val="both"/>
        <w:rPr>
          <w:rFonts w:cs="Times New Roman"/>
          <w:szCs w:val="22"/>
        </w:rPr>
      </w:pPr>
      <w:r w:rsidRPr="00CA4BCE">
        <w:rPr>
          <w:rFonts w:cs="Times New Roman"/>
          <w:noProof/>
          <w:szCs w:val="22"/>
        </w:rPr>
        <w:lastRenderedPageBreak/>
        <w:drawing>
          <wp:inline distT="0" distB="0" distL="0" distR="0" wp14:anchorId="2948B392" wp14:editId="5BD65513">
            <wp:extent cx="5440504" cy="1219463"/>
            <wp:effectExtent l="0" t="0" r="8255" b="0"/>
            <wp:docPr id="2032804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04369" name=""/>
                    <pic:cNvPicPr/>
                  </pic:nvPicPr>
                  <pic:blipFill>
                    <a:blip r:embed="rId44"/>
                    <a:stretch>
                      <a:fillRect/>
                    </a:stretch>
                  </pic:blipFill>
                  <pic:spPr>
                    <a:xfrm>
                      <a:off x="0" y="0"/>
                      <a:ext cx="5463967" cy="1224722"/>
                    </a:xfrm>
                    <a:prstGeom prst="rect">
                      <a:avLst/>
                    </a:prstGeom>
                  </pic:spPr>
                </pic:pic>
              </a:graphicData>
            </a:graphic>
          </wp:inline>
        </w:drawing>
      </w:r>
    </w:p>
    <w:p w14:paraId="4DA45408" w14:textId="77777777" w:rsidR="00CA4BCE" w:rsidRPr="00CA4BCE" w:rsidRDefault="00CA4BCE" w:rsidP="00CA4BCE">
      <w:pPr>
        <w:spacing w:line="360" w:lineRule="auto"/>
        <w:jc w:val="both"/>
        <w:rPr>
          <w:rFonts w:cs="Times New Roman"/>
          <w:b/>
          <w:bCs/>
          <w:szCs w:val="22"/>
        </w:rPr>
      </w:pPr>
    </w:p>
    <w:p w14:paraId="6D7493F7" w14:textId="14F9B7A1" w:rsidR="0065544C" w:rsidRPr="008F38BF" w:rsidRDefault="00024A24" w:rsidP="0065544C">
      <w:pPr>
        <w:pStyle w:val="ListParagraph"/>
        <w:numPr>
          <w:ilvl w:val="2"/>
          <w:numId w:val="5"/>
        </w:numPr>
        <w:spacing w:line="360" w:lineRule="auto"/>
        <w:jc w:val="both"/>
        <w:rPr>
          <w:rFonts w:cs="Times New Roman"/>
          <w:b/>
          <w:bCs/>
          <w:szCs w:val="22"/>
        </w:rPr>
      </w:pPr>
      <w:r>
        <w:rPr>
          <w:rFonts w:cs="Times New Roman" w:hint="eastAsia"/>
          <w:b/>
          <w:bCs/>
          <w:szCs w:val="22"/>
        </w:rPr>
        <w:t xml:space="preserve">Monthly Personal </w:t>
      </w:r>
      <w:r w:rsidR="0065544C">
        <w:rPr>
          <w:rFonts w:cs="Times New Roman" w:hint="eastAsia"/>
          <w:b/>
          <w:bCs/>
          <w:szCs w:val="22"/>
        </w:rPr>
        <w:t>Income</w:t>
      </w:r>
      <w:r w:rsidR="0065544C">
        <w:rPr>
          <w:rFonts w:cs="Times New Roman"/>
          <w:b/>
          <w:bCs/>
          <w:szCs w:val="22"/>
        </w:rPr>
        <w:t xml:space="preserve"> Group</w:t>
      </w:r>
      <w:r w:rsidR="0065544C" w:rsidRPr="008F38BF">
        <w:rPr>
          <w:rFonts w:cs="Times New Roman"/>
          <w:b/>
          <w:bCs/>
          <w:szCs w:val="22"/>
        </w:rPr>
        <w:t xml:space="preserve"> Distribution</w:t>
      </w:r>
    </w:p>
    <w:p w14:paraId="00A0900A" w14:textId="2DDDF8BF" w:rsidR="00E62B14" w:rsidRDefault="00F74832" w:rsidP="0034366E">
      <w:pPr>
        <w:spacing w:line="360" w:lineRule="auto"/>
        <w:ind w:left="720"/>
        <w:jc w:val="both"/>
        <w:rPr>
          <w:rFonts w:cs="Times New Roman"/>
          <w:szCs w:val="22"/>
        </w:rPr>
      </w:pPr>
      <w:r w:rsidRPr="00F74832">
        <w:rPr>
          <w:rFonts w:cs="Times New Roman"/>
          <w:szCs w:val="22"/>
        </w:rPr>
        <w:t xml:space="preserve">Table 4.2.4 </w:t>
      </w:r>
      <w:r w:rsidR="0034366E" w:rsidRPr="0034366E">
        <w:rPr>
          <w:rFonts w:cs="Times New Roman"/>
          <w:szCs w:val="22"/>
        </w:rPr>
        <w:t xml:space="preserve">Respondents skew higher in income. Only 9.24% report earning less than HKD 10,000 (vs. 17.7% population), with 22.27% earning above HKD 50,000 (vs. 15.0% population). Those earning HKD 10,000–19,999 are underrepresented (7.56% vs. 27.00%), while the HKD 20,000–49,999 groups slightly exceed benchmark shares. </w:t>
      </w:r>
      <w:r w:rsidR="007F48BE" w:rsidRPr="007F48BE">
        <w:rPr>
          <w:rFonts w:cs="Times New Roman"/>
          <w:szCs w:val="22"/>
        </w:rPr>
        <w:t>There is a significant difference between the sample’s average income data and the figures reported by the Hong Kong government. This is mainly because the survey used a "snowball" sampling approach, resulting in groups with certain income levels being overrepresented or underrepresented in the sample. This method, relying on friends, classmates, and relatives, leads to income bias in the survey results.</w:t>
      </w:r>
    </w:p>
    <w:p w14:paraId="4EF35ACE" w14:textId="20F5FDE6" w:rsidR="002D26FF" w:rsidRDefault="00024A24" w:rsidP="00187709">
      <w:pPr>
        <w:spacing w:line="360" w:lineRule="auto"/>
        <w:ind w:left="720"/>
        <w:rPr>
          <w:rFonts w:cs="Times New Roman"/>
          <w:szCs w:val="22"/>
        </w:rPr>
      </w:pPr>
      <w:r w:rsidRPr="00024A24">
        <w:rPr>
          <w:noProof/>
        </w:rPr>
        <w:drawing>
          <wp:inline distT="0" distB="0" distL="0" distR="0" wp14:anchorId="13A88312" wp14:editId="47A27734">
            <wp:extent cx="5943600" cy="1558290"/>
            <wp:effectExtent l="0" t="0" r="0" b="3810"/>
            <wp:docPr id="11838326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1558290"/>
                    </a:xfrm>
                    <a:prstGeom prst="rect">
                      <a:avLst/>
                    </a:prstGeom>
                    <a:noFill/>
                    <a:ln>
                      <a:noFill/>
                    </a:ln>
                  </pic:spPr>
                </pic:pic>
              </a:graphicData>
            </a:graphic>
          </wp:inline>
        </w:drawing>
      </w:r>
    </w:p>
    <w:p w14:paraId="4A665D65" w14:textId="77777777" w:rsidR="00EC00BD" w:rsidRDefault="00EC00BD" w:rsidP="00187709">
      <w:pPr>
        <w:spacing w:line="360" w:lineRule="auto"/>
        <w:ind w:left="720"/>
        <w:rPr>
          <w:rFonts w:cs="Times New Roman"/>
          <w:szCs w:val="22"/>
        </w:rPr>
      </w:pPr>
    </w:p>
    <w:p w14:paraId="1B7F84DB" w14:textId="4A2FAA34" w:rsidR="0034366E" w:rsidRPr="00915260" w:rsidRDefault="0034366E" w:rsidP="0034366E">
      <w:pPr>
        <w:pStyle w:val="Heading2"/>
        <w:numPr>
          <w:ilvl w:val="1"/>
          <w:numId w:val="5"/>
        </w:numPr>
        <w:spacing w:line="360" w:lineRule="auto"/>
        <w:ind w:left="450" w:hanging="450"/>
        <w:jc w:val="both"/>
        <w:rPr>
          <w:rFonts w:cs="Times New Roman"/>
          <w:b/>
          <w:bCs/>
          <w:sz w:val="22"/>
          <w:szCs w:val="22"/>
        </w:rPr>
      </w:pPr>
      <w:bookmarkStart w:id="94" w:name="_Toc213748950"/>
      <w:r w:rsidRPr="0084473F">
        <w:rPr>
          <w:rFonts w:cs="Times New Roman"/>
          <w:b/>
          <w:bCs/>
          <w:sz w:val="22"/>
          <w:szCs w:val="22"/>
        </w:rPr>
        <w:t xml:space="preserve">Descriptive Statistics on </w:t>
      </w:r>
      <w:r>
        <w:rPr>
          <w:rFonts w:cs="Times New Roman"/>
          <w:b/>
          <w:bCs/>
          <w:sz w:val="22"/>
          <w:szCs w:val="22"/>
        </w:rPr>
        <w:t>Core Content</w:t>
      </w:r>
      <w:bookmarkEnd w:id="94"/>
    </w:p>
    <w:p w14:paraId="1BF2871F" w14:textId="0B1EE3F9" w:rsidR="0051291E" w:rsidRPr="0051291E" w:rsidRDefault="005207DA" w:rsidP="0051291E">
      <w:pPr>
        <w:spacing w:line="360" w:lineRule="auto"/>
        <w:jc w:val="both"/>
        <w:rPr>
          <w:rFonts w:cs="Times New Roman"/>
          <w:szCs w:val="22"/>
        </w:rPr>
      </w:pPr>
      <w:r>
        <w:rPr>
          <w:rFonts w:cs="Times New Roman"/>
          <w:szCs w:val="22"/>
        </w:rPr>
        <w:t xml:space="preserve">From </w:t>
      </w:r>
      <w:r w:rsidR="00736028">
        <w:rPr>
          <w:rFonts w:cs="Times New Roman" w:hint="eastAsia"/>
          <w:szCs w:val="22"/>
        </w:rPr>
        <w:t>T</w:t>
      </w:r>
      <w:r w:rsidR="00736028">
        <w:rPr>
          <w:rFonts w:cs="Times New Roman"/>
          <w:szCs w:val="22"/>
        </w:rPr>
        <w:t>a</w:t>
      </w:r>
      <w:r w:rsidR="00736028">
        <w:rPr>
          <w:rFonts w:cs="Times New Roman" w:hint="eastAsia"/>
          <w:szCs w:val="22"/>
        </w:rPr>
        <w:t xml:space="preserve">ble </w:t>
      </w:r>
      <w:r>
        <w:rPr>
          <w:rFonts w:cs="Times New Roman"/>
          <w:szCs w:val="22"/>
        </w:rPr>
        <w:t>4.</w:t>
      </w:r>
      <w:r w:rsidR="009075D5">
        <w:rPr>
          <w:rFonts w:cs="Times New Roman" w:hint="eastAsia"/>
          <w:szCs w:val="22"/>
        </w:rPr>
        <w:t>3</w:t>
      </w:r>
      <w:r>
        <w:rPr>
          <w:rFonts w:cs="Times New Roman"/>
          <w:szCs w:val="22"/>
        </w:rPr>
        <w:t>, the d</w:t>
      </w:r>
      <w:r w:rsidR="0051291E" w:rsidRPr="0051291E">
        <w:rPr>
          <w:rFonts w:cs="Times New Roman"/>
          <w:szCs w:val="22"/>
        </w:rPr>
        <w:t>escriptive statistics for the core constructs</w:t>
      </w:r>
      <w:r>
        <w:rPr>
          <w:rFonts w:cs="Times New Roman"/>
          <w:szCs w:val="22"/>
        </w:rPr>
        <w:t xml:space="preserve"> on </w:t>
      </w:r>
      <w:r w:rsidR="0051291E" w:rsidRPr="0051291E">
        <w:rPr>
          <w:rFonts w:cs="Times New Roman"/>
          <w:szCs w:val="22"/>
        </w:rPr>
        <w:t xml:space="preserve">social media marketing activities, environmental </w:t>
      </w:r>
      <w:r w:rsidR="00ED409C">
        <w:rPr>
          <w:rFonts w:cs="Times New Roman"/>
          <w:szCs w:val="22"/>
        </w:rPr>
        <w:t>conscious</w:t>
      </w:r>
      <w:r w:rsidR="0051291E" w:rsidRPr="0051291E">
        <w:rPr>
          <w:rFonts w:cs="Times New Roman"/>
          <w:szCs w:val="22"/>
        </w:rPr>
        <w:t>, sustainability, brand trust, and purchase intention</w:t>
      </w:r>
      <w:r>
        <w:rPr>
          <w:rFonts w:cs="Times New Roman"/>
          <w:szCs w:val="22"/>
        </w:rPr>
        <w:t xml:space="preserve">, </w:t>
      </w:r>
      <w:r w:rsidR="0051291E" w:rsidRPr="0051291E">
        <w:rPr>
          <w:rFonts w:cs="Times New Roman"/>
          <w:szCs w:val="22"/>
        </w:rPr>
        <w:t>provide insight not only into respondents’ central tendencies but also the variability of the attitudes, as measured by mean and standard deviation. The mean offers a summary of the average response, with higher mean values indicating greater agreement with the item, while the standard deviation quantifies the dispersion around the mean, where lower values suggest consensus and higher values indicate a wider range of opinions.</w:t>
      </w:r>
    </w:p>
    <w:p w14:paraId="42368382" w14:textId="77777777" w:rsidR="0051291E" w:rsidRPr="0051291E" w:rsidRDefault="0051291E" w:rsidP="0051291E">
      <w:pPr>
        <w:spacing w:line="360" w:lineRule="auto"/>
        <w:jc w:val="both"/>
        <w:rPr>
          <w:rFonts w:cs="Times New Roman"/>
          <w:szCs w:val="22"/>
        </w:rPr>
      </w:pPr>
    </w:p>
    <w:p w14:paraId="77AA3601" w14:textId="2588BF90" w:rsidR="003C2CAA" w:rsidRPr="005B0F93" w:rsidRDefault="0051291E" w:rsidP="0051291E">
      <w:pPr>
        <w:spacing w:line="360" w:lineRule="auto"/>
        <w:jc w:val="both"/>
        <w:rPr>
          <w:rFonts w:cs="Times New Roman"/>
          <w:szCs w:val="22"/>
        </w:rPr>
      </w:pPr>
      <w:r w:rsidRPr="0051291E">
        <w:rPr>
          <w:rFonts w:cs="Times New Roman"/>
          <w:szCs w:val="22"/>
        </w:rPr>
        <w:lastRenderedPageBreak/>
        <w:t xml:space="preserve">For social media marketing activities, </w:t>
      </w:r>
      <w:r w:rsidR="00C91506" w:rsidRPr="005B0F93">
        <w:rPr>
          <w:rFonts w:cs="Times New Roman" w:hint="eastAsia"/>
          <w:szCs w:val="22"/>
        </w:rPr>
        <w:t>t</w:t>
      </w:r>
      <w:r w:rsidR="003C2CAA" w:rsidRPr="005B0F93">
        <w:rPr>
          <w:rFonts w:cs="Times New Roman"/>
          <w:szCs w:val="22"/>
        </w:rPr>
        <w:t>he item WOM4 “I will comment on the product when I receive a good quality one” shows a high mean of 4.51, indicating that respondents are very likely to share positive feedback following a satisfying experience. This suggests strong consumer engagement in word-of-mouth behavior</w:t>
      </w:r>
      <w:r w:rsidR="005B0F93">
        <w:rPr>
          <w:rFonts w:cs="Times New Roman" w:hint="eastAsia"/>
          <w:szCs w:val="22"/>
        </w:rPr>
        <w:t xml:space="preserve">, </w:t>
      </w:r>
      <w:r w:rsidR="003C2CAA" w:rsidRPr="005B0F93">
        <w:rPr>
          <w:rFonts w:cs="Times New Roman"/>
          <w:szCs w:val="22"/>
        </w:rPr>
        <w:t xml:space="preserve">an important driver of purchase </w:t>
      </w:r>
      <w:r w:rsidR="005B0F93">
        <w:rPr>
          <w:rFonts w:cs="Times New Roman" w:hint="eastAsia"/>
          <w:szCs w:val="22"/>
        </w:rPr>
        <w:t>intention</w:t>
      </w:r>
      <w:r w:rsidR="003C2CAA" w:rsidRPr="005B0F93">
        <w:rPr>
          <w:rFonts w:cs="Times New Roman"/>
          <w:szCs w:val="22"/>
        </w:rPr>
        <w:t>, as research shows personal recommendations are highly trusted and shared by most consumers</w:t>
      </w:r>
      <w:r w:rsidR="00C91506" w:rsidRPr="005B0F93">
        <w:rPr>
          <w:rFonts w:cs="Times New Roman" w:hint="eastAsia"/>
          <w:szCs w:val="22"/>
        </w:rPr>
        <w:t xml:space="preserve"> </w:t>
      </w:r>
      <w:r w:rsidR="00B53DC3" w:rsidRPr="005B0F93">
        <w:rPr>
          <w:rFonts w:cs="Times New Roman"/>
          <w:szCs w:val="22"/>
        </w:rPr>
        <w:t>(Hayes, 2024)</w:t>
      </w:r>
      <w:r w:rsidR="003C2CAA" w:rsidRPr="005B0F93">
        <w:rPr>
          <w:rFonts w:cs="Times New Roman"/>
          <w:szCs w:val="22"/>
        </w:rPr>
        <w:t>.</w:t>
      </w:r>
      <w:r w:rsidR="001A7C75" w:rsidRPr="005B0F93">
        <w:rPr>
          <w:rFonts w:cs="Times New Roman" w:hint="eastAsia"/>
          <w:szCs w:val="22"/>
        </w:rPr>
        <w:t xml:space="preserve"> </w:t>
      </w:r>
      <w:r w:rsidR="001A7C75" w:rsidRPr="005B0F93">
        <w:rPr>
          <w:rFonts w:cs="Times New Roman"/>
          <w:szCs w:val="22"/>
        </w:rPr>
        <w:t>The standard deviation of 1.33</w:t>
      </w:r>
      <w:r w:rsidR="005870A8">
        <w:rPr>
          <w:rFonts w:cs="Times New Roman" w:hint="eastAsia"/>
          <w:szCs w:val="22"/>
        </w:rPr>
        <w:t xml:space="preserve"> that is</w:t>
      </w:r>
      <w:r w:rsidR="001A7C75" w:rsidRPr="005B0F93">
        <w:rPr>
          <w:rFonts w:cs="Times New Roman"/>
          <w:szCs w:val="22"/>
        </w:rPr>
        <w:t xml:space="preserve"> moderate</w:t>
      </w:r>
      <w:r w:rsidR="005870A8">
        <w:rPr>
          <w:rFonts w:cs="Times New Roman" w:hint="eastAsia"/>
          <w:szCs w:val="22"/>
        </w:rPr>
        <w:t xml:space="preserve"> level</w:t>
      </w:r>
      <w:r w:rsidR="001A7C75" w:rsidRPr="005B0F93">
        <w:rPr>
          <w:rFonts w:cs="Times New Roman"/>
          <w:szCs w:val="22"/>
        </w:rPr>
        <w:t xml:space="preserve">, reflects some variation in responses, meaning most participants agree with this statement but a minority may be less active in sharing feedback. This dispersion may represent differences in personality, social media </w:t>
      </w:r>
      <w:r w:rsidR="005870A8">
        <w:rPr>
          <w:rFonts w:cs="Times New Roman" w:hint="eastAsia"/>
          <w:szCs w:val="22"/>
        </w:rPr>
        <w:t xml:space="preserve">marketing </w:t>
      </w:r>
      <w:r w:rsidR="001A7C75" w:rsidRPr="005B0F93">
        <w:rPr>
          <w:rFonts w:cs="Times New Roman"/>
          <w:szCs w:val="22"/>
        </w:rPr>
        <w:t>activity, or comfort with online engagement. Overall, the result highlights that positive experiences with product quality strongly motivate consumers to express word-of-mouth, supporting the well-established influence of customer satisfaction on brand reputation and future purchase behavior</w:t>
      </w:r>
      <w:r w:rsidR="005B0F93" w:rsidRPr="005B0F93">
        <w:rPr>
          <w:rFonts w:cs="Times New Roman" w:hint="eastAsia"/>
          <w:szCs w:val="22"/>
        </w:rPr>
        <w:t xml:space="preserve"> </w:t>
      </w:r>
      <w:r w:rsidR="005B0F93" w:rsidRPr="005B0F93">
        <w:rPr>
          <w:rFonts w:cs="Times New Roman"/>
          <w:szCs w:val="22"/>
        </w:rPr>
        <w:t>(</w:t>
      </w:r>
      <w:proofErr w:type="spellStart"/>
      <w:r w:rsidR="005B0F93" w:rsidRPr="005B0F93">
        <w:rPr>
          <w:rFonts w:cs="Times New Roman"/>
          <w:szCs w:val="22"/>
        </w:rPr>
        <w:t>Bughin</w:t>
      </w:r>
      <w:proofErr w:type="spellEnd"/>
      <w:r w:rsidR="005B0F93" w:rsidRPr="005B0F93">
        <w:rPr>
          <w:rFonts w:cs="Times New Roman"/>
          <w:szCs w:val="22"/>
        </w:rPr>
        <w:t xml:space="preserve">, Doogan and </w:t>
      </w:r>
      <w:proofErr w:type="spellStart"/>
      <w:r w:rsidR="005B0F93" w:rsidRPr="005B0F93">
        <w:rPr>
          <w:rFonts w:cs="Times New Roman"/>
          <w:szCs w:val="22"/>
        </w:rPr>
        <w:t>Vetvik</w:t>
      </w:r>
      <w:proofErr w:type="spellEnd"/>
      <w:r w:rsidR="005B0F93" w:rsidRPr="005B0F93">
        <w:rPr>
          <w:rFonts w:cs="Times New Roman"/>
          <w:szCs w:val="22"/>
        </w:rPr>
        <w:t>, 2010)</w:t>
      </w:r>
      <w:r w:rsidR="001A7C75" w:rsidRPr="005B0F93">
        <w:rPr>
          <w:rFonts w:cs="Times New Roman"/>
          <w:szCs w:val="22"/>
        </w:rPr>
        <w:t>.</w:t>
      </w:r>
    </w:p>
    <w:p w14:paraId="2654AC44" w14:textId="759BD566" w:rsidR="0051291E" w:rsidRDefault="0051291E" w:rsidP="0051291E">
      <w:pPr>
        <w:spacing w:line="360" w:lineRule="auto"/>
        <w:jc w:val="both"/>
        <w:rPr>
          <w:rFonts w:cs="Times New Roman"/>
          <w:szCs w:val="22"/>
        </w:rPr>
      </w:pPr>
      <w:r w:rsidRPr="0051291E">
        <w:rPr>
          <w:rFonts w:cs="Times New Roman"/>
          <w:szCs w:val="22"/>
        </w:rPr>
        <w:t xml:space="preserve">In the environmental </w:t>
      </w:r>
      <w:r w:rsidR="00ED409C">
        <w:rPr>
          <w:rFonts w:cs="Times New Roman"/>
          <w:szCs w:val="22"/>
        </w:rPr>
        <w:t>conscious</w:t>
      </w:r>
      <w:r w:rsidRPr="0051291E">
        <w:rPr>
          <w:rFonts w:cs="Times New Roman"/>
          <w:szCs w:val="22"/>
        </w:rPr>
        <w:t xml:space="preserve"> section, </w:t>
      </w:r>
      <w:r w:rsidR="009C5A68">
        <w:rPr>
          <w:rFonts w:cs="Times New Roman" w:hint="eastAsia"/>
          <w:szCs w:val="22"/>
        </w:rPr>
        <w:t xml:space="preserve">EC4 </w:t>
      </w:r>
      <w:r w:rsidRPr="0051291E">
        <w:rPr>
          <w:rFonts w:cs="Times New Roman"/>
          <w:szCs w:val="22"/>
        </w:rPr>
        <w:t>“I think that we need stricter laws and regulations to protect the environment”</w:t>
      </w:r>
      <w:r w:rsidR="009C5A68">
        <w:rPr>
          <w:rFonts w:cs="Times New Roman" w:hint="eastAsia"/>
          <w:szCs w:val="22"/>
        </w:rPr>
        <w:t xml:space="preserve">, </w:t>
      </w:r>
      <w:r w:rsidRPr="0051291E">
        <w:rPr>
          <w:rFonts w:cs="Times New Roman"/>
          <w:szCs w:val="22"/>
        </w:rPr>
        <w:t>mean 4.19</w:t>
      </w:r>
      <w:r w:rsidR="009C5A68">
        <w:rPr>
          <w:rFonts w:cs="Times New Roman" w:hint="eastAsia"/>
          <w:szCs w:val="22"/>
        </w:rPr>
        <w:t xml:space="preserve"> and</w:t>
      </w:r>
      <w:r w:rsidRPr="0051291E">
        <w:rPr>
          <w:rFonts w:cs="Times New Roman"/>
          <w:szCs w:val="22"/>
        </w:rPr>
        <w:t xml:space="preserve"> SD 1.26 is most agreed upon, reflecting broad consensus for regulatory intervention. Overall, mean values for this category indicate high eco-</w:t>
      </w:r>
      <w:r w:rsidR="00ED409C">
        <w:rPr>
          <w:rFonts w:cs="Times New Roman"/>
          <w:szCs w:val="22"/>
        </w:rPr>
        <w:t>conscious</w:t>
      </w:r>
      <w:r w:rsidRPr="0051291E">
        <w:rPr>
          <w:rFonts w:cs="Times New Roman"/>
          <w:szCs w:val="22"/>
        </w:rPr>
        <w:t>, though standard deviations above 1 for all items denote a reasonable diversity of strength in environmental commitment across the sample.</w:t>
      </w:r>
      <w:r w:rsidR="00E46225">
        <w:rPr>
          <w:rFonts w:cs="Times New Roman" w:hint="eastAsia"/>
          <w:szCs w:val="22"/>
        </w:rPr>
        <w:t xml:space="preserve"> SD </w:t>
      </w:r>
      <w:r w:rsidR="00E46225">
        <w:rPr>
          <w:rFonts w:cs="Times New Roman"/>
          <w:szCs w:val="22"/>
        </w:rPr>
        <w:t>1.26</w:t>
      </w:r>
      <w:r w:rsidR="00E46225" w:rsidRPr="00E46225">
        <w:rPr>
          <w:rFonts w:cs="Times New Roman"/>
          <w:szCs w:val="22"/>
        </w:rPr>
        <w:t xml:space="preserve"> indicates a moderate spread of responses while many respondents agree with the need for stricter environmental regulations, there is some diversity in the strength of </w:t>
      </w:r>
      <w:r w:rsidR="005344F1">
        <w:rPr>
          <w:rFonts w:cs="Times New Roman"/>
          <w:szCs w:val="22"/>
        </w:rPr>
        <w:t>the</w:t>
      </w:r>
      <w:r w:rsidR="00E46225" w:rsidRPr="00E46225">
        <w:rPr>
          <w:rFonts w:cs="Times New Roman"/>
          <w:szCs w:val="22"/>
        </w:rPr>
        <w:t xml:space="preserve"> views. Statistically, this means that although consensus is relatively strong, a notable portion of participants have less agreement or different perspectives, reflecting the complexity of attitudes toward environmental policy within the group.</w:t>
      </w:r>
    </w:p>
    <w:p w14:paraId="4BC9E74F" w14:textId="6C015A64" w:rsidR="0051291E" w:rsidRPr="0051291E" w:rsidRDefault="0051291E" w:rsidP="0051291E">
      <w:pPr>
        <w:spacing w:line="360" w:lineRule="auto"/>
        <w:jc w:val="both"/>
        <w:rPr>
          <w:rFonts w:cs="Times New Roman"/>
          <w:szCs w:val="22"/>
        </w:rPr>
      </w:pPr>
      <w:r w:rsidRPr="0051291E">
        <w:rPr>
          <w:rFonts w:cs="Times New Roman"/>
          <w:szCs w:val="22"/>
        </w:rPr>
        <w:t>The sustainability segment reveals especially high alignment</w:t>
      </w:r>
      <w:r w:rsidR="00E46225">
        <w:rPr>
          <w:rFonts w:cs="Times New Roman" w:hint="eastAsia"/>
          <w:szCs w:val="22"/>
        </w:rPr>
        <w:t xml:space="preserve"> ST2</w:t>
      </w:r>
      <w:r w:rsidRPr="0051291E">
        <w:rPr>
          <w:rFonts w:cs="Times New Roman"/>
          <w:szCs w:val="22"/>
        </w:rPr>
        <w:t xml:space="preserve"> “I am aware of the environmental changes the world is going through”</w:t>
      </w:r>
      <w:r w:rsidR="00E46225">
        <w:rPr>
          <w:rFonts w:cs="Times New Roman" w:hint="eastAsia"/>
          <w:szCs w:val="22"/>
        </w:rPr>
        <w:t xml:space="preserve"> </w:t>
      </w:r>
      <w:r w:rsidRPr="0051291E">
        <w:rPr>
          <w:rFonts w:cs="Times New Roman"/>
          <w:szCs w:val="22"/>
        </w:rPr>
        <w:t>received the survey’s highest mean 5.01</w:t>
      </w:r>
      <w:r w:rsidR="00E46225">
        <w:rPr>
          <w:rFonts w:cs="Times New Roman" w:hint="eastAsia"/>
          <w:szCs w:val="22"/>
        </w:rPr>
        <w:t xml:space="preserve"> with</w:t>
      </w:r>
      <w:r w:rsidRPr="0051291E">
        <w:rPr>
          <w:rFonts w:cs="Times New Roman"/>
          <w:szCs w:val="22"/>
        </w:rPr>
        <w:t xml:space="preserve"> SD 1.09, signifying near-universal recognition of environmental shifts. Standard deviations are among the lowest here, evidencing remarkable agreement and minimal outlier perspectives.</w:t>
      </w:r>
      <w:r w:rsidR="004517F1" w:rsidRPr="004517F1">
        <w:rPr>
          <w:rFonts w:cs="Times New Roman"/>
          <w:szCs w:val="22"/>
        </w:rPr>
        <w:t xml:space="preserve"> Statistically, a low standard deviation reflects a high level of consensus</w:t>
      </w:r>
      <w:r w:rsidR="007F46DE">
        <w:rPr>
          <w:rFonts w:cs="Times New Roman" w:hint="eastAsia"/>
          <w:szCs w:val="22"/>
        </w:rPr>
        <w:t xml:space="preserve">, </w:t>
      </w:r>
      <w:r w:rsidR="004517F1" w:rsidRPr="004517F1">
        <w:rPr>
          <w:rFonts w:cs="Times New Roman"/>
          <w:szCs w:val="22"/>
        </w:rPr>
        <w:t>practically, this suggests that widespread environmental awareness is shared among participants, with minimal disagreement or variation in response.</w:t>
      </w:r>
    </w:p>
    <w:p w14:paraId="06A4164F" w14:textId="1CBA0B3E" w:rsidR="0051291E" w:rsidRPr="0051291E" w:rsidRDefault="0051291E" w:rsidP="0051291E">
      <w:pPr>
        <w:spacing w:line="360" w:lineRule="auto"/>
        <w:jc w:val="both"/>
        <w:rPr>
          <w:rFonts w:cs="Times New Roman"/>
          <w:szCs w:val="22"/>
        </w:rPr>
      </w:pPr>
      <w:r w:rsidRPr="0051291E">
        <w:rPr>
          <w:rFonts w:cs="Times New Roman"/>
          <w:szCs w:val="22"/>
        </w:rPr>
        <w:t>Brand trust results further reinforce the primacy of quality</w:t>
      </w:r>
      <w:r w:rsidR="004108BF">
        <w:rPr>
          <w:rFonts w:cs="Times New Roman" w:hint="eastAsia"/>
          <w:szCs w:val="22"/>
        </w:rPr>
        <w:t xml:space="preserve"> BT2</w:t>
      </w:r>
      <w:r w:rsidRPr="0051291E">
        <w:rPr>
          <w:rFonts w:cs="Times New Roman"/>
          <w:szCs w:val="22"/>
        </w:rPr>
        <w:t xml:space="preserve"> “I am confident to purchase a product regarding the brand offered good quality”</w:t>
      </w:r>
      <w:r w:rsidR="004108BF">
        <w:rPr>
          <w:rFonts w:cs="Times New Roman" w:hint="eastAsia"/>
          <w:szCs w:val="22"/>
        </w:rPr>
        <w:t>,</w:t>
      </w:r>
      <w:r w:rsidRPr="0051291E">
        <w:rPr>
          <w:rFonts w:cs="Times New Roman"/>
          <w:szCs w:val="22"/>
        </w:rPr>
        <w:t xml:space="preserve"> mean 4.36, SD 1.01 is the leading item. The low standard deviation indicates a solid consensus that product quality is fundamental to trust. Other brand trust statements also present high means and consistently low standard deviations, confirming the centrality of trust in consumer-brand relationships.</w:t>
      </w:r>
      <w:r w:rsidR="0084167D">
        <w:rPr>
          <w:rFonts w:cs="Times New Roman"/>
          <w:szCs w:val="22"/>
        </w:rPr>
        <w:t xml:space="preserve"> Also highlight BT3 </w:t>
      </w:r>
      <w:r w:rsidR="008127BD" w:rsidRPr="008127BD">
        <w:rPr>
          <w:rFonts w:cs="Times New Roman"/>
          <w:szCs w:val="22"/>
        </w:rPr>
        <w:t>“I trust Nescafé offers good quality”</w:t>
      </w:r>
      <w:r w:rsidR="008127BD">
        <w:rPr>
          <w:rFonts w:cs="Times New Roman"/>
          <w:szCs w:val="22"/>
        </w:rPr>
        <w:t xml:space="preserve">, that specific for Nescafe brand trust, </w:t>
      </w:r>
      <w:r w:rsidR="004F2327">
        <w:rPr>
          <w:rFonts w:cs="Times New Roman"/>
          <w:szCs w:val="22"/>
        </w:rPr>
        <w:t>d</w:t>
      </w:r>
      <w:r w:rsidR="004F2327" w:rsidRPr="004F2327">
        <w:rPr>
          <w:rFonts w:cs="Times New Roman"/>
          <w:szCs w:val="22"/>
        </w:rPr>
        <w:t>escriptive statistics for BT3 reveal a high mean value and a low standard deviation, reflecting broad consensus among Hong Kong consumers: most strongly agree that good quality is a key facet of trust.</w:t>
      </w:r>
    </w:p>
    <w:p w14:paraId="5DCEE989" w14:textId="27EDCEF0" w:rsidR="0051291E" w:rsidRDefault="0051291E" w:rsidP="0051291E">
      <w:pPr>
        <w:spacing w:line="360" w:lineRule="auto"/>
        <w:jc w:val="both"/>
        <w:rPr>
          <w:rFonts w:cs="Times New Roman"/>
          <w:szCs w:val="22"/>
        </w:rPr>
      </w:pPr>
      <w:r w:rsidRPr="0051291E">
        <w:rPr>
          <w:rFonts w:cs="Times New Roman"/>
          <w:szCs w:val="22"/>
        </w:rPr>
        <w:t>Finally, in purchase intention, the most salient item is</w:t>
      </w:r>
      <w:r w:rsidR="000D56A0">
        <w:rPr>
          <w:rFonts w:cs="Times New Roman" w:hint="eastAsia"/>
          <w:szCs w:val="22"/>
        </w:rPr>
        <w:t xml:space="preserve"> PI3</w:t>
      </w:r>
      <w:r w:rsidRPr="0051291E">
        <w:rPr>
          <w:rFonts w:cs="Times New Roman"/>
          <w:szCs w:val="22"/>
        </w:rPr>
        <w:t xml:space="preserve"> “Whenever I need to purchase, I intend to purchase the product with the brand I trust”</w:t>
      </w:r>
      <w:r w:rsidR="000D56A0">
        <w:rPr>
          <w:rFonts w:cs="Times New Roman" w:hint="eastAsia"/>
          <w:szCs w:val="22"/>
        </w:rPr>
        <w:t xml:space="preserve">, </w:t>
      </w:r>
      <w:r w:rsidRPr="0051291E">
        <w:rPr>
          <w:rFonts w:cs="Times New Roman"/>
          <w:szCs w:val="22"/>
        </w:rPr>
        <w:t>mean 4.76</w:t>
      </w:r>
      <w:r w:rsidR="000D56A0">
        <w:rPr>
          <w:rFonts w:cs="Times New Roman" w:hint="eastAsia"/>
          <w:szCs w:val="22"/>
        </w:rPr>
        <w:t>,</w:t>
      </w:r>
      <w:r w:rsidRPr="0051291E">
        <w:rPr>
          <w:rFonts w:cs="Times New Roman"/>
          <w:szCs w:val="22"/>
        </w:rPr>
        <w:t xml:space="preserve"> SD 0.98. It represents both the highest level of agreement regarding </w:t>
      </w:r>
      <w:r w:rsidRPr="0051291E">
        <w:rPr>
          <w:rFonts w:cs="Times New Roman"/>
          <w:szCs w:val="22"/>
        </w:rPr>
        <w:lastRenderedPageBreak/>
        <w:t xml:space="preserve">future behavior and the most tightly clustered responses in the dataset, underscoring that trusted brands are the single greatest motivator of purchase behavior for these respondents. </w:t>
      </w:r>
      <w:r w:rsidR="003B3C68">
        <w:rPr>
          <w:rFonts w:cs="Times New Roman" w:hint="eastAsia"/>
          <w:szCs w:val="22"/>
        </w:rPr>
        <w:t>SD 0.98 is</w:t>
      </w:r>
      <w:r w:rsidR="00D63C88" w:rsidRPr="00D63C88">
        <w:rPr>
          <w:rFonts w:cs="Times New Roman"/>
          <w:szCs w:val="22"/>
        </w:rPr>
        <w:t xml:space="preserve"> very low </w:t>
      </w:r>
      <w:r w:rsidR="003B3C68" w:rsidRPr="00D63C88">
        <w:rPr>
          <w:rFonts w:cs="Times New Roman"/>
          <w:szCs w:val="22"/>
        </w:rPr>
        <w:t>value and</w:t>
      </w:r>
      <w:r w:rsidR="00D63C88" w:rsidRPr="00D63C88">
        <w:rPr>
          <w:rFonts w:cs="Times New Roman"/>
          <w:szCs w:val="22"/>
        </w:rPr>
        <w:t xml:space="preserve"> indicates an exceptionally strong consensus among respondents</w:t>
      </w:r>
      <w:r w:rsidR="003B3C68">
        <w:rPr>
          <w:rFonts w:cs="Times New Roman" w:hint="eastAsia"/>
          <w:szCs w:val="22"/>
        </w:rPr>
        <w:t>,</w:t>
      </w:r>
      <w:r w:rsidR="00D63C88" w:rsidRPr="00D63C88">
        <w:rPr>
          <w:rFonts w:cs="Times New Roman"/>
          <w:szCs w:val="22"/>
        </w:rPr>
        <w:t xml:space="preserve"> most participants gave similar, high ratings for this item. Practically, it means brand trust is a universally important motivator in purchase decisions, with minimal disagreement or variation within the surveyed group.</w:t>
      </w:r>
    </w:p>
    <w:p w14:paraId="40324A07" w14:textId="4ECA1FB9" w:rsidR="008F38BF" w:rsidRDefault="00E54BD2" w:rsidP="00E54BD2">
      <w:pPr>
        <w:spacing w:line="360" w:lineRule="auto"/>
        <w:rPr>
          <w:rFonts w:cs="Times New Roman"/>
          <w:szCs w:val="22"/>
        </w:rPr>
      </w:pPr>
      <w:r w:rsidRPr="00E54BD2">
        <w:rPr>
          <w:rFonts w:cs="Times New Roman"/>
          <w:noProof/>
          <w:szCs w:val="22"/>
        </w:rPr>
        <w:drawing>
          <wp:inline distT="0" distB="0" distL="0" distR="0" wp14:anchorId="3B2FE4F5" wp14:editId="7A0494FD">
            <wp:extent cx="5935431" cy="5803533"/>
            <wp:effectExtent l="0" t="0" r="8255" b="6985"/>
            <wp:docPr id="311450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450708" name=""/>
                    <pic:cNvPicPr/>
                  </pic:nvPicPr>
                  <pic:blipFill>
                    <a:blip r:embed="rId46"/>
                    <a:stretch>
                      <a:fillRect/>
                    </a:stretch>
                  </pic:blipFill>
                  <pic:spPr>
                    <a:xfrm>
                      <a:off x="0" y="0"/>
                      <a:ext cx="5944358" cy="5812261"/>
                    </a:xfrm>
                    <a:prstGeom prst="rect">
                      <a:avLst/>
                    </a:prstGeom>
                  </pic:spPr>
                </pic:pic>
              </a:graphicData>
            </a:graphic>
          </wp:inline>
        </w:drawing>
      </w:r>
    </w:p>
    <w:p w14:paraId="16DF8074" w14:textId="77777777" w:rsidR="00E54BD2" w:rsidRPr="00915260" w:rsidRDefault="00E54BD2" w:rsidP="008F38BF">
      <w:pPr>
        <w:spacing w:line="360" w:lineRule="auto"/>
        <w:jc w:val="center"/>
        <w:rPr>
          <w:rFonts w:cs="Times New Roman"/>
          <w:szCs w:val="22"/>
        </w:rPr>
      </w:pPr>
    </w:p>
    <w:p w14:paraId="6A1EEFA2" w14:textId="279512FC" w:rsidR="00020287" w:rsidRPr="00915260" w:rsidRDefault="00F9717C" w:rsidP="003A04C6">
      <w:pPr>
        <w:pStyle w:val="Heading2"/>
        <w:numPr>
          <w:ilvl w:val="1"/>
          <w:numId w:val="5"/>
        </w:numPr>
        <w:spacing w:line="360" w:lineRule="auto"/>
        <w:ind w:left="450" w:hanging="450"/>
        <w:jc w:val="both"/>
        <w:rPr>
          <w:rFonts w:cs="Times New Roman"/>
          <w:b/>
          <w:bCs/>
          <w:sz w:val="22"/>
          <w:szCs w:val="22"/>
        </w:rPr>
      </w:pPr>
      <w:bookmarkStart w:id="95" w:name="_Toc213748951"/>
      <w:r w:rsidRPr="00915260">
        <w:rPr>
          <w:rFonts w:cs="Times New Roman"/>
          <w:b/>
          <w:bCs/>
          <w:sz w:val="22"/>
          <w:szCs w:val="22"/>
        </w:rPr>
        <w:t>Reliability Analysis</w:t>
      </w:r>
      <w:bookmarkEnd w:id="95"/>
    </w:p>
    <w:p w14:paraId="75526877" w14:textId="74DD0295" w:rsidR="00573D04" w:rsidRPr="00573D04" w:rsidRDefault="00573D04" w:rsidP="004122F5">
      <w:pPr>
        <w:spacing w:line="360" w:lineRule="auto"/>
        <w:jc w:val="both"/>
        <w:rPr>
          <w:rFonts w:cs="Times New Roman"/>
          <w:szCs w:val="22"/>
        </w:rPr>
      </w:pPr>
      <w:r w:rsidRPr="00573D04">
        <w:rPr>
          <w:rFonts w:cs="Times New Roman"/>
          <w:szCs w:val="22"/>
        </w:rPr>
        <w:t xml:space="preserve">Table 4.3 presents the reliability statistics for each </w:t>
      </w:r>
      <w:r w:rsidR="00B802C2">
        <w:rPr>
          <w:rFonts w:cs="Times New Roman"/>
          <w:szCs w:val="22"/>
        </w:rPr>
        <w:t>variable</w:t>
      </w:r>
      <w:r w:rsidR="004122F5">
        <w:rPr>
          <w:rFonts w:cs="Times New Roman" w:hint="eastAsia"/>
          <w:szCs w:val="22"/>
        </w:rPr>
        <w:t xml:space="preserve"> that</w:t>
      </w:r>
      <w:r w:rsidRPr="00573D04">
        <w:rPr>
          <w:rFonts w:cs="Times New Roman"/>
          <w:szCs w:val="22"/>
        </w:rPr>
        <w:t xml:space="preserve"> </w:t>
      </w:r>
      <w:r w:rsidR="00E36FC0" w:rsidRPr="00573D04">
        <w:rPr>
          <w:rFonts w:cs="Times New Roman"/>
          <w:szCs w:val="22"/>
        </w:rPr>
        <w:t>is measured</w:t>
      </w:r>
      <w:r w:rsidRPr="00573D04">
        <w:rPr>
          <w:rFonts w:cs="Times New Roman"/>
          <w:szCs w:val="22"/>
        </w:rPr>
        <w:t xml:space="preserve"> in the</w:t>
      </w:r>
      <w:r w:rsidR="004122F5">
        <w:rPr>
          <w:rFonts w:cs="Times New Roman" w:hint="eastAsia"/>
          <w:szCs w:val="22"/>
        </w:rPr>
        <w:t xml:space="preserve"> final</w:t>
      </w:r>
      <w:r w:rsidRPr="00573D04">
        <w:rPr>
          <w:rFonts w:cs="Times New Roman"/>
          <w:szCs w:val="22"/>
        </w:rPr>
        <w:t xml:space="preserve"> questionnaire, as calculated by Cronbach's alpha. Social Media Marketing Activities demonstrate exceptionally high internal consistency with </w:t>
      </w:r>
      <w:r w:rsidR="00B802C2" w:rsidRPr="00573D04">
        <w:rPr>
          <w:rFonts w:cs="Times New Roman"/>
          <w:szCs w:val="22"/>
        </w:rPr>
        <w:lastRenderedPageBreak/>
        <w:t>Cronbach’s</w:t>
      </w:r>
      <w:r w:rsidRPr="00573D04">
        <w:rPr>
          <w:rFonts w:cs="Times New Roman"/>
          <w:szCs w:val="22"/>
        </w:rPr>
        <w:t xml:space="preserve"> alpha of 0.930 across 13 items, indicating excellent reliability in assessing this multi-item construct. The other core constructs</w:t>
      </w:r>
      <w:r w:rsidR="004122F5">
        <w:rPr>
          <w:rFonts w:cs="Times New Roman" w:hint="eastAsia"/>
          <w:szCs w:val="22"/>
        </w:rPr>
        <w:t xml:space="preserve"> on </w:t>
      </w:r>
      <w:r w:rsidRPr="00573D04">
        <w:rPr>
          <w:rFonts w:cs="Times New Roman"/>
          <w:szCs w:val="22"/>
        </w:rPr>
        <w:t xml:space="preserve">Environmental </w:t>
      </w:r>
      <w:r w:rsidR="00ED409C">
        <w:rPr>
          <w:rFonts w:cs="Times New Roman"/>
          <w:szCs w:val="22"/>
        </w:rPr>
        <w:t>Conscious</w:t>
      </w:r>
      <w:r w:rsidRPr="00573D04">
        <w:rPr>
          <w:rFonts w:cs="Times New Roman"/>
          <w:szCs w:val="22"/>
        </w:rPr>
        <w:t xml:space="preserve"> (α = 0.832), Sustainability (α = 0.874), and Brand Trust (α = 0.838)</w:t>
      </w:r>
      <w:r w:rsidR="004122F5">
        <w:rPr>
          <w:rFonts w:cs="Times New Roman" w:hint="eastAsia"/>
          <w:szCs w:val="22"/>
        </w:rPr>
        <w:t xml:space="preserve">, </w:t>
      </w:r>
      <w:r w:rsidRPr="00573D04">
        <w:rPr>
          <w:rFonts w:cs="Times New Roman"/>
          <w:szCs w:val="22"/>
        </w:rPr>
        <w:t>all show strong and acceptable internal consistency, each exceeding the common accepted threshold of 0.7 for research instruments (Malhotra et al., 2017). Purchase Intention, while slightly lower at 0.729 for its 4 items, remains above this crucial benchmark and is still considered acceptable for psychological constructs.</w:t>
      </w:r>
    </w:p>
    <w:p w14:paraId="0F38FD1E" w14:textId="73E69110" w:rsidR="00F9717C" w:rsidRDefault="00573D04" w:rsidP="00C21F05">
      <w:pPr>
        <w:spacing w:line="360" w:lineRule="auto"/>
        <w:jc w:val="both"/>
        <w:rPr>
          <w:rFonts w:cs="Times New Roman"/>
          <w:szCs w:val="22"/>
        </w:rPr>
      </w:pPr>
      <w:r w:rsidRPr="00573D04">
        <w:rPr>
          <w:rFonts w:cs="Times New Roman"/>
          <w:szCs w:val="22"/>
        </w:rPr>
        <w:t xml:space="preserve">The total scale, comprising all 31 questionnaire items, yields an overall Cronbach’s alpha of 0.945, reflecting outstanding internal reliability for the instrument. These results confirm that the measurement model is robust and the items within each </w:t>
      </w:r>
      <w:r w:rsidR="00E36FC0">
        <w:rPr>
          <w:rFonts w:cs="Times New Roman"/>
          <w:szCs w:val="22"/>
        </w:rPr>
        <w:t>variable</w:t>
      </w:r>
      <w:r w:rsidRPr="00573D04">
        <w:rPr>
          <w:rFonts w:cs="Times New Roman"/>
          <w:szCs w:val="22"/>
        </w:rPr>
        <w:t xml:space="preserve"> are consistently capturing the intended theoretical dimensions. </w:t>
      </w:r>
      <w:r w:rsidR="004122F5">
        <w:rPr>
          <w:rFonts w:cs="Times New Roman" w:hint="eastAsia"/>
          <w:szCs w:val="22"/>
        </w:rPr>
        <w:t>The</w:t>
      </w:r>
      <w:r w:rsidRPr="00573D04">
        <w:rPr>
          <w:rFonts w:cs="Times New Roman"/>
          <w:szCs w:val="22"/>
        </w:rPr>
        <w:t xml:space="preserve"> high reliability provides a solid foundation for further quantitative analysis, justifying the aggregation of item responses into construct scores for subsequent hypothesis testing and modeling.​​</w:t>
      </w:r>
    </w:p>
    <w:p w14:paraId="1C7784E6" w14:textId="6F95F543" w:rsidR="005F3829" w:rsidRPr="00915260" w:rsidRDefault="000E68EF" w:rsidP="00C21F05">
      <w:pPr>
        <w:spacing w:line="360" w:lineRule="auto"/>
        <w:jc w:val="both"/>
        <w:rPr>
          <w:rFonts w:cs="Times New Roman"/>
          <w:szCs w:val="22"/>
        </w:rPr>
      </w:pPr>
      <w:r w:rsidRPr="000E68EF">
        <w:rPr>
          <w:rFonts w:cs="Times New Roman"/>
          <w:noProof/>
          <w:szCs w:val="22"/>
        </w:rPr>
        <w:drawing>
          <wp:inline distT="0" distB="0" distL="0" distR="0" wp14:anchorId="66EEFCDB" wp14:editId="5736F222">
            <wp:extent cx="3923132" cy="1834085"/>
            <wp:effectExtent l="0" t="0" r="1270" b="0"/>
            <wp:docPr id="920458712"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58712" name="Picture 1" descr="A table with text on it&#10;&#10;AI-generated content may be incorrect."/>
                    <pic:cNvPicPr/>
                  </pic:nvPicPr>
                  <pic:blipFill>
                    <a:blip r:embed="rId47"/>
                    <a:stretch>
                      <a:fillRect/>
                    </a:stretch>
                  </pic:blipFill>
                  <pic:spPr>
                    <a:xfrm>
                      <a:off x="0" y="0"/>
                      <a:ext cx="3928164" cy="1836437"/>
                    </a:xfrm>
                    <a:prstGeom prst="rect">
                      <a:avLst/>
                    </a:prstGeom>
                  </pic:spPr>
                </pic:pic>
              </a:graphicData>
            </a:graphic>
          </wp:inline>
        </w:drawing>
      </w:r>
    </w:p>
    <w:p w14:paraId="12214E2C" w14:textId="77777777" w:rsidR="000E68EF" w:rsidRPr="00915260" w:rsidRDefault="000E68EF" w:rsidP="0024750E">
      <w:pPr>
        <w:spacing w:line="360" w:lineRule="auto"/>
        <w:rPr>
          <w:rFonts w:cs="Times New Roman"/>
          <w:szCs w:val="22"/>
        </w:rPr>
      </w:pPr>
    </w:p>
    <w:p w14:paraId="00849AE2" w14:textId="5B8B3067" w:rsidR="001D4968" w:rsidRPr="00915260" w:rsidRDefault="001D4968" w:rsidP="001D4968">
      <w:pPr>
        <w:pStyle w:val="Heading2"/>
        <w:numPr>
          <w:ilvl w:val="1"/>
          <w:numId w:val="5"/>
        </w:numPr>
        <w:spacing w:line="360" w:lineRule="auto"/>
        <w:ind w:left="450" w:hanging="450"/>
        <w:jc w:val="both"/>
        <w:rPr>
          <w:rFonts w:cs="Times New Roman"/>
          <w:b/>
          <w:bCs/>
          <w:sz w:val="22"/>
          <w:szCs w:val="22"/>
        </w:rPr>
      </w:pPr>
      <w:bookmarkStart w:id="96" w:name="_Toc213748952"/>
      <w:r w:rsidRPr="00915260">
        <w:rPr>
          <w:rFonts w:cs="Times New Roman"/>
          <w:b/>
          <w:bCs/>
          <w:sz w:val="22"/>
          <w:szCs w:val="22"/>
        </w:rPr>
        <w:t>Correlational Analyses</w:t>
      </w:r>
      <w:bookmarkEnd w:id="96"/>
    </w:p>
    <w:p w14:paraId="4ABBD938" w14:textId="51385CD9" w:rsidR="00F84315" w:rsidRDefault="00F84315" w:rsidP="00B33F13">
      <w:pPr>
        <w:spacing w:line="360" w:lineRule="auto"/>
        <w:jc w:val="both"/>
        <w:rPr>
          <w:rFonts w:cs="Times New Roman"/>
          <w:szCs w:val="22"/>
        </w:rPr>
      </w:pPr>
      <w:r w:rsidRPr="00F84315">
        <w:rPr>
          <w:rFonts w:cs="Times New Roman"/>
          <w:szCs w:val="22"/>
        </w:rPr>
        <w:t xml:space="preserve">In correlational research, it </w:t>
      </w:r>
      <w:r w:rsidR="004E4A11">
        <w:rPr>
          <w:rFonts w:cs="Times New Roman"/>
          <w:szCs w:val="22"/>
        </w:rPr>
        <w:t xml:space="preserve">will </w:t>
      </w:r>
      <w:r w:rsidR="00C56F21">
        <w:rPr>
          <w:rFonts w:cs="Times New Roman"/>
          <w:szCs w:val="22"/>
        </w:rPr>
        <w:t>use</w:t>
      </w:r>
      <w:r w:rsidR="004E4A11">
        <w:rPr>
          <w:rFonts w:cs="Times New Roman"/>
          <w:szCs w:val="22"/>
        </w:rPr>
        <w:t xml:space="preserve"> </w:t>
      </w:r>
      <w:r w:rsidRPr="00F84315">
        <w:rPr>
          <w:rFonts w:cs="Times New Roman"/>
          <w:szCs w:val="22"/>
        </w:rPr>
        <w:t>average scores from multi-item scales to analyze relationships between latent constructs, especially in survey studies that use Likert-type items</w:t>
      </w:r>
      <w:r w:rsidR="007B3F7C">
        <w:rPr>
          <w:rFonts w:cs="Times New Roman" w:hint="eastAsia"/>
          <w:szCs w:val="22"/>
        </w:rPr>
        <w:t xml:space="preserve"> </w:t>
      </w:r>
      <w:r w:rsidR="00921CD2" w:rsidRPr="00921CD2">
        <w:rPr>
          <w:rFonts w:cs="Times New Roman"/>
          <w:szCs w:val="22"/>
        </w:rPr>
        <w:t>(Green and Salkind, 2017)</w:t>
      </w:r>
      <w:r w:rsidR="00921CD2">
        <w:rPr>
          <w:rFonts w:cs="Times New Roman"/>
          <w:szCs w:val="22"/>
        </w:rPr>
        <w:t>.</w:t>
      </w:r>
    </w:p>
    <w:p w14:paraId="7620AC1A" w14:textId="208717B2" w:rsidR="00B33F13" w:rsidRPr="00B33F13" w:rsidRDefault="004E4A11" w:rsidP="00B33F13">
      <w:pPr>
        <w:spacing w:line="360" w:lineRule="auto"/>
        <w:jc w:val="both"/>
        <w:rPr>
          <w:rFonts w:cs="Times New Roman"/>
          <w:szCs w:val="22"/>
        </w:rPr>
      </w:pPr>
      <w:r>
        <w:rPr>
          <w:rFonts w:cs="Times New Roman"/>
          <w:szCs w:val="22"/>
        </w:rPr>
        <w:t>Table 4.5 illustrate the</w:t>
      </w:r>
      <w:r w:rsidR="00B33F13" w:rsidRPr="00B33F13">
        <w:rPr>
          <w:rFonts w:cs="Times New Roman"/>
          <w:szCs w:val="22"/>
        </w:rPr>
        <w:t xml:space="preserve"> correlational analyses examine the bivariate associations among the core constructs</w:t>
      </w:r>
      <w:r w:rsidR="00B33F13">
        <w:rPr>
          <w:rFonts w:cs="Times New Roman"/>
          <w:szCs w:val="22"/>
        </w:rPr>
        <w:t xml:space="preserve">, </w:t>
      </w:r>
      <w:r w:rsidR="00B33F13" w:rsidRPr="00B33F13">
        <w:rPr>
          <w:rFonts w:cs="Times New Roman"/>
          <w:szCs w:val="22"/>
        </w:rPr>
        <w:t xml:space="preserve">Social Media Marketing Activities (SMMA), Environmental </w:t>
      </w:r>
      <w:r w:rsidR="00ED409C">
        <w:rPr>
          <w:rFonts w:cs="Times New Roman"/>
          <w:szCs w:val="22"/>
        </w:rPr>
        <w:t>Conscious</w:t>
      </w:r>
      <w:r w:rsidR="00B33F13" w:rsidRPr="00B33F13">
        <w:rPr>
          <w:rFonts w:cs="Times New Roman"/>
          <w:szCs w:val="22"/>
        </w:rPr>
        <w:t xml:space="preserve"> (EC), Sustainability (ST), Brand Trust (BT), and Purchase Intention (PI). Across the sample, SMMA shows a moderate to strong positive association with PI (r ≈ .70), indicating that higher engagement with entertaining, interactive, and word-of-mouth driven social media content is closely linked to stronger purchase intentions. This finding reinforces literature that emphasizes social media as a key driver of purchase </w:t>
      </w:r>
      <w:r w:rsidR="00922642">
        <w:rPr>
          <w:rFonts w:cs="Times New Roman"/>
          <w:szCs w:val="22"/>
        </w:rPr>
        <w:t>intention</w:t>
      </w:r>
      <w:r w:rsidR="00B33F13" w:rsidRPr="00B33F13">
        <w:rPr>
          <w:rFonts w:cs="Times New Roman"/>
          <w:szCs w:val="22"/>
        </w:rPr>
        <w:t xml:space="preserve"> and brand advocacy, particularly when content is engaging and trusted by consumers. SMMA also correlates positively with BT (r ≈ .63) and EC (r ≈ .45), suggesting that richer social media activity tends to co-occur with greater brand trust and environmental awareness, possibly because digital campaigns that highlight transparency and sustainability build credibility and align with consumer values. The relationship between SMMA and ST is more moderate (r ≈ .30), which may reflect that while social media can promote </w:t>
      </w:r>
      <w:r w:rsidR="00B33F13" w:rsidRPr="00B33F13">
        <w:rPr>
          <w:rFonts w:cs="Times New Roman"/>
          <w:szCs w:val="22"/>
        </w:rPr>
        <w:lastRenderedPageBreak/>
        <w:t>sustainable narratives, broader sustainable behavior is influenced by deeper attitudes and external constraints beyond online marketing.</w:t>
      </w:r>
    </w:p>
    <w:p w14:paraId="250C6D80" w14:textId="77777777" w:rsidR="00B33F13" w:rsidRPr="00B33F13" w:rsidRDefault="00B33F13" w:rsidP="00B33F13">
      <w:pPr>
        <w:spacing w:line="360" w:lineRule="auto"/>
        <w:jc w:val="both"/>
        <w:rPr>
          <w:rFonts w:cs="Times New Roman"/>
          <w:szCs w:val="22"/>
        </w:rPr>
      </w:pPr>
      <w:r w:rsidRPr="00B33F13">
        <w:rPr>
          <w:rFonts w:cs="Times New Roman"/>
          <w:szCs w:val="22"/>
        </w:rPr>
        <w:t>Environmentally focused relationships reveal that EC correlates highly with PI (r ≈ .57) and BT (r ≈ .43). This pattern indicates that greater environmental concern translates into higher purchase propensity for brands perceived as environmentally responsible, and it strengthens trust when brands communicate genuine sustainability commitments. The link between EC and ST is substantial (r ≈ .72), implying that individuals with stronger environmental awareness are also more attuned to sustainable practices and messaging, and thus more likely to respond positively to sustainability-oriented brand signals. Sustainability (ST) also shows meaningful associations with BT (r ≈ .34) and PI (r ≈ .46). The moderate ST–BT correlation suggests that sustainability considerations enhance trust when brands deliver credible, verifiable actions; ST’s relationship with PI indicates that sustainable framing can enhance willingness to purchase, especially when paired with perceived quality and consistency.</w:t>
      </w:r>
    </w:p>
    <w:p w14:paraId="1D4F5334" w14:textId="6916A3EC" w:rsidR="00E76801" w:rsidRDefault="00B33F13" w:rsidP="00B33F13">
      <w:pPr>
        <w:spacing w:line="360" w:lineRule="auto"/>
        <w:jc w:val="both"/>
        <w:rPr>
          <w:rFonts w:cs="Times New Roman"/>
          <w:szCs w:val="22"/>
        </w:rPr>
      </w:pPr>
      <w:r w:rsidRPr="00B33F13">
        <w:rPr>
          <w:rFonts w:cs="Times New Roman"/>
          <w:szCs w:val="22"/>
        </w:rPr>
        <w:t xml:space="preserve">Brand Trust (BT) demonstrates the strongest production-to-purchase signal with PI (r ≈ .69). This robust BT–PI association underscores the central role of trust as a mediator of marketing effects on buying behavior; consumers inclined to trust a brand are more likely to translate that trust into action. The correlations </w:t>
      </w:r>
      <w:r w:rsidR="00C56F21" w:rsidRPr="00B33F13">
        <w:rPr>
          <w:rFonts w:cs="Times New Roman"/>
          <w:szCs w:val="22"/>
        </w:rPr>
        <w:t>between</w:t>
      </w:r>
      <w:r w:rsidRPr="00B33F13">
        <w:rPr>
          <w:rFonts w:cs="Times New Roman"/>
          <w:szCs w:val="22"/>
        </w:rPr>
        <w:t xml:space="preserve"> BT with SMMA and EC further support the notion that authentic, transparent, and value-aligned messaging on social media enhances trust and, consequently, purchase intention. While all observed correlations reach statistical significance at conventional levels (p &lt; .01), the magnitude varies, with the clearest and most consistent pattern observed between BT and PI, and between EC and ST. These results align with broader theories in brand equity and consumer behavior, which posit that trust and environmental values strongly influence purchase intentions, particularly in consumer segments that are digitally engaged and environmentally conscious. The combined pattern suggests a coherent narrative: authentic social media engagement that communicates credible sustainability and environmental responsibility strengthens brand trust, elevates environmental and ethical considerations, and ultimately drives purchase intentions. Limitations of </w:t>
      </w:r>
      <w:r w:rsidR="00C56F21" w:rsidRPr="00B33F13">
        <w:rPr>
          <w:rFonts w:cs="Times New Roman"/>
          <w:szCs w:val="22"/>
        </w:rPr>
        <w:t>correlational</w:t>
      </w:r>
      <w:r w:rsidRPr="00B33F13">
        <w:rPr>
          <w:rFonts w:cs="Times New Roman"/>
          <w:szCs w:val="22"/>
        </w:rPr>
        <w:t xml:space="preserve"> design should be acknowledged, including potential common method bias and the cross-sectional nature of the data, which restricts causal inferences. Future research could employ longitudinal designs or experimental manipulations to disentangle directionality and test mediation effects among SMMA, EC, ST, BT, and PI. Overall, </w:t>
      </w:r>
      <w:r w:rsidR="00C56F21" w:rsidRPr="00B33F13">
        <w:rPr>
          <w:rFonts w:cs="Times New Roman"/>
          <w:szCs w:val="22"/>
        </w:rPr>
        <w:t>image</w:t>
      </w:r>
      <w:r w:rsidRPr="00B33F13">
        <w:rPr>
          <w:rFonts w:cs="Times New Roman"/>
          <w:szCs w:val="22"/>
        </w:rPr>
        <w:t>-driven results support existing literature on the synergy between digital marketing, sustainability, and consumer purchase behavior</w:t>
      </w:r>
      <w:r w:rsidR="00946AE6">
        <w:rPr>
          <w:rFonts w:cs="Times New Roman"/>
          <w:szCs w:val="22"/>
        </w:rPr>
        <w:t>.</w:t>
      </w:r>
    </w:p>
    <w:p w14:paraId="53EC2CE6" w14:textId="77777777" w:rsidR="004E4A11" w:rsidRDefault="004E4A11" w:rsidP="00B33F13">
      <w:pPr>
        <w:spacing w:line="360" w:lineRule="auto"/>
        <w:jc w:val="both"/>
        <w:rPr>
          <w:rFonts w:cs="Times New Roman"/>
          <w:szCs w:val="22"/>
        </w:rPr>
      </w:pPr>
    </w:p>
    <w:p w14:paraId="195C096A" w14:textId="02ECAED5" w:rsidR="004E4A11" w:rsidRDefault="00DF6182" w:rsidP="00B33F13">
      <w:pPr>
        <w:spacing w:line="360" w:lineRule="auto"/>
        <w:jc w:val="both"/>
        <w:rPr>
          <w:rFonts w:cs="Times New Roman"/>
          <w:szCs w:val="22"/>
        </w:rPr>
      </w:pPr>
      <w:r w:rsidRPr="00DF6182">
        <w:rPr>
          <w:rFonts w:cs="Times New Roman"/>
          <w:noProof/>
          <w:szCs w:val="22"/>
        </w:rPr>
        <w:lastRenderedPageBreak/>
        <w:drawing>
          <wp:inline distT="0" distB="0" distL="0" distR="0" wp14:anchorId="4CFBD827" wp14:editId="62677E31">
            <wp:extent cx="5588000" cy="4285098"/>
            <wp:effectExtent l="0" t="0" r="0" b="1270"/>
            <wp:docPr id="2015458100" name="Picture 1" descr="A screenshot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458100" name="Picture 1" descr="A screenshot of a table&#10;&#10;AI-generated content may be incorrect."/>
                    <pic:cNvPicPr/>
                  </pic:nvPicPr>
                  <pic:blipFill>
                    <a:blip r:embed="rId48"/>
                    <a:stretch>
                      <a:fillRect/>
                    </a:stretch>
                  </pic:blipFill>
                  <pic:spPr>
                    <a:xfrm>
                      <a:off x="0" y="0"/>
                      <a:ext cx="5590238" cy="4286814"/>
                    </a:xfrm>
                    <a:prstGeom prst="rect">
                      <a:avLst/>
                    </a:prstGeom>
                  </pic:spPr>
                </pic:pic>
              </a:graphicData>
            </a:graphic>
          </wp:inline>
        </w:drawing>
      </w:r>
    </w:p>
    <w:p w14:paraId="1A136558" w14:textId="77777777" w:rsidR="004A739D" w:rsidRPr="00915260" w:rsidRDefault="004A739D" w:rsidP="00716380">
      <w:pPr>
        <w:spacing w:line="360" w:lineRule="auto"/>
        <w:ind w:left="720"/>
        <w:jc w:val="both"/>
        <w:rPr>
          <w:rFonts w:cs="Times New Roman"/>
          <w:szCs w:val="22"/>
        </w:rPr>
      </w:pPr>
    </w:p>
    <w:p w14:paraId="7BB35BD7" w14:textId="0551179A" w:rsidR="00CC5C0E" w:rsidRPr="00915260" w:rsidRDefault="00CC5C0E" w:rsidP="00CC5C0E">
      <w:pPr>
        <w:pStyle w:val="Heading2"/>
        <w:numPr>
          <w:ilvl w:val="1"/>
          <w:numId w:val="5"/>
        </w:numPr>
        <w:spacing w:line="360" w:lineRule="auto"/>
        <w:ind w:left="450" w:hanging="450"/>
        <w:jc w:val="both"/>
        <w:rPr>
          <w:rFonts w:cs="Times New Roman"/>
          <w:b/>
          <w:bCs/>
          <w:sz w:val="22"/>
          <w:szCs w:val="22"/>
        </w:rPr>
      </w:pPr>
      <w:bookmarkStart w:id="97" w:name="_Toc213748953"/>
      <w:r w:rsidRPr="00915260">
        <w:rPr>
          <w:rFonts w:cs="Times New Roman"/>
          <w:b/>
          <w:bCs/>
          <w:sz w:val="22"/>
          <w:szCs w:val="22"/>
        </w:rPr>
        <w:t>Regression Analyses</w:t>
      </w:r>
      <w:bookmarkEnd w:id="97"/>
    </w:p>
    <w:p w14:paraId="3B529756" w14:textId="4CEDC2E0" w:rsidR="00E0568A" w:rsidRDefault="00BA3DAB" w:rsidP="00E0568A">
      <w:pPr>
        <w:spacing w:line="360" w:lineRule="auto"/>
        <w:jc w:val="both"/>
        <w:rPr>
          <w:rFonts w:cs="Times New Roman"/>
          <w:szCs w:val="22"/>
        </w:rPr>
      </w:pPr>
      <w:r w:rsidRPr="00BA3DAB">
        <w:rPr>
          <w:rFonts w:cs="Times New Roman"/>
          <w:szCs w:val="22"/>
        </w:rPr>
        <w:t>Regression analysis serves as a powerful statistical method to examine the relationship between multiple independent variables and a dependent variable</w:t>
      </w:r>
      <w:r w:rsidR="00386E07">
        <w:rPr>
          <w:rFonts w:cs="Times New Roman"/>
          <w:szCs w:val="22"/>
        </w:rPr>
        <w:t xml:space="preserve"> </w:t>
      </w:r>
      <w:r w:rsidR="00386E07" w:rsidRPr="00386E07">
        <w:rPr>
          <w:rFonts w:cs="Times New Roman"/>
          <w:szCs w:val="22"/>
        </w:rPr>
        <w:t>(Bobbitt, 2021)</w:t>
      </w:r>
      <w:r w:rsidR="00F64919">
        <w:rPr>
          <w:rFonts w:cs="Times New Roman"/>
          <w:szCs w:val="22"/>
        </w:rPr>
        <w:t>.  T</w:t>
      </w:r>
      <w:r w:rsidRPr="00BA3DAB">
        <w:rPr>
          <w:rFonts w:cs="Times New Roman"/>
          <w:szCs w:val="22"/>
        </w:rPr>
        <w:t>o identify the key factors influencing consumer purchase intention for Nescafé instant coffee in Hong Kong</w:t>
      </w:r>
      <w:r w:rsidR="00F64919">
        <w:rPr>
          <w:rFonts w:cs="Times New Roman"/>
          <w:szCs w:val="22"/>
        </w:rPr>
        <w:t>, regression analysis</w:t>
      </w:r>
      <w:r w:rsidRPr="00BA3DAB">
        <w:rPr>
          <w:rFonts w:cs="Times New Roman"/>
          <w:szCs w:val="22"/>
        </w:rPr>
        <w:t xml:space="preserve"> not only quantifies the extent to which each predictor affects the outcome but also assesses the overall model fit and validity. Prior to conducting the regression, assumptions such as normality, linearity, independence, and absence of multicollinearity were tested to ensure reliable and interpretable results. The following sections present a comprehensive summary of the regression model including its significance, predictive power, coefficient estimates, and diagnostic evaluations</w:t>
      </w:r>
    </w:p>
    <w:p w14:paraId="4A0FA322" w14:textId="77777777" w:rsidR="00F64919" w:rsidRDefault="00F64919" w:rsidP="00E0568A">
      <w:pPr>
        <w:spacing w:line="360" w:lineRule="auto"/>
        <w:jc w:val="both"/>
        <w:rPr>
          <w:rFonts w:cs="Times New Roman"/>
          <w:szCs w:val="22"/>
        </w:rPr>
      </w:pPr>
    </w:p>
    <w:p w14:paraId="7B1D3E11" w14:textId="36865A18" w:rsidR="003B2F65" w:rsidRDefault="003B7C2A" w:rsidP="003B2F65">
      <w:pPr>
        <w:pStyle w:val="ListParagraph"/>
        <w:numPr>
          <w:ilvl w:val="2"/>
          <w:numId w:val="5"/>
        </w:numPr>
        <w:spacing w:line="360" w:lineRule="auto"/>
        <w:jc w:val="both"/>
        <w:rPr>
          <w:rFonts w:cs="Times New Roman"/>
          <w:b/>
          <w:bCs/>
          <w:szCs w:val="22"/>
        </w:rPr>
      </w:pPr>
      <w:r w:rsidRPr="003B7C2A">
        <w:rPr>
          <w:rFonts w:cs="Times New Roman"/>
          <w:b/>
          <w:bCs/>
          <w:szCs w:val="22"/>
        </w:rPr>
        <w:t>Regression Model Summary</w:t>
      </w:r>
      <w:r w:rsidR="00586DE0">
        <w:rPr>
          <w:rFonts w:cs="Times New Roman"/>
          <w:b/>
          <w:bCs/>
          <w:szCs w:val="22"/>
        </w:rPr>
        <w:tab/>
      </w:r>
    </w:p>
    <w:p w14:paraId="74E66EED" w14:textId="6F891BE0" w:rsidR="00F80C02" w:rsidRDefault="00F80C02" w:rsidP="00F80C02">
      <w:pPr>
        <w:spacing w:line="360" w:lineRule="auto"/>
        <w:ind w:left="720"/>
        <w:jc w:val="both"/>
      </w:pPr>
      <w:r w:rsidRPr="00F80C02">
        <w:t xml:space="preserve">To investigate the factors influencing consumer purchase intention for Nescafé instant coffee in Hong Kong, a multiple linear regression analysis was conducted. </w:t>
      </w:r>
      <w:r w:rsidR="00AB763B" w:rsidRPr="00AB763B">
        <w:t xml:space="preserve">The core model used multiple linear regression to examine the influence of social media marketing activities (ENT1, WOM1), sustainability (ST4), and brand </w:t>
      </w:r>
      <w:r w:rsidR="00AB763B" w:rsidRPr="00AB763B">
        <w:lastRenderedPageBreak/>
        <w:t xml:space="preserve">trust (BT3, BT4) on purchase intention (PI). </w:t>
      </w:r>
      <w:r w:rsidRPr="00F80C02">
        <w:t xml:space="preserve">The model </w:t>
      </w:r>
      <w:r w:rsidR="003C64DF">
        <w:t xml:space="preserve">summary </w:t>
      </w:r>
      <w:r w:rsidR="00F3161B">
        <w:t xml:space="preserve">on Table 4.6.1 </w:t>
      </w:r>
      <w:r w:rsidRPr="00F80C02">
        <w:t>incorporated five independent variables</w:t>
      </w:r>
      <w:r w:rsidR="00F64919">
        <w:t xml:space="preserve">, </w:t>
      </w:r>
      <w:r w:rsidR="0077397A">
        <w:t>social media marketing activities</w:t>
      </w:r>
      <w:r w:rsidRPr="00F80C02">
        <w:t xml:space="preserve"> (ENT1)</w:t>
      </w:r>
      <w:r w:rsidR="0077397A">
        <w:t xml:space="preserve"> and</w:t>
      </w:r>
      <w:r w:rsidRPr="00F80C02">
        <w:t xml:space="preserve"> (WOM1), sustainability (ST4), brand </w:t>
      </w:r>
      <w:r w:rsidR="0077397A">
        <w:t>trust</w:t>
      </w:r>
      <w:r w:rsidRPr="00F80C02">
        <w:t xml:space="preserve"> (BT3)</w:t>
      </w:r>
      <w:r w:rsidR="0077397A">
        <w:t xml:space="preserve"> and </w:t>
      </w:r>
      <w:r w:rsidRPr="00F80C02">
        <w:t>(BT4)</w:t>
      </w:r>
      <w:r w:rsidR="0077397A">
        <w:t xml:space="preserve"> </w:t>
      </w:r>
      <w:r w:rsidRPr="00F80C02">
        <w:t xml:space="preserve">with purchase intention (PI) as the dependent variable. The results indicated a strong model fit, with an </w:t>
      </w:r>
      <w:r>
        <w:t>R</w:t>
      </w:r>
      <w:r w:rsidRPr="00F80C02">
        <w:rPr>
          <w:vertAlign w:val="superscript"/>
        </w:rPr>
        <w:t>2</w:t>
      </w:r>
      <w:r>
        <w:t xml:space="preserve"> value of </w:t>
      </w:r>
      <w:r w:rsidRPr="00F80C02">
        <w:t xml:space="preserve">0.693 and an adjusted </w:t>
      </w:r>
      <w:r>
        <w:t>R</w:t>
      </w:r>
      <w:r w:rsidRPr="00F80C02">
        <w:rPr>
          <w:vertAlign w:val="superscript"/>
        </w:rPr>
        <w:t>2</w:t>
      </w:r>
      <w:r w:rsidRPr="00F80C02">
        <w:t xml:space="preserve"> </w:t>
      </w:r>
      <w:r>
        <w:t>value</w:t>
      </w:r>
      <w:r w:rsidRPr="00F80C02">
        <w:t xml:space="preserve"> of 0.687, suggesting that approximately 69% of the variance in purchase intention is explained by these predictors. The standard error of the estimate was 0.479, </w:t>
      </w:r>
      <w:r w:rsidR="00777C0B">
        <w:t>t</w:t>
      </w:r>
      <w:r w:rsidR="00777C0B" w:rsidRPr="00777C0B">
        <w:t>his demonstrates high explanatory power and supports the relevance of the included variables for understanding purchase intentions</w:t>
      </w:r>
      <w:r w:rsidRPr="00F80C02">
        <w:t>.</w:t>
      </w:r>
      <w:r w:rsidR="003B7C2A">
        <w:t xml:space="preserve"> </w:t>
      </w:r>
      <w:r w:rsidR="000D64F5">
        <w:t xml:space="preserve"> </w:t>
      </w:r>
      <w:r w:rsidR="000D64F5" w:rsidRPr="000D64F5">
        <w:t>Significance of BT3: “I trust Nescafé offers good quality”</w:t>
      </w:r>
      <w:r w:rsidR="0084167D">
        <w:t xml:space="preserve"> </w:t>
      </w:r>
      <w:r w:rsidR="0084167D" w:rsidRPr="0084167D">
        <w:t>The regression analysis shows BT3 contributes substantially to the model, with a positive and significant coefficient, meaning respondents who trust the quality of Nescafé are demonstrably more likely to express purchase intention</w:t>
      </w:r>
      <w:r w:rsidR="0084167D">
        <w:t xml:space="preserve">. </w:t>
      </w:r>
    </w:p>
    <w:p w14:paraId="7A181FB2" w14:textId="5846143F" w:rsidR="0077397A" w:rsidRDefault="00F3161B" w:rsidP="00F80C02">
      <w:pPr>
        <w:spacing w:line="360" w:lineRule="auto"/>
        <w:ind w:left="720"/>
        <w:jc w:val="both"/>
      </w:pPr>
      <w:r w:rsidRPr="00F3161B">
        <w:rPr>
          <w:noProof/>
        </w:rPr>
        <w:drawing>
          <wp:inline distT="0" distB="0" distL="0" distR="0" wp14:anchorId="13838FED" wp14:editId="05E5BBEE">
            <wp:extent cx="3204926" cy="1530144"/>
            <wp:effectExtent l="0" t="0" r="0" b="0"/>
            <wp:docPr id="495852544"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52544" name="Picture 1" descr="A close-up of a table&#10;&#10;AI-generated content may be incorrect."/>
                    <pic:cNvPicPr/>
                  </pic:nvPicPr>
                  <pic:blipFill>
                    <a:blip r:embed="rId49"/>
                    <a:stretch>
                      <a:fillRect/>
                    </a:stretch>
                  </pic:blipFill>
                  <pic:spPr>
                    <a:xfrm>
                      <a:off x="0" y="0"/>
                      <a:ext cx="3236659" cy="1545294"/>
                    </a:xfrm>
                    <a:prstGeom prst="rect">
                      <a:avLst/>
                    </a:prstGeom>
                  </pic:spPr>
                </pic:pic>
              </a:graphicData>
            </a:graphic>
          </wp:inline>
        </w:drawing>
      </w:r>
    </w:p>
    <w:p w14:paraId="33F8EA07" w14:textId="77777777" w:rsidR="0077397A" w:rsidRPr="00F80C02" w:rsidRDefault="0077397A" w:rsidP="00F80C02">
      <w:pPr>
        <w:spacing w:line="360" w:lineRule="auto"/>
        <w:ind w:left="720"/>
        <w:jc w:val="both"/>
      </w:pPr>
    </w:p>
    <w:p w14:paraId="7EE1CF3B" w14:textId="094A81AD" w:rsidR="00F80C02" w:rsidRDefault="00E72BAE" w:rsidP="003B2F65">
      <w:pPr>
        <w:pStyle w:val="ListParagraph"/>
        <w:numPr>
          <w:ilvl w:val="2"/>
          <w:numId w:val="5"/>
        </w:numPr>
        <w:spacing w:line="360" w:lineRule="auto"/>
        <w:jc w:val="both"/>
        <w:rPr>
          <w:rFonts w:cs="Times New Roman"/>
          <w:b/>
          <w:bCs/>
          <w:szCs w:val="22"/>
        </w:rPr>
      </w:pPr>
      <w:r>
        <w:rPr>
          <w:rFonts w:cs="Times New Roman"/>
          <w:b/>
          <w:bCs/>
          <w:szCs w:val="22"/>
        </w:rPr>
        <w:t xml:space="preserve"> ANOVA and Model Significance</w:t>
      </w:r>
    </w:p>
    <w:p w14:paraId="4030443B" w14:textId="16FD554A" w:rsidR="00E72BAE" w:rsidRDefault="002F7539" w:rsidP="002F7539">
      <w:pPr>
        <w:spacing w:line="360" w:lineRule="auto"/>
        <w:ind w:left="720"/>
        <w:jc w:val="both"/>
      </w:pPr>
      <w:r w:rsidRPr="002F7539">
        <w:t>The analysis of variance (ANOVA)</w:t>
      </w:r>
      <w:r w:rsidR="003353D0">
        <w:t xml:space="preserve"> in Table 4.6.2</w:t>
      </w:r>
      <w:r w:rsidRPr="002F7539">
        <w:t xml:space="preserve"> confirmed that the overall regression model was statistically significant </w:t>
      </w:r>
      <w:r>
        <w:t>(</w:t>
      </w:r>
      <w:r w:rsidRPr="002F7539">
        <w:t xml:space="preserve">F=104.934,p&lt;0.001), </w:t>
      </w:r>
      <w:r w:rsidR="00DB5704" w:rsidRPr="00DB5704">
        <w:t>confirming that the regression model</w:t>
      </w:r>
      <w:r w:rsidR="00DB5704">
        <w:t xml:space="preserve">, </w:t>
      </w:r>
      <w:r w:rsidR="00DB5704" w:rsidRPr="00DB5704">
        <w:t>hence the full set of predictors</w:t>
      </w:r>
      <w:r w:rsidR="00DB5704">
        <w:t xml:space="preserve">, </w:t>
      </w:r>
      <w:r w:rsidR="00DB5704" w:rsidRPr="00DB5704">
        <w:t xml:space="preserve">significantly improves the prediction of purchase intention over the model. Thus, these variables work collectively in shaping consumer </w:t>
      </w:r>
      <w:r w:rsidR="00B00B10">
        <w:t>purchase intention</w:t>
      </w:r>
      <w:r w:rsidR="00DB5704" w:rsidRPr="00DB5704">
        <w:t>, aligning with the theoretical expectations from</w:t>
      </w:r>
      <w:r w:rsidR="007C79FA">
        <w:t xml:space="preserve"> literature review section</w:t>
      </w:r>
      <w:r w:rsidR="00DB5704" w:rsidRPr="00DB5704">
        <w:t>.</w:t>
      </w:r>
    </w:p>
    <w:p w14:paraId="097DE30B" w14:textId="47BD844B" w:rsidR="00E72BAE" w:rsidRDefault="00AC14E5" w:rsidP="00AC14E5">
      <w:pPr>
        <w:spacing w:line="360" w:lineRule="auto"/>
        <w:ind w:left="720"/>
        <w:jc w:val="both"/>
        <w:rPr>
          <w:rFonts w:cs="Times New Roman"/>
          <w:b/>
          <w:bCs/>
          <w:szCs w:val="22"/>
        </w:rPr>
      </w:pPr>
      <w:r w:rsidRPr="00AC14E5">
        <w:rPr>
          <w:rFonts w:cs="Times New Roman"/>
          <w:b/>
          <w:bCs/>
          <w:noProof/>
          <w:szCs w:val="22"/>
        </w:rPr>
        <w:drawing>
          <wp:inline distT="0" distB="0" distL="0" distR="0" wp14:anchorId="4C891BF2" wp14:editId="5C60A0A4">
            <wp:extent cx="3254542" cy="1366013"/>
            <wp:effectExtent l="0" t="0" r="3175" b="5715"/>
            <wp:docPr id="1172431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31185" name=""/>
                    <pic:cNvPicPr/>
                  </pic:nvPicPr>
                  <pic:blipFill>
                    <a:blip r:embed="rId50"/>
                    <a:stretch>
                      <a:fillRect/>
                    </a:stretch>
                  </pic:blipFill>
                  <pic:spPr>
                    <a:xfrm>
                      <a:off x="0" y="0"/>
                      <a:ext cx="3280366" cy="1376852"/>
                    </a:xfrm>
                    <a:prstGeom prst="rect">
                      <a:avLst/>
                    </a:prstGeom>
                  </pic:spPr>
                </pic:pic>
              </a:graphicData>
            </a:graphic>
          </wp:inline>
        </w:drawing>
      </w:r>
    </w:p>
    <w:p w14:paraId="54244AAB" w14:textId="1B893A90" w:rsidR="00D5040A" w:rsidRDefault="00D5040A">
      <w:pPr>
        <w:rPr>
          <w:rFonts w:cs="Times New Roman"/>
          <w:b/>
          <w:bCs/>
          <w:szCs w:val="22"/>
        </w:rPr>
      </w:pPr>
      <w:r>
        <w:rPr>
          <w:rFonts w:cs="Times New Roman"/>
          <w:b/>
          <w:bCs/>
          <w:szCs w:val="22"/>
        </w:rPr>
        <w:br w:type="page"/>
      </w:r>
    </w:p>
    <w:p w14:paraId="5C102631" w14:textId="2B4032BC" w:rsidR="00F80C02" w:rsidRDefault="006B72E2" w:rsidP="003B2F65">
      <w:pPr>
        <w:pStyle w:val="ListParagraph"/>
        <w:numPr>
          <w:ilvl w:val="2"/>
          <w:numId w:val="5"/>
        </w:numPr>
        <w:spacing w:line="360" w:lineRule="auto"/>
        <w:jc w:val="both"/>
        <w:rPr>
          <w:rFonts w:cs="Times New Roman"/>
          <w:b/>
          <w:bCs/>
          <w:szCs w:val="22"/>
        </w:rPr>
      </w:pPr>
      <w:r>
        <w:rPr>
          <w:rFonts w:cs="Times New Roman"/>
          <w:b/>
          <w:bCs/>
          <w:szCs w:val="22"/>
        </w:rPr>
        <w:lastRenderedPageBreak/>
        <w:t xml:space="preserve"> </w:t>
      </w:r>
      <w:r w:rsidRPr="006B72E2">
        <w:rPr>
          <w:rFonts w:cs="Times New Roman"/>
          <w:b/>
          <w:bCs/>
          <w:szCs w:val="22"/>
        </w:rPr>
        <w:t>Coefficient Assessment and Predictor Importance</w:t>
      </w:r>
    </w:p>
    <w:p w14:paraId="23CDBE20" w14:textId="06CE2DBB" w:rsidR="00212848" w:rsidRDefault="006B72E2" w:rsidP="006B72E2">
      <w:pPr>
        <w:spacing w:line="360" w:lineRule="auto"/>
        <w:ind w:left="720"/>
        <w:jc w:val="both"/>
      </w:pPr>
      <w:r>
        <w:t>Each independent variable in the model was found to be a significant predictor of purchase intention (p&lt;0.001)</w:t>
      </w:r>
      <w:r w:rsidR="003353D0">
        <w:t xml:space="preserve"> in Table 4.6.3</w:t>
      </w:r>
      <w:r>
        <w:t>, with standardized Beta coefficients identifying the relative influence of each factor</w:t>
      </w:r>
      <w:r w:rsidR="00946FA4">
        <w:t xml:space="preserve"> </w:t>
      </w:r>
      <w:r w:rsidR="00946FA4" w:rsidRPr="00630C9A">
        <w:t>(Chaudhuri and Holbrook,</w:t>
      </w:r>
      <w:r w:rsidR="00946FA4">
        <w:t xml:space="preserve"> (</w:t>
      </w:r>
      <w:r w:rsidR="00946FA4" w:rsidRPr="00630C9A">
        <w:t>2001</w:t>
      </w:r>
      <w:r w:rsidR="00946FA4">
        <w:t>)</w:t>
      </w:r>
      <w:r>
        <w:t xml:space="preserve">. </w:t>
      </w:r>
    </w:p>
    <w:p w14:paraId="089E2063" w14:textId="1B8F6941" w:rsidR="004D5CE4" w:rsidRDefault="004D5CE4" w:rsidP="004D5CE4">
      <w:pPr>
        <w:spacing w:line="360" w:lineRule="auto"/>
        <w:ind w:left="720"/>
        <w:jc w:val="both"/>
      </w:pPr>
      <w:r>
        <w:t xml:space="preserve">Word-of-Mouth in </w:t>
      </w:r>
      <w:r w:rsidR="00212848">
        <w:t xml:space="preserve">Social Media Marketing Activities </w:t>
      </w:r>
      <w:r>
        <w:t>(</w:t>
      </w:r>
      <w:r w:rsidR="00212848" w:rsidRPr="00212848">
        <w:t>WOM1): Beta = 0.331, exerted the strongest positive effect. This highlights the critical role of peer influence and user-generated recommendations in boosting consumer purchase intention—consistent with findings from digital marketing literature.</w:t>
      </w:r>
      <w:r w:rsidRPr="004D5CE4">
        <w:t xml:space="preserve"> </w:t>
      </w:r>
    </w:p>
    <w:p w14:paraId="3DA30A6D" w14:textId="2A0C20F4" w:rsidR="004D5CE4" w:rsidRDefault="004D5CE4" w:rsidP="004D5CE4">
      <w:pPr>
        <w:spacing w:line="360" w:lineRule="auto"/>
        <w:ind w:left="720"/>
        <w:jc w:val="both"/>
      </w:pPr>
      <w:r>
        <w:t xml:space="preserve">Entertainment </w:t>
      </w:r>
      <w:r w:rsidR="00B2039F">
        <w:t xml:space="preserve">in </w:t>
      </w:r>
      <w:r>
        <w:t xml:space="preserve">Social Media Marketing Activities </w:t>
      </w:r>
      <w:r w:rsidR="00B2039F">
        <w:t>(</w:t>
      </w:r>
      <w:r>
        <w:t>ENT1): Beta = 0.188, reflecting how engaging digital content can stimulate positive brand attitudes and drive purchase decisions.</w:t>
      </w:r>
    </w:p>
    <w:p w14:paraId="7900C562" w14:textId="76EFD746" w:rsidR="006B72E2" w:rsidRDefault="00946FA4" w:rsidP="00946FA4">
      <w:pPr>
        <w:spacing w:line="360" w:lineRule="auto"/>
        <w:ind w:left="720"/>
        <w:jc w:val="both"/>
      </w:pPr>
      <w:r w:rsidRPr="00946FA4">
        <w:t xml:space="preserve">Brand </w:t>
      </w:r>
      <w:r>
        <w:t>Trust</w:t>
      </w:r>
      <w:r w:rsidR="00B2039F">
        <w:t xml:space="preserve"> (BT)</w:t>
      </w:r>
      <w:r w:rsidRPr="00946FA4">
        <w:t>: Beta = 0.308 and BT3 = 0.171, both significant, indicating that trust in brand reliability, honesty, and competence is a fundamental driver of purchase intention.</w:t>
      </w:r>
    </w:p>
    <w:p w14:paraId="5FAE9022" w14:textId="73343E99" w:rsidR="004D5CE4" w:rsidRDefault="00B2039F" w:rsidP="004D5CE4">
      <w:pPr>
        <w:spacing w:line="360" w:lineRule="auto"/>
        <w:ind w:left="720"/>
      </w:pPr>
      <w:r>
        <w:t>Sustainability (</w:t>
      </w:r>
      <w:r w:rsidR="004D5CE4">
        <w:t xml:space="preserve">ST4): Beta = 0.266, showing genuine sustainability practices </w:t>
      </w:r>
      <w:r>
        <w:t>such as</w:t>
      </w:r>
      <w:r w:rsidR="004D5CE4">
        <w:t xml:space="preserve"> eco-friendly packaging, ethical sourcing also strongly enhance consumer motivation to purchase.</w:t>
      </w:r>
    </w:p>
    <w:p w14:paraId="459F9A49" w14:textId="3CF2E057" w:rsidR="00EC15FF" w:rsidRDefault="00F863D5" w:rsidP="006B72E2">
      <w:pPr>
        <w:spacing w:line="360" w:lineRule="auto"/>
        <w:ind w:left="720"/>
        <w:jc w:val="both"/>
      </w:pPr>
      <w:r w:rsidRPr="00F863D5">
        <w:rPr>
          <w:noProof/>
        </w:rPr>
        <w:drawing>
          <wp:inline distT="0" distB="0" distL="0" distR="0" wp14:anchorId="4C954AA3" wp14:editId="46280691">
            <wp:extent cx="5169628" cy="2025650"/>
            <wp:effectExtent l="0" t="0" r="0" b="0"/>
            <wp:docPr id="1442925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925849" name=""/>
                    <pic:cNvPicPr/>
                  </pic:nvPicPr>
                  <pic:blipFill>
                    <a:blip r:embed="rId51"/>
                    <a:stretch>
                      <a:fillRect/>
                    </a:stretch>
                  </pic:blipFill>
                  <pic:spPr>
                    <a:xfrm>
                      <a:off x="0" y="0"/>
                      <a:ext cx="5171794" cy="2026499"/>
                    </a:xfrm>
                    <a:prstGeom prst="rect">
                      <a:avLst/>
                    </a:prstGeom>
                  </pic:spPr>
                </pic:pic>
              </a:graphicData>
            </a:graphic>
          </wp:inline>
        </w:drawing>
      </w:r>
    </w:p>
    <w:p w14:paraId="5F020F80" w14:textId="77777777" w:rsidR="00EC15FF" w:rsidRPr="006B72E2" w:rsidRDefault="00EC15FF" w:rsidP="006B72E2">
      <w:pPr>
        <w:spacing w:line="360" w:lineRule="auto"/>
        <w:ind w:left="720"/>
        <w:jc w:val="both"/>
        <w:rPr>
          <w:rFonts w:cs="Times New Roman"/>
          <w:b/>
          <w:bCs/>
          <w:szCs w:val="22"/>
        </w:rPr>
      </w:pPr>
    </w:p>
    <w:p w14:paraId="762B5C85" w14:textId="68826E48" w:rsidR="006B72E2" w:rsidRDefault="00E5294E" w:rsidP="003B2F65">
      <w:pPr>
        <w:pStyle w:val="ListParagraph"/>
        <w:numPr>
          <w:ilvl w:val="2"/>
          <w:numId w:val="5"/>
        </w:numPr>
        <w:spacing w:line="360" w:lineRule="auto"/>
        <w:jc w:val="both"/>
        <w:rPr>
          <w:rFonts w:cs="Times New Roman"/>
          <w:b/>
          <w:bCs/>
          <w:szCs w:val="22"/>
        </w:rPr>
      </w:pPr>
      <w:r>
        <w:rPr>
          <w:rFonts w:cs="Times New Roman"/>
          <w:b/>
          <w:bCs/>
          <w:szCs w:val="22"/>
        </w:rPr>
        <w:t xml:space="preserve"> Collinearity Diagnostics</w:t>
      </w:r>
    </w:p>
    <w:p w14:paraId="6595E3E3" w14:textId="7419CF51" w:rsidR="00CE1B4E" w:rsidRDefault="00E90BD2" w:rsidP="00F16242">
      <w:pPr>
        <w:spacing w:line="360" w:lineRule="auto"/>
        <w:ind w:left="720"/>
        <w:jc w:val="both"/>
      </w:pPr>
      <w:r>
        <w:t xml:space="preserve">Table 4.6.4, </w:t>
      </w:r>
      <w:r w:rsidR="002F75C3" w:rsidRPr="002F75C3">
        <w:t>Variance Inflation Factor (VIF) values for all predictors were below 1.5, far lower than the conventional threshold of 5. Condition indices confirmed the lack of multicollinearity, establishing that the predictive power of each variable is not compromised by overlap or redundancy. This result validates the independence of the predictors and supports the robustness of the analytic approach.</w:t>
      </w:r>
    </w:p>
    <w:p w14:paraId="1DA705DF" w14:textId="189A4F96" w:rsidR="00CE1B4E" w:rsidRDefault="00CE1B4E" w:rsidP="00CE1B4E">
      <w:pPr>
        <w:spacing w:line="360" w:lineRule="auto"/>
        <w:jc w:val="both"/>
        <w:rPr>
          <w:rFonts w:cs="Times New Roman"/>
          <w:b/>
          <w:bCs/>
          <w:szCs w:val="22"/>
        </w:rPr>
      </w:pPr>
      <w:r w:rsidRPr="00CE1B4E">
        <w:rPr>
          <w:rFonts w:cs="Times New Roman"/>
          <w:b/>
          <w:bCs/>
          <w:noProof/>
          <w:szCs w:val="22"/>
        </w:rPr>
        <w:lastRenderedPageBreak/>
        <w:drawing>
          <wp:inline distT="0" distB="0" distL="0" distR="0" wp14:anchorId="72EBDC3F" wp14:editId="021C2AD1">
            <wp:extent cx="5943600" cy="1830705"/>
            <wp:effectExtent l="0" t="0" r="0" b="0"/>
            <wp:docPr id="18342214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21470" name=""/>
                    <pic:cNvPicPr/>
                  </pic:nvPicPr>
                  <pic:blipFill>
                    <a:blip r:embed="rId52"/>
                    <a:stretch>
                      <a:fillRect/>
                    </a:stretch>
                  </pic:blipFill>
                  <pic:spPr>
                    <a:xfrm>
                      <a:off x="0" y="0"/>
                      <a:ext cx="5943600" cy="1830705"/>
                    </a:xfrm>
                    <a:prstGeom prst="rect">
                      <a:avLst/>
                    </a:prstGeom>
                  </pic:spPr>
                </pic:pic>
              </a:graphicData>
            </a:graphic>
          </wp:inline>
        </w:drawing>
      </w:r>
    </w:p>
    <w:p w14:paraId="24FB7794" w14:textId="77777777" w:rsidR="00CE1B4E" w:rsidRPr="00CE1B4E" w:rsidRDefault="00CE1B4E" w:rsidP="00CE1B4E">
      <w:pPr>
        <w:spacing w:line="360" w:lineRule="auto"/>
        <w:jc w:val="both"/>
        <w:rPr>
          <w:rFonts w:cs="Times New Roman"/>
          <w:b/>
          <w:bCs/>
          <w:szCs w:val="22"/>
        </w:rPr>
      </w:pPr>
    </w:p>
    <w:p w14:paraId="77333B2D" w14:textId="383A5A69" w:rsidR="00E5294E" w:rsidRDefault="008F45B7" w:rsidP="003B2F65">
      <w:pPr>
        <w:pStyle w:val="ListParagraph"/>
        <w:numPr>
          <w:ilvl w:val="2"/>
          <w:numId w:val="5"/>
        </w:numPr>
        <w:spacing w:line="360" w:lineRule="auto"/>
        <w:jc w:val="both"/>
        <w:rPr>
          <w:rFonts w:cs="Times New Roman"/>
          <w:b/>
          <w:bCs/>
          <w:szCs w:val="22"/>
        </w:rPr>
      </w:pPr>
      <w:r w:rsidRPr="008F45B7">
        <w:rPr>
          <w:rFonts w:cs="Times New Roman"/>
          <w:b/>
          <w:bCs/>
          <w:szCs w:val="22"/>
        </w:rPr>
        <w:t>Residuals Statistics</w:t>
      </w:r>
    </w:p>
    <w:p w14:paraId="4F99EB5A" w14:textId="60C5B4C7" w:rsidR="008F45B7" w:rsidRDefault="002F75C3" w:rsidP="008F45B7">
      <w:pPr>
        <w:spacing w:line="360" w:lineRule="auto"/>
        <w:ind w:left="720"/>
        <w:jc w:val="both"/>
      </w:pPr>
      <w:r w:rsidRPr="002F75C3">
        <w:t xml:space="preserve">Diagnostics on residuals </w:t>
      </w:r>
      <w:r>
        <w:t>that</w:t>
      </w:r>
      <w:r w:rsidR="00E90BD2">
        <w:t xml:space="preserve"> Table 4.6.5 shows</w:t>
      </w:r>
      <w:r>
        <w:t xml:space="preserve"> </w:t>
      </w:r>
      <w:r w:rsidRPr="002F75C3">
        <w:t>difference between observed and predicted values confirmed suitability of the model. Minimum and maximum residuals fell within acceptable ranges, and the standard deviation of residuals was appropriate, further supporting the absence of outliers or model misspecification.</w:t>
      </w:r>
    </w:p>
    <w:p w14:paraId="1AFCA018" w14:textId="5E04B44D" w:rsidR="008F45B7" w:rsidRDefault="002B4182" w:rsidP="008F45B7">
      <w:pPr>
        <w:spacing w:line="360" w:lineRule="auto"/>
        <w:ind w:left="720"/>
        <w:jc w:val="both"/>
      </w:pPr>
      <w:r w:rsidRPr="002B4182">
        <w:rPr>
          <w:noProof/>
        </w:rPr>
        <w:drawing>
          <wp:inline distT="0" distB="0" distL="0" distR="0" wp14:anchorId="7585C855" wp14:editId="28636755">
            <wp:extent cx="4273770" cy="1454225"/>
            <wp:effectExtent l="0" t="0" r="0" b="0"/>
            <wp:docPr id="162468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688489" name=""/>
                    <pic:cNvPicPr/>
                  </pic:nvPicPr>
                  <pic:blipFill>
                    <a:blip r:embed="rId53"/>
                    <a:stretch>
                      <a:fillRect/>
                    </a:stretch>
                  </pic:blipFill>
                  <pic:spPr>
                    <a:xfrm>
                      <a:off x="0" y="0"/>
                      <a:ext cx="4273770" cy="1454225"/>
                    </a:xfrm>
                    <a:prstGeom prst="rect">
                      <a:avLst/>
                    </a:prstGeom>
                  </pic:spPr>
                </pic:pic>
              </a:graphicData>
            </a:graphic>
          </wp:inline>
        </w:drawing>
      </w:r>
    </w:p>
    <w:p w14:paraId="70708CED" w14:textId="77777777" w:rsidR="008F45B7" w:rsidRPr="008F45B7" w:rsidRDefault="008F45B7" w:rsidP="008F45B7">
      <w:pPr>
        <w:spacing w:line="360" w:lineRule="auto"/>
        <w:ind w:left="720"/>
        <w:jc w:val="both"/>
      </w:pPr>
    </w:p>
    <w:p w14:paraId="01C9F729" w14:textId="72B7E7BB" w:rsidR="00DD2C5E" w:rsidRDefault="0036789B" w:rsidP="00DD2C5E">
      <w:pPr>
        <w:pStyle w:val="ListParagraph"/>
        <w:numPr>
          <w:ilvl w:val="2"/>
          <w:numId w:val="5"/>
        </w:numPr>
        <w:spacing w:line="360" w:lineRule="auto"/>
        <w:jc w:val="both"/>
        <w:rPr>
          <w:rFonts w:cs="Times New Roman"/>
          <w:b/>
          <w:bCs/>
          <w:szCs w:val="22"/>
        </w:rPr>
      </w:pPr>
      <w:r w:rsidRPr="0036789B">
        <w:rPr>
          <w:rFonts w:cs="Times New Roman"/>
          <w:b/>
          <w:bCs/>
          <w:szCs w:val="22"/>
        </w:rPr>
        <w:t>Normality of Residuals</w:t>
      </w:r>
    </w:p>
    <w:p w14:paraId="2E0CA10B" w14:textId="237BFCD1" w:rsidR="00DD2C5E" w:rsidRPr="00DD2C5E" w:rsidRDefault="007D2FD5" w:rsidP="00AB4E06">
      <w:pPr>
        <w:spacing w:line="360" w:lineRule="auto"/>
        <w:ind w:left="720"/>
        <w:jc w:val="both"/>
      </w:pPr>
      <w:r w:rsidRPr="007D2FD5">
        <w:t xml:space="preserve">The histogram </w:t>
      </w:r>
      <w:r w:rsidR="0036789B">
        <w:t xml:space="preserve">in Figure 4.6.6 </w:t>
      </w:r>
      <w:r w:rsidRPr="007D2FD5">
        <w:t>for standardized residuals displayed a roughly normal distribution centered near zero, while the P–P plot showed clustering of points around the reference line. Both results support the normality assumption, which is crucial for the validity of regression inferences and confidence intervals.</w:t>
      </w:r>
    </w:p>
    <w:p w14:paraId="07D2021F" w14:textId="52228D9B" w:rsidR="00DD2C5E" w:rsidRDefault="00C00BB2" w:rsidP="00DD2C5E">
      <w:pPr>
        <w:spacing w:line="360" w:lineRule="auto"/>
        <w:jc w:val="both"/>
        <w:rPr>
          <w:rFonts w:cs="Times New Roman"/>
          <w:b/>
          <w:bCs/>
          <w:szCs w:val="22"/>
        </w:rPr>
      </w:pPr>
      <w:r w:rsidRPr="00C00BB2">
        <w:rPr>
          <w:rFonts w:cs="Times New Roman"/>
          <w:b/>
          <w:bCs/>
          <w:noProof/>
          <w:szCs w:val="22"/>
        </w:rPr>
        <w:lastRenderedPageBreak/>
        <w:drawing>
          <wp:inline distT="0" distB="0" distL="0" distR="0" wp14:anchorId="129F52EC" wp14:editId="52BAD002">
            <wp:extent cx="6038850" cy="3085233"/>
            <wp:effectExtent l="0" t="0" r="0" b="1270"/>
            <wp:docPr id="506249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249710" name=""/>
                    <pic:cNvPicPr/>
                  </pic:nvPicPr>
                  <pic:blipFill>
                    <a:blip r:embed="rId54"/>
                    <a:stretch>
                      <a:fillRect/>
                    </a:stretch>
                  </pic:blipFill>
                  <pic:spPr>
                    <a:xfrm>
                      <a:off x="0" y="0"/>
                      <a:ext cx="6039750" cy="3085693"/>
                    </a:xfrm>
                    <a:prstGeom prst="rect">
                      <a:avLst/>
                    </a:prstGeom>
                  </pic:spPr>
                </pic:pic>
              </a:graphicData>
            </a:graphic>
          </wp:inline>
        </w:drawing>
      </w:r>
    </w:p>
    <w:p w14:paraId="57131983" w14:textId="77777777" w:rsidR="00C23B89" w:rsidRPr="00DD2C5E" w:rsidRDefault="00C23B89" w:rsidP="00DD2C5E">
      <w:pPr>
        <w:spacing w:line="360" w:lineRule="auto"/>
        <w:jc w:val="both"/>
        <w:rPr>
          <w:rFonts w:cs="Times New Roman"/>
          <w:b/>
          <w:bCs/>
          <w:szCs w:val="22"/>
        </w:rPr>
      </w:pPr>
    </w:p>
    <w:p w14:paraId="566AE4D7" w14:textId="3AB8E23E" w:rsidR="00AB4E06" w:rsidRPr="00AB4E06" w:rsidRDefault="00AB4E06" w:rsidP="00AB4E06">
      <w:pPr>
        <w:pStyle w:val="ListParagraph"/>
        <w:numPr>
          <w:ilvl w:val="2"/>
          <w:numId w:val="5"/>
        </w:numPr>
        <w:spacing w:line="360" w:lineRule="auto"/>
        <w:jc w:val="both"/>
        <w:rPr>
          <w:rFonts w:cs="Times New Roman"/>
          <w:b/>
          <w:bCs/>
          <w:szCs w:val="22"/>
        </w:rPr>
      </w:pPr>
      <w:r>
        <w:rPr>
          <w:rFonts w:cs="Times New Roman"/>
          <w:b/>
          <w:bCs/>
          <w:szCs w:val="22"/>
        </w:rPr>
        <w:t xml:space="preserve"> </w:t>
      </w:r>
      <w:r w:rsidR="003353D0">
        <w:rPr>
          <w:rFonts w:cs="Times New Roman"/>
          <w:b/>
          <w:bCs/>
          <w:szCs w:val="22"/>
        </w:rPr>
        <w:t>Scatterplot of Standardized Residuals</w:t>
      </w:r>
    </w:p>
    <w:p w14:paraId="2387E1B3" w14:textId="61089831" w:rsidR="00DD2C5E" w:rsidRPr="00AB4E06" w:rsidRDefault="003353D0" w:rsidP="00AB4E06">
      <w:pPr>
        <w:spacing w:line="360" w:lineRule="auto"/>
        <w:ind w:left="720"/>
        <w:jc w:val="both"/>
      </w:pPr>
      <w:r>
        <w:t>Figure 4.6.7 a</w:t>
      </w:r>
      <w:r w:rsidR="007D2FD5" w:rsidRPr="007D2FD5">
        <w:t xml:space="preserve">nalysis of the scatterplot </w:t>
      </w:r>
      <w:r w:rsidR="007D2FD5">
        <w:t xml:space="preserve">on </w:t>
      </w:r>
      <w:r w:rsidR="007D2FD5" w:rsidRPr="007D2FD5">
        <w:t>standardized residuals v</w:t>
      </w:r>
      <w:r w:rsidR="007D2FD5">
        <w:t>erse</w:t>
      </w:r>
      <w:r w:rsidR="007D2FD5" w:rsidRPr="007D2FD5">
        <w:t xml:space="preserve"> predicted values revealed random dispersion, indicating homoscedasticity </w:t>
      </w:r>
      <w:r w:rsidR="007D2FD5">
        <w:t xml:space="preserve">with </w:t>
      </w:r>
      <w:r w:rsidR="007D2FD5" w:rsidRPr="007D2FD5">
        <w:t>uniform variance of errors. This confirms that error terms are consistent across levels of predicted purchase intention, eliminating bias and enhancing generalizability.</w:t>
      </w:r>
    </w:p>
    <w:p w14:paraId="1B0071DF" w14:textId="5EDEC5E3" w:rsidR="003B2F65" w:rsidRDefault="008C3C60" w:rsidP="00EA49C1">
      <w:pPr>
        <w:spacing w:line="360" w:lineRule="auto"/>
        <w:ind w:left="720"/>
        <w:jc w:val="both"/>
        <w:rPr>
          <w:rFonts w:cs="Times New Roman"/>
          <w:szCs w:val="22"/>
        </w:rPr>
      </w:pPr>
      <w:r w:rsidRPr="008C3C60">
        <w:rPr>
          <w:noProof/>
        </w:rPr>
        <w:drawing>
          <wp:inline distT="0" distB="0" distL="0" distR="0" wp14:anchorId="54FA27BB" wp14:editId="1BD3012F">
            <wp:extent cx="4521432" cy="3035456"/>
            <wp:effectExtent l="0" t="0" r="0" b="0"/>
            <wp:docPr id="1226192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192840" name=""/>
                    <pic:cNvPicPr/>
                  </pic:nvPicPr>
                  <pic:blipFill>
                    <a:blip r:embed="rId55"/>
                    <a:stretch>
                      <a:fillRect/>
                    </a:stretch>
                  </pic:blipFill>
                  <pic:spPr>
                    <a:xfrm>
                      <a:off x="0" y="0"/>
                      <a:ext cx="4521432" cy="3035456"/>
                    </a:xfrm>
                    <a:prstGeom prst="rect">
                      <a:avLst/>
                    </a:prstGeom>
                  </pic:spPr>
                </pic:pic>
              </a:graphicData>
            </a:graphic>
          </wp:inline>
        </w:drawing>
      </w:r>
    </w:p>
    <w:p w14:paraId="3F46A8AA" w14:textId="090CE902" w:rsidR="007032C8" w:rsidRDefault="007032C8" w:rsidP="00EA49C1">
      <w:pPr>
        <w:spacing w:line="360" w:lineRule="auto"/>
        <w:ind w:left="720"/>
        <w:jc w:val="both"/>
        <w:rPr>
          <w:rFonts w:cs="Times New Roman"/>
          <w:szCs w:val="22"/>
        </w:rPr>
      </w:pPr>
      <w:r w:rsidRPr="007032C8">
        <w:rPr>
          <w:rFonts w:cs="Times New Roman"/>
          <w:szCs w:val="22"/>
        </w:rPr>
        <w:t xml:space="preserve">The evaluation of each regression subtitle establishes a robust and statistically valid model for explaining purchase intention. Word-of-mouth social media marketing and brand trust are the strongest predictors, </w:t>
      </w:r>
      <w:r w:rsidRPr="007032C8">
        <w:rPr>
          <w:rFonts w:cs="Times New Roman"/>
          <w:szCs w:val="22"/>
        </w:rPr>
        <w:lastRenderedPageBreak/>
        <w:t>closely followed by sustainability and entertainment aspects. The model passed critical diagnostic checks, confirming that the quantitative findings are statistically sound and highly relevant for both managerial decision-making and academic discourse in consumer behavior.</w:t>
      </w:r>
    </w:p>
    <w:p w14:paraId="40A7A744" w14:textId="77777777" w:rsidR="00E0568A" w:rsidRDefault="00E0568A" w:rsidP="00E0568A">
      <w:pPr>
        <w:spacing w:line="360" w:lineRule="auto"/>
        <w:jc w:val="both"/>
        <w:rPr>
          <w:rFonts w:cs="Times New Roman"/>
          <w:szCs w:val="22"/>
        </w:rPr>
      </w:pPr>
    </w:p>
    <w:p w14:paraId="42C4D1A5" w14:textId="48C24C6B" w:rsidR="00DE476C" w:rsidRDefault="00F85D22" w:rsidP="00DE476C">
      <w:pPr>
        <w:pStyle w:val="Heading2"/>
        <w:numPr>
          <w:ilvl w:val="1"/>
          <w:numId w:val="5"/>
        </w:numPr>
        <w:spacing w:line="360" w:lineRule="auto"/>
        <w:ind w:left="450" w:hanging="450"/>
        <w:jc w:val="both"/>
        <w:rPr>
          <w:rFonts w:cs="Times New Roman"/>
          <w:b/>
          <w:bCs/>
          <w:sz w:val="22"/>
          <w:szCs w:val="22"/>
        </w:rPr>
      </w:pPr>
      <w:bookmarkStart w:id="98" w:name="_Toc213748954"/>
      <w:r>
        <w:rPr>
          <w:rFonts w:cs="Times New Roman"/>
          <w:b/>
          <w:bCs/>
          <w:sz w:val="22"/>
          <w:szCs w:val="22"/>
        </w:rPr>
        <w:t>V</w:t>
      </w:r>
      <w:r w:rsidRPr="00F85D22">
        <w:rPr>
          <w:rFonts w:cs="Times New Roman"/>
          <w:b/>
          <w:bCs/>
          <w:sz w:val="22"/>
          <w:szCs w:val="22"/>
        </w:rPr>
        <w:t xml:space="preserve">erification of </w:t>
      </w:r>
      <w:r>
        <w:rPr>
          <w:rFonts w:cs="Times New Roman"/>
          <w:b/>
          <w:bCs/>
          <w:sz w:val="22"/>
          <w:szCs w:val="22"/>
        </w:rPr>
        <w:t>R</w:t>
      </w:r>
      <w:r w:rsidRPr="00F85D22">
        <w:rPr>
          <w:rFonts w:cs="Times New Roman"/>
          <w:b/>
          <w:bCs/>
          <w:sz w:val="22"/>
          <w:szCs w:val="22"/>
        </w:rPr>
        <w:t xml:space="preserve">esearch </w:t>
      </w:r>
      <w:r>
        <w:rPr>
          <w:rFonts w:cs="Times New Roman"/>
          <w:b/>
          <w:bCs/>
          <w:sz w:val="22"/>
          <w:szCs w:val="22"/>
        </w:rPr>
        <w:t>H</w:t>
      </w:r>
      <w:r w:rsidRPr="00F85D22">
        <w:rPr>
          <w:rFonts w:cs="Times New Roman"/>
          <w:b/>
          <w:bCs/>
          <w:sz w:val="22"/>
          <w:szCs w:val="22"/>
        </w:rPr>
        <w:t>ypotheses</w:t>
      </w:r>
      <w:bookmarkEnd w:id="98"/>
    </w:p>
    <w:p w14:paraId="5DA44798" w14:textId="4221A96E" w:rsidR="004F702A" w:rsidRDefault="00F27AFB" w:rsidP="00F27AFB">
      <w:pPr>
        <w:spacing w:line="360" w:lineRule="auto"/>
        <w:jc w:val="both"/>
      </w:pPr>
      <w:r w:rsidRPr="00F27AFB">
        <w:t xml:space="preserve">According to the analysis in the preceding sections of chapter 4, the validity of all proposed hypotheses </w:t>
      </w:r>
      <w:r w:rsidR="00580616">
        <w:rPr>
          <w:rFonts w:hint="eastAsia"/>
        </w:rPr>
        <w:t xml:space="preserve">in Figure 4.7 </w:t>
      </w:r>
      <w:r w:rsidRPr="00F27AFB">
        <w:t xml:space="preserve">regarding the relationships among Social Media Marketing Activities (SMMA), Environmental </w:t>
      </w:r>
      <w:r w:rsidR="00ED409C">
        <w:t>Conscious</w:t>
      </w:r>
      <w:r w:rsidRPr="00F27AFB">
        <w:t xml:space="preserve"> (EC), Sustainability (ST), Brand Trust (BT), and Purchase Intention (PI) is confirmed. The results from the correlation analysis reveal that the Pearson correlation coefficients exhibit positive and meaningful relationships among these variables, supporting th</w:t>
      </w:r>
      <w:r w:rsidR="00B054C2">
        <w:t>e</w:t>
      </w:r>
      <w:r w:rsidRPr="00F27AFB">
        <w:t xml:space="preserve"> direct and interconnected effects. Furthermore, regression analysis</w:t>
      </w:r>
      <w:r w:rsidR="003C2BE8">
        <w:t xml:space="preserve">, </w:t>
      </w:r>
      <w:r w:rsidRPr="00F27AFB">
        <w:t>through the examination of R² values, F-values, and standardized Beta coefficients</w:t>
      </w:r>
      <w:r w:rsidR="003C2BE8">
        <w:t xml:space="preserve"> that </w:t>
      </w:r>
      <w:r w:rsidRPr="00F27AFB">
        <w:t xml:space="preserve">demonstrates </w:t>
      </w:r>
      <w:r w:rsidR="003C2BE8">
        <w:t>the</w:t>
      </w:r>
      <w:r w:rsidRPr="00F27AFB">
        <w:t xml:space="preserve"> relationships are statistically significant, with all core predictors showing substantial impacts on purchase intention. Importantly, the inspection of model coefficients indicates no issues with multicollinearity, as variance inflation factors and tolerance values consistently fall within acceptable thresholds. This confirms the independence and reliability of the tested constructs, reinforcing the robustness and generalizability of the research findings for managerial and academic applications.</w:t>
      </w:r>
    </w:p>
    <w:p w14:paraId="348973F9" w14:textId="77777777" w:rsidR="00002456" w:rsidRDefault="00002456" w:rsidP="00F27AFB">
      <w:pPr>
        <w:spacing w:line="360" w:lineRule="auto"/>
        <w:jc w:val="both"/>
      </w:pPr>
    </w:p>
    <w:p w14:paraId="096C0A28" w14:textId="4DB4D416" w:rsidR="003C2BE8" w:rsidRDefault="003C2BE8" w:rsidP="003C2BE8">
      <w:pPr>
        <w:pStyle w:val="Caption"/>
        <w:keepNext/>
        <w:ind w:left="1440"/>
        <w:jc w:val="both"/>
        <w:rPr>
          <w:sz w:val="20"/>
          <w:szCs w:val="20"/>
        </w:rPr>
      </w:pPr>
      <w:r>
        <w:rPr>
          <w:sz w:val="20"/>
          <w:szCs w:val="20"/>
        </w:rPr>
        <w:t>Figure</w:t>
      </w:r>
      <w:r>
        <w:rPr>
          <w:rFonts w:hint="eastAsia"/>
          <w:sz w:val="20"/>
          <w:szCs w:val="20"/>
        </w:rPr>
        <w:t xml:space="preserve"> 4</w:t>
      </w:r>
      <w:r>
        <w:rPr>
          <w:sz w:val="20"/>
          <w:szCs w:val="20"/>
        </w:rPr>
        <w:t>.7 Research Result on the Conceptual Fram</w:t>
      </w:r>
      <w:r w:rsidR="00F67EF5">
        <w:rPr>
          <w:sz w:val="20"/>
          <w:szCs w:val="20"/>
        </w:rPr>
        <w:t>e</w:t>
      </w:r>
      <w:r>
        <w:rPr>
          <w:sz w:val="20"/>
          <w:szCs w:val="20"/>
        </w:rPr>
        <w:t>work</w:t>
      </w:r>
    </w:p>
    <w:p w14:paraId="07E680F2" w14:textId="1D5E607D" w:rsidR="00F67EF5" w:rsidRPr="00F67EF5" w:rsidRDefault="00002456" w:rsidP="00F67EF5">
      <w:pPr>
        <w:jc w:val="center"/>
      </w:pPr>
      <w:r w:rsidRPr="00002456">
        <w:rPr>
          <w:noProof/>
        </w:rPr>
        <w:drawing>
          <wp:inline distT="0" distB="0" distL="0" distR="0" wp14:anchorId="48A86404" wp14:editId="38D714F5">
            <wp:extent cx="4131330" cy="3441031"/>
            <wp:effectExtent l="0" t="0" r="2540" b="7620"/>
            <wp:docPr id="1595274577"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274577" name="Picture 1" descr="A diagram of a diagram&#10;&#10;AI-generated content may be incorrect."/>
                    <pic:cNvPicPr/>
                  </pic:nvPicPr>
                  <pic:blipFill>
                    <a:blip r:embed="rId56"/>
                    <a:stretch>
                      <a:fillRect/>
                    </a:stretch>
                  </pic:blipFill>
                  <pic:spPr>
                    <a:xfrm>
                      <a:off x="0" y="0"/>
                      <a:ext cx="4176485" cy="3478641"/>
                    </a:xfrm>
                    <a:prstGeom prst="rect">
                      <a:avLst/>
                    </a:prstGeom>
                  </pic:spPr>
                </pic:pic>
              </a:graphicData>
            </a:graphic>
          </wp:inline>
        </w:drawing>
      </w:r>
    </w:p>
    <w:p w14:paraId="7DABE95D" w14:textId="77777777" w:rsidR="00F27AFB" w:rsidRDefault="00F27AFB" w:rsidP="00F27AFB">
      <w:pPr>
        <w:spacing w:line="360" w:lineRule="auto"/>
        <w:jc w:val="both"/>
      </w:pPr>
    </w:p>
    <w:p w14:paraId="46C58869" w14:textId="43ABC8F9" w:rsidR="00FA084E" w:rsidRDefault="00B20EC5" w:rsidP="00FA084E">
      <w:pPr>
        <w:pStyle w:val="Heading2"/>
        <w:numPr>
          <w:ilvl w:val="1"/>
          <w:numId w:val="5"/>
        </w:numPr>
        <w:spacing w:line="360" w:lineRule="auto"/>
        <w:ind w:left="450" w:hanging="450"/>
        <w:jc w:val="both"/>
        <w:rPr>
          <w:rFonts w:cs="Times New Roman"/>
          <w:b/>
          <w:bCs/>
          <w:sz w:val="22"/>
          <w:szCs w:val="22"/>
        </w:rPr>
      </w:pPr>
      <w:bookmarkStart w:id="99" w:name="_Toc213748955"/>
      <w:r>
        <w:rPr>
          <w:rFonts w:cs="Times New Roman"/>
          <w:b/>
          <w:bCs/>
          <w:sz w:val="22"/>
          <w:szCs w:val="22"/>
        </w:rPr>
        <w:t>Concluding</w:t>
      </w:r>
      <w:r>
        <w:rPr>
          <w:rFonts w:cs="Times New Roman" w:hint="eastAsia"/>
          <w:b/>
          <w:bCs/>
          <w:sz w:val="22"/>
          <w:szCs w:val="22"/>
        </w:rPr>
        <w:t xml:space="preserve"> Summary</w:t>
      </w:r>
      <w:bookmarkEnd w:id="99"/>
    </w:p>
    <w:p w14:paraId="01289DA8" w14:textId="768B891E" w:rsidR="007600A9" w:rsidRPr="007600A9" w:rsidRDefault="007600A9" w:rsidP="007600A9">
      <w:pPr>
        <w:spacing w:line="360" w:lineRule="auto"/>
        <w:jc w:val="both"/>
        <w:rPr>
          <w:rFonts w:cs="Times New Roman"/>
          <w:szCs w:val="22"/>
        </w:rPr>
      </w:pPr>
      <w:r w:rsidRPr="007600A9">
        <w:rPr>
          <w:rFonts w:cs="Times New Roman"/>
          <w:szCs w:val="22"/>
        </w:rPr>
        <w:t>The quantitative analysis confirms that social media marketing activities, environmental conscious, sustainability, and brand trust each significantly impact consumer purchase intention for instant coffee in Hong Kong. The regression model demonstrates notable predictive power, with brand trust and word-of-mouth SMMA emerging as the most influential, followed by environmental</w:t>
      </w:r>
      <w:r>
        <w:rPr>
          <w:rFonts w:cs="Times New Roman"/>
          <w:szCs w:val="22"/>
        </w:rPr>
        <w:t xml:space="preserve"> conscious</w:t>
      </w:r>
      <w:r w:rsidRPr="007600A9">
        <w:rPr>
          <w:rFonts w:cs="Times New Roman"/>
          <w:szCs w:val="22"/>
        </w:rPr>
        <w:t xml:space="preserve"> and sustainability considerations. These findings are congruent with global research that also identifies trust and digital interactivity as primary drivers of purchase intention in FMCG categories.​​</w:t>
      </w:r>
    </w:p>
    <w:p w14:paraId="1EC0FF78" w14:textId="29907F95" w:rsidR="007600A9" w:rsidRPr="007600A9" w:rsidRDefault="007600A9" w:rsidP="007600A9">
      <w:pPr>
        <w:spacing w:line="360" w:lineRule="auto"/>
        <w:jc w:val="both"/>
        <w:rPr>
          <w:rFonts w:cs="Times New Roman"/>
          <w:szCs w:val="22"/>
        </w:rPr>
      </w:pPr>
      <w:r w:rsidRPr="007600A9">
        <w:rPr>
          <w:rFonts w:cs="Times New Roman"/>
          <w:szCs w:val="22"/>
        </w:rPr>
        <w:t>Among environmental variables, mean scores indicate consistently high eco-</w:t>
      </w:r>
      <w:r w:rsidR="00ED409C">
        <w:rPr>
          <w:rFonts w:cs="Times New Roman"/>
          <w:szCs w:val="22"/>
        </w:rPr>
        <w:t>conscious</w:t>
      </w:r>
      <w:r w:rsidRPr="007600A9">
        <w:rPr>
          <w:rFonts w:cs="Times New Roman"/>
          <w:szCs w:val="22"/>
        </w:rPr>
        <w:t>, yet standard deviation analyses reveal a diversity of intensity</w:t>
      </w:r>
      <w:r w:rsidR="002E5E4A">
        <w:rPr>
          <w:rFonts w:cs="Times New Roman"/>
          <w:szCs w:val="22"/>
        </w:rPr>
        <w:t xml:space="preserve">, </w:t>
      </w:r>
      <w:r w:rsidRPr="007600A9">
        <w:rPr>
          <w:rFonts w:cs="Times New Roman"/>
          <w:szCs w:val="22"/>
        </w:rPr>
        <w:t xml:space="preserve">underscoring the importance of segment-based marketing. Notably, low standard deviations in brand trust responses indicate strong consensus on the primacy of quality and reliability in shaping consumer trust and </w:t>
      </w:r>
      <w:r w:rsidR="002E5E4A">
        <w:rPr>
          <w:rFonts w:cs="Times New Roman"/>
          <w:szCs w:val="22"/>
        </w:rPr>
        <w:t>purchase intention</w:t>
      </w:r>
      <w:r w:rsidRPr="007600A9">
        <w:rPr>
          <w:rFonts w:cs="Times New Roman"/>
          <w:szCs w:val="22"/>
        </w:rPr>
        <w:t>.​</w:t>
      </w:r>
    </w:p>
    <w:p w14:paraId="6B37F129" w14:textId="358AA498" w:rsidR="00FA084E" w:rsidRDefault="007600A9" w:rsidP="00327FA1">
      <w:pPr>
        <w:spacing w:line="360" w:lineRule="auto"/>
        <w:jc w:val="both"/>
        <w:rPr>
          <w:rFonts w:cs="Times New Roman"/>
          <w:szCs w:val="22"/>
        </w:rPr>
      </w:pPr>
      <w:r w:rsidRPr="007600A9">
        <w:rPr>
          <w:rFonts w:cs="Times New Roman"/>
          <w:szCs w:val="22"/>
        </w:rPr>
        <w:t xml:space="preserve">Limitations include a modest sample size relative to the population and the inherent constraints of cross-sectional, self-reported data, which may not capture longitudinal shifts or deeply embedded behavioral determinants. The results, however, robustly generalize to digitally active, sustainability-aware Hong Kong consumers and offer actionable touchpoints for market strategists seeking to </w:t>
      </w:r>
      <w:r w:rsidR="000546E2">
        <w:rPr>
          <w:rFonts w:cs="Times New Roman"/>
          <w:szCs w:val="22"/>
        </w:rPr>
        <w:t>increase purchase intention.</w:t>
      </w:r>
      <w:r w:rsidR="00FA084E">
        <w:rPr>
          <w:rFonts w:cs="Times New Roman"/>
          <w:szCs w:val="22"/>
        </w:rPr>
        <w:br w:type="page"/>
      </w:r>
    </w:p>
    <w:p w14:paraId="642F366B" w14:textId="3BC3B284" w:rsidR="000242FD" w:rsidRPr="00FA084E" w:rsidRDefault="00D352E7" w:rsidP="000242FD">
      <w:pPr>
        <w:pStyle w:val="Heading"/>
        <w:numPr>
          <w:ilvl w:val="0"/>
          <w:numId w:val="5"/>
        </w:numPr>
        <w:spacing w:line="360" w:lineRule="auto"/>
        <w:jc w:val="both"/>
        <w:rPr>
          <w:rFonts w:cs="Times New Roman"/>
          <w:szCs w:val="28"/>
        </w:rPr>
      </w:pPr>
      <w:bookmarkStart w:id="100" w:name="_Toc213748956"/>
      <w:r w:rsidRPr="00FA084E">
        <w:rPr>
          <w:rFonts w:cs="Times New Roman"/>
          <w:szCs w:val="28"/>
        </w:rPr>
        <w:lastRenderedPageBreak/>
        <w:t xml:space="preserve">Discussion, </w:t>
      </w:r>
      <w:r w:rsidR="000242FD" w:rsidRPr="00FA084E">
        <w:rPr>
          <w:rFonts w:cs="Times New Roman"/>
          <w:szCs w:val="28"/>
        </w:rPr>
        <w:t>Conclusion and Recommendations</w:t>
      </w:r>
      <w:bookmarkEnd w:id="100"/>
    </w:p>
    <w:p w14:paraId="21F2CCB5" w14:textId="65F82D0B" w:rsidR="00D66463" w:rsidRDefault="00AE62A5" w:rsidP="00BE78D3">
      <w:pPr>
        <w:spacing w:line="360" w:lineRule="auto"/>
        <w:jc w:val="both"/>
      </w:pPr>
      <w:r w:rsidRPr="00AE62A5">
        <w:t>This chapter synthesizes the findings detailed in the preceding analysis to provide a comprehensive interpretation, highlight theoretical and practical implications, and develop actionable recommendations for Nescafé’s instant coffee strategy in Hong Kong. Recommendations are firmly grounded in both the academic literature reviewed and the empirical results established in Chapter 4.</w:t>
      </w:r>
    </w:p>
    <w:p w14:paraId="195716B6" w14:textId="77777777" w:rsidR="005549C7" w:rsidRDefault="005549C7" w:rsidP="00BE78D3">
      <w:pPr>
        <w:spacing w:line="360" w:lineRule="auto"/>
        <w:jc w:val="both"/>
      </w:pPr>
    </w:p>
    <w:p w14:paraId="622FF9AE" w14:textId="77777777" w:rsidR="000B527F" w:rsidRDefault="000B527F" w:rsidP="000B527F">
      <w:pPr>
        <w:pStyle w:val="ListParagraph"/>
        <w:numPr>
          <w:ilvl w:val="1"/>
          <w:numId w:val="5"/>
        </w:numPr>
        <w:ind w:left="450"/>
        <w:rPr>
          <w:rFonts w:eastAsiaTheme="majorEastAsia" w:cs="Times New Roman"/>
          <w:b/>
          <w:bCs/>
          <w:szCs w:val="22"/>
        </w:rPr>
      </w:pPr>
      <w:r w:rsidRPr="000B527F">
        <w:rPr>
          <w:rFonts w:eastAsiaTheme="majorEastAsia" w:cs="Times New Roman"/>
          <w:b/>
          <w:bCs/>
          <w:szCs w:val="22"/>
        </w:rPr>
        <w:t>Discussion and Conclusion</w:t>
      </w:r>
    </w:p>
    <w:p w14:paraId="61FCAC8C" w14:textId="7F02D46C" w:rsidR="00AE62A5" w:rsidRDefault="00AE62A5" w:rsidP="00AE62A5">
      <w:pPr>
        <w:spacing w:line="360" w:lineRule="auto"/>
        <w:jc w:val="both"/>
      </w:pPr>
      <w:r>
        <w:t xml:space="preserve">This dissertation has provided robust empirical evidence and theoretical synthesis regarding the factors that influence consumer purchase intention for Nescafé instant coffee in Hong Kong. Drawing on comprehensive literature review and validated through quantitative analysis, the findings confirm that social media marketing activities, environmental </w:t>
      </w:r>
      <w:r w:rsidR="00ED409C">
        <w:t>conscious</w:t>
      </w:r>
      <w:r>
        <w:t xml:space="preserve">, sustainability practices, and brand trust exert meaningful, positive impacts on purchase intention. Brand trust and word-of-mouth in social media were shown to have the strongest influence, while environmental </w:t>
      </w:r>
      <w:r w:rsidR="00ED409C">
        <w:t>conscious</w:t>
      </w:r>
      <w:r>
        <w:t xml:space="preserve"> and sustainability further enhance consumer commitment in an ethically driven market. The statistical rigor of the regression analysis, including strong R² and Beta values, establishes the reliability and relevance of these constructs for instant coffee brands aiming to elevate consumer loyalty and market share.​</w:t>
      </w:r>
    </w:p>
    <w:p w14:paraId="0B7D36B5" w14:textId="2FA8B449" w:rsidR="000B527F" w:rsidRDefault="00AE62A5" w:rsidP="00AE62A5">
      <w:pPr>
        <w:spacing w:line="360" w:lineRule="auto"/>
        <w:jc w:val="both"/>
      </w:pPr>
      <w:r>
        <w:t>These results not only substantiate the core hypotheses of the study but also extend previous research by illustrating how digital engagement and sustainability ethics converge in shaping consumer choice in Hong Kong’s fast-moving consumer goods sector</w:t>
      </w:r>
      <w:r w:rsidR="00862EC3">
        <w:t xml:space="preserve"> </w:t>
      </w:r>
      <w:r w:rsidR="00862EC3" w:rsidRPr="00862EC3">
        <w:t>(Singh et al., 2025)</w:t>
      </w:r>
      <w:r>
        <w:t xml:space="preserve">. The convergence of theoretical frameworks and empirical findings ensures the academic </w:t>
      </w:r>
      <w:r w:rsidR="00001D06">
        <w:t>rigor</w:t>
      </w:r>
      <w:r>
        <w:t xml:space="preserve"> and managerial relevance of this dissertation, offering practical guidance for brands seeking to strengthen the market positioning and respond effectively to evolving consumer values</w:t>
      </w:r>
      <w:r w:rsidR="00E6264C">
        <w:t xml:space="preserve"> </w:t>
      </w:r>
      <w:r w:rsidR="00E6264C" w:rsidRPr="00E6264C">
        <w:t>(Daye and Zhao, 2025)</w:t>
      </w:r>
      <w:r>
        <w:t>.</w:t>
      </w:r>
    </w:p>
    <w:p w14:paraId="65CED48F" w14:textId="444EAE5E" w:rsidR="00B63B96" w:rsidRDefault="00B63B96" w:rsidP="00AE62A5">
      <w:pPr>
        <w:spacing w:line="360" w:lineRule="auto"/>
        <w:jc w:val="both"/>
      </w:pPr>
      <w:r w:rsidRPr="00B63B96">
        <w:t xml:space="preserve">Despite high reported levels of environmental </w:t>
      </w:r>
      <w:r w:rsidR="00ED409C">
        <w:t>conscious</w:t>
      </w:r>
      <w:r w:rsidRPr="00B63B96">
        <w:t>, an "attitude-behavior gap" persists</w:t>
      </w:r>
      <w:r>
        <w:t xml:space="preserve">, </w:t>
      </w:r>
      <w:r w:rsidRPr="00B63B96">
        <w:t>echoing the findings of HKFYG (2023) and recent sustainability marketing research where intent does not always translate to action. Overcoming this requires targeted, multi-stage interventions such as digital prompts at point of sale, heuristic cues for green product selection, and peer testimonials across platforms. The data reinforce that for a market as digitally mature and environmentally alert as Hong Kong, sustained success in the instant coffee category depends on integrating credibility, customer-centric innovation, and socio-cultural sensitivity.</w:t>
      </w:r>
    </w:p>
    <w:p w14:paraId="75248CA5" w14:textId="77777777" w:rsidR="00001D06" w:rsidRPr="000B527F" w:rsidRDefault="00001D06" w:rsidP="00AE62A5">
      <w:pPr>
        <w:spacing w:line="360" w:lineRule="auto"/>
        <w:jc w:val="both"/>
      </w:pPr>
    </w:p>
    <w:p w14:paraId="2F354C21" w14:textId="640EB8FC" w:rsidR="00151C4B" w:rsidRDefault="00E6264C" w:rsidP="00151C4B">
      <w:pPr>
        <w:pStyle w:val="Heading2"/>
        <w:numPr>
          <w:ilvl w:val="1"/>
          <w:numId w:val="5"/>
        </w:numPr>
        <w:spacing w:line="360" w:lineRule="auto"/>
        <w:ind w:left="450" w:hanging="450"/>
        <w:jc w:val="both"/>
        <w:rPr>
          <w:rFonts w:cs="Times New Roman"/>
          <w:b/>
          <w:bCs/>
          <w:sz w:val="22"/>
          <w:szCs w:val="22"/>
        </w:rPr>
      </w:pPr>
      <w:bookmarkStart w:id="101" w:name="_Toc213748957"/>
      <w:r>
        <w:rPr>
          <w:rFonts w:cs="Times New Roman"/>
          <w:b/>
          <w:bCs/>
          <w:sz w:val="22"/>
          <w:szCs w:val="22"/>
        </w:rPr>
        <w:t>Recommendations</w:t>
      </w:r>
      <w:bookmarkEnd w:id="101"/>
    </w:p>
    <w:p w14:paraId="3A1906C5" w14:textId="338FC01C" w:rsidR="001B67D9" w:rsidRDefault="001B67D9" w:rsidP="001B67D9">
      <w:pPr>
        <w:spacing w:line="360" w:lineRule="auto"/>
        <w:jc w:val="both"/>
      </w:pPr>
      <w:r>
        <w:t>Building on the synthesis of literature</w:t>
      </w:r>
      <w:r w:rsidR="00A45109">
        <w:t xml:space="preserve"> review</w:t>
      </w:r>
      <w:r>
        <w:t xml:space="preserve"> and quantitative findings, the recommendations are proposed for Nescafé and other instant coffee brands operating in Hong Kong.</w:t>
      </w:r>
      <w:r w:rsidR="00893613">
        <w:t xml:space="preserve"> </w:t>
      </w:r>
      <w:r w:rsidR="00893613" w:rsidRPr="00893613">
        <w:t xml:space="preserve">Managerially, these recommendations call for a dynamic, cross-functional approach, integrating marketing, product development, and sustainability teams to ensure </w:t>
      </w:r>
      <w:r w:rsidR="00893613" w:rsidRPr="00893613">
        <w:lastRenderedPageBreak/>
        <w:t>consistency of messaging and authenticity of brand promises. Internally, organizations should invest in training programs that cultivate a culture of transparency, ethical leadership, and rapid innovation driven by consumer feedback and global best practices.</w:t>
      </w:r>
    </w:p>
    <w:p w14:paraId="3D3802DE" w14:textId="77777777" w:rsidR="00893613" w:rsidRDefault="00893613" w:rsidP="001B67D9">
      <w:pPr>
        <w:spacing w:line="360" w:lineRule="auto"/>
        <w:jc w:val="both"/>
      </w:pPr>
    </w:p>
    <w:p w14:paraId="2F02BF9B" w14:textId="52DDC5BD" w:rsidR="007A7039" w:rsidRPr="00A16D04" w:rsidRDefault="008E5370" w:rsidP="00A16D04">
      <w:pPr>
        <w:pStyle w:val="Heading2"/>
        <w:numPr>
          <w:ilvl w:val="2"/>
          <w:numId w:val="5"/>
        </w:numPr>
        <w:spacing w:line="360" w:lineRule="auto"/>
        <w:rPr>
          <w:rFonts w:cs="Times New Roman"/>
          <w:b/>
          <w:bCs/>
          <w:sz w:val="22"/>
          <w:szCs w:val="22"/>
        </w:rPr>
      </w:pPr>
      <w:bookmarkStart w:id="102" w:name="_Toc213748958"/>
      <w:r w:rsidRPr="00A16D04">
        <w:rPr>
          <w:rFonts w:cs="Times New Roman"/>
          <w:b/>
          <w:bCs/>
          <w:sz w:val="22"/>
          <w:szCs w:val="22"/>
        </w:rPr>
        <w:t>Intensifying Social Media Word-of-Mouth and Influencer Advocacy</w:t>
      </w:r>
      <w:bookmarkEnd w:id="102"/>
    </w:p>
    <w:p w14:paraId="75083521" w14:textId="16499D4F" w:rsidR="00DD4496" w:rsidRDefault="005067CE" w:rsidP="00DD4496">
      <w:pPr>
        <w:spacing w:line="360" w:lineRule="auto"/>
        <w:ind w:left="720"/>
        <w:jc w:val="both"/>
      </w:pPr>
      <w:r w:rsidRPr="005067CE">
        <w:t>Deploy integrated digital campaigns that encourage user-generated content, peer endorsement, and influencer partnerships. Facilitating authentic consumer voices and leveraging real testimonials on social platforms can magnify brand presence and foster brand advocacy</w:t>
      </w:r>
      <w:r w:rsidR="005E4B30">
        <w:t xml:space="preserve"> </w:t>
      </w:r>
      <w:r w:rsidR="005E4B30" w:rsidRPr="005E4B30">
        <w:t>(Brown, 2005)</w:t>
      </w:r>
      <w:r w:rsidRPr="005067CE">
        <w:t>. Recent studies affirm that social-media-driven WOM and influencer engagement substantially drive consumer intention and outperform traditional campaigns (Kim &amp; Ko, 2012). Investing in interactive, story-driven content and engaging with consumer micro-communities will generate stronger brand-community ties and increase purchase intent</w:t>
      </w:r>
      <w:r w:rsidR="007C1E95">
        <w:t xml:space="preserve"> </w:t>
      </w:r>
      <w:r w:rsidR="007C1E95" w:rsidRPr="007C1E95">
        <w:t xml:space="preserve">(Muhamad, Ratih </w:t>
      </w:r>
      <w:proofErr w:type="spellStart"/>
      <w:r w:rsidR="007C1E95" w:rsidRPr="007C1E95">
        <w:t>Hurriyati</w:t>
      </w:r>
      <w:proofErr w:type="spellEnd"/>
      <w:r w:rsidR="007C1E95" w:rsidRPr="007C1E95">
        <w:t xml:space="preserve"> and Heny Hendrayati, 2023)</w:t>
      </w:r>
      <w:r w:rsidRPr="005067CE">
        <w:t>.</w:t>
      </w:r>
      <w:r w:rsidR="00DD4496">
        <w:t xml:space="preserve"> Scholarly research demonstrates that peer-driven advocacy and entertainment-focused engagement are not only effective in creating brand awareness but also in motivating purchase intention, outperforming traditional advertising models.​</w:t>
      </w:r>
      <w:r w:rsidR="00555762">
        <w:t xml:space="preserve"> </w:t>
      </w:r>
      <w:r w:rsidR="00555762" w:rsidRPr="00555762">
        <w:t>In alignment with the findings and implications detailed by Deng et al. (2021), it is strongly recommended that Nescafé place significant strategic emphasis on fostering consumer engagement within digital and social media platforms. Deng et al. (2021) highlights that consumer engagement is a multi-dimensional construct encompassing emotional, cognitive, and behavioral dimensions, which impact</w:t>
      </w:r>
      <w:r w:rsidR="00555762">
        <w:t>s</w:t>
      </w:r>
      <w:r w:rsidR="00555762" w:rsidRPr="00555762">
        <w:t xml:space="preserve"> of on purchase intention. Building a vibrant</w:t>
      </w:r>
      <w:r w:rsidR="00C64120">
        <w:t xml:space="preserve"> word-of-mouth</w:t>
      </w:r>
      <w:r w:rsidR="00555762" w:rsidRPr="00555762">
        <w:t>, interactive online brand community</w:t>
      </w:r>
      <w:r w:rsidR="00C64120">
        <w:t xml:space="preserve">, </w:t>
      </w:r>
      <w:r w:rsidR="00555762" w:rsidRPr="00555762">
        <w:t>where users can share experiences, exchange product knowledge, and participate in brand-driven conversations</w:t>
      </w:r>
      <w:r w:rsidR="00C64120">
        <w:t xml:space="preserve">, </w:t>
      </w:r>
      <w:r w:rsidR="00555762" w:rsidRPr="00555762">
        <w:t>greatly amplifies brand identity and loyalty, which in turn strengthens purchase intention.</w:t>
      </w:r>
    </w:p>
    <w:p w14:paraId="3559717D" w14:textId="77777777" w:rsidR="00893613" w:rsidRDefault="00893613" w:rsidP="005C0A43">
      <w:pPr>
        <w:spacing w:line="360" w:lineRule="auto"/>
        <w:jc w:val="both"/>
      </w:pPr>
    </w:p>
    <w:p w14:paraId="6126197B" w14:textId="0DAC6325" w:rsidR="00893613" w:rsidRPr="00A16D04" w:rsidRDefault="00893613" w:rsidP="00A16D04">
      <w:pPr>
        <w:pStyle w:val="Heading2"/>
        <w:numPr>
          <w:ilvl w:val="2"/>
          <w:numId w:val="5"/>
        </w:numPr>
        <w:spacing w:line="360" w:lineRule="auto"/>
        <w:rPr>
          <w:rFonts w:cs="Times New Roman"/>
          <w:b/>
          <w:bCs/>
          <w:sz w:val="22"/>
          <w:szCs w:val="22"/>
        </w:rPr>
      </w:pPr>
      <w:bookmarkStart w:id="103" w:name="_Toc213748959"/>
      <w:r w:rsidRPr="00A16D04">
        <w:rPr>
          <w:rFonts w:cs="Times New Roman"/>
          <w:b/>
          <w:bCs/>
          <w:sz w:val="22"/>
          <w:szCs w:val="22"/>
        </w:rPr>
        <w:t>Personalize Entertainment Content in Social Media Marketing</w:t>
      </w:r>
      <w:bookmarkEnd w:id="103"/>
    </w:p>
    <w:p w14:paraId="4926B270" w14:textId="445058CD" w:rsidR="005C0A43" w:rsidRDefault="005C0A43" w:rsidP="00893613">
      <w:pPr>
        <w:spacing w:line="360" w:lineRule="auto"/>
        <w:ind w:left="720"/>
        <w:jc w:val="both"/>
      </w:pPr>
      <w:r>
        <w:t>Personalization and entertainment should anchor all social media marketing activities. Consumers respond positively to tailored campaigns that reflect current trends and lifestyle aspirations, as demonstrated by Kim &amp; Ko (2012), who highlighted the impact of entertainment and customization in influencing consumer intentions for branded products. Utilizing predictive analytics gathered from consumer interactions, brands can segment audiences and deliver relevant, engaging content that aligns with local preferences and seasonal trends</w:t>
      </w:r>
      <w:r w:rsidR="007E6A1F">
        <w:t xml:space="preserve"> </w:t>
      </w:r>
      <w:r w:rsidR="007E6A1F" w:rsidRPr="007E6A1F">
        <w:t>(Cheung, Pires and Rosenberger, 2020)</w:t>
      </w:r>
      <w:r>
        <w:t>.​</w:t>
      </w:r>
      <w:r w:rsidR="00AB4A73">
        <w:t xml:space="preserve"> </w:t>
      </w:r>
    </w:p>
    <w:p w14:paraId="79B66724" w14:textId="3049C795" w:rsidR="00B20EC5" w:rsidRDefault="00B20EC5">
      <w:r>
        <w:br w:type="page"/>
      </w:r>
    </w:p>
    <w:p w14:paraId="05EFBFBA" w14:textId="03EA5FB5" w:rsidR="00E15B3F" w:rsidRPr="00A16D04" w:rsidRDefault="00533543" w:rsidP="00A16D04">
      <w:pPr>
        <w:pStyle w:val="Heading2"/>
        <w:numPr>
          <w:ilvl w:val="2"/>
          <w:numId w:val="5"/>
        </w:numPr>
        <w:spacing w:line="360" w:lineRule="auto"/>
        <w:rPr>
          <w:rFonts w:cs="Times New Roman"/>
          <w:b/>
          <w:bCs/>
          <w:sz w:val="22"/>
          <w:szCs w:val="22"/>
        </w:rPr>
      </w:pPr>
      <w:bookmarkStart w:id="104" w:name="_Toc213748960"/>
      <w:r w:rsidRPr="00A16D04">
        <w:rPr>
          <w:rFonts w:cs="Times New Roman"/>
          <w:b/>
          <w:bCs/>
          <w:sz w:val="22"/>
          <w:szCs w:val="22"/>
        </w:rPr>
        <w:lastRenderedPageBreak/>
        <w:t>Promote Environmental Education and Regulatory Advocacy</w:t>
      </w:r>
      <w:bookmarkEnd w:id="104"/>
    </w:p>
    <w:p w14:paraId="382BCEAF" w14:textId="7906F14C" w:rsidR="00533543" w:rsidRDefault="00533543" w:rsidP="00533543">
      <w:pPr>
        <w:spacing w:line="360" w:lineRule="auto"/>
        <w:ind w:left="720"/>
        <w:jc w:val="both"/>
      </w:pPr>
      <w:r>
        <w:t>Environmental awareness should be promoted through targeted educational initiatives and regulatory advocacy, reinforcing sustainable brand commitments with measurable goals</w:t>
      </w:r>
      <w:r w:rsidR="008919DE">
        <w:t xml:space="preserve"> </w:t>
      </w:r>
      <w:r w:rsidR="008919DE" w:rsidRPr="008919DE">
        <w:t>(Van Hoang et al., 2025)</w:t>
      </w:r>
      <w:r>
        <w:t>. According to Biswas &amp; Roy (2015)</w:t>
      </w:r>
      <w:r w:rsidR="00545E73">
        <w:t>,</w:t>
      </w:r>
      <w:r w:rsidR="008D6161">
        <w:t xml:space="preserve"> </w:t>
      </w:r>
      <w:r w:rsidR="00545E73">
        <w:t>t</w:t>
      </w:r>
      <w:r w:rsidR="00545E73" w:rsidRPr="00545E73">
        <w:t xml:space="preserve">o effectively encourage sustainable consumption patterns in Hong Kong, Nescafé should prioritize environmental education and take an active stance in regulatory advocacy. Companies </w:t>
      </w:r>
      <w:r w:rsidR="00545E73">
        <w:t>should</w:t>
      </w:r>
      <w:r w:rsidR="00545E73" w:rsidRPr="00545E73">
        <w:t xml:space="preserve"> inform consumers about the importance of eco-friendly behaviors </w:t>
      </w:r>
      <w:r w:rsidR="00545E73">
        <w:t>and</w:t>
      </w:r>
      <w:r w:rsidR="00545E73" w:rsidRPr="00545E73">
        <w:t xml:space="preserve"> advocate for stronger environmental standards within the industry. According to HKFYG (2023), knowledge alone is insufficient to change behaviors; thus, brands need to work collaboratively with schools, youth organizations, and policymakers to embed sustainability into daily choices and public discourse. Educational programs should move beyond awareness campaigns to include community workshops, curriculum integration in schools, and public service content addressing the tangible benefits of reduced waste, ethical sourcing, and responsible packaging. At the same time, active participation in policy dialogues</w:t>
      </w:r>
      <w:r w:rsidR="00545E73">
        <w:t xml:space="preserve">, </w:t>
      </w:r>
      <w:r w:rsidR="00545E73" w:rsidRPr="00545E73">
        <w:t>supporting schemes for extended producer responsibility or enhanced recycling infrastructure</w:t>
      </w:r>
      <w:r w:rsidR="00545E73">
        <w:t xml:space="preserve"> that </w:t>
      </w:r>
      <w:r w:rsidR="00545E73" w:rsidRPr="00545E73">
        <w:t>can help build a regulatory environment that aligns business practices with consumer values. By consistently bridging the gap between knowledge and action, and by publicly supporting progressive policies, Nescafé can strengthen both environmental outcomes and brand credibility, nurturing a new generation of responsible coffee consumers in line with HKFYG’s (2023) insights.</w:t>
      </w:r>
    </w:p>
    <w:p w14:paraId="3091B029" w14:textId="77777777" w:rsidR="00C71718" w:rsidRDefault="00C71718" w:rsidP="00533543">
      <w:pPr>
        <w:spacing w:line="360" w:lineRule="auto"/>
        <w:ind w:left="720"/>
        <w:jc w:val="both"/>
      </w:pPr>
    </w:p>
    <w:p w14:paraId="2023727B" w14:textId="18214213" w:rsidR="000916C4" w:rsidRPr="00A16D04" w:rsidRDefault="000916C4" w:rsidP="00A16D04">
      <w:pPr>
        <w:pStyle w:val="Heading2"/>
        <w:numPr>
          <w:ilvl w:val="2"/>
          <w:numId w:val="5"/>
        </w:numPr>
        <w:spacing w:line="360" w:lineRule="auto"/>
        <w:rPr>
          <w:rFonts w:cs="Times New Roman"/>
          <w:b/>
          <w:bCs/>
          <w:sz w:val="22"/>
          <w:szCs w:val="22"/>
        </w:rPr>
      </w:pPr>
      <w:bookmarkStart w:id="105" w:name="_Toc213748961"/>
      <w:r w:rsidRPr="00A16D04">
        <w:rPr>
          <w:rFonts w:cs="Times New Roman"/>
          <w:b/>
          <w:bCs/>
          <w:sz w:val="22"/>
          <w:szCs w:val="22"/>
        </w:rPr>
        <w:t xml:space="preserve">Promote </w:t>
      </w:r>
      <w:r w:rsidR="00C71718" w:rsidRPr="00A16D04">
        <w:rPr>
          <w:rFonts w:cs="Times New Roman"/>
          <w:b/>
          <w:bCs/>
          <w:sz w:val="22"/>
          <w:szCs w:val="22"/>
        </w:rPr>
        <w:t>Sustainable Packaging</w:t>
      </w:r>
      <w:bookmarkEnd w:id="105"/>
    </w:p>
    <w:p w14:paraId="33402B69" w14:textId="12B684DC" w:rsidR="000916C4" w:rsidRDefault="00336745" w:rsidP="000916C4">
      <w:pPr>
        <w:spacing w:line="360" w:lineRule="auto"/>
        <w:ind w:left="720"/>
        <w:jc w:val="both"/>
      </w:pPr>
      <w:r w:rsidRPr="00336745">
        <w:t>Nescafé should further its commitment to sustainability by advancing innovations in green packaging and clearly communicating these initiatives to consumers. The research by Duarte et al. (2024) demonstrates that visible, credible sustainable packaging</w:t>
      </w:r>
      <w:r>
        <w:t xml:space="preserve"> </w:t>
      </w:r>
      <w:r w:rsidRPr="00336745">
        <w:t>such as recyclable materials, compostable options, and low-carbon processes</w:t>
      </w:r>
      <w:r>
        <w:t xml:space="preserve"> that </w:t>
      </w:r>
      <w:r w:rsidRPr="00336745">
        <w:t>meaningfully enhances purchase intention. However, HKFYG (2023) highlights the prevalence of skepticism and confusion around eco-labels and packaging claims among Hong Kong’s youth. Therefore, Nescafé must ensure authenticity and clarity by employing third-party certifications and offering transparent information about the lifecycle and true impact of the packaging. Communication should focus on enabling consumers to make easy, informed choices through point-of-sale displays, digital storytelling, and interactive campaigns that demystify eco-terminology. By improving the substance and visibility of sustainable packaging, and by delivering honest, accessible information, Nescafé can re</w:t>
      </w:r>
      <w:r>
        <w:t>inforce</w:t>
      </w:r>
      <w:r w:rsidRPr="00336745">
        <w:t xml:space="preserve"> consumer confidence, foster positive </w:t>
      </w:r>
      <w:r w:rsidR="00B218D7">
        <w:t>impact</w:t>
      </w:r>
      <w:r w:rsidRPr="00336745">
        <w:t xml:space="preserve"> </w:t>
      </w:r>
      <w:r w:rsidR="00B218D7">
        <w:t>to</w:t>
      </w:r>
      <w:r w:rsidRPr="00336745">
        <w:t xml:space="preserve"> purcha</w:t>
      </w:r>
      <w:r>
        <w:t>se</w:t>
      </w:r>
      <w:r w:rsidR="00B218D7">
        <w:t xml:space="preserve"> intention</w:t>
      </w:r>
      <w:r w:rsidRPr="00336745">
        <w:t>, and stand out as a leader in responsible brand practices</w:t>
      </w:r>
      <w:r w:rsidR="004E01E6">
        <w:t xml:space="preserve"> </w:t>
      </w:r>
      <w:r w:rsidR="004E01E6" w:rsidRPr="004E01E6">
        <w:t>(</w:t>
      </w:r>
      <w:proofErr w:type="spellStart"/>
      <w:r w:rsidR="004E01E6" w:rsidRPr="004E01E6">
        <w:t>Sriramaneni</w:t>
      </w:r>
      <w:proofErr w:type="spellEnd"/>
      <w:r w:rsidR="004E01E6" w:rsidRPr="004E01E6">
        <w:t xml:space="preserve"> et al., 2025)</w:t>
      </w:r>
      <w:r w:rsidR="000916C4">
        <w:t>.​</w:t>
      </w:r>
    </w:p>
    <w:p w14:paraId="68A576DC" w14:textId="1BDD44FB" w:rsidR="00B20EC5" w:rsidRDefault="00B20EC5">
      <w:pPr>
        <w:rPr>
          <w:rFonts w:eastAsiaTheme="majorEastAsia" w:cs="Times New Roman"/>
          <w:b/>
          <w:bCs/>
          <w:szCs w:val="22"/>
        </w:rPr>
      </w:pPr>
      <w:r>
        <w:rPr>
          <w:rFonts w:eastAsiaTheme="majorEastAsia" w:cs="Times New Roman"/>
          <w:b/>
          <w:bCs/>
          <w:szCs w:val="22"/>
        </w:rPr>
        <w:br w:type="page"/>
      </w:r>
    </w:p>
    <w:p w14:paraId="3EE72236" w14:textId="78B8C49B" w:rsidR="00255692" w:rsidRPr="00A16D04" w:rsidRDefault="00E15B3F" w:rsidP="00A16D04">
      <w:pPr>
        <w:pStyle w:val="Heading2"/>
        <w:numPr>
          <w:ilvl w:val="2"/>
          <w:numId w:val="5"/>
        </w:numPr>
        <w:spacing w:line="360" w:lineRule="auto"/>
        <w:rPr>
          <w:rFonts w:cs="Times New Roman"/>
          <w:b/>
          <w:bCs/>
          <w:sz w:val="22"/>
          <w:szCs w:val="22"/>
        </w:rPr>
      </w:pPr>
      <w:r w:rsidRPr="00A16D04">
        <w:rPr>
          <w:rFonts w:cs="Times New Roman"/>
          <w:b/>
          <w:bCs/>
          <w:sz w:val="22"/>
          <w:szCs w:val="22"/>
        </w:rPr>
        <w:lastRenderedPageBreak/>
        <w:t xml:space="preserve"> </w:t>
      </w:r>
      <w:bookmarkStart w:id="106" w:name="_Toc213748962"/>
      <w:r w:rsidRPr="00A16D04">
        <w:rPr>
          <w:rFonts w:cs="Times New Roman"/>
          <w:b/>
          <w:bCs/>
          <w:sz w:val="22"/>
          <w:szCs w:val="22"/>
        </w:rPr>
        <w:t>Strengthen Brand Trust Through Quality Assurance and Transparency</w:t>
      </w:r>
      <w:bookmarkEnd w:id="106"/>
    </w:p>
    <w:p w14:paraId="36F5C89E" w14:textId="77777777" w:rsidR="005571DC" w:rsidRDefault="001B67D9" w:rsidP="005571DC">
      <w:pPr>
        <w:spacing w:line="360" w:lineRule="auto"/>
        <w:ind w:left="720"/>
        <w:jc w:val="both"/>
      </w:pPr>
      <w:r>
        <w:t>Nescafé should consistently reinforce brand trust by maintaining high product quality, transparent communications, and third-party certifications that verify ethical sourcing and safety. This approach is strongly supported by Cardoso et al. (2022), who found that credibility and reliability are essential to cultivating consumer loyalty and repeat purchase intention in the FMCG sector. Ensuring visible adherence to product promises and actively soliciting consumer feedback can facilitate trust and mitigate skepticism driven by greenwashing concerns</w:t>
      </w:r>
      <w:r w:rsidR="000D397F">
        <w:t xml:space="preserve"> </w:t>
      </w:r>
      <w:r w:rsidR="000D397F" w:rsidRPr="000D397F">
        <w:t>(Hajduk et al., 2024)</w:t>
      </w:r>
      <w:r>
        <w:t>.​</w:t>
      </w:r>
      <w:r w:rsidR="005571DC">
        <w:t xml:space="preserve"> </w:t>
      </w:r>
      <w:r w:rsidR="005571DC" w:rsidRPr="00BE746E">
        <w:t>Moreover, advanced digital analytics</w:t>
      </w:r>
      <w:r w:rsidR="005571DC">
        <w:t xml:space="preserve">, </w:t>
      </w:r>
      <w:r w:rsidR="005571DC" w:rsidRPr="00BE746E">
        <w:t>such as artificial intelligence-driven sentiment analysis</w:t>
      </w:r>
      <w:r w:rsidR="005571DC">
        <w:t xml:space="preserve"> </w:t>
      </w:r>
      <w:r w:rsidR="005571DC" w:rsidRPr="00BE746E">
        <w:t>could be deployed for more granular measurement of trust and intention influences, opening avenues for highly customized marketing. Engaging with ethical, legal, and psychological dimensions of digital trust formation in the context of emerging technologies (AI, live streaming) also represents a promising research frontier</w:t>
      </w:r>
      <w:r w:rsidR="005571DC">
        <w:t xml:space="preserve"> </w:t>
      </w:r>
      <w:r w:rsidR="005571DC" w:rsidRPr="00957BE5">
        <w:t>(</w:t>
      </w:r>
      <w:proofErr w:type="spellStart"/>
      <w:r w:rsidR="005571DC" w:rsidRPr="00957BE5">
        <w:t>Muchammad</w:t>
      </w:r>
      <w:proofErr w:type="spellEnd"/>
      <w:r w:rsidR="005571DC" w:rsidRPr="00957BE5">
        <w:t xml:space="preserve"> </w:t>
      </w:r>
      <w:proofErr w:type="spellStart"/>
      <w:r w:rsidR="005571DC" w:rsidRPr="00957BE5">
        <w:t>Chusnul</w:t>
      </w:r>
      <w:proofErr w:type="spellEnd"/>
      <w:r w:rsidR="005571DC" w:rsidRPr="00957BE5">
        <w:t xml:space="preserve"> Akrom, 2025)</w:t>
      </w:r>
      <w:r w:rsidR="005571DC" w:rsidRPr="00BE746E">
        <w:t>.</w:t>
      </w:r>
    </w:p>
    <w:p w14:paraId="4DE2D717" w14:textId="77777777" w:rsidR="00CD295E" w:rsidRDefault="00CD295E" w:rsidP="005571DC">
      <w:pPr>
        <w:spacing w:line="360" w:lineRule="auto"/>
        <w:ind w:left="720"/>
        <w:jc w:val="both"/>
      </w:pPr>
    </w:p>
    <w:p w14:paraId="48929221" w14:textId="44917005" w:rsidR="00CD295E" w:rsidRPr="00A16D04" w:rsidRDefault="00AE7B41" w:rsidP="00A16D04">
      <w:pPr>
        <w:pStyle w:val="Heading2"/>
        <w:numPr>
          <w:ilvl w:val="2"/>
          <w:numId w:val="5"/>
        </w:numPr>
        <w:spacing w:line="360" w:lineRule="auto"/>
        <w:rPr>
          <w:rFonts w:cs="Times New Roman"/>
          <w:b/>
          <w:bCs/>
          <w:sz w:val="22"/>
          <w:szCs w:val="22"/>
        </w:rPr>
      </w:pPr>
      <w:bookmarkStart w:id="107" w:name="_Toc213748963"/>
      <w:r w:rsidRPr="00A16D04">
        <w:rPr>
          <w:rFonts w:cs="Times New Roman"/>
          <w:b/>
          <w:bCs/>
          <w:sz w:val="22"/>
          <w:szCs w:val="22"/>
        </w:rPr>
        <w:t>Digital Platform Investments to Enhance Consumer Engagement</w:t>
      </w:r>
      <w:bookmarkEnd w:id="107"/>
    </w:p>
    <w:p w14:paraId="6220F1BA" w14:textId="55A78759" w:rsidR="00CD295E" w:rsidRDefault="00CE5C5D" w:rsidP="005571DC">
      <w:pPr>
        <w:spacing w:line="360" w:lineRule="auto"/>
        <w:ind w:left="720"/>
        <w:jc w:val="both"/>
      </w:pPr>
      <w:r>
        <w:t>T</w:t>
      </w:r>
      <w:r w:rsidRPr="00CE5C5D">
        <w:t>ailored to commercial reality</w:t>
      </w:r>
      <w:r>
        <w:t>, i</w:t>
      </w:r>
      <w:r w:rsidR="00CD295E" w:rsidRPr="00CD295E">
        <w:t>nvesting in advanced digital platforms, such as mobile apps and interactive online communities, increases consumer engagement by facilitating two-way communication and co-creation opportunities with the brand. Platform interactivity</w:t>
      </w:r>
      <w:r>
        <w:t xml:space="preserve"> that </w:t>
      </w:r>
      <w:r w:rsidR="00CD295E" w:rsidRPr="00CD295E">
        <w:t>including features like customization, real-time feedback, and value-added digital services</w:t>
      </w:r>
      <w:r>
        <w:t xml:space="preserve">, it will </w:t>
      </w:r>
      <w:r w:rsidR="00CD295E" w:rsidRPr="00CD295E">
        <w:t xml:space="preserve">significantly predicts customer engagement, preference, and ultimately purchase intention. Research shows that brands leveraging interactive digital channels </w:t>
      </w:r>
      <w:r w:rsidR="00920A06">
        <w:t xml:space="preserve">including </w:t>
      </w:r>
      <w:r w:rsidR="00CD295E" w:rsidRPr="00CD295E">
        <w:t>social media, retail apps</w:t>
      </w:r>
      <w:r w:rsidR="00920A06">
        <w:t>,</w:t>
      </w:r>
      <w:r w:rsidR="00CD295E" w:rsidRPr="00CD295E">
        <w:t xml:space="preserve"> see higher levels of sustained consumer attention and loyalty, as consumers are attracted to platforms that align with </w:t>
      </w:r>
      <w:r w:rsidR="00ED409C">
        <w:t>the</w:t>
      </w:r>
      <w:r w:rsidR="00CD295E" w:rsidRPr="00CD295E">
        <w:t xml:space="preserve"> self-concept and social motivations</w:t>
      </w:r>
      <w:r w:rsidR="00920A06">
        <w:t xml:space="preserve"> </w:t>
      </w:r>
      <w:r w:rsidR="00920A06" w:rsidRPr="00920A06">
        <w:t>(Habib, Irfan and Shahzad, 2022)</w:t>
      </w:r>
      <w:r w:rsidR="00CD295E" w:rsidRPr="00CD295E">
        <w:t>.</w:t>
      </w:r>
    </w:p>
    <w:p w14:paraId="1D9FB51C" w14:textId="77777777" w:rsidR="00920A06" w:rsidRDefault="00920A06" w:rsidP="005571DC">
      <w:pPr>
        <w:spacing w:line="360" w:lineRule="auto"/>
        <w:ind w:left="720"/>
        <w:jc w:val="both"/>
      </w:pPr>
    </w:p>
    <w:p w14:paraId="3EB63E15" w14:textId="77777777" w:rsidR="00B90A33" w:rsidRPr="00A16D04" w:rsidRDefault="00B90A33" w:rsidP="00A16D04">
      <w:pPr>
        <w:pStyle w:val="Heading2"/>
        <w:numPr>
          <w:ilvl w:val="2"/>
          <w:numId w:val="5"/>
        </w:numPr>
        <w:spacing w:line="360" w:lineRule="auto"/>
        <w:rPr>
          <w:rFonts w:cs="Times New Roman"/>
          <w:b/>
          <w:bCs/>
          <w:sz w:val="22"/>
          <w:szCs w:val="22"/>
        </w:rPr>
      </w:pPr>
      <w:bookmarkStart w:id="108" w:name="_Toc213748964"/>
      <w:r w:rsidRPr="00A16D04">
        <w:rPr>
          <w:rFonts w:cs="Times New Roman"/>
          <w:b/>
          <w:bCs/>
          <w:sz w:val="22"/>
          <w:szCs w:val="22"/>
        </w:rPr>
        <w:t>Measuring Recommendation Impact Using Key Performance Indicators (KPIs)</w:t>
      </w:r>
      <w:bookmarkEnd w:id="108"/>
    </w:p>
    <w:p w14:paraId="4ACDE8DD" w14:textId="4F9F3160" w:rsidR="00B90A33" w:rsidRDefault="00B90A33" w:rsidP="00B90A33">
      <w:pPr>
        <w:spacing w:line="360" w:lineRule="auto"/>
        <w:ind w:left="720"/>
        <w:jc w:val="both"/>
      </w:pPr>
      <w:r>
        <w:t>Establishing clear, quantifiable KPIs such as conversion rates, engagement metrics, social media impressions, and customer satisfaction scores, it is crucial for evaluating the success of recommended strategies</w:t>
      </w:r>
      <w:r w:rsidR="00C355AF">
        <w:t xml:space="preserve"> </w:t>
      </w:r>
      <w:r w:rsidR="00C355AF" w:rsidRPr="00C355AF">
        <w:t>(Gibson, 2024)</w:t>
      </w:r>
      <w:r>
        <w:t xml:space="preserve">. Academic research emphasizes that KPIs must be tailored to each stage of the marketing funnel on awareness, consideration and decision, </w:t>
      </w:r>
      <w:r w:rsidR="00A70E35">
        <w:t xml:space="preserve">to </w:t>
      </w:r>
      <w:r>
        <w:t>tracked as intermediate and final outcomes to optimize strategy and identify bottlenecks. Applying KPIs enables brands to make data-driven decisions, monitor progress, and adapt recommendations for continuous improvement</w:t>
      </w:r>
      <w:r w:rsidR="000B2BBD">
        <w:t xml:space="preserve"> </w:t>
      </w:r>
      <w:r w:rsidR="00C355AF" w:rsidRPr="00C355AF">
        <w:t>(</w:t>
      </w:r>
      <w:proofErr w:type="spellStart"/>
      <w:r w:rsidR="00C355AF" w:rsidRPr="00C355AF">
        <w:t>Gräve</w:t>
      </w:r>
      <w:proofErr w:type="spellEnd"/>
      <w:r w:rsidR="00C355AF" w:rsidRPr="00C355AF">
        <w:t>, 2019)</w:t>
      </w:r>
      <w:r>
        <w:t>.</w:t>
      </w:r>
    </w:p>
    <w:p w14:paraId="068288A5" w14:textId="77777777" w:rsidR="00CD4759" w:rsidRDefault="00CD4759" w:rsidP="00E15B3F">
      <w:pPr>
        <w:spacing w:line="360" w:lineRule="auto"/>
        <w:ind w:left="720"/>
        <w:jc w:val="both"/>
      </w:pPr>
    </w:p>
    <w:p w14:paraId="751B529F" w14:textId="77777777" w:rsidR="00CD4759" w:rsidRDefault="00CD4759" w:rsidP="00CD4759">
      <w:pPr>
        <w:pStyle w:val="Heading2"/>
        <w:numPr>
          <w:ilvl w:val="1"/>
          <w:numId w:val="5"/>
        </w:numPr>
        <w:tabs>
          <w:tab w:val="num" w:pos="360"/>
        </w:tabs>
        <w:spacing w:line="360" w:lineRule="auto"/>
        <w:ind w:left="450" w:hanging="360"/>
        <w:rPr>
          <w:rFonts w:cs="Times New Roman"/>
          <w:b/>
          <w:bCs/>
          <w:sz w:val="22"/>
          <w:szCs w:val="22"/>
        </w:rPr>
      </w:pPr>
      <w:bookmarkStart w:id="109" w:name="_Toc213748965"/>
      <w:r w:rsidRPr="0024445D">
        <w:rPr>
          <w:rFonts w:cs="Times New Roman"/>
          <w:b/>
          <w:bCs/>
          <w:sz w:val="22"/>
          <w:szCs w:val="22"/>
        </w:rPr>
        <w:lastRenderedPageBreak/>
        <w:t>R</w:t>
      </w:r>
      <w:r>
        <w:rPr>
          <w:rFonts w:cs="Times New Roman"/>
          <w:b/>
          <w:bCs/>
          <w:sz w:val="22"/>
          <w:szCs w:val="22"/>
        </w:rPr>
        <w:t>esearch Limitation</w:t>
      </w:r>
      <w:r w:rsidRPr="00BE7E5D">
        <w:rPr>
          <w:rFonts w:cs="Times New Roman"/>
          <w:b/>
          <w:bCs/>
          <w:sz w:val="22"/>
          <w:szCs w:val="22"/>
        </w:rPr>
        <w:t xml:space="preserve"> </w:t>
      </w:r>
      <w:r w:rsidRPr="0024445D">
        <w:rPr>
          <w:rFonts w:cs="Times New Roman"/>
          <w:b/>
          <w:bCs/>
          <w:sz w:val="22"/>
          <w:szCs w:val="22"/>
        </w:rPr>
        <w:t>R</w:t>
      </w:r>
      <w:r>
        <w:rPr>
          <w:rFonts w:cs="Times New Roman"/>
          <w:b/>
          <w:bCs/>
          <w:sz w:val="22"/>
          <w:szCs w:val="22"/>
        </w:rPr>
        <w:t>esearch Limitation</w:t>
      </w:r>
      <w:bookmarkEnd w:id="109"/>
    </w:p>
    <w:p w14:paraId="4C80E6C0" w14:textId="7A699712" w:rsidR="00893613" w:rsidRDefault="00170BA5" w:rsidP="001B67D9">
      <w:pPr>
        <w:spacing w:line="360" w:lineRule="auto"/>
        <w:jc w:val="both"/>
      </w:pPr>
      <w:r w:rsidRPr="00170BA5">
        <w:t>While the research provides valuable insights, several limitations must be acknowledged. The study utilized cross-sectional survey data reliant on self-reported measures, which may introduce bias and constrain the ability to capture longitudinal trends or causal relationships. Additionally, the Hong Kong-specific context and non-probability sampling frameworks limit the generalizability of results to other geographic settings or product categories. The exclusion of proprietary sales and cost data also restricts direct managerial applications, as granular insights into channel effectiveness and operational constraints remained inaccessible. Future studies should seek broader data access, deploy mixed-method longitudinal designs, and incorporate multi-source triangulation to overcome these constraints.</w:t>
      </w:r>
    </w:p>
    <w:p w14:paraId="4E8F4953" w14:textId="77777777" w:rsidR="00F4207F" w:rsidRDefault="00F4207F" w:rsidP="001B67D9">
      <w:pPr>
        <w:spacing w:line="360" w:lineRule="auto"/>
        <w:jc w:val="both"/>
      </w:pPr>
    </w:p>
    <w:p w14:paraId="0D66AABE" w14:textId="77777777" w:rsidR="00F4207F" w:rsidRDefault="00F4207F" w:rsidP="00F4207F">
      <w:pPr>
        <w:pStyle w:val="Heading2"/>
        <w:numPr>
          <w:ilvl w:val="1"/>
          <w:numId w:val="5"/>
        </w:numPr>
        <w:tabs>
          <w:tab w:val="num" w:pos="360"/>
        </w:tabs>
        <w:spacing w:line="360" w:lineRule="auto"/>
        <w:ind w:left="450" w:hanging="360"/>
        <w:rPr>
          <w:rFonts w:cs="Times New Roman"/>
          <w:b/>
          <w:bCs/>
          <w:sz w:val="22"/>
          <w:szCs w:val="22"/>
        </w:rPr>
      </w:pPr>
      <w:bookmarkStart w:id="110" w:name="_Toc213748966"/>
      <w:r>
        <w:rPr>
          <w:rFonts w:cs="Times New Roman"/>
          <w:b/>
          <w:bCs/>
          <w:sz w:val="22"/>
          <w:szCs w:val="22"/>
        </w:rPr>
        <w:t>Future Research Direction</w:t>
      </w:r>
      <w:bookmarkEnd w:id="110"/>
    </w:p>
    <w:p w14:paraId="36B0E881" w14:textId="77777777" w:rsidR="00F4207F" w:rsidRDefault="00F4207F" w:rsidP="00F4207F">
      <w:pPr>
        <w:spacing w:line="360" w:lineRule="auto"/>
        <w:jc w:val="both"/>
      </w:pPr>
      <w:r w:rsidRPr="00732E50">
        <w:t>Future research should address these limitations by seeking deeper collaborations with instant coffee industry stakeholders, such as direct access to internal marketing, sales, and supply chain data from Nestlé and other leading brands. Studies utilizing randomized and stratified sampling methods can enhance representativeness, enabling a more accurate reflection of Hong Kong’s diverse coffee consumer base. Comparative research across different beverage categories or regional markets, for example, between Hong Kong, Mainland China, and Southeast Asia, would offer valuable benchmarking insights. Additionally, qualitative approaches</w:t>
      </w:r>
      <w:r>
        <w:t xml:space="preserve">, </w:t>
      </w:r>
      <w:r w:rsidRPr="00732E50">
        <w:t xml:space="preserve">such as in-depth interviews with business managers, </w:t>
      </w:r>
      <w:r>
        <w:rPr>
          <w:rFonts w:hint="eastAsia"/>
        </w:rPr>
        <w:t xml:space="preserve">industry </w:t>
      </w:r>
      <w:r w:rsidRPr="00732E50">
        <w:t>suppliers, and retail partners</w:t>
      </w:r>
      <w:r>
        <w:t xml:space="preserve">, that </w:t>
      </w:r>
      <w:r w:rsidRPr="00732E50">
        <w:t>could uncover nuanced perspectives that are otherwise missed by survey methodologies. Longitudinal studies that track changes in purchase intention, brand trust, and sustainability perceptions over time would further strengthen understanding of evolving market trends in Hong Kong. Ultimately, a combination of richer internal data, robust methodological design, and expanded qualitative inquiry will allow future studies to provide even more actionable guidance for both practitioners and researchers in the instant coffee sector.</w:t>
      </w:r>
    </w:p>
    <w:p w14:paraId="143C122E" w14:textId="641CDE86" w:rsidR="00C14DEA" w:rsidRDefault="00C14DEA">
      <w:r>
        <w:br w:type="page"/>
      </w:r>
    </w:p>
    <w:p w14:paraId="1C611EA6" w14:textId="47F44C26" w:rsidR="00FB42CA" w:rsidRPr="0093626E" w:rsidRDefault="003910F7" w:rsidP="007F198D">
      <w:pPr>
        <w:pStyle w:val="Heading"/>
        <w:numPr>
          <w:ilvl w:val="0"/>
          <w:numId w:val="10"/>
        </w:numPr>
        <w:ind w:left="720"/>
        <w:rPr>
          <w:szCs w:val="28"/>
        </w:rPr>
      </w:pPr>
      <w:bookmarkStart w:id="111" w:name="_Toc213748967"/>
      <w:r w:rsidRPr="007F198D">
        <w:rPr>
          <w:rFonts w:cs="Times New Roman"/>
          <w:szCs w:val="28"/>
        </w:rPr>
        <w:lastRenderedPageBreak/>
        <w:t>REFERENCE LIST</w:t>
      </w:r>
      <w:bookmarkEnd w:id="111"/>
    </w:p>
    <w:p w14:paraId="6C590256" w14:textId="0A7A984C" w:rsidR="001F29F5" w:rsidRDefault="001F29F5">
      <w:pPr>
        <w:rPr>
          <w:rFonts w:eastAsiaTheme="majorEastAsia" w:cs="Times New Roman"/>
          <w:b/>
          <w:sz w:val="28"/>
          <w:szCs w:val="28"/>
        </w:rPr>
      </w:pPr>
      <w:r w:rsidRPr="001F29F5">
        <w:rPr>
          <w:rFonts w:eastAsiaTheme="majorEastAsia" w:cs="Times New Roman"/>
          <w:b/>
          <w:noProof/>
          <w:sz w:val="28"/>
          <w:szCs w:val="28"/>
        </w:rPr>
        <w:drawing>
          <wp:inline distT="0" distB="0" distL="0" distR="0" wp14:anchorId="62CA9D6D" wp14:editId="5EEC494F">
            <wp:extent cx="5935330" cy="7721600"/>
            <wp:effectExtent l="0" t="0" r="8890" b="0"/>
            <wp:docPr id="1982565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565207" name=""/>
                    <pic:cNvPicPr/>
                  </pic:nvPicPr>
                  <pic:blipFill>
                    <a:blip r:embed="rId57"/>
                    <a:stretch>
                      <a:fillRect/>
                    </a:stretch>
                  </pic:blipFill>
                  <pic:spPr>
                    <a:xfrm>
                      <a:off x="0" y="0"/>
                      <a:ext cx="5944423" cy="7733430"/>
                    </a:xfrm>
                    <a:prstGeom prst="rect">
                      <a:avLst/>
                    </a:prstGeom>
                  </pic:spPr>
                </pic:pic>
              </a:graphicData>
            </a:graphic>
          </wp:inline>
        </w:drawing>
      </w:r>
    </w:p>
    <w:p w14:paraId="1C31632B" w14:textId="77777777" w:rsidR="001F29F5" w:rsidRDefault="001F29F5">
      <w:pPr>
        <w:rPr>
          <w:rFonts w:eastAsiaTheme="majorEastAsia" w:cs="Times New Roman"/>
          <w:b/>
          <w:sz w:val="28"/>
          <w:szCs w:val="28"/>
        </w:rPr>
      </w:pPr>
      <w:r>
        <w:rPr>
          <w:rFonts w:eastAsiaTheme="majorEastAsia" w:cs="Times New Roman"/>
          <w:b/>
          <w:sz w:val="28"/>
          <w:szCs w:val="28"/>
        </w:rPr>
        <w:br w:type="page"/>
      </w:r>
    </w:p>
    <w:p w14:paraId="2A2938F3" w14:textId="34EC3B8F" w:rsidR="009148AC" w:rsidRDefault="009148AC">
      <w:pPr>
        <w:rPr>
          <w:rFonts w:eastAsiaTheme="majorEastAsia" w:cs="Times New Roman"/>
          <w:b/>
          <w:sz w:val="28"/>
          <w:szCs w:val="28"/>
        </w:rPr>
      </w:pPr>
      <w:r w:rsidRPr="009148AC">
        <w:rPr>
          <w:rFonts w:eastAsiaTheme="majorEastAsia" w:cs="Times New Roman"/>
          <w:b/>
          <w:noProof/>
          <w:sz w:val="28"/>
          <w:szCs w:val="28"/>
        </w:rPr>
        <w:lastRenderedPageBreak/>
        <w:drawing>
          <wp:inline distT="0" distB="0" distL="0" distR="0" wp14:anchorId="23BC032E" wp14:editId="47A36553">
            <wp:extent cx="5925983" cy="8136467"/>
            <wp:effectExtent l="0" t="0" r="0" b="0"/>
            <wp:docPr id="156004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40309" name=""/>
                    <pic:cNvPicPr/>
                  </pic:nvPicPr>
                  <pic:blipFill>
                    <a:blip r:embed="rId58"/>
                    <a:stretch>
                      <a:fillRect/>
                    </a:stretch>
                  </pic:blipFill>
                  <pic:spPr>
                    <a:xfrm>
                      <a:off x="0" y="0"/>
                      <a:ext cx="5941526" cy="8157808"/>
                    </a:xfrm>
                    <a:prstGeom prst="rect">
                      <a:avLst/>
                    </a:prstGeom>
                  </pic:spPr>
                </pic:pic>
              </a:graphicData>
            </a:graphic>
          </wp:inline>
        </w:drawing>
      </w:r>
    </w:p>
    <w:p w14:paraId="65B5A2DB" w14:textId="350FED3A" w:rsidR="009148AC" w:rsidRDefault="009148AC">
      <w:pPr>
        <w:rPr>
          <w:rFonts w:eastAsiaTheme="majorEastAsia" w:cs="Times New Roman"/>
          <w:b/>
          <w:sz w:val="28"/>
          <w:szCs w:val="28"/>
        </w:rPr>
      </w:pPr>
      <w:r>
        <w:rPr>
          <w:rFonts w:eastAsiaTheme="majorEastAsia" w:cs="Times New Roman"/>
          <w:b/>
          <w:sz w:val="28"/>
          <w:szCs w:val="28"/>
        </w:rPr>
        <w:br w:type="page"/>
      </w:r>
      <w:r w:rsidR="001815F8" w:rsidRPr="001815F8">
        <w:rPr>
          <w:rFonts w:eastAsiaTheme="majorEastAsia" w:cs="Times New Roman"/>
          <w:b/>
          <w:noProof/>
          <w:sz w:val="28"/>
          <w:szCs w:val="28"/>
        </w:rPr>
        <w:lastRenderedPageBreak/>
        <w:drawing>
          <wp:inline distT="0" distB="0" distL="0" distR="0" wp14:anchorId="3F0C8F4E" wp14:editId="4ECD049E">
            <wp:extent cx="5945957" cy="7924800"/>
            <wp:effectExtent l="0" t="0" r="0" b="0"/>
            <wp:docPr id="1060432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32347" name=""/>
                    <pic:cNvPicPr/>
                  </pic:nvPicPr>
                  <pic:blipFill>
                    <a:blip r:embed="rId59"/>
                    <a:stretch>
                      <a:fillRect/>
                    </a:stretch>
                  </pic:blipFill>
                  <pic:spPr>
                    <a:xfrm>
                      <a:off x="0" y="0"/>
                      <a:ext cx="5960378" cy="7944021"/>
                    </a:xfrm>
                    <a:prstGeom prst="rect">
                      <a:avLst/>
                    </a:prstGeom>
                  </pic:spPr>
                </pic:pic>
              </a:graphicData>
            </a:graphic>
          </wp:inline>
        </w:drawing>
      </w:r>
    </w:p>
    <w:p w14:paraId="70F9A999" w14:textId="1844193E" w:rsidR="00560D96" w:rsidRDefault="00A85570">
      <w:pPr>
        <w:rPr>
          <w:noProof/>
        </w:rPr>
      </w:pPr>
      <w:r w:rsidRPr="00A85570">
        <w:rPr>
          <w:rFonts w:eastAsiaTheme="majorEastAsia" w:cs="Times New Roman"/>
          <w:b/>
          <w:noProof/>
          <w:sz w:val="28"/>
          <w:szCs w:val="28"/>
        </w:rPr>
        <w:lastRenderedPageBreak/>
        <w:drawing>
          <wp:inline distT="0" distB="0" distL="0" distR="0" wp14:anchorId="105EED39" wp14:editId="4F8D00FD">
            <wp:extent cx="5819963" cy="8009467"/>
            <wp:effectExtent l="0" t="0" r="9525" b="0"/>
            <wp:docPr id="70738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86770" name=""/>
                    <pic:cNvPicPr/>
                  </pic:nvPicPr>
                  <pic:blipFill>
                    <a:blip r:embed="rId60"/>
                    <a:stretch>
                      <a:fillRect/>
                    </a:stretch>
                  </pic:blipFill>
                  <pic:spPr>
                    <a:xfrm>
                      <a:off x="0" y="0"/>
                      <a:ext cx="5830144" cy="8023479"/>
                    </a:xfrm>
                    <a:prstGeom prst="rect">
                      <a:avLst/>
                    </a:prstGeom>
                  </pic:spPr>
                </pic:pic>
              </a:graphicData>
            </a:graphic>
          </wp:inline>
        </w:drawing>
      </w:r>
      <w:r w:rsidR="0043753E" w:rsidRPr="0043753E">
        <w:rPr>
          <w:noProof/>
        </w:rPr>
        <w:t xml:space="preserve"> </w:t>
      </w:r>
      <w:r w:rsidR="0043753E" w:rsidRPr="0043753E">
        <w:rPr>
          <w:rFonts w:eastAsiaTheme="majorEastAsia" w:cs="Times New Roman"/>
          <w:b/>
          <w:noProof/>
          <w:sz w:val="28"/>
          <w:szCs w:val="28"/>
        </w:rPr>
        <w:lastRenderedPageBreak/>
        <w:drawing>
          <wp:inline distT="0" distB="0" distL="0" distR="0" wp14:anchorId="174B0E32" wp14:editId="67B4A47D">
            <wp:extent cx="5945057" cy="7848600"/>
            <wp:effectExtent l="0" t="0" r="0" b="0"/>
            <wp:docPr id="1591151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151155" name=""/>
                    <pic:cNvPicPr/>
                  </pic:nvPicPr>
                  <pic:blipFill>
                    <a:blip r:embed="rId61"/>
                    <a:stretch>
                      <a:fillRect/>
                    </a:stretch>
                  </pic:blipFill>
                  <pic:spPr>
                    <a:xfrm>
                      <a:off x="0" y="0"/>
                      <a:ext cx="5952685" cy="7858671"/>
                    </a:xfrm>
                    <a:prstGeom prst="rect">
                      <a:avLst/>
                    </a:prstGeom>
                  </pic:spPr>
                </pic:pic>
              </a:graphicData>
            </a:graphic>
          </wp:inline>
        </w:drawing>
      </w:r>
      <w:r w:rsidR="00E6579E" w:rsidRPr="00E6579E">
        <w:rPr>
          <w:noProof/>
        </w:rPr>
        <w:t xml:space="preserve"> </w:t>
      </w:r>
      <w:r w:rsidR="00E6579E" w:rsidRPr="00E6579E">
        <w:rPr>
          <w:noProof/>
        </w:rPr>
        <w:lastRenderedPageBreak/>
        <w:drawing>
          <wp:inline distT="0" distB="0" distL="0" distR="0" wp14:anchorId="3776FABB" wp14:editId="181A3842">
            <wp:extent cx="5961559" cy="8144933"/>
            <wp:effectExtent l="0" t="0" r="1270" b="8890"/>
            <wp:docPr id="855742208"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742208" name="Picture 1" descr="A document with text on it&#10;&#10;AI-generated content may be incorrect."/>
                    <pic:cNvPicPr/>
                  </pic:nvPicPr>
                  <pic:blipFill>
                    <a:blip r:embed="rId62"/>
                    <a:stretch>
                      <a:fillRect/>
                    </a:stretch>
                  </pic:blipFill>
                  <pic:spPr>
                    <a:xfrm>
                      <a:off x="0" y="0"/>
                      <a:ext cx="5968606" cy="8154562"/>
                    </a:xfrm>
                    <a:prstGeom prst="rect">
                      <a:avLst/>
                    </a:prstGeom>
                  </pic:spPr>
                </pic:pic>
              </a:graphicData>
            </a:graphic>
          </wp:inline>
        </w:drawing>
      </w:r>
      <w:r w:rsidR="00F5669B" w:rsidRPr="00F5669B">
        <w:rPr>
          <w:noProof/>
        </w:rPr>
        <w:t xml:space="preserve"> </w:t>
      </w:r>
      <w:r w:rsidR="00F5669B" w:rsidRPr="00F5669B">
        <w:rPr>
          <w:noProof/>
        </w:rPr>
        <w:lastRenderedPageBreak/>
        <w:drawing>
          <wp:inline distT="0" distB="0" distL="0" distR="0" wp14:anchorId="57C17C3D" wp14:editId="1D06730A">
            <wp:extent cx="5884333" cy="7911470"/>
            <wp:effectExtent l="0" t="0" r="2540" b="0"/>
            <wp:docPr id="1556856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56805" name=""/>
                    <pic:cNvPicPr/>
                  </pic:nvPicPr>
                  <pic:blipFill>
                    <a:blip r:embed="rId63"/>
                    <a:stretch>
                      <a:fillRect/>
                    </a:stretch>
                  </pic:blipFill>
                  <pic:spPr>
                    <a:xfrm>
                      <a:off x="0" y="0"/>
                      <a:ext cx="5897476" cy="7929141"/>
                    </a:xfrm>
                    <a:prstGeom prst="rect">
                      <a:avLst/>
                    </a:prstGeom>
                  </pic:spPr>
                </pic:pic>
              </a:graphicData>
            </a:graphic>
          </wp:inline>
        </w:drawing>
      </w:r>
      <w:r w:rsidR="00560D96" w:rsidRPr="00560D96">
        <w:rPr>
          <w:noProof/>
        </w:rPr>
        <w:t xml:space="preserve"> </w:t>
      </w:r>
      <w:r w:rsidR="00560D96" w:rsidRPr="00560D96">
        <w:rPr>
          <w:noProof/>
        </w:rPr>
        <w:lastRenderedPageBreak/>
        <w:drawing>
          <wp:inline distT="0" distB="0" distL="0" distR="0" wp14:anchorId="63A97801" wp14:editId="720CFCC3">
            <wp:extent cx="5892243" cy="8051800"/>
            <wp:effectExtent l="0" t="0" r="0" b="6350"/>
            <wp:docPr id="863860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8602" name="Picture 1" descr="A close-up of a text&#10;&#10;AI-generated content may be incorrect."/>
                    <pic:cNvPicPr/>
                  </pic:nvPicPr>
                  <pic:blipFill>
                    <a:blip r:embed="rId64"/>
                    <a:stretch>
                      <a:fillRect/>
                    </a:stretch>
                  </pic:blipFill>
                  <pic:spPr>
                    <a:xfrm>
                      <a:off x="0" y="0"/>
                      <a:ext cx="5899285" cy="8061423"/>
                    </a:xfrm>
                    <a:prstGeom prst="rect">
                      <a:avLst/>
                    </a:prstGeom>
                  </pic:spPr>
                </pic:pic>
              </a:graphicData>
            </a:graphic>
          </wp:inline>
        </w:drawing>
      </w:r>
    </w:p>
    <w:p w14:paraId="0789206A" w14:textId="77777777" w:rsidR="00560D96" w:rsidRDefault="00560D96">
      <w:pPr>
        <w:rPr>
          <w:noProof/>
        </w:rPr>
      </w:pPr>
      <w:r>
        <w:rPr>
          <w:noProof/>
        </w:rPr>
        <w:br w:type="page"/>
      </w:r>
    </w:p>
    <w:p w14:paraId="616FC777" w14:textId="152B1483" w:rsidR="00182478" w:rsidRDefault="00182478">
      <w:pPr>
        <w:rPr>
          <w:rFonts w:eastAsiaTheme="majorEastAsia" w:cs="Times New Roman"/>
          <w:b/>
          <w:sz w:val="28"/>
          <w:szCs w:val="28"/>
        </w:rPr>
      </w:pPr>
      <w:r w:rsidRPr="00182478">
        <w:rPr>
          <w:rFonts w:eastAsiaTheme="majorEastAsia" w:cs="Times New Roman"/>
          <w:b/>
          <w:noProof/>
          <w:sz w:val="28"/>
          <w:szCs w:val="28"/>
        </w:rPr>
        <w:lastRenderedPageBreak/>
        <w:drawing>
          <wp:inline distT="0" distB="0" distL="0" distR="0" wp14:anchorId="1E0BDA47" wp14:editId="3392ED09">
            <wp:extent cx="5926667" cy="8117163"/>
            <wp:effectExtent l="0" t="0" r="0" b="0"/>
            <wp:docPr id="216257951"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257951" name="Picture 1" descr="A document with text on it&#10;&#10;AI-generated content may be incorrect."/>
                    <pic:cNvPicPr/>
                  </pic:nvPicPr>
                  <pic:blipFill>
                    <a:blip r:embed="rId65"/>
                    <a:stretch>
                      <a:fillRect/>
                    </a:stretch>
                  </pic:blipFill>
                  <pic:spPr>
                    <a:xfrm>
                      <a:off x="0" y="0"/>
                      <a:ext cx="5931449" cy="8123712"/>
                    </a:xfrm>
                    <a:prstGeom prst="rect">
                      <a:avLst/>
                    </a:prstGeom>
                  </pic:spPr>
                </pic:pic>
              </a:graphicData>
            </a:graphic>
          </wp:inline>
        </w:drawing>
      </w:r>
    </w:p>
    <w:p w14:paraId="30BE9000" w14:textId="77777777" w:rsidR="00182478" w:rsidRDefault="00182478">
      <w:pPr>
        <w:rPr>
          <w:rFonts w:eastAsiaTheme="majorEastAsia" w:cs="Times New Roman"/>
          <w:b/>
          <w:sz w:val="28"/>
          <w:szCs w:val="28"/>
        </w:rPr>
      </w:pPr>
      <w:r>
        <w:rPr>
          <w:rFonts w:eastAsiaTheme="majorEastAsia" w:cs="Times New Roman"/>
          <w:b/>
          <w:sz w:val="28"/>
          <w:szCs w:val="28"/>
        </w:rPr>
        <w:br w:type="page"/>
      </w:r>
    </w:p>
    <w:p w14:paraId="52E77973" w14:textId="264C977A" w:rsidR="001A65C5" w:rsidRDefault="001A65C5">
      <w:pPr>
        <w:rPr>
          <w:rFonts w:eastAsiaTheme="majorEastAsia" w:cs="Times New Roman"/>
          <w:b/>
          <w:sz w:val="28"/>
          <w:szCs w:val="28"/>
        </w:rPr>
      </w:pPr>
      <w:r w:rsidRPr="001A65C5">
        <w:rPr>
          <w:rFonts w:eastAsiaTheme="majorEastAsia" w:cs="Times New Roman"/>
          <w:b/>
          <w:noProof/>
          <w:sz w:val="28"/>
          <w:szCs w:val="28"/>
        </w:rPr>
        <w:lastRenderedPageBreak/>
        <w:drawing>
          <wp:inline distT="0" distB="0" distL="0" distR="0" wp14:anchorId="2ABA360F" wp14:editId="5BEF16FF">
            <wp:extent cx="5952067" cy="5246211"/>
            <wp:effectExtent l="0" t="0" r="0" b="0"/>
            <wp:docPr id="10896885"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885" name="Picture 1" descr="A paper with text on it&#10;&#10;AI-generated content may be incorrect."/>
                    <pic:cNvPicPr/>
                  </pic:nvPicPr>
                  <pic:blipFill>
                    <a:blip r:embed="rId66"/>
                    <a:stretch>
                      <a:fillRect/>
                    </a:stretch>
                  </pic:blipFill>
                  <pic:spPr>
                    <a:xfrm>
                      <a:off x="0" y="0"/>
                      <a:ext cx="5958082" cy="5251512"/>
                    </a:xfrm>
                    <a:prstGeom prst="rect">
                      <a:avLst/>
                    </a:prstGeom>
                  </pic:spPr>
                </pic:pic>
              </a:graphicData>
            </a:graphic>
          </wp:inline>
        </w:drawing>
      </w:r>
    </w:p>
    <w:p w14:paraId="635BF8BD" w14:textId="77777777" w:rsidR="001A65C5" w:rsidRDefault="001A65C5">
      <w:pPr>
        <w:rPr>
          <w:rFonts w:eastAsiaTheme="majorEastAsia" w:cs="Times New Roman"/>
          <w:b/>
          <w:sz w:val="28"/>
          <w:szCs w:val="28"/>
        </w:rPr>
      </w:pPr>
      <w:r>
        <w:rPr>
          <w:rFonts w:eastAsiaTheme="majorEastAsia" w:cs="Times New Roman"/>
          <w:b/>
          <w:sz w:val="28"/>
          <w:szCs w:val="28"/>
        </w:rPr>
        <w:br w:type="page"/>
      </w:r>
    </w:p>
    <w:p w14:paraId="680136CC" w14:textId="36446455" w:rsidR="003C6C05" w:rsidRDefault="00FB42CA" w:rsidP="003C6C05">
      <w:pPr>
        <w:pStyle w:val="Heading"/>
        <w:numPr>
          <w:ilvl w:val="0"/>
          <w:numId w:val="10"/>
        </w:numPr>
        <w:ind w:left="0" w:firstLine="0"/>
        <w:rPr>
          <w:rFonts w:cs="Times New Roman"/>
          <w:szCs w:val="28"/>
        </w:rPr>
      </w:pPr>
      <w:bookmarkStart w:id="112" w:name="_Toc213748968"/>
      <w:r w:rsidRPr="00FE34F0">
        <w:rPr>
          <w:rFonts w:cs="Times New Roman"/>
          <w:szCs w:val="28"/>
        </w:rPr>
        <w:lastRenderedPageBreak/>
        <w:t>APPENDIX</w:t>
      </w:r>
      <w:r w:rsidR="00CA3762">
        <w:rPr>
          <w:rFonts w:cs="Times New Roman" w:hint="eastAsia"/>
          <w:szCs w:val="28"/>
        </w:rPr>
        <w:t xml:space="preserve"> 1 </w:t>
      </w:r>
      <w:r w:rsidR="00CA3762">
        <w:rPr>
          <w:rFonts w:cs="Times New Roman"/>
          <w:szCs w:val="28"/>
        </w:rPr>
        <w:t>–</w:t>
      </w:r>
      <w:r w:rsidR="00CA3762">
        <w:rPr>
          <w:rFonts w:cs="Times New Roman" w:hint="eastAsia"/>
          <w:szCs w:val="28"/>
        </w:rPr>
        <w:t xml:space="preserve"> </w:t>
      </w:r>
      <w:r w:rsidR="00B93489" w:rsidRPr="00FE34F0">
        <w:rPr>
          <w:rFonts w:cs="Times New Roman"/>
          <w:szCs w:val="28"/>
        </w:rPr>
        <w:t>Focus Group for Framework Research</w:t>
      </w:r>
      <w:bookmarkEnd w:id="112"/>
    </w:p>
    <w:p w14:paraId="1BD2158F" w14:textId="781CCC12" w:rsidR="00FE34F0" w:rsidRDefault="00FE34F0" w:rsidP="00D23DF1">
      <w:pPr>
        <w:jc w:val="center"/>
      </w:pPr>
      <w:r w:rsidRPr="00FE34F0">
        <w:rPr>
          <w:noProof/>
        </w:rPr>
        <w:drawing>
          <wp:inline distT="0" distB="0" distL="0" distR="0" wp14:anchorId="2787912F" wp14:editId="7554C404">
            <wp:extent cx="5376842" cy="8017933"/>
            <wp:effectExtent l="0" t="0" r="0" b="2540"/>
            <wp:docPr id="388034868"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034868" name="Picture 1" descr="A document with writing on it&#10;&#10;AI-generated content may be incorrect."/>
                    <pic:cNvPicPr/>
                  </pic:nvPicPr>
                  <pic:blipFill>
                    <a:blip r:embed="rId67"/>
                    <a:stretch>
                      <a:fillRect/>
                    </a:stretch>
                  </pic:blipFill>
                  <pic:spPr>
                    <a:xfrm>
                      <a:off x="0" y="0"/>
                      <a:ext cx="5418265" cy="8079703"/>
                    </a:xfrm>
                    <a:prstGeom prst="rect">
                      <a:avLst/>
                    </a:prstGeom>
                  </pic:spPr>
                </pic:pic>
              </a:graphicData>
            </a:graphic>
          </wp:inline>
        </w:drawing>
      </w:r>
    </w:p>
    <w:p w14:paraId="36A0CB54" w14:textId="514A524F" w:rsidR="00FE34F0" w:rsidRDefault="00FE34F0">
      <w:pPr>
        <w:rPr>
          <w:rFonts w:eastAsiaTheme="majorEastAsia" w:cs="Times New Roman"/>
          <w:b/>
          <w:sz w:val="28"/>
          <w:szCs w:val="28"/>
        </w:rPr>
      </w:pPr>
    </w:p>
    <w:p w14:paraId="0FE3B538" w14:textId="48CDD6C0" w:rsidR="008B2325" w:rsidRDefault="003C6C05" w:rsidP="00D23DF1">
      <w:pPr>
        <w:jc w:val="center"/>
        <w:rPr>
          <w:rFonts w:eastAsiaTheme="majorEastAsia"/>
          <w:sz w:val="28"/>
        </w:rPr>
      </w:pPr>
      <w:r w:rsidRPr="003C6C05">
        <w:rPr>
          <w:noProof/>
        </w:rPr>
        <w:drawing>
          <wp:inline distT="0" distB="0" distL="0" distR="0" wp14:anchorId="611F62C7" wp14:editId="6B3B7178">
            <wp:extent cx="5162054" cy="6753225"/>
            <wp:effectExtent l="0" t="0" r="635" b="0"/>
            <wp:docPr id="2069006699"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06699" name="Picture 1" descr="A document with writing on it&#10;&#10;AI-generated content may be incorrect."/>
                    <pic:cNvPicPr/>
                  </pic:nvPicPr>
                  <pic:blipFill>
                    <a:blip r:embed="rId68"/>
                    <a:stretch>
                      <a:fillRect/>
                    </a:stretch>
                  </pic:blipFill>
                  <pic:spPr>
                    <a:xfrm>
                      <a:off x="0" y="0"/>
                      <a:ext cx="5179940" cy="6776625"/>
                    </a:xfrm>
                    <a:prstGeom prst="rect">
                      <a:avLst/>
                    </a:prstGeom>
                  </pic:spPr>
                </pic:pic>
              </a:graphicData>
            </a:graphic>
          </wp:inline>
        </w:drawing>
      </w:r>
    </w:p>
    <w:p w14:paraId="1BB45400" w14:textId="77777777" w:rsidR="008B2325" w:rsidRDefault="008B2325">
      <w:pPr>
        <w:rPr>
          <w:rFonts w:eastAsiaTheme="majorEastAsia"/>
          <w:sz w:val="28"/>
        </w:rPr>
      </w:pPr>
      <w:r>
        <w:rPr>
          <w:rFonts w:eastAsiaTheme="majorEastAsia"/>
          <w:sz w:val="28"/>
        </w:rPr>
        <w:br w:type="page"/>
      </w:r>
    </w:p>
    <w:p w14:paraId="78895D51" w14:textId="44FC2C26" w:rsidR="008B2325" w:rsidRDefault="008B2325" w:rsidP="00D23DF1">
      <w:pPr>
        <w:jc w:val="center"/>
        <w:rPr>
          <w:rFonts w:eastAsiaTheme="majorEastAsia"/>
          <w:sz w:val="28"/>
        </w:rPr>
      </w:pPr>
      <w:r w:rsidRPr="008B2325">
        <w:rPr>
          <w:rFonts w:eastAsiaTheme="majorEastAsia"/>
          <w:noProof/>
          <w:sz w:val="28"/>
        </w:rPr>
        <w:lastRenderedPageBreak/>
        <w:drawing>
          <wp:inline distT="0" distB="0" distL="0" distR="0" wp14:anchorId="5FF265E1" wp14:editId="3F27BA86">
            <wp:extent cx="5168067" cy="3073400"/>
            <wp:effectExtent l="0" t="0" r="0" b="0"/>
            <wp:docPr id="719303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03373" name=""/>
                    <pic:cNvPicPr/>
                  </pic:nvPicPr>
                  <pic:blipFill>
                    <a:blip r:embed="rId69"/>
                    <a:stretch>
                      <a:fillRect/>
                    </a:stretch>
                  </pic:blipFill>
                  <pic:spPr>
                    <a:xfrm>
                      <a:off x="0" y="0"/>
                      <a:ext cx="5177261" cy="3078867"/>
                    </a:xfrm>
                    <a:prstGeom prst="rect">
                      <a:avLst/>
                    </a:prstGeom>
                  </pic:spPr>
                </pic:pic>
              </a:graphicData>
            </a:graphic>
          </wp:inline>
        </w:drawing>
      </w:r>
    </w:p>
    <w:p w14:paraId="19367B95" w14:textId="77777777" w:rsidR="008B2325" w:rsidRDefault="008B2325">
      <w:pPr>
        <w:rPr>
          <w:rFonts w:eastAsiaTheme="majorEastAsia"/>
          <w:sz w:val="28"/>
        </w:rPr>
      </w:pPr>
      <w:r>
        <w:rPr>
          <w:rFonts w:eastAsiaTheme="majorEastAsia"/>
          <w:sz w:val="28"/>
        </w:rPr>
        <w:br w:type="page"/>
      </w:r>
    </w:p>
    <w:p w14:paraId="0C020811" w14:textId="26FA1C01" w:rsidR="00A21C0B" w:rsidRPr="00FE34F0" w:rsidRDefault="0062735A" w:rsidP="00D23DF1">
      <w:pPr>
        <w:jc w:val="center"/>
        <w:rPr>
          <w:rFonts w:eastAsiaTheme="majorEastAsia"/>
          <w:sz w:val="28"/>
        </w:rPr>
      </w:pPr>
      <w:r w:rsidRPr="0062735A">
        <w:rPr>
          <w:rFonts w:eastAsiaTheme="majorEastAsia"/>
          <w:noProof/>
          <w:sz w:val="28"/>
        </w:rPr>
        <w:lastRenderedPageBreak/>
        <w:drawing>
          <wp:inline distT="0" distB="0" distL="0" distR="0" wp14:anchorId="64110B88" wp14:editId="2A1D90B4">
            <wp:extent cx="5799138" cy="8915400"/>
            <wp:effectExtent l="0" t="0" r="0" b="0"/>
            <wp:docPr id="1652228399" name="Picture 1" descr="A document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28399" name="Picture 1" descr="A document with writing on it&#10;&#10;AI-generated content may be incorrect."/>
                    <pic:cNvPicPr/>
                  </pic:nvPicPr>
                  <pic:blipFill>
                    <a:blip r:embed="rId70"/>
                    <a:stretch>
                      <a:fillRect/>
                    </a:stretch>
                  </pic:blipFill>
                  <pic:spPr>
                    <a:xfrm>
                      <a:off x="0" y="0"/>
                      <a:ext cx="5811925" cy="8935058"/>
                    </a:xfrm>
                    <a:prstGeom prst="rect">
                      <a:avLst/>
                    </a:prstGeom>
                  </pic:spPr>
                </pic:pic>
              </a:graphicData>
            </a:graphic>
          </wp:inline>
        </w:drawing>
      </w:r>
    </w:p>
    <w:p w14:paraId="52B0BE71" w14:textId="687017CE" w:rsidR="00481CF8" w:rsidRDefault="00481CF8" w:rsidP="00481CF8">
      <w:pPr>
        <w:pStyle w:val="Heading"/>
        <w:numPr>
          <w:ilvl w:val="0"/>
          <w:numId w:val="10"/>
        </w:numPr>
        <w:ind w:left="720"/>
        <w:rPr>
          <w:rFonts w:cs="Times New Roman"/>
          <w:szCs w:val="28"/>
        </w:rPr>
      </w:pPr>
      <w:bookmarkStart w:id="113" w:name="_Toc213748969"/>
      <w:r w:rsidRPr="007F198D">
        <w:rPr>
          <w:rFonts w:cs="Times New Roman"/>
          <w:szCs w:val="28"/>
        </w:rPr>
        <w:lastRenderedPageBreak/>
        <w:t xml:space="preserve">APPENDIX </w:t>
      </w:r>
      <w:r w:rsidR="00CA3762">
        <w:rPr>
          <w:rFonts w:cs="Times New Roman" w:hint="eastAsia"/>
          <w:szCs w:val="28"/>
        </w:rPr>
        <w:t xml:space="preserve">2 </w:t>
      </w:r>
      <w:r w:rsidR="00CA3762">
        <w:rPr>
          <w:rFonts w:cs="Times New Roman"/>
          <w:szCs w:val="28"/>
        </w:rPr>
        <w:t>–</w:t>
      </w:r>
      <w:r w:rsidR="00CA3762">
        <w:rPr>
          <w:rFonts w:cs="Times New Roman" w:hint="eastAsia"/>
          <w:szCs w:val="28"/>
        </w:rPr>
        <w:t xml:space="preserve"> </w:t>
      </w:r>
      <w:r w:rsidRPr="007F198D">
        <w:rPr>
          <w:rFonts w:cs="Times New Roman"/>
          <w:szCs w:val="28"/>
        </w:rPr>
        <w:t>Final Questionnaire</w:t>
      </w:r>
      <w:bookmarkEnd w:id="113"/>
      <w:r w:rsidRPr="007F198D">
        <w:rPr>
          <w:rFonts w:cs="Times New Roman"/>
          <w:szCs w:val="28"/>
        </w:rPr>
        <w:t xml:space="preserve"> </w:t>
      </w:r>
    </w:p>
    <w:p w14:paraId="569BD228" w14:textId="00DF14F7" w:rsidR="00A21C0B" w:rsidRDefault="0073610A" w:rsidP="001A64EC">
      <w:pPr>
        <w:jc w:val="center"/>
        <w:rPr>
          <w:rFonts w:cs="Times New Roman"/>
          <w:szCs w:val="28"/>
        </w:rPr>
      </w:pPr>
      <w:r w:rsidRPr="0073610A">
        <w:rPr>
          <w:noProof/>
        </w:rPr>
        <w:drawing>
          <wp:inline distT="0" distB="0" distL="0" distR="0" wp14:anchorId="1B30862C" wp14:editId="467D0653">
            <wp:extent cx="5943600" cy="7664450"/>
            <wp:effectExtent l="0" t="0" r="0" b="0"/>
            <wp:docPr id="18866252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943600" cy="7664450"/>
                    </a:xfrm>
                    <a:prstGeom prst="rect">
                      <a:avLst/>
                    </a:prstGeom>
                    <a:noFill/>
                    <a:ln>
                      <a:noFill/>
                    </a:ln>
                  </pic:spPr>
                </pic:pic>
              </a:graphicData>
            </a:graphic>
          </wp:inline>
        </w:drawing>
      </w:r>
    </w:p>
    <w:p w14:paraId="5BE3D3AC" w14:textId="5552BB83" w:rsidR="0073610A" w:rsidRDefault="0073610A">
      <w:pPr>
        <w:rPr>
          <w:rFonts w:cs="Times New Roman"/>
          <w:szCs w:val="28"/>
        </w:rPr>
      </w:pPr>
      <w:r>
        <w:rPr>
          <w:rFonts w:cs="Times New Roman"/>
          <w:szCs w:val="28"/>
        </w:rPr>
        <w:br w:type="page"/>
      </w:r>
    </w:p>
    <w:p w14:paraId="61F07BA9" w14:textId="4362C718" w:rsidR="00FE7D7F" w:rsidRDefault="0031196C">
      <w:pPr>
        <w:rPr>
          <w:rFonts w:cs="Times New Roman"/>
          <w:szCs w:val="28"/>
        </w:rPr>
      </w:pPr>
      <w:r w:rsidRPr="0031196C">
        <w:rPr>
          <w:noProof/>
        </w:rPr>
        <w:lastRenderedPageBreak/>
        <w:drawing>
          <wp:inline distT="0" distB="0" distL="0" distR="0" wp14:anchorId="327D8C19" wp14:editId="2F41EF51">
            <wp:extent cx="6067593" cy="3014133"/>
            <wp:effectExtent l="0" t="0" r="0" b="0"/>
            <wp:docPr id="17618981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2">
                      <a:extLst>
                        <a:ext uri="{28A0092B-C50C-407E-A947-70E740481C1C}">
                          <a14:useLocalDpi xmlns:a14="http://schemas.microsoft.com/office/drawing/2010/main" val="0"/>
                        </a:ext>
                      </a:extLst>
                    </a:blip>
                    <a:srcRect r="30769"/>
                    <a:stretch>
                      <a:fillRect/>
                    </a:stretch>
                  </pic:blipFill>
                  <pic:spPr bwMode="auto">
                    <a:xfrm>
                      <a:off x="0" y="0"/>
                      <a:ext cx="6076293" cy="3018455"/>
                    </a:xfrm>
                    <a:prstGeom prst="rect">
                      <a:avLst/>
                    </a:prstGeom>
                    <a:noFill/>
                    <a:ln>
                      <a:noFill/>
                    </a:ln>
                    <a:extLst>
                      <a:ext uri="{53640926-AAD7-44D8-BBD7-CCE9431645EC}">
                        <a14:shadowObscured xmlns:a14="http://schemas.microsoft.com/office/drawing/2010/main"/>
                      </a:ext>
                    </a:extLst>
                  </pic:spPr>
                </pic:pic>
              </a:graphicData>
            </a:graphic>
          </wp:inline>
        </w:drawing>
      </w:r>
    </w:p>
    <w:p w14:paraId="42946B01" w14:textId="77777777" w:rsidR="0031196C" w:rsidRDefault="0031196C">
      <w:pPr>
        <w:rPr>
          <w:rFonts w:cs="Times New Roman"/>
          <w:szCs w:val="28"/>
        </w:rPr>
      </w:pPr>
    </w:p>
    <w:p w14:paraId="1476ECFB" w14:textId="77777777" w:rsidR="0031196C" w:rsidRDefault="0031196C">
      <w:pPr>
        <w:rPr>
          <w:rFonts w:eastAsiaTheme="majorEastAsia" w:cs="Times New Roman"/>
          <w:b/>
          <w:sz w:val="28"/>
          <w:szCs w:val="28"/>
        </w:rPr>
      </w:pPr>
      <w:r>
        <w:rPr>
          <w:rFonts w:cs="Times New Roman"/>
          <w:szCs w:val="28"/>
        </w:rPr>
        <w:br w:type="page"/>
      </w:r>
    </w:p>
    <w:p w14:paraId="1ABE7411" w14:textId="748FA09A" w:rsidR="00CA3762" w:rsidRDefault="00FB42CA" w:rsidP="00CA3762">
      <w:pPr>
        <w:pStyle w:val="Heading"/>
        <w:numPr>
          <w:ilvl w:val="0"/>
          <w:numId w:val="10"/>
        </w:numPr>
        <w:ind w:left="720"/>
        <w:rPr>
          <w:rFonts w:cs="Times New Roman"/>
          <w:szCs w:val="28"/>
        </w:rPr>
      </w:pPr>
      <w:bookmarkStart w:id="114" w:name="_Toc213748970"/>
      <w:r w:rsidRPr="007F198D">
        <w:rPr>
          <w:rFonts w:cs="Times New Roman"/>
          <w:szCs w:val="28"/>
        </w:rPr>
        <w:lastRenderedPageBreak/>
        <w:t xml:space="preserve">APPENDIX </w:t>
      </w:r>
      <w:r w:rsidR="00CA3762">
        <w:rPr>
          <w:rFonts w:cs="Times New Roman" w:hint="eastAsia"/>
          <w:szCs w:val="28"/>
        </w:rPr>
        <w:t xml:space="preserve">3 </w:t>
      </w:r>
      <w:r w:rsidR="00CA3762">
        <w:rPr>
          <w:rFonts w:cs="Times New Roman"/>
          <w:szCs w:val="28"/>
        </w:rPr>
        <w:t>–</w:t>
      </w:r>
      <w:r w:rsidR="00CA3762">
        <w:rPr>
          <w:rFonts w:cs="Times New Roman" w:hint="eastAsia"/>
          <w:szCs w:val="28"/>
        </w:rPr>
        <w:t xml:space="preserve"> </w:t>
      </w:r>
      <w:r w:rsidR="00FE7D7F">
        <w:rPr>
          <w:rFonts w:cs="Times New Roman" w:hint="eastAsia"/>
          <w:szCs w:val="28"/>
        </w:rPr>
        <w:t xml:space="preserve">Dissertation </w:t>
      </w:r>
      <w:r w:rsidR="00A23AF6" w:rsidRPr="007F198D">
        <w:rPr>
          <w:rFonts w:cs="Times New Roman"/>
          <w:szCs w:val="28"/>
        </w:rPr>
        <w:t>Proposal</w:t>
      </w:r>
      <w:bookmarkEnd w:id="114"/>
    </w:p>
    <w:p w14:paraId="2627CA8F" w14:textId="77777777" w:rsidR="00CA3762" w:rsidRDefault="00CA3762" w:rsidP="00CA3762"/>
    <w:p w14:paraId="1932286E" w14:textId="6E8B38B2" w:rsidR="00D9580C" w:rsidRDefault="00D9580C" w:rsidP="00CA3762">
      <w:pPr>
        <w:spacing w:line="360" w:lineRule="auto"/>
        <w:jc w:val="center"/>
        <w:rPr>
          <w:sz w:val="20"/>
          <w:szCs w:val="22"/>
        </w:rPr>
      </w:pPr>
      <w:r w:rsidRPr="00D9580C">
        <w:rPr>
          <w:noProof/>
          <w:sz w:val="20"/>
          <w:szCs w:val="22"/>
        </w:rPr>
        <w:drawing>
          <wp:inline distT="0" distB="0" distL="0" distR="0" wp14:anchorId="4E192F3A" wp14:editId="1909D3C8">
            <wp:extent cx="5626063" cy="7569200"/>
            <wp:effectExtent l="0" t="0" r="0" b="0"/>
            <wp:docPr id="10589281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928122" name=""/>
                    <pic:cNvPicPr/>
                  </pic:nvPicPr>
                  <pic:blipFill>
                    <a:blip r:embed="rId73"/>
                    <a:stretch>
                      <a:fillRect/>
                    </a:stretch>
                  </pic:blipFill>
                  <pic:spPr>
                    <a:xfrm>
                      <a:off x="0" y="0"/>
                      <a:ext cx="5638265" cy="7585617"/>
                    </a:xfrm>
                    <a:prstGeom prst="rect">
                      <a:avLst/>
                    </a:prstGeom>
                  </pic:spPr>
                </pic:pic>
              </a:graphicData>
            </a:graphic>
          </wp:inline>
        </w:drawing>
      </w:r>
    </w:p>
    <w:p w14:paraId="3034A42E" w14:textId="4DFECB68" w:rsidR="00541827" w:rsidRDefault="00422BD5" w:rsidP="00CA3762">
      <w:pPr>
        <w:spacing w:line="360" w:lineRule="auto"/>
        <w:jc w:val="center"/>
        <w:rPr>
          <w:noProof/>
        </w:rPr>
      </w:pPr>
      <w:r w:rsidRPr="00422BD5">
        <w:rPr>
          <w:noProof/>
          <w:sz w:val="20"/>
          <w:szCs w:val="22"/>
        </w:rPr>
        <w:lastRenderedPageBreak/>
        <w:drawing>
          <wp:inline distT="0" distB="0" distL="0" distR="0" wp14:anchorId="353DB3BB" wp14:editId="1DC4129A">
            <wp:extent cx="5867400" cy="7617326"/>
            <wp:effectExtent l="0" t="0" r="0" b="3175"/>
            <wp:docPr id="1031257694" name="Picture 1" descr="A list of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257694" name="Picture 1" descr="A list of research paper&#10;&#10;AI-generated content may be incorrect."/>
                    <pic:cNvPicPr/>
                  </pic:nvPicPr>
                  <pic:blipFill>
                    <a:blip r:embed="rId74"/>
                    <a:stretch>
                      <a:fillRect/>
                    </a:stretch>
                  </pic:blipFill>
                  <pic:spPr>
                    <a:xfrm>
                      <a:off x="0" y="0"/>
                      <a:ext cx="5875419" cy="7627737"/>
                    </a:xfrm>
                    <a:prstGeom prst="rect">
                      <a:avLst/>
                    </a:prstGeom>
                  </pic:spPr>
                </pic:pic>
              </a:graphicData>
            </a:graphic>
          </wp:inline>
        </w:drawing>
      </w:r>
      <w:r w:rsidR="00541827" w:rsidRPr="00541827">
        <w:rPr>
          <w:noProof/>
          <w:sz w:val="20"/>
          <w:szCs w:val="22"/>
        </w:rPr>
        <w:lastRenderedPageBreak/>
        <w:drawing>
          <wp:inline distT="0" distB="0" distL="0" distR="0" wp14:anchorId="589D3FF0" wp14:editId="4D147068">
            <wp:extent cx="5884333" cy="7985881"/>
            <wp:effectExtent l="0" t="0" r="2540" b="0"/>
            <wp:docPr id="349988628" name="Picture 1" descr="A screenshot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988628" name="Picture 1" descr="A screenshot of a paper&#10;&#10;AI-generated content may be incorrect."/>
                    <pic:cNvPicPr/>
                  </pic:nvPicPr>
                  <pic:blipFill>
                    <a:blip r:embed="rId75"/>
                    <a:stretch>
                      <a:fillRect/>
                    </a:stretch>
                  </pic:blipFill>
                  <pic:spPr>
                    <a:xfrm>
                      <a:off x="0" y="0"/>
                      <a:ext cx="5890390" cy="7994102"/>
                    </a:xfrm>
                    <a:prstGeom prst="rect">
                      <a:avLst/>
                    </a:prstGeom>
                  </pic:spPr>
                </pic:pic>
              </a:graphicData>
            </a:graphic>
          </wp:inline>
        </w:drawing>
      </w:r>
    </w:p>
    <w:p w14:paraId="71DD8E6C" w14:textId="77777777" w:rsidR="00541827" w:rsidRDefault="00541827">
      <w:pPr>
        <w:rPr>
          <w:noProof/>
        </w:rPr>
      </w:pPr>
      <w:r>
        <w:rPr>
          <w:noProof/>
        </w:rPr>
        <w:br w:type="page"/>
      </w:r>
    </w:p>
    <w:p w14:paraId="64D9A160" w14:textId="3FCDE8E6" w:rsidR="00C935AA" w:rsidRDefault="00CE76AA" w:rsidP="00CA3762">
      <w:pPr>
        <w:spacing w:line="360" w:lineRule="auto"/>
        <w:jc w:val="center"/>
        <w:rPr>
          <w:noProof/>
        </w:rPr>
      </w:pPr>
      <w:r w:rsidRPr="00CE76AA">
        <w:rPr>
          <w:noProof/>
          <w:sz w:val="20"/>
          <w:szCs w:val="22"/>
        </w:rPr>
        <w:lastRenderedPageBreak/>
        <w:drawing>
          <wp:inline distT="0" distB="0" distL="0" distR="0" wp14:anchorId="64448EEF" wp14:editId="68C17E3F">
            <wp:extent cx="5892719" cy="7188200"/>
            <wp:effectExtent l="0" t="0" r="0" b="0"/>
            <wp:docPr id="683577324"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577324" name="Picture 1" descr="A paper with text on it&#10;&#10;AI-generated content may be incorrect."/>
                    <pic:cNvPicPr/>
                  </pic:nvPicPr>
                  <pic:blipFill>
                    <a:blip r:embed="rId76"/>
                    <a:stretch>
                      <a:fillRect/>
                    </a:stretch>
                  </pic:blipFill>
                  <pic:spPr>
                    <a:xfrm>
                      <a:off x="0" y="0"/>
                      <a:ext cx="5905547" cy="7203848"/>
                    </a:xfrm>
                    <a:prstGeom prst="rect">
                      <a:avLst/>
                    </a:prstGeom>
                  </pic:spPr>
                </pic:pic>
              </a:graphicData>
            </a:graphic>
          </wp:inline>
        </w:drawing>
      </w:r>
      <w:r w:rsidR="007661C6" w:rsidRPr="007661C6">
        <w:rPr>
          <w:noProof/>
        </w:rPr>
        <w:lastRenderedPageBreak/>
        <w:drawing>
          <wp:inline distT="0" distB="0" distL="0" distR="0" wp14:anchorId="1C9BE332" wp14:editId="529BF31F">
            <wp:extent cx="5875867" cy="7971937"/>
            <wp:effectExtent l="0" t="0" r="0" b="0"/>
            <wp:docPr id="1656445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445208" name=""/>
                    <pic:cNvPicPr/>
                  </pic:nvPicPr>
                  <pic:blipFill>
                    <a:blip r:embed="rId77"/>
                    <a:stretch>
                      <a:fillRect/>
                    </a:stretch>
                  </pic:blipFill>
                  <pic:spPr>
                    <a:xfrm>
                      <a:off x="0" y="0"/>
                      <a:ext cx="5887556" cy="7987796"/>
                    </a:xfrm>
                    <a:prstGeom prst="rect">
                      <a:avLst/>
                    </a:prstGeom>
                  </pic:spPr>
                </pic:pic>
              </a:graphicData>
            </a:graphic>
          </wp:inline>
        </w:drawing>
      </w:r>
      <w:r w:rsidR="006A54A4" w:rsidRPr="006A54A4">
        <w:rPr>
          <w:noProof/>
        </w:rPr>
        <w:lastRenderedPageBreak/>
        <w:drawing>
          <wp:inline distT="0" distB="0" distL="0" distR="0" wp14:anchorId="100BA21B" wp14:editId="427B5A15">
            <wp:extent cx="5915799" cy="7535333"/>
            <wp:effectExtent l="0" t="0" r="8890" b="8890"/>
            <wp:docPr id="95991876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18761" name="Picture 1" descr="A paper with text on it&#10;&#10;AI-generated content may be incorrect."/>
                    <pic:cNvPicPr/>
                  </pic:nvPicPr>
                  <pic:blipFill>
                    <a:blip r:embed="rId78"/>
                    <a:stretch>
                      <a:fillRect/>
                    </a:stretch>
                  </pic:blipFill>
                  <pic:spPr>
                    <a:xfrm>
                      <a:off x="0" y="0"/>
                      <a:ext cx="5922845" cy="7544308"/>
                    </a:xfrm>
                    <a:prstGeom prst="rect">
                      <a:avLst/>
                    </a:prstGeom>
                  </pic:spPr>
                </pic:pic>
              </a:graphicData>
            </a:graphic>
          </wp:inline>
        </w:drawing>
      </w:r>
    </w:p>
    <w:p w14:paraId="7D7FBBCC" w14:textId="77777777" w:rsidR="00C935AA" w:rsidRDefault="00C935AA">
      <w:pPr>
        <w:rPr>
          <w:noProof/>
        </w:rPr>
      </w:pPr>
      <w:r>
        <w:rPr>
          <w:noProof/>
        </w:rPr>
        <w:br w:type="page"/>
      </w:r>
    </w:p>
    <w:p w14:paraId="4D02EB08" w14:textId="162AFCBC" w:rsidR="00C935AA" w:rsidRDefault="00C935AA">
      <w:pPr>
        <w:rPr>
          <w:sz w:val="20"/>
          <w:szCs w:val="22"/>
        </w:rPr>
      </w:pPr>
    </w:p>
    <w:p w14:paraId="56BABEEF" w14:textId="6E03C3CF" w:rsidR="00B74502" w:rsidRDefault="00C935AA" w:rsidP="00CA3762">
      <w:pPr>
        <w:spacing w:line="360" w:lineRule="auto"/>
        <w:jc w:val="center"/>
        <w:rPr>
          <w:sz w:val="20"/>
          <w:szCs w:val="22"/>
        </w:rPr>
      </w:pPr>
      <w:r w:rsidRPr="00C935AA">
        <w:rPr>
          <w:noProof/>
        </w:rPr>
        <w:drawing>
          <wp:inline distT="0" distB="0" distL="0" distR="0" wp14:anchorId="5FFE05A3" wp14:editId="52ED66E3">
            <wp:extent cx="5850802" cy="5520055"/>
            <wp:effectExtent l="0" t="0" r="0" b="4445"/>
            <wp:docPr id="18529445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94451" name="Picture 1" descr="A close-up of a document&#10;&#10;AI-generated content may be incorrect."/>
                    <pic:cNvPicPr/>
                  </pic:nvPicPr>
                  <pic:blipFill>
                    <a:blip r:embed="rId79"/>
                    <a:stretch>
                      <a:fillRect/>
                    </a:stretch>
                  </pic:blipFill>
                  <pic:spPr>
                    <a:xfrm>
                      <a:off x="0" y="0"/>
                      <a:ext cx="5865439" cy="5533865"/>
                    </a:xfrm>
                    <a:prstGeom prst="rect">
                      <a:avLst/>
                    </a:prstGeom>
                  </pic:spPr>
                </pic:pic>
              </a:graphicData>
            </a:graphic>
          </wp:inline>
        </w:drawing>
      </w:r>
    </w:p>
    <w:p w14:paraId="217BE000" w14:textId="77777777" w:rsidR="00B74502" w:rsidRDefault="00B74502">
      <w:pPr>
        <w:rPr>
          <w:sz w:val="20"/>
          <w:szCs w:val="22"/>
        </w:rPr>
      </w:pPr>
      <w:r>
        <w:rPr>
          <w:sz w:val="20"/>
          <w:szCs w:val="22"/>
        </w:rPr>
        <w:br w:type="page"/>
      </w:r>
    </w:p>
    <w:p w14:paraId="351126A1" w14:textId="2796C2F8" w:rsidR="00B74502" w:rsidRDefault="00B74502" w:rsidP="00CA3762">
      <w:pPr>
        <w:spacing w:line="360" w:lineRule="auto"/>
        <w:jc w:val="center"/>
        <w:rPr>
          <w:sz w:val="20"/>
          <w:szCs w:val="22"/>
        </w:rPr>
      </w:pPr>
      <w:r w:rsidRPr="00B74502">
        <w:rPr>
          <w:noProof/>
          <w:sz w:val="20"/>
          <w:szCs w:val="22"/>
        </w:rPr>
        <w:lastRenderedPageBreak/>
        <w:drawing>
          <wp:inline distT="0" distB="0" distL="0" distR="0" wp14:anchorId="6277764F" wp14:editId="7737C0A1">
            <wp:extent cx="5783905" cy="7809970"/>
            <wp:effectExtent l="0" t="0" r="7620" b="635"/>
            <wp:docPr id="633149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149235" name=""/>
                    <pic:cNvPicPr/>
                  </pic:nvPicPr>
                  <pic:blipFill>
                    <a:blip r:embed="rId80"/>
                    <a:stretch>
                      <a:fillRect/>
                    </a:stretch>
                  </pic:blipFill>
                  <pic:spPr>
                    <a:xfrm>
                      <a:off x="0" y="0"/>
                      <a:ext cx="5798113" cy="7829155"/>
                    </a:xfrm>
                    <a:prstGeom prst="rect">
                      <a:avLst/>
                    </a:prstGeom>
                  </pic:spPr>
                </pic:pic>
              </a:graphicData>
            </a:graphic>
          </wp:inline>
        </w:drawing>
      </w:r>
    </w:p>
    <w:p w14:paraId="5DC25BB0" w14:textId="77777777" w:rsidR="00B74502" w:rsidRDefault="00B74502">
      <w:pPr>
        <w:rPr>
          <w:sz w:val="20"/>
          <w:szCs w:val="22"/>
        </w:rPr>
      </w:pPr>
      <w:r>
        <w:rPr>
          <w:sz w:val="20"/>
          <w:szCs w:val="22"/>
        </w:rPr>
        <w:br w:type="page"/>
      </w:r>
    </w:p>
    <w:p w14:paraId="5A3B14B8" w14:textId="5F14A38B" w:rsidR="00BD690F" w:rsidRDefault="00BD690F" w:rsidP="00CA3762">
      <w:pPr>
        <w:spacing w:line="360" w:lineRule="auto"/>
        <w:jc w:val="center"/>
        <w:rPr>
          <w:sz w:val="20"/>
          <w:szCs w:val="22"/>
        </w:rPr>
      </w:pPr>
      <w:r w:rsidRPr="00BD690F">
        <w:rPr>
          <w:noProof/>
          <w:sz w:val="20"/>
          <w:szCs w:val="22"/>
        </w:rPr>
        <w:lastRenderedPageBreak/>
        <w:drawing>
          <wp:inline distT="0" distB="0" distL="0" distR="0" wp14:anchorId="38B518D3" wp14:editId="6FB7DC0B">
            <wp:extent cx="5850467" cy="7670099"/>
            <wp:effectExtent l="0" t="0" r="0" b="7620"/>
            <wp:docPr id="318846908"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846908" name="Picture 1" descr="A paper with text on it&#10;&#10;AI-generated content may be incorrect."/>
                    <pic:cNvPicPr/>
                  </pic:nvPicPr>
                  <pic:blipFill>
                    <a:blip r:embed="rId81"/>
                    <a:stretch>
                      <a:fillRect/>
                    </a:stretch>
                  </pic:blipFill>
                  <pic:spPr>
                    <a:xfrm>
                      <a:off x="0" y="0"/>
                      <a:ext cx="5857626" cy="7679485"/>
                    </a:xfrm>
                    <a:prstGeom prst="rect">
                      <a:avLst/>
                    </a:prstGeom>
                  </pic:spPr>
                </pic:pic>
              </a:graphicData>
            </a:graphic>
          </wp:inline>
        </w:drawing>
      </w:r>
    </w:p>
    <w:p w14:paraId="35D2E45D" w14:textId="77777777" w:rsidR="00BD690F" w:rsidRDefault="00BD690F">
      <w:pPr>
        <w:rPr>
          <w:sz w:val="20"/>
          <w:szCs w:val="22"/>
        </w:rPr>
      </w:pPr>
      <w:r>
        <w:rPr>
          <w:sz w:val="20"/>
          <w:szCs w:val="22"/>
        </w:rPr>
        <w:br w:type="page"/>
      </w:r>
    </w:p>
    <w:p w14:paraId="2782C6E2" w14:textId="10D73B1C" w:rsidR="003B52E5" w:rsidRDefault="003B52E5" w:rsidP="00CA3762">
      <w:pPr>
        <w:spacing w:line="360" w:lineRule="auto"/>
        <w:jc w:val="center"/>
        <w:rPr>
          <w:sz w:val="20"/>
          <w:szCs w:val="22"/>
        </w:rPr>
      </w:pPr>
      <w:r w:rsidRPr="003B52E5">
        <w:rPr>
          <w:noProof/>
          <w:sz w:val="20"/>
          <w:szCs w:val="22"/>
        </w:rPr>
        <w:lastRenderedPageBreak/>
        <w:drawing>
          <wp:inline distT="0" distB="0" distL="0" distR="0" wp14:anchorId="07407A36" wp14:editId="08A4A290">
            <wp:extent cx="5918200" cy="7526035"/>
            <wp:effectExtent l="0" t="0" r="6350" b="0"/>
            <wp:docPr id="157340017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00175" name="Picture 1" descr="A close-up of a document&#10;&#10;AI-generated content may be incorrect."/>
                    <pic:cNvPicPr/>
                  </pic:nvPicPr>
                  <pic:blipFill>
                    <a:blip r:embed="rId82"/>
                    <a:stretch>
                      <a:fillRect/>
                    </a:stretch>
                  </pic:blipFill>
                  <pic:spPr>
                    <a:xfrm>
                      <a:off x="0" y="0"/>
                      <a:ext cx="5925815" cy="7535719"/>
                    </a:xfrm>
                    <a:prstGeom prst="rect">
                      <a:avLst/>
                    </a:prstGeom>
                  </pic:spPr>
                </pic:pic>
              </a:graphicData>
            </a:graphic>
          </wp:inline>
        </w:drawing>
      </w:r>
    </w:p>
    <w:p w14:paraId="2C0349A2" w14:textId="77777777" w:rsidR="003B52E5" w:rsidRDefault="003B52E5">
      <w:pPr>
        <w:rPr>
          <w:sz w:val="20"/>
          <w:szCs w:val="22"/>
        </w:rPr>
      </w:pPr>
      <w:r>
        <w:rPr>
          <w:sz w:val="20"/>
          <w:szCs w:val="22"/>
        </w:rPr>
        <w:br w:type="page"/>
      </w:r>
    </w:p>
    <w:p w14:paraId="4131069B" w14:textId="21EB180D" w:rsidR="00A1179E" w:rsidRDefault="00A1179E" w:rsidP="00A2734B">
      <w:pPr>
        <w:spacing w:line="360" w:lineRule="auto"/>
        <w:jc w:val="both"/>
        <w:rPr>
          <w:sz w:val="20"/>
          <w:szCs w:val="22"/>
        </w:rPr>
      </w:pPr>
      <w:r w:rsidRPr="00A1179E">
        <w:rPr>
          <w:noProof/>
          <w:sz w:val="20"/>
          <w:szCs w:val="22"/>
        </w:rPr>
        <w:lastRenderedPageBreak/>
        <w:drawing>
          <wp:inline distT="0" distB="0" distL="0" distR="0" wp14:anchorId="7507762A" wp14:editId="68D3FDD9">
            <wp:extent cx="5926667" cy="7130342"/>
            <wp:effectExtent l="0" t="0" r="0" b="0"/>
            <wp:docPr id="1109282603"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282603" name="Picture 1" descr="A paper with text on it&#10;&#10;AI-generated content may be incorrect."/>
                    <pic:cNvPicPr/>
                  </pic:nvPicPr>
                  <pic:blipFill>
                    <a:blip r:embed="rId83"/>
                    <a:stretch>
                      <a:fillRect/>
                    </a:stretch>
                  </pic:blipFill>
                  <pic:spPr>
                    <a:xfrm>
                      <a:off x="0" y="0"/>
                      <a:ext cx="5932718" cy="7137622"/>
                    </a:xfrm>
                    <a:prstGeom prst="rect">
                      <a:avLst/>
                    </a:prstGeom>
                  </pic:spPr>
                </pic:pic>
              </a:graphicData>
            </a:graphic>
          </wp:inline>
        </w:drawing>
      </w:r>
    </w:p>
    <w:p w14:paraId="53067B45" w14:textId="77777777" w:rsidR="00A1179E" w:rsidRDefault="00A1179E">
      <w:pPr>
        <w:rPr>
          <w:sz w:val="20"/>
          <w:szCs w:val="22"/>
        </w:rPr>
      </w:pPr>
      <w:r>
        <w:rPr>
          <w:sz w:val="20"/>
          <w:szCs w:val="22"/>
        </w:rPr>
        <w:br w:type="page"/>
      </w:r>
    </w:p>
    <w:p w14:paraId="6B3D18BE" w14:textId="60B8C4B5" w:rsidR="00247DEC" w:rsidRDefault="00247DEC" w:rsidP="00A2734B">
      <w:pPr>
        <w:spacing w:line="360" w:lineRule="auto"/>
        <w:jc w:val="both"/>
        <w:rPr>
          <w:sz w:val="20"/>
          <w:szCs w:val="22"/>
        </w:rPr>
      </w:pPr>
      <w:r w:rsidRPr="00247DEC">
        <w:rPr>
          <w:noProof/>
          <w:sz w:val="20"/>
          <w:szCs w:val="22"/>
        </w:rPr>
        <w:lastRenderedPageBreak/>
        <w:drawing>
          <wp:inline distT="0" distB="0" distL="0" distR="0" wp14:anchorId="57B29DFB" wp14:editId="5F5CD5E1">
            <wp:extent cx="5922614" cy="7196667"/>
            <wp:effectExtent l="0" t="0" r="2540" b="4445"/>
            <wp:docPr id="377218347" name="Picture 1" descr="A screenshot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18347" name="Picture 1" descr="A screenshot of a research paper&#10;&#10;AI-generated content may be incorrect."/>
                    <pic:cNvPicPr/>
                  </pic:nvPicPr>
                  <pic:blipFill>
                    <a:blip r:embed="rId84"/>
                    <a:stretch>
                      <a:fillRect/>
                    </a:stretch>
                  </pic:blipFill>
                  <pic:spPr>
                    <a:xfrm>
                      <a:off x="0" y="0"/>
                      <a:ext cx="5928427" cy="7203730"/>
                    </a:xfrm>
                    <a:prstGeom prst="rect">
                      <a:avLst/>
                    </a:prstGeom>
                  </pic:spPr>
                </pic:pic>
              </a:graphicData>
            </a:graphic>
          </wp:inline>
        </w:drawing>
      </w:r>
    </w:p>
    <w:p w14:paraId="2B5F3A8F" w14:textId="77777777" w:rsidR="00247DEC" w:rsidRDefault="00247DEC">
      <w:pPr>
        <w:rPr>
          <w:sz w:val="20"/>
          <w:szCs w:val="22"/>
        </w:rPr>
      </w:pPr>
      <w:r>
        <w:rPr>
          <w:sz w:val="20"/>
          <w:szCs w:val="22"/>
        </w:rPr>
        <w:br w:type="page"/>
      </w:r>
    </w:p>
    <w:p w14:paraId="3A9AD3B6" w14:textId="3A22EE77" w:rsidR="004A36BF" w:rsidRDefault="004A36BF" w:rsidP="00A2734B">
      <w:pPr>
        <w:spacing w:line="360" w:lineRule="auto"/>
        <w:jc w:val="both"/>
        <w:rPr>
          <w:sz w:val="20"/>
          <w:szCs w:val="22"/>
        </w:rPr>
      </w:pPr>
      <w:r w:rsidRPr="004A36BF">
        <w:rPr>
          <w:noProof/>
          <w:sz w:val="20"/>
          <w:szCs w:val="22"/>
        </w:rPr>
        <w:lastRenderedPageBreak/>
        <w:drawing>
          <wp:inline distT="0" distB="0" distL="0" distR="0" wp14:anchorId="0DD11122" wp14:editId="70CAC67F">
            <wp:extent cx="5891448" cy="6942667"/>
            <wp:effectExtent l="0" t="0" r="0" b="0"/>
            <wp:docPr id="986070573"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070573" name="Picture 1" descr="A paper with text on it&#10;&#10;AI-generated content may be incorrect."/>
                    <pic:cNvPicPr/>
                  </pic:nvPicPr>
                  <pic:blipFill>
                    <a:blip r:embed="rId85"/>
                    <a:stretch>
                      <a:fillRect/>
                    </a:stretch>
                  </pic:blipFill>
                  <pic:spPr>
                    <a:xfrm>
                      <a:off x="0" y="0"/>
                      <a:ext cx="5900224" cy="6953009"/>
                    </a:xfrm>
                    <a:prstGeom prst="rect">
                      <a:avLst/>
                    </a:prstGeom>
                  </pic:spPr>
                </pic:pic>
              </a:graphicData>
            </a:graphic>
          </wp:inline>
        </w:drawing>
      </w:r>
    </w:p>
    <w:p w14:paraId="69232C1C" w14:textId="77777777" w:rsidR="004A36BF" w:rsidRDefault="004A36BF">
      <w:pPr>
        <w:rPr>
          <w:sz w:val="20"/>
          <w:szCs w:val="22"/>
        </w:rPr>
      </w:pPr>
      <w:r>
        <w:rPr>
          <w:sz w:val="20"/>
          <w:szCs w:val="22"/>
        </w:rPr>
        <w:br w:type="page"/>
      </w:r>
    </w:p>
    <w:p w14:paraId="32D1EAA1" w14:textId="6862A4CB" w:rsidR="00EA4451" w:rsidRDefault="00EA4451" w:rsidP="00A2734B">
      <w:pPr>
        <w:spacing w:line="360" w:lineRule="auto"/>
        <w:jc w:val="both"/>
        <w:rPr>
          <w:sz w:val="20"/>
          <w:szCs w:val="22"/>
        </w:rPr>
      </w:pPr>
      <w:r w:rsidRPr="00EA4451">
        <w:rPr>
          <w:noProof/>
          <w:sz w:val="20"/>
          <w:szCs w:val="22"/>
        </w:rPr>
        <w:lastRenderedPageBreak/>
        <w:drawing>
          <wp:inline distT="0" distB="0" distL="0" distR="0" wp14:anchorId="0399789D" wp14:editId="47289209">
            <wp:extent cx="5980271" cy="7332133"/>
            <wp:effectExtent l="0" t="0" r="1905" b="2540"/>
            <wp:docPr id="1583243823" name="Picture 1"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243823" name="Picture 1" descr="A document with text on it&#10;&#10;AI-generated content may be incorrect."/>
                    <pic:cNvPicPr/>
                  </pic:nvPicPr>
                  <pic:blipFill>
                    <a:blip r:embed="rId86"/>
                    <a:stretch>
                      <a:fillRect/>
                    </a:stretch>
                  </pic:blipFill>
                  <pic:spPr>
                    <a:xfrm>
                      <a:off x="0" y="0"/>
                      <a:ext cx="5986671" cy="7339979"/>
                    </a:xfrm>
                    <a:prstGeom prst="rect">
                      <a:avLst/>
                    </a:prstGeom>
                  </pic:spPr>
                </pic:pic>
              </a:graphicData>
            </a:graphic>
          </wp:inline>
        </w:drawing>
      </w:r>
    </w:p>
    <w:p w14:paraId="2B58E68D" w14:textId="77777777" w:rsidR="00EA4451" w:rsidRDefault="00EA4451">
      <w:pPr>
        <w:rPr>
          <w:sz w:val="20"/>
          <w:szCs w:val="22"/>
        </w:rPr>
      </w:pPr>
      <w:r>
        <w:rPr>
          <w:sz w:val="20"/>
          <w:szCs w:val="22"/>
        </w:rPr>
        <w:br w:type="page"/>
      </w:r>
    </w:p>
    <w:p w14:paraId="4BF746C4" w14:textId="1291E169" w:rsidR="008D62EE" w:rsidRDefault="008D62EE" w:rsidP="00A2734B">
      <w:pPr>
        <w:spacing w:line="360" w:lineRule="auto"/>
        <w:jc w:val="both"/>
        <w:rPr>
          <w:sz w:val="20"/>
          <w:szCs w:val="22"/>
        </w:rPr>
      </w:pPr>
      <w:r w:rsidRPr="008D62EE">
        <w:rPr>
          <w:noProof/>
          <w:sz w:val="20"/>
          <w:szCs w:val="22"/>
        </w:rPr>
        <w:lastRenderedPageBreak/>
        <w:drawing>
          <wp:inline distT="0" distB="0" distL="0" distR="0" wp14:anchorId="510DE24A" wp14:editId="7215919F">
            <wp:extent cx="5748867" cy="8032347"/>
            <wp:effectExtent l="0" t="0" r="4445" b="6985"/>
            <wp:docPr id="991356216"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356216" name="Picture 1" descr="A close-up of a document&#10;&#10;AI-generated content may be incorrect."/>
                    <pic:cNvPicPr/>
                  </pic:nvPicPr>
                  <pic:blipFill>
                    <a:blip r:embed="rId87"/>
                    <a:stretch>
                      <a:fillRect/>
                    </a:stretch>
                  </pic:blipFill>
                  <pic:spPr>
                    <a:xfrm>
                      <a:off x="0" y="0"/>
                      <a:ext cx="5754028" cy="8039558"/>
                    </a:xfrm>
                    <a:prstGeom prst="rect">
                      <a:avLst/>
                    </a:prstGeom>
                  </pic:spPr>
                </pic:pic>
              </a:graphicData>
            </a:graphic>
          </wp:inline>
        </w:drawing>
      </w:r>
    </w:p>
    <w:p w14:paraId="018138C3" w14:textId="77777777" w:rsidR="008D62EE" w:rsidRDefault="008D62EE">
      <w:pPr>
        <w:rPr>
          <w:sz w:val="20"/>
          <w:szCs w:val="22"/>
        </w:rPr>
      </w:pPr>
      <w:r>
        <w:rPr>
          <w:sz w:val="20"/>
          <w:szCs w:val="22"/>
        </w:rPr>
        <w:br w:type="page"/>
      </w:r>
    </w:p>
    <w:p w14:paraId="026B064B" w14:textId="77777777" w:rsidR="0096495C" w:rsidRDefault="00E856E8" w:rsidP="0096495C">
      <w:pPr>
        <w:spacing w:line="360" w:lineRule="auto"/>
        <w:jc w:val="center"/>
        <w:rPr>
          <w:sz w:val="20"/>
          <w:szCs w:val="22"/>
        </w:rPr>
      </w:pPr>
      <w:r w:rsidRPr="005A737F">
        <w:rPr>
          <w:noProof/>
        </w:rPr>
        <w:lastRenderedPageBreak/>
        <w:drawing>
          <wp:inline distT="0" distB="0" distL="0" distR="0" wp14:anchorId="2347B52C" wp14:editId="1D53C126">
            <wp:extent cx="5450774" cy="8236060"/>
            <wp:effectExtent l="0" t="0" r="0" b="0"/>
            <wp:docPr id="1623790877"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90877" name="Picture 1" descr="A white text on a black background&#10;&#10;AI-generated content may be incorrect."/>
                    <pic:cNvPicPr/>
                  </pic:nvPicPr>
                  <pic:blipFill>
                    <a:blip r:embed="rId88"/>
                    <a:stretch>
                      <a:fillRect/>
                    </a:stretch>
                  </pic:blipFill>
                  <pic:spPr>
                    <a:xfrm>
                      <a:off x="0" y="0"/>
                      <a:ext cx="5459898" cy="8249846"/>
                    </a:xfrm>
                    <a:prstGeom prst="rect">
                      <a:avLst/>
                    </a:prstGeom>
                  </pic:spPr>
                </pic:pic>
              </a:graphicData>
            </a:graphic>
          </wp:inline>
        </w:drawing>
      </w:r>
      <w:r w:rsidR="00374174" w:rsidRPr="00547F8D">
        <w:rPr>
          <w:noProof/>
        </w:rPr>
        <w:lastRenderedPageBreak/>
        <w:drawing>
          <wp:inline distT="0" distB="0" distL="0" distR="0" wp14:anchorId="54906A52" wp14:editId="434BB404">
            <wp:extent cx="5864584" cy="5700156"/>
            <wp:effectExtent l="0" t="0" r="3175" b="0"/>
            <wp:docPr id="10830159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015909" name="Picture 1" descr="A screenshot of a computer&#10;&#10;AI-generated content may be incorrect."/>
                    <pic:cNvPicPr/>
                  </pic:nvPicPr>
                  <pic:blipFill>
                    <a:blip r:embed="rId89"/>
                    <a:stretch>
                      <a:fillRect/>
                    </a:stretch>
                  </pic:blipFill>
                  <pic:spPr>
                    <a:xfrm>
                      <a:off x="0" y="0"/>
                      <a:ext cx="5871988" cy="5707352"/>
                    </a:xfrm>
                    <a:prstGeom prst="rect">
                      <a:avLst/>
                    </a:prstGeom>
                  </pic:spPr>
                </pic:pic>
              </a:graphicData>
            </a:graphic>
          </wp:inline>
        </w:drawing>
      </w:r>
      <w:r w:rsidR="007868ED" w:rsidRPr="00990B06">
        <w:rPr>
          <w:noProof/>
        </w:rPr>
        <w:lastRenderedPageBreak/>
        <w:drawing>
          <wp:inline distT="0" distB="0" distL="0" distR="0" wp14:anchorId="4C48167A" wp14:editId="3D9E4B5A">
            <wp:extent cx="5598218" cy="7730836"/>
            <wp:effectExtent l="0" t="0" r="2540" b="3810"/>
            <wp:docPr id="202386244"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6244" name="Picture 1" descr="A close-up of a document&#10;&#10;AI-generated content may be incorrect."/>
                    <pic:cNvPicPr/>
                  </pic:nvPicPr>
                  <pic:blipFill rotWithShape="1">
                    <a:blip r:embed="rId90"/>
                    <a:srcRect t="1793" b="1279"/>
                    <a:stretch/>
                  </pic:blipFill>
                  <pic:spPr bwMode="auto">
                    <a:xfrm>
                      <a:off x="0" y="0"/>
                      <a:ext cx="5608072" cy="7744444"/>
                    </a:xfrm>
                    <a:prstGeom prst="rect">
                      <a:avLst/>
                    </a:prstGeom>
                    <a:ln>
                      <a:noFill/>
                    </a:ln>
                    <a:extLst>
                      <a:ext uri="{53640926-AAD7-44D8-BBD7-CCE9431645EC}">
                        <a14:shadowObscured xmlns:a14="http://schemas.microsoft.com/office/drawing/2010/main"/>
                      </a:ext>
                    </a:extLst>
                  </pic:spPr>
                </pic:pic>
              </a:graphicData>
            </a:graphic>
          </wp:inline>
        </w:drawing>
      </w:r>
      <w:r w:rsidR="00930200" w:rsidRPr="00B12F4B">
        <w:rPr>
          <w:noProof/>
        </w:rPr>
        <w:lastRenderedPageBreak/>
        <w:drawing>
          <wp:inline distT="0" distB="0" distL="0" distR="0" wp14:anchorId="33F486CF" wp14:editId="46E49129">
            <wp:extent cx="5628904" cy="8138384"/>
            <wp:effectExtent l="0" t="0" r="0" b="0"/>
            <wp:docPr id="14751980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9806" name="Picture 1" descr="A close-up of a questionnaire&#10;&#10;AI-generated content may be incorrect."/>
                    <pic:cNvPicPr/>
                  </pic:nvPicPr>
                  <pic:blipFill>
                    <a:blip r:embed="rId91"/>
                    <a:stretch>
                      <a:fillRect/>
                    </a:stretch>
                  </pic:blipFill>
                  <pic:spPr>
                    <a:xfrm>
                      <a:off x="0" y="0"/>
                      <a:ext cx="5632890" cy="8144147"/>
                    </a:xfrm>
                    <a:prstGeom prst="rect">
                      <a:avLst/>
                    </a:prstGeom>
                  </pic:spPr>
                </pic:pic>
              </a:graphicData>
            </a:graphic>
          </wp:inline>
        </w:drawing>
      </w:r>
      <w:r w:rsidR="00F1410A" w:rsidRPr="00F76776">
        <w:rPr>
          <w:noProof/>
        </w:rPr>
        <w:lastRenderedPageBreak/>
        <w:drawing>
          <wp:inline distT="0" distB="0" distL="0" distR="0" wp14:anchorId="437025E6" wp14:editId="406AC65D">
            <wp:extent cx="5771408" cy="8187749"/>
            <wp:effectExtent l="0" t="0" r="1270" b="3810"/>
            <wp:docPr id="1872061355" name="Picture 1" descr="A close-up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61355" name="Picture 1" descr="A close-up of a research paper&#10;&#10;AI-generated content may be incorrect."/>
                    <pic:cNvPicPr/>
                  </pic:nvPicPr>
                  <pic:blipFill>
                    <a:blip r:embed="rId92"/>
                    <a:stretch>
                      <a:fillRect/>
                    </a:stretch>
                  </pic:blipFill>
                  <pic:spPr>
                    <a:xfrm>
                      <a:off x="0" y="0"/>
                      <a:ext cx="5777176" cy="8195931"/>
                    </a:xfrm>
                    <a:prstGeom prst="rect">
                      <a:avLst/>
                    </a:prstGeom>
                  </pic:spPr>
                </pic:pic>
              </a:graphicData>
            </a:graphic>
          </wp:inline>
        </w:drawing>
      </w:r>
      <w:r w:rsidR="007E215F" w:rsidRPr="00F76776">
        <w:rPr>
          <w:rFonts w:eastAsiaTheme="majorEastAsia" w:cstheme="majorBidi"/>
          <w:b/>
          <w:noProof/>
          <w:sz w:val="28"/>
          <w:szCs w:val="40"/>
        </w:rPr>
        <w:lastRenderedPageBreak/>
        <w:drawing>
          <wp:inline distT="0" distB="0" distL="0" distR="0" wp14:anchorId="32962DB3" wp14:editId="466407F7">
            <wp:extent cx="5866410" cy="8251848"/>
            <wp:effectExtent l="0" t="0" r="1270" b="0"/>
            <wp:docPr id="154461122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11223" name="Picture 1" descr="A screenshot of a document&#10;&#10;AI-generated content may be incorrect."/>
                    <pic:cNvPicPr/>
                  </pic:nvPicPr>
                  <pic:blipFill>
                    <a:blip r:embed="rId93"/>
                    <a:stretch>
                      <a:fillRect/>
                    </a:stretch>
                  </pic:blipFill>
                  <pic:spPr>
                    <a:xfrm>
                      <a:off x="0" y="0"/>
                      <a:ext cx="5872659" cy="8260638"/>
                    </a:xfrm>
                    <a:prstGeom prst="rect">
                      <a:avLst/>
                    </a:prstGeom>
                  </pic:spPr>
                </pic:pic>
              </a:graphicData>
            </a:graphic>
          </wp:inline>
        </w:drawing>
      </w:r>
      <w:r w:rsidR="006D2114" w:rsidRPr="00C91369">
        <w:rPr>
          <w:noProof/>
        </w:rPr>
        <w:lastRenderedPageBreak/>
        <w:drawing>
          <wp:inline distT="0" distB="0" distL="0" distR="0" wp14:anchorId="0483FF59" wp14:editId="56E7BBDE">
            <wp:extent cx="5902899" cy="7956468"/>
            <wp:effectExtent l="0" t="0" r="3175" b="6985"/>
            <wp:docPr id="114495348"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5348" name="Picture 1" descr="A screenshot of a questionnaire&#10;&#10;AI-generated content may be incorrect."/>
                    <pic:cNvPicPr/>
                  </pic:nvPicPr>
                  <pic:blipFill>
                    <a:blip r:embed="rId94"/>
                    <a:stretch>
                      <a:fillRect/>
                    </a:stretch>
                  </pic:blipFill>
                  <pic:spPr>
                    <a:xfrm>
                      <a:off x="0" y="0"/>
                      <a:ext cx="5909283" cy="7965072"/>
                    </a:xfrm>
                    <a:prstGeom prst="rect">
                      <a:avLst/>
                    </a:prstGeom>
                  </pic:spPr>
                </pic:pic>
              </a:graphicData>
            </a:graphic>
          </wp:inline>
        </w:drawing>
      </w:r>
      <w:r w:rsidR="000C4DA6" w:rsidRPr="000361C6">
        <w:rPr>
          <w:noProof/>
        </w:rPr>
        <w:lastRenderedPageBreak/>
        <w:drawing>
          <wp:inline distT="0" distB="0" distL="0" distR="0" wp14:anchorId="5878402D" wp14:editId="1842DE55">
            <wp:extent cx="5771408" cy="8200101"/>
            <wp:effectExtent l="0" t="0" r="1270" b="0"/>
            <wp:docPr id="453705970"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05970" name="Picture 1" descr="A questionnaire with a question mark&#10;&#10;AI-generated content may be incorrect."/>
                    <pic:cNvPicPr/>
                  </pic:nvPicPr>
                  <pic:blipFill>
                    <a:blip r:embed="rId95"/>
                    <a:stretch>
                      <a:fillRect/>
                    </a:stretch>
                  </pic:blipFill>
                  <pic:spPr>
                    <a:xfrm>
                      <a:off x="0" y="0"/>
                      <a:ext cx="5778636" cy="8210370"/>
                    </a:xfrm>
                    <a:prstGeom prst="rect">
                      <a:avLst/>
                    </a:prstGeom>
                  </pic:spPr>
                </pic:pic>
              </a:graphicData>
            </a:graphic>
          </wp:inline>
        </w:drawing>
      </w:r>
      <w:r w:rsidR="005D3E60" w:rsidRPr="000361C6">
        <w:rPr>
          <w:noProof/>
        </w:rPr>
        <w:lastRenderedPageBreak/>
        <w:drawing>
          <wp:inline distT="0" distB="0" distL="0" distR="0" wp14:anchorId="495F81B9" wp14:editId="70006E3F">
            <wp:extent cx="5830784" cy="8269748"/>
            <wp:effectExtent l="0" t="0" r="0" b="0"/>
            <wp:docPr id="142216496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64961" name="Picture 1" descr="A screenshot of a questionnaire&#10;&#10;AI-generated content may be incorrect."/>
                    <pic:cNvPicPr/>
                  </pic:nvPicPr>
                  <pic:blipFill>
                    <a:blip r:embed="rId96"/>
                    <a:stretch>
                      <a:fillRect/>
                    </a:stretch>
                  </pic:blipFill>
                  <pic:spPr>
                    <a:xfrm>
                      <a:off x="0" y="0"/>
                      <a:ext cx="5835180" cy="8275983"/>
                    </a:xfrm>
                    <a:prstGeom prst="rect">
                      <a:avLst/>
                    </a:prstGeom>
                  </pic:spPr>
                </pic:pic>
              </a:graphicData>
            </a:graphic>
          </wp:inline>
        </w:drawing>
      </w:r>
      <w:r w:rsidR="00416C08" w:rsidRPr="000C7AA9">
        <w:rPr>
          <w:noProof/>
        </w:rPr>
        <w:lastRenderedPageBreak/>
        <w:drawing>
          <wp:inline distT="0" distB="0" distL="0" distR="0" wp14:anchorId="31B9C776" wp14:editId="3F25BE5A">
            <wp:extent cx="5854535" cy="8235144"/>
            <wp:effectExtent l="0" t="0" r="0" b="0"/>
            <wp:docPr id="110193163"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3163" name="Picture 1" descr="A screenshot of a questionnaire&#10;&#10;AI-generated content may be incorrect."/>
                    <pic:cNvPicPr/>
                  </pic:nvPicPr>
                  <pic:blipFill>
                    <a:blip r:embed="rId97"/>
                    <a:stretch>
                      <a:fillRect/>
                    </a:stretch>
                  </pic:blipFill>
                  <pic:spPr>
                    <a:xfrm>
                      <a:off x="0" y="0"/>
                      <a:ext cx="5860188" cy="8243096"/>
                    </a:xfrm>
                    <a:prstGeom prst="rect">
                      <a:avLst/>
                    </a:prstGeom>
                  </pic:spPr>
                </pic:pic>
              </a:graphicData>
            </a:graphic>
          </wp:inline>
        </w:drawing>
      </w:r>
      <w:r w:rsidR="00D02DDF" w:rsidRPr="000C7AA9">
        <w:rPr>
          <w:noProof/>
        </w:rPr>
        <w:lastRenderedPageBreak/>
        <w:drawing>
          <wp:inline distT="0" distB="0" distL="0" distR="0" wp14:anchorId="440ABC9C" wp14:editId="6AF28084">
            <wp:extent cx="5910555" cy="8288977"/>
            <wp:effectExtent l="0" t="0" r="0" b="0"/>
            <wp:docPr id="184699275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92752" name="Picture 1" descr="A screenshot of a document&#10;&#10;AI-generated content may be incorrect."/>
                    <pic:cNvPicPr/>
                  </pic:nvPicPr>
                  <pic:blipFill>
                    <a:blip r:embed="rId98"/>
                    <a:stretch>
                      <a:fillRect/>
                    </a:stretch>
                  </pic:blipFill>
                  <pic:spPr>
                    <a:xfrm>
                      <a:off x="0" y="0"/>
                      <a:ext cx="5917476" cy="8298683"/>
                    </a:xfrm>
                    <a:prstGeom prst="rect">
                      <a:avLst/>
                    </a:prstGeom>
                  </pic:spPr>
                </pic:pic>
              </a:graphicData>
            </a:graphic>
          </wp:inline>
        </w:drawing>
      </w:r>
      <w:r w:rsidR="00DA25CF" w:rsidRPr="00984293">
        <w:rPr>
          <w:noProof/>
        </w:rPr>
        <w:lastRenderedPageBreak/>
        <w:drawing>
          <wp:inline distT="0" distB="0" distL="0" distR="0" wp14:anchorId="2F0F2BDB" wp14:editId="74124BE5">
            <wp:extent cx="5842660" cy="8220079"/>
            <wp:effectExtent l="0" t="0" r="5715" b="0"/>
            <wp:docPr id="134803110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31100" name="Picture 1" descr="A screenshot of a survey&#10;&#10;AI-generated content may be incorrect."/>
                    <pic:cNvPicPr/>
                  </pic:nvPicPr>
                  <pic:blipFill>
                    <a:blip r:embed="rId99"/>
                    <a:stretch>
                      <a:fillRect/>
                    </a:stretch>
                  </pic:blipFill>
                  <pic:spPr>
                    <a:xfrm>
                      <a:off x="0" y="0"/>
                      <a:ext cx="5850569" cy="8231206"/>
                    </a:xfrm>
                    <a:prstGeom prst="rect">
                      <a:avLst/>
                    </a:prstGeom>
                  </pic:spPr>
                </pic:pic>
              </a:graphicData>
            </a:graphic>
          </wp:inline>
        </w:drawing>
      </w:r>
      <w:r w:rsidR="00726C4E" w:rsidRPr="00793E91">
        <w:rPr>
          <w:noProof/>
        </w:rPr>
        <w:lastRenderedPageBreak/>
        <w:drawing>
          <wp:inline distT="0" distB="0" distL="0" distR="0" wp14:anchorId="562C8005" wp14:editId="04381CE2">
            <wp:extent cx="5854535" cy="8208693"/>
            <wp:effectExtent l="0" t="0" r="0" b="1905"/>
            <wp:docPr id="380069033"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69033" name="Picture 1" descr="A close-up of a form&#10;&#10;AI-generated content may be incorrect."/>
                    <pic:cNvPicPr/>
                  </pic:nvPicPr>
                  <pic:blipFill>
                    <a:blip r:embed="rId100"/>
                    <a:stretch>
                      <a:fillRect/>
                    </a:stretch>
                  </pic:blipFill>
                  <pic:spPr>
                    <a:xfrm>
                      <a:off x="0" y="0"/>
                      <a:ext cx="5864741" cy="8223003"/>
                    </a:xfrm>
                    <a:prstGeom prst="rect">
                      <a:avLst/>
                    </a:prstGeom>
                  </pic:spPr>
                </pic:pic>
              </a:graphicData>
            </a:graphic>
          </wp:inline>
        </w:drawing>
      </w:r>
      <w:r w:rsidR="004E6F41" w:rsidRPr="00980CF7">
        <w:rPr>
          <w:noProof/>
        </w:rPr>
        <w:lastRenderedPageBreak/>
        <w:drawing>
          <wp:inline distT="0" distB="0" distL="0" distR="0" wp14:anchorId="66B59070" wp14:editId="73446AD7">
            <wp:extent cx="5596468" cy="8001000"/>
            <wp:effectExtent l="0" t="0" r="4445" b="0"/>
            <wp:docPr id="5718778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77869" name="Picture 1" descr="A screenshot of a computer&#10;&#10;AI-generated content may be incorrect."/>
                    <pic:cNvPicPr/>
                  </pic:nvPicPr>
                  <pic:blipFill>
                    <a:blip r:embed="rId101"/>
                    <a:stretch>
                      <a:fillRect/>
                    </a:stretch>
                  </pic:blipFill>
                  <pic:spPr>
                    <a:xfrm>
                      <a:off x="0" y="0"/>
                      <a:ext cx="5617001" cy="8030355"/>
                    </a:xfrm>
                    <a:prstGeom prst="rect">
                      <a:avLst/>
                    </a:prstGeom>
                  </pic:spPr>
                </pic:pic>
              </a:graphicData>
            </a:graphic>
          </wp:inline>
        </w:drawing>
      </w:r>
    </w:p>
    <w:p w14:paraId="656BDFCF" w14:textId="77777777" w:rsidR="00025D6B" w:rsidRDefault="00025D6B" w:rsidP="00982F64">
      <w:pPr>
        <w:spacing w:line="360" w:lineRule="auto"/>
        <w:rPr>
          <w:sz w:val="20"/>
          <w:szCs w:val="22"/>
        </w:rPr>
      </w:pPr>
    </w:p>
    <w:p w14:paraId="449B2216" w14:textId="4044ECF6" w:rsidR="00CA3762" w:rsidRPr="00C16FD2" w:rsidRDefault="00CA3762" w:rsidP="00CA3762">
      <w:pPr>
        <w:pStyle w:val="Heading"/>
        <w:numPr>
          <w:ilvl w:val="0"/>
          <w:numId w:val="10"/>
        </w:numPr>
        <w:ind w:left="720"/>
        <w:rPr>
          <w:rFonts w:cs="Times New Roman"/>
          <w:sz w:val="24"/>
          <w:szCs w:val="24"/>
        </w:rPr>
      </w:pPr>
      <w:bookmarkStart w:id="115" w:name="_Toc213748971"/>
      <w:r>
        <w:rPr>
          <w:rFonts w:cs="Times New Roman" w:hint="eastAsia"/>
          <w:szCs w:val="28"/>
        </w:rPr>
        <w:lastRenderedPageBreak/>
        <w:t xml:space="preserve">APPENDIX 4 </w:t>
      </w:r>
      <w:r>
        <w:rPr>
          <w:rFonts w:cs="Times New Roman"/>
          <w:szCs w:val="28"/>
        </w:rPr>
        <w:t>–</w:t>
      </w:r>
      <w:r>
        <w:rPr>
          <w:rFonts w:cs="Times New Roman" w:hint="eastAsia"/>
          <w:szCs w:val="28"/>
        </w:rPr>
        <w:t xml:space="preserve"> </w:t>
      </w:r>
      <w:r w:rsidR="00C16FD2">
        <w:rPr>
          <w:rFonts w:cs="Times New Roman" w:hint="eastAsia"/>
          <w:szCs w:val="28"/>
        </w:rPr>
        <w:t xml:space="preserve">GA19 </w:t>
      </w:r>
      <w:r w:rsidRPr="00C16FD2">
        <w:rPr>
          <w:rFonts w:cs="Times New Roman"/>
          <w:sz w:val="24"/>
          <w:szCs w:val="24"/>
        </w:rPr>
        <w:t>Postgraduate</w:t>
      </w:r>
      <w:r w:rsidR="0003263D" w:rsidRPr="00C16FD2">
        <w:rPr>
          <w:rFonts w:cs="Times New Roman" w:hint="eastAsia"/>
          <w:sz w:val="24"/>
          <w:szCs w:val="24"/>
        </w:rPr>
        <w:t xml:space="preserve"> Taught Dissertation Supervision Record</w:t>
      </w:r>
      <w:bookmarkEnd w:id="115"/>
      <w:r w:rsidRPr="00C16FD2">
        <w:rPr>
          <w:rFonts w:cs="Times New Roman" w:hint="eastAsia"/>
          <w:sz w:val="24"/>
          <w:szCs w:val="24"/>
        </w:rPr>
        <w:t xml:space="preserve"> </w:t>
      </w:r>
    </w:p>
    <w:p w14:paraId="411E5B23" w14:textId="73F03122" w:rsidR="00954764" w:rsidRDefault="009D2C23" w:rsidP="00CA3762">
      <w:pPr>
        <w:spacing w:line="360" w:lineRule="auto"/>
        <w:jc w:val="center"/>
        <w:rPr>
          <w:sz w:val="20"/>
          <w:szCs w:val="22"/>
        </w:rPr>
      </w:pPr>
      <w:r w:rsidRPr="009D2C23">
        <w:rPr>
          <w:noProof/>
          <w:sz w:val="20"/>
          <w:szCs w:val="22"/>
        </w:rPr>
        <w:drawing>
          <wp:inline distT="0" distB="0" distL="0" distR="0" wp14:anchorId="2CF55473" wp14:editId="586C6394">
            <wp:extent cx="7789025" cy="5816600"/>
            <wp:effectExtent l="0" t="4445" r="0" b="0"/>
            <wp:docPr id="856566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566655" name=""/>
                    <pic:cNvPicPr/>
                  </pic:nvPicPr>
                  <pic:blipFill>
                    <a:blip r:embed="rId102"/>
                    <a:stretch>
                      <a:fillRect/>
                    </a:stretch>
                  </pic:blipFill>
                  <pic:spPr>
                    <a:xfrm rot="16200000">
                      <a:off x="0" y="0"/>
                      <a:ext cx="7810562" cy="5832683"/>
                    </a:xfrm>
                    <a:prstGeom prst="rect">
                      <a:avLst/>
                    </a:prstGeom>
                  </pic:spPr>
                </pic:pic>
              </a:graphicData>
            </a:graphic>
          </wp:inline>
        </w:drawing>
      </w:r>
    </w:p>
    <w:p w14:paraId="1F78AF77" w14:textId="64AB41DF" w:rsidR="00CA3762" w:rsidRPr="00A2734B" w:rsidRDefault="0069655C" w:rsidP="0069655C">
      <w:pPr>
        <w:rPr>
          <w:sz w:val="20"/>
          <w:szCs w:val="22"/>
        </w:rPr>
      </w:pPr>
      <w:r w:rsidRPr="0069655C">
        <w:rPr>
          <w:noProof/>
          <w:sz w:val="20"/>
          <w:szCs w:val="22"/>
        </w:rPr>
        <w:lastRenderedPageBreak/>
        <w:drawing>
          <wp:inline distT="0" distB="0" distL="0" distR="0" wp14:anchorId="5389B568" wp14:editId="5AC9F070">
            <wp:extent cx="8458200" cy="6273800"/>
            <wp:effectExtent l="6350" t="0" r="6350" b="6350"/>
            <wp:docPr id="953586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586952" name=""/>
                    <pic:cNvPicPr/>
                  </pic:nvPicPr>
                  <pic:blipFill>
                    <a:blip r:embed="rId103"/>
                    <a:stretch>
                      <a:fillRect/>
                    </a:stretch>
                  </pic:blipFill>
                  <pic:spPr>
                    <a:xfrm rot="16200000">
                      <a:off x="0" y="0"/>
                      <a:ext cx="8458200" cy="6273800"/>
                    </a:xfrm>
                    <a:prstGeom prst="rect">
                      <a:avLst/>
                    </a:prstGeom>
                  </pic:spPr>
                </pic:pic>
              </a:graphicData>
            </a:graphic>
          </wp:inline>
        </w:drawing>
      </w:r>
      <w:r w:rsidRPr="0069655C">
        <w:rPr>
          <w:noProof/>
        </w:rPr>
        <w:t xml:space="preserve"> </w:t>
      </w:r>
      <w:r w:rsidRPr="0069655C">
        <w:rPr>
          <w:noProof/>
          <w:sz w:val="20"/>
          <w:szCs w:val="22"/>
        </w:rPr>
        <w:lastRenderedPageBreak/>
        <w:drawing>
          <wp:inline distT="0" distB="0" distL="0" distR="0" wp14:anchorId="53D61402" wp14:editId="73D8124A">
            <wp:extent cx="8458200" cy="6231255"/>
            <wp:effectExtent l="8572" t="0" r="8573" b="8572"/>
            <wp:docPr id="2117322977"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322977" name="Picture 1" descr="A screenshot of a document&#10;&#10;AI-generated content may be incorrect."/>
                    <pic:cNvPicPr/>
                  </pic:nvPicPr>
                  <pic:blipFill>
                    <a:blip r:embed="rId104"/>
                    <a:stretch>
                      <a:fillRect/>
                    </a:stretch>
                  </pic:blipFill>
                  <pic:spPr>
                    <a:xfrm rot="16200000">
                      <a:off x="0" y="0"/>
                      <a:ext cx="8458200" cy="6231255"/>
                    </a:xfrm>
                    <a:prstGeom prst="rect">
                      <a:avLst/>
                    </a:prstGeom>
                  </pic:spPr>
                </pic:pic>
              </a:graphicData>
            </a:graphic>
          </wp:inline>
        </w:drawing>
      </w:r>
    </w:p>
    <w:sectPr w:rsidR="00CA3762" w:rsidRPr="00A2734B" w:rsidSect="001B2D97">
      <w:footerReference w:type="default" r:id="rId105"/>
      <w:pgSz w:w="12240" w:h="15840"/>
      <w:pgMar w:top="1440" w:right="1080" w:bottom="1080" w:left="1080" w:header="720" w:footer="38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C2BAE" w14:textId="77777777" w:rsidR="00EF58A7" w:rsidRDefault="00EF58A7" w:rsidP="0005348D">
      <w:pPr>
        <w:spacing w:after="0" w:line="240" w:lineRule="auto"/>
      </w:pPr>
      <w:r>
        <w:separator/>
      </w:r>
    </w:p>
  </w:endnote>
  <w:endnote w:type="continuationSeparator" w:id="0">
    <w:p w14:paraId="4DF193FB" w14:textId="77777777" w:rsidR="00EF58A7" w:rsidRDefault="00EF58A7" w:rsidP="00053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CCE7C2" w14:textId="77777777" w:rsidR="005C4A9D" w:rsidRPr="008E5F38" w:rsidRDefault="005C4A9D">
    <w:pPr>
      <w:pStyle w:val="Footer"/>
      <w:tabs>
        <w:tab w:val="clear" w:pos="4680"/>
        <w:tab w:val="clear" w:pos="9360"/>
      </w:tabs>
      <w:jc w:val="center"/>
      <w:rPr>
        <w:caps/>
        <w:noProof/>
      </w:rPr>
    </w:pPr>
    <w:r w:rsidRPr="008E5F38">
      <w:rPr>
        <w:caps/>
      </w:rPr>
      <w:fldChar w:fldCharType="begin"/>
    </w:r>
    <w:r w:rsidRPr="008E5F38">
      <w:rPr>
        <w:caps/>
      </w:rPr>
      <w:instrText xml:space="preserve"> PAGE   \* MERGEFORMAT </w:instrText>
    </w:r>
    <w:r w:rsidRPr="008E5F38">
      <w:rPr>
        <w:caps/>
      </w:rPr>
      <w:fldChar w:fldCharType="separate"/>
    </w:r>
    <w:r w:rsidRPr="008E5F38">
      <w:rPr>
        <w:caps/>
        <w:noProof/>
      </w:rPr>
      <w:t>2</w:t>
    </w:r>
    <w:r w:rsidRPr="008E5F38">
      <w:rPr>
        <w:caps/>
        <w:noProof/>
      </w:rPr>
      <w:fldChar w:fldCharType="end"/>
    </w:r>
  </w:p>
  <w:p w14:paraId="74F675B5" w14:textId="21959DA1" w:rsidR="0005348D" w:rsidRPr="005C4A9D" w:rsidRDefault="0005348D" w:rsidP="005C4A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EFFF49" w14:textId="77777777" w:rsidR="001B2D97" w:rsidRDefault="001B2D97">
    <w:pPr>
      <w:pStyle w:val="Footer"/>
      <w:tabs>
        <w:tab w:val="clear" w:pos="4680"/>
        <w:tab w:val="clear" w:pos="9360"/>
      </w:tabs>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A8CB085" w14:textId="4927CEBC" w:rsidR="00954764" w:rsidRPr="005C4A9D" w:rsidRDefault="00954764" w:rsidP="0095476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687BA4" w14:textId="77777777" w:rsidR="00EF58A7" w:rsidRDefault="00EF58A7" w:rsidP="0005348D">
      <w:pPr>
        <w:spacing w:after="0" w:line="240" w:lineRule="auto"/>
      </w:pPr>
      <w:r>
        <w:separator/>
      </w:r>
    </w:p>
  </w:footnote>
  <w:footnote w:type="continuationSeparator" w:id="0">
    <w:p w14:paraId="2367AA4C" w14:textId="77777777" w:rsidR="00EF58A7" w:rsidRDefault="00EF58A7" w:rsidP="00053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4724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BDD5749"/>
    <w:multiLevelType w:val="hybridMultilevel"/>
    <w:tmpl w:val="A08481E2"/>
    <w:lvl w:ilvl="0" w:tplc="0409000F">
      <w:start w:val="1"/>
      <w:numFmt w:val="decimal"/>
      <w:lvlText w:val="%1."/>
      <w:lvlJc w:val="left"/>
      <w:pPr>
        <w:ind w:left="2160" w:hanging="360"/>
      </w:pPr>
    </w:lvl>
    <w:lvl w:ilvl="1" w:tplc="04090019" w:tentative="1">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2" w15:restartNumberingAfterBreak="0">
    <w:nsid w:val="0D9365B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0F612405"/>
    <w:multiLevelType w:val="hybridMultilevel"/>
    <w:tmpl w:val="3BA0CD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FCF33E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0815C03"/>
    <w:multiLevelType w:val="hybridMultilevel"/>
    <w:tmpl w:val="4EA6B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B17C8E"/>
    <w:multiLevelType w:val="hybridMultilevel"/>
    <w:tmpl w:val="D474063E"/>
    <w:lvl w:ilvl="0" w:tplc="3A96096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0E67E1A"/>
    <w:multiLevelType w:val="multilevel"/>
    <w:tmpl w:val="1C8CB1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12AF05A9"/>
    <w:multiLevelType w:val="hybridMultilevel"/>
    <w:tmpl w:val="924CD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84D723E"/>
    <w:multiLevelType w:val="hybridMultilevel"/>
    <w:tmpl w:val="F2A070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1A40F1"/>
    <w:multiLevelType w:val="multilevel"/>
    <w:tmpl w:val="397A5062"/>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11" w15:restartNumberingAfterBreak="0">
    <w:nsid w:val="1D7C49AB"/>
    <w:multiLevelType w:val="hybridMultilevel"/>
    <w:tmpl w:val="D716F29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2" w15:restartNumberingAfterBreak="0">
    <w:nsid w:val="24F0434E"/>
    <w:multiLevelType w:val="multilevel"/>
    <w:tmpl w:val="8196F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7A5571"/>
    <w:multiLevelType w:val="multilevel"/>
    <w:tmpl w:val="27205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026633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A98064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AA74A1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E0759C3"/>
    <w:multiLevelType w:val="multilevel"/>
    <w:tmpl w:val="9C52773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8" w15:restartNumberingAfterBreak="0">
    <w:nsid w:val="4D445F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E6F4DDB"/>
    <w:multiLevelType w:val="hybridMultilevel"/>
    <w:tmpl w:val="A24A7692"/>
    <w:lvl w:ilvl="0" w:tplc="D0B8D204">
      <w:start w:val="1"/>
      <w:numFmt w:val="decimal"/>
      <w:lvlText w:val="%1."/>
      <w:lvlJc w:val="left"/>
      <w:pPr>
        <w:ind w:left="720" w:hanging="360"/>
      </w:pPr>
      <w:rPr>
        <w:rFonts w:eastAsiaTheme="majorEastAsia" w:cstheme="maj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7E11591"/>
    <w:multiLevelType w:val="hybridMultilevel"/>
    <w:tmpl w:val="404068A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65647EAE"/>
    <w:multiLevelType w:val="multilevel"/>
    <w:tmpl w:val="5A2239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020391F"/>
    <w:multiLevelType w:val="multilevel"/>
    <w:tmpl w:val="0409001F"/>
    <w:lvl w:ilvl="0">
      <w:start w:val="1"/>
      <w:numFmt w:val="decimal"/>
      <w:lvlText w:val="%1."/>
      <w:lvlJc w:val="left"/>
      <w:pPr>
        <w:ind w:left="1800" w:hanging="360"/>
      </w:pPr>
    </w:lvl>
    <w:lvl w:ilvl="1">
      <w:start w:val="1"/>
      <w:numFmt w:val="decimal"/>
      <w:lvlText w:val="%1.%2."/>
      <w:lvlJc w:val="left"/>
      <w:pPr>
        <w:ind w:left="2232" w:hanging="432"/>
      </w:pPr>
    </w:lvl>
    <w:lvl w:ilvl="2">
      <w:start w:val="1"/>
      <w:numFmt w:val="decimal"/>
      <w:lvlText w:val="%1.%2.%3."/>
      <w:lvlJc w:val="left"/>
      <w:pPr>
        <w:ind w:left="2664" w:hanging="504"/>
      </w:pPr>
    </w:lvl>
    <w:lvl w:ilvl="3">
      <w:start w:val="1"/>
      <w:numFmt w:val="decimal"/>
      <w:lvlText w:val="%1.%2.%3.%4."/>
      <w:lvlJc w:val="left"/>
      <w:pPr>
        <w:ind w:left="3168" w:hanging="648"/>
      </w:pPr>
    </w:lvl>
    <w:lvl w:ilvl="4">
      <w:start w:val="1"/>
      <w:numFmt w:val="decimal"/>
      <w:lvlText w:val="%1.%2.%3.%4.%5."/>
      <w:lvlJc w:val="left"/>
      <w:pPr>
        <w:ind w:left="3672" w:hanging="792"/>
      </w:pPr>
    </w:lvl>
    <w:lvl w:ilvl="5">
      <w:start w:val="1"/>
      <w:numFmt w:val="decimal"/>
      <w:lvlText w:val="%1.%2.%3.%4.%5.%6."/>
      <w:lvlJc w:val="left"/>
      <w:pPr>
        <w:ind w:left="4176" w:hanging="936"/>
      </w:pPr>
    </w:lvl>
    <w:lvl w:ilvl="6">
      <w:start w:val="1"/>
      <w:numFmt w:val="decimal"/>
      <w:lvlText w:val="%1.%2.%3.%4.%5.%6.%7."/>
      <w:lvlJc w:val="left"/>
      <w:pPr>
        <w:ind w:left="4680" w:hanging="1080"/>
      </w:pPr>
    </w:lvl>
    <w:lvl w:ilvl="7">
      <w:start w:val="1"/>
      <w:numFmt w:val="decimal"/>
      <w:lvlText w:val="%1.%2.%3.%4.%5.%6.%7.%8."/>
      <w:lvlJc w:val="left"/>
      <w:pPr>
        <w:ind w:left="5184" w:hanging="1224"/>
      </w:pPr>
    </w:lvl>
    <w:lvl w:ilvl="8">
      <w:start w:val="1"/>
      <w:numFmt w:val="decimal"/>
      <w:lvlText w:val="%1.%2.%3.%4.%5.%6.%7.%8.%9."/>
      <w:lvlJc w:val="left"/>
      <w:pPr>
        <w:ind w:left="5760" w:hanging="1440"/>
      </w:pPr>
    </w:lvl>
  </w:abstractNum>
  <w:abstractNum w:abstractNumId="23" w15:restartNumberingAfterBreak="0">
    <w:nsid w:val="751D2D4A"/>
    <w:multiLevelType w:val="hybridMultilevel"/>
    <w:tmpl w:val="38DEF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9D7742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B9E3213"/>
    <w:multiLevelType w:val="hybridMultilevel"/>
    <w:tmpl w:val="92EE60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BBF1FA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7C39610A"/>
    <w:multiLevelType w:val="hybridMultilevel"/>
    <w:tmpl w:val="0F14BC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3599100">
    <w:abstractNumId w:val="7"/>
  </w:num>
  <w:num w:numId="2" w16cid:durableId="2094353820">
    <w:abstractNumId w:val="21"/>
  </w:num>
  <w:num w:numId="3" w16cid:durableId="593586720">
    <w:abstractNumId w:val="8"/>
  </w:num>
  <w:num w:numId="4" w16cid:durableId="721053423">
    <w:abstractNumId w:val="15"/>
  </w:num>
  <w:num w:numId="5" w16cid:durableId="848328818">
    <w:abstractNumId w:val="24"/>
  </w:num>
  <w:num w:numId="6" w16cid:durableId="1956020216">
    <w:abstractNumId w:val="23"/>
  </w:num>
  <w:num w:numId="7" w16cid:durableId="1593200534">
    <w:abstractNumId w:val="19"/>
  </w:num>
  <w:num w:numId="8" w16cid:durableId="676274126">
    <w:abstractNumId w:val="14"/>
  </w:num>
  <w:num w:numId="9" w16cid:durableId="1394960551">
    <w:abstractNumId w:val="2"/>
  </w:num>
  <w:num w:numId="10" w16cid:durableId="1577587371">
    <w:abstractNumId w:val="6"/>
  </w:num>
  <w:num w:numId="11" w16cid:durableId="1596134634">
    <w:abstractNumId w:val="0"/>
  </w:num>
  <w:num w:numId="12" w16cid:durableId="334302871">
    <w:abstractNumId w:val="10"/>
  </w:num>
  <w:num w:numId="13" w16cid:durableId="1154301777">
    <w:abstractNumId w:val="12"/>
  </w:num>
  <w:num w:numId="14" w16cid:durableId="733433991">
    <w:abstractNumId w:val="13"/>
  </w:num>
  <w:num w:numId="15" w16cid:durableId="1097823900">
    <w:abstractNumId w:val="9"/>
  </w:num>
  <w:num w:numId="16" w16cid:durableId="413287698">
    <w:abstractNumId w:val="17"/>
  </w:num>
  <w:num w:numId="17" w16cid:durableId="1369843017">
    <w:abstractNumId w:val="11"/>
  </w:num>
  <w:num w:numId="18" w16cid:durableId="23948312">
    <w:abstractNumId w:val="5"/>
  </w:num>
  <w:num w:numId="19" w16cid:durableId="1145703964">
    <w:abstractNumId w:val="25"/>
  </w:num>
  <w:num w:numId="20" w16cid:durableId="306593335">
    <w:abstractNumId w:val="27"/>
  </w:num>
  <w:num w:numId="21" w16cid:durableId="266618828">
    <w:abstractNumId w:val="3"/>
  </w:num>
  <w:num w:numId="22" w16cid:durableId="722405137">
    <w:abstractNumId w:val="20"/>
  </w:num>
  <w:num w:numId="23" w16cid:durableId="1823617604">
    <w:abstractNumId w:val="1"/>
  </w:num>
  <w:num w:numId="24" w16cid:durableId="1998411550">
    <w:abstractNumId w:val="22"/>
  </w:num>
  <w:num w:numId="25" w16cid:durableId="246350959">
    <w:abstractNumId w:val="18"/>
  </w:num>
  <w:num w:numId="26" w16cid:durableId="1656640328">
    <w:abstractNumId w:val="26"/>
  </w:num>
  <w:num w:numId="27" w16cid:durableId="1541018282">
    <w:abstractNumId w:val="16"/>
  </w:num>
  <w:num w:numId="28" w16cid:durableId="2579561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69"/>
    <w:rsid w:val="00001076"/>
    <w:rsid w:val="00001D06"/>
    <w:rsid w:val="00002288"/>
    <w:rsid w:val="00002456"/>
    <w:rsid w:val="00002C4B"/>
    <w:rsid w:val="000031C9"/>
    <w:rsid w:val="00003ED3"/>
    <w:rsid w:val="000063E4"/>
    <w:rsid w:val="000067AE"/>
    <w:rsid w:val="00007FF1"/>
    <w:rsid w:val="00011C58"/>
    <w:rsid w:val="00012B02"/>
    <w:rsid w:val="00013EA4"/>
    <w:rsid w:val="000148E5"/>
    <w:rsid w:val="00015896"/>
    <w:rsid w:val="00015AEE"/>
    <w:rsid w:val="00017284"/>
    <w:rsid w:val="00017A9B"/>
    <w:rsid w:val="00020287"/>
    <w:rsid w:val="00020E83"/>
    <w:rsid w:val="000225DF"/>
    <w:rsid w:val="00022A05"/>
    <w:rsid w:val="00022CE0"/>
    <w:rsid w:val="00023D7B"/>
    <w:rsid w:val="000242FD"/>
    <w:rsid w:val="00024A24"/>
    <w:rsid w:val="000252BC"/>
    <w:rsid w:val="00025D6B"/>
    <w:rsid w:val="00027B41"/>
    <w:rsid w:val="000308A5"/>
    <w:rsid w:val="00031DF0"/>
    <w:rsid w:val="0003263D"/>
    <w:rsid w:val="00032F4C"/>
    <w:rsid w:val="00033FD4"/>
    <w:rsid w:val="00034DD6"/>
    <w:rsid w:val="000361C6"/>
    <w:rsid w:val="000363F3"/>
    <w:rsid w:val="00036D59"/>
    <w:rsid w:val="00043E0B"/>
    <w:rsid w:val="00044D81"/>
    <w:rsid w:val="00044E4A"/>
    <w:rsid w:val="000465D0"/>
    <w:rsid w:val="00051A8B"/>
    <w:rsid w:val="0005348D"/>
    <w:rsid w:val="00053A46"/>
    <w:rsid w:val="000546E2"/>
    <w:rsid w:val="00054932"/>
    <w:rsid w:val="00055E9B"/>
    <w:rsid w:val="00056795"/>
    <w:rsid w:val="00056EF0"/>
    <w:rsid w:val="000600DD"/>
    <w:rsid w:val="0006187A"/>
    <w:rsid w:val="00061C90"/>
    <w:rsid w:val="00061F4C"/>
    <w:rsid w:val="00064ABC"/>
    <w:rsid w:val="00065EAE"/>
    <w:rsid w:val="00066A0F"/>
    <w:rsid w:val="000672A4"/>
    <w:rsid w:val="0007096D"/>
    <w:rsid w:val="00071BF4"/>
    <w:rsid w:val="00075F5B"/>
    <w:rsid w:val="0007610A"/>
    <w:rsid w:val="000763BA"/>
    <w:rsid w:val="000774DE"/>
    <w:rsid w:val="00080DBF"/>
    <w:rsid w:val="000811D3"/>
    <w:rsid w:val="00081276"/>
    <w:rsid w:val="00083000"/>
    <w:rsid w:val="000838FC"/>
    <w:rsid w:val="00084D1B"/>
    <w:rsid w:val="00085AE4"/>
    <w:rsid w:val="00086B5A"/>
    <w:rsid w:val="00086E28"/>
    <w:rsid w:val="000903EB"/>
    <w:rsid w:val="000916C4"/>
    <w:rsid w:val="0009249C"/>
    <w:rsid w:val="00092CC1"/>
    <w:rsid w:val="00094B66"/>
    <w:rsid w:val="00094C1E"/>
    <w:rsid w:val="000951C0"/>
    <w:rsid w:val="00095425"/>
    <w:rsid w:val="00095D13"/>
    <w:rsid w:val="000A0990"/>
    <w:rsid w:val="000A43E3"/>
    <w:rsid w:val="000A55A9"/>
    <w:rsid w:val="000A59A7"/>
    <w:rsid w:val="000A5C21"/>
    <w:rsid w:val="000A675A"/>
    <w:rsid w:val="000B18F5"/>
    <w:rsid w:val="000B20D0"/>
    <w:rsid w:val="000B2BBD"/>
    <w:rsid w:val="000B3A62"/>
    <w:rsid w:val="000B4CB4"/>
    <w:rsid w:val="000B527F"/>
    <w:rsid w:val="000B5568"/>
    <w:rsid w:val="000B59B1"/>
    <w:rsid w:val="000B6394"/>
    <w:rsid w:val="000B671B"/>
    <w:rsid w:val="000B711A"/>
    <w:rsid w:val="000B7223"/>
    <w:rsid w:val="000B7868"/>
    <w:rsid w:val="000C1521"/>
    <w:rsid w:val="000C32C9"/>
    <w:rsid w:val="000C4DA6"/>
    <w:rsid w:val="000C5AE5"/>
    <w:rsid w:val="000C5F2C"/>
    <w:rsid w:val="000C7003"/>
    <w:rsid w:val="000C7094"/>
    <w:rsid w:val="000C7132"/>
    <w:rsid w:val="000C7AA9"/>
    <w:rsid w:val="000C7FE3"/>
    <w:rsid w:val="000D11F8"/>
    <w:rsid w:val="000D397F"/>
    <w:rsid w:val="000D47B5"/>
    <w:rsid w:val="000D56A0"/>
    <w:rsid w:val="000D5BD2"/>
    <w:rsid w:val="000D64F5"/>
    <w:rsid w:val="000D6E89"/>
    <w:rsid w:val="000E0871"/>
    <w:rsid w:val="000E0A4A"/>
    <w:rsid w:val="000E1B50"/>
    <w:rsid w:val="000E28C6"/>
    <w:rsid w:val="000E2981"/>
    <w:rsid w:val="000E47D0"/>
    <w:rsid w:val="000E5E37"/>
    <w:rsid w:val="000E65F8"/>
    <w:rsid w:val="000E68EF"/>
    <w:rsid w:val="000E6C58"/>
    <w:rsid w:val="000E7ABB"/>
    <w:rsid w:val="000F1079"/>
    <w:rsid w:val="000F14BA"/>
    <w:rsid w:val="000F225E"/>
    <w:rsid w:val="000F2FB1"/>
    <w:rsid w:val="000F3F8F"/>
    <w:rsid w:val="000F41CA"/>
    <w:rsid w:val="000F41F1"/>
    <w:rsid w:val="000F570A"/>
    <w:rsid w:val="00100C25"/>
    <w:rsid w:val="0010132C"/>
    <w:rsid w:val="00101E68"/>
    <w:rsid w:val="00102E69"/>
    <w:rsid w:val="00103B4B"/>
    <w:rsid w:val="001049A6"/>
    <w:rsid w:val="00104CBB"/>
    <w:rsid w:val="00106D80"/>
    <w:rsid w:val="0010727E"/>
    <w:rsid w:val="001113FC"/>
    <w:rsid w:val="001114B5"/>
    <w:rsid w:val="001205A4"/>
    <w:rsid w:val="001206C3"/>
    <w:rsid w:val="00120E73"/>
    <w:rsid w:val="00120F73"/>
    <w:rsid w:val="00122654"/>
    <w:rsid w:val="00122E2C"/>
    <w:rsid w:val="0012334C"/>
    <w:rsid w:val="001237D4"/>
    <w:rsid w:val="00123EAA"/>
    <w:rsid w:val="001240F9"/>
    <w:rsid w:val="00124163"/>
    <w:rsid w:val="0012422C"/>
    <w:rsid w:val="00130084"/>
    <w:rsid w:val="00130B49"/>
    <w:rsid w:val="00130DD5"/>
    <w:rsid w:val="00132751"/>
    <w:rsid w:val="00134070"/>
    <w:rsid w:val="0013444E"/>
    <w:rsid w:val="00135A92"/>
    <w:rsid w:val="00136AF7"/>
    <w:rsid w:val="00137300"/>
    <w:rsid w:val="00141EED"/>
    <w:rsid w:val="001441DC"/>
    <w:rsid w:val="00144492"/>
    <w:rsid w:val="001463BB"/>
    <w:rsid w:val="001478E5"/>
    <w:rsid w:val="00151C4B"/>
    <w:rsid w:val="00151CFB"/>
    <w:rsid w:val="0015291A"/>
    <w:rsid w:val="00154180"/>
    <w:rsid w:val="00156010"/>
    <w:rsid w:val="001564AE"/>
    <w:rsid w:val="001566BF"/>
    <w:rsid w:val="001575B8"/>
    <w:rsid w:val="00162886"/>
    <w:rsid w:val="00162D2D"/>
    <w:rsid w:val="00164F9B"/>
    <w:rsid w:val="00165613"/>
    <w:rsid w:val="0016599C"/>
    <w:rsid w:val="00167F72"/>
    <w:rsid w:val="001700D6"/>
    <w:rsid w:val="00170BA5"/>
    <w:rsid w:val="00171087"/>
    <w:rsid w:val="001719F2"/>
    <w:rsid w:val="00172C32"/>
    <w:rsid w:val="00172CA7"/>
    <w:rsid w:val="001739F4"/>
    <w:rsid w:val="0017503F"/>
    <w:rsid w:val="001760B2"/>
    <w:rsid w:val="00176473"/>
    <w:rsid w:val="001807CE"/>
    <w:rsid w:val="00180F15"/>
    <w:rsid w:val="001815F8"/>
    <w:rsid w:val="00182478"/>
    <w:rsid w:val="00183553"/>
    <w:rsid w:val="00185102"/>
    <w:rsid w:val="00187709"/>
    <w:rsid w:val="001903BC"/>
    <w:rsid w:val="001906FA"/>
    <w:rsid w:val="001914B4"/>
    <w:rsid w:val="001923B6"/>
    <w:rsid w:val="001933A5"/>
    <w:rsid w:val="001951D7"/>
    <w:rsid w:val="00195348"/>
    <w:rsid w:val="001958EC"/>
    <w:rsid w:val="001A5973"/>
    <w:rsid w:val="001A64EC"/>
    <w:rsid w:val="001A65C5"/>
    <w:rsid w:val="001A6EF0"/>
    <w:rsid w:val="001A79AC"/>
    <w:rsid w:val="001A7C75"/>
    <w:rsid w:val="001A7D78"/>
    <w:rsid w:val="001B14F5"/>
    <w:rsid w:val="001B2C3C"/>
    <w:rsid w:val="001B2D97"/>
    <w:rsid w:val="001B3361"/>
    <w:rsid w:val="001B4C1C"/>
    <w:rsid w:val="001B620B"/>
    <w:rsid w:val="001B65DD"/>
    <w:rsid w:val="001B67D9"/>
    <w:rsid w:val="001B7638"/>
    <w:rsid w:val="001C170E"/>
    <w:rsid w:val="001D13BB"/>
    <w:rsid w:val="001D2D97"/>
    <w:rsid w:val="001D3372"/>
    <w:rsid w:val="001D386F"/>
    <w:rsid w:val="001D3DA2"/>
    <w:rsid w:val="001D4968"/>
    <w:rsid w:val="001E190F"/>
    <w:rsid w:val="001E1D17"/>
    <w:rsid w:val="001E1E6D"/>
    <w:rsid w:val="001E1F12"/>
    <w:rsid w:val="001F0EE8"/>
    <w:rsid w:val="001F1050"/>
    <w:rsid w:val="001F29F5"/>
    <w:rsid w:val="001F2E5E"/>
    <w:rsid w:val="001F350C"/>
    <w:rsid w:val="001F4D5A"/>
    <w:rsid w:val="001F6577"/>
    <w:rsid w:val="001F665C"/>
    <w:rsid w:val="001F7C4C"/>
    <w:rsid w:val="002028AC"/>
    <w:rsid w:val="00202B82"/>
    <w:rsid w:val="0020513D"/>
    <w:rsid w:val="002065FE"/>
    <w:rsid w:val="00206823"/>
    <w:rsid w:val="00207100"/>
    <w:rsid w:val="00207959"/>
    <w:rsid w:val="00212848"/>
    <w:rsid w:val="00214058"/>
    <w:rsid w:val="00216857"/>
    <w:rsid w:val="002179B8"/>
    <w:rsid w:val="00220FFA"/>
    <w:rsid w:val="00221095"/>
    <w:rsid w:val="00222134"/>
    <w:rsid w:val="0022213E"/>
    <w:rsid w:val="0022244F"/>
    <w:rsid w:val="00224FAA"/>
    <w:rsid w:val="00226431"/>
    <w:rsid w:val="0022682C"/>
    <w:rsid w:val="00226B8D"/>
    <w:rsid w:val="002308E2"/>
    <w:rsid w:val="00231EFA"/>
    <w:rsid w:val="00233593"/>
    <w:rsid w:val="0023393D"/>
    <w:rsid w:val="0023429C"/>
    <w:rsid w:val="00235C05"/>
    <w:rsid w:val="002373EB"/>
    <w:rsid w:val="00240524"/>
    <w:rsid w:val="00240836"/>
    <w:rsid w:val="00241FB1"/>
    <w:rsid w:val="00242123"/>
    <w:rsid w:val="00242C58"/>
    <w:rsid w:val="0024445D"/>
    <w:rsid w:val="00245126"/>
    <w:rsid w:val="00246D8E"/>
    <w:rsid w:val="0024750E"/>
    <w:rsid w:val="00247562"/>
    <w:rsid w:val="00247DEC"/>
    <w:rsid w:val="00251527"/>
    <w:rsid w:val="00251746"/>
    <w:rsid w:val="002520C9"/>
    <w:rsid w:val="00252785"/>
    <w:rsid w:val="002538C0"/>
    <w:rsid w:val="00254573"/>
    <w:rsid w:val="00254C87"/>
    <w:rsid w:val="00255692"/>
    <w:rsid w:val="00257807"/>
    <w:rsid w:val="00262068"/>
    <w:rsid w:val="002625E5"/>
    <w:rsid w:val="002629EE"/>
    <w:rsid w:val="002639B5"/>
    <w:rsid w:val="00263ACD"/>
    <w:rsid w:val="002642B5"/>
    <w:rsid w:val="00266DB8"/>
    <w:rsid w:val="002704F0"/>
    <w:rsid w:val="002710B6"/>
    <w:rsid w:val="002729D0"/>
    <w:rsid w:val="002768AE"/>
    <w:rsid w:val="00276ACC"/>
    <w:rsid w:val="00277081"/>
    <w:rsid w:val="00277820"/>
    <w:rsid w:val="00280705"/>
    <w:rsid w:val="00280BE2"/>
    <w:rsid w:val="00281FDD"/>
    <w:rsid w:val="00282AF4"/>
    <w:rsid w:val="00284720"/>
    <w:rsid w:val="00284BC8"/>
    <w:rsid w:val="00284C5A"/>
    <w:rsid w:val="00284D6C"/>
    <w:rsid w:val="002857C6"/>
    <w:rsid w:val="00286A6A"/>
    <w:rsid w:val="002877F8"/>
    <w:rsid w:val="0029036E"/>
    <w:rsid w:val="00291FD8"/>
    <w:rsid w:val="00292383"/>
    <w:rsid w:val="002948C5"/>
    <w:rsid w:val="0029517F"/>
    <w:rsid w:val="002964C1"/>
    <w:rsid w:val="002A0865"/>
    <w:rsid w:val="002A1A11"/>
    <w:rsid w:val="002A1BD5"/>
    <w:rsid w:val="002A43ED"/>
    <w:rsid w:val="002A47D2"/>
    <w:rsid w:val="002A534C"/>
    <w:rsid w:val="002A69A5"/>
    <w:rsid w:val="002A7D9F"/>
    <w:rsid w:val="002B0078"/>
    <w:rsid w:val="002B0606"/>
    <w:rsid w:val="002B1A80"/>
    <w:rsid w:val="002B21E3"/>
    <w:rsid w:val="002B24E5"/>
    <w:rsid w:val="002B4182"/>
    <w:rsid w:val="002B4741"/>
    <w:rsid w:val="002B4F6D"/>
    <w:rsid w:val="002B5EAA"/>
    <w:rsid w:val="002B71DB"/>
    <w:rsid w:val="002B7EE6"/>
    <w:rsid w:val="002C2540"/>
    <w:rsid w:val="002C2A5B"/>
    <w:rsid w:val="002C4154"/>
    <w:rsid w:val="002D04FE"/>
    <w:rsid w:val="002D0AC9"/>
    <w:rsid w:val="002D0E69"/>
    <w:rsid w:val="002D0EBC"/>
    <w:rsid w:val="002D19E8"/>
    <w:rsid w:val="002D26FF"/>
    <w:rsid w:val="002D4325"/>
    <w:rsid w:val="002D54F7"/>
    <w:rsid w:val="002D6780"/>
    <w:rsid w:val="002D68B9"/>
    <w:rsid w:val="002D7809"/>
    <w:rsid w:val="002E0EC2"/>
    <w:rsid w:val="002E2DFE"/>
    <w:rsid w:val="002E3EDA"/>
    <w:rsid w:val="002E524B"/>
    <w:rsid w:val="002E541B"/>
    <w:rsid w:val="002E5997"/>
    <w:rsid w:val="002E5E4A"/>
    <w:rsid w:val="002F234E"/>
    <w:rsid w:val="002F2838"/>
    <w:rsid w:val="002F2A24"/>
    <w:rsid w:val="002F5405"/>
    <w:rsid w:val="002F6058"/>
    <w:rsid w:val="002F7539"/>
    <w:rsid w:val="002F75C3"/>
    <w:rsid w:val="00300D52"/>
    <w:rsid w:val="00300FB0"/>
    <w:rsid w:val="003013E3"/>
    <w:rsid w:val="0030158D"/>
    <w:rsid w:val="00302075"/>
    <w:rsid w:val="00305D33"/>
    <w:rsid w:val="003060F8"/>
    <w:rsid w:val="003077D9"/>
    <w:rsid w:val="00307E7F"/>
    <w:rsid w:val="0031024A"/>
    <w:rsid w:val="0031196C"/>
    <w:rsid w:val="00311E95"/>
    <w:rsid w:val="003138D6"/>
    <w:rsid w:val="0031520C"/>
    <w:rsid w:val="003154DB"/>
    <w:rsid w:val="003170FC"/>
    <w:rsid w:val="00320784"/>
    <w:rsid w:val="003221D5"/>
    <w:rsid w:val="00323E3D"/>
    <w:rsid w:val="0032668E"/>
    <w:rsid w:val="0032723B"/>
    <w:rsid w:val="00327AA5"/>
    <w:rsid w:val="00327FA1"/>
    <w:rsid w:val="00330514"/>
    <w:rsid w:val="003328F3"/>
    <w:rsid w:val="00332AED"/>
    <w:rsid w:val="0033335B"/>
    <w:rsid w:val="003337EC"/>
    <w:rsid w:val="00333B57"/>
    <w:rsid w:val="00334CA3"/>
    <w:rsid w:val="003353D0"/>
    <w:rsid w:val="0033540F"/>
    <w:rsid w:val="00336745"/>
    <w:rsid w:val="0033675B"/>
    <w:rsid w:val="00336EFD"/>
    <w:rsid w:val="00337520"/>
    <w:rsid w:val="00337C2E"/>
    <w:rsid w:val="0034291F"/>
    <w:rsid w:val="00343513"/>
    <w:rsid w:val="0034366E"/>
    <w:rsid w:val="00344D17"/>
    <w:rsid w:val="003460C4"/>
    <w:rsid w:val="0034691E"/>
    <w:rsid w:val="0035009D"/>
    <w:rsid w:val="0035089A"/>
    <w:rsid w:val="003513FC"/>
    <w:rsid w:val="003519F3"/>
    <w:rsid w:val="00351C39"/>
    <w:rsid w:val="00352439"/>
    <w:rsid w:val="00353438"/>
    <w:rsid w:val="003537A3"/>
    <w:rsid w:val="003563C9"/>
    <w:rsid w:val="0035668B"/>
    <w:rsid w:val="0036005C"/>
    <w:rsid w:val="00360877"/>
    <w:rsid w:val="003613F3"/>
    <w:rsid w:val="00361894"/>
    <w:rsid w:val="00363082"/>
    <w:rsid w:val="003637BF"/>
    <w:rsid w:val="00363F54"/>
    <w:rsid w:val="00365C56"/>
    <w:rsid w:val="00366FB3"/>
    <w:rsid w:val="0036789B"/>
    <w:rsid w:val="00367F5A"/>
    <w:rsid w:val="00372F5E"/>
    <w:rsid w:val="00374174"/>
    <w:rsid w:val="00374A92"/>
    <w:rsid w:val="00374ECB"/>
    <w:rsid w:val="003751A9"/>
    <w:rsid w:val="00375BC2"/>
    <w:rsid w:val="00375D3A"/>
    <w:rsid w:val="00376604"/>
    <w:rsid w:val="00376C20"/>
    <w:rsid w:val="00376E0E"/>
    <w:rsid w:val="00376FC5"/>
    <w:rsid w:val="003803BB"/>
    <w:rsid w:val="003817FD"/>
    <w:rsid w:val="00381948"/>
    <w:rsid w:val="003825B9"/>
    <w:rsid w:val="00382B1C"/>
    <w:rsid w:val="00383797"/>
    <w:rsid w:val="00386E07"/>
    <w:rsid w:val="003877F1"/>
    <w:rsid w:val="00387882"/>
    <w:rsid w:val="00390092"/>
    <w:rsid w:val="00390A6A"/>
    <w:rsid w:val="003910F7"/>
    <w:rsid w:val="003912DC"/>
    <w:rsid w:val="00391D8D"/>
    <w:rsid w:val="003926D2"/>
    <w:rsid w:val="0039328E"/>
    <w:rsid w:val="00393468"/>
    <w:rsid w:val="00394F9C"/>
    <w:rsid w:val="003977F0"/>
    <w:rsid w:val="00397852"/>
    <w:rsid w:val="003A1779"/>
    <w:rsid w:val="003A1F07"/>
    <w:rsid w:val="003A301B"/>
    <w:rsid w:val="003A426D"/>
    <w:rsid w:val="003A580B"/>
    <w:rsid w:val="003A71A3"/>
    <w:rsid w:val="003B2F65"/>
    <w:rsid w:val="003B3A06"/>
    <w:rsid w:val="003B3C68"/>
    <w:rsid w:val="003B4972"/>
    <w:rsid w:val="003B52E5"/>
    <w:rsid w:val="003B5844"/>
    <w:rsid w:val="003B5B1F"/>
    <w:rsid w:val="003B624F"/>
    <w:rsid w:val="003B6735"/>
    <w:rsid w:val="003B7C2A"/>
    <w:rsid w:val="003C195B"/>
    <w:rsid w:val="003C1D94"/>
    <w:rsid w:val="003C1EA0"/>
    <w:rsid w:val="003C23A8"/>
    <w:rsid w:val="003C2BB4"/>
    <w:rsid w:val="003C2BE8"/>
    <w:rsid w:val="003C2CAA"/>
    <w:rsid w:val="003C3347"/>
    <w:rsid w:val="003C38F7"/>
    <w:rsid w:val="003C4D30"/>
    <w:rsid w:val="003C4E30"/>
    <w:rsid w:val="003C64DF"/>
    <w:rsid w:val="003C6C05"/>
    <w:rsid w:val="003C7CD0"/>
    <w:rsid w:val="003D06D9"/>
    <w:rsid w:val="003D1363"/>
    <w:rsid w:val="003D18CA"/>
    <w:rsid w:val="003D24A4"/>
    <w:rsid w:val="003D2BC5"/>
    <w:rsid w:val="003D3115"/>
    <w:rsid w:val="003D32AA"/>
    <w:rsid w:val="003D5287"/>
    <w:rsid w:val="003D56F7"/>
    <w:rsid w:val="003D6614"/>
    <w:rsid w:val="003D6854"/>
    <w:rsid w:val="003D6EC7"/>
    <w:rsid w:val="003E08EC"/>
    <w:rsid w:val="003E143C"/>
    <w:rsid w:val="003E2B1C"/>
    <w:rsid w:val="003E2B1D"/>
    <w:rsid w:val="003E364F"/>
    <w:rsid w:val="003E55E8"/>
    <w:rsid w:val="003E5BE3"/>
    <w:rsid w:val="003E61E9"/>
    <w:rsid w:val="003E7F37"/>
    <w:rsid w:val="003F10F2"/>
    <w:rsid w:val="003F2257"/>
    <w:rsid w:val="003F58F8"/>
    <w:rsid w:val="003F662B"/>
    <w:rsid w:val="003F76FD"/>
    <w:rsid w:val="0040041C"/>
    <w:rsid w:val="00400D6B"/>
    <w:rsid w:val="00401519"/>
    <w:rsid w:val="00401FE9"/>
    <w:rsid w:val="00404C23"/>
    <w:rsid w:val="004053DE"/>
    <w:rsid w:val="004062AB"/>
    <w:rsid w:val="004108BF"/>
    <w:rsid w:val="004122F5"/>
    <w:rsid w:val="00413FCC"/>
    <w:rsid w:val="0041409B"/>
    <w:rsid w:val="00414B50"/>
    <w:rsid w:val="00415A77"/>
    <w:rsid w:val="004163BE"/>
    <w:rsid w:val="00416C08"/>
    <w:rsid w:val="004203B4"/>
    <w:rsid w:val="0042100C"/>
    <w:rsid w:val="00421161"/>
    <w:rsid w:val="0042131E"/>
    <w:rsid w:val="00421D2F"/>
    <w:rsid w:val="004228FD"/>
    <w:rsid w:val="00422BD5"/>
    <w:rsid w:val="00425412"/>
    <w:rsid w:val="004272FE"/>
    <w:rsid w:val="00427F8D"/>
    <w:rsid w:val="00430C72"/>
    <w:rsid w:val="00430D54"/>
    <w:rsid w:val="00431690"/>
    <w:rsid w:val="00431D70"/>
    <w:rsid w:val="00432F0C"/>
    <w:rsid w:val="00433825"/>
    <w:rsid w:val="0043753E"/>
    <w:rsid w:val="00437783"/>
    <w:rsid w:val="00437FF6"/>
    <w:rsid w:val="00440225"/>
    <w:rsid w:val="00442E5D"/>
    <w:rsid w:val="0044318B"/>
    <w:rsid w:val="00444568"/>
    <w:rsid w:val="00444948"/>
    <w:rsid w:val="004449C3"/>
    <w:rsid w:val="004459C5"/>
    <w:rsid w:val="00445ADE"/>
    <w:rsid w:val="00450723"/>
    <w:rsid w:val="00451144"/>
    <w:rsid w:val="004517F1"/>
    <w:rsid w:val="004525EB"/>
    <w:rsid w:val="0045310B"/>
    <w:rsid w:val="004538BB"/>
    <w:rsid w:val="00453DDA"/>
    <w:rsid w:val="004568E3"/>
    <w:rsid w:val="00456E7A"/>
    <w:rsid w:val="004578B8"/>
    <w:rsid w:val="00460136"/>
    <w:rsid w:val="004601C1"/>
    <w:rsid w:val="004613F1"/>
    <w:rsid w:val="00461753"/>
    <w:rsid w:val="004625EC"/>
    <w:rsid w:val="00462C4D"/>
    <w:rsid w:val="00462F63"/>
    <w:rsid w:val="00463432"/>
    <w:rsid w:val="00466823"/>
    <w:rsid w:val="00467EE9"/>
    <w:rsid w:val="00471BE5"/>
    <w:rsid w:val="00473411"/>
    <w:rsid w:val="0047539F"/>
    <w:rsid w:val="00475C8D"/>
    <w:rsid w:val="00475F2F"/>
    <w:rsid w:val="004760C0"/>
    <w:rsid w:val="00477435"/>
    <w:rsid w:val="0047778D"/>
    <w:rsid w:val="00477C02"/>
    <w:rsid w:val="00477E44"/>
    <w:rsid w:val="00480307"/>
    <w:rsid w:val="00480A0F"/>
    <w:rsid w:val="00481CF8"/>
    <w:rsid w:val="004829D0"/>
    <w:rsid w:val="00482C77"/>
    <w:rsid w:val="0048327F"/>
    <w:rsid w:val="0048394D"/>
    <w:rsid w:val="00484628"/>
    <w:rsid w:val="00484DC2"/>
    <w:rsid w:val="00484FC1"/>
    <w:rsid w:val="0048691C"/>
    <w:rsid w:val="0048722C"/>
    <w:rsid w:val="00487436"/>
    <w:rsid w:val="00491545"/>
    <w:rsid w:val="0049195E"/>
    <w:rsid w:val="00491F5E"/>
    <w:rsid w:val="00492F53"/>
    <w:rsid w:val="0049652E"/>
    <w:rsid w:val="004A0DE9"/>
    <w:rsid w:val="004A0FD9"/>
    <w:rsid w:val="004A30BF"/>
    <w:rsid w:val="004A30D8"/>
    <w:rsid w:val="004A33D0"/>
    <w:rsid w:val="004A35AD"/>
    <w:rsid w:val="004A36BF"/>
    <w:rsid w:val="004A4881"/>
    <w:rsid w:val="004A52F5"/>
    <w:rsid w:val="004A57C6"/>
    <w:rsid w:val="004A587B"/>
    <w:rsid w:val="004A5B68"/>
    <w:rsid w:val="004A739D"/>
    <w:rsid w:val="004A77C0"/>
    <w:rsid w:val="004B0125"/>
    <w:rsid w:val="004B196E"/>
    <w:rsid w:val="004B37E1"/>
    <w:rsid w:val="004C2071"/>
    <w:rsid w:val="004C24D3"/>
    <w:rsid w:val="004C3B17"/>
    <w:rsid w:val="004C5CFF"/>
    <w:rsid w:val="004C63EF"/>
    <w:rsid w:val="004C6E0A"/>
    <w:rsid w:val="004C73A8"/>
    <w:rsid w:val="004C7BF4"/>
    <w:rsid w:val="004D0341"/>
    <w:rsid w:val="004D081B"/>
    <w:rsid w:val="004D0CAE"/>
    <w:rsid w:val="004D0E23"/>
    <w:rsid w:val="004D131E"/>
    <w:rsid w:val="004D1B87"/>
    <w:rsid w:val="004D3A02"/>
    <w:rsid w:val="004D4693"/>
    <w:rsid w:val="004D4773"/>
    <w:rsid w:val="004D4BFE"/>
    <w:rsid w:val="004D5CE4"/>
    <w:rsid w:val="004D6DEE"/>
    <w:rsid w:val="004D72C4"/>
    <w:rsid w:val="004D77A2"/>
    <w:rsid w:val="004E01E6"/>
    <w:rsid w:val="004E3877"/>
    <w:rsid w:val="004E4A11"/>
    <w:rsid w:val="004E4D6D"/>
    <w:rsid w:val="004E51F9"/>
    <w:rsid w:val="004E64F7"/>
    <w:rsid w:val="004E6F41"/>
    <w:rsid w:val="004E7865"/>
    <w:rsid w:val="004F2327"/>
    <w:rsid w:val="004F30F7"/>
    <w:rsid w:val="004F3536"/>
    <w:rsid w:val="004F428E"/>
    <w:rsid w:val="004F459E"/>
    <w:rsid w:val="004F702A"/>
    <w:rsid w:val="004F76CE"/>
    <w:rsid w:val="00500742"/>
    <w:rsid w:val="00501988"/>
    <w:rsid w:val="00502143"/>
    <w:rsid w:val="00504E2F"/>
    <w:rsid w:val="005050F4"/>
    <w:rsid w:val="005067CE"/>
    <w:rsid w:val="005068E5"/>
    <w:rsid w:val="005069E5"/>
    <w:rsid w:val="00507205"/>
    <w:rsid w:val="005076FB"/>
    <w:rsid w:val="00507808"/>
    <w:rsid w:val="00510037"/>
    <w:rsid w:val="00510431"/>
    <w:rsid w:val="00511EF5"/>
    <w:rsid w:val="0051291E"/>
    <w:rsid w:val="00512BD4"/>
    <w:rsid w:val="00513D1A"/>
    <w:rsid w:val="00514664"/>
    <w:rsid w:val="00515638"/>
    <w:rsid w:val="00516295"/>
    <w:rsid w:val="005207DA"/>
    <w:rsid w:val="005219F5"/>
    <w:rsid w:val="00522ACA"/>
    <w:rsid w:val="00522C95"/>
    <w:rsid w:val="00523428"/>
    <w:rsid w:val="00524221"/>
    <w:rsid w:val="00526E4A"/>
    <w:rsid w:val="005308FF"/>
    <w:rsid w:val="005316FD"/>
    <w:rsid w:val="00532683"/>
    <w:rsid w:val="005330FF"/>
    <w:rsid w:val="00533543"/>
    <w:rsid w:val="00533B2E"/>
    <w:rsid w:val="005344F1"/>
    <w:rsid w:val="00535D65"/>
    <w:rsid w:val="00535E28"/>
    <w:rsid w:val="005369CA"/>
    <w:rsid w:val="00537E7B"/>
    <w:rsid w:val="005405AD"/>
    <w:rsid w:val="00541827"/>
    <w:rsid w:val="005424F6"/>
    <w:rsid w:val="005434FF"/>
    <w:rsid w:val="005446CC"/>
    <w:rsid w:val="00545E69"/>
    <w:rsid w:val="00545E73"/>
    <w:rsid w:val="00546B52"/>
    <w:rsid w:val="0054734F"/>
    <w:rsid w:val="00547937"/>
    <w:rsid w:val="00547CB7"/>
    <w:rsid w:val="00547F8D"/>
    <w:rsid w:val="0055012C"/>
    <w:rsid w:val="00550347"/>
    <w:rsid w:val="00550712"/>
    <w:rsid w:val="0055186A"/>
    <w:rsid w:val="00552B5D"/>
    <w:rsid w:val="00554782"/>
    <w:rsid w:val="005549C7"/>
    <w:rsid w:val="00554AB4"/>
    <w:rsid w:val="005550A4"/>
    <w:rsid w:val="00555762"/>
    <w:rsid w:val="005571DC"/>
    <w:rsid w:val="005578E9"/>
    <w:rsid w:val="00557CA9"/>
    <w:rsid w:val="00560D96"/>
    <w:rsid w:val="00560DB7"/>
    <w:rsid w:val="0056457F"/>
    <w:rsid w:val="00566783"/>
    <w:rsid w:val="00567B93"/>
    <w:rsid w:val="0057025F"/>
    <w:rsid w:val="00570959"/>
    <w:rsid w:val="00571329"/>
    <w:rsid w:val="0057164C"/>
    <w:rsid w:val="00571C95"/>
    <w:rsid w:val="0057218D"/>
    <w:rsid w:val="00573C4A"/>
    <w:rsid w:val="00573D04"/>
    <w:rsid w:val="00573D8D"/>
    <w:rsid w:val="00574282"/>
    <w:rsid w:val="00574422"/>
    <w:rsid w:val="0057577A"/>
    <w:rsid w:val="00575FB8"/>
    <w:rsid w:val="0057639C"/>
    <w:rsid w:val="005770FE"/>
    <w:rsid w:val="00580616"/>
    <w:rsid w:val="00580A0D"/>
    <w:rsid w:val="00581B9D"/>
    <w:rsid w:val="00582AF8"/>
    <w:rsid w:val="00582C1C"/>
    <w:rsid w:val="00583535"/>
    <w:rsid w:val="0058445D"/>
    <w:rsid w:val="00586CC8"/>
    <w:rsid w:val="00586DE0"/>
    <w:rsid w:val="00586FAA"/>
    <w:rsid w:val="005870A8"/>
    <w:rsid w:val="0059040F"/>
    <w:rsid w:val="00591CE0"/>
    <w:rsid w:val="00591E6E"/>
    <w:rsid w:val="00592AD1"/>
    <w:rsid w:val="00592EC6"/>
    <w:rsid w:val="00593FE1"/>
    <w:rsid w:val="00594E9E"/>
    <w:rsid w:val="00596592"/>
    <w:rsid w:val="005A0960"/>
    <w:rsid w:val="005A0BBC"/>
    <w:rsid w:val="005A2F1D"/>
    <w:rsid w:val="005A2F96"/>
    <w:rsid w:val="005A418E"/>
    <w:rsid w:val="005A42C7"/>
    <w:rsid w:val="005A5D97"/>
    <w:rsid w:val="005A737F"/>
    <w:rsid w:val="005B0F93"/>
    <w:rsid w:val="005B3C58"/>
    <w:rsid w:val="005B410E"/>
    <w:rsid w:val="005B41A2"/>
    <w:rsid w:val="005B5694"/>
    <w:rsid w:val="005B5853"/>
    <w:rsid w:val="005B5858"/>
    <w:rsid w:val="005B5B19"/>
    <w:rsid w:val="005C0A43"/>
    <w:rsid w:val="005C0AE4"/>
    <w:rsid w:val="005C0E7F"/>
    <w:rsid w:val="005C1CA8"/>
    <w:rsid w:val="005C3507"/>
    <w:rsid w:val="005C36BA"/>
    <w:rsid w:val="005C4A9D"/>
    <w:rsid w:val="005D10E3"/>
    <w:rsid w:val="005D1486"/>
    <w:rsid w:val="005D191A"/>
    <w:rsid w:val="005D3816"/>
    <w:rsid w:val="005D3E60"/>
    <w:rsid w:val="005D41F2"/>
    <w:rsid w:val="005D46D7"/>
    <w:rsid w:val="005D50F7"/>
    <w:rsid w:val="005D5344"/>
    <w:rsid w:val="005D6205"/>
    <w:rsid w:val="005D664E"/>
    <w:rsid w:val="005D71FA"/>
    <w:rsid w:val="005D76EA"/>
    <w:rsid w:val="005E14AE"/>
    <w:rsid w:val="005E2463"/>
    <w:rsid w:val="005E31A6"/>
    <w:rsid w:val="005E31B7"/>
    <w:rsid w:val="005E35BD"/>
    <w:rsid w:val="005E3769"/>
    <w:rsid w:val="005E4617"/>
    <w:rsid w:val="005E4B30"/>
    <w:rsid w:val="005E4F78"/>
    <w:rsid w:val="005E540D"/>
    <w:rsid w:val="005E548D"/>
    <w:rsid w:val="005F0180"/>
    <w:rsid w:val="005F01EF"/>
    <w:rsid w:val="005F2AAC"/>
    <w:rsid w:val="005F3829"/>
    <w:rsid w:val="005F58C1"/>
    <w:rsid w:val="005F5A2B"/>
    <w:rsid w:val="005F5F1E"/>
    <w:rsid w:val="005F61A5"/>
    <w:rsid w:val="005F73DB"/>
    <w:rsid w:val="0060216A"/>
    <w:rsid w:val="00602453"/>
    <w:rsid w:val="00604281"/>
    <w:rsid w:val="00604628"/>
    <w:rsid w:val="00605252"/>
    <w:rsid w:val="00605BB1"/>
    <w:rsid w:val="00611E1D"/>
    <w:rsid w:val="00613032"/>
    <w:rsid w:val="006135B8"/>
    <w:rsid w:val="0061454E"/>
    <w:rsid w:val="006162C4"/>
    <w:rsid w:val="00616F24"/>
    <w:rsid w:val="006179A3"/>
    <w:rsid w:val="00620174"/>
    <w:rsid w:val="0062044D"/>
    <w:rsid w:val="00620474"/>
    <w:rsid w:val="00620E4B"/>
    <w:rsid w:val="00622CD4"/>
    <w:rsid w:val="006234C1"/>
    <w:rsid w:val="00623C54"/>
    <w:rsid w:val="00624CAB"/>
    <w:rsid w:val="00626087"/>
    <w:rsid w:val="0062735A"/>
    <w:rsid w:val="00630007"/>
    <w:rsid w:val="00630951"/>
    <w:rsid w:val="00630C9A"/>
    <w:rsid w:val="0063108B"/>
    <w:rsid w:val="00632873"/>
    <w:rsid w:val="00632D5B"/>
    <w:rsid w:val="00634366"/>
    <w:rsid w:val="00634496"/>
    <w:rsid w:val="0063550A"/>
    <w:rsid w:val="00636D46"/>
    <w:rsid w:val="00636DD7"/>
    <w:rsid w:val="00640607"/>
    <w:rsid w:val="00641177"/>
    <w:rsid w:val="00642FEF"/>
    <w:rsid w:val="006442D5"/>
    <w:rsid w:val="00646141"/>
    <w:rsid w:val="006505DA"/>
    <w:rsid w:val="00650BA6"/>
    <w:rsid w:val="00650FE0"/>
    <w:rsid w:val="00651EB0"/>
    <w:rsid w:val="00652B44"/>
    <w:rsid w:val="00653F03"/>
    <w:rsid w:val="006541B6"/>
    <w:rsid w:val="00654384"/>
    <w:rsid w:val="00654A4E"/>
    <w:rsid w:val="0065544C"/>
    <w:rsid w:val="006567EF"/>
    <w:rsid w:val="0065782F"/>
    <w:rsid w:val="0066122F"/>
    <w:rsid w:val="00661ECD"/>
    <w:rsid w:val="0066214C"/>
    <w:rsid w:val="00662FAC"/>
    <w:rsid w:val="00662FC7"/>
    <w:rsid w:val="00663205"/>
    <w:rsid w:val="006636E8"/>
    <w:rsid w:val="00663827"/>
    <w:rsid w:val="00663DB0"/>
    <w:rsid w:val="006644E5"/>
    <w:rsid w:val="00664FE3"/>
    <w:rsid w:val="00665240"/>
    <w:rsid w:val="006654C1"/>
    <w:rsid w:val="00666AB7"/>
    <w:rsid w:val="00666BD4"/>
    <w:rsid w:val="00666F51"/>
    <w:rsid w:val="00671F49"/>
    <w:rsid w:val="00672148"/>
    <w:rsid w:val="00672157"/>
    <w:rsid w:val="0067251A"/>
    <w:rsid w:val="0067330B"/>
    <w:rsid w:val="0067364F"/>
    <w:rsid w:val="00674AEF"/>
    <w:rsid w:val="00674FEB"/>
    <w:rsid w:val="0067536A"/>
    <w:rsid w:val="006753CF"/>
    <w:rsid w:val="00676BAF"/>
    <w:rsid w:val="00677DEB"/>
    <w:rsid w:val="006803E4"/>
    <w:rsid w:val="0068080E"/>
    <w:rsid w:val="00681126"/>
    <w:rsid w:val="00682EE3"/>
    <w:rsid w:val="00684C87"/>
    <w:rsid w:val="006860AC"/>
    <w:rsid w:val="00687F97"/>
    <w:rsid w:val="00690EB9"/>
    <w:rsid w:val="006925CD"/>
    <w:rsid w:val="00692D5C"/>
    <w:rsid w:val="00693E8C"/>
    <w:rsid w:val="00694E0A"/>
    <w:rsid w:val="0069655C"/>
    <w:rsid w:val="00697BF2"/>
    <w:rsid w:val="006A05DE"/>
    <w:rsid w:val="006A0F6F"/>
    <w:rsid w:val="006A15A4"/>
    <w:rsid w:val="006A2373"/>
    <w:rsid w:val="006A2376"/>
    <w:rsid w:val="006A316D"/>
    <w:rsid w:val="006A33A3"/>
    <w:rsid w:val="006A464C"/>
    <w:rsid w:val="006A4A5A"/>
    <w:rsid w:val="006A509F"/>
    <w:rsid w:val="006A52BA"/>
    <w:rsid w:val="006A54A4"/>
    <w:rsid w:val="006A63BC"/>
    <w:rsid w:val="006A666C"/>
    <w:rsid w:val="006A6A9C"/>
    <w:rsid w:val="006B01D0"/>
    <w:rsid w:val="006B42C8"/>
    <w:rsid w:val="006B4B47"/>
    <w:rsid w:val="006B4C72"/>
    <w:rsid w:val="006B6A11"/>
    <w:rsid w:val="006B72E2"/>
    <w:rsid w:val="006C124E"/>
    <w:rsid w:val="006C1508"/>
    <w:rsid w:val="006C19B4"/>
    <w:rsid w:val="006C1FC7"/>
    <w:rsid w:val="006C26E1"/>
    <w:rsid w:val="006C447C"/>
    <w:rsid w:val="006C4B40"/>
    <w:rsid w:val="006C56DA"/>
    <w:rsid w:val="006C6115"/>
    <w:rsid w:val="006C7952"/>
    <w:rsid w:val="006D06F5"/>
    <w:rsid w:val="006D10FA"/>
    <w:rsid w:val="006D2114"/>
    <w:rsid w:val="006D2A1A"/>
    <w:rsid w:val="006D51EB"/>
    <w:rsid w:val="006D7D61"/>
    <w:rsid w:val="006E080D"/>
    <w:rsid w:val="006E2D1C"/>
    <w:rsid w:val="006E31B7"/>
    <w:rsid w:val="006E3952"/>
    <w:rsid w:val="006E45E8"/>
    <w:rsid w:val="006E4ECB"/>
    <w:rsid w:val="006E5D19"/>
    <w:rsid w:val="006E61E2"/>
    <w:rsid w:val="006E72F5"/>
    <w:rsid w:val="006E7532"/>
    <w:rsid w:val="006E7635"/>
    <w:rsid w:val="006E7886"/>
    <w:rsid w:val="006F074A"/>
    <w:rsid w:val="006F1C1E"/>
    <w:rsid w:val="006F2646"/>
    <w:rsid w:val="006F2859"/>
    <w:rsid w:val="006F4086"/>
    <w:rsid w:val="006F59A0"/>
    <w:rsid w:val="007007BC"/>
    <w:rsid w:val="007015CE"/>
    <w:rsid w:val="007024EE"/>
    <w:rsid w:val="00702640"/>
    <w:rsid w:val="00702BA6"/>
    <w:rsid w:val="007032C8"/>
    <w:rsid w:val="00704413"/>
    <w:rsid w:val="0070452C"/>
    <w:rsid w:val="00705001"/>
    <w:rsid w:val="00705DB8"/>
    <w:rsid w:val="0070602D"/>
    <w:rsid w:val="007063F7"/>
    <w:rsid w:val="007069B6"/>
    <w:rsid w:val="007075EA"/>
    <w:rsid w:val="0071076E"/>
    <w:rsid w:val="00710C45"/>
    <w:rsid w:val="007110C0"/>
    <w:rsid w:val="007118DD"/>
    <w:rsid w:val="00712054"/>
    <w:rsid w:val="0071421D"/>
    <w:rsid w:val="007152ED"/>
    <w:rsid w:val="007162C8"/>
    <w:rsid w:val="00716380"/>
    <w:rsid w:val="00717284"/>
    <w:rsid w:val="007176C3"/>
    <w:rsid w:val="0072104B"/>
    <w:rsid w:val="007219B2"/>
    <w:rsid w:val="007221EC"/>
    <w:rsid w:val="00723718"/>
    <w:rsid w:val="007241A4"/>
    <w:rsid w:val="00725AF4"/>
    <w:rsid w:val="00726220"/>
    <w:rsid w:val="00726993"/>
    <w:rsid w:val="00726C4E"/>
    <w:rsid w:val="007279AC"/>
    <w:rsid w:val="007303E4"/>
    <w:rsid w:val="00732131"/>
    <w:rsid w:val="00732E50"/>
    <w:rsid w:val="00733B4E"/>
    <w:rsid w:val="00735C6A"/>
    <w:rsid w:val="00735DDC"/>
    <w:rsid w:val="00736028"/>
    <w:rsid w:val="0073610A"/>
    <w:rsid w:val="00740A0C"/>
    <w:rsid w:val="00740C77"/>
    <w:rsid w:val="007429E8"/>
    <w:rsid w:val="00743329"/>
    <w:rsid w:val="00744370"/>
    <w:rsid w:val="00744EC9"/>
    <w:rsid w:val="007464D0"/>
    <w:rsid w:val="00746EFC"/>
    <w:rsid w:val="00747B0D"/>
    <w:rsid w:val="00750565"/>
    <w:rsid w:val="00752F3C"/>
    <w:rsid w:val="00752F5F"/>
    <w:rsid w:val="00753D76"/>
    <w:rsid w:val="0075466D"/>
    <w:rsid w:val="00754EF5"/>
    <w:rsid w:val="00757059"/>
    <w:rsid w:val="007600A9"/>
    <w:rsid w:val="007604A2"/>
    <w:rsid w:val="007609B7"/>
    <w:rsid w:val="00761BCB"/>
    <w:rsid w:val="00762024"/>
    <w:rsid w:val="00762BDD"/>
    <w:rsid w:val="00763A80"/>
    <w:rsid w:val="00763E9E"/>
    <w:rsid w:val="00765A6F"/>
    <w:rsid w:val="00765CBC"/>
    <w:rsid w:val="007661C6"/>
    <w:rsid w:val="0077130C"/>
    <w:rsid w:val="00772AE1"/>
    <w:rsid w:val="007734E4"/>
    <w:rsid w:val="0077397A"/>
    <w:rsid w:val="00773DDF"/>
    <w:rsid w:val="00775958"/>
    <w:rsid w:val="00776002"/>
    <w:rsid w:val="00776293"/>
    <w:rsid w:val="00776F4C"/>
    <w:rsid w:val="00777C0B"/>
    <w:rsid w:val="00781546"/>
    <w:rsid w:val="007815FC"/>
    <w:rsid w:val="00783BB3"/>
    <w:rsid w:val="00785257"/>
    <w:rsid w:val="00785FC7"/>
    <w:rsid w:val="0078615F"/>
    <w:rsid w:val="007868ED"/>
    <w:rsid w:val="00790680"/>
    <w:rsid w:val="00790E0E"/>
    <w:rsid w:val="007914E5"/>
    <w:rsid w:val="00793E91"/>
    <w:rsid w:val="00794842"/>
    <w:rsid w:val="00794A0E"/>
    <w:rsid w:val="00794E77"/>
    <w:rsid w:val="00794F3A"/>
    <w:rsid w:val="00797329"/>
    <w:rsid w:val="007A0090"/>
    <w:rsid w:val="007A0689"/>
    <w:rsid w:val="007A21D9"/>
    <w:rsid w:val="007A21E8"/>
    <w:rsid w:val="007A3364"/>
    <w:rsid w:val="007A5F45"/>
    <w:rsid w:val="007A7039"/>
    <w:rsid w:val="007B02DC"/>
    <w:rsid w:val="007B07E4"/>
    <w:rsid w:val="007B23E7"/>
    <w:rsid w:val="007B36FC"/>
    <w:rsid w:val="007B3F7C"/>
    <w:rsid w:val="007B4E17"/>
    <w:rsid w:val="007B50E0"/>
    <w:rsid w:val="007B5EA4"/>
    <w:rsid w:val="007B6A95"/>
    <w:rsid w:val="007C1DBC"/>
    <w:rsid w:val="007C1E95"/>
    <w:rsid w:val="007C30B3"/>
    <w:rsid w:val="007C4331"/>
    <w:rsid w:val="007C4595"/>
    <w:rsid w:val="007C5FAC"/>
    <w:rsid w:val="007C6D58"/>
    <w:rsid w:val="007C72E0"/>
    <w:rsid w:val="007C79FA"/>
    <w:rsid w:val="007D1095"/>
    <w:rsid w:val="007D128F"/>
    <w:rsid w:val="007D2889"/>
    <w:rsid w:val="007D2FD5"/>
    <w:rsid w:val="007D3B2E"/>
    <w:rsid w:val="007D3CA2"/>
    <w:rsid w:val="007D4114"/>
    <w:rsid w:val="007D647E"/>
    <w:rsid w:val="007D6485"/>
    <w:rsid w:val="007E096D"/>
    <w:rsid w:val="007E215F"/>
    <w:rsid w:val="007E23E7"/>
    <w:rsid w:val="007E3307"/>
    <w:rsid w:val="007E3BCC"/>
    <w:rsid w:val="007E4826"/>
    <w:rsid w:val="007E5E5B"/>
    <w:rsid w:val="007E6A1F"/>
    <w:rsid w:val="007F06D5"/>
    <w:rsid w:val="007F0A4B"/>
    <w:rsid w:val="007F198D"/>
    <w:rsid w:val="007F2812"/>
    <w:rsid w:val="007F46DE"/>
    <w:rsid w:val="007F48BE"/>
    <w:rsid w:val="007F4F37"/>
    <w:rsid w:val="007F7742"/>
    <w:rsid w:val="007F7A4F"/>
    <w:rsid w:val="007F7DAD"/>
    <w:rsid w:val="00800338"/>
    <w:rsid w:val="00800F37"/>
    <w:rsid w:val="00800F41"/>
    <w:rsid w:val="008010C0"/>
    <w:rsid w:val="00801712"/>
    <w:rsid w:val="0080310E"/>
    <w:rsid w:val="0080352C"/>
    <w:rsid w:val="008108F3"/>
    <w:rsid w:val="00811A4A"/>
    <w:rsid w:val="00811FB4"/>
    <w:rsid w:val="008127BD"/>
    <w:rsid w:val="00813DA8"/>
    <w:rsid w:val="00815038"/>
    <w:rsid w:val="00815DDB"/>
    <w:rsid w:val="00816E53"/>
    <w:rsid w:val="00821E2A"/>
    <w:rsid w:val="00822925"/>
    <w:rsid w:val="008229DD"/>
    <w:rsid w:val="00822DF0"/>
    <w:rsid w:val="00823402"/>
    <w:rsid w:val="008261F2"/>
    <w:rsid w:val="008265AC"/>
    <w:rsid w:val="0083058A"/>
    <w:rsid w:val="00830797"/>
    <w:rsid w:val="00831010"/>
    <w:rsid w:val="00831BEA"/>
    <w:rsid w:val="00831F81"/>
    <w:rsid w:val="00832A75"/>
    <w:rsid w:val="008332EE"/>
    <w:rsid w:val="00834766"/>
    <w:rsid w:val="00834AE0"/>
    <w:rsid w:val="00836673"/>
    <w:rsid w:val="00836D5D"/>
    <w:rsid w:val="00837F54"/>
    <w:rsid w:val="00840111"/>
    <w:rsid w:val="008406E5"/>
    <w:rsid w:val="00840D75"/>
    <w:rsid w:val="008411D8"/>
    <w:rsid w:val="0084163A"/>
    <w:rsid w:val="0084167D"/>
    <w:rsid w:val="0084473F"/>
    <w:rsid w:val="0084713A"/>
    <w:rsid w:val="00847965"/>
    <w:rsid w:val="008505A6"/>
    <w:rsid w:val="008507CC"/>
    <w:rsid w:val="008507F2"/>
    <w:rsid w:val="00851D0F"/>
    <w:rsid w:val="00855ACD"/>
    <w:rsid w:val="00855E1B"/>
    <w:rsid w:val="00856199"/>
    <w:rsid w:val="00857DB1"/>
    <w:rsid w:val="008608B0"/>
    <w:rsid w:val="00860A66"/>
    <w:rsid w:val="00860AB6"/>
    <w:rsid w:val="00860D01"/>
    <w:rsid w:val="008614DF"/>
    <w:rsid w:val="00861664"/>
    <w:rsid w:val="00861F1C"/>
    <w:rsid w:val="00862673"/>
    <w:rsid w:val="0086293A"/>
    <w:rsid w:val="008629BA"/>
    <w:rsid w:val="00862EC3"/>
    <w:rsid w:val="0086333C"/>
    <w:rsid w:val="00863933"/>
    <w:rsid w:val="00865642"/>
    <w:rsid w:val="00865EEC"/>
    <w:rsid w:val="00866988"/>
    <w:rsid w:val="00866DD2"/>
    <w:rsid w:val="00867C06"/>
    <w:rsid w:val="008709D2"/>
    <w:rsid w:val="008710D4"/>
    <w:rsid w:val="0087289B"/>
    <w:rsid w:val="00873E54"/>
    <w:rsid w:val="008751A0"/>
    <w:rsid w:val="00876022"/>
    <w:rsid w:val="00876983"/>
    <w:rsid w:val="00877E7F"/>
    <w:rsid w:val="00880FEB"/>
    <w:rsid w:val="008820E6"/>
    <w:rsid w:val="008829CF"/>
    <w:rsid w:val="00882E54"/>
    <w:rsid w:val="0088426C"/>
    <w:rsid w:val="0088487B"/>
    <w:rsid w:val="008856BA"/>
    <w:rsid w:val="008865BC"/>
    <w:rsid w:val="00886691"/>
    <w:rsid w:val="00887BA3"/>
    <w:rsid w:val="00887D40"/>
    <w:rsid w:val="00890BE8"/>
    <w:rsid w:val="008919DE"/>
    <w:rsid w:val="00892AC9"/>
    <w:rsid w:val="00893613"/>
    <w:rsid w:val="00894D93"/>
    <w:rsid w:val="0089684D"/>
    <w:rsid w:val="0089723B"/>
    <w:rsid w:val="008A0609"/>
    <w:rsid w:val="008A13FE"/>
    <w:rsid w:val="008A267C"/>
    <w:rsid w:val="008A313E"/>
    <w:rsid w:val="008A3321"/>
    <w:rsid w:val="008A4D61"/>
    <w:rsid w:val="008A5623"/>
    <w:rsid w:val="008A6359"/>
    <w:rsid w:val="008A76D8"/>
    <w:rsid w:val="008A7998"/>
    <w:rsid w:val="008B022F"/>
    <w:rsid w:val="008B2042"/>
    <w:rsid w:val="008B2325"/>
    <w:rsid w:val="008B2DD6"/>
    <w:rsid w:val="008B306D"/>
    <w:rsid w:val="008B5460"/>
    <w:rsid w:val="008B5502"/>
    <w:rsid w:val="008B5510"/>
    <w:rsid w:val="008B6601"/>
    <w:rsid w:val="008B79EA"/>
    <w:rsid w:val="008C1173"/>
    <w:rsid w:val="008C1641"/>
    <w:rsid w:val="008C1CF0"/>
    <w:rsid w:val="008C35BC"/>
    <w:rsid w:val="008C3C60"/>
    <w:rsid w:val="008C4E63"/>
    <w:rsid w:val="008C64AD"/>
    <w:rsid w:val="008C7766"/>
    <w:rsid w:val="008D0AAC"/>
    <w:rsid w:val="008D0C93"/>
    <w:rsid w:val="008D15BB"/>
    <w:rsid w:val="008D3019"/>
    <w:rsid w:val="008D3B6A"/>
    <w:rsid w:val="008D417D"/>
    <w:rsid w:val="008D4574"/>
    <w:rsid w:val="008D4B10"/>
    <w:rsid w:val="008D5031"/>
    <w:rsid w:val="008D5511"/>
    <w:rsid w:val="008D6161"/>
    <w:rsid w:val="008D62EE"/>
    <w:rsid w:val="008E0388"/>
    <w:rsid w:val="008E1B6A"/>
    <w:rsid w:val="008E3487"/>
    <w:rsid w:val="008E3885"/>
    <w:rsid w:val="008E3A6B"/>
    <w:rsid w:val="008E5370"/>
    <w:rsid w:val="008E538A"/>
    <w:rsid w:val="008E5818"/>
    <w:rsid w:val="008E5F38"/>
    <w:rsid w:val="008E63D4"/>
    <w:rsid w:val="008E6B34"/>
    <w:rsid w:val="008F2127"/>
    <w:rsid w:val="008F38BF"/>
    <w:rsid w:val="008F45B7"/>
    <w:rsid w:val="008F6C22"/>
    <w:rsid w:val="008F7538"/>
    <w:rsid w:val="00901E6D"/>
    <w:rsid w:val="0090257A"/>
    <w:rsid w:val="0090494F"/>
    <w:rsid w:val="00904EB0"/>
    <w:rsid w:val="00906D27"/>
    <w:rsid w:val="00906F5B"/>
    <w:rsid w:val="009075D5"/>
    <w:rsid w:val="00911A00"/>
    <w:rsid w:val="00912E3B"/>
    <w:rsid w:val="00913ABF"/>
    <w:rsid w:val="009148AC"/>
    <w:rsid w:val="00915260"/>
    <w:rsid w:val="009155A6"/>
    <w:rsid w:val="00916E65"/>
    <w:rsid w:val="00917058"/>
    <w:rsid w:val="00917706"/>
    <w:rsid w:val="00920A06"/>
    <w:rsid w:val="00920A43"/>
    <w:rsid w:val="00921080"/>
    <w:rsid w:val="00921386"/>
    <w:rsid w:val="00921CD2"/>
    <w:rsid w:val="0092203B"/>
    <w:rsid w:val="00922642"/>
    <w:rsid w:val="0092398B"/>
    <w:rsid w:val="00923BBD"/>
    <w:rsid w:val="009242CA"/>
    <w:rsid w:val="00926610"/>
    <w:rsid w:val="00927F24"/>
    <w:rsid w:val="00930200"/>
    <w:rsid w:val="0093226A"/>
    <w:rsid w:val="0093287C"/>
    <w:rsid w:val="00932B0D"/>
    <w:rsid w:val="00934846"/>
    <w:rsid w:val="00935C57"/>
    <w:rsid w:val="0093626E"/>
    <w:rsid w:val="00936371"/>
    <w:rsid w:val="00936436"/>
    <w:rsid w:val="00937F56"/>
    <w:rsid w:val="00940276"/>
    <w:rsid w:val="00941460"/>
    <w:rsid w:val="0094240F"/>
    <w:rsid w:val="00943089"/>
    <w:rsid w:val="00945290"/>
    <w:rsid w:val="00946AE6"/>
    <w:rsid w:val="00946FA4"/>
    <w:rsid w:val="00947FE4"/>
    <w:rsid w:val="009502B8"/>
    <w:rsid w:val="00951E4C"/>
    <w:rsid w:val="009527F3"/>
    <w:rsid w:val="0095357E"/>
    <w:rsid w:val="00953CCB"/>
    <w:rsid w:val="00953D57"/>
    <w:rsid w:val="00953EF2"/>
    <w:rsid w:val="009540DC"/>
    <w:rsid w:val="00954764"/>
    <w:rsid w:val="009548A1"/>
    <w:rsid w:val="00956CD1"/>
    <w:rsid w:val="00957874"/>
    <w:rsid w:val="00957BE5"/>
    <w:rsid w:val="00960EC1"/>
    <w:rsid w:val="00961B1D"/>
    <w:rsid w:val="00963313"/>
    <w:rsid w:val="00963B6E"/>
    <w:rsid w:val="0096495C"/>
    <w:rsid w:val="00964BBF"/>
    <w:rsid w:val="009653C5"/>
    <w:rsid w:val="0096568F"/>
    <w:rsid w:val="00966D13"/>
    <w:rsid w:val="00971EFF"/>
    <w:rsid w:val="00972E9A"/>
    <w:rsid w:val="00974C67"/>
    <w:rsid w:val="009760B7"/>
    <w:rsid w:val="009772DE"/>
    <w:rsid w:val="00980CF7"/>
    <w:rsid w:val="0098151B"/>
    <w:rsid w:val="00982F64"/>
    <w:rsid w:val="00983E7B"/>
    <w:rsid w:val="00984293"/>
    <w:rsid w:val="00984640"/>
    <w:rsid w:val="009848B3"/>
    <w:rsid w:val="00987495"/>
    <w:rsid w:val="00987932"/>
    <w:rsid w:val="00987E40"/>
    <w:rsid w:val="00990B06"/>
    <w:rsid w:val="00991B78"/>
    <w:rsid w:val="00991B97"/>
    <w:rsid w:val="009957C6"/>
    <w:rsid w:val="00997219"/>
    <w:rsid w:val="009A1E6A"/>
    <w:rsid w:val="009A1F1A"/>
    <w:rsid w:val="009A226F"/>
    <w:rsid w:val="009A3DDE"/>
    <w:rsid w:val="009A4D3A"/>
    <w:rsid w:val="009A65CA"/>
    <w:rsid w:val="009A6CC8"/>
    <w:rsid w:val="009B2749"/>
    <w:rsid w:val="009B27A2"/>
    <w:rsid w:val="009B28EF"/>
    <w:rsid w:val="009B2C84"/>
    <w:rsid w:val="009B4312"/>
    <w:rsid w:val="009B52CD"/>
    <w:rsid w:val="009B67A4"/>
    <w:rsid w:val="009B6C04"/>
    <w:rsid w:val="009C026F"/>
    <w:rsid w:val="009C0F3E"/>
    <w:rsid w:val="009C2B33"/>
    <w:rsid w:val="009C3F4C"/>
    <w:rsid w:val="009C4DAA"/>
    <w:rsid w:val="009C57C8"/>
    <w:rsid w:val="009C584D"/>
    <w:rsid w:val="009C5A68"/>
    <w:rsid w:val="009C5B6A"/>
    <w:rsid w:val="009C6532"/>
    <w:rsid w:val="009C6B60"/>
    <w:rsid w:val="009C7DE9"/>
    <w:rsid w:val="009D08EB"/>
    <w:rsid w:val="009D2C23"/>
    <w:rsid w:val="009D322C"/>
    <w:rsid w:val="009D4C28"/>
    <w:rsid w:val="009D5C5A"/>
    <w:rsid w:val="009D6002"/>
    <w:rsid w:val="009D775D"/>
    <w:rsid w:val="009E1E2A"/>
    <w:rsid w:val="009E34BB"/>
    <w:rsid w:val="009E4CC7"/>
    <w:rsid w:val="009E5D45"/>
    <w:rsid w:val="009F05CB"/>
    <w:rsid w:val="009F155A"/>
    <w:rsid w:val="009F183B"/>
    <w:rsid w:val="009F224E"/>
    <w:rsid w:val="009F2605"/>
    <w:rsid w:val="009F2A43"/>
    <w:rsid w:val="009F4894"/>
    <w:rsid w:val="009F6713"/>
    <w:rsid w:val="009F7019"/>
    <w:rsid w:val="009F73F3"/>
    <w:rsid w:val="009F7663"/>
    <w:rsid w:val="009F7741"/>
    <w:rsid w:val="00A00FB7"/>
    <w:rsid w:val="00A048D9"/>
    <w:rsid w:val="00A04E86"/>
    <w:rsid w:val="00A05A98"/>
    <w:rsid w:val="00A06339"/>
    <w:rsid w:val="00A06777"/>
    <w:rsid w:val="00A06F79"/>
    <w:rsid w:val="00A0740D"/>
    <w:rsid w:val="00A07F40"/>
    <w:rsid w:val="00A10B6D"/>
    <w:rsid w:val="00A1179E"/>
    <w:rsid w:val="00A11B24"/>
    <w:rsid w:val="00A11CA1"/>
    <w:rsid w:val="00A11D93"/>
    <w:rsid w:val="00A12466"/>
    <w:rsid w:val="00A1328D"/>
    <w:rsid w:val="00A134DF"/>
    <w:rsid w:val="00A13550"/>
    <w:rsid w:val="00A13C6C"/>
    <w:rsid w:val="00A14795"/>
    <w:rsid w:val="00A14F0A"/>
    <w:rsid w:val="00A16D04"/>
    <w:rsid w:val="00A17B9D"/>
    <w:rsid w:val="00A20542"/>
    <w:rsid w:val="00A20BD5"/>
    <w:rsid w:val="00A20F46"/>
    <w:rsid w:val="00A213DD"/>
    <w:rsid w:val="00A21C0B"/>
    <w:rsid w:val="00A21F0B"/>
    <w:rsid w:val="00A23AF6"/>
    <w:rsid w:val="00A2404F"/>
    <w:rsid w:val="00A25312"/>
    <w:rsid w:val="00A2670B"/>
    <w:rsid w:val="00A26E77"/>
    <w:rsid w:val="00A2734B"/>
    <w:rsid w:val="00A27D0A"/>
    <w:rsid w:val="00A3198C"/>
    <w:rsid w:val="00A321C4"/>
    <w:rsid w:val="00A37449"/>
    <w:rsid w:val="00A403C7"/>
    <w:rsid w:val="00A40784"/>
    <w:rsid w:val="00A4218B"/>
    <w:rsid w:val="00A42549"/>
    <w:rsid w:val="00A432B7"/>
    <w:rsid w:val="00A44C9D"/>
    <w:rsid w:val="00A45109"/>
    <w:rsid w:val="00A45846"/>
    <w:rsid w:val="00A46111"/>
    <w:rsid w:val="00A46BEF"/>
    <w:rsid w:val="00A47E65"/>
    <w:rsid w:val="00A5082E"/>
    <w:rsid w:val="00A50AEC"/>
    <w:rsid w:val="00A51049"/>
    <w:rsid w:val="00A51A0C"/>
    <w:rsid w:val="00A51D40"/>
    <w:rsid w:val="00A52473"/>
    <w:rsid w:val="00A52C20"/>
    <w:rsid w:val="00A53436"/>
    <w:rsid w:val="00A54231"/>
    <w:rsid w:val="00A55EAC"/>
    <w:rsid w:val="00A562D6"/>
    <w:rsid w:val="00A566DF"/>
    <w:rsid w:val="00A568EC"/>
    <w:rsid w:val="00A577A7"/>
    <w:rsid w:val="00A60500"/>
    <w:rsid w:val="00A612D1"/>
    <w:rsid w:val="00A61EEA"/>
    <w:rsid w:val="00A62087"/>
    <w:rsid w:val="00A63F20"/>
    <w:rsid w:val="00A64AE1"/>
    <w:rsid w:val="00A64C97"/>
    <w:rsid w:val="00A64F33"/>
    <w:rsid w:val="00A655E4"/>
    <w:rsid w:val="00A65E34"/>
    <w:rsid w:val="00A70E35"/>
    <w:rsid w:val="00A712A6"/>
    <w:rsid w:val="00A714F6"/>
    <w:rsid w:val="00A71721"/>
    <w:rsid w:val="00A71D56"/>
    <w:rsid w:val="00A72852"/>
    <w:rsid w:val="00A73A26"/>
    <w:rsid w:val="00A73BB7"/>
    <w:rsid w:val="00A760C7"/>
    <w:rsid w:val="00A768DF"/>
    <w:rsid w:val="00A76C68"/>
    <w:rsid w:val="00A76F5F"/>
    <w:rsid w:val="00A7757F"/>
    <w:rsid w:val="00A80087"/>
    <w:rsid w:val="00A81707"/>
    <w:rsid w:val="00A833E4"/>
    <w:rsid w:val="00A8457A"/>
    <w:rsid w:val="00A84B41"/>
    <w:rsid w:val="00A85570"/>
    <w:rsid w:val="00A85C3E"/>
    <w:rsid w:val="00A862E2"/>
    <w:rsid w:val="00A86FF0"/>
    <w:rsid w:val="00A9048F"/>
    <w:rsid w:val="00A918F3"/>
    <w:rsid w:val="00A919A0"/>
    <w:rsid w:val="00A91A54"/>
    <w:rsid w:val="00A93ACA"/>
    <w:rsid w:val="00A94EF7"/>
    <w:rsid w:val="00A9511A"/>
    <w:rsid w:val="00A95E02"/>
    <w:rsid w:val="00A96AEA"/>
    <w:rsid w:val="00AA1A34"/>
    <w:rsid w:val="00AA2493"/>
    <w:rsid w:val="00AA4718"/>
    <w:rsid w:val="00AA4B80"/>
    <w:rsid w:val="00AA523B"/>
    <w:rsid w:val="00AA5EA7"/>
    <w:rsid w:val="00AA61F2"/>
    <w:rsid w:val="00AA6C3B"/>
    <w:rsid w:val="00AA740D"/>
    <w:rsid w:val="00AB0452"/>
    <w:rsid w:val="00AB36B3"/>
    <w:rsid w:val="00AB3C74"/>
    <w:rsid w:val="00AB4201"/>
    <w:rsid w:val="00AB4A73"/>
    <w:rsid w:val="00AB4E06"/>
    <w:rsid w:val="00AB52C0"/>
    <w:rsid w:val="00AB5AC3"/>
    <w:rsid w:val="00AB5F46"/>
    <w:rsid w:val="00AB616A"/>
    <w:rsid w:val="00AB70F7"/>
    <w:rsid w:val="00AB763B"/>
    <w:rsid w:val="00AB76D9"/>
    <w:rsid w:val="00AC0724"/>
    <w:rsid w:val="00AC1282"/>
    <w:rsid w:val="00AC14E5"/>
    <w:rsid w:val="00AC2BFA"/>
    <w:rsid w:val="00AC3CF8"/>
    <w:rsid w:val="00AC42BC"/>
    <w:rsid w:val="00AC437A"/>
    <w:rsid w:val="00AC472A"/>
    <w:rsid w:val="00AC63E0"/>
    <w:rsid w:val="00AC63EA"/>
    <w:rsid w:val="00AD2B83"/>
    <w:rsid w:val="00AD4D27"/>
    <w:rsid w:val="00AD4DE2"/>
    <w:rsid w:val="00AD623D"/>
    <w:rsid w:val="00AD631A"/>
    <w:rsid w:val="00AD7B24"/>
    <w:rsid w:val="00AE571C"/>
    <w:rsid w:val="00AE62A5"/>
    <w:rsid w:val="00AE6910"/>
    <w:rsid w:val="00AE7B41"/>
    <w:rsid w:val="00AF1684"/>
    <w:rsid w:val="00AF4A09"/>
    <w:rsid w:val="00AF5CE8"/>
    <w:rsid w:val="00AF7C3D"/>
    <w:rsid w:val="00B000D7"/>
    <w:rsid w:val="00B00B10"/>
    <w:rsid w:val="00B01B44"/>
    <w:rsid w:val="00B021A9"/>
    <w:rsid w:val="00B03700"/>
    <w:rsid w:val="00B04632"/>
    <w:rsid w:val="00B054C2"/>
    <w:rsid w:val="00B07D25"/>
    <w:rsid w:val="00B108F9"/>
    <w:rsid w:val="00B1198F"/>
    <w:rsid w:val="00B119C8"/>
    <w:rsid w:val="00B11D24"/>
    <w:rsid w:val="00B12F4B"/>
    <w:rsid w:val="00B13F29"/>
    <w:rsid w:val="00B14D5F"/>
    <w:rsid w:val="00B15210"/>
    <w:rsid w:val="00B1529C"/>
    <w:rsid w:val="00B1556D"/>
    <w:rsid w:val="00B15853"/>
    <w:rsid w:val="00B1691B"/>
    <w:rsid w:val="00B1696B"/>
    <w:rsid w:val="00B2039F"/>
    <w:rsid w:val="00B20EC5"/>
    <w:rsid w:val="00B20F36"/>
    <w:rsid w:val="00B218D7"/>
    <w:rsid w:val="00B21B9C"/>
    <w:rsid w:val="00B2238B"/>
    <w:rsid w:val="00B224DE"/>
    <w:rsid w:val="00B236B0"/>
    <w:rsid w:val="00B237CA"/>
    <w:rsid w:val="00B24371"/>
    <w:rsid w:val="00B25170"/>
    <w:rsid w:val="00B25CB1"/>
    <w:rsid w:val="00B26646"/>
    <w:rsid w:val="00B26EEF"/>
    <w:rsid w:val="00B30149"/>
    <w:rsid w:val="00B30243"/>
    <w:rsid w:val="00B3029A"/>
    <w:rsid w:val="00B30A33"/>
    <w:rsid w:val="00B3166A"/>
    <w:rsid w:val="00B33628"/>
    <w:rsid w:val="00B33720"/>
    <w:rsid w:val="00B33F13"/>
    <w:rsid w:val="00B347C5"/>
    <w:rsid w:val="00B3653B"/>
    <w:rsid w:val="00B37F92"/>
    <w:rsid w:val="00B409A4"/>
    <w:rsid w:val="00B4212D"/>
    <w:rsid w:val="00B43821"/>
    <w:rsid w:val="00B458EE"/>
    <w:rsid w:val="00B45C2B"/>
    <w:rsid w:val="00B46D39"/>
    <w:rsid w:val="00B50428"/>
    <w:rsid w:val="00B505FB"/>
    <w:rsid w:val="00B50685"/>
    <w:rsid w:val="00B51055"/>
    <w:rsid w:val="00B510E5"/>
    <w:rsid w:val="00B5277C"/>
    <w:rsid w:val="00B52A4E"/>
    <w:rsid w:val="00B52D18"/>
    <w:rsid w:val="00B53642"/>
    <w:rsid w:val="00B53651"/>
    <w:rsid w:val="00B53667"/>
    <w:rsid w:val="00B53DC3"/>
    <w:rsid w:val="00B55E8E"/>
    <w:rsid w:val="00B567C1"/>
    <w:rsid w:val="00B56F54"/>
    <w:rsid w:val="00B57BA5"/>
    <w:rsid w:val="00B57DAC"/>
    <w:rsid w:val="00B62742"/>
    <w:rsid w:val="00B630F5"/>
    <w:rsid w:val="00B63A3D"/>
    <w:rsid w:val="00B63B96"/>
    <w:rsid w:val="00B640EC"/>
    <w:rsid w:val="00B6568E"/>
    <w:rsid w:val="00B65A03"/>
    <w:rsid w:val="00B662A3"/>
    <w:rsid w:val="00B703C5"/>
    <w:rsid w:val="00B7328B"/>
    <w:rsid w:val="00B74502"/>
    <w:rsid w:val="00B751E6"/>
    <w:rsid w:val="00B75C88"/>
    <w:rsid w:val="00B7602C"/>
    <w:rsid w:val="00B760AA"/>
    <w:rsid w:val="00B7693B"/>
    <w:rsid w:val="00B802C2"/>
    <w:rsid w:val="00B806AD"/>
    <w:rsid w:val="00B81DCF"/>
    <w:rsid w:val="00B82219"/>
    <w:rsid w:val="00B83215"/>
    <w:rsid w:val="00B83B96"/>
    <w:rsid w:val="00B843F6"/>
    <w:rsid w:val="00B85063"/>
    <w:rsid w:val="00B85285"/>
    <w:rsid w:val="00B85F7F"/>
    <w:rsid w:val="00B872EB"/>
    <w:rsid w:val="00B90A33"/>
    <w:rsid w:val="00B917CE"/>
    <w:rsid w:val="00B920D2"/>
    <w:rsid w:val="00B923E4"/>
    <w:rsid w:val="00B93489"/>
    <w:rsid w:val="00B93EA7"/>
    <w:rsid w:val="00B94371"/>
    <w:rsid w:val="00B950A9"/>
    <w:rsid w:val="00B950E3"/>
    <w:rsid w:val="00B96B64"/>
    <w:rsid w:val="00B9722E"/>
    <w:rsid w:val="00B97448"/>
    <w:rsid w:val="00B97484"/>
    <w:rsid w:val="00BA0478"/>
    <w:rsid w:val="00BA06F1"/>
    <w:rsid w:val="00BA1307"/>
    <w:rsid w:val="00BA139B"/>
    <w:rsid w:val="00BA23FF"/>
    <w:rsid w:val="00BA3DAB"/>
    <w:rsid w:val="00BA5610"/>
    <w:rsid w:val="00BA64AB"/>
    <w:rsid w:val="00BA6672"/>
    <w:rsid w:val="00BA7A59"/>
    <w:rsid w:val="00BB3F6C"/>
    <w:rsid w:val="00BB5246"/>
    <w:rsid w:val="00BB5CFB"/>
    <w:rsid w:val="00BB68A3"/>
    <w:rsid w:val="00BC051A"/>
    <w:rsid w:val="00BC16BB"/>
    <w:rsid w:val="00BC29C0"/>
    <w:rsid w:val="00BC3302"/>
    <w:rsid w:val="00BC44BF"/>
    <w:rsid w:val="00BC5339"/>
    <w:rsid w:val="00BC57E2"/>
    <w:rsid w:val="00BC62FA"/>
    <w:rsid w:val="00BC6DCF"/>
    <w:rsid w:val="00BC79AA"/>
    <w:rsid w:val="00BD04CB"/>
    <w:rsid w:val="00BD1E8F"/>
    <w:rsid w:val="00BD4A33"/>
    <w:rsid w:val="00BD56C9"/>
    <w:rsid w:val="00BD5B34"/>
    <w:rsid w:val="00BD690F"/>
    <w:rsid w:val="00BD7686"/>
    <w:rsid w:val="00BE080E"/>
    <w:rsid w:val="00BE2213"/>
    <w:rsid w:val="00BE4BB7"/>
    <w:rsid w:val="00BE70EB"/>
    <w:rsid w:val="00BE746E"/>
    <w:rsid w:val="00BE78D3"/>
    <w:rsid w:val="00BE7E5D"/>
    <w:rsid w:val="00BF1475"/>
    <w:rsid w:val="00BF2726"/>
    <w:rsid w:val="00BF4551"/>
    <w:rsid w:val="00BF71A4"/>
    <w:rsid w:val="00BF7FCB"/>
    <w:rsid w:val="00C00BB2"/>
    <w:rsid w:val="00C00F16"/>
    <w:rsid w:val="00C0166B"/>
    <w:rsid w:val="00C030B5"/>
    <w:rsid w:val="00C03DAF"/>
    <w:rsid w:val="00C03EE1"/>
    <w:rsid w:val="00C040ED"/>
    <w:rsid w:val="00C06234"/>
    <w:rsid w:val="00C06DBD"/>
    <w:rsid w:val="00C108F5"/>
    <w:rsid w:val="00C10C9D"/>
    <w:rsid w:val="00C1291F"/>
    <w:rsid w:val="00C13148"/>
    <w:rsid w:val="00C13728"/>
    <w:rsid w:val="00C14438"/>
    <w:rsid w:val="00C14DEA"/>
    <w:rsid w:val="00C16FD2"/>
    <w:rsid w:val="00C178CB"/>
    <w:rsid w:val="00C17D14"/>
    <w:rsid w:val="00C2144E"/>
    <w:rsid w:val="00C21CA1"/>
    <w:rsid w:val="00C21F05"/>
    <w:rsid w:val="00C21FA8"/>
    <w:rsid w:val="00C2286B"/>
    <w:rsid w:val="00C23B89"/>
    <w:rsid w:val="00C245C0"/>
    <w:rsid w:val="00C252A2"/>
    <w:rsid w:val="00C25FC5"/>
    <w:rsid w:val="00C262FD"/>
    <w:rsid w:val="00C2668A"/>
    <w:rsid w:val="00C27E45"/>
    <w:rsid w:val="00C30211"/>
    <w:rsid w:val="00C32EBE"/>
    <w:rsid w:val="00C34C4A"/>
    <w:rsid w:val="00C355AF"/>
    <w:rsid w:val="00C36A82"/>
    <w:rsid w:val="00C36FF2"/>
    <w:rsid w:val="00C3707D"/>
    <w:rsid w:val="00C4178A"/>
    <w:rsid w:val="00C41FE5"/>
    <w:rsid w:val="00C43567"/>
    <w:rsid w:val="00C4700C"/>
    <w:rsid w:val="00C47402"/>
    <w:rsid w:val="00C531E9"/>
    <w:rsid w:val="00C5421B"/>
    <w:rsid w:val="00C54DE4"/>
    <w:rsid w:val="00C559C0"/>
    <w:rsid w:val="00C55D78"/>
    <w:rsid w:val="00C56F21"/>
    <w:rsid w:val="00C603D4"/>
    <w:rsid w:val="00C6172A"/>
    <w:rsid w:val="00C62131"/>
    <w:rsid w:val="00C62763"/>
    <w:rsid w:val="00C64120"/>
    <w:rsid w:val="00C65DC4"/>
    <w:rsid w:val="00C666BC"/>
    <w:rsid w:val="00C66F42"/>
    <w:rsid w:val="00C7027B"/>
    <w:rsid w:val="00C71718"/>
    <w:rsid w:val="00C72B46"/>
    <w:rsid w:val="00C72C36"/>
    <w:rsid w:val="00C72F7B"/>
    <w:rsid w:val="00C75EC8"/>
    <w:rsid w:val="00C812BF"/>
    <w:rsid w:val="00C82A95"/>
    <w:rsid w:val="00C83191"/>
    <w:rsid w:val="00C83606"/>
    <w:rsid w:val="00C850A5"/>
    <w:rsid w:val="00C851B6"/>
    <w:rsid w:val="00C85791"/>
    <w:rsid w:val="00C8744A"/>
    <w:rsid w:val="00C87BDD"/>
    <w:rsid w:val="00C9005E"/>
    <w:rsid w:val="00C905F9"/>
    <w:rsid w:val="00C91369"/>
    <w:rsid w:val="00C91506"/>
    <w:rsid w:val="00C917FA"/>
    <w:rsid w:val="00C935AA"/>
    <w:rsid w:val="00C95ADB"/>
    <w:rsid w:val="00C95B73"/>
    <w:rsid w:val="00C95E2B"/>
    <w:rsid w:val="00C96051"/>
    <w:rsid w:val="00C96CFA"/>
    <w:rsid w:val="00C97144"/>
    <w:rsid w:val="00CA3762"/>
    <w:rsid w:val="00CA38B6"/>
    <w:rsid w:val="00CA396D"/>
    <w:rsid w:val="00CA465E"/>
    <w:rsid w:val="00CA4BCE"/>
    <w:rsid w:val="00CA6B9C"/>
    <w:rsid w:val="00CA7F56"/>
    <w:rsid w:val="00CA7FE6"/>
    <w:rsid w:val="00CB14C2"/>
    <w:rsid w:val="00CB1807"/>
    <w:rsid w:val="00CB27B4"/>
    <w:rsid w:val="00CB3F3C"/>
    <w:rsid w:val="00CB542B"/>
    <w:rsid w:val="00CB57D0"/>
    <w:rsid w:val="00CB6E71"/>
    <w:rsid w:val="00CB7585"/>
    <w:rsid w:val="00CB7B2D"/>
    <w:rsid w:val="00CC02FA"/>
    <w:rsid w:val="00CC1BB1"/>
    <w:rsid w:val="00CC1CA9"/>
    <w:rsid w:val="00CC1E5C"/>
    <w:rsid w:val="00CC2643"/>
    <w:rsid w:val="00CC2758"/>
    <w:rsid w:val="00CC3CD3"/>
    <w:rsid w:val="00CC4D0B"/>
    <w:rsid w:val="00CC54F6"/>
    <w:rsid w:val="00CC5C0E"/>
    <w:rsid w:val="00CC6AD5"/>
    <w:rsid w:val="00CD1E89"/>
    <w:rsid w:val="00CD25EB"/>
    <w:rsid w:val="00CD295E"/>
    <w:rsid w:val="00CD4759"/>
    <w:rsid w:val="00CD5304"/>
    <w:rsid w:val="00CD5828"/>
    <w:rsid w:val="00CD7419"/>
    <w:rsid w:val="00CE1B4E"/>
    <w:rsid w:val="00CE2502"/>
    <w:rsid w:val="00CE2780"/>
    <w:rsid w:val="00CE5C5D"/>
    <w:rsid w:val="00CE6089"/>
    <w:rsid w:val="00CE710D"/>
    <w:rsid w:val="00CE75B4"/>
    <w:rsid w:val="00CE76AA"/>
    <w:rsid w:val="00CE7B5E"/>
    <w:rsid w:val="00CF1273"/>
    <w:rsid w:val="00CF1860"/>
    <w:rsid w:val="00CF24CA"/>
    <w:rsid w:val="00CF274D"/>
    <w:rsid w:val="00CF2C00"/>
    <w:rsid w:val="00CF4ADB"/>
    <w:rsid w:val="00CF53FE"/>
    <w:rsid w:val="00CF66C6"/>
    <w:rsid w:val="00CF7357"/>
    <w:rsid w:val="00D00EAB"/>
    <w:rsid w:val="00D01496"/>
    <w:rsid w:val="00D0180E"/>
    <w:rsid w:val="00D02891"/>
    <w:rsid w:val="00D02DDF"/>
    <w:rsid w:val="00D04635"/>
    <w:rsid w:val="00D0514A"/>
    <w:rsid w:val="00D0700B"/>
    <w:rsid w:val="00D121E1"/>
    <w:rsid w:val="00D144D3"/>
    <w:rsid w:val="00D14EFE"/>
    <w:rsid w:val="00D14F27"/>
    <w:rsid w:val="00D15A28"/>
    <w:rsid w:val="00D1781B"/>
    <w:rsid w:val="00D17B5B"/>
    <w:rsid w:val="00D17D69"/>
    <w:rsid w:val="00D20727"/>
    <w:rsid w:val="00D2142C"/>
    <w:rsid w:val="00D23DF1"/>
    <w:rsid w:val="00D27638"/>
    <w:rsid w:val="00D279BE"/>
    <w:rsid w:val="00D27E37"/>
    <w:rsid w:val="00D316DC"/>
    <w:rsid w:val="00D32BCD"/>
    <w:rsid w:val="00D32ED5"/>
    <w:rsid w:val="00D34608"/>
    <w:rsid w:val="00D352E7"/>
    <w:rsid w:val="00D35BEB"/>
    <w:rsid w:val="00D36229"/>
    <w:rsid w:val="00D37635"/>
    <w:rsid w:val="00D37945"/>
    <w:rsid w:val="00D37D6F"/>
    <w:rsid w:val="00D37E65"/>
    <w:rsid w:val="00D4034E"/>
    <w:rsid w:val="00D40430"/>
    <w:rsid w:val="00D40FB6"/>
    <w:rsid w:val="00D41421"/>
    <w:rsid w:val="00D42CC3"/>
    <w:rsid w:val="00D435D2"/>
    <w:rsid w:val="00D43CB0"/>
    <w:rsid w:val="00D4466C"/>
    <w:rsid w:val="00D4493A"/>
    <w:rsid w:val="00D456DC"/>
    <w:rsid w:val="00D45BB2"/>
    <w:rsid w:val="00D46535"/>
    <w:rsid w:val="00D50225"/>
    <w:rsid w:val="00D5040A"/>
    <w:rsid w:val="00D51563"/>
    <w:rsid w:val="00D54860"/>
    <w:rsid w:val="00D554E0"/>
    <w:rsid w:val="00D557D4"/>
    <w:rsid w:val="00D55BA1"/>
    <w:rsid w:val="00D55D1A"/>
    <w:rsid w:val="00D60073"/>
    <w:rsid w:val="00D61D1E"/>
    <w:rsid w:val="00D63C88"/>
    <w:rsid w:val="00D64C8E"/>
    <w:rsid w:val="00D65940"/>
    <w:rsid w:val="00D66463"/>
    <w:rsid w:val="00D7558A"/>
    <w:rsid w:val="00D7637D"/>
    <w:rsid w:val="00D76C4E"/>
    <w:rsid w:val="00D779DC"/>
    <w:rsid w:val="00D80696"/>
    <w:rsid w:val="00D81D69"/>
    <w:rsid w:val="00D83CB0"/>
    <w:rsid w:val="00D853B9"/>
    <w:rsid w:val="00D87C55"/>
    <w:rsid w:val="00D9014A"/>
    <w:rsid w:val="00D90B51"/>
    <w:rsid w:val="00D90D27"/>
    <w:rsid w:val="00D916B2"/>
    <w:rsid w:val="00D92BA7"/>
    <w:rsid w:val="00D942B0"/>
    <w:rsid w:val="00D94695"/>
    <w:rsid w:val="00D948D7"/>
    <w:rsid w:val="00D9516B"/>
    <w:rsid w:val="00D9580C"/>
    <w:rsid w:val="00D95BF8"/>
    <w:rsid w:val="00D979F7"/>
    <w:rsid w:val="00DA1EC0"/>
    <w:rsid w:val="00DA25CF"/>
    <w:rsid w:val="00DA5D4C"/>
    <w:rsid w:val="00DA6669"/>
    <w:rsid w:val="00DB0056"/>
    <w:rsid w:val="00DB02DF"/>
    <w:rsid w:val="00DB0DF4"/>
    <w:rsid w:val="00DB2104"/>
    <w:rsid w:val="00DB2999"/>
    <w:rsid w:val="00DB341A"/>
    <w:rsid w:val="00DB45A1"/>
    <w:rsid w:val="00DB4A8F"/>
    <w:rsid w:val="00DB4EEB"/>
    <w:rsid w:val="00DB51CE"/>
    <w:rsid w:val="00DB5704"/>
    <w:rsid w:val="00DB5B13"/>
    <w:rsid w:val="00DB709E"/>
    <w:rsid w:val="00DB7EC7"/>
    <w:rsid w:val="00DC109F"/>
    <w:rsid w:val="00DC11E7"/>
    <w:rsid w:val="00DC294E"/>
    <w:rsid w:val="00DC2F73"/>
    <w:rsid w:val="00DC346F"/>
    <w:rsid w:val="00DC372A"/>
    <w:rsid w:val="00DC50EE"/>
    <w:rsid w:val="00DC5211"/>
    <w:rsid w:val="00DC57D4"/>
    <w:rsid w:val="00DD0C37"/>
    <w:rsid w:val="00DD0C39"/>
    <w:rsid w:val="00DD12CF"/>
    <w:rsid w:val="00DD17DF"/>
    <w:rsid w:val="00DD1C6A"/>
    <w:rsid w:val="00DD2C5E"/>
    <w:rsid w:val="00DD4496"/>
    <w:rsid w:val="00DD5EA0"/>
    <w:rsid w:val="00DD7333"/>
    <w:rsid w:val="00DE0EC5"/>
    <w:rsid w:val="00DE220D"/>
    <w:rsid w:val="00DE476C"/>
    <w:rsid w:val="00DE544E"/>
    <w:rsid w:val="00DE67CA"/>
    <w:rsid w:val="00DE6C92"/>
    <w:rsid w:val="00DE73B8"/>
    <w:rsid w:val="00DF025C"/>
    <w:rsid w:val="00DF1320"/>
    <w:rsid w:val="00DF1A16"/>
    <w:rsid w:val="00DF1E05"/>
    <w:rsid w:val="00DF33BD"/>
    <w:rsid w:val="00DF469A"/>
    <w:rsid w:val="00DF5681"/>
    <w:rsid w:val="00DF5F0F"/>
    <w:rsid w:val="00DF6182"/>
    <w:rsid w:val="00DF69E2"/>
    <w:rsid w:val="00E00F8F"/>
    <w:rsid w:val="00E018BD"/>
    <w:rsid w:val="00E03D30"/>
    <w:rsid w:val="00E04198"/>
    <w:rsid w:val="00E0568A"/>
    <w:rsid w:val="00E05AE5"/>
    <w:rsid w:val="00E060F2"/>
    <w:rsid w:val="00E07993"/>
    <w:rsid w:val="00E12AAF"/>
    <w:rsid w:val="00E130FF"/>
    <w:rsid w:val="00E14584"/>
    <w:rsid w:val="00E14942"/>
    <w:rsid w:val="00E153E9"/>
    <w:rsid w:val="00E1561F"/>
    <w:rsid w:val="00E15B3F"/>
    <w:rsid w:val="00E15FE4"/>
    <w:rsid w:val="00E2035E"/>
    <w:rsid w:val="00E205F1"/>
    <w:rsid w:val="00E20752"/>
    <w:rsid w:val="00E20A11"/>
    <w:rsid w:val="00E20B9E"/>
    <w:rsid w:val="00E2188F"/>
    <w:rsid w:val="00E219A6"/>
    <w:rsid w:val="00E2216C"/>
    <w:rsid w:val="00E22B42"/>
    <w:rsid w:val="00E25164"/>
    <w:rsid w:val="00E25188"/>
    <w:rsid w:val="00E25FEC"/>
    <w:rsid w:val="00E26C06"/>
    <w:rsid w:val="00E31879"/>
    <w:rsid w:val="00E31A41"/>
    <w:rsid w:val="00E31C9B"/>
    <w:rsid w:val="00E339C2"/>
    <w:rsid w:val="00E34A0F"/>
    <w:rsid w:val="00E35975"/>
    <w:rsid w:val="00E36207"/>
    <w:rsid w:val="00E36309"/>
    <w:rsid w:val="00E36FC0"/>
    <w:rsid w:val="00E429FE"/>
    <w:rsid w:val="00E43D08"/>
    <w:rsid w:val="00E440EE"/>
    <w:rsid w:val="00E44A7A"/>
    <w:rsid w:val="00E44B59"/>
    <w:rsid w:val="00E45347"/>
    <w:rsid w:val="00E46225"/>
    <w:rsid w:val="00E465FB"/>
    <w:rsid w:val="00E46F1C"/>
    <w:rsid w:val="00E4739A"/>
    <w:rsid w:val="00E47FDC"/>
    <w:rsid w:val="00E50DD2"/>
    <w:rsid w:val="00E50F40"/>
    <w:rsid w:val="00E517EC"/>
    <w:rsid w:val="00E51A65"/>
    <w:rsid w:val="00E5294E"/>
    <w:rsid w:val="00E53C08"/>
    <w:rsid w:val="00E544ED"/>
    <w:rsid w:val="00E54BD2"/>
    <w:rsid w:val="00E55634"/>
    <w:rsid w:val="00E55983"/>
    <w:rsid w:val="00E6046F"/>
    <w:rsid w:val="00E61230"/>
    <w:rsid w:val="00E61518"/>
    <w:rsid w:val="00E61F09"/>
    <w:rsid w:val="00E6264C"/>
    <w:rsid w:val="00E62B14"/>
    <w:rsid w:val="00E63475"/>
    <w:rsid w:val="00E64128"/>
    <w:rsid w:val="00E643CF"/>
    <w:rsid w:val="00E6579E"/>
    <w:rsid w:val="00E673CB"/>
    <w:rsid w:val="00E67EFF"/>
    <w:rsid w:val="00E71865"/>
    <w:rsid w:val="00E7203A"/>
    <w:rsid w:val="00E726A9"/>
    <w:rsid w:val="00E72BAE"/>
    <w:rsid w:val="00E7314A"/>
    <w:rsid w:val="00E73282"/>
    <w:rsid w:val="00E733E4"/>
    <w:rsid w:val="00E74B94"/>
    <w:rsid w:val="00E76801"/>
    <w:rsid w:val="00E80092"/>
    <w:rsid w:val="00E83061"/>
    <w:rsid w:val="00E83755"/>
    <w:rsid w:val="00E840DC"/>
    <w:rsid w:val="00E84916"/>
    <w:rsid w:val="00E84980"/>
    <w:rsid w:val="00E856E8"/>
    <w:rsid w:val="00E86AE0"/>
    <w:rsid w:val="00E87628"/>
    <w:rsid w:val="00E87661"/>
    <w:rsid w:val="00E87CF4"/>
    <w:rsid w:val="00E87F7D"/>
    <w:rsid w:val="00E90BD2"/>
    <w:rsid w:val="00E91894"/>
    <w:rsid w:val="00E91B4D"/>
    <w:rsid w:val="00E92D6E"/>
    <w:rsid w:val="00E93DFA"/>
    <w:rsid w:val="00E97B63"/>
    <w:rsid w:val="00E97BF9"/>
    <w:rsid w:val="00EA0F12"/>
    <w:rsid w:val="00EA1B6F"/>
    <w:rsid w:val="00EA2108"/>
    <w:rsid w:val="00EA4451"/>
    <w:rsid w:val="00EA49C1"/>
    <w:rsid w:val="00EA5DED"/>
    <w:rsid w:val="00EA6A23"/>
    <w:rsid w:val="00EA7E82"/>
    <w:rsid w:val="00EB3AC0"/>
    <w:rsid w:val="00EB3F9B"/>
    <w:rsid w:val="00EB4345"/>
    <w:rsid w:val="00EB4457"/>
    <w:rsid w:val="00EB5C20"/>
    <w:rsid w:val="00EB64B3"/>
    <w:rsid w:val="00EB7DF4"/>
    <w:rsid w:val="00EC00BD"/>
    <w:rsid w:val="00EC02A9"/>
    <w:rsid w:val="00EC0D6F"/>
    <w:rsid w:val="00EC15FF"/>
    <w:rsid w:val="00EC1AF6"/>
    <w:rsid w:val="00EC3059"/>
    <w:rsid w:val="00EC3CB5"/>
    <w:rsid w:val="00EC414D"/>
    <w:rsid w:val="00EC41D3"/>
    <w:rsid w:val="00EC60BA"/>
    <w:rsid w:val="00EC60BF"/>
    <w:rsid w:val="00EC69FF"/>
    <w:rsid w:val="00EC6C2E"/>
    <w:rsid w:val="00ED07D0"/>
    <w:rsid w:val="00ED2F42"/>
    <w:rsid w:val="00ED3ADD"/>
    <w:rsid w:val="00ED409C"/>
    <w:rsid w:val="00ED75DC"/>
    <w:rsid w:val="00EE0C52"/>
    <w:rsid w:val="00EE21FC"/>
    <w:rsid w:val="00EE303D"/>
    <w:rsid w:val="00EE3570"/>
    <w:rsid w:val="00EE4093"/>
    <w:rsid w:val="00EE4AE0"/>
    <w:rsid w:val="00EE557C"/>
    <w:rsid w:val="00EE5C85"/>
    <w:rsid w:val="00EE5D55"/>
    <w:rsid w:val="00EE5FD6"/>
    <w:rsid w:val="00EE63CA"/>
    <w:rsid w:val="00EF18BC"/>
    <w:rsid w:val="00EF1D73"/>
    <w:rsid w:val="00EF25FE"/>
    <w:rsid w:val="00EF3E55"/>
    <w:rsid w:val="00EF3EEC"/>
    <w:rsid w:val="00EF4435"/>
    <w:rsid w:val="00EF54D4"/>
    <w:rsid w:val="00EF58A7"/>
    <w:rsid w:val="00F0037D"/>
    <w:rsid w:val="00F01220"/>
    <w:rsid w:val="00F01B04"/>
    <w:rsid w:val="00F01F85"/>
    <w:rsid w:val="00F03612"/>
    <w:rsid w:val="00F04573"/>
    <w:rsid w:val="00F111D5"/>
    <w:rsid w:val="00F11382"/>
    <w:rsid w:val="00F11978"/>
    <w:rsid w:val="00F14039"/>
    <w:rsid w:val="00F1410A"/>
    <w:rsid w:val="00F15DA3"/>
    <w:rsid w:val="00F16242"/>
    <w:rsid w:val="00F16342"/>
    <w:rsid w:val="00F16BE9"/>
    <w:rsid w:val="00F20C55"/>
    <w:rsid w:val="00F21B12"/>
    <w:rsid w:val="00F25505"/>
    <w:rsid w:val="00F273CB"/>
    <w:rsid w:val="00F27789"/>
    <w:rsid w:val="00F27AFB"/>
    <w:rsid w:val="00F3161B"/>
    <w:rsid w:val="00F33DFB"/>
    <w:rsid w:val="00F35E81"/>
    <w:rsid w:val="00F365BC"/>
    <w:rsid w:val="00F40603"/>
    <w:rsid w:val="00F408C5"/>
    <w:rsid w:val="00F40D32"/>
    <w:rsid w:val="00F40E79"/>
    <w:rsid w:val="00F4166B"/>
    <w:rsid w:val="00F41C37"/>
    <w:rsid w:val="00F4207F"/>
    <w:rsid w:val="00F44741"/>
    <w:rsid w:val="00F45727"/>
    <w:rsid w:val="00F467E2"/>
    <w:rsid w:val="00F5108B"/>
    <w:rsid w:val="00F514C9"/>
    <w:rsid w:val="00F5277A"/>
    <w:rsid w:val="00F52A53"/>
    <w:rsid w:val="00F555D8"/>
    <w:rsid w:val="00F55CF2"/>
    <w:rsid w:val="00F5652B"/>
    <w:rsid w:val="00F5669B"/>
    <w:rsid w:val="00F567B4"/>
    <w:rsid w:val="00F5777E"/>
    <w:rsid w:val="00F57C0F"/>
    <w:rsid w:val="00F60077"/>
    <w:rsid w:val="00F6235C"/>
    <w:rsid w:val="00F64919"/>
    <w:rsid w:val="00F64B4F"/>
    <w:rsid w:val="00F66391"/>
    <w:rsid w:val="00F6775E"/>
    <w:rsid w:val="00F67EF5"/>
    <w:rsid w:val="00F67F4C"/>
    <w:rsid w:val="00F71842"/>
    <w:rsid w:val="00F7278C"/>
    <w:rsid w:val="00F727B0"/>
    <w:rsid w:val="00F73657"/>
    <w:rsid w:val="00F74832"/>
    <w:rsid w:val="00F76776"/>
    <w:rsid w:val="00F778A8"/>
    <w:rsid w:val="00F80C02"/>
    <w:rsid w:val="00F81110"/>
    <w:rsid w:val="00F8255B"/>
    <w:rsid w:val="00F84315"/>
    <w:rsid w:val="00F84382"/>
    <w:rsid w:val="00F85D22"/>
    <w:rsid w:val="00F863D5"/>
    <w:rsid w:val="00F87E36"/>
    <w:rsid w:val="00F90462"/>
    <w:rsid w:val="00F90CC2"/>
    <w:rsid w:val="00F90FB9"/>
    <w:rsid w:val="00F92358"/>
    <w:rsid w:val="00F934AC"/>
    <w:rsid w:val="00F96574"/>
    <w:rsid w:val="00F9717C"/>
    <w:rsid w:val="00FA084E"/>
    <w:rsid w:val="00FA1E73"/>
    <w:rsid w:val="00FA2112"/>
    <w:rsid w:val="00FA3AE7"/>
    <w:rsid w:val="00FA4DD6"/>
    <w:rsid w:val="00FB18DC"/>
    <w:rsid w:val="00FB3BA6"/>
    <w:rsid w:val="00FB3C7D"/>
    <w:rsid w:val="00FB42CA"/>
    <w:rsid w:val="00FB5533"/>
    <w:rsid w:val="00FB558D"/>
    <w:rsid w:val="00FB57F3"/>
    <w:rsid w:val="00FB667E"/>
    <w:rsid w:val="00FC15ED"/>
    <w:rsid w:val="00FC221C"/>
    <w:rsid w:val="00FC31A9"/>
    <w:rsid w:val="00FC4D30"/>
    <w:rsid w:val="00FC65A3"/>
    <w:rsid w:val="00FC7DC8"/>
    <w:rsid w:val="00FD0236"/>
    <w:rsid w:val="00FD0263"/>
    <w:rsid w:val="00FD4FD2"/>
    <w:rsid w:val="00FD66F0"/>
    <w:rsid w:val="00FD677A"/>
    <w:rsid w:val="00FE00D5"/>
    <w:rsid w:val="00FE015D"/>
    <w:rsid w:val="00FE0DC7"/>
    <w:rsid w:val="00FE195B"/>
    <w:rsid w:val="00FE2964"/>
    <w:rsid w:val="00FE309A"/>
    <w:rsid w:val="00FE34F0"/>
    <w:rsid w:val="00FE3584"/>
    <w:rsid w:val="00FE3BEF"/>
    <w:rsid w:val="00FE4632"/>
    <w:rsid w:val="00FE7D7F"/>
    <w:rsid w:val="00FF19BD"/>
    <w:rsid w:val="00FF1E59"/>
    <w:rsid w:val="00FF338F"/>
    <w:rsid w:val="00FF4B00"/>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E8DF3F"/>
  <w15:chartTrackingRefBased/>
  <w15:docId w15:val="{D9E79591-59E5-4E21-A79E-8EEDF5EE3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91A"/>
    <w:rPr>
      <w:rFonts w:ascii="Times New Roman" w:hAnsi="Times New Roman"/>
      <w:sz w:val="22"/>
    </w:rPr>
  </w:style>
  <w:style w:type="paragraph" w:styleId="Heading1">
    <w:name w:val="heading 1"/>
    <w:basedOn w:val="Normal"/>
    <w:next w:val="Normal"/>
    <w:link w:val="Heading1Char"/>
    <w:uiPriority w:val="9"/>
    <w:qFormat/>
    <w:rsid w:val="002D0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aliases w:val="Heading 2."/>
    <w:basedOn w:val="Normal"/>
    <w:next w:val="Normal"/>
    <w:link w:val="Heading2Char"/>
    <w:uiPriority w:val="9"/>
    <w:unhideWhenUsed/>
    <w:qFormat/>
    <w:rsid w:val="002D0E69"/>
    <w:pPr>
      <w:keepNext/>
      <w:keepLines/>
      <w:spacing w:before="160" w:after="80"/>
      <w:outlineLvl w:val="1"/>
    </w:pPr>
    <w:rPr>
      <w:rFonts w:eastAsiaTheme="majorEastAsia" w:cstheme="majorBidi"/>
      <w:sz w:val="24"/>
      <w:szCs w:val="32"/>
    </w:rPr>
  </w:style>
  <w:style w:type="paragraph" w:styleId="Heading3">
    <w:name w:val="heading 3"/>
    <w:basedOn w:val="Normal"/>
    <w:next w:val="Normal"/>
    <w:link w:val="Heading3Char"/>
    <w:uiPriority w:val="9"/>
    <w:semiHidden/>
    <w:unhideWhenUsed/>
    <w:qFormat/>
    <w:rsid w:val="002D0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E69"/>
    <w:rPr>
      <w:rFonts w:asciiTheme="majorHAnsi" w:eastAsiaTheme="majorEastAsia" w:hAnsiTheme="majorHAnsi" w:cstheme="majorBidi"/>
      <w:color w:val="0F4761" w:themeColor="accent1" w:themeShade="BF"/>
      <w:sz w:val="40"/>
      <w:szCs w:val="40"/>
    </w:rPr>
  </w:style>
  <w:style w:type="character" w:customStyle="1" w:styleId="Heading2Char">
    <w:name w:val="Heading 2 Char"/>
    <w:aliases w:val="Heading 2. Char"/>
    <w:basedOn w:val="DefaultParagraphFont"/>
    <w:link w:val="Heading2"/>
    <w:uiPriority w:val="9"/>
    <w:rsid w:val="002D0E69"/>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2D0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E69"/>
    <w:rPr>
      <w:rFonts w:eastAsiaTheme="majorEastAsia" w:cstheme="majorBidi"/>
      <w:color w:val="272727" w:themeColor="text1" w:themeTint="D8"/>
    </w:rPr>
  </w:style>
  <w:style w:type="paragraph" w:styleId="Title">
    <w:name w:val="Title"/>
    <w:basedOn w:val="Normal"/>
    <w:next w:val="Normal"/>
    <w:link w:val="TitleChar"/>
    <w:uiPriority w:val="10"/>
    <w:qFormat/>
    <w:rsid w:val="002D0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E69"/>
    <w:pPr>
      <w:spacing w:before="160"/>
      <w:jc w:val="center"/>
    </w:pPr>
    <w:rPr>
      <w:i/>
      <w:iCs/>
      <w:color w:val="404040" w:themeColor="text1" w:themeTint="BF"/>
    </w:rPr>
  </w:style>
  <w:style w:type="character" w:customStyle="1" w:styleId="QuoteChar">
    <w:name w:val="Quote Char"/>
    <w:basedOn w:val="DefaultParagraphFont"/>
    <w:link w:val="Quote"/>
    <w:uiPriority w:val="29"/>
    <w:rsid w:val="002D0E69"/>
    <w:rPr>
      <w:i/>
      <w:iCs/>
      <w:color w:val="404040" w:themeColor="text1" w:themeTint="BF"/>
    </w:rPr>
  </w:style>
  <w:style w:type="paragraph" w:styleId="ListParagraph">
    <w:name w:val="List Paragraph"/>
    <w:basedOn w:val="Normal"/>
    <w:uiPriority w:val="34"/>
    <w:qFormat/>
    <w:rsid w:val="002D0E69"/>
    <w:pPr>
      <w:ind w:left="720"/>
      <w:contextualSpacing/>
    </w:pPr>
  </w:style>
  <w:style w:type="character" w:styleId="IntenseEmphasis">
    <w:name w:val="Intense Emphasis"/>
    <w:basedOn w:val="DefaultParagraphFont"/>
    <w:uiPriority w:val="21"/>
    <w:qFormat/>
    <w:rsid w:val="002D0E69"/>
    <w:rPr>
      <w:i/>
      <w:iCs/>
      <w:color w:val="0F4761" w:themeColor="accent1" w:themeShade="BF"/>
    </w:rPr>
  </w:style>
  <w:style w:type="paragraph" w:styleId="IntenseQuote">
    <w:name w:val="Intense Quote"/>
    <w:basedOn w:val="Normal"/>
    <w:next w:val="Normal"/>
    <w:link w:val="IntenseQuoteChar"/>
    <w:uiPriority w:val="30"/>
    <w:qFormat/>
    <w:rsid w:val="002D0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E69"/>
    <w:rPr>
      <w:i/>
      <w:iCs/>
      <w:color w:val="0F4761" w:themeColor="accent1" w:themeShade="BF"/>
    </w:rPr>
  </w:style>
  <w:style w:type="character" w:styleId="IntenseReference">
    <w:name w:val="Intense Reference"/>
    <w:basedOn w:val="DefaultParagraphFont"/>
    <w:uiPriority w:val="32"/>
    <w:qFormat/>
    <w:rsid w:val="002D0E69"/>
    <w:rPr>
      <w:b/>
      <w:bCs/>
      <w:smallCaps/>
      <w:color w:val="0F4761" w:themeColor="accent1" w:themeShade="BF"/>
      <w:spacing w:val="5"/>
    </w:rPr>
  </w:style>
  <w:style w:type="paragraph" w:styleId="TOCHeading">
    <w:name w:val="TOC Heading"/>
    <w:basedOn w:val="Heading1"/>
    <w:next w:val="Normal"/>
    <w:uiPriority w:val="39"/>
    <w:unhideWhenUsed/>
    <w:qFormat/>
    <w:rsid w:val="002D0E69"/>
    <w:pPr>
      <w:spacing w:before="240" w:after="0" w:line="259" w:lineRule="auto"/>
      <w:outlineLvl w:val="9"/>
    </w:pPr>
    <w:rPr>
      <w:kern w:val="0"/>
      <w:sz w:val="32"/>
      <w:szCs w:val="32"/>
      <w:lang w:eastAsia="en-US"/>
      <w14:ligatures w14:val="none"/>
    </w:rPr>
  </w:style>
  <w:style w:type="paragraph" w:customStyle="1" w:styleId="Heading">
    <w:name w:val="Heading"/>
    <w:basedOn w:val="Heading1"/>
    <w:link w:val="HeadingChar"/>
    <w:qFormat/>
    <w:rsid w:val="00677DEB"/>
    <w:rPr>
      <w:rFonts w:ascii="Times New Roman" w:hAnsi="Times New Roman"/>
      <w:b/>
      <w:color w:val="auto"/>
      <w:sz w:val="28"/>
    </w:rPr>
  </w:style>
  <w:style w:type="character" w:customStyle="1" w:styleId="HeadingChar">
    <w:name w:val="Heading Char"/>
    <w:basedOn w:val="Heading1Char"/>
    <w:link w:val="Heading"/>
    <w:rsid w:val="00677DEB"/>
    <w:rPr>
      <w:rFonts w:ascii="Times New Roman" w:eastAsiaTheme="majorEastAsia" w:hAnsi="Times New Roman" w:cstheme="majorBidi"/>
      <w:b/>
      <w:color w:val="0F4761" w:themeColor="accent1" w:themeShade="BF"/>
      <w:sz w:val="28"/>
      <w:szCs w:val="40"/>
    </w:rPr>
  </w:style>
  <w:style w:type="paragraph" w:styleId="TOC1">
    <w:name w:val="toc 1"/>
    <w:basedOn w:val="Normal"/>
    <w:next w:val="Normal"/>
    <w:autoRedefine/>
    <w:uiPriority w:val="39"/>
    <w:unhideWhenUsed/>
    <w:rsid w:val="00FD0236"/>
    <w:pPr>
      <w:tabs>
        <w:tab w:val="left" w:pos="630"/>
        <w:tab w:val="right" w:leader="dot" w:pos="9350"/>
      </w:tabs>
      <w:spacing w:before="120" w:after="0" w:line="276" w:lineRule="auto"/>
    </w:pPr>
    <w:rPr>
      <w:rFonts w:eastAsia="Times New Roman" w:cs="Times New Roman"/>
      <w:b/>
      <w:bCs/>
      <w:iCs/>
      <w:szCs w:val="22"/>
    </w:rPr>
  </w:style>
  <w:style w:type="character" w:styleId="Hyperlink">
    <w:name w:val="Hyperlink"/>
    <w:basedOn w:val="DefaultParagraphFont"/>
    <w:uiPriority w:val="99"/>
    <w:unhideWhenUsed/>
    <w:rsid w:val="00677DEB"/>
    <w:rPr>
      <w:color w:val="467886" w:themeColor="hyperlink"/>
      <w:u w:val="single"/>
    </w:rPr>
  </w:style>
  <w:style w:type="paragraph" w:styleId="TOC2">
    <w:name w:val="toc 2"/>
    <w:basedOn w:val="Normal"/>
    <w:next w:val="Normal"/>
    <w:autoRedefine/>
    <w:uiPriority w:val="39"/>
    <w:unhideWhenUsed/>
    <w:rsid w:val="00D36229"/>
    <w:pPr>
      <w:tabs>
        <w:tab w:val="left" w:pos="1100"/>
        <w:tab w:val="left" w:pos="1530"/>
        <w:tab w:val="right" w:leader="underscore" w:pos="9350"/>
      </w:tabs>
      <w:spacing w:before="120" w:after="0"/>
      <w:ind w:left="630"/>
    </w:pPr>
    <w:rPr>
      <w:rFonts w:cs="Times New Roman"/>
      <w:bCs/>
      <w:noProof/>
      <w:sz w:val="20"/>
      <w:szCs w:val="20"/>
    </w:rPr>
  </w:style>
  <w:style w:type="paragraph" w:styleId="TOC3">
    <w:name w:val="toc 3"/>
    <w:basedOn w:val="Normal"/>
    <w:next w:val="Normal"/>
    <w:autoRedefine/>
    <w:uiPriority w:val="39"/>
    <w:unhideWhenUsed/>
    <w:rsid w:val="00D36229"/>
    <w:pPr>
      <w:spacing w:after="0"/>
      <w:ind w:left="440"/>
    </w:pPr>
    <w:rPr>
      <w:sz w:val="20"/>
      <w:szCs w:val="20"/>
    </w:rPr>
  </w:style>
  <w:style w:type="paragraph" w:styleId="Header">
    <w:name w:val="header"/>
    <w:basedOn w:val="Normal"/>
    <w:link w:val="HeaderChar"/>
    <w:uiPriority w:val="99"/>
    <w:unhideWhenUsed/>
    <w:rsid w:val="000534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348D"/>
    <w:rPr>
      <w:rFonts w:ascii="Times New Roman" w:hAnsi="Times New Roman"/>
      <w:sz w:val="22"/>
    </w:rPr>
  </w:style>
  <w:style w:type="paragraph" w:styleId="Footer">
    <w:name w:val="footer"/>
    <w:basedOn w:val="Normal"/>
    <w:link w:val="FooterChar"/>
    <w:uiPriority w:val="99"/>
    <w:unhideWhenUsed/>
    <w:rsid w:val="000534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348D"/>
    <w:rPr>
      <w:rFonts w:ascii="Times New Roman" w:hAnsi="Times New Roman"/>
      <w:sz w:val="22"/>
    </w:rPr>
  </w:style>
  <w:style w:type="character" w:styleId="PlaceholderText">
    <w:name w:val="Placeholder Text"/>
    <w:basedOn w:val="DefaultParagraphFont"/>
    <w:uiPriority w:val="99"/>
    <w:semiHidden/>
    <w:rsid w:val="005308FF"/>
    <w:rPr>
      <w:color w:val="666666"/>
    </w:rPr>
  </w:style>
  <w:style w:type="paragraph" w:styleId="TOC4">
    <w:name w:val="toc 4"/>
    <w:basedOn w:val="Normal"/>
    <w:next w:val="Normal"/>
    <w:autoRedefine/>
    <w:uiPriority w:val="39"/>
    <w:unhideWhenUsed/>
    <w:rsid w:val="001D3372"/>
    <w:pPr>
      <w:spacing w:after="0"/>
      <w:ind w:left="660"/>
    </w:pPr>
    <w:rPr>
      <w:rFonts w:asciiTheme="minorHAnsi" w:hAnsiTheme="minorHAnsi"/>
      <w:sz w:val="20"/>
      <w:szCs w:val="20"/>
    </w:rPr>
  </w:style>
  <w:style w:type="paragraph" w:styleId="TOC5">
    <w:name w:val="toc 5"/>
    <w:basedOn w:val="Normal"/>
    <w:next w:val="Normal"/>
    <w:autoRedefine/>
    <w:uiPriority w:val="39"/>
    <w:unhideWhenUsed/>
    <w:rsid w:val="001D3372"/>
    <w:pPr>
      <w:spacing w:after="0"/>
      <w:ind w:left="880"/>
    </w:pPr>
    <w:rPr>
      <w:rFonts w:asciiTheme="minorHAnsi" w:hAnsiTheme="minorHAnsi"/>
      <w:sz w:val="20"/>
      <w:szCs w:val="20"/>
    </w:rPr>
  </w:style>
  <w:style w:type="paragraph" w:styleId="TOC6">
    <w:name w:val="toc 6"/>
    <w:basedOn w:val="Normal"/>
    <w:next w:val="Normal"/>
    <w:autoRedefine/>
    <w:uiPriority w:val="39"/>
    <w:unhideWhenUsed/>
    <w:rsid w:val="001D3372"/>
    <w:pPr>
      <w:spacing w:after="0"/>
      <w:ind w:left="1100"/>
    </w:pPr>
    <w:rPr>
      <w:rFonts w:asciiTheme="minorHAnsi" w:hAnsiTheme="minorHAnsi"/>
      <w:sz w:val="20"/>
      <w:szCs w:val="20"/>
    </w:rPr>
  </w:style>
  <w:style w:type="paragraph" w:styleId="TOC7">
    <w:name w:val="toc 7"/>
    <w:basedOn w:val="Normal"/>
    <w:next w:val="Normal"/>
    <w:autoRedefine/>
    <w:uiPriority w:val="39"/>
    <w:unhideWhenUsed/>
    <w:rsid w:val="001D3372"/>
    <w:pPr>
      <w:spacing w:after="0"/>
      <w:ind w:left="1320"/>
    </w:pPr>
    <w:rPr>
      <w:rFonts w:asciiTheme="minorHAnsi" w:hAnsiTheme="minorHAnsi"/>
      <w:sz w:val="20"/>
      <w:szCs w:val="20"/>
    </w:rPr>
  </w:style>
  <w:style w:type="paragraph" w:styleId="TOC8">
    <w:name w:val="toc 8"/>
    <w:basedOn w:val="Normal"/>
    <w:next w:val="Normal"/>
    <w:autoRedefine/>
    <w:uiPriority w:val="39"/>
    <w:unhideWhenUsed/>
    <w:rsid w:val="001D3372"/>
    <w:pPr>
      <w:spacing w:after="0"/>
      <w:ind w:left="1540"/>
    </w:pPr>
    <w:rPr>
      <w:rFonts w:asciiTheme="minorHAnsi" w:hAnsiTheme="minorHAnsi"/>
      <w:sz w:val="20"/>
      <w:szCs w:val="20"/>
    </w:rPr>
  </w:style>
  <w:style w:type="paragraph" w:styleId="TOC9">
    <w:name w:val="toc 9"/>
    <w:basedOn w:val="Normal"/>
    <w:next w:val="Normal"/>
    <w:autoRedefine/>
    <w:uiPriority w:val="39"/>
    <w:unhideWhenUsed/>
    <w:rsid w:val="001D3372"/>
    <w:pPr>
      <w:spacing w:after="0"/>
      <w:ind w:left="1760"/>
    </w:pPr>
    <w:rPr>
      <w:rFonts w:asciiTheme="minorHAnsi" w:hAnsiTheme="minorHAnsi"/>
      <w:sz w:val="20"/>
      <w:szCs w:val="20"/>
    </w:rPr>
  </w:style>
  <w:style w:type="table" w:styleId="TableGrid">
    <w:name w:val="Table Grid"/>
    <w:basedOn w:val="TableNormal"/>
    <w:uiPriority w:val="39"/>
    <w:rsid w:val="00A44C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D13BB"/>
    <w:rPr>
      <w:color w:val="605E5C"/>
      <w:shd w:val="clear" w:color="auto" w:fill="E1DFDD"/>
    </w:rPr>
  </w:style>
  <w:style w:type="paragraph" w:styleId="NoSpacing">
    <w:name w:val="No Spacing"/>
    <w:link w:val="NoSpacingChar"/>
    <w:uiPriority w:val="1"/>
    <w:qFormat/>
    <w:rsid w:val="00AC63EA"/>
    <w:pPr>
      <w:spacing w:after="0" w:line="240" w:lineRule="auto"/>
    </w:pPr>
    <w:rPr>
      <w:kern w:val="0"/>
      <w:sz w:val="22"/>
      <w:szCs w:val="22"/>
      <w:lang w:eastAsia="en-US"/>
      <w14:ligatures w14:val="none"/>
    </w:rPr>
  </w:style>
  <w:style w:type="character" w:customStyle="1" w:styleId="NoSpacingChar">
    <w:name w:val="No Spacing Char"/>
    <w:basedOn w:val="DefaultParagraphFont"/>
    <w:link w:val="NoSpacing"/>
    <w:uiPriority w:val="1"/>
    <w:rsid w:val="00AC63EA"/>
    <w:rPr>
      <w:kern w:val="0"/>
      <w:sz w:val="22"/>
      <w:szCs w:val="22"/>
      <w:lang w:eastAsia="en-US"/>
      <w14:ligatures w14:val="none"/>
    </w:rPr>
  </w:style>
  <w:style w:type="paragraph" w:styleId="TableofFigures">
    <w:name w:val="table of figures"/>
    <w:basedOn w:val="Normal"/>
    <w:next w:val="Normal"/>
    <w:uiPriority w:val="99"/>
    <w:unhideWhenUsed/>
    <w:rsid w:val="00124163"/>
    <w:pPr>
      <w:spacing w:after="0"/>
    </w:pPr>
  </w:style>
  <w:style w:type="paragraph" w:styleId="Caption">
    <w:name w:val="caption"/>
    <w:basedOn w:val="Normal"/>
    <w:next w:val="Normal"/>
    <w:uiPriority w:val="35"/>
    <w:unhideWhenUsed/>
    <w:qFormat/>
    <w:rsid w:val="00C62763"/>
    <w:pPr>
      <w:spacing w:after="200" w:line="240" w:lineRule="auto"/>
    </w:pPr>
    <w:rPr>
      <w:i/>
      <w:iCs/>
      <w:sz w:val="18"/>
      <w:szCs w:val="18"/>
    </w:rPr>
  </w:style>
  <w:style w:type="character" w:customStyle="1" w:styleId="katex-mathml">
    <w:name w:val="katex-mathml"/>
    <w:basedOn w:val="DefaultParagraphFont"/>
    <w:rsid w:val="00F514C9"/>
  </w:style>
  <w:style w:type="character" w:customStyle="1" w:styleId="mord">
    <w:name w:val="mord"/>
    <w:basedOn w:val="DefaultParagraphFont"/>
    <w:rsid w:val="00F514C9"/>
  </w:style>
  <w:style w:type="table" w:styleId="TableGridLight">
    <w:name w:val="Grid Table Light"/>
    <w:basedOn w:val="TableNormal"/>
    <w:uiPriority w:val="40"/>
    <w:rsid w:val="00F7365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47601">
      <w:bodyDiv w:val="1"/>
      <w:marLeft w:val="0"/>
      <w:marRight w:val="0"/>
      <w:marTop w:val="0"/>
      <w:marBottom w:val="0"/>
      <w:divBdr>
        <w:top w:val="none" w:sz="0" w:space="0" w:color="auto"/>
        <w:left w:val="none" w:sz="0" w:space="0" w:color="auto"/>
        <w:bottom w:val="none" w:sz="0" w:space="0" w:color="auto"/>
        <w:right w:val="none" w:sz="0" w:space="0" w:color="auto"/>
      </w:divBdr>
    </w:div>
    <w:div w:id="56903438">
      <w:bodyDiv w:val="1"/>
      <w:marLeft w:val="0"/>
      <w:marRight w:val="0"/>
      <w:marTop w:val="0"/>
      <w:marBottom w:val="0"/>
      <w:divBdr>
        <w:top w:val="none" w:sz="0" w:space="0" w:color="auto"/>
        <w:left w:val="none" w:sz="0" w:space="0" w:color="auto"/>
        <w:bottom w:val="none" w:sz="0" w:space="0" w:color="auto"/>
        <w:right w:val="none" w:sz="0" w:space="0" w:color="auto"/>
      </w:divBdr>
    </w:div>
    <w:div w:id="62531982">
      <w:bodyDiv w:val="1"/>
      <w:marLeft w:val="0"/>
      <w:marRight w:val="0"/>
      <w:marTop w:val="0"/>
      <w:marBottom w:val="0"/>
      <w:divBdr>
        <w:top w:val="none" w:sz="0" w:space="0" w:color="auto"/>
        <w:left w:val="none" w:sz="0" w:space="0" w:color="auto"/>
        <w:bottom w:val="none" w:sz="0" w:space="0" w:color="auto"/>
        <w:right w:val="none" w:sz="0" w:space="0" w:color="auto"/>
      </w:divBdr>
    </w:div>
    <w:div w:id="107362023">
      <w:bodyDiv w:val="1"/>
      <w:marLeft w:val="0"/>
      <w:marRight w:val="0"/>
      <w:marTop w:val="0"/>
      <w:marBottom w:val="0"/>
      <w:divBdr>
        <w:top w:val="none" w:sz="0" w:space="0" w:color="auto"/>
        <w:left w:val="none" w:sz="0" w:space="0" w:color="auto"/>
        <w:bottom w:val="none" w:sz="0" w:space="0" w:color="auto"/>
        <w:right w:val="none" w:sz="0" w:space="0" w:color="auto"/>
      </w:divBdr>
    </w:div>
    <w:div w:id="174619631">
      <w:bodyDiv w:val="1"/>
      <w:marLeft w:val="0"/>
      <w:marRight w:val="0"/>
      <w:marTop w:val="0"/>
      <w:marBottom w:val="0"/>
      <w:divBdr>
        <w:top w:val="none" w:sz="0" w:space="0" w:color="auto"/>
        <w:left w:val="none" w:sz="0" w:space="0" w:color="auto"/>
        <w:bottom w:val="none" w:sz="0" w:space="0" w:color="auto"/>
        <w:right w:val="none" w:sz="0" w:space="0" w:color="auto"/>
      </w:divBdr>
    </w:div>
    <w:div w:id="259871267">
      <w:bodyDiv w:val="1"/>
      <w:marLeft w:val="0"/>
      <w:marRight w:val="0"/>
      <w:marTop w:val="0"/>
      <w:marBottom w:val="0"/>
      <w:divBdr>
        <w:top w:val="none" w:sz="0" w:space="0" w:color="auto"/>
        <w:left w:val="none" w:sz="0" w:space="0" w:color="auto"/>
        <w:bottom w:val="none" w:sz="0" w:space="0" w:color="auto"/>
        <w:right w:val="none" w:sz="0" w:space="0" w:color="auto"/>
      </w:divBdr>
    </w:div>
    <w:div w:id="285089863">
      <w:bodyDiv w:val="1"/>
      <w:marLeft w:val="0"/>
      <w:marRight w:val="0"/>
      <w:marTop w:val="0"/>
      <w:marBottom w:val="0"/>
      <w:divBdr>
        <w:top w:val="none" w:sz="0" w:space="0" w:color="auto"/>
        <w:left w:val="none" w:sz="0" w:space="0" w:color="auto"/>
        <w:bottom w:val="none" w:sz="0" w:space="0" w:color="auto"/>
        <w:right w:val="none" w:sz="0" w:space="0" w:color="auto"/>
      </w:divBdr>
    </w:div>
    <w:div w:id="314846682">
      <w:bodyDiv w:val="1"/>
      <w:marLeft w:val="0"/>
      <w:marRight w:val="0"/>
      <w:marTop w:val="0"/>
      <w:marBottom w:val="0"/>
      <w:divBdr>
        <w:top w:val="none" w:sz="0" w:space="0" w:color="auto"/>
        <w:left w:val="none" w:sz="0" w:space="0" w:color="auto"/>
        <w:bottom w:val="none" w:sz="0" w:space="0" w:color="auto"/>
        <w:right w:val="none" w:sz="0" w:space="0" w:color="auto"/>
      </w:divBdr>
    </w:div>
    <w:div w:id="342709861">
      <w:bodyDiv w:val="1"/>
      <w:marLeft w:val="0"/>
      <w:marRight w:val="0"/>
      <w:marTop w:val="0"/>
      <w:marBottom w:val="0"/>
      <w:divBdr>
        <w:top w:val="none" w:sz="0" w:space="0" w:color="auto"/>
        <w:left w:val="none" w:sz="0" w:space="0" w:color="auto"/>
        <w:bottom w:val="none" w:sz="0" w:space="0" w:color="auto"/>
        <w:right w:val="none" w:sz="0" w:space="0" w:color="auto"/>
      </w:divBdr>
    </w:div>
    <w:div w:id="344599846">
      <w:bodyDiv w:val="1"/>
      <w:marLeft w:val="0"/>
      <w:marRight w:val="0"/>
      <w:marTop w:val="0"/>
      <w:marBottom w:val="0"/>
      <w:divBdr>
        <w:top w:val="none" w:sz="0" w:space="0" w:color="auto"/>
        <w:left w:val="none" w:sz="0" w:space="0" w:color="auto"/>
        <w:bottom w:val="none" w:sz="0" w:space="0" w:color="auto"/>
        <w:right w:val="none" w:sz="0" w:space="0" w:color="auto"/>
      </w:divBdr>
    </w:div>
    <w:div w:id="354616235">
      <w:bodyDiv w:val="1"/>
      <w:marLeft w:val="0"/>
      <w:marRight w:val="0"/>
      <w:marTop w:val="0"/>
      <w:marBottom w:val="0"/>
      <w:divBdr>
        <w:top w:val="none" w:sz="0" w:space="0" w:color="auto"/>
        <w:left w:val="none" w:sz="0" w:space="0" w:color="auto"/>
        <w:bottom w:val="none" w:sz="0" w:space="0" w:color="auto"/>
        <w:right w:val="none" w:sz="0" w:space="0" w:color="auto"/>
      </w:divBdr>
    </w:div>
    <w:div w:id="411321594">
      <w:bodyDiv w:val="1"/>
      <w:marLeft w:val="0"/>
      <w:marRight w:val="0"/>
      <w:marTop w:val="0"/>
      <w:marBottom w:val="0"/>
      <w:divBdr>
        <w:top w:val="none" w:sz="0" w:space="0" w:color="auto"/>
        <w:left w:val="none" w:sz="0" w:space="0" w:color="auto"/>
        <w:bottom w:val="none" w:sz="0" w:space="0" w:color="auto"/>
        <w:right w:val="none" w:sz="0" w:space="0" w:color="auto"/>
      </w:divBdr>
    </w:div>
    <w:div w:id="436557788">
      <w:bodyDiv w:val="1"/>
      <w:marLeft w:val="0"/>
      <w:marRight w:val="0"/>
      <w:marTop w:val="0"/>
      <w:marBottom w:val="0"/>
      <w:divBdr>
        <w:top w:val="none" w:sz="0" w:space="0" w:color="auto"/>
        <w:left w:val="none" w:sz="0" w:space="0" w:color="auto"/>
        <w:bottom w:val="none" w:sz="0" w:space="0" w:color="auto"/>
        <w:right w:val="none" w:sz="0" w:space="0" w:color="auto"/>
      </w:divBdr>
    </w:div>
    <w:div w:id="439572494">
      <w:bodyDiv w:val="1"/>
      <w:marLeft w:val="0"/>
      <w:marRight w:val="0"/>
      <w:marTop w:val="0"/>
      <w:marBottom w:val="0"/>
      <w:divBdr>
        <w:top w:val="none" w:sz="0" w:space="0" w:color="auto"/>
        <w:left w:val="none" w:sz="0" w:space="0" w:color="auto"/>
        <w:bottom w:val="none" w:sz="0" w:space="0" w:color="auto"/>
        <w:right w:val="none" w:sz="0" w:space="0" w:color="auto"/>
      </w:divBdr>
    </w:div>
    <w:div w:id="469594894">
      <w:bodyDiv w:val="1"/>
      <w:marLeft w:val="0"/>
      <w:marRight w:val="0"/>
      <w:marTop w:val="0"/>
      <w:marBottom w:val="0"/>
      <w:divBdr>
        <w:top w:val="none" w:sz="0" w:space="0" w:color="auto"/>
        <w:left w:val="none" w:sz="0" w:space="0" w:color="auto"/>
        <w:bottom w:val="none" w:sz="0" w:space="0" w:color="auto"/>
        <w:right w:val="none" w:sz="0" w:space="0" w:color="auto"/>
      </w:divBdr>
    </w:div>
    <w:div w:id="476193283">
      <w:bodyDiv w:val="1"/>
      <w:marLeft w:val="0"/>
      <w:marRight w:val="0"/>
      <w:marTop w:val="0"/>
      <w:marBottom w:val="0"/>
      <w:divBdr>
        <w:top w:val="none" w:sz="0" w:space="0" w:color="auto"/>
        <w:left w:val="none" w:sz="0" w:space="0" w:color="auto"/>
        <w:bottom w:val="none" w:sz="0" w:space="0" w:color="auto"/>
        <w:right w:val="none" w:sz="0" w:space="0" w:color="auto"/>
      </w:divBdr>
    </w:div>
    <w:div w:id="500046609">
      <w:bodyDiv w:val="1"/>
      <w:marLeft w:val="0"/>
      <w:marRight w:val="0"/>
      <w:marTop w:val="0"/>
      <w:marBottom w:val="0"/>
      <w:divBdr>
        <w:top w:val="none" w:sz="0" w:space="0" w:color="auto"/>
        <w:left w:val="none" w:sz="0" w:space="0" w:color="auto"/>
        <w:bottom w:val="none" w:sz="0" w:space="0" w:color="auto"/>
        <w:right w:val="none" w:sz="0" w:space="0" w:color="auto"/>
      </w:divBdr>
    </w:div>
    <w:div w:id="504049895">
      <w:bodyDiv w:val="1"/>
      <w:marLeft w:val="0"/>
      <w:marRight w:val="0"/>
      <w:marTop w:val="0"/>
      <w:marBottom w:val="0"/>
      <w:divBdr>
        <w:top w:val="none" w:sz="0" w:space="0" w:color="auto"/>
        <w:left w:val="none" w:sz="0" w:space="0" w:color="auto"/>
        <w:bottom w:val="none" w:sz="0" w:space="0" w:color="auto"/>
        <w:right w:val="none" w:sz="0" w:space="0" w:color="auto"/>
      </w:divBdr>
    </w:div>
    <w:div w:id="517933426">
      <w:bodyDiv w:val="1"/>
      <w:marLeft w:val="0"/>
      <w:marRight w:val="0"/>
      <w:marTop w:val="0"/>
      <w:marBottom w:val="0"/>
      <w:divBdr>
        <w:top w:val="none" w:sz="0" w:space="0" w:color="auto"/>
        <w:left w:val="none" w:sz="0" w:space="0" w:color="auto"/>
        <w:bottom w:val="none" w:sz="0" w:space="0" w:color="auto"/>
        <w:right w:val="none" w:sz="0" w:space="0" w:color="auto"/>
      </w:divBdr>
    </w:div>
    <w:div w:id="534077451">
      <w:bodyDiv w:val="1"/>
      <w:marLeft w:val="0"/>
      <w:marRight w:val="0"/>
      <w:marTop w:val="0"/>
      <w:marBottom w:val="0"/>
      <w:divBdr>
        <w:top w:val="none" w:sz="0" w:space="0" w:color="auto"/>
        <w:left w:val="none" w:sz="0" w:space="0" w:color="auto"/>
        <w:bottom w:val="none" w:sz="0" w:space="0" w:color="auto"/>
        <w:right w:val="none" w:sz="0" w:space="0" w:color="auto"/>
      </w:divBdr>
    </w:div>
    <w:div w:id="588079239">
      <w:bodyDiv w:val="1"/>
      <w:marLeft w:val="0"/>
      <w:marRight w:val="0"/>
      <w:marTop w:val="0"/>
      <w:marBottom w:val="0"/>
      <w:divBdr>
        <w:top w:val="none" w:sz="0" w:space="0" w:color="auto"/>
        <w:left w:val="none" w:sz="0" w:space="0" w:color="auto"/>
        <w:bottom w:val="none" w:sz="0" w:space="0" w:color="auto"/>
        <w:right w:val="none" w:sz="0" w:space="0" w:color="auto"/>
      </w:divBdr>
    </w:div>
    <w:div w:id="615912531">
      <w:bodyDiv w:val="1"/>
      <w:marLeft w:val="0"/>
      <w:marRight w:val="0"/>
      <w:marTop w:val="0"/>
      <w:marBottom w:val="0"/>
      <w:divBdr>
        <w:top w:val="none" w:sz="0" w:space="0" w:color="auto"/>
        <w:left w:val="none" w:sz="0" w:space="0" w:color="auto"/>
        <w:bottom w:val="none" w:sz="0" w:space="0" w:color="auto"/>
        <w:right w:val="none" w:sz="0" w:space="0" w:color="auto"/>
      </w:divBdr>
    </w:div>
    <w:div w:id="647368701">
      <w:bodyDiv w:val="1"/>
      <w:marLeft w:val="0"/>
      <w:marRight w:val="0"/>
      <w:marTop w:val="0"/>
      <w:marBottom w:val="0"/>
      <w:divBdr>
        <w:top w:val="none" w:sz="0" w:space="0" w:color="auto"/>
        <w:left w:val="none" w:sz="0" w:space="0" w:color="auto"/>
        <w:bottom w:val="none" w:sz="0" w:space="0" w:color="auto"/>
        <w:right w:val="none" w:sz="0" w:space="0" w:color="auto"/>
      </w:divBdr>
    </w:div>
    <w:div w:id="700133433">
      <w:bodyDiv w:val="1"/>
      <w:marLeft w:val="0"/>
      <w:marRight w:val="0"/>
      <w:marTop w:val="0"/>
      <w:marBottom w:val="0"/>
      <w:divBdr>
        <w:top w:val="none" w:sz="0" w:space="0" w:color="auto"/>
        <w:left w:val="none" w:sz="0" w:space="0" w:color="auto"/>
        <w:bottom w:val="none" w:sz="0" w:space="0" w:color="auto"/>
        <w:right w:val="none" w:sz="0" w:space="0" w:color="auto"/>
      </w:divBdr>
      <w:divsChild>
        <w:div w:id="898594432">
          <w:marLeft w:val="0"/>
          <w:marRight w:val="0"/>
          <w:marTop w:val="0"/>
          <w:marBottom w:val="0"/>
          <w:divBdr>
            <w:top w:val="none" w:sz="0" w:space="0" w:color="auto"/>
            <w:left w:val="none" w:sz="0" w:space="0" w:color="auto"/>
            <w:bottom w:val="none" w:sz="0" w:space="0" w:color="auto"/>
            <w:right w:val="none" w:sz="0" w:space="0" w:color="auto"/>
          </w:divBdr>
        </w:div>
      </w:divsChild>
    </w:div>
    <w:div w:id="781001391">
      <w:bodyDiv w:val="1"/>
      <w:marLeft w:val="0"/>
      <w:marRight w:val="0"/>
      <w:marTop w:val="0"/>
      <w:marBottom w:val="0"/>
      <w:divBdr>
        <w:top w:val="none" w:sz="0" w:space="0" w:color="auto"/>
        <w:left w:val="none" w:sz="0" w:space="0" w:color="auto"/>
        <w:bottom w:val="none" w:sz="0" w:space="0" w:color="auto"/>
        <w:right w:val="none" w:sz="0" w:space="0" w:color="auto"/>
      </w:divBdr>
    </w:div>
    <w:div w:id="784153254">
      <w:bodyDiv w:val="1"/>
      <w:marLeft w:val="0"/>
      <w:marRight w:val="0"/>
      <w:marTop w:val="0"/>
      <w:marBottom w:val="0"/>
      <w:divBdr>
        <w:top w:val="none" w:sz="0" w:space="0" w:color="auto"/>
        <w:left w:val="none" w:sz="0" w:space="0" w:color="auto"/>
        <w:bottom w:val="none" w:sz="0" w:space="0" w:color="auto"/>
        <w:right w:val="none" w:sz="0" w:space="0" w:color="auto"/>
      </w:divBdr>
    </w:div>
    <w:div w:id="808549327">
      <w:bodyDiv w:val="1"/>
      <w:marLeft w:val="0"/>
      <w:marRight w:val="0"/>
      <w:marTop w:val="0"/>
      <w:marBottom w:val="0"/>
      <w:divBdr>
        <w:top w:val="none" w:sz="0" w:space="0" w:color="auto"/>
        <w:left w:val="none" w:sz="0" w:space="0" w:color="auto"/>
        <w:bottom w:val="none" w:sz="0" w:space="0" w:color="auto"/>
        <w:right w:val="none" w:sz="0" w:space="0" w:color="auto"/>
      </w:divBdr>
    </w:div>
    <w:div w:id="838349990">
      <w:bodyDiv w:val="1"/>
      <w:marLeft w:val="0"/>
      <w:marRight w:val="0"/>
      <w:marTop w:val="0"/>
      <w:marBottom w:val="0"/>
      <w:divBdr>
        <w:top w:val="none" w:sz="0" w:space="0" w:color="auto"/>
        <w:left w:val="none" w:sz="0" w:space="0" w:color="auto"/>
        <w:bottom w:val="none" w:sz="0" w:space="0" w:color="auto"/>
        <w:right w:val="none" w:sz="0" w:space="0" w:color="auto"/>
      </w:divBdr>
    </w:div>
    <w:div w:id="856962438">
      <w:bodyDiv w:val="1"/>
      <w:marLeft w:val="0"/>
      <w:marRight w:val="0"/>
      <w:marTop w:val="0"/>
      <w:marBottom w:val="0"/>
      <w:divBdr>
        <w:top w:val="none" w:sz="0" w:space="0" w:color="auto"/>
        <w:left w:val="none" w:sz="0" w:space="0" w:color="auto"/>
        <w:bottom w:val="none" w:sz="0" w:space="0" w:color="auto"/>
        <w:right w:val="none" w:sz="0" w:space="0" w:color="auto"/>
      </w:divBdr>
    </w:div>
    <w:div w:id="885218506">
      <w:bodyDiv w:val="1"/>
      <w:marLeft w:val="0"/>
      <w:marRight w:val="0"/>
      <w:marTop w:val="0"/>
      <w:marBottom w:val="0"/>
      <w:divBdr>
        <w:top w:val="none" w:sz="0" w:space="0" w:color="auto"/>
        <w:left w:val="none" w:sz="0" w:space="0" w:color="auto"/>
        <w:bottom w:val="none" w:sz="0" w:space="0" w:color="auto"/>
        <w:right w:val="none" w:sz="0" w:space="0" w:color="auto"/>
      </w:divBdr>
      <w:divsChild>
        <w:div w:id="325480354">
          <w:marLeft w:val="0"/>
          <w:marRight w:val="0"/>
          <w:marTop w:val="0"/>
          <w:marBottom w:val="0"/>
          <w:divBdr>
            <w:top w:val="single" w:sz="2" w:space="0" w:color="auto"/>
            <w:left w:val="single" w:sz="2" w:space="0" w:color="auto"/>
            <w:bottom w:val="single" w:sz="2" w:space="0" w:color="auto"/>
            <w:right w:val="single" w:sz="2" w:space="0" w:color="auto"/>
          </w:divBdr>
          <w:divsChild>
            <w:div w:id="181286779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23732998">
      <w:bodyDiv w:val="1"/>
      <w:marLeft w:val="0"/>
      <w:marRight w:val="0"/>
      <w:marTop w:val="0"/>
      <w:marBottom w:val="0"/>
      <w:divBdr>
        <w:top w:val="none" w:sz="0" w:space="0" w:color="auto"/>
        <w:left w:val="none" w:sz="0" w:space="0" w:color="auto"/>
        <w:bottom w:val="none" w:sz="0" w:space="0" w:color="auto"/>
        <w:right w:val="none" w:sz="0" w:space="0" w:color="auto"/>
      </w:divBdr>
    </w:div>
    <w:div w:id="953172741">
      <w:bodyDiv w:val="1"/>
      <w:marLeft w:val="0"/>
      <w:marRight w:val="0"/>
      <w:marTop w:val="0"/>
      <w:marBottom w:val="0"/>
      <w:divBdr>
        <w:top w:val="none" w:sz="0" w:space="0" w:color="auto"/>
        <w:left w:val="none" w:sz="0" w:space="0" w:color="auto"/>
        <w:bottom w:val="none" w:sz="0" w:space="0" w:color="auto"/>
        <w:right w:val="none" w:sz="0" w:space="0" w:color="auto"/>
      </w:divBdr>
    </w:div>
    <w:div w:id="993875764">
      <w:bodyDiv w:val="1"/>
      <w:marLeft w:val="0"/>
      <w:marRight w:val="0"/>
      <w:marTop w:val="0"/>
      <w:marBottom w:val="0"/>
      <w:divBdr>
        <w:top w:val="none" w:sz="0" w:space="0" w:color="auto"/>
        <w:left w:val="none" w:sz="0" w:space="0" w:color="auto"/>
        <w:bottom w:val="none" w:sz="0" w:space="0" w:color="auto"/>
        <w:right w:val="none" w:sz="0" w:space="0" w:color="auto"/>
      </w:divBdr>
    </w:div>
    <w:div w:id="1063870357">
      <w:bodyDiv w:val="1"/>
      <w:marLeft w:val="0"/>
      <w:marRight w:val="0"/>
      <w:marTop w:val="0"/>
      <w:marBottom w:val="0"/>
      <w:divBdr>
        <w:top w:val="none" w:sz="0" w:space="0" w:color="auto"/>
        <w:left w:val="none" w:sz="0" w:space="0" w:color="auto"/>
        <w:bottom w:val="none" w:sz="0" w:space="0" w:color="auto"/>
        <w:right w:val="none" w:sz="0" w:space="0" w:color="auto"/>
      </w:divBdr>
    </w:div>
    <w:div w:id="1064067572">
      <w:bodyDiv w:val="1"/>
      <w:marLeft w:val="0"/>
      <w:marRight w:val="0"/>
      <w:marTop w:val="0"/>
      <w:marBottom w:val="0"/>
      <w:divBdr>
        <w:top w:val="none" w:sz="0" w:space="0" w:color="auto"/>
        <w:left w:val="none" w:sz="0" w:space="0" w:color="auto"/>
        <w:bottom w:val="none" w:sz="0" w:space="0" w:color="auto"/>
        <w:right w:val="none" w:sz="0" w:space="0" w:color="auto"/>
      </w:divBdr>
    </w:div>
    <w:div w:id="1086146359">
      <w:bodyDiv w:val="1"/>
      <w:marLeft w:val="0"/>
      <w:marRight w:val="0"/>
      <w:marTop w:val="0"/>
      <w:marBottom w:val="0"/>
      <w:divBdr>
        <w:top w:val="none" w:sz="0" w:space="0" w:color="auto"/>
        <w:left w:val="none" w:sz="0" w:space="0" w:color="auto"/>
        <w:bottom w:val="none" w:sz="0" w:space="0" w:color="auto"/>
        <w:right w:val="none" w:sz="0" w:space="0" w:color="auto"/>
      </w:divBdr>
    </w:div>
    <w:div w:id="1127235957">
      <w:bodyDiv w:val="1"/>
      <w:marLeft w:val="0"/>
      <w:marRight w:val="0"/>
      <w:marTop w:val="0"/>
      <w:marBottom w:val="0"/>
      <w:divBdr>
        <w:top w:val="none" w:sz="0" w:space="0" w:color="auto"/>
        <w:left w:val="none" w:sz="0" w:space="0" w:color="auto"/>
        <w:bottom w:val="none" w:sz="0" w:space="0" w:color="auto"/>
        <w:right w:val="none" w:sz="0" w:space="0" w:color="auto"/>
      </w:divBdr>
    </w:div>
    <w:div w:id="1187064310">
      <w:bodyDiv w:val="1"/>
      <w:marLeft w:val="0"/>
      <w:marRight w:val="0"/>
      <w:marTop w:val="0"/>
      <w:marBottom w:val="0"/>
      <w:divBdr>
        <w:top w:val="none" w:sz="0" w:space="0" w:color="auto"/>
        <w:left w:val="none" w:sz="0" w:space="0" w:color="auto"/>
        <w:bottom w:val="none" w:sz="0" w:space="0" w:color="auto"/>
        <w:right w:val="none" w:sz="0" w:space="0" w:color="auto"/>
      </w:divBdr>
    </w:div>
    <w:div w:id="1196041001">
      <w:bodyDiv w:val="1"/>
      <w:marLeft w:val="0"/>
      <w:marRight w:val="0"/>
      <w:marTop w:val="0"/>
      <w:marBottom w:val="0"/>
      <w:divBdr>
        <w:top w:val="none" w:sz="0" w:space="0" w:color="auto"/>
        <w:left w:val="none" w:sz="0" w:space="0" w:color="auto"/>
        <w:bottom w:val="none" w:sz="0" w:space="0" w:color="auto"/>
        <w:right w:val="none" w:sz="0" w:space="0" w:color="auto"/>
      </w:divBdr>
    </w:div>
    <w:div w:id="1237134949">
      <w:bodyDiv w:val="1"/>
      <w:marLeft w:val="0"/>
      <w:marRight w:val="0"/>
      <w:marTop w:val="0"/>
      <w:marBottom w:val="0"/>
      <w:divBdr>
        <w:top w:val="none" w:sz="0" w:space="0" w:color="auto"/>
        <w:left w:val="none" w:sz="0" w:space="0" w:color="auto"/>
        <w:bottom w:val="none" w:sz="0" w:space="0" w:color="auto"/>
        <w:right w:val="none" w:sz="0" w:space="0" w:color="auto"/>
      </w:divBdr>
      <w:divsChild>
        <w:div w:id="1168211759">
          <w:marLeft w:val="0"/>
          <w:marRight w:val="0"/>
          <w:marTop w:val="0"/>
          <w:marBottom w:val="0"/>
          <w:divBdr>
            <w:top w:val="single" w:sz="2" w:space="0" w:color="auto"/>
            <w:left w:val="single" w:sz="2" w:space="0" w:color="auto"/>
            <w:bottom w:val="single" w:sz="2" w:space="0" w:color="auto"/>
            <w:right w:val="single" w:sz="2" w:space="0" w:color="auto"/>
          </w:divBdr>
          <w:divsChild>
            <w:div w:id="637802683">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239557231">
      <w:bodyDiv w:val="1"/>
      <w:marLeft w:val="0"/>
      <w:marRight w:val="0"/>
      <w:marTop w:val="0"/>
      <w:marBottom w:val="0"/>
      <w:divBdr>
        <w:top w:val="none" w:sz="0" w:space="0" w:color="auto"/>
        <w:left w:val="none" w:sz="0" w:space="0" w:color="auto"/>
        <w:bottom w:val="none" w:sz="0" w:space="0" w:color="auto"/>
        <w:right w:val="none" w:sz="0" w:space="0" w:color="auto"/>
      </w:divBdr>
    </w:div>
    <w:div w:id="1245913881">
      <w:bodyDiv w:val="1"/>
      <w:marLeft w:val="0"/>
      <w:marRight w:val="0"/>
      <w:marTop w:val="0"/>
      <w:marBottom w:val="0"/>
      <w:divBdr>
        <w:top w:val="none" w:sz="0" w:space="0" w:color="auto"/>
        <w:left w:val="none" w:sz="0" w:space="0" w:color="auto"/>
        <w:bottom w:val="none" w:sz="0" w:space="0" w:color="auto"/>
        <w:right w:val="none" w:sz="0" w:space="0" w:color="auto"/>
      </w:divBdr>
    </w:div>
    <w:div w:id="1268777443">
      <w:bodyDiv w:val="1"/>
      <w:marLeft w:val="0"/>
      <w:marRight w:val="0"/>
      <w:marTop w:val="0"/>
      <w:marBottom w:val="0"/>
      <w:divBdr>
        <w:top w:val="none" w:sz="0" w:space="0" w:color="auto"/>
        <w:left w:val="none" w:sz="0" w:space="0" w:color="auto"/>
        <w:bottom w:val="none" w:sz="0" w:space="0" w:color="auto"/>
        <w:right w:val="none" w:sz="0" w:space="0" w:color="auto"/>
      </w:divBdr>
    </w:div>
    <w:div w:id="1289623084">
      <w:bodyDiv w:val="1"/>
      <w:marLeft w:val="0"/>
      <w:marRight w:val="0"/>
      <w:marTop w:val="0"/>
      <w:marBottom w:val="0"/>
      <w:divBdr>
        <w:top w:val="none" w:sz="0" w:space="0" w:color="auto"/>
        <w:left w:val="none" w:sz="0" w:space="0" w:color="auto"/>
        <w:bottom w:val="none" w:sz="0" w:space="0" w:color="auto"/>
        <w:right w:val="none" w:sz="0" w:space="0" w:color="auto"/>
      </w:divBdr>
    </w:div>
    <w:div w:id="1296764112">
      <w:bodyDiv w:val="1"/>
      <w:marLeft w:val="0"/>
      <w:marRight w:val="0"/>
      <w:marTop w:val="0"/>
      <w:marBottom w:val="0"/>
      <w:divBdr>
        <w:top w:val="none" w:sz="0" w:space="0" w:color="auto"/>
        <w:left w:val="none" w:sz="0" w:space="0" w:color="auto"/>
        <w:bottom w:val="none" w:sz="0" w:space="0" w:color="auto"/>
        <w:right w:val="none" w:sz="0" w:space="0" w:color="auto"/>
      </w:divBdr>
    </w:div>
    <w:div w:id="1330400648">
      <w:bodyDiv w:val="1"/>
      <w:marLeft w:val="0"/>
      <w:marRight w:val="0"/>
      <w:marTop w:val="0"/>
      <w:marBottom w:val="0"/>
      <w:divBdr>
        <w:top w:val="none" w:sz="0" w:space="0" w:color="auto"/>
        <w:left w:val="none" w:sz="0" w:space="0" w:color="auto"/>
        <w:bottom w:val="none" w:sz="0" w:space="0" w:color="auto"/>
        <w:right w:val="none" w:sz="0" w:space="0" w:color="auto"/>
      </w:divBdr>
    </w:div>
    <w:div w:id="1339773297">
      <w:bodyDiv w:val="1"/>
      <w:marLeft w:val="0"/>
      <w:marRight w:val="0"/>
      <w:marTop w:val="0"/>
      <w:marBottom w:val="0"/>
      <w:divBdr>
        <w:top w:val="none" w:sz="0" w:space="0" w:color="auto"/>
        <w:left w:val="none" w:sz="0" w:space="0" w:color="auto"/>
        <w:bottom w:val="none" w:sz="0" w:space="0" w:color="auto"/>
        <w:right w:val="none" w:sz="0" w:space="0" w:color="auto"/>
      </w:divBdr>
      <w:divsChild>
        <w:div w:id="544104310">
          <w:marLeft w:val="0"/>
          <w:marRight w:val="0"/>
          <w:marTop w:val="0"/>
          <w:marBottom w:val="0"/>
          <w:divBdr>
            <w:top w:val="none" w:sz="0" w:space="0" w:color="auto"/>
            <w:left w:val="none" w:sz="0" w:space="0" w:color="auto"/>
            <w:bottom w:val="none" w:sz="0" w:space="0" w:color="auto"/>
            <w:right w:val="none" w:sz="0" w:space="0" w:color="auto"/>
          </w:divBdr>
          <w:divsChild>
            <w:div w:id="1253277339">
              <w:marLeft w:val="0"/>
              <w:marRight w:val="0"/>
              <w:marTop w:val="0"/>
              <w:marBottom w:val="0"/>
              <w:divBdr>
                <w:top w:val="none" w:sz="0" w:space="0" w:color="auto"/>
                <w:left w:val="none" w:sz="0" w:space="0" w:color="auto"/>
                <w:bottom w:val="none" w:sz="0" w:space="0" w:color="auto"/>
                <w:right w:val="none" w:sz="0" w:space="0" w:color="auto"/>
              </w:divBdr>
              <w:divsChild>
                <w:div w:id="1561555174">
                  <w:marLeft w:val="240"/>
                  <w:marRight w:val="240"/>
                  <w:marTop w:val="240"/>
                  <w:marBottom w:val="240"/>
                  <w:divBdr>
                    <w:top w:val="none" w:sz="0" w:space="0" w:color="auto"/>
                    <w:left w:val="none" w:sz="0" w:space="0" w:color="auto"/>
                    <w:bottom w:val="none" w:sz="0" w:space="0" w:color="auto"/>
                    <w:right w:val="none" w:sz="0" w:space="0" w:color="auto"/>
                  </w:divBdr>
                  <w:divsChild>
                    <w:div w:id="175655650">
                      <w:marLeft w:val="0"/>
                      <w:marRight w:val="0"/>
                      <w:marTop w:val="0"/>
                      <w:marBottom w:val="3120"/>
                      <w:divBdr>
                        <w:top w:val="none" w:sz="0" w:space="0" w:color="auto"/>
                        <w:left w:val="none" w:sz="0" w:space="0" w:color="auto"/>
                        <w:bottom w:val="none" w:sz="0" w:space="0" w:color="auto"/>
                        <w:right w:val="none" w:sz="0" w:space="0" w:color="auto"/>
                      </w:divBdr>
                      <w:divsChild>
                        <w:div w:id="1641184812">
                          <w:marLeft w:val="0"/>
                          <w:marRight w:val="0"/>
                          <w:marTop w:val="0"/>
                          <w:marBottom w:val="0"/>
                          <w:divBdr>
                            <w:top w:val="none" w:sz="0" w:space="0" w:color="auto"/>
                            <w:left w:val="none" w:sz="0" w:space="0" w:color="auto"/>
                            <w:bottom w:val="none" w:sz="0" w:space="0" w:color="auto"/>
                            <w:right w:val="none" w:sz="0" w:space="0" w:color="auto"/>
                          </w:divBdr>
                          <w:divsChild>
                            <w:div w:id="1765223253">
                              <w:marLeft w:val="0"/>
                              <w:marRight w:val="0"/>
                              <w:marTop w:val="0"/>
                              <w:marBottom w:val="0"/>
                              <w:divBdr>
                                <w:top w:val="none" w:sz="0" w:space="0" w:color="auto"/>
                                <w:left w:val="none" w:sz="0" w:space="0" w:color="auto"/>
                                <w:bottom w:val="none" w:sz="0" w:space="0" w:color="auto"/>
                                <w:right w:val="none" w:sz="0" w:space="0" w:color="auto"/>
                              </w:divBdr>
                              <w:divsChild>
                                <w:div w:id="107164054">
                                  <w:marLeft w:val="0"/>
                                  <w:marRight w:val="0"/>
                                  <w:marTop w:val="0"/>
                                  <w:marBottom w:val="0"/>
                                  <w:divBdr>
                                    <w:top w:val="none" w:sz="0" w:space="0" w:color="auto"/>
                                    <w:left w:val="none" w:sz="0" w:space="0" w:color="auto"/>
                                    <w:bottom w:val="none" w:sz="0" w:space="0" w:color="auto"/>
                                    <w:right w:val="none" w:sz="0" w:space="0" w:color="auto"/>
                                  </w:divBdr>
                                  <w:divsChild>
                                    <w:div w:id="312609579">
                                      <w:marLeft w:val="0"/>
                                      <w:marRight w:val="0"/>
                                      <w:marTop w:val="0"/>
                                      <w:marBottom w:val="0"/>
                                      <w:divBdr>
                                        <w:top w:val="none" w:sz="0" w:space="0" w:color="auto"/>
                                        <w:left w:val="none" w:sz="0" w:space="0" w:color="auto"/>
                                        <w:bottom w:val="none" w:sz="0" w:space="0" w:color="auto"/>
                                        <w:right w:val="none" w:sz="0" w:space="0" w:color="auto"/>
                                      </w:divBdr>
                                      <w:divsChild>
                                        <w:div w:id="727848798">
                                          <w:marLeft w:val="0"/>
                                          <w:marRight w:val="0"/>
                                          <w:marTop w:val="0"/>
                                          <w:marBottom w:val="0"/>
                                          <w:divBdr>
                                            <w:top w:val="none" w:sz="0" w:space="0" w:color="auto"/>
                                            <w:left w:val="none" w:sz="0" w:space="0" w:color="auto"/>
                                            <w:bottom w:val="none" w:sz="0" w:space="0" w:color="auto"/>
                                            <w:right w:val="none" w:sz="0" w:space="0" w:color="auto"/>
                                          </w:divBdr>
                                        </w:div>
                                        <w:div w:id="1553424174">
                                          <w:marLeft w:val="0"/>
                                          <w:marRight w:val="0"/>
                                          <w:marTop w:val="120"/>
                                          <w:marBottom w:val="0"/>
                                          <w:divBdr>
                                            <w:top w:val="none" w:sz="0" w:space="0" w:color="auto"/>
                                            <w:left w:val="none" w:sz="0" w:space="0" w:color="auto"/>
                                            <w:bottom w:val="none" w:sz="0" w:space="0" w:color="auto"/>
                                            <w:right w:val="none" w:sz="0" w:space="0" w:color="auto"/>
                                          </w:divBdr>
                                          <w:divsChild>
                                            <w:div w:id="216475765">
                                              <w:marLeft w:val="0"/>
                                              <w:marRight w:val="0"/>
                                              <w:marTop w:val="0"/>
                                              <w:marBottom w:val="0"/>
                                              <w:divBdr>
                                                <w:top w:val="none" w:sz="0" w:space="0" w:color="auto"/>
                                                <w:left w:val="none" w:sz="0" w:space="0" w:color="auto"/>
                                                <w:bottom w:val="none" w:sz="0" w:space="0" w:color="auto"/>
                                                <w:right w:val="none" w:sz="0" w:space="0" w:color="auto"/>
                                              </w:divBdr>
                                            </w:div>
                                            <w:div w:id="383913590">
                                              <w:marLeft w:val="0"/>
                                              <w:marRight w:val="0"/>
                                              <w:marTop w:val="0"/>
                                              <w:marBottom w:val="0"/>
                                              <w:divBdr>
                                                <w:top w:val="none" w:sz="0" w:space="0" w:color="auto"/>
                                                <w:left w:val="none" w:sz="0" w:space="0" w:color="auto"/>
                                                <w:bottom w:val="none" w:sz="0" w:space="0" w:color="auto"/>
                                                <w:right w:val="none" w:sz="0" w:space="0" w:color="auto"/>
                                              </w:divBdr>
                                              <w:divsChild>
                                                <w:div w:id="686906618">
                                                  <w:marLeft w:val="0"/>
                                                  <w:marRight w:val="0"/>
                                                  <w:marTop w:val="0"/>
                                                  <w:marBottom w:val="0"/>
                                                  <w:divBdr>
                                                    <w:top w:val="none" w:sz="0" w:space="0" w:color="auto"/>
                                                    <w:left w:val="none" w:sz="0" w:space="0" w:color="auto"/>
                                                    <w:bottom w:val="none" w:sz="0" w:space="0" w:color="auto"/>
                                                    <w:right w:val="none" w:sz="0" w:space="0" w:color="auto"/>
                                                  </w:divBdr>
                                                </w:div>
                                              </w:divsChild>
                                            </w:div>
                                            <w:div w:id="1217397622">
                                              <w:marLeft w:val="0"/>
                                              <w:marRight w:val="0"/>
                                              <w:marTop w:val="0"/>
                                              <w:marBottom w:val="0"/>
                                              <w:divBdr>
                                                <w:top w:val="none" w:sz="0" w:space="0" w:color="auto"/>
                                                <w:left w:val="none" w:sz="0" w:space="0" w:color="auto"/>
                                                <w:bottom w:val="none" w:sz="0" w:space="0" w:color="auto"/>
                                                <w:right w:val="none" w:sz="0" w:space="0" w:color="auto"/>
                                              </w:divBdr>
                                            </w:div>
                                            <w:div w:id="1291280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41810243">
      <w:bodyDiv w:val="1"/>
      <w:marLeft w:val="0"/>
      <w:marRight w:val="0"/>
      <w:marTop w:val="0"/>
      <w:marBottom w:val="0"/>
      <w:divBdr>
        <w:top w:val="none" w:sz="0" w:space="0" w:color="auto"/>
        <w:left w:val="none" w:sz="0" w:space="0" w:color="auto"/>
        <w:bottom w:val="none" w:sz="0" w:space="0" w:color="auto"/>
        <w:right w:val="none" w:sz="0" w:space="0" w:color="auto"/>
      </w:divBdr>
    </w:div>
    <w:div w:id="1342006770">
      <w:bodyDiv w:val="1"/>
      <w:marLeft w:val="0"/>
      <w:marRight w:val="0"/>
      <w:marTop w:val="0"/>
      <w:marBottom w:val="0"/>
      <w:divBdr>
        <w:top w:val="none" w:sz="0" w:space="0" w:color="auto"/>
        <w:left w:val="none" w:sz="0" w:space="0" w:color="auto"/>
        <w:bottom w:val="none" w:sz="0" w:space="0" w:color="auto"/>
        <w:right w:val="none" w:sz="0" w:space="0" w:color="auto"/>
      </w:divBdr>
    </w:div>
    <w:div w:id="1353916051">
      <w:bodyDiv w:val="1"/>
      <w:marLeft w:val="0"/>
      <w:marRight w:val="0"/>
      <w:marTop w:val="0"/>
      <w:marBottom w:val="0"/>
      <w:divBdr>
        <w:top w:val="none" w:sz="0" w:space="0" w:color="auto"/>
        <w:left w:val="none" w:sz="0" w:space="0" w:color="auto"/>
        <w:bottom w:val="none" w:sz="0" w:space="0" w:color="auto"/>
        <w:right w:val="none" w:sz="0" w:space="0" w:color="auto"/>
      </w:divBdr>
    </w:div>
    <w:div w:id="1360082558">
      <w:bodyDiv w:val="1"/>
      <w:marLeft w:val="0"/>
      <w:marRight w:val="0"/>
      <w:marTop w:val="0"/>
      <w:marBottom w:val="0"/>
      <w:divBdr>
        <w:top w:val="none" w:sz="0" w:space="0" w:color="auto"/>
        <w:left w:val="none" w:sz="0" w:space="0" w:color="auto"/>
        <w:bottom w:val="none" w:sz="0" w:space="0" w:color="auto"/>
        <w:right w:val="none" w:sz="0" w:space="0" w:color="auto"/>
      </w:divBdr>
    </w:div>
    <w:div w:id="1399088498">
      <w:bodyDiv w:val="1"/>
      <w:marLeft w:val="0"/>
      <w:marRight w:val="0"/>
      <w:marTop w:val="0"/>
      <w:marBottom w:val="0"/>
      <w:divBdr>
        <w:top w:val="none" w:sz="0" w:space="0" w:color="auto"/>
        <w:left w:val="none" w:sz="0" w:space="0" w:color="auto"/>
        <w:bottom w:val="none" w:sz="0" w:space="0" w:color="auto"/>
        <w:right w:val="none" w:sz="0" w:space="0" w:color="auto"/>
      </w:divBdr>
    </w:div>
    <w:div w:id="1401947569">
      <w:bodyDiv w:val="1"/>
      <w:marLeft w:val="0"/>
      <w:marRight w:val="0"/>
      <w:marTop w:val="0"/>
      <w:marBottom w:val="0"/>
      <w:divBdr>
        <w:top w:val="none" w:sz="0" w:space="0" w:color="auto"/>
        <w:left w:val="none" w:sz="0" w:space="0" w:color="auto"/>
        <w:bottom w:val="none" w:sz="0" w:space="0" w:color="auto"/>
        <w:right w:val="none" w:sz="0" w:space="0" w:color="auto"/>
      </w:divBdr>
    </w:div>
    <w:div w:id="1403715970">
      <w:bodyDiv w:val="1"/>
      <w:marLeft w:val="0"/>
      <w:marRight w:val="0"/>
      <w:marTop w:val="0"/>
      <w:marBottom w:val="0"/>
      <w:divBdr>
        <w:top w:val="none" w:sz="0" w:space="0" w:color="auto"/>
        <w:left w:val="none" w:sz="0" w:space="0" w:color="auto"/>
        <w:bottom w:val="none" w:sz="0" w:space="0" w:color="auto"/>
        <w:right w:val="none" w:sz="0" w:space="0" w:color="auto"/>
      </w:divBdr>
      <w:divsChild>
        <w:div w:id="657656414">
          <w:marLeft w:val="0"/>
          <w:marRight w:val="0"/>
          <w:marTop w:val="0"/>
          <w:marBottom w:val="0"/>
          <w:divBdr>
            <w:top w:val="none" w:sz="0" w:space="0" w:color="auto"/>
            <w:left w:val="none" w:sz="0" w:space="0" w:color="auto"/>
            <w:bottom w:val="none" w:sz="0" w:space="0" w:color="auto"/>
            <w:right w:val="none" w:sz="0" w:space="0" w:color="auto"/>
          </w:divBdr>
        </w:div>
      </w:divsChild>
    </w:div>
    <w:div w:id="1406881405">
      <w:bodyDiv w:val="1"/>
      <w:marLeft w:val="0"/>
      <w:marRight w:val="0"/>
      <w:marTop w:val="0"/>
      <w:marBottom w:val="0"/>
      <w:divBdr>
        <w:top w:val="none" w:sz="0" w:space="0" w:color="auto"/>
        <w:left w:val="none" w:sz="0" w:space="0" w:color="auto"/>
        <w:bottom w:val="none" w:sz="0" w:space="0" w:color="auto"/>
        <w:right w:val="none" w:sz="0" w:space="0" w:color="auto"/>
      </w:divBdr>
    </w:div>
    <w:div w:id="1410881520">
      <w:bodyDiv w:val="1"/>
      <w:marLeft w:val="0"/>
      <w:marRight w:val="0"/>
      <w:marTop w:val="0"/>
      <w:marBottom w:val="0"/>
      <w:divBdr>
        <w:top w:val="none" w:sz="0" w:space="0" w:color="auto"/>
        <w:left w:val="none" w:sz="0" w:space="0" w:color="auto"/>
        <w:bottom w:val="none" w:sz="0" w:space="0" w:color="auto"/>
        <w:right w:val="none" w:sz="0" w:space="0" w:color="auto"/>
      </w:divBdr>
    </w:div>
    <w:div w:id="1425955636">
      <w:bodyDiv w:val="1"/>
      <w:marLeft w:val="0"/>
      <w:marRight w:val="0"/>
      <w:marTop w:val="0"/>
      <w:marBottom w:val="0"/>
      <w:divBdr>
        <w:top w:val="none" w:sz="0" w:space="0" w:color="auto"/>
        <w:left w:val="none" w:sz="0" w:space="0" w:color="auto"/>
        <w:bottom w:val="none" w:sz="0" w:space="0" w:color="auto"/>
        <w:right w:val="none" w:sz="0" w:space="0" w:color="auto"/>
      </w:divBdr>
    </w:div>
    <w:div w:id="1427916946">
      <w:bodyDiv w:val="1"/>
      <w:marLeft w:val="0"/>
      <w:marRight w:val="0"/>
      <w:marTop w:val="0"/>
      <w:marBottom w:val="0"/>
      <w:divBdr>
        <w:top w:val="none" w:sz="0" w:space="0" w:color="auto"/>
        <w:left w:val="none" w:sz="0" w:space="0" w:color="auto"/>
        <w:bottom w:val="none" w:sz="0" w:space="0" w:color="auto"/>
        <w:right w:val="none" w:sz="0" w:space="0" w:color="auto"/>
      </w:divBdr>
    </w:div>
    <w:div w:id="1428381402">
      <w:bodyDiv w:val="1"/>
      <w:marLeft w:val="0"/>
      <w:marRight w:val="0"/>
      <w:marTop w:val="0"/>
      <w:marBottom w:val="0"/>
      <w:divBdr>
        <w:top w:val="none" w:sz="0" w:space="0" w:color="auto"/>
        <w:left w:val="none" w:sz="0" w:space="0" w:color="auto"/>
        <w:bottom w:val="none" w:sz="0" w:space="0" w:color="auto"/>
        <w:right w:val="none" w:sz="0" w:space="0" w:color="auto"/>
      </w:divBdr>
      <w:divsChild>
        <w:div w:id="2083329495">
          <w:marLeft w:val="0"/>
          <w:marRight w:val="0"/>
          <w:marTop w:val="0"/>
          <w:marBottom w:val="0"/>
          <w:divBdr>
            <w:top w:val="none" w:sz="0" w:space="0" w:color="auto"/>
            <w:left w:val="none" w:sz="0" w:space="0" w:color="auto"/>
            <w:bottom w:val="none" w:sz="0" w:space="0" w:color="auto"/>
            <w:right w:val="none" w:sz="0" w:space="0" w:color="auto"/>
          </w:divBdr>
          <w:divsChild>
            <w:div w:id="781388757">
              <w:marLeft w:val="0"/>
              <w:marRight w:val="0"/>
              <w:marTop w:val="0"/>
              <w:marBottom w:val="0"/>
              <w:divBdr>
                <w:top w:val="none" w:sz="0" w:space="0" w:color="auto"/>
                <w:left w:val="none" w:sz="0" w:space="0" w:color="auto"/>
                <w:bottom w:val="none" w:sz="0" w:space="0" w:color="auto"/>
                <w:right w:val="none" w:sz="0" w:space="0" w:color="auto"/>
              </w:divBdr>
              <w:divsChild>
                <w:div w:id="1379628615">
                  <w:marLeft w:val="240"/>
                  <w:marRight w:val="240"/>
                  <w:marTop w:val="240"/>
                  <w:marBottom w:val="240"/>
                  <w:divBdr>
                    <w:top w:val="none" w:sz="0" w:space="0" w:color="auto"/>
                    <w:left w:val="none" w:sz="0" w:space="0" w:color="auto"/>
                    <w:bottom w:val="none" w:sz="0" w:space="0" w:color="auto"/>
                    <w:right w:val="none" w:sz="0" w:space="0" w:color="auto"/>
                  </w:divBdr>
                  <w:divsChild>
                    <w:div w:id="2074228819">
                      <w:marLeft w:val="0"/>
                      <w:marRight w:val="0"/>
                      <w:marTop w:val="0"/>
                      <w:marBottom w:val="3120"/>
                      <w:divBdr>
                        <w:top w:val="none" w:sz="0" w:space="0" w:color="auto"/>
                        <w:left w:val="none" w:sz="0" w:space="0" w:color="auto"/>
                        <w:bottom w:val="none" w:sz="0" w:space="0" w:color="auto"/>
                        <w:right w:val="none" w:sz="0" w:space="0" w:color="auto"/>
                      </w:divBdr>
                      <w:divsChild>
                        <w:div w:id="1921058770">
                          <w:marLeft w:val="0"/>
                          <w:marRight w:val="0"/>
                          <w:marTop w:val="0"/>
                          <w:marBottom w:val="0"/>
                          <w:divBdr>
                            <w:top w:val="none" w:sz="0" w:space="0" w:color="auto"/>
                            <w:left w:val="none" w:sz="0" w:space="0" w:color="auto"/>
                            <w:bottom w:val="none" w:sz="0" w:space="0" w:color="auto"/>
                            <w:right w:val="none" w:sz="0" w:space="0" w:color="auto"/>
                          </w:divBdr>
                          <w:divsChild>
                            <w:div w:id="777525333">
                              <w:marLeft w:val="0"/>
                              <w:marRight w:val="0"/>
                              <w:marTop w:val="0"/>
                              <w:marBottom w:val="0"/>
                              <w:divBdr>
                                <w:top w:val="none" w:sz="0" w:space="0" w:color="auto"/>
                                <w:left w:val="none" w:sz="0" w:space="0" w:color="auto"/>
                                <w:bottom w:val="none" w:sz="0" w:space="0" w:color="auto"/>
                                <w:right w:val="none" w:sz="0" w:space="0" w:color="auto"/>
                              </w:divBdr>
                              <w:divsChild>
                                <w:div w:id="102775319">
                                  <w:marLeft w:val="0"/>
                                  <w:marRight w:val="0"/>
                                  <w:marTop w:val="0"/>
                                  <w:marBottom w:val="0"/>
                                  <w:divBdr>
                                    <w:top w:val="none" w:sz="0" w:space="0" w:color="auto"/>
                                    <w:left w:val="none" w:sz="0" w:space="0" w:color="auto"/>
                                    <w:bottom w:val="none" w:sz="0" w:space="0" w:color="auto"/>
                                    <w:right w:val="none" w:sz="0" w:space="0" w:color="auto"/>
                                  </w:divBdr>
                                  <w:divsChild>
                                    <w:div w:id="1412237613">
                                      <w:marLeft w:val="0"/>
                                      <w:marRight w:val="0"/>
                                      <w:marTop w:val="0"/>
                                      <w:marBottom w:val="0"/>
                                      <w:divBdr>
                                        <w:top w:val="none" w:sz="0" w:space="0" w:color="auto"/>
                                        <w:left w:val="none" w:sz="0" w:space="0" w:color="auto"/>
                                        <w:bottom w:val="none" w:sz="0" w:space="0" w:color="auto"/>
                                        <w:right w:val="none" w:sz="0" w:space="0" w:color="auto"/>
                                      </w:divBdr>
                                      <w:divsChild>
                                        <w:div w:id="66847461">
                                          <w:marLeft w:val="0"/>
                                          <w:marRight w:val="0"/>
                                          <w:marTop w:val="0"/>
                                          <w:marBottom w:val="0"/>
                                          <w:divBdr>
                                            <w:top w:val="none" w:sz="0" w:space="0" w:color="auto"/>
                                            <w:left w:val="none" w:sz="0" w:space="0" w:color="auto"/>
                                            <w:bottom w:val="none" w:sz="0" w:space="0" w:color="auto"/>
                                            <w:right w:val="none" w:sz="0" w:space="0" w:color="auto"/>
                                          </w:divBdr>
                                        </w:div>
                                        <w:div w:id="1163427277">
                                          <w:marLeft w:val="0"/>
                                          <w:marRight w:val="0"/>
                                          <w:marTop w:val="120"/>
                                          <w:marBottom w:val="0"/>
                                          <w:divBdr>
                                            <w:top w:val="none" w:sz="0" w:space="0" w:color="auto"/>
                                            <w:left w:val="none" w:sz="0" w:space="0" w:color="auto"/>
                                            <w:bottom w:val="none" w:sz="0" w:space="0" w:color="auto"/>
                                            <w:right w:val="none" w:sz="0" w:space="0" w:color="auto"/>
                                          </w:divBdr>
                                          <w:divsChild>
                                            <w:div w:id="557938973">
                                              <w:marLeft w:val="0"/>
                                              <w:marRight w:val="0"/>
                                              <w:marTop w:val="0"/>
                                              <w:marBottom w:val="0"/>
                                              <w:divBdr>
                                                <w:top w:val="none" w:sz="0" w:space="0" w:color="auto"/>
                                                <w:left w:val="none" w:sz="0" w:space="0" w:color="auto"/>
                                                <w:bottom w:val="none" w:sz="0" w:space="0" w:color="auto"/>
                                                <w:right w:val="none" w:sz="0" w:space="0" w:color="auto"/>
                                              </w:divBdr>
                                            </w:div>
                                            <w:div w:id="332951657">
                                              <w:marLeft w:val="0"/>
                                              <w:marRight w:val="0"/>
                                              <w:marTop w:val="0"/>
                                              <w:marBottom w:val="0"/>
                                              <w:divBdr>
                                                <w:top w:val="none" w:sz="0" w:space="0" w:color="auto"/>
                                                <w:left w:val="none" w:sz="0" w:space="0" w:color="auto"/>
                                                <w:bottom w:val="none" w:sz="0" w:space="0" w:color="auto"/>
                                                <w:right w:val="none" w:sz="0" w:space="0" w:color="auto"/>
                                              </w:divBdr>
                                              <w:divsChild>
                                                <w:div w:id="2320282">
                                                  <w:marLeft w:val="0"/>
                                                  <w:marRight w:val="0"/>
                                                  <w:marTop w:val="0"/>
                                                  <w:marBottom w:val="0"/>
                                                  <w:divBdr>
                                                    <w:top w:val="none" w:sz="0" w:space="0" w:color="auto"/>
                                                    <w:left w:val="none" w:sz="0" w:space="0" w:color="auto"/>
                                                    <w:bottom w:val="none" w:sz="0" w:space="0" w:color="auto"/>
                                                    <w:right w:val="none" w:sz="0" w:space="0" w:color="auto"/>
                                                  </w:divBdr>
                                                </w:div>
                                              </w:divsChild>
                                            </w:div>
                                            <w:div w:id="134690061">
                                              <w:marLeft w:val="0"/>
                                              <w:marRight w:val="0"/>
                                              <w:marTop w:val="0"/>
                                              <w:marBottom w:val="0"/>
                                              <w:divBdr>
                                                <w:top w:val="none" w:sz="0" w:space="0" w:color="auto"/>
                                                <w:left w:val="none" w:sz="0" w:space="0" w:color="auto"/>
                                                <w:bottom w:val="none" w:sz="0" w:space="0" w:color="auto"/>
                                                <w:right w:val="none" w:sz="0" w:space="0" w:color="auto"/>
                                              </w:divBdr>
                                            </w:div>
                                            <w:div w:id="1106388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38255777">
      <w:bodyDiv w:val="1"/>
      <w:marLeft w:val="0"/>
      <w:marRight w:val="0"/>
      <w:marTop w:val="0"/>
      <w:marBottom w:val="0"/>
      <w:divBdr>
        <w:top w:val="none" w:sz="0" w:space="0" w:color="auto"/>
        <w:left w:val="none" w:sz="0" w:space="0" w:color="auto"/>
        <w:bottom w:val="none" w:sz="0" w:space="0" w:color="auto"/>
        <w:right w:val="none" w:sz="0" w:space="0" w:color="auto"/>
      </w:divBdr>
    </w:div>
    <w:div w:id="1440030369">
      <w:bodyDiv w:val="1"/>
      <w:marLeft w:val="0"/>
      <w:marRight w:val="0"/>
      <w:marTop w:val="0"/>
      <w:marBottom w:val="0"/>
      <w:divBdr>
        <w:top w:val="none" w:sz="0" w:space="0" w:color="auto"/>
        <w:left w:val="none" w:sz="0" w:space="0" w:color="auto"/>
        <w:bottom w:val="none" w:sz="0" w:space="0" w:color="auto"/>
        <w:right w:val="none" w:sz="0" w:space="0" w:color="auto"/>
      </w:divBdr>
    </w:div>
    <w:div w:id="1453136888">
      <w:bodyDiv w:val="1"/>
      <w:marLeft w:val="0"/>
      <w:marRight w:val="0"/>
      <w:marTop w:val="0"/>
      <w:marBottom w:val="0"/>
      <w:divBdr>
        <w:top w:val="none" w:sz="0" w:space="0" w:color="auto"/>
        <w:left w:val="none" w:sz="0" w:space="0" w:color="auto"/>
        <w:bottom w:val="none" w:sz="0" w:space="0" w:color="auto"/>
        <w:right w:val="none" w:sz="0" w:space="0" w:color="auto"/>
      </w:divBdr>
    </w:div>
    <w:div w:id="1515455661">
      <w:bodyDiv w:val="1"/>
      <w:marLeft w:val="0"/>
      <w:marRight w:val="0"/>
      <w:marTop w:val="0"/>
      <w:marBottom w:val="0"/>
      <w:divBdr>
        <w:top w:val="none" w:sz="0" w:space="0" w:color="auto"/>
        <w:left w:val="none" w:sz="0" w:space="0" w:color="auto"/>
        <w:bottom w:val="none" w:sz="0" w:space="0" w:color="auto"/>
        <w:right w:val="none" w:sz="0" w:space="0" w:color="auto"/>
      </w:divBdr>
    </w:div>
    <w:div w:id="1521817862">
      <w:bodyDiv w:val="1"/>
      <w:marLeft w:val="0"/>
      <w:marRight w:val="0"/>
      <w:marTop w:val="0"/>
      <w:marBottom w:val="0"/>
      <w:divBdr>
        <w:top w:val="none" w:sz="0" w:space="0" w:color="auto"/>
        <w:left w:val="none" w:sz="0" w:space="0" w:color="auto"/>
        <w:bottom w:val="none" w:sz="0" w:space="0" w:color="auto"/>
        <w:right w:val="none" w:sz="0" w:space="0" w:color="auto"/>
      </w:divBdr>
    </w:div>
    <w:div w:id="1543864290">
      <w:bodyDiv w:val="1"/>
      <w:marLeft w:val="0"/>
      <w:marRight w:val="0"/>
      <w:marTop w:val="0"/>
      <w:marBottom w:val="0"/>
      <w:divBdr>
        <w:top w:val="none" w:sz="0" w:space="0" w:color="auto"/>
        <w:left w:val="none" w:sz="0" w:space="0" w:color="auto"/>
        <w:bottom w:val="none" w:sz="0" w:space="0" w:color="auto"/>
        <w:right w:val="none" w:sz="0" w:space="0" w:color="auto"/>
      </w:divBdr>
    </w:div>
    <w:div w:id="1565721847">
      <w:bodyDiv w:val="1"/>
      <w:marLeft w:val="0"/>
      <w:marRight w:val="0"/>
      <w:marTop w:val="0"/>
      <w:marBottom w:val="0"/>
      <w:divBdr>
        <w:top w:val="none" w:sz="0" w:space="0" w:color="auto"/>
        <w:left w:val="none" w:sz="0" w:space="0" w:color="auto"/>
        <w:bottom w:val="none" w:sz="0" w:space="0" w:color="auto"/>
        <w:right w:val="none" w:sz="0" w:space="0" w:color="auto"/>
      </w:divBdr>
      <w:divsChild>
        <w:div w:id="1980577034">
          <w:marLeft w:val="0"/>
          <w:marRight w:val="0"/>
          <w:marTop w:val="0"/>
          <w:marBottom w:val="0"/>
          <w:divBdr>
            <w:top w:val="single" w:sz="2" w:space="0" w:color="auto"/>
            <w:left w:val="single" w:sz="2" w:space="0" w:color="auto"/>
            <w:bottom w:val="single" w:sz="2" w:space="0" w:color="auto"/>
            <w:right w:val="single" w:sz="2" w:space="0" w:color="auto"/>
          </w:divBdr>
          <w:divsChild>
            <w:div w:id="102066953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69728167">
      <w:bodyDiv w:val="1"/>
      <w:marLeft w:val="0"/>
      <w:marRight w:val="0"/>
      <w:marTop w:val="0"/>
      <w:marBottom w:val="0"/>
      <w:divBdr>
        <w:top w:val="none" w:sz="0" w:space="0" w:color="auto"/>
        <w:left w:val="none" w:sz="0" w:space="0" w:color="auto"/>
        <w:bottom w:val="none" w:sz="0" w:space="0" w:color="auto"/>
        <w:right w:val="none" w:sz="0" w:space="0" w:color="auto"/>
      </w:divBdr>
    </w:div>
    <w:div w:id="1587836529">
      <w:bodyDiv w:val="1"/>
      <w:marLeft w:val="0"/>
      <w:marRight w:val="0"/>
      <w:marTop w:val="0"/>
      <w:marBottom w:val="0"/>
      <w:divBdr>
        <w:top w:val="none" w:sz="0" w:space="0" w:color="auto"/>
        <w:left w:val="none" w:sz="0" w:space="0" w:color="auto"/>
        <w:bottom w:val="none" w:sz="0" w:space="0" w:color="auto"/>
        <w:right w:val="none" w:sz="0" w:space="0" w:color="auto"/>
      </w:divBdr>
    </w:div>
    <w:div w:id="1608809536">
      <w:bodyDiv w:val="1"/>
      <w:marLeft w:val="0"/>
      <w:marRight w:val="0"/>
      <w:marTop w:val="0"/>
      <w:marBottom w:val="0"/>
      <w:divBdr>
        <w:top w:val="none" w:sz="0" w:space="0" w:color="auto"/>
        <w:left w:val="none" w:sz="0" w:space="0" w:color="auto"/>
        <w:bottom w:val="none" w:sz="0" w:space="0" w:color="auto"/>
        <w:right w:val="none" w:sz="0" w:space="0" w:color="auto"/>
      </w:divBdr>
    </w:div>
    <w:div w:id="1623613726">
      <w:bodyDiv w:val="1"/>
      <w:marLeft w:val="0"/>
      <w:marRight w:val="0"/>
      <w:marTop w:val="0"/>
      <w:marBottom w:val="0"/>
      <w:divBdr>
        <w:top w:val="none" w:sz="0" w:space="0" w:color="auto"/>
        <w:left w:val="none" w:sz="0" w:space="0" w:color="auto"/>
        <w:bottom w:val="none" w:sz="0" w:space="0" w:color="auto"/>
        <w:right w:val="none" w:sz="0" w:space="0" w:color="auto"/>
      </w:divBdr>
    </w:div>
    <w:div w:id="1634748998">
      <w:bodyDiv w:val="1"/>
      <w:marLeft w:val="0"/>
      <w:marRight w:val="0"/>
      <w:marTop w:val="0"/>
      <w:marBottom w:val="0"/>
      <w:divBdr>
        <w:top w:val="none" w:sz="0" w:space="0" w:color="auto"/>
        <w:left w:val="none" w:sz="0" w:space="0" w:color="auto"/>
        <w:bottom w:val="none" w:sz="0" w:space="0" w:color="auto"/>
        <w:right w:val="none" w:sz="0" w:space="0" w:color="auto"/>
      </w:divBdr>
    </w:div>
    <w:div w:id="1652522443">
      <w:bodyDiv w:val="1"/>
      <w:marLeft w:val="0"/>
      <w:marRight w:val="0"/>
      <w:marTop w:val="0"/>
      <w:marBottom w:val="0"/>
      <w:divBdr>
        <w:top w:val="none" w:sz="0" w:space="0" w:color="auto"/>
        <w:left w:val="none" w:sz="0" w:space="0" w:color="auto"/>
        <w:bottom w:val="none" w:sz="0" w:space="0" w:color="auto"/>
        <w:right w:val="none" w:sz="0" w:space="0" w:color="auto"/>
      </w:divBdr>
    </w:div>
    <w:div w:id="1660110853">
      <w:bodyDiv w:val="1"/>
      <w:marLeft w:val="0"/>
      <w:marRight w:val="0"/>
      <w:marTop w:val="0"/>
      <w:marBottom w:val="0"/>
      <w:divBdr>
        <w:top w:val="none" w:sz="0" w:space="0" w:color="auto"/>
        <w:left w:val="none" w:sz="0" w:space="0" w:color="auto"/>
        <w:bottom w:val="none" w:sz="0" w:space="0" w:color="auto"/>
        <w:right w:val="none" w:sz="0" w:space="0" w:color="auto"/>
      </w:divBdr>
    </w:div>
    <w:div w:id="1667170490">
      <w:bodyDiv w:val="1"/>
      <w:marLeft w:val="0"/>
      <w:marRight w:val="0"/>
      <w:marTop w:val="0"/>
      <w:marBottom w:val="0"/>
      <w:divBdr>
        <w:top w:val="none" w:sz="0" w:space="0" w:color="auto"/>
        <w:left w:val="none" w:sz="0" w:space="0" w:color="auto"/>
        <w:bottom w:val="none" w:sz="0" w:space="0" w:color="auto"/>
        <w:right w:val="none" w:sz="0" w:space="0" w:color="auto"/>
      </w:divBdr>
    </w:div>
    <w:div w:id="1722972382">
      <w:bodyDiv w:val="1"/>
      <w:marLeft w:val="0"/>
      <w:marRight w:val="0"/>
      <w:marTop w:val="0"/>
      <w:marBottom w:val="0"/>
      <w:divBdr>
        <w:top w:val="none" w:sz="0" w:space="0" w:color="auto"/>
        <w:left w:val="none" w:sz="0" w:space="0" w:color="auto"/>
        <w:bottom w:val="none" w:sz="0" w:space="0" w:color="auto"/>
        <w:right w:val="none" w:sz="0" w:space="0" w:color="auto"/>
      </w:divBdr>
    </w:div>
    <w:div w:id="1744644814">
      <w:bodyDiv w:val="1"/>
      <w:marLeft w:val="0"/>
      <w:marRight w:val="0"/>
      <w:marTop w:val="0"/>
      <w:marBottom w:val="0"/>
      <w:divBdr>
        <w:top w:val="none" w:sz="0" w:space="0" w:color="auto"/>
        <w:left w:val="none" w:sz="0" w:space="0" w:color="auto"/>
        <w:bottom w:val="none" w:sz="0" w:space="0" w:color="auto"/>
        <w:right w:val="none" w:sz="0" w:space="0" w:color="auto"/>
      </w:divBdr>
    </w:div>
    <w:div w:id="1760297273">
      <w:bodyDiv w:val="1"/>
      <w:marLeft w:val="0"/>
      <w:marRight w:val="0"/>
      <w:marTop w:val="0"/>
      <w:marBottom w:val="0"/>
      <w:divBdr>
        <w:top w:val="none" w:sz="0" w:space="0" w:color="auto"/>
        <w:left w:val="none" w:sz="0" w:space="0" w:color="auto"/>
        <w:bottom w:val="none" w:sz="0" w:space="0" w:color="auto"/>
        <w:right w:val="none" w:sz="0" w:space="0" w:color="auto"/>
      </w:divBdr>
    </w:div>
    <w:div w:id="1820803980">
      <w:bodyDiv w:val="1"/>
      <w:marLeft w:val="0"/>
      <w:marRight w:val="0"/>
      <w:marTop w:val="0"/>
      <w:marBottom w:val="0"/>
      <w:divBdr>
        <w:top w:val="none" w:sz="0" w:space="0" w:color="auto"/>
        <w:left w:val="none" w:sz="0" w:space="0" w:color="auto"/>
        <w:bottom w:val="none" w:sz="0" w:space="0" w:color="auto"/>
        <w:right w:val="none" w:sz="0" w:space="0" w:color="auto"/>
      </w:divBdr>
    </w:div>
    <w:div w:id="1965042916">
      <w:bodyDiv w:val="1"/>
      <w:marLeft w:val="0"/>
      <w:marRight w:val="0"/>
      <w:marTop w:val="0"/>
      <w:marBottom w:val="0"/>
      <w:divBdr>
        <w:top w:val="none" w:sz="0" w:space="0" w:color="auto"/>
        <w:left w:val="none" w:sz="0" w:space="0" w:color="auto"/>
        <w:bottom w:val="none" w:sz="0" w:space="0" w:color="auto"/>
        <w:right w:val="none" w:sz="0" w:space="0" w:color="auto"/>
      </w:divBdr>
    </w:div>
    <w:div w:id="1972906212">
      <w:bodyDiv w:val="1"/>
      <w:marLeft w:val="0"/>
      <w:marRight w:val="0"/>
      <w:marTop w:val="0"/>
      <w:marBottom w:val="0"/>
      <w:divBdr>
        <w:top w:val="none" w:sz="0" w:space="0" w:color="auto"/>
        <w:left w:val="none" w:sz="0" w:space="0" w:color="auto"/>
        <w:bottom w:val="none" w:sz="0" w:space="0" w:color="auto"/>
        <w:right w:val="none" w:sz="0" w:space="0" w:color="auto"/>
      </w:divBdr>
    </w:div>
    <w:div w:id="1974212672">
      <w:bodyDiv w:val="1"/>
      <w:marLeft w:val="0"/>
      <w:marRight w:val="0"/>
      <w:marTop w:val="0"/>
      <w:marBottom w:val="0"/>
      <w:divBdr>
        <w:top w:val="none" w:sz="0" w:space="0" w:color="auto"/>
        <w:left w:val="none" w:sz="0" w:space="0" w:color="auto"/>
        <w:bottom w:val="none" w:sz="0" w:space="0" w:color="auto"/>
        <w:right w:val="none" w:sz="0" w:space="0" w:color="auto"/>
      </w:divBdr>
    </w:div>
    <w:div w:id="1981114375">
      <w:bodyDiv w:val="1"/>
      <w:marLeft w:val="0"/>
      <w:marRight w:val="0"/>
      <w:marTop w:val="0"/>
      <w:marBottom w:val="0"/>
      <w:divBdr>
        <w:top w:val="none" w:sz="0" w:space="0" w:color="auto"/>
        <w:left w:val="none" w:sz="0" w:space="0" w:color="auto"/>
        <w:bottom w:val="none" w:sz="0" w:space="0" w:color="auto"/>
        <w:right w:val="none" w:sz="0" w:space="0" w:color="auto"/>
      </w:divBdr>
    </w:div>
    <w:div w:id="2010908741">
      <w:bodyDiv w:val="1"/>
      <w:marLeft w:val="0"/>
      <w:marRight w:val="0"/>
      <w:marTop w:val="0"/>
      <w:marBottom w:val="0"/>
      <w:divBdr>
        <w:top w:val="none" w:sz="0" w:space="0" w:color="auto"/>
        <w:left w:val="none" w:sz="0" w:space="0" w:color="auto"/>
        <w:bottom w:val="none" w:sz="0" w:space="0" w:color="auto"/>
        <w:right w:val="none" w:sz="0" w:space="0" w:color="auto"/>
      </w:divBdr>
    </w:div>
    <w:div w:id="2018072787">
      <w:bodyDiv w:val="1"/>
      <w:marLeft w:val="0"/>
      <w:marRight w:val="0"/>
      <w:marTop w:val="0"/>
      <w:marBottom w:val="0"/>
      <w:divBdr>
        <w:top w:val="none" w:sz="0" w:space="0" w:color="auto"/>
        <w:left w:val="none" w:sz="0" w:space="0" w:color="auto"/>
        <w:bottom w:val="none" w:sz="0" w:space="0" w:color="auto"/>
        <w:right w:val="none" w:sz="0" w:space="0" w:color="auto"/>
      </w:divBdr>
    </w:div>
    <w:div w:id="2018270554">
      <w:bodyDiv w:val="1"/>
      <w:marLeft w:val="0"/>
      <w:marRight w:val="0"/>
      <w:marTop w:val="0"/>
      <w:marBottom w:val="0"/>
      <w:divBdr>
        <w:top w:val="none" w:sz="0" w:space="0" w:color="auto"/>
        <w:left w:val="none" w:sz="0" w:space="0" w:color="auto"/>
        <w:bottom w:val="none" w:sz="0" w:space="0" w:color="auto"/>
        <w:right w:val="none" w:sz="0" w:space="0" w:color="auto"/>
      </w:divBdr>
    </w:div>
    <w:div w:id="2059627793">
      <w:bodyDiv w:val="1"/>
      <w:marLeft w:val="0"/>
      <w:marRight w:val="0"/>
      <w:marTop w:val="0"/>
      <w:marBottom w:val="0"/>
      <w:divBdr>
        <w:top w:val="none" w:sz="0" w:space="0" w:color="auto"/>
        <w:left w:val="none" w:sz="0" w:space="0" w:color="auto"/>
        <w:bottom w:val="none" w:sz="0" w:space="0" w:color="auto"/>
        <w:right w:val="none" w:sz="0" w:space="0" w:color="auto"/>
      </w:divBdr>
    </w:div>
    <w:div w:id="2100252140">
      <w:bodyDiv w:val="1"/>
      <w:marLeft w:val="0"/>
      <w:marRight w:val="0"/>
      <w:marTop w:val="0"/>
      <w:marBottom w:val="0"/>
      <w:divBdr>
        <w:top w:val="none" w:sz="0" w:space="0" w:color="auto"/>
        <w:left w:val="none" w:sz="0" w:space="0" w:color="auto"/>
        <w:bottom w:val="none" w:sz="0" w:space="0" w:color="auto"/>
        <w:right w:val="none" w:sz="0" w:space="0" w:color="auto"/>
      </w:divBdr>
    </w:div>
    <w:div w:id="2101563532">
      <w:bodyDiv w:val="1"/>
      <w:marLeft w:val="0"/>
      <w:marRight w:val="0"/>
      <w:marTop w:val="0"/>
      <w:marBottom w:val="0"/>
      <w:divBdr>
        <w:top w:val="none" w:sz="0" w:space="0" w:color="auto"/>
        <w:left w:val="none" w:sz="0" w:space="0" w:color="auto"/>
        <w:bottom w:val="none" w:sz="0" w:space="0" w:color="auto"/>
        <w:right w:val="none" w:sz="0" w:space="0" w:color="auto"/>
      </w:divBdr>
    </w:div>
    <w:div w:id="2121096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6" Type="http://schemas.openxmlformats.org/officeDocument/2006/relationships/footer" Target="footer1.xml"/><Relationship Id="rId107" Type="http://schemas.openxmlformats.org/officeDocument/2006/relationships/theme" Target="theme/theme1.xml"/><Relationship Id="rId11" Type="http://schemas.openxmlformats.org/officeDocument/2006/relationships/image" Target="media/image1.png"/><Relationship Id="rId32" Type="http://schemas.openxmlformats.org/officeDocument/2006/relationships/image" Target="media/image21.png"/><Relationship Id="rId37" Type="http://schemas.openxmlformats.org/officeDocument/2006/relationships/image" Target="media/image26.emf"/><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image" Target="media/image91.png"/><Relationship Id="rId5" Type="http://schemas.openxmlformats.org/officeDocument/2006/relationships/numbering" Target="numbering.xml"/><Relationship Id="rId90" Type="http://schemas.openxmlformats.org/officeDocument/2006/relationships/image" Target="media/image79.png"/><Relationship Id="rId95" Type="http://schemas.openxmlformats.org/officeDocument/2006/relationships/image" Target="media/image84.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png"/><Relationship Id="rId80" Type="http://schemas.openxmlformats.org/officeDocument/2006/relationships/image" Target="media/image69.png"/><Relationship Id="rId85" Type="http://schemas.openxmlformats.org/officeDocument/2006/relationships/image" Target="media/image74.png"/><Relationship Id="rId12" Type="http://schemas.openxmlformats.org/officeDocument/2006/relationships/image" Target="media/image2.png"/><Relationship Id="rId17" Type="http://schemas.openxmlformats.org/officeDocument/2006/relationships/image" Target="media/image6.png"/><Relationship Id="rId33" Type="http://schemas.openxmlformats.org/officeDocument/2006/relationships/image" Target="media/image22.png"/><Relationship Id="rId38" Type="http://schemas.openxmlformats.org/officeDocument/2006/relationships/image" Target="media/image27.png"/><Relationship Id="rId59" Type="http://schemas.openxmlformats.org/officeDocument/2006/relationships/image" Target="media/image48.png"/><Relationship Id="rId103" Type="http://schemas.openxmlformats.org/officeDocument/2006/relationships/image" Target="media/image92.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image" Target="media/image80.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6"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7.png"/><Relationship Id="rId39" Type="http://schemas.openxmlformats.org/officeDocument/2006/relationships/image" Target="media/image28.emf"/><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image" Target="media/image93.png"/><Relationship Id="rId7" Type="http://schemas.openxmlformats.org/officeDocument/2006/relationships/settings" Target="settings.xml"/><Relationship Id="rId71" Type="http://schemas.openxmlformats.org/officeDocument/2006/relationships/image" Target="media/image60.emf"/><Relationship Id="rId92" Type="http://schemas.openxmlformats.org/officeDocument/2006/relationships/image" Target="media/image81.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emf"/><Relationship Id="rId66" Type="http://schemas.openxmlformats.org/officeDocument/2006/relationships/image" Target="media/image55.png"/><Relationship Id="rId87" Type="http://schemas.openxmlformats.org/officeDocument/2006/relationships/image" Target="media/image76.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image" Target="media/image4.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footer" Target="footer2.xml"/><Relationship Id="rId8" Type="http://schemas.openxmlformats.org/officeDocument/2006/relationships/webSettings" Target="webSettings.xml"/><Relationship Id="rId51" Type="http://schemas.openxmlformats.org/officeDocument/2006/relationships/image" Target="media/image40.png"/><Relationship Id="rId72" Type="http://schemas.openxmlformats.org/officeDocument/2006/relationships/image" Target="media/image61.emf"/><Relationship Id="rId93" Type="http://schemas.openxmlformats.org/officeDocument/2006/relationships/image" Target="media/image82.png"/><Relationship Id="rId98" Type="http://schemas.openxmlformats.org/officeDocument/2006/relationships/image" Target="media/image87.png"/><Relationship Id="rId3" Type="http://schemas.openxmlformats.org/officeDocument/2006/relationships/customXml" Target="../customXml/item3.xml"/><Relationship Id="rId25" Type="http://schemas.openxmlformats.org/officeDocument/2006/relationships/image" Target="media/image14.png"/><Relationship Id="rId46" Type="http://schemas.openxmlformats.org/officeDocument/2006/relationships/image" Target="media/image35.png"/><Relationship Id="rId67" Type="http://schemas.openxmlformats.org/officeDocument/2006/relationships/image" Target="media/image5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CFE818538704A46B6C7E7FDC7B78DE5" ma:contentTypeVersion="16" ma:contentTypeDescription="Create a new document." ma:contentTypeScope="" ma:versionID="210c2a5d69e6997e53f3d1f7e251966a">
  <xsd:schema xmlns:xsd="http://www.w3.org/2001/XMLSchema" xmlns:xs="http://www.w3.org/2001/XMLSchema" xmlns:p="http://schemas.microsoft.com/office/2006/metadata/properties" xmlns:ns3="540f991d-76c4-476c-bc17-27845eaedf3c" xmlns:ns4="72bacf14-1fa9-4fd1-bc77-603f384183f3" targetNamespace="http://schemas.microsoft.com/office/2006/metadata/properties" ma:root="true" ma:fieldsID="8834f8fe5bc920e4f4162914f7ff849d" ns3:_="" ns4:_="">
    <xsd:import namespace="540f991d-76c4-476c-bc17-27845eaedf3c"/>
    <xsd:import namespace="72bacf14-1fa9-4fd1-bc77-603f384183f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ObjectDetectorVersions" minOccurs="0"/>
                <xsd:element ref="ns3:MediaServiceOCR" minOccurs="0"/>
                <xsd:element ref="ns3:MediaServiceDateTaken" minOccurs="0"/>
                <xsd:element ref="ns3:MediaLengthInSeconds" minOccurs="0"/>
                <xsd:element ref="ns3:MediaServiceSystemTags"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0f991d-76c4-476c-bc17-27845eaedf3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2bacf14-1fa9-4fd1-bc77-603f384183f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540f991d-76c4-476c-bc17-27845eaedf3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98A6A5-9BEC-4A33-B24D-4EA87AA14E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0f991d-76c4-476c-bc17-27845eaedf3c"/>
    <ds:schemaRef ds:uri="72bacf14-1fa9-4fd1-bc77-603f384183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2F9ECC8-8D57-449C-B055-46EC673744F9}">
  <ds:schemaRefs>
    <ds:schemaRef ds:uri="http://schemas.openxmlformats.org/officeDocument/2006/bibliography"/>
  </ds:schemaRefs>
</ds:datastoreItem>
</file>

<file path=customXml/itemProps3.xml><?xml version="1.0" encoding="utf-8"?>
<ds:datastoreItem xmlns:ds="http://schemas.openxmlformats.org/officeDocument/2006/customXml" ds:itemID="{92CB322E-5155-4B81-B20D-0824BC55A6F6}">
  <ds:schemaRefs>
    <ds:schemaRef ds:uri="http://schemas.microsoft.com/office/2006/metadata/properties"/>
    <ds:schemaRef ds:uri="http://schemas.microsoft.com/office/infopath/2007/PartnerControls"/>
    <ds:schemaRef ds:uri="540f991d-76c4-476c-bc17-27845eaedf3c"/>
  </ds:schemaRefs>
</ds:datastoreItem>
</file>

<file path=customXml/itemProps4.xml><?xml version="1.0" encoding="utf-8"?>
<ds:datastoreItem xmlns:ds="http://schemas.openxmlformats.org/officeDocument/2006/customXml" ds:itemID="{CD30A5B6-3371-44AC-977D-46B7495BF237}">
  <ds:schemaRefs>
    <ds:schemaRef ds:uri="http://schemas.microsoft.com/sharepoint/v3/contenttype/forms"/>
  </ds:schemaRefs>
</ds:datastoreItem>
</file>

<file path=docMetadata/LabelInfo.xml><?xml version="1.0" encoding="utf-8"?>
<clbl:labelList xmlns:clbl="http://schemas.microsoft.com/office/2020/mipLabelMetadata">
  <clbl:label id="{1ada0a2f-b917-4d51-b0d0-d418a10c8b23}" enabled="1" method="Standard" siteId="{12a3af23-a769-4654-847f-958f3d479f4a}" removed="0"/>
</clbl:labelList>
</file>

<file path=docProps/app.xml><?xml version="1.0" encoding="utf-8"?>
<Properties xmlns="http://schemas.openxmlformats.org/officeDocument/2006/extended-properties" xmlns:vt="http://schemas.openxmlformats.org/officeDocument/2006/docPropsVTypes">
  <Template>Normal</Template>
  <TotalTime>0</TotalTime>
  <Pages>111</Pages>
  <Words>13738</Words>
  <Characters>90255</Characters>
  <Application>Microsoft Office Word</Application>
  <DocSecurity>0</DocSecurity>
  <Lines>1473</Lines>
  <Paragraphs>401</Paragraphs>
  <ScaleCrop>false</ScaleCrop>
  <HeadingPairs>
    <vt:vector size="2" baseType="variant">
      <vt:variant>
        <vt:lpstr>Title</vt:lpstr>
      </vt:variant>
      <vt:variant>
        <vt:i4>1</vt:i4>
      </vt:variant>
    </vt:vector>
  </HeadingPairs>
  <TitlesOfParts>
    <vt:vector size="1" baseType="lpstr">
      <vt:lpstr/>
    </vt:vector>
  </TitlesOfParts>
  <Company>Nestle</Company>
  <LinksUpToDate>false</LinksUpToDate>
  <CharactersWithSpaces>103627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Consumer Purchase Intention Drivers in Hong Kong’s Instant Coffee Market: Examining the Effects of Social Media Marketing Activities, Environmental Conscious, Sustainability, and Brand Trust</dc:title>
  <dc:subject/>
  <dc:creator>Leung,Fion,HK-Hong Kong(Kowloon),Sales</dc:creator>
  <cp:keywords/>
  <dc:description/>
  <cp:lastModifiedBy>Leung,Fion,HK-Hong Kong(Kowloon),Sales</cp:lastModifiedBy>
  <cp:revision>536</cp:revision>
  <cp:lastPrinted>2025-11-11T04:57:00Z</cp:lastPrinted>
  <dcterms:created xsi:type="dcterms:W3CDTF">2025-11-06T14:06:00Z</dcterms:created>
  <dcterms:modified xsi:type="dcterms:W3CDTF">2025-11-11T04:57:00Z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0x010100CCFE818538704A46B6C7E7FDC7B78DE5</vt:lpwstr>
  </property>
</Properties>
</file>