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79C46" w14:textId="77777777" w:rsidR="00996B6A" w:rsidRPr="00996B6A" w:rsidRDefault="00996B6A" w:rsidP="007D2452">
      <w:pPr>
        <w:pStyle w:val="NoSpacing"/>
        <w:spacing w:line="480" w:lineRule="auto"/>
        <w:jc w:val="center"/>
        <w:rPr>
          <w:rFonts w:cstheme="minorHAnsi"/>
          <w:b/>
          <w:bCs/>
          <w:color w:val="000000" w:themeColor="text1"/>
          <w:sz w:val="24"/>
          <w:szCs w:val="24"/>
        </w:rPr>
      </w:pPr>
      <w:r w:rsidRPr="00996B6A">
        <w:rPr>
          <w:rFonts w:cstheme="minorHAnsi"/>
          <w:b/>
          <w:bCs/>
          <w:color w:val="000000" w:themeColor="text1"/>
          <w:sz w:val="24"/>
          <w:szCs w:val="24"/>
        </w:rPr>
        <w:t xml:space="preserve">Evaluate the extent to which the courts will uphold a contract </w:t>
      </w:r>
      <w:proofErr w:type="gramStart"/>
      <w:r w:rsidRPr="00996B6A">
        <w:rPr>
          <w:rFonts w:cstheme="minorHAnsi"/>
          <w:b/>
          <w:bCs/>
          <w:color w:val="000000" w:themeColor="text1"/>
          <w:sz w:val="24"/>
          <w:szCs w:val="24"/>
        </w:rPr>
        <w:t>entered into</w:t>
      </w:r>
      <w:proofErr w:type="gramEnd"/>
      <w:r w:rsidRPr="00996B6A">
        <w:rPr>
          <w:rFonts w:cstheme="minorHAnsi"/>
          <w:b/>
          <w:bCs/>
          <w:color w:val="000000" w:themeColor="text1"/>
          <w:sz w:val="24"/>
          <w:szCs w:val="24"/>
        </w:rPr>
        <w:t xml:space="preserve"> as a result of threats or pressure by one party to the contract upon the other.</w:t>
      </w:r>
    </w:p>
    <w:p w14:paraId="42D301EC" w14:textId="77777777" w:rsidR="00996B6A" w:rsidRPr="00996B6A" w:rsidRDefault="00996B6A" w:rsidP="007D2452">
      <w:pPr>
        <w:pStyle w:val="NoSpacing"/>
        <w:spacing w:line="480" w:lineRule="auto"/>
        <w:rPr>
          <w:rFonts w:cstheme="minorHAnsi"/>
          <w:b/>
          <w:bCs/>
          <w:color w:val="000000" w:themeColor="text1"/>
          <w:sz w:val="24"/>
          <w:szCs w:val="24"/>
        </w:rPr>
      </w:pPr>
    </w:p>
    <w:p w14:paraId="33FD8211" w14:textId="77777777" w:rsidR="00996B6A" w:rsidRPr="00996B6A" w:rsidRDefault="00996B6A" w:rsidP="007D2452">
      <w:pPr>
        <w:spacing w:line="480" w:lineRule="auto"/>
        <w:rPr>
          <w:rFonts w:cstheme="minorHAnsi"/>
          <w:color w:val="000000" w:themeColor="text1"/>
          <w:sz w:val="24"/>
          <w:szCs w:val="24"/>
        </w:rPr>
      </w:pPr>
      <w:r w:rsidRPr="00996B6A">
        <w:rPr>
          <w:rFonts w:cstheme="minorHAnsi"/>
          <w:i/>
          <w:color w:val="000000" w:themeColor="text1"/>
          <w:sz w:val="24"/>
          <w:szCs w:val="24"/>
        </w:rPr>
        <w:t xml:space="preserve">“Duress is a common law area which was traditionally associated with intimidation that was real or at least sufficiently real and threatening to vitiate the consent of the other party, and mean that he was prevented in effect from acting with free will when reaching the agreement” </w:t>
      </w:r>
      <w:r w:rsidRPr="00996B6A">
        <w:rPr>
          <w:rFonts w:cstheme="minorHAnsi"/>
          <w:color w:val="000000" w:themeColor="text1"/>
          <w:sz w:val="24"/>
          <w:szCs w:val="24"/>
        </w:rPr>
        <w:t>(Turner, 2014, p.229). Duress is generally associated with intimidation that is real or sufficiently real and such threatens the other party’s consent and free will (</w:t>
      </w:r>
      <w:r w:rsidRPr="00996B6A">
        <w:rPr>
          <w:rFonts w:cstheme="minorHAnsi"/>
          <w:i/>
          <w:iCs/>
          <w:color w:val="000000" w:themeColor="text1"/>
          <w:sz w:val="24"/>
          <w:szCs w:val="24"/>
        </w:rPr>
        <w:t>Cumming v Ince</w:t>
      </w:r>
      <w:r w:rsidRPr="00996B6A">
        <w:rPr>
          <w:rFonts w:cstheme="minorHAnsi"/>
          <w:color w:val="000000" w:themeColor="text1"/>
          <w:sz w:val="24"/>
          <w:szCs w:val="24"/>
        </w:rPr>
        <w:t>) and such takes in account ‘improper power’ The courts generally show reluctance in introducing elements of good faith in a contract. There is ample case law that shows judiciary’s disinclination in regards to setting aside a contract between parties that do not have equal bargaining powers, solely on the grounds of inequality. However, at the same time, the courts do not let the strong abuse their powers to extract agreement from the weaker – there is ample case law where such agreements have been set aside on the grounds that there was no ‘genuine agreement’ in the first place. This is the area of law where the law and equity developed differently and at different pace. While the courts of equity set aside a contract which was entered into on the basis of illegitimate pressure, the common law courts took some time to develop such an understanding. Nevertheless, the courts at common law render a contract voidable under the doctrine of duress, where one party to the contract has used illegitimate pressure in the formation or the process of the contract</w:t>
      </w:r>
      <w:sdt>
        <w:sdtPr>
          <w:rPr>
            <w:rFonts w:cstheme="minorHAnsi"/>
            <w:color w:val="000000" w:themeColor="text1"/>
            <w:sz w:val="24"/>
            <w:szCs w:val="24"/>
          </w:rPr>
          <w:id w:val="-251284338"/>
          <w:citation/>
        </w:sdtPr>
        <w:sdtEndPr/>
        <w:sdtContent>
          <w:r w:rsidRPr="00996B6A">
            <w:rPr>
              <w:rFonts w:cstheme="minorHAnsi"/>
              <w:color w:val="000000" w:themeColor="text1"/>
              <w:sz w:val="24"/>
              <w:szCs w:val="24"/>
            </w:rPr>
            <w:fldChar w:fldCharType="begin"/>
          </w:r>
          <w:r w:rsidRPr="00996B6A">
            <w:rPr>
              <w:rFonts w:cstheme="minorHAnsi"/>
              <w:color w:val="000000" w:themeColor="text1"/>
              <w:sz w:val="24"/>
              <w:szCs w:val="24"/>
            </w:rPr>
            <w:instrText xml:space="preserve"> CITATION DJL66 \l 1033 </w:instrText>
          </w:r>
          <w:r w:rsidRPr="00996B6A">
            <w:rPr>
              <w:rFonts w:cstheme="minorHAnsi"/>
              <w:color w:val="000000" w:themeColor="text1"/>
              <w:sz w:val="24"/>
              <w:szCs w:val="24"/>
            </w:rPr>
            <w:fldChar w:fldCharType="separate"/>
          </w:r>
          <w:r w:rsidRPr="00996B6A">
            <w:rPr>
              <w:rFonts w:cstheme="minorHAnsi"/>
              <w:noProof/>
              <w:color w:val="000000" w:themeColor="text1"/>
              <w:sz w:val="24"/>
              <w:szCs w:val="24"/>
            </w:rPr>
            <w:t xml:space="preserve"> (Lanham, 1966)</w:t>
          </w:r>
          <w:r w:rsidRPr="00996B6A">
            <w:rPr>
              <w:rFonts w:cstheme="minorHAnsi"/>
              <w:color w:val="000000" w:themeColor="text1"/>
              <w:sz w:val="24"/>
              <w:szCs w:val="24"/>
            </w:rPr>
            <w:fldChar w:fldCharType="end"/>
          </w:r>
        </w:sdtContent>
      </w:sdt>
      <w:r w:rsidRPr="00996B6A">
        <w:rPr>
          <w:rFonts w:cstheme="minorHAnsi"/>
          <w:color w:val="000000" w:themeColor="text1"/>
          <w:sz w:val="24"/>
          <w:szCs w:val="24"/>
        </w:rPr>
        <w:t>.</w:t>
      </w:r>
    </w:p>
    <w:p w14:paraId="1F739D05"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Initially, the common law took a very narrow approach towards the cases of duress. Only the cases that concerned a duress to person (that is, a person getting into a contract under a threat to personal security) were recognized as duress</w:t>
      </w:r>
      <w:sdt>
        <w:sdtPr>
          <w:rPr>
            <w:rFonts w:cstheme="minorHAnsi"/>
            <w:color w:val="000000" w:themeColor="text1"/>
            <w:sz w:val="24"/>
            <w:szCs w:val="24"/>
          </w:rPr>
          <w:id w:val="339439711"/>
          <w:citation/>
        </w:sdtPr>
        <w:sdtEndPr/>
        <w:sdtContent>
          <w:r w:rsidRPr="00996B6A">
            <w:rPr>
              <w:rFonts w:cstheme="minorHAnsi"/>
              <w:color w:val="000000" w:themeColor="text1"/>
              <w:sz w:val="24"/>
              <w:szCs w:val="24"/>
            </w:rPr>
            <w:fldChar w:fldCharType="begin"/>
          </w:r>
          <w:r w:rsidRPr="00996B6A">
            <w:rPr>
              <w:rFonts w:cstheme="minorHAnsi"/>
              <w:color w:val="000000" w:themeColor="text1"/>
              <w:sz w:val="24"/>
              <w:szCs w:val="24"/>
            </w:rPr>
            <w:instrText xml:space="preserve"> CITATION DJL66 \l 1033 </w:instrText>
          </w:r>
          <w:r w:rsidRPr="00996B6A">
            <w:rPr>
              <w:rFonts w:cstheme="minorHAnsi"/>
              <w:color w:val="000000" w:themeColor="text1"/>
              <w:sz w:val="24"/>
              <w:szCs w:val="24"/>
            </w:rPr>
            <w:fldChar w:fldCharType="separate"/>
          </w:r>
          <w:r w:rsidRPr="00996B6A">
            <w:rPr>
              <w:rFonts w:cstheme="minorHAnsi"/>
              <w:noProof/>
              <w:color w:val="000000" w:themeColor="text1"/>
              <w:sz w:val="24"/>
              <w:szCs w:val="24"/>
            </w:rPr>
            <w:t xml:space="preserve"> (Lanham, 1966)</w:t>
          </w:r>
          <w:r w:rsidRPr="00996B6A">
            <w:rPr>
              <w:rFonts w:cstheme="minorHAnsi"/>
              <w:color w:val="000000" w:themeColor="text1"/>
              <w:sz w:val="24"/>
              <w:szCs w:val="24"/>
            </w:rPr>
            <w:fldChar w:fldCharType="end"/>
          </w:r>
        </w:sdtContent>
      </w:sdt>
      <w:r w:rsidRPr="00996B6A">
        <w:rPr>
          <w:rFonts w:cstheme="minorHAnsi"/>
          <w:color w:val="000000" w:themeColor="text1"/>
          <w:sz w:val="24"/>
          <w:szCs w:val="24"/>
        </w:rPr>
        <w:t xml:space="preserve">. However, the </w:t>
      </w:r>
      <w:r w:rsidRPr="00996B6A">
        <w:rPr>
          <w:rFonts w:cstheme="minorHAnsi"/>
          <w:color w:val="000000" w:themeColor="text1"/>
          <w:sz w:val="24"/>
          <w:szCs w:val="24"/>
        </w:rPr>
        <w:lastRenderedPageBreak/>
        <w:t xml:space="preserve">common law developed in the said area of contract law slowly and gradually; with time, the courts at common law expanded the range of duress cases from duress to person to cover duress of goods, and more recently, to cover economic duress as well. </w:t>
      </w:r>
    </w:p>
    <w:p w14:paraId="315B904D"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Under common law, the general rule is that duress does not render a contract void, but voidable; the consent that was given by the victim party is regarded as an apparent consent and the same is treated as revocable. Therefore, the victim party is given the option to either affirm the contract or nullify it. If in case the victim party decides to not affirm the contract, then the contract is rendered void; this can be seen in the case </w:t>
      </w:r>
      <w:r w:rsidRPr="00996B6A">
        <w:rPr>
          <w:rFonts w:cstheme="minorHAnsi"/>
          <w:i/>
          <w:iCs/>
          <w:color w:val="000000" w:themeColor="text1"/>
          <w:sz w:val="24"/>
          <w:szCs w:val="24"/>
        </w:rPr>
        <w:t>of Universe Tankships of Monrovia v International (The Universe Sentinel)</w:t>
      </w:r>
      <w:r w:rsidRPr="00996B6A">
        <w:rPr>
          <w:rFonts w:cstheme="minorHAnsi"/>
          <w:color w:val="000000" w:themeColor="text1"/>
          <w:sz w:val="24"/>
          <w:szCs w:val="24"/>
        </w:rPr>
        <w:t xml:space="preserve">. Another important case in the said regard is the </w:t>
      </w:r>
      <w:r w:rsidRPr="00996B6A">
        <w:rPr>
          <w:rFonts w:cstheme="minorHAnsi"/>
          <w:i/>
          <w:iCs/>
          <w:color w:val="000000" w:themeColor="text1"/>
          <w:sz w:val="24"/>
          <w:szCs w:val="24"/>
        </w:rPr>
        <w:t>Pao On v Lau Yiu Long</w:t>
      </w:r>
      <w:r w:rsidRPr="00996B6A">
        <w:rPr>
          <w:rFonts w:cstheme="minorHAnsi"/>
          <w:color w:val="000000" w:themeColor="text1"/>
          <w:sz w:val="24"/>
          <w:szCs w:val="24"/>
        </w:rPr>
        <w:t xml:space="preserve"> case. </w:t>
      </w:r>
    </w:p>
    <w:p w14:paraId="20BB9864"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There are several significant consequences that can be seen as a direct effect of a contract being rendered voidable due to duress, such as, the victim party should act as early as possible to set the contract aside, as held in the case of </w:t>
      </w:r>
      <w:r w:rsidRPr="00996B6A">
        <w:rPr>
          <w:rFonts w:cstheme="minorHAnsi"/>
          <w:i/>
          <w:iCs/>
          <w:color w:val="000000" w:themeColor="text1"/>
          <w:sz w:val="24"/>
          <w:szCs w:val="24"/>
        </w:rPr>
        <w:t>North Ocean Shipping v Hyundai Construction</w:t>
      </w:r>
      <w:r w:rsidRPr="00996B6A">
        <w:rPr>
          <w:rFonts w:cstheme="minorHAnsi"/>
          <w:color w:val="000000" w:themeColor="text1"/>
          <w:sz w:val="24"/>
          <w:szCs w:val="24"/>
        </w:rPr>
        <w:t>; as well as a 3</w:t>
      </w:r>
      <w:r w:rsidRPr="00996B6A">
        <w:rPr>
          <w:rFonts w:cstheme="minorHAnsi"/>
          <w:color w:val="000000" w:themeColor="text1"/>
          <w:sz w:val="24"/>
          <w:szCs w:val="24"/>
          <w:vertAlign w:val="superscript"/>
        </w:rPr>
        <w:t>rd</w:t>
      </w:r>
      <w:r w:rsidRPr="00996B6A">
        <w:rPr>
          <w:rFonts w:cstheme="minorHAnsi"/>
          <w:color w:val="000000" w:themeColor="text1"/>
          <w:sz w:val="24"/>
          <w:szCs w:val="24"/>
        </w:rPr>
        <w:t xml:space="preserve"> party acquiring good title to the goods that were supplied by a vendor who received those goods under a contract which was executed under duress (McKendrick, 2017).</w:t>
      </w:r>
    </w:p>
    <w:p w14:paraId="57D1F391"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There are three types of duress under contract law. The courts at common law recognized duress to person the earliest. When one of the parties to the contract force another to get into an agreement against the threat of violence, it is rendered as a duress to person. As far as duress to person is one of the reasons to contract, the courts will treat the contract as voidable; it is not necessary that duress to person should be the only reason for contract. In other words, even if the parties got into an agreement for several reasons, out of which one </w:t>
      </w:r>
      <w:r w:rsidRPr="00996B6A">
        <w:rPr>
          <w:rFonts w:cstheme="minorHAnsi"/>
          <w:color w:val="000000" w:themeColor="text1"/>
          <w:sz w:val="24"/>
          <w:szCs w:val="24"/>
        </w:rPr>
        <w:lastRenderedPageBreak/>
        <w:t xml:space="preserve">reason was duress to person, the contract will still be considered to be voidable – case of </w:t>
      </w:r>
      <w:r w:rsidRPr="00996B6A">
        <w:rPr>
          <w:rFonts w:cstheme="minorHAnsi"/>
          <w:i/>
          <w:iCs/>
          <w:color w:val="000000" w:themeColor="text1"/>
          <w:sz w:val="24"/>
          <w:szCs w:val="24"/>
        </w:rPr>
        <w:t>Barton v Armstrong</w:t>
      </w:r>
      <w:r w:rsidRPr="00996B6A">
        <w:rPr>
          <w:rFonts w:cstheme="minorHAnsi"/>
          <w:color w:val="000000" w:themeColor="text1"/>
          <w:sz w:val="24"/>
          <w:szCs w:val="24"/>
        </w:rPr>
        <w:t xml:space="preserve"> can be seen as a binding precedent (Andrew, 2015).</w:t>
      </w:r>
    </w:p>
    <w:p w14:paraId="2C79E735" w14:textId="77777777" w:rsidR="00996B6A" w:rsidRPr="00996B6A" w:rsidRDefault="00996B6A" w:rsidP="007D2452">
      <w:pPr>
        <w:spacing w:line="480" w:lineRule="auto"/>
        <w:rPr>
          <w:rFonts w:cstheme="minorHAnsi"/>
          <w:i/>
          <w:iCs/>
          <w:color w:val="000000" w:themeColor="text1"/>
          <w:sz w:val="24"/>
          <w:szCs w:val="24"/>
        </w:rPr>
      </w:pPr>
      <w:r w:rsidRPr="00996B6A">
        <w:rPr>
          <w:rFonts w:cstheme="minorHAnsi"/>
          <w:color w:val="000000" w:themeColor="text1"/>
          <w:sz w:val="24"/>
          <w:szCs w:val="24"/>
        </w:rPr>
        <w:t xml:space="preserve">Duress to good, put simply, is when one of the parties threatens to take (or </w:t>
      </w:r>
      <w:proofErr w:type="gramStart"/>
      <w:r w:rsidRPr="00996B6A">
        <w:rPr>
          <w:rFonts w:cstheme="minorHAnsi"/>
          <w:color w:val="000000" w:themeColor="text1"/>
          <w:sz w:val="24"/>
          <w:szCs w:val="24"/>
        </w:rPr>
        <w:t>actually takes</w:t>
      </w:r>
      <w:proofErr w:type="gramEnd"/>
      <w:r w:rsidRPr="00996B6A">
        <w:rPr>
          <w:rFonts w:cstheme="minorHAnsi"/>
          <w:color w:val="000000" w:themeColor="text1"/>
          <w:sz w:val="24"/>
          <w:szCs w:val="24"/>
        </w:rPr>
        <w:t>), or threatens to destroy the goods of another unless the other enters into a contract</w:t>
      </w:r>
      <w:sdt>
        <w:sdtPr>
          <w:rPr>
            <w:rFonts w:cstheme="minorHAnsi"/>
            <w:color w:val="000000" w:themeColor="text1"/>
            <w:sz w:val="24"/>
            <w:szCs w:val="24"/>
          </w:rPr>
          <w:id w:val="-2756445"/>
          <w:citation/>
        </w:sdtPr>
        <w:sdtEndPr/>
        <w:sdtContent>
          <w:r w:rsidRPr="00996B6A">
            <w:rPr>
              <w:rFonts w:cstheme="minorHAnsi"/>
              <w:color w:val="000000" w:themeColor="text1"/>
              <w:sz w:val="24"/>
              <w:szCs w:val="24"/>
            </w:rPr>
            <w:fldChar w:fldCharType="begin"/>
          </w:r>
          <w:r w:rsidRPr="00996B6A">
            <w:rPr>
              <w:rFonts w:cstheme="minorHAnsi"/>
              <w:color w:val="000000" w:themeColor="text1"/>
              <w:sz w:val="24"/>
              <w:szCs w:val="24"/>
            </w:rPr>
            <w:instrText xml:space="preserve"> CITATION Ske40 \l 1033 </w:instrText>
          </w:r>
          <w:r w:rsidRPr="00996B6A">
            <w:rPr>
              <w:rFonts w:cstheme="minorHAnsi"/>
              <w:color w:val="000000" w:themeColor="text1"/>
              <w:sz w:val="24"/>
              <w:szCs w:val="24"/>
            </w:rPr>
            <w:fldChar w:fldCharType="separate"/>
          </w:r>
          <w:r w:rsidRPr="00996B6A">
            <w:rPr>
              <w:rFonts w:cstheme="minorHAnsi"/>
              <w:noProof/>
              <w:color w:val="000000" w:themeColor="text1"/>
              <w:sz w:val="24"/>
              <w:szCs w:val="24"/>
            </w:rPr>
            <w:t xml:space="preserve"> (Skeate v Beale, 1840)</w:t>
          </w:r>
          <w:r w:rsidRPr="00996B6A">
            <w:rPr>
              <w:rFonts w:cstheme="minorHAnsi"/>
              <w:color w:val="000000" w:themeColor="text1"/>
              <w:sz w:val="24"/>
              <w:szCs w:val="24"/>
            </w:rPr>
            <w:fldChar w:fldCharType="end"/>
          </w:r>
        </w:sdtContent>
      </w:sdt>
      <w:r w:rsidRPr="00996B6A">
        <w:rPr>
          <w:rFonts w:cstheme="minorHAnsi"/>
          <w:color w:val="000000" w:themeColor="text1"/>
          <w:sz w:val="24"/>
          <w:szCs w:val="24"/>
        </w:rPr>
        <w:t xml:space="preserve">. The same was recognized in the case of </w:t>
      </w:r>
      <w:r w:rsidRPr="00996B6A">
        <w:rPr>
          <w:rFonts w:cstheme="minorHAnsi"/>
          <w:i/>
          <w:iCs/>
          <w:color w:val="000000" w:themeColor="text1"/>
          <w:sz w:val="24"/>
          <w:szCs w:val="24"/>
        </w:rPr>
        <w:t xml:space="preserve">Occidental Worldwide Investment Corp v Skibs A/S Avanti (The Siboen and The Sibotre). </w:t>
      </w:r>
    </w:p>
    <w:p w14:paraId="5BA79473"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For long, economic duress was not considered as a valid type of duress to render a contract voidable. The courts have recognized economic duress as a vitiating factor only recently as seen in the case of The Siboen and The Sibotre, The Atlantic Baron, and the Pao On case. The doctrine of economic duress came into existence on the basis of the reasoning of very few case laws; all these cases dealt with modification of contracts and not the formation of the contracts; the same can be seen in the cases of </w:t>
      </w:r>
      <w:r w:rsidRPr="00996B6A">
        <w:rPr>
          <w:rFonts w:cstheme="minorHAnsi"/>
          <w:i/>
          <w:iCs/>
          <w:color w:val="000000" w:themeColor="text1"/>
          <w:sz w:val="24"/>
          <w:szCs w:val="24"/>
        </w:rPr>
        <w:t xml:space="preserve">Williams v Roffey Bros &amp; Nicholls </w:t>
      </w:r>
      <w:r w:rsidRPr="00996B6A">
        <w:rPr>
          <w:rFonts w:cstheme="minorHAnsi"/>
          <w:color w:val="000000" w:themeColor="text1"/>
          <w:sz w:val="24"/>
          <w:szCs w:val="24"/>
        </w:rPr>
        <w:t xml:space="preserve">(contractors). </w:t>
      </w:r>
    </w:p>
    <w:p w14:paraId="46F6E275"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The issue arises when the courts try to draw a line between the legitimate acceptable commercial pressure and the illegitimate unacceptable commercial pressure. As held in the case of DSDN Subsea Ltd v petroleum Geo-Services ASA by Dyson Justice, </w:t>
      </w:r>
      <w:r w:rsidRPr="00996B6A">
        <w:rPr>
          <w:rFonts w:cstheme="minorHAnsi"/>
          <w:i/>
          <w:color w:val="000000" w:themeColor="text1"/>
          <w:sz w:val="24"/>
          <w:szCs w:val="24"/>
        </w:rPr>
        <w:t xml:space="preserve">“illegitimate pressure must be distinguished from the rough and tumlbe of the pressures of normal commercial bargaining.” </w:t>
      </w:r>
    </w:p>
    <w:p w14:paraId="085A84D0"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There is no requirement of there being an existence of an unlawful act for courts to find economic duress, even though the courts do consider it unusual to find economic duress in commercial context when there is no unlawful act that has been committed. The same principle was held in the case of </w:t>
      </w:r>
      <w:r w:rsidRPr="00996B6A">
        <w:rPr>
          <w:rFonts w:cstheme="minorHAnsi"/>
          <w:i/>
          <w:iCs/>
          <w:color w:val="000000" w:themeColor="text1"/>
          <w:sz w:val="24"/>
          <w:szCs w:val="24"/>
        </w:rPr>
        <w:t xml:space="preserve">Progress Bulk Carriers Ltd v Tube Cuty IMS LLC </w:t>
      </w:r>
      <w:r w:rsidRPr="00996B6A">
        <w:rPr>
          <w:rFonts w:cstheme="minorHAnsi"/>
          <w:color w:val="000000" w:themeColor="text1"/>
          <w:sz w:val="24"/>
          <w:szCs w:val="24"/>
        </w:rPr>
        <w:t xml:space="preserve">(The Cenk Kaptanoglu). </w:t>
      </w:r>
    </w:p>
    <w:p w14:paraId="13A5DF08"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lastRenderedPageBreak/>
        <w:t xml:space="preserve">All in all, courts find valid element of duress in a contract when there is an unlawful threat to person or good unless the victim party enters into a contract; or when there is an economic duress for the modification of an existing contract. The common element to all the cases of duress is that the victim’s consent must be vitiated such that is can be referred to as having been overborne in a manner that it is safe to say that the victim never really consented – as per Lord Scarma’s comments in the </w:t>
      </w:r>
      <w:r w:rsidRPr="00996B6A">
        <w:rPr>
          <w:rFonts w:cstheme="minorHAnsi"/>
          <w:i/>
          <w:iCs/>
          <w:color w:val="000000" w:themeColor="text1"/>
          <w:sz w:val="24"/>
          <w:szCs w:val="24"/>
        </w:rPr>
        <w:t>Pao On</w:t>
      </w:r>
      <w:r w:rsidRPr="00996B6A">
        <w:rPr>
          <w:rFonts w:cstheme="minorHAnsi"/>
          <w:color w:val="000000" w:themeColor="text1"/>
          <w:sz w:val="24"/>
          <w:szCs w:val="24"/>
        </w:rPr>
        <w:t xml:space="preserve"> case. However, recent case laws show that the courts do not consider the overborne will as a mandatory requirement anymore because it has now been recognized that a person acting under duress does make a choice; a choice that is indeed disapproved by law.  As put into words by Lord Hoffman in the case of </w:t>
      </w:r>
      <w:r w:rsidRPr="00996B6A">
        <w:rPr>
          <w:rFonts w:cstheme="minorHAnsi"/>
          <w:i/>
          <w:iCs/>
          <w:color w:val="000000" w:themeColor="text1"/>
          <w:sz w:val="24"/>
          <w:szCs w:val="24"/>
        </w:rPr>
        <w:t>R v AG for England and Whales</w:t>
      </w:r>
      <w:r w:rsidRPr="00996B6A">
        <w:rPr>
          <w:rFonts w:cstheme="minorHAnsi"/>
          <w:color w:val="000000" w:themeColor="text1"/>
          <w:sz w:val="24"/>
          <w:szCs w:val="24"/>
        </w:rPr>
        <w:t>; the wrong of duress has two elements; the pressure leading to compulsion of victim’s will, and the pressure being illegitimate (McKendrick, 2017).</w:t>
      </w:r>
    </w:p>
    <w:p w14:paraId="5D69E39C"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To distinguish acceptable commercial pressure from unacceptable commercial pressure, Lord Scarman’s speech from Pao On case can be used:</w:t>
      </w:r>
    </w:p>
    <w:p w14:paraId="424DD03B" w14:textId="77777777" w:rsidR="00996B6A" w:rsidRPr="00996B6A" w:rsidRDefault="00996B6A" w:rsidP="007D2452">
      <w:pPr>
        <w:spacing w:line="480" w:lineRule="auto"/>
        <w:rPr>
          <w:rFonts w:cstheme="minorHAnsi"/>
          <w:i/>
          <w:color w:val="000000" w:themeColor="text1"/>
          <w:sz w:val="24"/>
          <w:szCs w:val="24"/>
        </w:rPr>
      </w:pPr>
      <w:r w:rsidRPr="00996B6A">
        <w:rPr>
          <w:rFonts w:cstheme="minorHAnsi"/>
          <w:i/>
          <w:color w:val="000000" w:themeColor="text1"/>
          <w:sz w:val="24"/>
          <w:szCs w:val="24"/>
        </w:rPr>
        <w:t>“There must be present some factor which could in law be regarded as a coercion of victim’s will so as to vitiate his consent”.</w:t>
      </w:r>
    </w:p>
    <w:p w14:paraId="3E3A4B3D"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Following indicia has been put forward as something that courts may consider in identifying whether the coercion of the will was done in a manner that may be regarded as being treated as duress to vitiate victim’s consent; did the victim protest at the time, did the victim have another course of action (such as adequate legal remedy), was the victim advised independently, and did the victim make efforts to avoid the contract once it was executed?</w:t>
      </w:r>
    </w:p>
    <w:p w14:paraId="5D653AE6"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lastRenderedPageBreak/>
        <w:t xml:space="preserve">Therefore, the legality of contracts executed or modified under duress can be concluded as contracts that are voidable if the requirements mentioned above are satisfied. However, courts are not willing to extend the types of duress to cover ‘lawful act duress’, as seen in the case of </w:t>
      </w:r>
      <w:r w:rsidRPr="00996B6A">
        <w:rPr>
          <w:rFonts w:cstheme="minorHAnsi"/>
          <w:i/>
          <w:iCs/>
          <w:color w:val="000000" w:themeColor="text1"/>
          <w:sz w:val="24"/>
          <w:szCs w:val="24"/>
        </w:rPr>
        <w:t>CTN Cash and Carry v Gallaher</w:t>
      </w:r>
      <w:r w:rsidRPr="00996B6A">
        <w:rPr>
          <w:rFonts w:cstheme="minorHAnsi"/>
          <w:color w:val="000000" w:themeColor="text1"/>
          <w:sz w:val="24"/>
          <w:szCs w:val="24"/>
        </w:rPr>
        <w:t>; it was held that a threat of a lawful act could not constitute duress.</w:t>
      </w:r>
    </w:p>
    <w:p w14:paraId="0F917E4C" w14:textId="77777777" w:rsidR="00996B6A" w:rsidRPr="00996B6A" w:rsidRDefault="00996B6A" w:rsidP="007D2452">
      <w:pPr>
        <w:pStyle w:val="NoSpacing"/>
        <w:spacing w:line="480" w:lineRule="auto"/>
        <w:rPr>
          <w:rFonts w:cstheme="minorHAnsi"/>
          <w:color w:val="000000" w:themeColor="text1"/>
          <w:sz w:val="24"/>
          <w:szCs w:val="24"/>
        </w:rPr>
      </w:pPr>
      <w:r w:rsidRPr="00996B6A">
        <w:rPr>
          <w:rFonts w:cstheme="minorHAnsi"/>
          <w:color w:val="000000" w:themeColor="text1"/>
          <w:sz w:val="24"/>
          <w:szCs w:val="24"/>
        </w:rPr>
        <w:t xml:space="preserve">While the common law doctrine of duress is concerned with the procedure through which the contract was formed or modified, the equitable doctrine of undue influence is concerned with the relationships of the parties. Undue influence is defined by Mummery LJ in </w:t>
      </w:r>
      <w:r w:rsidRPr="00996B6A">
        <w:rPr>
          <w:rFonts w:cstheme="minorHAnsi"/>
          <w:i/>
          <w:iCs/>
          <w:color w:val="000000" w:themeColor="text1"/>
          <w:sz w:val="24"/>
          <w:szCs w:val="24"/>
        </w:rPr>
        <w:t xml:space="preserve">Macklin v Dowsett </w:t>
      </w:r>
      <w:r w:rsidRPr="00996B6A">
        <w:rPr>
          <w:rFonts w:cstheme="minorHAnsi"/>
          <w:color w:val="000000" w:themeColor="text1"/>
          <w:sz w:val="24"/>
          <w:szCs w:val="24"/>
        </w:rPr>
        <w:t xml:space="preserve">as </w:t>
      </w:r>
    </w:p>
    <w:p w14:paraId="5BA6DCEF" w14:textId="77777777" w:rsidR="00996B6A" w:rsidRPr="00996B6A" w:rsidRDefault="00996B6A" w:rsidP="007D2452">
      <w:pPr>
        <w:pStyle w:val="NoSpacing"/>
        <w:spacing w:line="480" w:lineRule="auto"/>
        <w:rPr>
          <w:rFonts w:cstheme="minorHAnsi"/>
          <w:color w:val="000000" w:themeColor="text1"/>
          <w:sz w:val="24"/>
          <w:szCs w:val="24"/>
        </w:rPr>
      </w:pPr>
      <w:r w:rsidRPr="00996B6A">
        <w:rPr>
          <w:rFonts w:cstheme="minorHAnsi"/>
          <w:color w:val="000000" w:themeColor="text1"/>
          <w:sz w:val="24"/>
          <w:szCs w:val="24"/>
        </w:rPr>
        <w:t>“</w:t>
      </w:r>
      <w:r w:rsidRPr="00996B6A">
        <w:rPr>
          <w:rFonts w:cstheme="minorHAnsi"/>
          <w:i/>
          <w:iCs/>
          <w:color w:val="000000" w:themeColor="text1"/>
          <w:sz w:val="24"/>
          <w:szCs w:val="24"/>
        </w:rPr>
        <w:t>as an ‘equitable wrong’ or even as a species of equitable fraud</w:t>
      </w:r>
      <w:r w:rsidRPr="00996B6A">
        <w:rPr>
          <w:rFonts w:cstheme="minorHAnsi"/>
          <w:color w:val="000000" w:themeColor="text1"/>
          <w:sz w:val="24"/>
          <w:szCs w:val="24"/>
        </w:rPr>
        <w:t>.” It is generally said to include, “</w:t>
      </w:r>
      <w:r w:rsidRPr="00996B6A">
        <w:rPr>
          <w:rFonts w:cstheme="minorHAnsi"/>
          <w:i/>
          <w:iCs/>
          <w:color w:val="000000" w:themeColor="text1"/>
          <w:sz w:val="24"/>
          <w:szCs w:val="24"/>
        </w:rPr>
        <w:t>the gaining of an unfair advantage by an unconscientious use of power by a stronger party against a weaker in the form of some unfair and improper conduct, some coercion from outside, some overreaching, some form of cheating, and generally, though not always, some personal advantage obtained by the stronger party.</w:t>
      </w:r>
      <w:r w:rsidRPr="00996B6A">
        <w:rPr>
          <w:rFonts w:cstheme="minorHAnsi"/>
          <w:color w:val="000000" w:themeColor="text1"/>
          <w:sz w:val="24"/>
          <w:szCs w:val="24"/>
        </w:rPr>
        <w:t>” (</w:t>
      </w:r>
      <w:r w:rsidRPr="00996B6A">
        <w:rPr>
          <w:rFonts w:cstheme="minorHAnsi"/>
          <w:i/>
          <w:iCs/>
          <w:color w:val="000000" w:themeColor="text1"/>
          <w:sz w:val="24"/>
          <w:szCs w:val="24"/>
        </w:rPr>
        <w:t xml:space="preserve">Contractors Bonding Ltd v Snee). </w:t>
      </w:r>
      <w:r w:rsidRPr="00996B6A">
        <w:rPr>
          <w:rFonts w:cstheme="minorHAnsi"/>
          <w:color w:val="000000" w:themeColor="text1"/>
          <w:sz w:val="24"/>
          <w:szCs w:val="24"/>
        </w:rPr>
        <w:t xml:space="preserve">As held in the case of </w:t>
      </w:r>
      <w:r w:rsidRPr="00996B6A">
        <w:rPr>
          <w:rFonts w:cstheme="minorHAnsi"/>
          <w:i/>
          <w:iCs/>
          <w:color w:val="000000" w:themeColor="text1"/>
          <w:sz w:val="24"/>
          <w:szCs w:val="24"/>
        </w:rPr>
        <w:t>Royal Bank of Scotland v Etridge,</w:t>
      </w:r>
      <w:r w:rsidRPr="00996B6A">
        <w:rPr>
          <w:rFonts w:cstheme="minorHAnsi"/>
          <w:color w:val="000000" w:themeColor="text1"/>
          <w:sz w:val="24"/>
          <w:szCs w:val="24"/>
        </w:rPr>
        <w:t xml:space="preserve"> the equitable objective behind the doctrine of undue influence is to ensure that the influence of one party over another is not abused in a commercial setting. </w:t>
      </w:r>
    </w:p>
    <w:p w14:paraId="2B76A6ED"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Prior to the recent changes made to the concept of undue influence, the said concept was categorized into two groups: actual and presumed undue influence – as established in the case of </w:t>
      </w:r>
      <w:r w:rsidRPr="00996B6A">
        <w:rPr>
          <w:rFonts w:cstheme="minorHAnsi"/>
          <w:i/>
          <w:iCs/>
          <w:color w:val="000000" w:themeColor="text1"/>
          <w:sz w:val="24"/>
          <w:szCs w:val="24"/>
        </w:rPr>
        <w:t>Allcard v Skinner</w:t>
      </w:r>
      <w:r w:rsidRPr="00996B6A">
        <w:rPr>
          <w:rFonts w:cstheme="minorHAnsi"/>
          <w:color w:val="000000" w:themeColor="text1"/>
          <w:sz w:val="24"/>
          <w:szCs w:val="24"/>
        </w:rPr>
        <w:t>. The group labeled presumed undue influence was further subdivided into groups called class 2A and class 2B; “</w:t>
      </w:r>
      <w:r w:rsidRPr="00996B6A">
        <w:rPr>
          <w:rFonts w:cstheme="minorHAnsi"/>
          <w:i/>
          <w:iCs/>
          <w:color w:val="000000" w:themeColor="text1"/>
          <w:sz w:val="24"/>
          <w:szCs w:val="24"/>
        </w:rPr>
        <w:t xml:space="preserve">The presumption may arise automatically from the type of relationship (Class 2A) or it may be necessary to establish that the specific relationship between the particular parties is such as to give rise to the </w:t>
      </w:r>
      <w:r w:rsidRPr="00996B6A">
        <w:rPr>
          <w:rFonts w:cstheme="minorHAnsi"/>
          <w:i/>
          <w:iCs/>
          <w:color w:val="000000" w:themeColor="text1"/>
          <w:sz w:val="24"/>
          <w:szCs w:val="24"/>
        </w:rPr>
        <w:lastRenderedPageBreak/>
        <w:t>presumption (Class 2B)”</w:t>
      </w:r>
      <w:r w:rsidRPr="00996B6A">
        <w:rPr>
          <w:rFonts w:cstheme="minorHAnsi"/>
          <w:color w:val="000000" w:themeColor="text1"/>
          <w:sz w:val="24"/>
          <w:szCs w:val="24"/>
        </w:rPr>
        <w:t xml:space="preserve"> (Koffman, 2010, p.297). All such groups were disapproved in the case of </w:t>
      </w:r>
      <w:r w:rsidRPr="00996B6A">
        <w:rPr>
          <w:rFonts w:cstheme="minorHAnsi"/>
          <w:i/>
          <w:iCs/>
          <w:color w:val="000000" w:themeColor="text1"/>
          <w:sz w:val="24"/>
          <w:szCs w:val="24"/>
        </w:rPr>
        <w:t>Etridge</w:t>
      </w:r>
      <w:r w:rsidRPr="00996B6A">
        <w:rPr>
          <w:rFonts w:cstheme="minorHAnsi"/>
          <w:color w:val="000000" w:themeColor="text1"/>
          <w:sz w:val="24"/>
          <w:szCs w:val="24"/>
        </w:rPr>
        <w:t xml:space="preserve"> by the House of Lords (Hadjiani, 2002). </w:t>
      </w:r>
    </w:p>
    <w:p w14:paraId="01EE8D5F"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Cases where the claimant can prove that the wrongdoer exerted undue influence over the complainant to enter into a transaction fall under this category. The requirements to prove such a case are that the party to the transaction should be in a position to influence the other, the party influenced the other party, the influence that was exercised was undue, and that the transaction happened but for the undue influence (Macdonald, 1989).</w:t>
      </w:r>
    </w:p>
    <w:p w14:paraId="37B21CA0"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As seen in the case of Lloyds </w:t>
      </w:r>
      <w:r w:rsidRPr="00996B6A">
        <w:rPr>
          <w:rFonts w:cstheme="minorHAnsi"/>
          <w:i/>
          <w:iCs/>
          <w:color w:val="000000" w:themeColor="text1"/>
          <w:sz w:val="24"/>
          <w:szCs w:val="24"/>
        </w:rPr>
        <w:t>Bank v Bundy</w:t>
      </w:r>
      <w:r w:rsidRPr="00996B6A">
        <w:rPr>
          <w:rFonts w:cstheme="minorHAnsi"/>
          <w:color w:val="000000" w:themeColor="text1"/>
          <w:sz w:val="24"/>
          <w:szCs w:val="24"/>
        </w:rPr>
        <w:t xml:space="preserve">, </w:t>
      </w:r>
      <w:r w:rsidRPr="00996B6A">
        <w:rPr>
          <w:rFonts w:cstheme="minorHAnsi"/>
          <w:i/>
          <w:iCs/>
          <w:color w:val="000000" w:themeColor="text1"/>
          <w:sz w:val="24"/>
          <w:szCs w:val="24"/>
        </w:rPr>
        <w:t>CIBC Mortgages v Pitt</w:t>
      </w:r>
      <w:r w:rsidRPr="00996B6A">
        <w:rPr>
          <w:rFonts w:cstheme="minorHAnsi"/>
          <w:color w:val="000000" w:themeColor="text1"/>
          <w:sz w:val="24"/>
          <w:szCs w:val="24"/>
        </w:rPr>
        <w:t>, there is no requirement to prove that the transaction was disadvantageous for the victim party to the contract.</w:t>
      </w:r>
    </w:p>
    <w:p w14:paraId="4700F8EC"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Cases where the claimant does not need to prove actual undue influence fall under this category; however, such cases can only arise on the basis of either of the two ways; there is a genuine presumption made by law regarding certain kinds of relationships, and the evidential burden of proof shifts from the complainant to the accused to prove that there was in effect no undue influence.</w:t>
      </w:r>
    </w:p>
    <w:p w14:paraId="0B5A5B91" w14:textId="305C70C2"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An important principle was established in the case of </w:t>
      </w:r>
      <w:r w:rsidRPr="00996B6A">
        <w:rPr>
          <w:rFonts w:cstheme="minorHAnsi"/>
          <w:i/>
          <w:color w:val="000000" w:themeColor="text1"/>
          <w:sz w:val="24"/>
          <w:szCs w:val="24"/>
        </w:rPr>
        <w:t>Bank of Credit and Commerce International S.A. v. Aboody</w:t>
      </w:r>
      <w:r w:rsidRPr="00996B6A">
        <w:rPr>
          <w:rFonts w:cstheme="minorHAnsi"/>
          <w:color w:val="000000" w:themeColor="text1"/>
          <w:sz w:val="24"/>
          <w:szCs w:val="24"/>
        </w:rPr>
        <w:t xml:space="preserve">. The courts recognized that the exploitation of someone’s trust for the purposes of procuring them to make transactions (without reasonable consideration or explanation) would amount to undue influence. This is because the courts held that the party who got influenced was nothing but a mere channel through which the </w:t>
      </w:r>
      <w:r w:rsidRPr="00996B6A">
        <w:rPr>
          <w:rFonts w:cstheme="minorHAnsi"/>
          <w:i/>
          <w:color w:val="000000" w:themeColor="text1"/>
          <w:sz w:val="24"/>
          <w:szCs w:val="24"/>
        </w:rPr>
        <w:t>defendants</w:t>
      </w:r>
      <w:r w:rsidRPr="00996B6A">
        <w:rPr>
          <w:rFonts w:cstheme="minorHAnsi"/>
          <w:color w:val="000000" w:themeColor="text1"/>
          <w:sz w:val="24"/>
          <w:szCs w:val="24"/>
        </w:rPr>
        <w:t xml:space="preserve"> will operated. </w:t>
      </w:r>
    </w:p>
    <w:p w14:paraId="24777762"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For a valid claim falling under the ambit of presumed undue influence, there are two requirements that need to be fulfilled are that the complainant put their trust and </w:t>
      </w:r>
      <w:r w:rsidRPr="00996B6A">
        <w:rPr>
          <w:rFonts w:cstheme="minorHAnsi"/>
          <w:color w:val="000000" w:themeColor="text1"/>
          <w:sz w:val="24"/>
          <w:szCs w:val="24"/>
        </w:rPr>
        <w:lastRenderedPageBreak/>
        <w:t>confidence in the accused and secondly, the transaction is not explainable but through the virtue of being a result of undue influence.</w:t>
      </w:r>
    </w:p>
    <w:p w14:paraId="162BBCCD"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There is a small list of relationships as defined by law, where law genuinely presumes there to be a relationship based on trust and confidence, such as doctor and patient, trustee and beneficiary, solicitor and client, religious advisor and disciple. In such cases, the complainant does not have to prove actual undue influence, only establishing that there existed a certain relationship will suffice. The bigger and greater the transaction between such parties, the more cogent explanation is required by the accused in the court as a rebuttal (Andrew, 2015).</w:t>
      </w:r>
    </w:p>
    <w:p w14:paraId="26F6C1EA" w14:textId="234FC462"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When the relationship between the parties does not fall in the list provided by the law, the complainant can prove the existence of</w:t>
      </w:r>
      <w:r w:rsidRPr="00996B6A">
        <w:rPr>
          <w:rFonts w:cstheme="minorHAnsi"/>
          <w:i/>
          <w:color w:val="000000" w:themeColor="text1"/>
          <w:sz w:val="24"/>
          <w:szCs w:val="24"/>
        </w:rPr>
        <w:t xml:space="preserve"> “a (de facto) relationship under which the complainant generally reposed trust and confidence in the wrongdoer, the existence of such relationship raises the presumption of undue influence”. (Barclays Bank v O’Brien).  </w:t>
      </w:r>
    </w:p>
    <w:p w14:paraId="637A05BF" w14:textId="30C526AB"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Once such a relationship can be proven, the evidential burden of proof shifts on the accused to prove that there was no undue influence. There are two requirements for the validity of such cases; the transaction must be inexplicable, and the transition must be disadvantageous for the victim party.</w:t>
      </w:r>
    </w:p>
    <w:p w14:paraId="5B3B6520" w14:textId="44486590"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The disadvantage for the weaker party is a requirement to strengthen the claim of the victim that there was no reason for them to get into a contract or to execute a transaction. This in turn shifts the burden on the accused, who must prove that there was no undue influence. The accused can rebut the presumption by proving that the complainant understood their actions and that they acted independently. The most common way to rebut is through proving that the complainant took independent advice before acting, </w:t>
      </w:r>
      <w:r w:rsidRPr="00996B6A">
        <w:rPr>
          <w:rFonts w:cstheme="minorHAnsi"/>
          <w:color w:val="000000" w:themeColor="text1"/>
          <w:sz w:val="24"/>
          <w:szCs w:val="24"/>
        </w:rPr>
        <w:lastRenderedPageBreak/>
        <w:t>therefore, they acted independently – an example of the same can be seen in the case of Etridge. (Bigwood, 2002)</w:t>
      </w:r>
    </w:p>
    <w:p w14:paraId="10A35651"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The situation becomes challenging when the existence of third parties come into play. Most of the cases of undue influence that come to the court are regarding facts where A and B are in a relationship of undue influence, and B gets into a contract with C for the benefit for A. For example, one of the partners in a married couple unduly influences the other to get a loan from the bank for their own benefit. The issue arises in regards to whether the courts should set the contract aside. The courts typically do set the contract aside if the banks have the constructive or actual notice of undue influence. Banks can easily try to evade liability or such consequences by advising the party to take legal advice, so they can rebut any presumptions or raise the defense of the complainant acting independently – as seen in </w:t>
      </w:r>
      <w:r w:rsidRPr="00996B6A">
        <w:rPr>
          <w:rFonts w:cstheme="minorHAnsi"/>
          <w:i/>
          <w:iCs/>
          <w:color w:val="000000" w:themeColor="text1"/>
          <w:sz w:val="24"/>
          <w:szCs w:val="24"/>
        </w:rPr>
        <w:t>Barclays Bank v O’Brien</w:t>
      </w:r>
      <w:r w:rsidRPr="00996B6A">
        <w:rPr>
          <w:rFonts w:cstheme="minorHAnsi"/>
          <w:color w:val="000000" w:themeColor="text1"/>
          <w:sz w:val="24"/>
          <w:szCs w:val="24"/>
        </w:rPr>
        <w:t xml:space="preserve">. In more recent cases, the House of Lords has provided guidance for financial institutions as well as to solicitors on how to advise on such matters; for example, in the case of Etridge, and in the case of </w:t>
      </w:r>
      <w:r w:rsidRPr="00996B6A">
        <w:rPr>
          <w:rFonts w:cstheme="minorHAnsi"/>
          <w:i/>
          <w:iCs/>
          <w:color w:val="000000" w:themeColor="text1"/>
          <w:sz w:val="24"/>
          <w:szCs w:val="24"/>
        </w:rPr>
        <w:t>Padden v Bevan Ashford</w:t>
      </w:r>
      <w:r w:rsidRPr="00996B6A">
        <w:rPr>
          <w:rFonts w:cstheme="minorHAnsi"/>
          <w:color w:val="000000" w:themeColor="text1"/>
          <w:sz w:val="24"/>
          <w:szCs w:val="24"/>
        </w:rPr>
        <w:t xml:space="preserve">. </w:t>
      </w:r>
    </w:p>
    <w:p w14:paraId="65332529" w14:textId="77777777" w:rsidR="00996B6A" w:rsidRPr="00996B6A" w:rsidRDefault="00996B6A" w:rsidP="007D2452">
      <w:pPr>
        <w:spacing w:line="480" w:lineRule="auto"/>
        <w:rPr>
          <w:rFonts w:cstheme="minorHAnsi"/>
          <w:color w:val="000000" w:themeColor="text1"/>
          <w:sz w:val="24"/>
          <w:szCs w:val="24"/>
        </w:rPr>
      </w:pPr>
      <w:r w:rsidRPr="00996B6A">
        <w:rPr>
          <w:rFonts w:cstheme="minorHAnsi"/>
          <w:color w:val="000000" w:themeColor="text1"/>
          <w:sz w:val="24"/>
          <w:szCs w:val="24"/>
        </w:rPr>
        <w:t xml:space="preserve">As a conclusion, </w:t>
      </w:r>
      <w:r w:rsidRPr="00996B6A">
        <w:rPr>
          <w:rFonts w:cstheme="minorHAnsi"/>
          <w:bCs/>
          <w:color w:val="000000" w:themeColor="text1"/>
          <w:sz w:val="24"/>
          <w:szCs w:val="24"/>
        </w:rPr>
        <w:t xml:space="preserve">the courts do uphold a contract </w:t>
      </w:r>
      <w:proofErr w:type="gramStart"/>
      <w:r w:rsidRPr="00996B6A">
        <w:rPr>
          <w:rFonts w:cstheme="minorHAnsi"/>
          <w:bCs/>
          <w:color w:val="000000" w:themeColor="text1"/>
          <w:sz w:val="24"/>
          <w:szCs w:val="24"/>
        </w:rPr>
        <w:t>entered into</w:t>
      </w:r>
      <w:proofErr w:type="gramEnd"/>
      <w:r w:rsidRPr="00996B6A">
        <w:rPr>
          <w:rFonts w:cstheme="minorHAnsi"/>
          <w:bCs/>
          <w:color w:val="000000" w:themeColor="text1"/>
          <w:sz w:val="24"/>
          <w:szCs w:val="24"/>
        </w:rPr>
        <w:t xml:space="preserve"> as a result of threats or pressure by one party to the contract upon the other, however, there do exist a number of requirements that the complainant need to satisfy for a valid claim under the relevant statutory and common law provisions. Also, as a conclusion it can be stated that the difference between duress and undue influence in the eyes of the law is that for cases of duress revolve around the fact that a person coerced another to get into a contract which the other would not have gotten into by their free will. Whereas, the undue influence cases are based on the contracts that are signed or transactions that are carried out on the trust that one puts on another, and the other takes unfair advantage of the same.  Finally, the </w:t>
      </w:r>
      <w:r w:rsidRPr="00996B6A">
        <w:rPr>
          <w:rFonts w:cstheme="minorHAnsi"/>
          <w:bCs/>
          <w:color w:val="000000" w:themeColor="text1"/>
          <w:sz w:val="24"/>
          <w:szCs w:val="24"/>
        </w:rPr>
        <w:lastRenderedPageBreak/>
        <w:t>courts have the tendency to consider the contracts void or voidable in case of successful claims of undue influence and duress, as far as all the relevant tests are satisfied.</w:t>
      </w:r>
    </w:p>
    <w:p w14:paraId="76257786" w14:textId="77777777" w:rsidR="00996B6A" w:rsidRPr="00996B6A" w:rsidRDefault="00996B6A" w:rsidP="007D2452">
      <w:pPr>
        <w:spacing w:line="480" w:lineRule="auto"/>
        <w:rPr>
          <w:rFonts w:cstheme="minorHAnsi"/>
          <w:color w:val="4472C4" w:themeColor="accent1"/>
          <w:sz w:val="24"/>
          <w:szCs w:val="24"/>
        </w:rPr>
      </w:pPr>
      <w:r w:rsidRPr="00996B6A">
        <w:rPr>
          <w:rFonts w:cstheme="minorHAnsi"/>
          <w:color w:val="4472C4" w:themeColor="accent1"/>
          <w:sz w:val="24"/>
          <w:szCs w:val="24"/>
        </w:rPr>
        <w:br w:type="page"/>
      </w:r>
    </w:p>
    <w:p w14:paraId="16674386" w14:textId="77777777" w:rsidR="00996B6A" w:rsidRPr="00996B6A" w:rsidRDefault="00996B6A" w:rsidP="007D2452">
      <w:pPr>
        <w:spacing w:line="480" w:lineRule="auto"/>
        <w:rPr>
          <w:rFonts w:cstheme="minorHAnsi"/>
          <w:color w:val="4472C4" w:themeColor="accent1"/>
          <w:sz w:val="24"/>
          <w:szCs w:val="24"/>
        </w:rPr>
      </w:pPr>
      <w:r w:rsidRPr="00996B6A">
        <w:rPr>
          <w:rFonts w:cstheme="minorHAnsi"/>
          <w:color w:val="4472C4" w:themeColor="accent1"/>
          <w:sz w:val="24"/>
          <w:szCs w:val="24"/>
        </w:rPr>
        <w:lastRenderedPageBreak/>
        <w:t>Bibliography:</w:t>
      </w:r>
    </w:p>
    <w:p w14:paraId="12961844" w14:textId="77777777" w:rsidR="00996B6A" w:rsidRPr="00996B6A" w:rsidRDefault="00996B6A" w:rsidP="007D2452">
      <w:pPr>
        <w:spacing w:line="480" w:lineRule="auto"/>
        <w:rPr>
          <w:rFonts w:cstheme="minorHAnsi"/>
          <w:color w:val="4472C4" w:themeColor="accent1"/>
          <w:sz w:val="24"/>
          <w:szCs w:val="24"/>
        </w:rPr>
      </w:pPr>
      <w:r w:rsidRPr="00996B6A">
        <w:rPr>
          <w:rFonts w:cstheme="minorHAnsi"/>
          <w:color w:val="4472C4" w:themeColor="accent1"/>
          <w:sz w:val="24"/>
          <w:szCs w:val="24"/>
        </w:rPr>
        <w:t>Primary sources:</w:t>
      </w:r>
    </w:p>
    <w:p w14:paraId="232D9F1A" w14:textId="77777777" w:rsidR="00996B6A" w:rsidRPr="00996B6A" w:rsidRDefault="00996B6A" w:rsidP="007D2452">
      <w:pPr>
        <w:spacing w:line="480" w:lineRule="auto"/>
        <w:rPr>
          <w:rFonts w:cstheme="minorHAnsi"/>
          <w:color w:val="4472C4" w:themeColor="accent1"/>
          <w:sz w:val="24"/>
          <w:szCs w:val="24"/>
        </w:rPr>
      </w:pPr>
      <w:r w:rsidRPr="00996B6A">
        <w:rPr>
          <w:rFonts w:cstheme="minorHAnsi"/>
          <w:color w:val="4472C4" w:themeColor="accent1"/>
          <w:sz w:val="24"/>
          <w:szCs w:val="24"/>
        </w:rPr>
        <w:t>Cases:</w:t>
      </w:r>
    </w:p>
    <w:p w14:paraId="283D7D57"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Allcard v Skinner (1887) 36 Ch D 145.</w:t>
      </w:r>
    </w:p>
    <w:p w14:paraId="59FE44BA"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Barclays Bank v O'Brien (1994) 1 AC 180, 189.</w:t>
      </w:r>
    </w:p>
    <w:p w14:paraId="0A9F7069"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Barton v Armstrong (1976) AC 104.</w:t>
      </w:r>
    </w:p>
    <w:p w14:paraId="21A821A5"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Contractors Bonding Ltd v Snee (1992) 2 NZLR 157, 165.</w:t>
      </w:r>
    </w:p>
    <w:p w14:paraId="4A1F84F1"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CTN Cash and Carry v Gallaher (1994) 4 All ER 714.</w:t>
      </w:r>
    </w:p>
    <w:p w14:paraId="363BEEC3"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Cumming v Ince (1847) 11 Q.B. 112.</w:t>
      </w:r>
    </w:p>
    <w:p w14:paraId="3443872E"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DSDN Subsea Ltd v petroleum Geo-Services ASA by Dyson Justice (2000) BLR 530.</w:t>
      </w:r>
    </w:p>
    <w:p w14:paraId="1DA5CF79"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Lloyds Bank Ltd v Bundy (1975) QB 326.</w:t>
      </w:r>
    </w:p>
    <w:p w14:paraId="7D150DAD"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 xml:space="preserve">Macklin v Dowsett [2004] EWCA Civ 904) Mummery LJ at 20. </w:t>
      </w:r>
    </w:p>
    <w:p w14:paraId="2BBA92F2"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North Ocean Shipping Co. v Hyundai Construction Co (The Atlantic Baron) (1979) QB 705.</w:t>
      </w:r>
    </w:p>
    <w:p w14:paraId="2FA41360"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North Ocean Shipping v Hyundai Construction (1979) QB 705.</w:t>
      </w:r>
    </w:p>
    <w:p w14:paraId="44880BF6"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Occidental Worldwide Investment Corp v Skibs A/S Avanti (1976) 1 Lloyd's Rep 293.</w:t>
      </w:r>
    </w:p>
    <w:p w14:paraId="323FBE26"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Padden v Bevan Ashford (2011) EWCA Civ 1616</w:t>
      </w:r>
    </w:p>
    <w:p w14:paraId="526E9337"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Pao On v Lau Yiu Long (1980) AC 614.</w:t>
      </w:r>
    </w:p>
    <w:p w14:paraId="771295E5"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Progress Bulk Carriers Ltd v Tube Cuty IMS LLC (2012) EWHC 273.</w:t>
      </w:r>
    </w:p>
    <w:p w14:paraId="1F0D6822"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R v Attorney General for England and Whales (2003).</w:t>
      </w:r>
    </w:p>
    <w:p w14:paraId="6060903B"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Royal Bank of Scotland v Etridge (2001) UKHL 44.</w:t>
      </w:r>
    </w:p>
    <w:p w14:paraId="738A03E4"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t>Universe Tankships of Monrovia v International Transport Workers Federation (1983) 1 AC 366.</w:t>
      </w:r>
    </w:p>
    <w:p w14:paraId="10C44794" w14:textId="77777777" w:rsidR="00996B6A" w:rsidRPr="00996B6A" w:rsidRDefault="00996B6A" w:rsidP="007D2452">
      <w:pPr>
        <w:pStyle w:val="ListParagraph"/>
        <w:numPr>
          <w:ilvl w:val="0"/>
          <w:numId w:val="1"/>
        </w:numPr>
        <w:spacing w:line="480" w:lineRule="auto"/>
        <w:rPr>
          <w:rFonts w:cstheme="minorHAnsi"/>
          <w:i/>
          <w:iCs/>
          <w:color w:val="000000" w:themeColor="text1"/>
          <w:sz w:val="24"/>
          <w:szCs w:val="24"/>
        </w:rPr>
      </w:pPr>
      <w:r w:rsidRPr="00996B6A">
        <w:rPr>
          <w:rFonts w:cstheme="minorHAnsi"/>
          <w:i/>
          <w:iCs/>
          <w:color w:val="000000" w:themeColor="text1"/>
          <w:sz w:val="24"/>
          <w:szCs w:val="24"/>
        </w:rPr>
        <w:lastRenderedPageBreak/>
        <w:t>Williams v Roffey Bros &amp; Nicholls (contractors) (1991) 1 QB 1</w:t>
      </w:r>
    </w:p>
    <w:p w14:paraId="54FAB515" w14:textId="77777777" w:rsidR="00996B6A" w:rsidRPr="00996B6A" w:rsidRDefault="00996B6A" w:rsidP="007D2452">
      <w:pPr>
        <w:spacing w:line="480" w:lineRule="auto"/>
        <w:rPr>
          <w:rFonts w:cstheme="minorHAnsi"/>
          <w:color w:val="4472C4" w:themeColor="accent1"/>
          <w:sz w:val="24"/>
          <w:szCs w:val="24"/>
        </w:rPr>
      </w:pPr>
      <w:r w:rsidRPr="00996B6A">
        <w:rPr>
          <w:rFonts w:cstheme="minorHAnsi"/>
          <w:color w:val="4472C4" w:themeColor="accent1"/>
          <w:sz w:val="24"/>
          <w:szCs w:val="24"/>
        </w:rPr>
        <w:t>Secondary Sources:</w:t>
      </w:r>
    </w:p>
    <w:p w14:paraId="3101C8F0" w14:textId="77777777" w:rsidR="00996B6A" w:rsidRPr="00996B6A" w:rsidRDefault="00996B6A" w:rsidP="007D2452">
      <w:pPr>
        <w:spacing w:line="480" w:lineRule="auto"/>
        <w:rPr>
          <w:rFonts w:cstheme="minorHAnsi"/>
          <w:color w:val="4472C4" w:themeColor="accent1"/>
          <w:sz w:val="24"/>
          <w:szCs w:val="24"/>
        </w:rPr>
      </w:pPr>
      <w:r w:rsidRPr="00996B6A">
        <w:rPr>
          <w:rFonts w:cstheme="minorHAnsi"/>
          <w:color w:val="4472C4" w:themeColor="accent1"/>
          <w:sz w:val="24"/>
          <w:szCs w:val="24"/>
        </w:rPr>
        <w:t>Books:</w:t>
      </w:r>
    </w:p>
    <w:p w14:paraId="2C865EA7"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t>Andrews, N., (2015), ‘</w:t>
      </w:r>
      <w:r w:rsidRPr="00996B6A">
        <w:rPr>
          <w:rFonts w:cstheme="minorHAnsi"/>
          <w:i/>
          <w:iCs/>
          <w:color w:val="000000" w:themeColor="text1"/>
          <w:sz w:val="24"/>
          <w:szCs w:val="24"/>
        </w:rPr>
        <w:t>Contract Law’</w:t>
      </w:r>
      <w:r w:rsidRPr="00996B6A">
        <w:rPr>
          <w:rFonts w:cstheme="minorHAnsi"/>
          <w:color w:val="000000" w:themeColor="text1"/>
          <w:sz w:val="24"/>
          <w:szCs w:val="24"/>
        </w:rPr>
        <w:t xml:space="preserve"> 2</w:t>
      </w:r>
      <w:r w:rsidRPr="00996B6A">
        <w:rPr>
          <w:rFonts w:cstheme="minorHAnsi"/>
          <w:color w:val="000000" w:themeColor="text1"/>
          <w:sz w:val="24"/>
          <w:szCs w:val="24"/>
          <w:vertAlign w:val="superscript"/>
        </w:rPr>
        <w:t>nd</w:t>
      </w:r>
      <w:r w:rsidRPr="00996B6A">
        <w:rPr>
          <w:rFonts w:cstheme="minorHAnsi"/>
          <w:color w:val="000000" w:themeColor="text1"/>
          <w:sz w:val="24"/>
          <w:szCs w:val="24"/>
        </w:rPr>
        <w:t xml:space="preserve"> edn, Cambridge University Press, 11.1-11.25.</w:t>
      </w:r>
    </w:p>
    <w:p w14:paraId="39EA00BD"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t>Elliot, C., and Quinn, F., (2017) ‘</w:t>
      </w:r>
      <w:r w:rsidRPr="00996B6A">
        <w:rPr>
          <w:rFonts w:cstheme="minorHAnsi"/>
          <w:i/>
          <w:iCs/>
          <w:color w:val="000000" w:themeColor="text1"/>
          <w:sz w:val="24"/>
          <w:szCs w:val="24"/>
        </w:rPr>
        <w:t>Contract Law’</w:t>
      </w:r>
      <w:r w:rsidRPr="00996B6A">
        <w:rPr>
          <w:rFonts w:cstheme="minorHAnsi"/>
          <w:color w:val="000000" w:themeColor="text1"/>
          <w:sz w:val="24"/>
          <w:szCs w:val="24"/>
        </w:rPr>
        <w:t xml:space="preserve"> 11</w:t>
      </w:r>
      <w:r w:rsidRPr="00996B6A">
        <w:rPr>
          <w:rFonts w:cstheme="minorHAnsi"/>
          <w:color w:val="000000" w:themeColor="text1"/>
          <w:sz w:val="24"/>
          <w:szCs w:val="24"/>
          <w:vertAlign w:val="superscript"/>
        </w:rPr>
        <w:t>th</w:t>
      </w:r>
      <w:r w:rsidRPr="00996B6A">
        <w:rPr>
          <w:rFonts w:cstheme="minorHAnsi"/>
          <w:color w:val="000000" w:themeColor="text1"/>
          <w:sz w:val="24"/>
          <w:szCs w:val="24"/>
        </w:rPr>
        <w:t xml:space="preserve"> edn, Pearson Education. </w:t>
      </w:r>
    </w:p>
    <w:p w14:paraId="612B24DB"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t>Koffman, L., and E, Macdonald., (2010) ‘</w:t>
      </w:r>
      <w:r w:rsidRPr="00996B6A">
        <w:rPr>
          <w:rFonts w:cstheme="minorHAnsi"/>
          <w:i/>
          <w:iCs/>
          <w:color w:val="000000" w:themeColor="text1"/>
          <w:sz w:val="24"/>
          <w:szCs w:val="24"/>
        </w:rPr>
        <w:t>The Law of Contract’</w:t>
      </w:r>
      <w:r w:rsidRPr="00996B6A">
        <w:rPr>
          <w:rFonts w:cstheme="minorHAnsi"/>
          <w:color w:val="000000" w:themeColor="text1"/>
          <w:sz w:val="24"/>
          <w:szCs w:val="24"/>
        </w:rPr>
        <w:t xml:space="preserve"> 7th edn, Oxford University Press, 14.9.</w:t>
      </w:r>
    </w:p>
    <w:p w14:paraId="4F31C95D"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t>McKendrick, E., (2017), ‘</w:t>
      </w:r>
      <w:r w:rsidRPr="00996B6A">
        <w:rPr>
          <w:rFonts w:cstheme="minorHAnsi"/>
          <w:i/>
          <w:iCs/>
          <w:color w:val="000000" w:themeColor="text1"/>
          <w:sz w:val="24"/>
          <w:szCs w:val="24"/>
        </w:rPr>
        <w:t>Contract Law’</w:t>
      </w:r>
      <w:r w:rsidRPr="00996B6A">
        <w:rPr>
          <w:rFonts w:cstheme="minorHAnsi"/>
          <w:color w:val="000000" w:themeColor="text1"/>
          <w:sz w:val="24"/>
          <w:szCs w:val="24"/>
        </w:rPr>
        <w:t xml:space="preserve"> 12</w:t>
      </w:r>
      <w:r w:rsidRPr="00996B6A">
        <w:rPr>
          <w:rFonts w:cstheme="minorHAnsi"/>
          <w:color w:val="000000" w:themeColor="text1"/>
          <w:sz w:val="24"/>
          <w:szCs w:val="24"/>
          <w:vertAlign w:val="superscript"/>
        </w:rPr>
        <w:t>th</w:t>
      </w:r>
      <w:r w:rsidRPr="00996B6A">
        <w:rPr>
          <w:rFonts w:cstheme="minorHAnsi"/>
          <w:color w:val="000000" w:themeColor="text1"/>
          <w:sz w:val="24"/>
          <w:szCs w:val="24"/>
        </w:rPr>
        <w:t xml:space="preserve"> Edn, Palgrave Law Masters, 17.1-17.4</w:t>
      </w:r>
    </w:p>
    <w:p w14:paraId="4406CC87"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t>Smith, S., (2006), ‘</w:t>
      </w:r>
      <w:r w:rsidRPr="00996B6A">
        <w:rPr>
          <w:rFonts w:cstheme="minorHAnsi"/>
          <w:i/>
          <w:iCs/>
          <w:color w:val="000000" w:themeColor="text1"/>
          <w:sz w:val="24"/>
          <w:szCs w:val="24"/>
        </w:rPr>
        <w:t>Atiyah’s Introduction to the Law of Contract’</w:t>
      </w:r>
      <w:r w:rsidRPr="00996B6A">
        <w:rPr>
          <w:rFonts w:cstheme="minorHAnsi"/>
          <w:color w:val="000000" w:themeColor="text1"/>
          <w:sz w:val="24"/>
          <w:szCs w:val="24"/>
        </w:rPr>
        <w:t xml:space="preserve"> 6</w:t>
      </w:r>
      <w:r w:rsidRPr="00996B6A">
        <w:rPr>
          <w:rFonts w:cstheme="minorHAnsi"/>
          <w:color w:val="000000" w:themeColor="text1"/>
          <w:sz w:val="24"/>
          <w:szCs w:val="24"/>
          <w:vertAlign w:val="superscript"/>
        </w:rPr>
        <w:t>th</w:t>
      </w:r>
      <w:r w:rsidRPr="00996B6A">
        <w:rPr>
          <w:rFonts w:cstheme="minorHAnsi"/>
          <w:color w:val="000000" w:themeColor="text1"/>
          <w:sz w:val="24"/>
          <w:szCs w:val="24"/>
        </w:rPr>
        <w:t xml:space="preserve"> edn, Claredon Law Series, 268–71.</w:t>
      </w:r>
    </w:p>
    <w:p w14:paraId="53E1256B"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t>Turner, C., (2014) ‘</w:t>
      </w:r>
      <w:r w:rsidRPr="00996B6A">
        <w:rPr>
          <w:rFonts w:cstheme="minorHAnsi"/>
          <w:i/>
          <w:iCs/>
          <w:color w:val="000000" w:themeColor="text1"/>
          <w:sz w:val="24"/>
          <w:szCs w:val="24"/>
        </w:rPr>
        <w:t>Unlocking Contract Law’</w:t>
      </w:r>
      <w:r w:rsidRPr="00996B6A">
        <w:rPr>
          <w:rFonts w:cstheme="minorHAnsi"/>
          <w:color w:val="000000" w:themeColor="text1"/>
          <w:sz w:val="24"/>
          <w:szCs w:val="24"/>
        </w:rPr>
        <w:t>, 4</w:t>
      </w:r>
      <w:r w:rsidRPr="00996B6A">
        <w:rPr>
          <w:rFonts w:cstheme="minorHAnsi"/>
          <w:color w:val="000000" w:themeColor="text1"/>
          <w:sz w:val="24"/>
          <w:szCs w:val="24"/>
          <w:vertAlign w:val="superscript"/>
        </w:rPr>
        <w:t>th</w:t>
      </w:r>
      <w:r w:rsidRPr="00996B6A">
        <w:rPr>
          <w:rFonts w:cstheme="minorHAnsi"/>
          <w:color w:val="000000" w:themeColor="text1"/>
          <w:sz w:val="24"/>
          <w:szCs w:val="24"/>
        </w:rPr>
        <w:t xml:space="preserve"> edn, Routledge, 230-249.</w:t>
      </w:r>
    </w:p>
    <w:p w14:paraId="7F65538F" w14:textId="77777777" w:rsidR="00996B6A" w:rsidRPr="00996B6A" w:rsidRDefault="00996B6A" w:rsidP="007D2452">
      <w:pPr>
        <w:spacing w:line="480" w:lineRule="auto"/>
        <w:rPr>
          <w:rFonts w:cstheme="minorHAnsi"/>
          <w:color w:val="4472C4" w:themeColor="accent1"/>
          <w:sz w:val="24"/>
          <w:szCs w:val="24"/>
        </w:rPr>
      </w:pPr>
      <w:r w:rsidRPr="00996B6A">
        <w:rPr>
          <w:rFonts w:cstheme="minorHAnsi"/>
          <w:color w:val="4472C4" w:themeColor="accent1"/>
          <w:sz w:val="24"/>
          <w:szCs w:val="24"/>
        </w:rPr>
        <w:t>Journal Articles</w:t>
      </w:r>
    </w:p>
    <w:p w14:paraId="6D437F0C"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t>Akman. P, (2014) ‘</w:t>
      </w:r>
      <w:r w:rsidRPr="00996B6A">
        <w:rPr>
          <w:rFonts w:cstheme="minorHAnsi"/>
          <w:i/>
          <w:iCs/>
          <w:color w:val="000000" w:themeColor="text1"/>
          <w:sz w:val="24"/>
          <w:szCs w:val="24"/>
        </w:rPr>
        <w:t>The Relationship between Economic Duress and Abuse of a Dominant Position under Competition Law</w:t>
      </w:r>
      <w:r w:rsidRPr="00996B6A">
        <w:rPr>
          <w:rFonts w:cstheme="minorHAnsi"/>
          <w:color w:val="000000" w:themeColor="text1"/>
          <w:sz w:val="24"/>
          <w:szCs w:val="24"/>
        </w:rPr>
        <w:t xml:space="preserve">’ LMCLQ 99–131. </w:t>
      </w:r>
    </w:p>
    <w:p w14:paraId="516DD0FD"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t>Hadjiani A, (2002) “</w:t>
      </w:r>
      <w:r w:rsidRPr="00996B6A">
        <w:rPr>
          <w:rFonts w:cstheme="minorHAnsi"/>
          <w:i/>
          <w:iCs/>
          <w:color w:val="000000" w:themeColor="text1"/>
          <w:sz w:val="24"/>
          <w:szCs w:val="24"/>
        </w:rPr>
        <w:t>Duress and Undue Influence in English and German Contract Law: a comparative study on vitiating factors in common and civil law</w:t>
      </w:r>
      <w:r w:rsidRPr="00996B6A">
        <w:rPr>
          <w:rFonts w:cstheme="minorHAnsi"/>
          <w:color w:val="000000" w:themeColor="text1"/>
          <w:sz w:val="24"/>
          <w:szCs w:val="24"/>
        </w:rPr>
        <w:t>” Oxford University Comparative Law.</w:t>
      </w:r>
    </w:p>
    <w:p w14:paraId="7CF76DD2"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t>Macdonald, E., (1989) ‘</w:t>
      </w:r>
      <w:r w:rsidRPr="00996B6A">
        <w:rPr>
          <w:rFonts w:cstheme="minorHAnsi"/>
          <w:i/>
          <w:iCs/>
          <w:color w:val="000000" w:themeColor="text1"/>
          <w:sz w:val="24"/>
          <w:szCs w:val="24"/>
        </w:rPr>
        <w:t>Duress by Threatened Breach of Contract</w:t>
      </w:r>
      <w:r w:rsidRPr="00996B6A">
        <w:rPr>
          <w:rFonts w:cstheme="minorHAnsi"/>
          <w:color w:val="000000" w:themeColor="text1"/>
          <w:sz w:val="24"/>
          <w:szCs w:val="24"/>
        </w:rPr>
        <w:t xml:space="preserve">’ JBL 460, at 463. </w:t>
      </w:r>
    </w:p>
    <w:p w14:paraId="3B3D116B"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shd w:val="clear" w:color="auto" w:fill="FFFFFF"/>
        </w:rPr>
      </w:pPr>
      <w:r w:rsidRPr="00996B6A">
        <w:rPr>
          <w:rFonts w:cstheme="minorHAnsi"/>
          <w:color w:val="000000" w:themeColor="text1"/>
          <w:sz w:val="24"/>
          <w:szCs w:val="24"/>
          <w:shd w:val="clear" w:color="auto" w:fill="FFFFFF"/>
        </w:rPr>
        <w:t>Patrick., A (1982) ‘</w:t>
      </w:r>
      <w:r w:rsidRPr="00996B6A">
        <w:rPr>
          <w:rFonts w:cstheme="minorHAnsi"/>
          <w:i/>
          <w:iCs/>
          <w:color w:val="000000" w:themeColor="text1"/>
          <w:sz w:val="24"/>
          <w:szCs w:val="24"/>
          <w:shd w:val="clear" w:color="auto" w:fill="FFFFFF"/>
        </w:rPr>
        <w:t>Economic Duress and the Overborne Will</w:t>
      </w:r>
      <w:r w:rsidRPr="00996B6A">
        <w:rPr>
          <w:rFonts w:cstheme="minorHAnsi"/>
          <w:color w:val="000000" w:themeColor="text1"/>
          <w:sz w:val="24"/>
          <w:szCs w:val="24"/>
          <w:shd w:val="clear" w:color="auto" w:fill="FFFFFF"/>
        </w:rPr>
        <w:t>’ The Law Quarterly Review 197, 200</w:t>
      </w:r>
    </w:p>
    <w:p w14:paraId="30D200BA"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shd w:val="clear" w:color="auto" w:fill="FFFFFF"/>
        </w:rPr>
        <w:t>R, Bigwood (2002), ‘</w:t>
      </w:r>
      <w:r w:rsidRPr="00996B6A">
        <w:rPr>
          <w:rFonts w:cstheme="minorHAnsi"/>
          <w:i/>
          <w:iCs/>
          <w:color w:val="000000" w:themeColor="text1"/>
          <w:sz w:val="24"/>
          <w:szCs w:val="24"/>
          <w:shd w:val="clear" w:color="auto" w:fill="FFFFFF"/>
        </w:rPr>
        <w:t>Undue Influence in the House of Lords: Principles and Proof’,</w:t>
      </w:r>
      <w:r w:rsidRPr="00996B6A">
        <w:rPr>
          <w:rFonts w:cstheme="minorHAnsi"/>
          <w:color w:val="000000" w:themeColor="text1"/>
          <w:sz w:val="24"/>
          <w:szCs w:val="24"/>
          <w:shd w:val="clear" w:color="auto" w:fill="FFFFFF"/>
        </w:rPr>
        <w:t xml:space="preserve"> 65 Modern Law Review 435</w:t>
      </w:r>
    </w:p>
    <w:p w14:paraId="0372A4A9" w14:textId="77777777" w:rsidR="00996B6A" w:rsidRPr="00996B6A" w:rsidRDefault="00996B6A" w:rsidP="007D2452">
      <w:pPr>
        <w:pStyle w:val="ListParagraph"/>
        <w:numPr>
          <w:ilvl w:val="0"/>
          <w:numId w:val="1"/>
        </w:numPr>
        <w:spacing w:line="480" w:lineRule="auto"/>
        <w:rPr>
          <w:rFonts w:cstheme="minorHAnsi"/>
          <w:color w:val="000000" w:themeColor="text1"/>
          <w:sz w:val="24"/>
          <w:szCs w:val="24"/>
        </w:rPr>
      </w:pPr>
      <w:r w:rsidRPr="00996B6A">
        <w:rPr>
          <w:rFonts w:cstheme="minorHAnsi"/>
          <w:color w:val="000000" w:themeColor="text1"/>
          <w:sz w:val="24"/>
          <w:szCs w:val="24"/>
        </w:rPr>
        <w:lastRenderedPageBreak/>
        <w:t>Smith, S., (1997) “</w:t>
      </w:r>
      <w:r w:rsidRPr="00996B6A">
        <w:rPr>
          <w:rFonts w:cstheme="minorHAnsi"/>
          <w:i/>
          <w:iCs/>
          <w:color w:val="000000" w:themeColor="text1"/>
          <w:sz w:val="24"/>
          <w:szCs w:val="24"/>
        </w:rPr>
        <w:t>Contracting under Pressure: A Theory of Duress</w:t>
      </w:r>
      <w:r w:rsidRPr="00996B6A">
        <w:rPr>
          <w:rFonts w:cstheme="minorHAnsi"/>
          <w:color w:val="000000" w:themeColor="text1"/>
          <w:sz w:val="24"/>
          <w:szCs w:val="24"/>
        </w:rPr>
        <w:t>” Cambridge Law Journal 343 – 373</w:t>
      </w:r>
    </w:p>
    <w:p w14:paraId="602386A3" w14:textId="77777777" w:rsidR="00996B6A" w:rsidRPr="006561D2" w:rsidRDefault="00996B6A" w:rsidP="007D2452">
      <w:pPr>
        <w:spacing w:line="480" w:lineRule="auto"/>
        <w:rPr>
          <w:rFonts w:ascii="Times New Roman" w:hAnsi="Times New Roman" w:cs="Times New Roman"/>
          <w:color w:val="000000" w:themeColor="text1"/>
          <w:sz w:val="24"/>
          <w:szCs w:val="24"/>
        </w:rPr>
      </w:pPr>
    </w:p>
    <w:p w14:paraId="4DF1119A" w14:textId="77777777" w:rsidR="00996B6A" w:rsidRPr="006561D2" w:rsidRDefault="00996B6A" w:rsidP="007D2452">
      <w:pPr>
        <w:spacing w:line="480" w:lineRule="auto"/>
        <w:rPr>
          <w:rFonts w:ascii="Times New Roman" w:hAnsi="Times New Roman" w:cs="Times New Roman"/>
          <w:color w:val="000000" w:themeColor="text1"/>
          <w:sz w:val="24"/>
          <w:szCs w:val="24"/>
        </w:rPr>
      </w:pPr>
    </w:p>
    <w:p w14:paraId="343D1A7C" w14:textId="77777777" w:rsidR="00996B6A" w:rsidRPr="006561D2" w:rsidRDefault="00996B6A" w:rsidP="007D2452">
      <w:pPr>
        <w:spacing w:line="480" w:lineRule="auto"/>
        <w:rPr>
          <w:rFonts w:ascii="Times New Roman" w:hAnsi="Times New Roman" w:cs="Times New Roman"/>
          <w:color w:val="000000" w:themeColor="text1"/>
          <w:sz w:val="24"/>
          <w:szCs w:val="24"/>
        </w:rPr>
      </w:pPr>
    </w:p>
    <w:p w14:paraId="272DE336" w14:textId="77777777" w:rsidR="00996B6A" w:rsidRPr="006561D2" w:rsidRDefault="00996B6A" w:rsidP="007D2452">
      <w:pPr>
        <w:spacing w:line="480" w:lineRule="auto"/>
        <w:rPr>
          <w:rFonts w:ascii="Times New Roman" w:hAnsi="Times New Roman" w:cs="Times New Roman"/>
          <w:color w:val="000000" w:themeColor="text1"/>
          <w:sz w:val="24"/>
          <w:szCs w:val="24"/>
        </w:rPr>
      </w:pPr>
    </w:p>
    <w:p w14:paraId="7F4ACDE7" w14:textId="77777777" w:rsidR="00810F5A" w:rsidRDefault="00810F5A" w:rsidP="007D2452">
      <w:pPr>
        <w:spacing w:line="480" w:lineRule="auto"/>
        <w:ind w:firstLine="720"/>
      </w:pPr>
    </w:p>
    <w:sectPr w:rsidR="00810F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A5A395" w14:textId="77777777" w:rsidR="00060DBA" w:rsidRDefault="00060DBA" w:rsidP="00996B6A">
      <w:pPr>
        <w:spacing w:after="0" w:line="240" w:lineRule="auto"/>
      </w:pPr>
      <w:r>
        <w:separator/>
      </w:r>
    </w:p>
  </w:endnote>
  <w:endnote w:type="continuationSeparator" w:id="0">
    <w:p w14:paraId="1E1BB598" w14:textId="77777777" w:rsidR="00060DBA" w:rsidRDefault="00060DBA" w:rsidP="00996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54E01D" w14:textId="77777777" w:rsidR="00060DBA" w:rsidRDefault="00060DBA" w:rsidP="00996B6A">
      <w:pPr>
        <w:spacing w:after="0" w:line="240" w:lineRule="auto"/>
      </w:pPr>
      <w:r>
        <w:separator/>
      </w:r>
    </w:p>
  </w:footnote>
  <w:footnote w:type="continuationSeparator" w:id="0">
    <w:p w14:paraId="6BCD756F" w14:textId="77777777" w:rsidR="00060DBA" w:rsidRDefault="00060DBA" w:rsidP="00996B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10DD6"/>
    <w:multiLevelType w:val="hybridMultilevel"/>
    <w:tmpl w:val="715C74D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B6A"/>
    <w:rsid w:val="00060DBA"/>
    <w:rsid w:val="007A5E7E"/>
    <w:rsid w:val="007D2452"/>
    <w:rsid w:val="00810F5A"/>
    <w:rsid w:val="00996B6A"/>
    <w:rsid w:val="00A31415"/>
    <w:rsid w:val="00A9334A"/>
    <w:rsid w:val="00B44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6D6E76"/>
  <w15:chartTrackingRefBased/>
  <w15:docId w15:val="{FACCDC75-ECB4-9448-B15C-AD3F7126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B6A"/>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96B6A"/>
    <w:rPr>
      <w:sz w:val="22"/>
      <w:szCs w:val="22"/>
      <w:lang w:val="en-US"/>
    </w:rPr>
  </w:style>
  <w:style w:type="paragraph" w:styleId="ListParagraph">
    <w:name w:val="List Paragraph"/>
    <w:basedOn w:val="Normal"/>
    <w:uiPriority w:val="34"/>
    <w:qFormat/>
    <w:rsid w:val="00996B6A"/>
    <w:pPr>
      <w:ind w:left="720"/>
      <w:contextualSpacing/>
    </w:pPr>
  </w:style>
  <w:style w:type="paragraph" w:styleId="Header">
    <w:name w:val="header"/>
    <w:basedOn w:val="Normal"/>
    <w:link w:val="HeaderChar"/>
    <w:uiPriority w:val="99"/>
    <w:unhideWhenUsed/>
    <w:rsid w:val="00996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B6A"/>
    <w:rPr>
      <w:sz w:val="22"/>
      <w:szCs w:val="22"/>
      <w:lang w:val="en-US"/>
    </w:rPr>
  </w:style>
  <w:style w:type="paragraph" w:styleId="Footer">
    <w:name w:val="footer"/>
    <w:basedOn w:val="Normal"/>
    <w:link w:val="FooterChar"/>
    <w:uiPriority w:val="99"/>
    <w:unhideWhenUsed/>
    <w:rsid w:val="00996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B6A"/>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DJL66</b:Tag>
    <b:SourceType>Book</b:SourceType>
    <b:Guid>{8926F7DA-A367-401C-B077-75B9364FFA62}</b:Guid>
    <b:Title>Duress and Void Contracts</b:Title>
    <b:Year>1966</b:Year>
    <b:Author>
      <b:Author>
        <b:NameList>
          <b:Person>
            <b:Last>Lanham</b:Last>
            <b:First>D.</b:First>
            <b:Middle>J.</b:Middle>
          </b:Person>
        </b:NameList>
      </b:Author>
    </b:Author>
    <b:RefOrder>1</b:RefOrder>
  </b:Source>
  <b:Source>
    <b:Tag>Ske40</b:Tag>
    <b:SourceType>Case</b:SourceType>
    <b:Guid>{5483D57B-2A9C-4FCB-BBEB-0DFA6B7E6D69}</b:Guid>
    <b:Title>Skeate v Beale</b:Title>
    <b:Year>1840</b:Year>
    <b:Reporter>11 Ad&amp;El 983</b:Reporter>
    <b:RefOrder>2</b:RefOrder>
  </b:Source>
</b:Sources>
</file>

<file path=customXml/itemProps1.xml><?xml version="1.0" encoding="utf-8"?>
<ds:datastoreItem xmlns:ds="http://schemas.openxmlformats.org/officeDocument/2006/customXml" ds:itemID="{B1151FF3-4B0A-FF45-9979-82451D85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2607</Words>
  <Characters>14866</Characters>
  <Application>Microsoft Office Word</Application>
  <DocSecurity>0</DocSecurity>
  <Lines>123</Lines>
  <Paragraphs>34</Paragraphs>
  <ScaleCrop>false</ScaleCrop>
  <Company/>
  <LinksUpToDate>false</LinksUpToDate>
  <CharactersWithSpaces>17439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zee miah</dc:creator>
  <cp:keywords/>
  <dc:description/>
  <cp:lastModifiedBy>zee miah</cp:lastModifiedBy>
  <cp:revision>3</cp:revision>
  <dcterms:created xsi:type="dcterms:W3CDTF">2021-05-06T15:30:00Z</dcterms:created>
  <dcterms:modified xsi:type="dcterms:W3CDTF">2021-05-06T15:31:00Z</dcterms:modified>
</cp:coreProperties>
</file>