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3C0722" w14:textId="77777777" w:rsidR="0000049C" w:rsidRDefault="0000049C" w:rsidP="0000049C">
      <w:pPr>
        <w:spacing w:line="360" w:lineRule="auto"/>
        <w:jc w:val="center"/>
        <w:rPr>
          <w:rFonts w:ascii="Times New Roman" w:eastAsia="Times New Roman" w:hAnsi="Times New Roman" w:cs="Times New Roman"/>
          <w:b/>
          <w:bCs/>
          <w:sz w:val="24"/>
          <w:szCs w:val="24"/>
        </w:rPr>
      </w:pPr>
    </w:p>
    <w:p w14:paraId="58A31229" w14:textId="77777777" w:rsidR="0000049C" w:rsidRDefault="0000049C" w:rsidP="0000049C">
      <w:pPr>
        <w:spacing w:line="360" w:lineRule="auto"/>
        <w:jc w:val="center"/>
        <w:rPr>
          <w:rFonts w:ascii="Times New Roman" w:eastAsia="Times New Roman" w:hAnsi="Times New Roman" w:cs="Times New Roman"/>
          <w:b/>
          <w:bCs/>
          <w:sz w:val="24"/>
          <w:szCs w:val="24"/>
        </w:rPr>
      </w:pPr>
    </w:p>
    <w:p w14:paraId="2F526C3C" w14:textId="77777777" w:rsidR="0000049C" w:rsidRDefault="0000049C" w:rsidP="0000049C">
      <w:pPr>
        <w:spacing w:line="360" w:lineRule="auto"/>
        <w:jc w:val="center"/>
        <w:rPr>
          <w:rFonts w:ascii="Times New Roman" w:eastAsia="Times New Roman" w:hAnsi="Times New Roman" w:cs="Times New Roman"/>
          <w:b/>
          <w:bCs/>
          <w:sz w:val="24"/>
          <w:szCs w:val="24"/>
        </w:rPr>
      </w:pPr>
    </w:p>
    <w:p w14:paraId="433536A0" w14:textId="77777777" w:rsidR="0000049C" w:rsidRDefault="0000049C" w:rsidP="0000049C">
      <w:pPr>
        <w:spacing w:line="360" w:lineRule="auto"/>
        <w:jc w:val="center"/>
        <w:rPr>
          <w:rFonts w:ascii="Times New Roman" w:eastAsia="Times New Roman" w:hAnsi="Times New Roman" w:cs="Times New Roman"/>
          <w:b/>
          <w:bCs/>
          <w:sz w:val="24"/>
          <w:szCs w:val="24"/>
        </w:rPr>
      </w:pPr>
    </w:p>
    <w:p w14:paraId="5FCF6A65" w14:textId="080F04BB" w:rsidR="0021756F" w:rsidRPr="0000049C" w:rsidRDefault="00000000" w:rsidP="0000049C">
      <w:pPr>
        <w:spacing w:line="360" w:lineRule="auto"/>
        <w:jc w:val="center"/>
        <w:rPr>
          <w:rFonts w:ascii="Times New Roman" w:eastAsia="Times New Roman" w:hAnsi="Times New Roman" w:cs="Times New Roman"/>
          <w:b/>
          <w:bCs/>
          <w:sz w:val="24"/>
          <w:szCs w:val="24"/>
        </w:rPr>
      </w:pPr>
      <w:r w:rsidRPr="0000049C">
        <w:rPr>
          <w:rFonts w:ascii="Times New Roman" w:eastAsia="Times New Roman" w:hAnsi="Times New Roman" w:cs="Times New Roman"/>
          <w:b/>
          <w:bCs/>
          <w:sz w:val="24"/>
          <w:szCs w:val="24"/>
        </w:rPr>
        <w:t>Stakeholder Engagement</w:t>
      </w:r>
    </w:p>
    <w:p w14:paraId="3331832D" w14:textId="77777777" w:rsidR="0021756F" w:rsidRPr="0000049C" w:rsidRDefault="00000000" w:rsidP="0000049C">
      <w:pPr>
        <w:spacing w:line="360" w:lineRule="auto"/>
        <w:jc w:val="center"/>
        <w:rPr>
          <w:rFonts w:ascii="Times New Roman" w:eastAsia="Times New Roman" w:hAnsi="Times New Roman" w:cs="Times New Roman"/>
          <w:b/>
          <w:bCs/>
          <w:sz w:val="24"/>
          <w:szCs w:val="24"/>
        </w:rPr>
      </w:pPr>
      <w:r w:rsidRPr="0000049C">
        <w:rPr>
          <w:rFonts w:ascii="Times New Roman" w:eastAsia="Times New Roman" w:hAnsi="Times New Roman" w:cs="Times New Roman"/>
          <w:b/>
          <w:bCs/>
          <w:sz w:val="24"/>
          <w:szCs w:val="24"/>
        </w:rPr>
        <w:t>LCBB4013</w:t>
      </w:r>
    </w:p>
    <w:p w14:paraId="0D823110" w14:textId="77777777" w:rsidR="0021756F" w:rsidRPr="0000049C" w:rsidRDefault="0021756F" w:rsidP="0000049C">
      <w:pPr>
        <w:spacing w:line="360" w:lineRule="auto"/>
        <w:jc w:val="center"/>
        <w:rPr>
          <w:rFonts w:ascii="Times New Roman" w:eastAsia="Times New Roman" w:hAnsi="Times New Roman" w:cs="Times New Roman"/>
          <w:b/>
          <w:bCs/>
          <w:sz w:val="24"/>
          <w:szCs w:val="24"/>
        </w:rPr>
      </w:pPr>
    </w:p>
    <w:p w14:paraId="56A0F2E0" w14:textId="77777777" w:rsidR="0021756F" w:rsidRPr="0000049C" w:rsidRDefault="00000000" w:rsidP="0000049C">
      <w:pPr>
        <w:spacing w:line="360" w:lineRule="auto"/>
        <w:jc w:val="center"/>
        <w:rPr>
          <w:rFonts w:ascii="Times New Roman" w:eastAsia="Times New Roman" w:hAnsi="Times New Roman" w:cs="Times New Roman"/>
          <w:b/>
          <w:bCs/>
          <w:sz w:val="24"/>
          <w:szCs w:val="24"/>
        </w:rPr>
      </w:pPr>
      <w:r w:rsidRPr="0000049C">
        <w:rPr>
          <w:rFonts w:ascii="Times New Roman" w:eastAsia="Times New Roman" w:hAnsi="Times New Roman" w:cs="Times New Roman"/>
          <w:b/>
          <w:bCs/>
          <w:sz w:val="24"/>
          <w:szCs w:val="24"/>
        </w:rPr>
        <w:t>Title: Stakeholder Management Plan for The Regent’s Park renovation project</w:t>
      </w:r>
    </w:p>
    <w:p w14:paraId="779260D3" w14:textId="77777777" w:rsidR="0021756F" w:rsidRPr="0000049C" w:rsidRDefault="0021756F" w:rsidP="0000049C">
      <w:pPr>
        <w:spacing w:line="360" w:lineRule="auto"/>
        <w:jc w:val="center"/>
        <w:rPr>
          <w:rFonts w:ascii="Times New Roman" w:eastAsia="Times New Roman" w:hAnsi="Times New Roman" w:cs="Times New Roman"/>
          <w:b/>
          <w:bCs/>
          <w:sz w:val="24"/>
          <w:szCs w:val="24"/>
        </w:rPr>
      </w:pPr>
    </w:p>
    <w:p w14:paraId="45997C9B" w14:textId="77777777" w:rsidR="0021756F" w:rsidRPr="0000049C" w:rsidRDefault="0021756F" w:rsidP="0000049C">
      <w:pPr>
        <w:spacing w:line="360" w:lineRule="auto"/>
        <w:jc w:val="center"/>
        <w:rPr>
          <w:rFonts w:ascii="Times New Roman" w:eastAsia="Times New Roman" w:hAnsi="Times New Roman" w:cs="Times New Roman"/>
          <w:b/>
          <w:bCs/>
          <w:sz w:val="24"/>
          <w:szCs w:val="24"/>
        </w:rPr>
      </w:pPr>
    </w:p>
    <w:p w14:paraId="2C4E2D30" w14:textId="3C7B29F5" w:rsidR="0021756F" w:rsidRPr="0000049C" w:rsidRDefault="001144B1" w:rsidP="0000049C">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Student name: </w:t>
      </w:r>
      <w:r w:rsidR="00000000" w:rsidRPr="0000049C">
        <w:rPr>
          <w:rFonts w:ascii="Times New Roman" w:eastAsia="Times New Roman" w:hAnsi="Times New Roman" w:cs="Times New Roman"/>
          <w:b/>
          <w:bCs/>
          <w:sz w:val="24"/>
          <w:szCs w:val="24"/>
        </w:rPr>
        <w:t>Sener Ismail</w:t>
      </w:r>
    </w:p>
    <w:p w14:paraId="4E284CF9" w14:textId="5DF07041" w:rsidR="0021756F" w:rsidRPr="0000049C" w:rsidRDefault="001144B1" w:rsidP="0000049C">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Student </w:t>
      </w:r>
      <w:r w:rsidR="00000000" w:rsidRPr="0000049C">
        <w:rPr>
          <w:rFonts w:ascii="Times New Roman" w:eastAsia="Times New Roman" w:hAnsi="Times New Roman" w:cs="Times New Roman"/>
          <w:b/>
          <w:bCs/>
          <w:sz w:val="24"/>
          <w:szCs w:val="24"/>
        </w:rPr>
        <w:t>ID:</w:t>
      </w:r>
      <w:r>
        <w:rPr>
          <w:rFonts w:ascii="Times New Roman" w:eastAsia="Times New Roman" w:hAnsi="Times New Roman" w:cs="Times New Roman"/>
          <w:b/>
          <w:bCs/>
          <w:sz w:val="24"/>
          <w:szCs w:val="24"/>
        </w:rPr>
        <w:t xml:space="preserve"> 2428159</w:t>
      </w:r>
    </w:p>
    <w:p w14:paraId="7B1DD1AF" w14:textId="77777777" w:rsidR="0021756F" w:rsidRPr="0000049C" w:rsidRDefault="0021756F" w:rsidP="0000049C">
      <w:pPr>
        <w:spacing w:line="360" w:lineRule="auto"/>
        <w:jc w:val="center"/>
        <w:rPr>
          <w:rFonts w:ascii="Times New Roman" w:eastAsia="Times New Roman" w:hAnsi="Times New Roman" w:cs="Times New Roman"/>
          <w:b/>
          <w:bCs/>
          <w:sz w:val="24"/>
          <w:szCs w:val="24"/>
        </w:rPr>
      </w:pPr>
    </w:p>
    <w:p w14:paraId="49F5BCF7" w14:textId="77777777" w:rsidR="0000049C" w:rsidRDefault="00000000" w:rsidP="0000049C">
      <w:pPr>
        <w:spacing w:line="360" w:lineRule="auto"/>
        <w:jc w:val="center"/>
        <w:rPr>
          <w:rFonts w:ascii="Times New Roman" w:eastAsia="Times New Roman" w:hAnsi="Times New Roman" w:cs="Times New Roman"/>
          <w:b/>
          <w:bCs/>
          <w:sz w:val="24"/>
          <w:szCs w:val="24"/>
        </w:rPr>
      </w:pPr>
      <w:r w:rsidRPr="0000049C">
        <w:rPr>
          <w:rFonts w:ascii="Times New Roman" w:eastAsia="Times New Roman" w:hAnsi="Times New Roman" w:cs="Times New Roman"/>
          <w:b/>
          <w:bCs/>
          <w:sz w:val="24"/>
          <w:szCs w:val="24"/>
        </w:rPr>
        <w:t>Word Count: 3086</w:t>
      </w:r>
    </w:p>
    <w:p w14:paraId="245D5CA1" w14:textId="77777777" w:rsidR="0000049C" w:rsidRDefault="0000049C">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br w:type="page"/>
      </w:r>
    </w:p>
    <w:sdt>
      <w:sdtPr>
        <w:rPr>
          <w:rFonts w:ascii="Calibri" w:eastAsia="Calibri" w:hAnsi="Calibri" w:cs="Calibri"/>
          <w:color w:val="auto"/>
          <w:sz w:val="22"/>
          <w:szCs w:val="22"/>
          <w:lang w:val="en-GB" w:eastAsia="en-IN"/>
        </w:rPr>
        <w:id w:val="-1898574075"/>
        <w:docPartObj>
          <w:docPartGallery w:val="Table of Contents"/>
          <w:docPartUnique/>
        </w:docPartObj>
      </w:sdtPr>
      <w:sdtEndPr>
        <w:rPr>
          <w:b/>
          <w:bCs/>
          <w:noProof/>
        </w:rPr>
      </w:sdtEndPr>
      <w:sdtContent>
        <w:p w14:paraId="62206A74" w14:textId="23CE9660" w:rsidR="0000049C" w:rsidRPr="0000049C" w:rsidRDefault="0000049C" w:rsidP="0000049C">
          <w:pPr>
            <w:pStyle w:val="TOCHeading"/>
            <w:jc w:val="center"/>
            <w:rPr>
              <w:rFonts w:ascii="Times New Roman" w:hAnsi="Times New Roman" w:cs="Times New Roman"/>
              <w:b/>
              <w:bCs/>
              <w:color w:val="000000" w:themeColor="text1"/>
              <w:sz w:val="24"/>
              <w:szCs w:val="24"/>
            </w:rPr>
          </w:pPr>
          <w:r w:rsidRPr="0000049C">
            <w:rPr>
              <w:rFonts w:ascii="Times New Roman" w:hAnsi="Times New Roman" w:cs="Times New Roman"/>
              <w:b/>
              <w:bCs/>
              <w:color w:val="000000" w:themeColor="text1"/>
              <w:sz w:val="24"/>
              <w:szCs w:val="24"/>
            </w:rPr>
            <w:t>Table of Contents</w:t>
          </w:r>
        </w:p>
        <w:p w14:paraId="4E41536E" w14:textId="602F214C" w:rsidR="0000049C" w:rsidRPr="0000049C" w:rsidRDefault="0000049C" w:rsidP="0000049C">
          <w:pPr>
            <w:pStyle w:val="TOC1"/>
            <w:tabs>
              <w:tab w:val="right" w:leader="dot" w:pos="9016"/>
            </w:tabs>
            <w:spacing w:line="360" w:lineRule="auto"/>
            <w:rPr>
              <w:rFonts w:ascii="Times New Roman" w:hAnsi="Times New Roman" w:cs="Times New Roman"/>
              <w:noProof/>
              <w:sz w:val="24"/>
              <w:szCs w:val="24"/>
            </w:rPr>
          </w:pPr>
          <w:r>
            <w:fldChar w:fldCharType="begin"/>
          </w:r>
          <w:r>
            <w:instrText xml:space="preserve"> TOC \o "1-3" \h \z \u </w:instrText>
          </w:r>
          <w:r>
            <w:fldChar w:fldCharType="separate"/>
          </w:r>
          <w:hyperlink w:anchor="_Toc216898372" w:history="1">
            <w:r w:rsidRPr="0000049C">
              <w:rPr>
                <w:rStyle w:val="Hyperlink"/>
                <w:rFonts w:ascii="Times New Roman" w:hAnsi="Times New Roman" w:cs="Times New Roman"/>
                <w:noProof/>
                <w:sz w:val="24"/>
                <w:szCs w:val="24"/>
              </w:rPr>
              <w:t>1. Introduction</w:t>
            </w:r>
            <w:r w:rsidRPr="0000049C">
              <w:rPr>
                <w:rFonts w:ascii="Times New Roman" w:hAnsi="Times New Roman" w:cs="Times New Roman"/>
                <w:noProof/>
                <w:webHidden/>
                <w:sz w:val="24"/>
                <w:szCs w:val="24"/>
              </w:rPr>
              <w:tab/>
            </w:r>
            <w:r w:rsidRPr="0000049C">
              <w:rPr>
                <w:rFonts w:ascii="Times New Roman" w:hAnsi="Times New Roman" w:cs="Times New Roman"/>
                <w:noProof/>
                <w:webHidden/>
                <w:sz w:val="24"/>
                <w:szCs w:val="24"/>
              </w:rPr>
              <w:fldChar w:fldCharType="begin"/>
            </w:r>
            <w:r w:rsidRPr="0000049C">
              <w:rPr>
                <w:rFonts w:ascii="Times New Roman" w:hAnsi="Times New Roman" w:cs="Times New Roman"/>
                <w:noProof/>
                <w:webHidden/>
                <w:sz w:val="24"/>
                <w:szCs w:val="24"/>
              </w:rPr>
              <w:instrText xml:space="preserve"> PAGEREF _Toc216898372 \h </w:instrText>
            </w:r>
            <w:r w:rsidRPr="0000049C">
              <w:rPr>
                <w:rFonts w:ascii="Times New Roman" w:hAnsi="Times New Roman" w:cs="Times New Roman"/>
                <w:noProof/>
                <w:webHidden/>
                <w:sz w:val="24"/>
                <w:szCs w:val="24"/>
              </w:rPr>
            </w:r>
            <w:r w:rsidRPr="0000049C">
              <w:rPr>
                <w:rFonts w:ascii="Times New Roman" w:hAnsi="Times New Roman" w:cs="Times New Roman"/>
                <w:noProof/>
                <w:webHidden/>
                <w:sz w:val="24"/>
                <w:szCs w:val="24"/>
              </w:rPr>
              <w:fldChar w:fldCharType="separate"/>
            </w:r>
            <w:r w:rsidRPr="0000049C">
              <w:rPr>
                <w:rFonts w:ascii="Times New Roman" w:hAnsi="Times New Roman" w:cs="Times New Roman"/>
                <w:noProof/>
                <w:webHidden/>
                <w:sz w:val="24"/>
                <w:szCs w:val="24"/>
              </w:rPr>
              <w:t>3</w:t>
            </w:r>
            <w:r w:rsidRPr="0000049C">
              <w:rPr>
                <w:rFonts w:ascii="Times New Roman" w:hAnsi="Times New Roman" w:cs="Times New Roman"/>
                <w:noProof/>
                <w:webHidden/>
                <w:sz w:val="24"/>
                <w:szCs w:val="24"/>
              </w:rPr>
              <w:fldChar w:fldCharType="end"/>
            </w:r>
          </w:hyperlink>
        </w:p>
        <w:p w14:paraId="3B2A7F59" w14:textId="7CED6D36" w:rsidR="0000049C" w:rsidRPr="0000049C" w:rsidRDefault="0000049C" w:rsidP="0000049C">
          <w:pPr>
            <w:pStyle w:val="TOC1"/>
            <w:tabs>
              <w:tab w:val="right" w:leader="dot" w:pos="9016"/>
            </w:tabs>
            <w:spacing w:line="360" w:lineRule="auto"/>
            <w:rPr>
              <w:rFonts w:ascii="Times New Roman" w:hAnsi="Times New Roman" w:cs="Times New Roman"/>
              <w:noProof/>
              <w:sz w:val="24"/>
              <w:szCs w:val="24"/>
            </w:rPr>
          </w:pPr>
          <w:hyperlink w:anchor="_Toc216898373" w:history="1">
            <w:r w:rsidRPr="0000049C">
              <w:rPr>
                <w:rStyle w:val="Hyperlink"/>
                <w:rFonts w:ascii="Times New Roman" w:hAnsi="Times New Roman" w:cs="Times New Roman"/>
                <w:noProof/>
                <w:sz w:val="24"/>
                <w:szCs w:val="24"/>
              </w:rPr>
              <w:t>2. Strategies for Stakeholder Engagement</w:t>
            </w:r>
            <w:r w:rsidRPr="0000049C">
              <w:rPr>
                <w:rFonts w:ascii="Times New Roman" w:hAnsi="Times New Roman" w:cs="Times New Roman"/>
                <w:noProof/>
                <w:webHidden/>
                <w:sz w:val="24"/>
                <w:szCs w:val="24"/>
              </w:rPr>
              <w:tab/>
            </w:r>
            <w:r w:rsidRPr="0000049C">
              <w:rPr>
                <w:rFonts w:ascii="Times New Roman" w:hAnsi="Times New Roman" w:cs="Times New Roman"/>
                <w:noProof/>
                <w:webHidden/>
                <w:sz w:val="24"/>
                <w:szCs w:val="24"/>
              </w:rPr>
              <w:fldChar w:fldCharType="begin"/>
            </w:r>
            <w:r w:rsidRPr="0000049C">
              <w:rPr>
                <w:rFonts w:ascii="Times New Roman" w:hAnsi="Times New Roman" w:cs="Times New Roman"/>
                <w:noProof/>
                <w:webHidden/>
                <w:sz w:val="24"/>
                <w:szCs w:val="24"/>
              </w:rPr>
              <w:instrText xml:space="preserve"> PAGEREF _Toc216898373 \h </w:instrText>
            </w:r>
            <w:r w:rsidRPr="0000049C">
              <w:rPr>
                <w:rFonts w:ascii="Times New Roman" w:hAnsi="Times New Roman" w:cs="Times New Roman"/>
                <w:noProof/>
                <w:webHidden/>
                <w:sz w:val="24"/>
                <w:szCs w:val="24"/>
              </w:rPr>
            </w:r>
            <w:r w:rsidRPr="0000049C">
              <w:rPr>
                <w:rFonts w:ascii="Times New Roman" w:hAnsi="Times New Roman" w:cs="Times New Roman"/>
                <w:noProof/>
                <w:webHidden/>
                <w:sz w:val="24"/>
                <w:szCs w:val="24"/>
              </w:rPr>
              <w:fldChar w:fldCharType="separate"/>
            </w:r>
            <w:r w:rsidRPr="0000049C">
              <w:rPr>
                <w:rFonts w:ascii="Times New Roman" w:hAnsi="Times New Roman" w:cs="Times New Roman"/>
                <w:noProof/>
                <w:webHidden/>
                <w:sz w:val="24"/>
                <w:szCs w:val="24"/>
              </w:rPr>
              <w:t>4</w:t>
            </w:r>
            <w:r w:rsidRPr="0000049C">
              <w:rPr>
                <w:rFonts w:ascii="Times New Roman" w:hAnsi="Times New Roman" w:cs="Times New Roman"/>
                <w:noProof/>
                <w:webHidden/>
                <w:sz w:val="24"/>
                <w:szCs w:val="24"/>
              </w:rPr>
              <w:fldChar w:fldCharType="end"/>
            </w:r>
          </w:hyperlink>
        </w:p>
        <w:p w14:paraId="686451BF" w14:textId="453A6496" w:rsidR="0000049C" w:rsidRPr="0000049C" w:rsidRDefault="0000049C" w:rsidP="0000049C">
          <w:pPr>
            <w:pStyle w:val="TOC1"/>
            <w:tabs>
              <w:tab w:val="right" w:leader="dot" w:pos="9016"/>
            </w:tabs>
            <w:spacing w:line="360" w:lineRule="auto"/>
            <w:rPr>
              <w:rFonts w:ascii="Times New Roman" w:hAnsi="Times New Roman" w:cs="Times New Roman"/>
              <w:noProof/>
              <w:sz w:val="24"/>
              <w:szCs w:val="24"/>
            </w:rPr>
          </w:pPr>
          <w:hyperlink w:anchor="_Toc216898374" w:history="1">
            <w:r w:rsidRPr="0000049C">
              <w:rPr>
                <w:rStyle w:val="Hyperlink"/>
                <w:rFonts w:ascii="Times New Roman" w:hAnsi="Times New Roman" w:cs="Times New Roman"/>
                <w:noProof/>
                <w:sz w:val="24"/>
                <w:szCs w:val="24"/>
              </w:rPr>
              <w:t>3. Stakeholders Consultation, Participation and Feedback: Ethical Consideration</w:t>
            </w:r>
            <w:r w:rsidRPr="0000049C">
              <w:rPr>
                <w:rFonts w:ascii="Times New Roman" w:hAnsi="Times New Roman" w:cs="Times New Roman"/>
                <w:noProof/>
                <w:webHidden/>
                <w:sz w:val="24"/>
                <w:szCs w:val="24"/>
              </w:rPr>
              <w:tab/>
            </w:r>
            <w:r w:rsidRPr="0000049C">
              <w:rPr>
                <w:rFonts w:ascii="Times New Roman" w:hAnsi="Times New Roman" w:cs="Times New Roman"/>
                <w:noProof/>
                <w:webHidden/>
                <w:sz w:val="24"/>
                <w:szCs w:val="24"/>
              </w:rPr>
              <w:fldChar w:fldCharType="begin"/>
            </w:r>
            <w:r w:rsidRPr="0000049C">
              <w:rPr>
                <w:rFonts w:ascii="Times New Roman" w:hAnsi="Times New Roman" w:cs="Times New Roman"/>
                <w:noProof/>
                <w:webHidden/>
                <w:sz w:val="24"/>
                <w:szCs w:val="24"/>
              </w:rPr>
              <w:instrText xml:space="preserve"> PAGEREF _Toc216898374 \h </w:instrText>
            </w:r>
            <w:r w:rsidRPr="0000049C">
              <w:rPr>
                <w:rFonts w:ascii="Times New Roman" w:hAnsi="Times New Roman" w:cs="Times New Roman"/>
                <w:noProof/>
                <w:webHidden/>
                <w:sz w:val="24"/>
                <w:szCs w:val="24"/>
              </w:rPr>
            </w:r>
            <w:r w:rsidRPr="0000049C">
              <w:rPr>
                <w:rFonts w:ascii="Times New Roman" w:hAnsi="Times New Roman" w:cs="Times New Roman"/>
                <w:noProof/>
                <w:webHidden/>
                <w:sz w:val="24"/>
                <w:szCs w:val="24"/>
              </w:rPr>
              <w:fldChar w:fldCharType="separate"/>
            </w:r>
            <w:r w:rsidRPr="0000049C">
              <w:rPr>
                <w:rFonts w:ascii="Times New Roman" w:hAnsi="Times New Roman" w:cs="Times New Roman"/>
                <w:noProof/>
                <w:webHidden/>
                <w:sz w:val="24"/>
                <w:szCs w:val="24"/>
              </w:rPr>
              <w:t>10</w:t>
            </w:r>
            <w:r w:rsidRPr="0000049C">
              <w:rPr>
                <w:rFonts w:ascii="Times New Roman" w:hAnsi="Times New Roman" w:cs="Times New Roman"/>
                <w:noProof/>
                <w:webHidden/>
                <w:sz w:val="24"/>
                <w:szCs w:val="24"/>
              </w:rPr>
              <w:fldChar w:fldCharType="end"/>
            </w:r>
          </w:hyperlink>
        </w:p>
        <w:p w14:paraId="6BA0F31C" w14:textId="4861330F" w:rsidR="0000049C" w:rsidRPr="0000049C" w:rsidRDefault="0000049C" w:rsidP="0000049C">
          <w:pPr>
            <w:pStyle w:val="TOC1"/>
            <w:tabs>
              <w:tab w:val="right" w:leader="dot" w:pos="9016"/>
            </w:tabs>
            <w:spacing w:line="360" w:lineRule="auto"/>
            <w:rPr>
              <w:rFonts w:ascii="Times New Roman" w:hAnsi="Times New Roman" w:cs="Times New Roman"/>
              <w:noProof/>
              <w:sz w:val="24"/>
              <w:szCs w:val="24"/>
            </w:rPr>
          </w:pPr>
          <w:hyperlink w:anchor="_Toc216898375" w:history="1">
            <w:r w:rsidRPr="0000049C">
              <w:rPr>
                <w:rStyle w:val="Hyperlink"/>
                <w:rFonts w:ascii="Times New Roman" w:hAnsi="Times New Roman" w:cs="Times New Roman"/>
                <w:noProof/>
                <w:sz w:val="24"/>
                <w:szCs w:val="24"/>
              </w:rPr>
              <w:t>4. Conclusion and Reflection</w:t>
            </w:r>
            <w:r w:rsidRPr="0000049C">
              <w:rPr>
                <w:rFonts w:ascii="Times New Roman" w:hAnsi="Times New Roman" w:cs="Times New Roman"/>
                <w:noProof/>
                <w:webHidden/>
                <w:sz w:val="24"/>
                <w:szCs w:val="24"/>
              </w:rPr>
              <w:tab/>
            </w:r>
            <w:r w:rsidRPr="0000049C">
              <w:rPr>
                <w:rFonts w:ascii="Times New Roman" w:hAnsi="Times New Roman" w:cs="Times New Roman"/>
                <w:noProof/>
                <w:webHidden/>
                <w:sz w:val="24"/>
                <w:szCs w:val="24"/>
              </w:rPr>
              <w:fldChar w:fldCharType="begin"/>
            </w:r>
            <w:r w:rsidRPr="0000049C">
              <w:rPr>
                <w:rFonts w:ascii="Times New Roman" w:hAnsi="Times New Roman" w:cs="Times New Roman"/>
                <w:noProof/>
                <w:webHidden/>
                <w:sz w:val="24"/>
                <w:szCs w:val="24"/>
              </w:rPr>
              <w:instrText xml:space="preserve"> PAGEREF _Toc216898375 \h </w:instrText>
            </w:r>
            <w:r w:rsidRPr="0000049C">
              <w:rPr>
                <w:rFonts w:ascii="Times New Roman" w:hAnsi="Times New Roman" w:cs="Times New Roman"/>
                <w:noProof/>
                <w:webHidden/>
                <w:sz w:val="24"/>
                <w:szCs w:val="24"/>
              </w:rPr>
            </w:r>
            <w:r w:rsidRPr="0000049C">
              <w:rPr>
                <w:rFonts w:ascii="Times New Roman" w:hAnsi="Times New Roman" w:cs="Times New Roman"/>
                <w:noProof/>
                <w:webHidden/>
                <w:sz w:val="24"/>
                <w:szCs w:val="24"/>
              </w:rPr>
              <w:fldChar w:fldCharType="separate"/>
            </w:r>
            <w:r w:rsidRPr="0000049C">
              <w:rPr>
                <w:rFonts w:ascii="Times New Roman" w:hAnsi="Times New Roman" w:cs="Times New Roman"/>
                <w:noProof/>
                <w:webHidden/>
                <w:sz w:val="24"/>
                <w:szCs w:val="24"/>
              </w:rPr>
              <w:t>12</w:t>
            </w:r>
            <w:r w:rsidRPr="0000049C">
              <w:rPr>
                <w:rFonts w:ascii="Times New Roman" w:hAnsi="Times New Roman" w:cs="Times New Roman"/>
                <w:noProof/>
                <w:webHidden/>
                <w:sz w:val="24"/>
                <w:szCs w:val="24"/>
              </w:rPr>
              <w:fldChar w:fldCharType="end"/>
            </w:r>
          </w:hyperlink>
        </w:p>
        <w:p w14:paraId="189B7A80" w14:textId="51C6429B" w:rsidR="0000049C" w:rsidRPr="0000049C" w:rsidRDefault="0000049C" w:rsidP="0000049C">
          <w:pPr>
            <w:pStyle w:val="TOC1"/>
            <w:tabs>
              <w:tab w:val="right" w:leader="dot" w:pos="9016"/>
            </w:tabs>
            <w:spacing w:line="360" w:lineRule="auto"/>
            <w:rPr>
              <w:rFonts w:ascii="Times New Roman" w:hAnsi="Times New Roman" w:cs="Times New Roman"/>
              <w:noProof/>
              <w:sz w:val="24"/>
              <w:szCs w:val="24"/>
            </w:rPr>
          </w:pPr>
          <w:hyperlink w:anchor="_Toc216898376" w:history="1">
            <w:r w:rsidRPr="0000049C">
              <w:rPr>
                <w:rStyle w:val="Hyperlink"/>
                <w:rFonts w:ascii="Times New Roman" w:hAnsi="Times New Roman" w:cs="Times New Roman"/>
                <w:noProof/>
                <w:sz w:val="24"/>
                <w:szCs w:val="24"/>
              </w:rPr>
              <w:t>References</w:t>
            </w:r>
            <w:r w:rsidRPr="0000049C">
              <w:rPr>
                <w:rFonts w:ascii="Times New Roman" w:hAnsi="Times New Roman" w:cs="Times New Roman"/>
                <w:noProof/>
                <w:webHidden/>
                <w:sz w:val="24"/>
                <w:szCs w:val="24"/>
              </w:rPr>
              <w:tab/>
            </w:r>
            <w:r w:rsidRPr="0000049C">
              <w:rPr>
                <w:rFonts w:ascii="Times New Roman" w:hAnsi="Times New Roman" w:cs="Times New Roman"/>
                <w:noProof/>
                <w:webHidden/>
                <w:sz w:val="24"/>
                <w:szCs w:val="24"/>
              </w:rPr>
              <w:fldChar w:fldCharType="begin"/>
            </w:r>
            <w:r w:rsidRPr="0000049C">
              <w:rPr>
                <w:rFonts w:ascii="Times New Roman" w:hAnsi="Times New Roman" w:cs="Times New Roman"/>
                <w:noProof/>
                <w:webHidden/>
                <w:sz w:val="24"/>
                <w:szCs w:val="24"/>
              </w:rPr>
              <w:instrText xml:space="preserve"> PAGEREF _Toc216898376 \h </w:instrText>
            </w:r>
            <w:r w:rsidRPr="0000049C">
              <w:rPr>
                <w:rFonts w:ascii="Times New Roman" w:hAnsi="Times New Roman" w:cs="Times New Roman"/>
                <w:noProof/>
                <w:webHidden/>
                <w:sz w:val="24"/>
                <w:szCs w:val="24"/>
              </w:rPr>
            </w:r>
            <w:r w:rsidRPr="0000049C">
              <w:rPr>
                <w:rFonts w:ascii="Times New Roman" w:hAnsi="Times New Roman" w:cs="Times New Roman"/>
                <w:noProof/>
                <w:webHidden/>
                <w:sz w:val="24"/>
                <w:szCs w:val="24"/>
              </w:rPr>
              <w:fldChar w:fldCharType="separate"/>
            </w:r>
            <w:r w:rsidRPr="0000049C">
              <w:rPr>
                <w:rFonts w:ascii="Times New Roman" w:hAnsi="Times New Roman" w:cs="Times New Roman"/>
                <w:noProof/>
                <w:webHidden/>
                <w:sz w:val="24"/>
                <w:szCs w:val="24"/>
              </w:rPr>
              <w:t>15</w:t>
            </w:r>
            <w:r w:rsidRPr="0000049C">
              <w:rPr>
                <w:rFonts w:ascii="Times New Roman" w:hAnsi="Times New Roman" w:cs="Times New Roman"/>
                <w:noProof/>
                <w:webHidden/>
                <w:sz w:val="24"/>
                <w:szCs w:val="24"/>
              </w:rPr>
              <w:fldChar w:fldCharType="end"/>
            </w:r>
          </w:hyperlink>
        </w:p>
        <w:p w14:paraId="10A0D0B7" w14:textId="3DF60FF2" w:rsidR="0000049C" w:rsidRDefault="0000049C">
          <w:r>
            <w:rPr>
              <w:b/>
              <w:bCs/>
              <w:noProof/>
            </w:rPr>
            <w:fldChar w:fldCharType="end"/>
          </w:r>
        </w:p>
      </w:sdtContent>
    </w:sdt>
    <w:p w14:paraId="42020FA0" w14:textId="735F26B8" w:rsidR="0021756F" w:rsidRDefault="00000000" w:rsidP="0000049C">
      <w:pPr>
        <w:spacing w:line="360" w:lineRule="auto"/>
        <w:jc w:val="center"/>
        <w:rPr>
          <w:rFonts w:ascii="Times New Roman" w:eastAsia="Times New Roman" w:hAnsi="Times New Roman" w:cs="Times New Roman"/>
          <w:sz w:val="24"/>
          <w:szCs w:val="24"/>
        </w:rPr>
      </w:pPr>
      <w:r>
        <w:br w:type="page"/>
      </w:r>
    </w:p>
    <w:p w14:paraId="641E3A13" w14:textId="77777777" w:rsidR="0021756F" w:rsidRDefault="00000000" w:rsidP="0000049C">
      <w:pPr>
        <w:pStyle w:val="Heading1"/>
      </w:pPr>
      <w:bookmarkStart w:id="0" w:name="_Toc216898372"/>
      <w:r>
        <w:lastRenderedPageBreak/>
        <w:t>1. Introduction</w:t>
      </w:r>
      <w:bookmarkEnd w:id="0"/>
      <w:r>
        <w:t xml:space="preserve"> </w:t>
      </w:r>
    </w:p>
    <w:p w14:paraId="76A6D9A5" w14:textId="77777777" w:rsidR="0021756F"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1.1 Project description and report rationale</w:t>
      </w:r>
    </w:p>
    <w:p w14:paraId="79F87A9C" w14:textId="77777777" w:rsidR="0021756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The Regent’s Park</w:t>
      </w:r>
      <w:r>
        <w:rPr>
          <w:rFonts w:ascii="Times New Roman" w:eastAsia="Times New Roman" w:hAnsi="Times New Roman" w:cs="Times New Roman"/>
          <w:sz w:val="24"/>
          <w:szCs w:val="24"/>
        </w:rPr>
        <w:t xml:space="preserve">, a Royal Park (RP) in London with notable historical and social significance, has recently undergone improvement work. It resembles urban regeneration on a massive scale aiming at conservation of heritage and also improving infrastructure. Specifically, the plant nursery that lay there abandoned for long has now been transformed into a garden (for commemorating the life of Queen Elizabeth II) under the broader goal of increasing green spaces in the park (The Royal Parks, 2024). Furthermore, facilities present there for visitors have also undergone modifications to increase footfalls. In any case, the importance of this project that aims to balance restoration of heritage with contemporary visitors’ needs has to be understood through the benefits it promises for its stakeholders. Being a RP with notable ecological and historical importance, moreover, stakeholder coordination appears critical in this context. In this regard, </w:t>
      </w:r>
      <w:r>
        <w:rPr>
          <w:rFonts w:ascii="Times New Roman" w:eastAsia="Times New Roman" w:hAnsi="Times New Roman" w:cs="Times New Roman"/>
          <w:i/>
          <w:iCs/>
          <w:sz w:val="24"/>
          <w:szCs w:val="24"/>
        </w:rPr>
        <w:t>this report</w:t>
      </w:r>
      <w:r>
        <w:rPr>
          <w:rFonts w:ascii="Times New Roman" w:eastAsia="Times New Roman" w:hAnsi="Times New Roman" w:cs="Times New Roman"/>
          <w:sz w:val="24"/>
          <w:szCs w:val="24"/>
        </w:rPr>
        <w:t xml:space="preserve"> specifically aims to discuss stakeholder engagement strategies while reflecting on ethical considerations while seeking consultation and feedback from them. The following segment explores the relevance of this project in detail while identifying six major stakeholders associated with it. </w:t>
      </w:r>
    </w:p>
    <w:p w14:paraId="4C84B39F" w14:textId="77777777" w:rsidR="0021756F"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 xml:space="preserve">1.2 Project’s relevance </w:t>
      </w:r>
    </w:p>
    <w:p w14:paraId="19EBCBD5" w14:textId="77777777" w:rsidR="0021756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Regent’s Park renovation project directly addresses the government’s goal to increase green infrastructure as a way of supporting biodiversity and encouraging people to adopt a sustainable lifestyle (Gov.UK, 2024). Apart from this ecological angle, as shown above, the aspect of heritage conservation is also intertwined with this project (e.g., construction of a two-acre garden to commemorate the life of Queen Elizabeth II). From a stakeholder management perspective, furthermore, this project has relevance, as the renovations are also aimed at increasing access to aged and disabled people into the park (i.e., inclusivity and increased accessibility). </w:t>
      </w:r>
    </w:p>
    <w:p w14:paraId="05F76188" w14:textId="77777777" w:rsidR="0021756F"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1.3 Key stakeholders</w:t>
      </w:r>
    </w:p>
    <w:p w14:paraId="7E6545E4" w14:textId="77777777" w:rsidR="0021756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six major stakeholders of the project are as follows: </w:t>
      </w:r>
    </w:p>
    <w:p w14:paraId="0E373178" w14:textId="77777777" w:rsidR="0021756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b/>
          <w:bCs/>
          <w:sz w:val="24"/>
          <w:szCs w:val="24"/>
        </w:rPr>
        <w:t>RP Authority</w:t>
      </w:r>
      <w:r>
        <w:rPr>
          <w:rFonts w:ascii="Times New Roman" w:eastAsia="Times New Roman" w:hAnsi="Times New Roman" w:cs="Times New Roman"/>
          <w:sz w:val="24"/>
          <w:szCs w:val="24"/>
        </w:rPr>
        <w:t xml:space="preserve"> (one of the major sponsors of the project) - benefits promised include a) conservation of park properties with heritage value, b) operational benefits of state-of-the-art infrastructure, c) improved brand reputation (as visitors are potentially more satisfied after renovation)</w:t>
      </w:r>
    </w:p>
    <w:p w14:paraId="767182F6" w14:textId="77777777" w:rsidR="0021756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2) </w:t>
      </w:r>
      <w:r>
        <w:rPr>
          <w:rFonts w:ascii="Times New Roman" w:eastAsia="Times New Roman" w:hAnsi="Times New Roman" w:cs="Times New Roman"/>
          <w:b/>
          <w:bCs/>
          <w:sz w:val="24"/>
          <w:szCs w:val="24"/>
        </w:rPr>
        <w:t>Local communities/residents</w:t>
      </w:r>
      <w:r>
        <w:rPr>
          <w:rFonts w:ascii="Times New Roman" w:eastAsia="Times New Roman" w:hAnsi="Times New Roman" w:cs="Times New Roman"/>
          <w:sz w:val="24"/>
          <w:szCs w:val="24"/>
        </w:rPr>
        <w:t xml:space="preserve"> (directly affected by the renovation work) - benefits promised include a) quality of life due to access to green spaces (Mensah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2016), b) safe and clean park surroundings encouraging fitness enthusiasts among local residents, c) community engagement (i.e., recognition as the local guardians of a public asset)</w:t>
      </w:r>
    </w:p>
    <w:p w14:paraId="7BBA044F" w14:textId="77777777" w:rsidR="0021756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w:t>
      </w:r>
      <w:r>
        <w:rPr>
          <w:rFonts w:ascii="Times New Roman" w:eastAsia="Times New Roman" w:hAnsi="Times New Roman" w:cs="Times New Roman"/>
          <w:b/>
          <w:bCs/>
          <w:sz w:val="24"/>
          <w:szCs w:val="24"/>
        </w:rPr>
        <w:t>Daily visitors/tourists</w:t>
      </w:r>
      <w:r>
        <w:rPr>
          <w:rFonts w:ascii="Times New Roman" w:eastAsia="Times New Roman" w:hAnsi="Times New Roman" w:cs="Times New Roman"/>
          <w:sz w:val="24"/>
          <w:szCs w:val="24"/>
        </w:rPr>
        <w:t xml:space="preserve"> - benefits include a) enhanced experience with facility improvement, b) inclusive access, c) can complement the other tourist attractions in London   </w:t>
      </w:r>
    </w:p>
    <w:p w14:paraId="2A444F19" w14:textId="77777777" w:rsidR="0021756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 </w:t>
      </w:r>
      <w:r>
        <w:rPr>
          <w:rFonts w:ascii="Times New Roman" w:eastAsia="Times New Roman" w:hAnsi="Times New Roman" w:cs="Times New Roman"/>
          <w:b/>
          <w:bCs/>
          <w:sz w:val="24"/>
          <w:szCs w:val="24"/>
        </w:rPr>
        <w:t>Ecological organisations</w:t>
      </w:r>
      <w:r>
        <w:rPr>
          <w:rFonts w:ascii="Times New Roman" w:eastAsia="Times New Roman" w:hAnsi="Times New Roman" w:cs="Times New Roman"/>
          <w:sz w:val="24"/>
          <w:szCs w:val="24"/>
        </w:rPr>
        <w:t xml:space="preserve"> - benefits include a) maintenance of ecological balance, b) increased biodiversity, c) urban regeneration using sustainable methods</w:t>
      </w:r>
    </w:p>
    <w:p w14:paraId="199B4A6D" w14:textId="77777777" w:rsidR="0021756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5) </w:t>
      </w:r>
      <w:r>
        <w:rPr>
          <w:rFonts w:ascii="Times New Roman" w:eastAsia="Times New Roman" w:hAnsi="Times New Roman" w:cs="Times New Roman"/>
          <w:b/>
          <w:bCs/>
          <w:sz w:val="24"/>
          <w:szCs w:val="24"/>
        </w:rPr>
        <w:t>Local businesses in the vicinity</w:t>
      </w:r>
      <w:r>
        <w:rPr>
          <w:rFonts w:ascii="Times New Roman" w:eastAsia="Times New Roman" w:hAnsi="Times New Roman" w:cs="Times New Roman"/>
          <w:sz w:val="24"/>
          <w:szCs w:val="24"/>
        </w:rPr>
        <w:t xml:space="preserve"> (e.g., Cafes, Event Management firms) - benefits include a) greater footfalls in the park leads to greater sales, b) improved infrastructure increase chances of events and c) long-term financial gains from a well-maintained park</w:t>
      </w:r>
    </w:p>
    <w:p w14:paraId="7582F0FD" w14:textId="77777777" w:rsidR="0021756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6) </w:t>
      </w:r>
      <w:r>
        <w:rPr>
          <w:rFonts w:ascii="Times New Roman" w:eastAsia="Times New Roman" w:hAnsi="Times New Roman" w:cs="Times New Roman"/>
          <w:b/>
          <w:bCs/>
          <w:sz w:val="24"/>
          <w:szCs w:val="24"/>
        </w:rPr>
        <w:t>Local Government (e.g., Westminster City Council) &amp; other regulatory bodies</w:t>
      </w:r>
      <w:r>
        <w:rPr>
          <w:rFonts w:ascii="Times New Roman" w:eastAsia="Times New Roman" w:hAnsi="Times New Roman" w:cs="Times New Roman"/>
          <w:sz w:val="24"/>
          <w:szCs w:val="24"/>
        </w:rPr>
        <w:t xml:space="preserve"> - benefits include a) urban regeneration and improvement of residents’ quality of life, b) diminishing safety risks with successful renovation and c) positive sociopolitical outcomes (i.e., praise for investing in public assets)  </w:t>
      </w:r>
    </w:p>
    <w:p w14:paraId="3B641F5C" w14:textId="77777777" w:rsidR="0021756F" w:rsidRDefault="00000000" w:rsidP="0000049C">
      <w:pPr>
        <w:pStyle w:val="Heading1"/>
      </w:pPr>
      <w:bookmarkStart w:id="1" w:name="_Toc216898373"/>
      <w:r>
        <w:t>2. Strategies for Stakeholder Engagement</w:t>
      </w:r>
      <w:bookmarkEnd w:id="1"/>
    </w:p>
    <w:p w14:paraId="0B13D33C" w14:textId="77777777" w:rsidR="0021756F"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2.1 Stakeholders’ power, influence and interest</w:t>
      </w:r>
    </w:p>
    <w:p w14:paraId="129B4ADD" w14:textId="77777777" w:rsidR="0021756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stakeholders identified above can be categorised in a tabular format as follows: </w:t>
      </w:r>
    </w:p>
    <w:sdt>
      <w:sdtPr>
        <w:tag w:val="goog_rdk_0"/>
        <w:id w:val="1343971940"/>
        <w:lock w:val="contentLocked"/>
      </w:sdtPr>
      <w:sdtContent>
        <w:tbl>
          <w:tblPr>
            <w:tblStyle w:val="a"/>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6"/>
            <w:gridCol w:w="1805"/>
            <w:gridCol w:w="1805"/>
            <w:gridCol w:w="1805"/>
            <w:gridCol w:w="1805"/>
          </w:tblGrid>
          <w:tr w:rsidR="0021756F" w14:paraId="49932B82" w14:textId="77777777">
            <w:tc>
              <w:tcPr>
                <w:tcW w:w="1805" w:type="dxa"/>
                <w:tcMar>
                  <w:top w:w="100" w:type="dxa"/>
                  <w:left w:w="100" w:type="dxa"/>
                  <w:bottom w:w="100" w:type="dxa"/>
                  <w:right w:w="100" w:type="dxa"/>
                </w:tcMar>
              </w:tcPr>
              <w:p w14:paraId="6A93BE40" w14:textId="77777777" w:rsidR="0021756F" w:rsidRDefault="00000000">
                <w:pPr>
                  <w:widowControl w:val="0"/>
                  <w:pBdr>
                    <w:top w:val="nil"/>
                    <w:left w:val="nil"/>
                    <w:bottom w:val="nil"/>
                    <w:right w:val="nil"/>
                    <w:between w:val="nil"/>
                  </w:pBdr>
                  <w:spacing w:after="0"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Stakeholders</w:t>
                </w:r>
              </w:p>
            </w:tc>
            <w:tc>
              <w:tcPr>
                <w:tcW w:w="1805" w:type="dxa"/>
                <w:tcMar>
                  <w:top w:w="100" w:type="dxa"/>
                  <w:left w:w="100" w:type="dxa"/>
                  <w:bottom w:w="100" w:type="dxa"/>
                  <w:right w:w="100" w:type="dxa"/>
                </w:tcMar>
              </w:tcPr>
              <w:p w14:paraId="40F67F68" w14:textId="77777777" w:rsidR="0021756F" w:rsidRDefault="00000000">
                <w:pPr>
                  <w:widowControl w:val="0"/>
                  <w:pBdr>
                    <w:top w:val="nil"/>
                    <w:left w:val="nil"/>
                    <w:bottom w:val="nil"/>
                    <w:right w:val="nil"/>
                    <w:between w:val="nil"/>
                  </w:pBdr>
                  <w:spacing w:after="0"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Power</w:t>
                </w:r>
              </w:p>
            </w:tc>
            <w:tc>
              <w:tcPr>
                <w:tcW w:w="1805" w:type="dxa"/>
                <w:tcMar>
                  <w:top w:w="100" w:type="dxa"/>
                  <w:left w:w="100" w:type="dxa"/>
                  <w:bottom w:w="100" w:type="dxa"/>
                  <w:right w:w="100" w:type="dxa"/>
                </w:tcMar>
              </w:tcPr>
              <w:p w14:paraId="4B8290AC" w14:textId="77777777" w:rsidR="0021756F" w:rsidRDefault="00000000">
                <w:pPr>
                  <w:widowControl w:val="0"/>
                  <w:pBdr>
                    <w:top w:val="nil"/>
                    <w:left w:val="nil"/>
                    <w:bottom w:val="nil"/>
                    <w:right w:val="nil"/>
                    <w:between w:val="nil"/>
                  </w:pBdr>
                  <w:spacing w:after="0"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Influence</w:t>
                </w:r>
              </w:p>
            </w:tc>
            <w:tc>
              <w:tcPr>
                <w:tcW w:w="1805" w:type="dxa"/>
                <w:tcMar>
                  <w:top w:w="100" w:type="dxa"/>
                  <w:left w:w="100" w:type="dxa"/>
                  <w:bottom w:w="100" w:type="dxa"/>
                  <w:right w:w="100" w:type="dxa"/>
                </w:tcMar>
              </w:tcPr>
              <w:p w14:paraId="6AF4F2CB" w14:textId="77777777" w:rsidR="0021756F" w:rsidRDefault="00000000">
                <w:pPr>
                  <w:widowControl w:val="0"/>
                  <w:pBdr>
                    <w:top w:val="nil"/>
                    <w:left w:val="nil"/>
                    <w:bottom w:val="nil"/>
                    <w:right w:val="nil"/>
                    <w:between w:val="nil"/>
                  </w:pBdr>
                  <w:spacing w:after="0"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Interest</w:t>
                </w:r>
              </w:p>
            </w:tc>
            <w:tc>
              <w:tcPr>
                <w:tcW w:w="1805" w:type="dxa"/>
                <w:tcMar>
                  <w:top w:w="100" w:type="dxa"/>
                  <w:left w:w="100" w:type="dxa"/>
                  <w:bottom w:w="100" w:type="dxa"/>
                  <w:right w:w="100" w:type="dxa"/>
                </w:tcMar>
              </w:tcPr>
              <w:p w14:paraId="52134D8E" w14:textId="77777777" w:rsidR="0021756F" w:rsidRDefault="00000000">
                <w:pPr>
                  <w:widowControl w:val="0"/>
                  <w:pBdr>
                    <w:top w:val="nil"/>
                    <w:left w:val="nil"/>
                    <w:bottom w:val="nil"/>
                    <w:right w:val="nil"/>
                    <w:between w:val="nil"/>
                  </w:pBdr>
                  <w:spacing w:after="0"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Justification</w:t>
                </w:r>
              </w:p>
            </w:tc>
          </w:tr>
          <w:tr w:rsidR="0021756F" w14:paraId="15C5501C" w14:textId="77777777">
            <w:tc>
              <w:tcPr>
                <w:tcW w:w="1805" w:type="dxa"/>
                <w:tcMar>
                  <w:top w:w="100" w:type="dxa"/>
                  <w:left w:w="100" w:type="dxa"/>
                  <w:bottom w:w="100" w:type="dxa"/>
                  <w:right w:w="100" w:type="dxa"/>
                </w:tcMar>
              </w:tcPr>
              <w:p w14:paraId="2DF8FBC9" w14:textId="77777777" w:rsidR="0021756F" w:rsidRDefault="00000000">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RP Authority</w:t>
                </w:r>
              </w:p>
            </w:tc>
            <w:tc>
              <w:tcPr>
                <w:tcW w:w="1805" w:type="dxa"/>
                <w:tcMar>
                  <w:top w:w="100" w:type="dxa"/>
                  <w:left w:w="100" w:type="dxa"/>
                  <w:bottom w:w="100" w:type="dxa"/>
                  <w:right w:w="100" w:type="dxa"/>
                </w:tcMar>
              </w:tcPr>
              <w:p w14:paraId="43E01487" w14:textId="77777777" w:rsidR="0021756F" w:rsidRDefault="00000000">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1805" w:type="dxa"/>
                <w:tcMar>
                  <w:top w:w="100" w:type="dxa"/>
                  <w:left w:w="100" w:type="dxa"/>
                  <w:bottom w:w="100" w:type="dxa"/>
                  <w:right w:w="100" w:type="dxa"/>
                </w:tcMar>
              </w:tcPr>
              <w:p w14:paraId="068055F7" w14:textId="77777777" w:rsidR="0021756F" w:rsidRDefault="00000000">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1805" w:type="dxa"/>
                <w:tcMar>
                  <w:top w:w="100" w:type="dxa"/>
                  <w:left w:w="100" w:type="dxa"/>
                  <w:bottom w:w="100" w:type="dxa"/>
                  <w:right w:w="100" w:type="dxa"/>
                </w:tcMar>
              </w:tcPr>
              <w:p w14:paraId="046E8CD2" w14:textId="77777777" w:rsidR="0021756F" w:rsidRDefault="00000000">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1805" w:type="dxa"/>
                <w:tcMar>
                  <w:top w:w="100" w:type="dxa"/>
                  <w:left w:w="100" w:type="dxa"/>
                  <w:bottom w:w="100" w:type="dxa"/>
                  <w:right w:w="100" w:type="dxa"/>
                </w:tcMar>
              </w:tcPr>
              <w:p w14:paraId="201D0E96" w14:textId="77777777" w:rsidR="0021756F" w:rsidRDefault="00000000">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Being the main sponsor, it is deeply engaged with the project (e.g., offers strategic decision) and controls the entire funding process</w:t>
                </w:r>
              </w:p>
            </w:tc>
          </w:tr>
          <w:tr w:rsidR="0021756F" w14:paraId="6649C47C" w14:textId="77777777">
            <w:tc>
              <w:tcPr>
                <w:tcW w:w="1805" w:type="dxa"/>
                <w:tcMar>
                  <w:top w:w="100" w:type="dxa"/>
                  <w:left w:w="100" w:type="dxa"/>
                  <w:bottom w:w="100" w:type="dxa"/>
                  <w:right w:w="100" w:type="dxa"/>
                </w:tcMar>
              </w:tcPr>
              <w:p w14:paraId="4D9EFDD0" w14:textId="77777777" w:rsidR="0021756F" w:rsidRDefault="00000000">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Local government and other regulatory bodies</w:t>
                </w:r>
              </w:p>
            </w:tc>
            <w:tc>
              <w:tcPr>
                <w:tcW w:w="1805" w:type="dxa"/>
                <w:tcMar>
                  <w:top w:w="100" w:type="dxa"/>
                  <w:left w:w="100" w:type="dxa"/>
                  <w:bottom w:w="100" w:type="dxa"/>
                  <w:right w:w="100" w:type="dxa"/>
                </w:tcMar>
              </w:tcPr>
              <w:p w14:paraId="677C04E1" w14:textId="77777777" w:rsidR="0021756F" w:rsidRDefault="00000000">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1805" w:type="dxa"/>
                <w:tcMar>
                  <w:top w:w="100" w:type="dxa"/>
                  <w:left w:w="100" w:type="dxa"/>
                  <w:bottom w:w="100" w:type="dxa"/>
                  <w:right w:w="100" w:type="dxa"/>
                </w:tcMar>
              </w:tcPr>
              <w:p w14:paraId="1BD4104B" w14:textId="77777777" w:rsidR="0021756F" w:rsidRDefault="00000000">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Medium </w:t>
                </w:r>
              </w:p>
            </w:tc>
            <w:tc>
              <w:tcPr>
                <w:tcW w:w="1805" w:type="dxa"/>
                <w:tcMar>
                  <w:top w:w="100" w:type="dxa"/>
                  <w:left w:w="100" w:type="dxa"/>
                  <w:bottom w:w="100" w:type="dxa"/>
                  <w:right w:w="100" w:type="dxa"/>
                </w:tcMar>
              </w:tcPr>
              <w:p w14:paraId="3181DDF2" w14:textId="77777777" w:rsidR="0021756F" w:rsidRDefault="00000000">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Medium </w:t>
                </w:r>
              </w:p>
            </w:tc>
            <w:tc>
              <w:tcPr>
                <w:tcW w:w="1805" w:type="dxa"/>
                <w:tcMar>
                  <w:top w:w="100" w:type="dxa"/>
                  <w:left w:w="100" w:type="dxa"/>
                  <w:bottom w:w="100" w:type="dxa"/>
                  <w:right w:w="100" w:type="dxa"/>
                </w:tcMar>
              </w:tcPr>
              <w:p w14:paraId="5E2C5871" w14:textId="77777777" w:rsidR="0021756F" w:rsidRDefault="00000000">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Though they can exercise regulatory power, they are not involved in everyday operations (i.e., policy-based engagement)</w:t>
                </w:r>
              </w:p>
            </w:tc>
          </w:tr>
          <w:tr w:rsidR="0021756F" w14:paraId="10182614" w14:textId="77777777">
            <w:tc>
              <w:tcPr>
                <w:tcW w:w="1805" w:type="dxa"/>
                <w:tcMar>
                  <w:top w:w="100" w:type="dxa"/>
                  <w:left w:w="100" w:type="dxa"/>
                  <w:bottom w:w="100" w:type="dxa"/>
                  <w:right w:w="100" w:type="dxa"/>
                </w:tcMar>
              </w:tcPr>
              <w:p w14:paraId="3703B64B" w14:textId="77777777" w:rsidR="0021756F" w:rsidRDefault="00000000">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Ecological Organisations </w:t>
                </w:r>
              </w:p>
            </w:tc>
            <w:tc>
              <w:tcPr>
                <w:tcW w:w="1805" w:type="dxa"/>
                <w:tcMar>
                  <w:top w:w="100" w:type="dxa"/>
                  <w:left w:w="100" w:type="dxa"/>
                  <w:bottom w:w="100" w:type="dxa"/>
                  <w:right w:w="100" w:type="dxa"/>
                </w:tcMar>
              </w:tcPr>
              <w:p w14:paraId="24752EA5" w14:textId="77777777" w:rsidR="0021756F" w:rsidRDefault="00000000">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Medium </w:t>
                </w:r>
              </w:p>
            </w:tc>
            <w:tc>
              <w:tcPr>
                <w:tcW w:w="1805" w:type="dxa"/>
                <w:tcMar>
                  <w:top w:w="100" w:type="dxa"/>
                  <w:left w:w="100" w:type="dxa"/>
                  <w:bottom w:w="100" w:type="dxa"/>
                  <w:right w:w="100" w:type="dxa"/>
                </w:tcMar>
              </w:tcPr>
              <w:p w14:paraId="3E8B29C9" w14:textId="77777777" w:rsidR="0021756F" w:rsidRDefault="00000000">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Medium </w:t>
                </w:r>
              </w:p>
            </w:tc>
            <w:tc>
              <w:tcPr>
                <w:tcW w:w="1805" w:type="dxa"/>
                <w:tcMar>
                  <w:top w:w="100" w:type="dxa"/>
                  <w:left w:w="100" w:type="dxa"/>
                  <w:bottom w:w="100" w:type="dxa"/>
                  <w:right w:w="100" w:type="dxa"/>
                </w:tcMar>
              </w:tcPr>
              <w:p w14:paraId="7BCEE68C" w14:textId="77777777" w:rsidR="0021756F" w:rsidRDefault="00000000">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1805" w:type="dxa"/>
                <w:tcMar>
                  <w:top w:w="100" w:type="dxa"/>
                  <w:left w:w="100" w:type="dxa"/>
                  <w:bottom w:w="100" w:type="dxa"/>
                  <w:right w:w="100" w:type="dxa"/>
                </w:tcMar>
              </w:tcPr>
              <w:p w14:paraId="4B6F8397" w14:textId="77777777" w:rsidR="0021756F" w:rsidRDefault="00000000">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Though lack authoritative powers, plays a significant role in influencing public opinions (Valentin, Naderpajouh and Abraham, 2018); highly interested in aspects like biodiversity and sustainability of the means used </w:t>
                </w:r>
              </w:p>
            </w:tc>
          </w:tr>
          <w:tr w:rsidR="0021756F" w14:paraId="1C138CA5" w14:textId="77777777">
            <w:tc>
              <w:tcPr>
                <w:tcW w:w="1805" w:type="dxa"/>
                <w:tcMar>
                  <w:top w:w="100" w:type="dxa"/>
                  <w:left w:w="100" w:type="dxa"/>
                  <w:bottom w:w="100" w:type="dxa"/>
                  <w:right w:w="100" w:type="dxa"/>
                </w:tcMar>
              </w:tcPr>
              <w:p w14:paraId="0979882A" w14:textId="77777777" w:rsidR="0021756F" w:rsidRDefault="00000000">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Local communities and residents</w:t>
                </w:r>
              </w:p>
            </w:tc>
            <w:tc>
              <w:tcPr>
                <w:tcW w:w="1805" w:type="dxa"/>
                <w:tcMar>
                  <w:top w:w="100" w:type="dxa"/>
                  <w:left w:w="100" w:type="dxa"/>
                  <w:bottom w:w="100" w:type="dxa"/>
                  <w:right w:w="100" w:type="dxa"/>
                </w:tcMar>
              </w:tcPr>
              <w:p w14:paraId="16695DE5" w14:textId="77777777" w:rsidR="0021756F" w:rsidRDefault="00000000">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Low-Medium </w:t>
                </w:r>
              </w:p>
            </w:tc>
            <w:tc>
              <w:tcPr>
                <w:tcW w:w="1805" w:type="dxa"/>
                <w:tcMar>
                  <w:top w:w="100" w:type="dxa"/>
                  <w:left w:w="100" w:type="dxa"/>
                  <w:bottom w:w="100" w:type="dxa"/>
                  <w:right w:w="100" w:type="dxa"/>
                </w:tcMar>
              </w:tcPr>
              <w:p w14:paraId="6343DB3A" w14:textId="77777777" w:rsidR="0021756F" w:rsidRDefault="00000000">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Medium </w:t>
                </w:r>
              </w:p>
            </w:tc>
            <w:tc>
              <w:tcPr>
                <w:tcW w:w="1805" w:type="dxa"/>
                <w:tcMar>
                  <w:top w:w="100" w:type="dxa"/>
                  <w:left w:w="100" w:type="dxa"/>
                  <w:bottom w:w="100" w:type="dxa"/>
                  <w:right w:w="100" w:type="dxa"/>
                </w:tcMar>
              </w:tcPr>
              <w:p w14:paraId="3D3E3363" w14:textId="77777777" w:rsidR="0021756F" w:rsidRDefault="00000000">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1805" w:type="dxa"/>
                <w:tcMar>
                  <w:top w:w="100" w:type="dxa"/>
                  <w:left w:w="100" w:type="dxa"/>
                  <w:bottom w:w="100" w:type="dxa"/>
                  <w:right w:w="100" w:type="dxa"/>
                </w:tcMar>
              </w:tcPr>
              <w:p w14:paraId="16462559" w14:textId="77777777" w:rsidR="0021756F" w:rsidRDefault="00000000">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Limited authoritative power, though shape results through opinions, complaining in media; highly </w:t>
                </w:r>
                <w:r>
                  <w:rPr>
                    <w:rFonts w:ascii="Times New Roman" w:eastAsia="Times New Roman" w:hAnsi="Times New Roman" w:cs="Times New Roman"/>
                    <w:sz w:val="24"/>
                    <w:szCs w:val="24"/>
                  </w:rPr>
                  <w:lastRenderedPageBreak/>
                  <w:t>interested, as they are directly affected</w:t>
                </w:r>
              </w:p>
            </w:tc>
          </w:tr>
          <w:tr w:rsidR="0021756F" w14:paraId="48E4AF01" w14:textId="77777777">
            <w:tc>
              <w:tcPr>
                <w:tcW w:w="1805" w:type="dxa"/>
                <w:tcMar>
                  <w:top w:w="100" w:type="dxa"/>
                  <w:left w:w="100" w:type="dxa"/>
                  <w:bottom w:w="100" w:type="dxa"/>
                  <w:right w:w="100" w:type="dxa"/>
                </w:tcMar>
              </w:tcPr>
              <w:p w14:paraId="35074A18" w14:textId="77777777" w:rsidR="0021756F" w:rsidRDefault="00000000">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Local businesses</w:t>
                </w:r>
              </w:p>
            </w:tc>
            <w:tc>
              <w:tcPr>
                <w:tcW w:w="1805" w:type="dxa"/>
                <w:tcMar>
                  <w:top w:w="100" w:type="dxa"/>
                  <w:left w:w="100" w:type="dxa"/>
                  <w:bottom w:w="100" w:type="dxa"/>
                  <w:right w:w="100" w:type="dxa"/>
                </w:tcMar>
              </w:tcPr>
              <w:p w14:paraId="73B23E60" w14:textId="77777777" w:rsidR="0021756F" w:rsidRDefault="00000000">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Medium </w:t>
                </w:r>
              </w:p>
            </w:tc>
            <w:tc>
              <w:tcPr>
                <w:tcW w:w="1805" w:type="dxa"/>
                <w:tcMar>
                  <w:top w:w="100" w:type="dxa"/>
                  <w:left w:w="100" w:type="dxa"/>
                  <w:bottom w:w="100" w:type="dxa"/>
                  <w:right w:w="100" w:type="dxa"/>
                </w:tcMar>
              </w:tcPr>
              <w:p w14:paraId="180FE9E7" w14:textId="77777777" w:rsidR="0021756F" w:rsidRDefault="00000000">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Medium </w:t>
                </w:r>
              </w:p>
            </w:tc>
            <w:tc>
              <w:tcPr>
                <w:tcW w:w="1805" w:type="dxa"/>
                <w:tcMar>
                  <w:top w:w="100" w:type="dxa"/>
                  <w:left w:w="100" w:type="dxa"/>
                  <w:bottom w:w="100" w:type="dxa"/>
                  <w:right w:w="100" w:type="dxa"/>
                </w:tcMar>
              </w:tcPr>
              <w:p w14:paraId="358D14AA" w14:textId="77777777" w:rsidR="0021756F" w:rsidRDefault="00000000">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Medium </w:t>
                </w:r>
              </w:p>
            </w:tc>
            <w:tc>
              <w:tcPr>
                <w:tcW w:w="1805" w:type="dxa"/>
                <w:tcMar>
                  <w:top w:w="100" w:type="dxa"/>
                  <w:left w:w="100" w:type="dxa"/>
                  <w:bottom w:w="100" w:type="dxa"/>
                  <w:right w:w="100" w:type="dxa"/>
                </w:tcMar>
              </w:tcPr>
              <w:p w14:paraId="005E9E1F" w14:textId="77777777" w:rsidR="0021756F" w:rsidRDefault="00000000">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Can contribute economically and support contracts; moderately interested concerning commercial gains</w:t>
                </w:r>
              </w:p>
            </w:tc>
          </w:tr>
          <w:tr w:rsidR="0021756F" w14:paraId="377CF2E5" w14:textId="77777777">
            <w:tc>
              <w:tcPr>
                <w:tcW w:w="1805" w:type="dxa"/>
                <w:tcMar>
                  <w:top w:w="100" w:type="dxa"/>
                  <w:left w:w="100" w:type="dxa"/>
                  <w:bottom w:w="100" w:type="dxa"/>
                  <w:right w:w="100" w:type="dxa"/>
                </w:tcMar>
              </w:tcPr>
              <w:p w14:paraId="081A857F" w14:textId="77777777" w:rsidR="0021756F" w:rsidRDefault="00000000">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Visitors and the tourists</w:t>
                </w:r>
              </w:p>
            </w:tc>
            <w:tc>
              <w:tcPr>
                <w:tcW w:w="1805" w:type="dxa"/>
                <w:tcMar>
                  <w:top w:w="100" w:type="dxa"/>
                  <w:left w:w="100" w:type="dxa"/>
                  <w:bottom w:w="100" w:type="dxa"/>
                  <w:right w:w="100" w:type="dxa"/>
                </w:tcMar>
              </w:tcPr>
              <w:p w14:paraId="7C80099D" w14:textId="77777777" w:rsidR="0021756F" w:rsidRDefault="00000000">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Low</w:t>
                </w:r>
              </w:p>
            </w:tc>
            <w:tc>
              <w:tcPr>
                <w:tcW w:w="1805" w:type="dxa"/>
                <w:tcMar>
                  <w:top w:w="100" w:type="dxa"/>
                  <w:left w:w="100" w:type="dxa"/>
                  <w:bottom w:w="100" w:type="dxa"/>
                  <w:right w:w="100" w:type="dxa"/>
                </w:tcMar>
              </w:tcPr>
              <w:p w14:paraId="56FDB9E1" w14:textId="77777777" w:rsidR="0021756F" w:rsidRDefault="00000000">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Low-Medium </w:t>
                </w:r>
              </w:p>
            </w:tc>
            <w:tc>
              <w:tcPr>
                <w:tcW w:w="1805" w:type="dxa"/>
                <w:tcMar>
                  <w:top w:w="100" w:type="dxa"/>
                  <w:left w:w="100" w:type="dxa"/>
                  <w:bottom w:w="100" w:type="dxa"/>
                  <w:right w:w="100" w:type="dxa"/>
                </w:tcMar>
              </w:tcPr>
              <w:p w14:paraId="5ED0D1AA" w14:textId="77777777" w:rsidR="0021756F" w:rsidRDefault="00000000">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Medium </w:t>
                </w:r>
              </w:p>
            </w:tc>
            <w:tc>
              <w:tcPr>
                <w:tcW w:w="1805" w:type="dxa"/>
                <w:tcMar>
                  <w:top w:w="100" w:type="dxa"/>
                  <w:left w:w="100" w:type="dxa"/>
                  <w:bottom w:w="100" w:type="dxa"/>
                  <w:right w:w="100" w:type="dxa"/>
                </w:tcMar>
              </w:tcPr>
              <w:p w14:paraId="0C085A4D" w14:textId="77777777" w:rsidR="0021756F" w:rsidRDefault="00000000">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No formal authority, yet reputation is dependent upon their experiences (i.e., experiential, and not strategic, interests)</w:t>
                </w:r>
              </w:p>
            </w:tc>
          </w:tr>
        </w:tbl>
      </w:sdtContent>
    </w:sdt>
    <w:p w14:paraId="4F7F1A80" w14:textId="0F4A6837" w:rsidR="0021756F" w:rsidRDefault="00000000" w:rsidP="0000049C">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Table 1: Stakeholder’s power, influence and interest in The Regent’s Park project</w:t>
      </w:r>
    </w:p>
    <w:p w14:paraId="5A287C23" w14:textId="348CAC6B" w:rsidR="0021756F" w:rsidRDefault="00000000" w:rsidP="0000049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5E2F2A2C" w14:textId="77777777" w:rsidR="0021756F" w:rsidRDefault="00000000">
      <w:pPr>
        <w:spacing w:line="360" w:lineRule="auto"/>
        <w:jc w:val="both"/>
        <w:rPr>
          <w:rFonts w:ascii="Times New Roman" w:eastAsia="Times New Roman" w:hAnsi="Times New Roman" w:cs="Times New Roman"/>
          <w:b/>
          <w:bCs/>
          <w:i/>
          <w:iCs/>
          <w:sz w:val="24"/>
          <w:szCs w:val="24"/>
        </w:rPr>
      </w:pPr>
      <w:r>
        <w:br w:type="page"/>
      </w:r>
    </w:p>
    <w:p w14:paraId="5271C38F" w14:textId="77777777" w:rsidR="0021756F"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lastRenderedPageBreak/>
        <w:t xml:space="preserve">2.2 Stakeholder map and justification </w:t>
      </w:r>
    </w:p>
    <w:p w14:paraId="71681C2A" w14:textId="77777777" w:rsidR="0021756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stakeholder map aka Power-Interest Grid or Mendelow’s Matrix is also used to classify stakeholders based on their formal authority and interest in the project (Professional Academy, 2025). This classification follows the four quadrants offered by the matrix. The Mendelow’s Matrix of The Regent’s Park project is as follows: </w:t>
      </w:r>
    </w:p>
    <w:p w14:paraId="420D6195" w14:textId="77777777" w:rsidR="0021756F" w:rsidRDefault="00000000" w:rsidP="0000049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4A57040B" wp14:editId="0742FC4E">
            <wp:extent cx="4231217" cy="401333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231217" cy="4013330"/>
                    </a:xfrm>
                    <a:prstGeom prst="rect">
                      <a:avLst/>
                    </a:prstGeom>
                    <a:ln/>
                  </pic:spPr>
                </pic:pic>
              </a:graphicData>
            </a:graphic>
          </wp:inline>
        </w:drawing>
      </w:r>
    </w:p>
    <w:p w14:paraId="16656161" w14:textId="13BF65AE" w:rsidR="0021756F" w:rsidRDefault="00000000" w:rsidP="0000049C">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1: Stakeholder’s Power-Interest Grid for The Regent’s Park project</w:t>
      </w:r>
    </w:p>
    <w:p w14:paraId="4A558E52" w14:textId="30AC91C3" w:rsidR="0021756F" w:rsidRDefault="00000000" w:rsidP="0000049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4F41AF96" w14:textId="77777777" w:rsidR="0021756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Justifications</w:t>
      </w:r>
      <w:r>
        <w:rPr>
          <w:rFonts w:ascii="Times New Roman" w:eastAsia="Times New Roman" w:hAnsi="Times New Roman" w:cs="Times New Roman"/>
          <w:sz w:val="24"/>
          <w:szCs w:val="24"/>
        </w:rPr>
        <w:t xml:space="preserve"> - The RP Authority is put in the ‘Manage Closely’ quadrant (High Power, High Interest) since, as shown above, it is the major sponsor of the project. In other words, it is involved with the project at the strategic level (i.e., offering advice regarding the strategic direction of the project) while controlling the funding process. Managing them closely refers to involving it in key decisions, asking the personnel’s approval before proceeding and continuous reporting regarding the project’s progress (Siems, Seuring and Schilling, 2023). </w:t>
      </w:r>
    </w:p>
    <w:p w14:paraId="25F9F87E" w14:textId="77777777" w:rsidR="0021756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Also shown above, though the local government and other regulatory bodies do not have formal power like the sponsors, they indeed wield regulatory power, which can indeed alter the trajectory of the project. For example, the government and the regulatory bodies likely </w:t>
      </w:r>
      <w:r>
        <w:rPr>
          <w:rFonts w:ascii="Times New Roman" w:eastAsia="Times New Roman" w:hAnsi="Times New Roman" w:cs="Times New Roman"/>
          <w:sz w:val="24"/>
          <w:szCs w:val="24"/>
        </w:rPr>
        <w:lastRenderedPageBreak/>
        <w:t xml:space="preserve">approved the project since it supports their plan to expand green infrastructure while improving biodiversity in London (Gov.UK, 2024). If the project fails to uphold the green principles in any way, these stakeholders, thus, can come in the way of successful completion of this project. Hence, they are categorised into the ‘Keep Satisfied’ quadrant (High Power, Medium Interest). As clearly noted above, they are only interested in the project at policy level. </w:t>
      </w:r>
    </w:p>
    <w:p w14:paraId="01BEBBF0" w14:textId="77777777" w:rsidR="0021756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Though having neither authority nor legal power, the residents and local communities can indeed influence opinions about the project. In contemporary times, mainly due to high smartphone penetration, they have become more media savvy i.e., they can go to the media and consequently shape public opinion if they discover any deviation from the project’s true objectives (Valentin, Naderpajouh and Abraham, 2018). On the other hand, the ecological organisations advocate environmental stewardship and thus expect from the project to adhere to the sustainability principles concerning renovation work. For example, the ongoing demolition work of the plant nursery is susceptible to creating debris and can contribute to resource waste and pollution (Cook, Velis and Black, 2022). Concerning these, this group of stakeholders are put in the ‘Keep Informed’ quadrant (Low Power, High Interest), as they are thoroughly interested in the process involved and can influence public opinion considerably. </w:t>
      </w:r>
    </w:p>
    <w:p w14:paraId="0D3CA894" w14:textId="77777777" w:rsidR="0021756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Finally, the daily visitors of the park, along with the domestic and international tourists in London, form a set of stakeholders that, briefly put, are indirectly engaged with the project. In other words, as shown above, their engagement is limited to experiences of visiting the park and thus general communication (e.g., signs, updates of information concerning the public) is enough for them. Hence, they are kept in the ‘Monitor’ quadrant (Low Power, Low Interest).    </w:t>
      </w:r>
    </w:p>
    <w:p w14:paraId="6B1BE6B2" w14:textId="77777777" w:rsidR="0021756F"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 xml:space="preserve">2.3 Communication plan </w:t>
      </w:r>
    </w:p>
    <w:p w14:paraId="286E1C96" w14:textId="77777777" w:rsidR="0021756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major motive of the communication plan developed here is to ensure that each set of stakeholders receive the information relevant to them through proper channels. </w:t>
      </w:r>
    </w:p>
    <w:sdt>
      <w:sdtPr>
        <w:tag w:val="goog_rdk_1"/>
        <w:id w:val="-453764228"/>
        <w:lock w:val="contentLocked"/>
      </w:sdtPr>
      <w:sdtContent>
        <w:tbl>
          <w:tblPr>
            <w:tblStyle w:val="a0"/>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6"/>
            <w:gridCol w:w="1805"/>
            <w:gridCol w:w="1805"/>
            <w:gridCol w:w="1805"/>
            <w:gridCol w:w="1805"/>
          </w:tblGrid>
          <w:tr w:rsidR="0021756F" w14:paraId="6CDF3B52" w14:textId="77777777">
            <w:tc>
              <w:tcPr>
                <w:tcW w:w="1805" w:type="dxa"/>
                <w:tcMar>
                  <w:top w:w="100" w:type="dxa"/>
                  <w:left w:w="100" w:type="dxa"/>
                  <w:bottom w:w="100" w:type="dxa"/>
                  <w:right w:w="100" w:type="dxa"/>
                </w:tcMar>
              </w:tcPr>
              <w:p w14:paraId="234B80A2" w14:textId="77777777" w:rsidR="0021756F" w:rsidRDefault="00000000">
                <w:pPr>
                  <w:widowControl w:val="0"/>
                  <w:pBdr>
                    <w:top w:val="nil"/>
                    <w:left w:val="nil"/>
                    <w:bottom w:val="nil"/>
                    <w:right w:val="nil"/>
                    <w:between w:val="nil"/>
                  </w:pBdr>
                  <w:spacing w:after="0"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Stakeholders</w:t>
                </w:r>
              </w:p>
            </w:tc>
            <w:tc>
              <w:tcPr>
                <w:tcW w:w="1805" w:type="dxa"/>
                <w:tcMar>
                  <w:top w:w="100" w:type="dxa"/>
                  <w:left w:w="100" w:type="dxa"/>
                  <w:bottom w:w="100" w:type="dxa"/>
                  <w:right w:w="100" w:type="dxa"/>
                </w:tcMar>
              </w:tcPr>
              <w:p w14:paraId="22928E09" w14:textId="77777777" w:rsidR="0021756F" w:rsidRDefault="00000000">
                <w:pPr>
                  <w:widowControl w:val="0"/>
                  <w:pBdr>
                    <w:top w:val="nil"/>
                    <w:left w:val="nil"/>
                    <w:bottom w:val="nil"/>
                    <w:right w:val="nil"/>
                    <w:between w:val="nil"/>
                  </w:pBdr>
                  <w:spacing w:after="0"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Information </w:t>
                </w:r>
              </w:p>
            </w:tc>
            <w:tc>
              <w:tcPr>
                <w:tcW w:w="1805" w:type="dxa"/>
                <w:tcMar>
                  <w:top w:w="100" w:type="dxa"/>
                  <w:left w:w="100" w:type="dxa"/>
                  <w:bottom w:w="100" w:type="dxa"/>
                  <w:right w:w="100" w:type="dxa"/>
                </w:tcMar>
              </w:tcPr>
              <w:p w14:paraId="6B5FB82C" w14:textId="77777777" w:rsidR="0021756F" w:rsidRDefault="00000000">
                <w:pPr>
                  <w:widowControl w:val="0"/>
                  <w:pBdr>
                    <w:top w:val="nil"/>
                    <w:left w:val="nil"/>
                    <w:bottom w:val="nil"/>
                    <w:right w:val="nil"/>
                    <w:between w:val="nil"/>
                  </w:pBdr>
                  <w:spacing w:after="0"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Time</w:t>
                </w:r>
              </w:p>
            </w:tc>
            <w:tc>
              <w:tcPr>
                <w:tcW w:w="1805" w:type="dxa"/>
                <w:tcMar>
                  <w:top w:w="100" w:type="dxa"/>
                  <w:left w:w="100" w:type="dxa"/>
                  <w:bottom w:w="100" w:type="dxa"/>
                  <w:right w:w="100" w:type="dxa"/>
                </w:tcMar>
              </w:tcPr>
              <w:p w14:paraId="52296612" w14:textId="77777777" w:rsidR="0021756F" w:rsidRDefault="00000000">
                <w:pPr>
                  <w:widowControl w:val="0"/>
                  <w:pBdr>
                    <w:top w:val="nil"/>
                    <w:left w:val="nil"/>
                    <w:bottom w:val="nil"/>
                    <w:right w:val="nil"/>
                    <w:between w:val="nil"/>
                  </w:pBdr>
                  <w:spacing w:after="0"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Channel</w:t>
                </w:r>
              </w:p>
            </w:tc>
            <w:tc>
              <w:tcPr>
                <w:tcW w:w="1805" w:type="dxa"/>
                <w:tcMar>
                  <w:top w:w="100" w:type="dxa"/>
                  <w:left w:w="100" w:type="dxa"/>
                  <w:bottom w:w="100" w:type="dxa"/>
                  <w:right w:w="100" w:type="dxa"/>
                </w:tcMar>
              </w:tcPr>
              <w:p w14:paraId="193DA492" w14:textId="77777777" w:rsidR="0021756F" w:rsidRDefault="00000000">
                <w:pPr>
                  <w:widowControl w:val="0"/>
                  <w:pBdr>
                    <w:top w:val="nil"/>
                    <w:left w:val="nil"/>
                    <w:bottom w:val="nil"/>
                    <w:right w:val="nil"/>
                    <w:between w:val="nil"/>
                  </w:pBdr>
                  <w:spacing w:after="0"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Justification</w:t>
                </w:r>
              </w:p>
            </w:tc>
          </w:tr>
          <w:tr w:rsidR="0021756F" w14:paraId="0F167B6D" w14:textId="77777777">
            <w:tc>
              <w:tcPr>
                <w:tcW w:w="1805" w:type="dxa"/>
                <w:tcMar>
                  <w:top w:w="100" w:type="dxa"/>
                  <w:left w:w="100" w:type="dxa"/>
                  <w:bottom w:w="100" w:type="dxa"/>
                  <w:right w:w="100" w:type="dxa"/>
                </w:tcMar>
              </w:tcPr>
              <w:p w14:paraId="4AF3A12A" w14:textId="77777777" w:rsidR="0021756F" w:rsidRDefault="00000000">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RP Authority</w:t>
                </w:r>
              </w:p>
            </w:tc>
            <w:tc>
              <w:tcPr>
                <w:tcW w:w="1805" w:type="dxa"/>
                <w:tcMar>
                  <w:top w:w="100" w:type="dxa"/>
                  <w:left w:w="100" w:type="dxa"/>
                  <w:bottom w:w="100" w:type="dxa"/>
                  <w:right w:w="100" w:type="dxa"/>
                </w:tcMar>
              </w:tcPr>
              <w:p w14:paraId="7F7AA324" w14:textId="77777777" w:rsidR="0021756F" w:rsidRDefault="00000000">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Progress report, budget, potential risks, sustainability outcomes</w:t>
                </w:r>
              </w:p>
            </w:tc>
            <w:tc>
              <w:tcPr>
                <w:tcW w:w="1805" w:type="dxa"/>
                <w:tcMar>
                  <w:top w:w="100" w:type="dxa"/>
                  <w:left w:w="100" w:type="dxa"/>
                  <w:bottom w:w="100" w:type="dxa"/>
                  <w:right w:w="100" w:type="dxa"/>
                </w:tcMar>
              </w:tcPr>
              <w:p w14:paraId="1ED1A8F2" w14:textId="77777777" w:rsidR="0021756F" w:rsidRDefault="00000000">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Weekly, Monthly</w:t>
                </w:r>
              </w:p>
            </w:tc>
            <w:tc>
              <w:tcPr>
                <w:tcW w:w="1805" w:type="dxa"/>
                <w:tcMar>
                  <w:top w:w="100" w:type="dxa"/>
                  <w:left w:w="100" w:type="dxa"/>
                  <w:bottom w:w="100" w:type="dxa"/>
                  <w:right w:w="100" w:type="dxa"/>
                </w:tcMar>
              </w:tcPr>
              <w:p w14:paraId="6C4B11F8" w14:textId="77777777" w:rsidR="0021756F" w:rsidRDefault="00000000">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Reports, emails, weekly meetings</w:t>
                </w:r>
              </w:p>
            </w:tc>
            <w:tc>
              <w:tcPr>
                <w:tcW w:w="1805" w:type="dxa"/>
                <w:tcMar>
                  <w:top w:w="100" w:type="dxa"/>
                  <w:left w:w="100" w:type="dxa"/>
                  <w:bottom w:w="100" w:type="dxa"/>
                  <w:right w:w="100" w:type="dxa"/>
                </w:tcMar>
              </w:tcPr>
              <w:p w14:paraId="16FD50EE" w14:textId="77777777" w:rsidR="0021756F" w:rsidRDefault="00000000">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Since the RP Authority has a decision-making role with high responsibility, </w:t>
                </w:r>
                <w:r>
                  <w:rPr>
                    <w:rFonts w:ascii="Times New Roman" w:eastAsia="Times New Roman" w:hAnsi="Times New Roman" w:cs="Times New Roman"/>
                    <w:sz w:val="24"/>
                    <w:szCs w:val="24"/>
                  </w:rPr>
                  <w:lastRenderedPageBreak/>
                  <w:t>they must be communicated with frequently</w:t>
                </w:r>
              </w:p>
            </w:tc>
          </w:tr>
          <w:tr w:rsidR="0021756F" w14:paraId="38309A94" w14:textId="77777777">
            <w:tc>
              <w:tcPr>
                <w:tcW w:w="1805" w:type="dxa"/>
                <w:tcMar>
                  <w:top w:w="100" w:type="dxa"/>
                  <w:left w:w="100" w:type="dxa"/>
                  <w:bottom w:w="100" w:type="dxa"/>
                  <w:right w:w="100" w:type="dxa"/>
                </w:tcMar>
              </w:tcPr>
              <w:p w14:paraId="6C89CA94" w14:textId="77777777" w:rsidR="0021756F" w:rsidRDefault="00000000">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Local government and other regulatory bodies</w:t>
                </w:r>
              </w:p>
            </w:tc>
            <w:tc>
              <w:tcPr>
                <w:tcW w:w="1805" w:type="dxa"/>
                <w:tcMar>
                  <w:top w:w="100" w:type="dxa"/>
                  <w:left w:w="100" w:type="dxa"/>
                  <w:bottom w:w="100" w:type="dxa"/>
                  <w:right w:w="100" w:type="dxa"/>
                </w:tcMar>
              </w:tcPr>
              <w:p w14:paraId="7D2D82A1" w14:textId="77777777" w:rsidR="0021756F" w:rsidRDefault="00000000">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Sustainability compliance report, updates on safety measures</w:t>
                </w:r>
              </w:p>
            </w:tc>
            <w:tc>
              <w:tcPr>
                <w:tcW w:w="1805" w:type="dxa"/>
                <w:tcMar>
                  <w:top w:w="100" w:type="dxa"/>
                  <w:left w:w="100" w:type="dxa"/>
                  <w:bottom w:w="100" w:type="dxa"/>
                  <w:right w:w="100" w:type="dxa"/>
                </w:tcMar>
              </w:tcPr>
              <w:p w14:paraId="55F945DC" w14:textId="77777777" w:rsidR="0021756F" w:rsidRDefault="00000000">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After completing each project milestone</w:t>
                </w:r>
              </w:p>
            </w:tc>
            <w:tc>
              <w:tcPr>
                <w:tcW w:w="1805" w:type="dxa"/>
                <w:tcMar>
                  <w:top w:w="100" w:type="dxa"/>
                  <w:left w:w="100" w:type="dxa"/>
                  <w:bottom w:w="100" w:type="dxa"/>
                  <w:right w:w="100" w:type="dxa"/>
                </w:tcMar>
              </w:tcPr>
              <w:p w14:paraId="56F9EE00" w14:textId="77777777" w:rsidR="0021756F" w:rsidRDefault="00000000">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Formal documents, meetings</w:t>
                </w:r>
              </w:p>
            </w:tc>
            <w:tc>
              <w:tcPr>
                <w:tcW w:w="1805" w:type="dxa"/>
                <w:tcMar>
                  <w:top w:w="100" w:type="dxa"/>
                  <w:left w:w="100" w:type="dxa"/>
                  <w:bottom w:w="100" w:type="dxa"/>
                  <w:right w:w="100" w:type="dxa"/>
                </w:tcMar>
              </w:tcPr>
              <w:p w14:paraId="4D2C511D" w14:textId="77777777" w:rsidR="0021756F" w:rsidRDefault="00000000">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Keeping them informed about compliance performance is necessary</w:t>
                </w:r>
              </w:p>
            </w:tc>
          </w:tr>
          <w:tr w:rsidR="0021756F" w14:paraId="31C36E9B" w14:textId="77777777">
            <w:tc>
              <w:tcPr>
                <w:tcW w:w="1805" w:type="dxa"/>
                <w:tcMar>
                  <w:top w:w="100" w:type="dxa"/>
                  <w:left w:w="100" w:type="dxa"/>
                  <w:bottom w:w="100" w:type="dxa"/>
                  <w:right w:w="100" w:type="dxa"/>
                </w:tcMar>
              </w:tcPr>
              <w:p w14:paraId="3BA6FFD3" w14:textId="77777777" w:rsidR="0021756F" w:rsidRDefault="00000000">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Residents &amp; Local Communities</w:t>
                </w:r>
              </w:p>
            </w:tc>
            <w:tc>
              <w:tcPr>
                <w:tcW w:w="1805" w:type="dxa"/>
                <w:tcMar>
                  <w:top w:w="100" w:type="dxa"/>
                  <w:left w:w="100" w:type="dxa"/>
                  <w:bottom w:w="100" w:type="dxa"/>
                  <w:right w:w="100" w:type="dxa"/>
                </w:tcMar>
              </w:tcPr>
              <w:p w14:paraId="10B11640" w14:textId="77777777" w:rsidR="0021756F" w:rsidRDefault="00000000">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Set schedules, disruption in work, benefits acquired, responding to feedback</w:t>
                </w:r>
              </w:p>
            </w:tc>
            <w:tc>
              <w:tcPr>
                <w:tcW w:w="1805" w:type="dxa"/>
                <w:tcMar>
                  <w:top w:w="100" w:type="dxa"/>
                  <w:left w:w="100" w:type="dxa"/>
                  <w:bottom w:w="100" w:type="dxa"/>
                  <w:right w:w="100" w:type="dxa"/>
                </w:tcMar>
              </w:tcPr>
              <w:p w14:paraId="74AF4B7F" w14:textId="77777777" w:rsidR="0021756F" w:rsidRDefault="00000000">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Ongoing</w:t>
                </w:r>
              </w:p>
            </w:tc>
            <w:tc>
              <w:tcPr>
                <w:tcW w:w="1805" w:type="dxa"/>
                <w:tcMar>
                  <w:top w:w="100" w:type="dxa"/>
                  <w:left w:w="100" w:type="dxa"/>
                  <w:bottom w:w="100" w:type="dxa"/>
                  <w:right w:w="100" w:type="dxa"/>
                </w:tcMar>
              </w:tcPr>
              <w:p w14:paraId="03F03476" w14:textId="77777777" w:rsidR="0021756F" w:rsidRDefault="00000000">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Newsletters in emails, community level meeting (for consultation purpose also)</w:t>
                </w:r>
              </w:p>
            </w:tc>
            <w:tc>
              <w:tcPr>
                <w:tcW w:w="1805" w:type="dxa"/>
                <w:tcMar>
                  <w:top w:w="100" w:type="dxa"/>
                  <w:left w:w="100" w:type="dxa"/>
                  <w:bottom w:w="100" w:type="dxa"/>
                  <w:right w:w="100" w:type="dxa"/>
                </w:tcMar>
              </w:tcPr>
              <w:p w14:paraId="311946F2" w14:textId="77777777" w:rsidR="0021756F" w:rsidRDefault="00000000">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Transparent communication to prove capability of managing expectations and reducing resistance</w:t>
                </w:r>
              </w:p>
            </w:tc>
          </w:tr>
          <w:tr w:rsidR="0021756F" w14:paraId="4A358202" w14:textId="77777777">
            <w:tc>
              <w:tcPr>
                <w:tcW w:w="1805" w:type="dxa"/>
                <w:tcMar>
                  <w:top w:w="100" w:type="dxa"/>
                  <w:left w:w="100" w:type="dxa"/>
                  <w:bottom w:w="100" w:type="dxa"/>
                  <w:right w:w="100" w:type="dxa"/>
                </w:tcMar>
              </w:tcPr>
              <w:p w14:paraId="31770F18" w14:textId="77777777" w:rsidR="0021756F" w:rsidRDefault="00000000">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Ecological companies</w:t>
                </w:r>
              </w:p>
            </w:tc>
            <w:tc>
              <w:tcPr>
                <w:tcW w:w="1805" w:type="dxa"/>
                <w:tcMar>
                  <w:top w:w="100" w:type="dxa"/>
                  <w:left w:w="100" w:type="dxa"/>
                  <w:bottom w:w="100" w:type="dxa"/>
                  <w:right w:w="100" w:type="dxa"/>
                </w:tcMar>
              </w:tcPr>
              <w:p w14:paraId="3F8ADCF1" w14:textId="77777777" w:rsidR="0021756F" w:rsidRDefault="00000000">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Impact on biodiversity, mitigation plans, tracking environmental compliance</w:t>
                </w:r>
              </w:p>
            </w:tc>
            <w:tc>
              <w:tcPr>
                <w:tcW w:w="1805" w:type="dxa"/>
                <w:tcMar>
                  <w:top w:w="100" w:type="dxa"/>
                  <w:left w:w="100" w:type="dxa"/>
                  <w:bottom w:w="100" w:type="dxa"/>
                  <w:right w:w="100" w:type="dxa"/>
                </w:tcMar>
              </w:tcPr>
              <w:p w14:paraId="4D4ADF7E" w14:textId="77777777" w:rsidR="0021756F" w:rsidRDefault="00000000">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After each crucial phase (e.g., design, implementation)</w:t>
                </w:r>
              </w:p>
            </w:tc>
            <w:tc>
              <w:tcPr>
                <w:tcW w:w="1805" w:type="dxa"/>
                <w:tcMar>
                  <w:top w:w="100" w:type="dxa"/>
                  <w:left w:w="100" w:type="dxa"/>
                  <w:bottom w:w="100" w:type="dxa"/>
                  <w:right w:w="100" w:type="dxa"/>
                </w:tcMar>
              </w:tcPr>
              <w:p w14:paraId="4C6CCBB9" w14:textId="77777777" w:rsidR="0021756F" w:rsidRDefault="00000000">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Impact reports, briefings, workshops</w:t>
                </w:r>
              </w:p>
            </w:tc>
            <w:tc>
              <w:tcPr>
                <w:tcW w:w="1805" w:type="dxa"/>
                <w:tcMar>
                  <w:top w:w="100" w:type="dxa"/>
                  <w:left w:w="100" w:type="dxa"/>
                  <w:bottom w:w="100" w:type="dxa"/>
                  <w:right w:w="100" w:type="dxa"/>
                </w:tcMar>
              </w:tcPr>
              <w:p w14:paraId="04D06814" w14:textId="77777777" w:rsidR="0021756F" w:rsidRDefault="00000000">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Using their strengths optimally while asserting environmental credibility </w:t>
                </w:r>
              </w:p>
            </w:tc>
          </w:tr>
          <w:tr w:rsidR="0021756F" w14:paraId="6CCA3037" w14:textId="77777777">
            <w:tc>
              <w:tcPr>
                <w:tcW w:w="1805" w:type="dxa"/>
                <w:tcMar>
                  <w:top w:w="100" w:type="dxa"/>
                  <w:left w:w="100" w:type="dxa"/>
                  <w:bottom w:w="100" w:type="dxa"/>
                  <w:right w:w="100" w:type="dxa"/>
                </w:tcMar>
              </w:tcPr>
              <w:p w14:paraId="01C97028" w14:textId="77777777" w:rsidR="0021756F" w:rsidRDefault="00000000">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Local businesses</w:t>
                </w:r>
              </w:p>
            </w:tc>
            <w:tc>
              <w:tcPr>
                <w:tcW w:w="1805" w:type="dxa"/>
                <w:tcMar>
                  <w:top w:w="100" w:type="dxa"/>
                  <w:left w:w="100" w:type="dxa"/>
                  <w:bottom w:w="100" w:type="dxa"/>
                  <w:right w:w="100" w:type="dxa"/>
                </w:tcMar>
              </w:tcPr>
              <w:p w14:paraId="27E05173" w14:textId="77777777" w:rsidR="0021756F" w:rsidRDefault="00000000">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Changes in access rules, schedules about reopening, potential impact of footfalls</w:t>
                </w:r>
              </w:p>
            </w:tc>
            <w:tc>
              <w:tcPr>
                <w:tcW w:w="1805" w:type="dxa"/>
                <w:tcMar>
                  <w:top w:w="100" w:type="dxa"/>
                  <w:left w:w="100" w:type="dxa"/>
                  <w:bottom w:w="100" w:type="dxa"/>
                  <w:right w:w="100" w:type="dxa"/>
                </w:tcMar>
              </w:tcPr>
              <w:p w14:paraId="63A174FB" w14:textId="77777777" w:rsidR="0021756F" w:rsidRDefault="00000000">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Periodic (based on the phases of the project)</w:t>
                </w:r>
              </w:p>
            </w:tc>
            <w:tc>
              <w:tcPr>
                <w:tcW w:w="1805" w:type="dxa"/>
                <w:tcMar>
                  <w:top w:w="100" w:type="dxa"/>
                  <w:left w:w="100" w:type="dxa"/>
                  <w:bottom w:w="100" w:type="dxa"/>
                  <w:right w:w="100" w:type="dxa"/>
                </w:tcMar>
              </w:tcPr>
              <w:p w14:paraId="4411A79C" w14:textId="77777777" w:rsidR="0021756F" w:rsidRDefault="00000000">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Emails, meetings, briefings </w:t>
                </w:r>
              </w:p>
            </w:tc>
            <w:tc>
              <w:tcPr>
                <w:tcW w:w="1805" w:type="dxa"/>
                <w:tcMar>
                  <w:top w:w="100" w:type="dxa"/>
                  <w:left w:w="100" w:type="dxa"/>
                  <w:bottom w:w="100" w:type="dxa"/>
                  <w:right w:w="100" w:type="dxa"/>
                </w:tcMar>
              </w:tcPr>
              <w:p w14:paraId="7457F11F" w14:textId="77777777" w:rsidR="0021756F" w:rsidRDefault="00000000">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Need to play a supportive role to get cooperation when needed</w:t>
                </w:r>
              </w:p>
            </w:tc>
          </w:tr>
          <w:tr w:rsidR="0021756F" w14:paraId="02FE3B83" w14:textId="77777777">
            <w:tc>
              <w:tcPr>
                <w:tcW w:w="1805" w:type="dxa"/>
                <w:tcMar>
                  <w:top w:w="100" w:type="dxa"/>
                  <w:left w:w="100" w:type="dxa"/>
                  <w:bottom w:w="100" w:type="dxa"/>
                  <w:right w:w="100" w:type="dxa"/>
                </w:tcMar>
              </w:tcPr>
              <w:p w14:paraId="23A894DC" w14:textId="77777777" w:rsidR="0021756F" w:rsidRDefault="00000000">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Visitors &amp; tourists</w:t>
                </w:r>
              </w:p>
            </w:tc>
            <w:tc>
              <w:tcPr>
                <w:tcW w:w="1805" w:type="dxa"/>
                <w:tcMar>
                  <w:top w:w="100" w:type="dxa"/>
                  <w:left w:w="100" w:type="dxa"/>
                  <w:bottom w:w="100" w:type="dxa"/>
                  <w:right w:w="100" w:type="dxa"/>
                </w:tcMar>
              </w:tcPr>
              <w:p w14:paraId="15637E89" w14:textId="77777777" w:rsidR="0021756F" w:rsidRDefault="00000000">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Access-related information, </w:t>
                </w:r>
                <w:r>
                  <w:rPr>
                    <w:rFonts w:ascii="Times New Roman" w:eastAsia="Times New Roman" w:hAnsi="Times New Roman" w:cs="Times New Roman"/>
                    <w:sz w:val="24"/>
                    <w:szCs w:val="24"/>
                  </w:rPr>
                  <w:lastRenderedPageBreak/>
                  <w:t>route optimisation, benefits yielded by the project</w:t>
                </w:r>
              </w:p>
            </w:tc>
            <w:tc>
              <w:tcPr>
                <w:tcW w:w="1805" w:type="dxa"/>
                <w:tcMar>
                  <w:top w:w="100" w:type="dxa"/>
                  <w:left w:w="100" w:type="dxa"/>
                  <w:bottom w:w="100" w:type="dxa"/>
                  <w:right w:w="100" w:type="dxa"/>
                </w:tcMar>
              </w:tcPr>
              <w:p w14:paraId="24FA139B" w14:textId="77777777" w:rsidR="0021756F" w:rsidRDefault="00000000">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Ongoing </w:t>
                </w:r>
              </w:p>
            </w:tc>
            <w:tc>
              <w:tcPr>
                <w:tcW w:w="1805" w:type="dxa"/>
                <w:tcMar>
                  <w:top w:w="100" w:type="dxa"/>
                  <w:left w:w="100" w:type="dxa"/>
                  <w:bottom w:w="100" w:type="dxa"/>
                  <w:right w:w="100" w:type="dxa"/>
                </w:tcMar>
              </w:tcPr>
              <w:p w14:paraId="28CEDFE0" w14:textId="77777777" w:rsidR="0021756F" w:rsidRDefault="00000000">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Social media posts, signs in </w:t>
                </w:r>
                <w:r>
                  <w:rPr>
                    <w:rFonts w:ascii="Times New Roman" w:eastAsia="Times New Roman" w:hAnsi="Times New Roman" w:cs="Times New Roman"/>
                    <w:sz w:val="24"/>
                    <w:szCs w:val="24"/>
                  </w:rPr>
                  <w:lastRenderedPageBreak/>
                  <w:t>the park, update in websites</w:t>
                </w:r>
              </w:p>
            </w:tc>
            <w:tc>
              <w:tcPr>
                <w:tcW w:w="1805" w:type="dxa"/>
                <w:tcMar>
                  <w:top w:w="100" w:type="dxa"/>
                  <w:left w:w="100" w:type="dxa"/>
                  <w:bottom w:w="100" w:type="dxa"/>
                  <w:right w:w="100" w:type="dxa"/>
                </w:tcMar>
              </w:tcPr>
              <w:p w14:paraId="236F618E" w14:textId="77777777" w:rsidR="0021756F" w:rsidRDefault="00000000">
                <w:pPr>
                  <w:widowControl w:val="0"/>
                  <w:pBdr>
                    <w:top w:val="nil"/>
                    <w:left w:val="nil"/>
                    <w:bottom w:val="nil"/>
                    <w:right w:val="nil"/>
                    <w:between w:val="nil"/>
                  </w:pBd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Focus is on efficient mass </w:t>
                </w:r>
                <w:r>
                  <w:rPr>
                    <w:rFonts w:ascii="Times New Roman" w:eastAsia="Times New Roman" w:hAnsi="Times New Roman" w:cs="Times New Roman"/>
                    <w:sz w:val="24"/>
                    <w:szCs w:val="24"/>
                  </w:rPr>
                  <w:lastRenderedPageBreak/>
                  <w:t xml:space="preserve">communication </w:t>
                </w:r>
              </w:p>
            </w:tc>
          </w:tr>
        </w:tbl>
      </w:sdtContent>
    </w:sdt>
    <w:p w14:paraId="6E3DC988" w14:textId="6760BF9A" w:rsidR="0021756F" w:rsidRDefault="00000000" w:rsidP="0000049C">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Table 2: Stakeholders’ communication plan</w:t>
      </w:r>
    </w:p>
    <w:p w14:paraId="53696869" w14:textId="05A36804" w:rsidR="0021756F" w:rsidRDefault="00000000" w:rsidP="0000049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0DD7543F" w14:textId="77777777" w:rsidR="0021756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Consultation strategy </w:t>
      </w:r>
      <w:r>
        <w:rPr>
          <w:rFonts w:ascii="Times New Roman" w:eastAsia="Times New Roman" w:hAnsi="Times New Roman" w:cs="Times New Roman"/>
          <w:sz w:val="24"/>
          <w:szCs w:val="24"/>
        </w:rPr>
        <w:t xml:space="preserve">- It is evident from the frequency (see Table 2) following which these stakeholders need to be communicated that consultation with them has to be done in several stages. For example, the residents, members of the local communities and the influential environmental groups are to be communicated with in the design phase of the project (i.e., consultation at the early stage). The principal goal behind this early communication is to gain trust (i.e., obtaining the due legitimacy) while identifying the major risks (Safapour, Kermanshachi and Kamalirad, 2021). However, the environmental groups among this set of stakeholders, along with the visitors and tourists, needs to be engaged throughout (thus their frequency of engagement is ongoing, not to mention the High Power, High Interests one like the RP Authority itself). In other words, early-stage consultation and ongoing engagement are two of the major strategic pursuits as far as consultation with the stakeholders is concerned. According to Koilakonda and Gudala (2023), instead of reaching stakeholders in an undifferentiated fashion, they must be approached in a tailored manner in order to make consultation inclusive. The consultation strategy in this case, thus, is consistent with this approach (i.e., different strategies for different groups of stakeholders). </w:t>
      </w:r>
    </w:p>
    <w:p w14:paraId="18C7AF09" w14:textId="77777777" w:rsidR="0021756F" w:rsidRDefault="00000000" w:rsidP="0000049C">
      <w:pPr>
        <w:pStyle w:val="Heading1"/>
      </w:pPr>
      <w:bookmarkStart w:id="2" w:name="_Toc216898374"/>
      <w:r>
        <w:t>3. Stakeholders Consultation, Participation and Feedback: Ethical Consideration</w:t>
      </w:r>
      <w:bookmarkEnd w:id="2"/>
    </w:p>
    <w:p w14:paraId="3F929DF3" w14:textId="77777777" w:rsidR="0021756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briefly mentioned above that various methods of consultation will be used based on the type of stakeholders. For example, in the project design phase (and also before implementation), </w:t>
      </w:r>
      <w:r>
        <w:rPr>
          <w:rFonts w:ascii="Times New Roman" w:eastAsia="Times New Roman" w:hAnsi="Times New Roman" w:cs="Times New Roman"/>
          <w:i/>
          <w:iCs/>
          <w:sz w:val="24"/>
          <w:szCs w:val="24"/>
        </w:rPr>
        <w:t>community meetings</w:t>
      </w:r>
      <w:r>
        <w:rPr>
          <w:rFonts w:ascii="Times New Roman" w:eastAsia="Times New Roman" w:hAnsi="Times New Roman" w:cs="Times New Roman"/>
          <w:sz w:val="24"/>
          <w:szCs w:val="24"/>
        </w:rPr>
        <w:t xml:space="preserve"> will be organised keeping the residents and local communities in mind. This will enable stakeholders to get their queries resolved while pointing at concerns that, for instance, involve avoidable environmental impacts. It is also highlighted in the stakeholder communication plan (see Table 2) that </w:t>
      </w:r>
      <w:r>
        <w:rPr>
          <w:rFonts w:ascii="Times New Roman" w:eastAsia="Times New Roman" w:hAnsi="Times New Roman" w:cs="Times New Roman"/>
          <w:i/>
          <w:iCs/>
          <w:sz w:val="24"/>
          <w:szCs w:val="24"/>
        </w:rPr>
        <w:t>workshops</w:t>
      </w:r>
      <w:r>
        <w:rPr>
          <w:rFonts w:ascii="Times New Roman" w:eastAsia="Times New Roman" w:hAnsi="Times New Roman" w:cs="Times New Roman"/>
          <w:sz w:val="24"/>
          <w:szCs w:val="24"/>
        </w:rPr>
        <w:t xml:space="preserve"> and </w:t>
      </w:r>
      <w:r>
        <w:rPr>
          <w:rFonts w:ascii="Times New Roman" w:eastAsia="Times New Roman" w:hAnsi="Times New Roman" w:cs="Times New Roman"/>
          <w:i/>
          <w:iCs/>
          <w:sz w:val="24"/>
          <w:szCs w:val="24"/>
        </w:rPr>
        <w:t>briefings</w:t>
      </w:r>
      <w:r>
        <w:rPr>
          <w:rFonts w:ascii="Times New Roman" w:eastAsia="Times New Roman" w:hAnsi="Times New Roman" w:cs="Times New Roman"/>
          <w:sz w:val="24"/>
          <w:szCs w:val="24"/>
        </w:rPr>
        <w:t xml:space="preserve"> are two of the major channels to be used for catering to diverse information requirements. In projects, the assistance of ecological organisations is often needed to, for instance, obtain the due awareness regarding the best practices to continue renovation work without disrupting biodiversity (i.e., </w:t>
      </w:r>
      <w:r>
        <w:rPr>
          <w:rFonts w:ascii="Times New Roman" w:eastAsia="Times New Roman" w:hAnsi="Times New Roman" w:cs="Times New Roman"/>
          <w:sz w:val="24"/>
          <w:szCs w:val="24"/>
        </w:rPr>
        <w:lastRenderedPageBreak/>
        <w:t xml:space="preserve">mitigation strategies if biodiversity appears threatened). In other words, these methods allow the project executives to make informed decisions about the environmental aspects involved in the project (Tumpa and Naeni, 2025). However, since the executives need to be in touch with the RP Authority, </w:t>
      </w:r>
      <w:r>
        <w:rPr>
          <w:rFonts w:ascii="Times New Roman" w:eastAsia="Times New Roman" w:hAnsi="Times New Roman" w:cs="Times New Roman"/>
          <w:i/>
          <w:iCs/>
          <w:sz w:val="24"/>
          <w:szCs w:val="24"/>
        </w:rPr>
        <w:t>one-to-one meetings</w:t>
      </w:r>
      <w:r>
        <w:rPr>
          <w:rFonts w:ascii="Times New Roman" w:eastAsia="Times New Roman" w:hAnsi="Times New Roman" w:cs="Times New Roman"/>
          <w:sz w:val="24"/>
          <w:szCs w:val="24"/>
        </w:rPr>
        <w:t xml:space="preserve">, often involving the virtual tools (e.g., Zoom, Google Meet), will be the efficient consultation tools. </w:t>
      </w:r>
      <w:r>
        <w:rPr>
          <w:rFonts w:ascii="Times New Roman" w:eastAsia="Times New Roman" w:hAnsi="Times New Roman" w:cs="Times New Roman"/>
          <w:i/>
          <w:iCs/>
          <w:sz w:val="24"/>
          <w:szCs w:val="24"/>
        </w:rPr>
        <w:t xml:space="preserve">Physical feedback forms </w:t>
      </w:r>
      <w:r>
        <w:rPr>
          <w:rFonts w:ascii="Times New Roman" w:eastAsia="Times New Roman" w:hAnsi="Times New Roman" w:cs="Times New Roman"/>
          <w:sz w:val="24"/>
          <w:szCs w:val="24"/>
        </w:rPr>
        <w:t xml:space="preserve">or </w:t>
      </w:r>
      <w:r>
        <w:rPr>
          <w:rFonts w:ascii="Times New Roman" w:eastAsia="Times New Roman" w:hAnsi="Times New Roman" w:cs="Times New Roman"/>
          <w:i/>
          <w:iCs/>
          <w:sz w:val="24"/>
          <w:szCs w:val="24"/>
        </w:rPr>
        <w:t>surveys</w:t>
      </w:r>
      <w:r>
        <w:rPr>
          <w:rFonts w:ascii="Times New Roman" w:eastAsia="Times New Roman" w:hAnsi="Times New Roman" w:cs="Times New Roman"/>
          <w:sz w:val="24"/>
          <w:szCs w:val="24"/>
        </w:rPr>
        <w:t xml:space="preserve">, on the other hand, will be suitable for consulting with the transient stakeholders (e.g., visitors, tourists).   </w:t>
      </w:r>
    </w:p>
    <w:p w14:paraId="76C23729" w14:textId="77777777" w:rsidR="0021756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major pillars of ethically sound data collection is to take informed consent from the stakeholders, which mainly involves transparently communicating the purpose of data collection, how the data will be used and who will have access to the data (Arellano, Alcubilla and Leguízamo, 2023). Following this, irrespective of power or influence, all the stakeholders will be informed about these before asking for participating in consultation. In any case, the stakeholders’ participation in the consultation process will be voluntary. They will be, furthermore, allowed to withdraw from the process whenever they want. As far as access to data is concerned, the stakeholder managers shall abide by the UK General Data Protection Regulations (GDPR) and the Data Protection Act 2018 (Vlahou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2021). In practice, this means anonymisation of data (i.e., names of the stakeholders will not be revealed) and keeping the data until further processing in a password protected device with limited access. </w:t>
      </w:r>
    </w:p>
    <w:p w14:paraId="13CB0F77" w14:textId="77777777" w:rsidR="0021756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Collection of data can be biased, as there can be tendency to prioritise the organised groups (e.g., environmental groups, local communities) over the individual voices (e.g., tourists). Though in the context of academic research, Noor, Tajik and Golzar (2022) highlight that this is a classic case of selection bias and can be mitigated easily if participants are selected randomly. Moreover, there can also be chances to overrepresent that data/feedback that satisfies the objectives of the project, often termed ‘confirmation bias.’ To avoid this, the collectors and other executives have to ensure that they will work on a specific feedback after it has been verified from different (seemingly contrary, if possible) sources. </w:t>
      </w:r>
    </w:p>
    <w:p w14:paraId="701D0D89" w14:textId="77777777" w:rsidR="0021756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Since making access to the RP is one of the major objectives of the renovation work, the executives will also uphold the Diversity Equity and Inclusion (DEI) principles in the consultation process. For example, important meetings will be held in both physical (in venues accessible by all) and online formats. Emphasis will be given to make the language as easy and jargon-free as possible to ensure effective communication. Regarding the principle of Equity, additional care will be taken to ensure the participation of the groups that are susceptible to be underrepresented (e.g., older adults, disabled people, ethnic minorities) (Colón-Aguirre and </w:t>
      </w:r>
      <w:r>
        <w:rPr>
          <w:rFonts w:ascii="Times New Roman" w:eastAsia="Times New Roman" w:hAnsi="Times New Roman" w:cs="Times New Roman"/>
          <w:sz w:val="24"/>
          <w:szCs w:val="24"/>
        </w:rPr>
        <w:lastRenderedPageBreak/>
        <w:t xml:space="preserve">Bright, 2022). In a nutshell, the point of referring to the DEI principles here is to ensure that feedback is accepted solely based on relevance and impact on the project. </w:t>
      </w:r>
    </w:p>
    <w:p w14:paraId="259D41A6" w14:textId="77777777" w:rsidR="0021756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has been hinted above that feedback data will be collected through - a) meeting records, 2) survey results, c) virtual responses (emails) and d) comments in social media platforms. To review the collected data, the thematic analysis method seems suitable where, briefly put, recurring aspects will be considered ‘themes’ and analysed/prioritised based on impact on the project/stakeholders/environment (Braun and Clarke, 2023). The results of analyses will be transparently shared with the stakeholders, along with communicating the final decisions with them. In summary, accountability to the stakeholders must be demonstrated through every aspect of the consultation process.  </w:t>
      </w:r>
    </w:p>
    <w:p w14:paraId="1CEC40F8" w14:textId="77777777" w:rsidR="0021756F" w:rsidRDefault="00000000" w:rsidP="0000049C">
      <w:pPr>
        <w:pStyle w:val="Heading1"/>
      </w:pPr>
      <w:bookmarkStart w:id="3" w:name="_Toc216898375"/>
      <w:r>
        <w:t>4. Conclusion and Reflection</w:t>
      </w:r>
      <w:bookmarkEnd w:id="3"/>
    </w:p>
    <w:p w14:paraId="2E851E65" w14:textId="77777777" w:rsidR="0021756F" w:rsidRPr="0000049C" w:rsidRDefault="00000000">
      <w:pPr>
        <w:spacing w:line="360" w:lineRule="auto"/>
        <w:jc w:val="both"/>
        <w:rPr>
          <w:rFonts w:ascii="Times New Roman" w:eastAsia="Times New Roman" w:hAnsi="Times New Roman" w:cs="Times New Roman"/>
          <w:b/>
          <w:bCs/>
          <w:i/>
          <w:iCs/>
          <w:sz w:val="24"/>
          <w:szCs w:val="24"/>
        </w:rPr>
      </w:pPr>
      <w:r w:rsidRPr="0000049C">
        <w:rPr>
          <w:rFonts w:ascii="Times New Roman" w:eastAsia="Times New Roman" w:hAnsi="Times New Roman" w:cs="Times New Roman"/>
          <w:b/>
          <w:bCs/>
          <w:i/>
          <w:iCs/>
          <w:sz w:val="24"/>
          <w:szCs w:val="24"/>
        </w:rPr>
        <w:t xml:space="preserve">4.1 Conclusion </w:t>
      </w:r>
    </w:p>
    <w:p w14:paraId="43EBDA4A" w14:textId="77777777" w:rsidR="0021756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report investigated the aspect of stakeholder management in the context of The Regent’s Park renovation involving diverse stakeholders representing communities and public &amp; private sectors. After illustrating the project’s relevance in terms of balancing urban regeneration with visitors’ satisfaction, it identified the key stakeholders involved in the project including The Regent Park’s authority, residents &amp; communities, government bodies, environmental groups and visitors &amp; tourists. Afterwards, each stakeholder is categorised based on their power, interest and influence on the project using tools like the Mendelow’s matrix. Furthermore, a communication plan is charted where, instead of an undifferentiated approach, a tailored approach to communication is adopted. Following this, a consultation strategy with the stakeholders is proposed, which also assumes the targeted communication approach. In terms of engaging these stakeholders in consultation, this report also explored approaches to ethical data collection. It highlighted, moreover, how the EDI principles can be adopted in the context of stakeholder consultation to, for instance, ensure proper participation of groups likely to be left unrepresented. It is evident from the report that stakeholder management is an integral aspect to the project, as it determines possibilities of long-term success and public support. </w:t>
      </w:r>
    </w:p>
    <w:p w14:paraId="4A221B4E" w14:textId="77777777" w:rsidR="0021756F" w:rsidRPr="0000049C" w:rsidRDefault="00000000">
      <w:pPr>
        <w:spacing w:line="360" w:lineRule="auto"/>
        <w:jc w:val="both"/>
        <w:rPr>
          <w:rFonts w:ascii="Times New Roman" w:eastAsia="Times New Roman" w:hAnsi="Times New Roman" w:cs="Times New Roman"/>
          <w:b/>
          <w:bCs/>
          <w:i/>
          <w:iCs/>
          <w:sz w:val="24"/>
          <w:szCs w:val="24"/>
        </w:rPr>
      </w:pPr>
      <w:r w:rsidRPr="0000049C">
        <w:rPr>
          <w:rFonts w:ascii="Times New Roman" w:eastAsia="Times New Roman" w:hAnsi="Times New Roman" w:cs="Times New Roman"/>
          <w:b/>
          <w:bCs/>
          <w:i/>
          <w:iCs/>
          <w:sz w:val="24"/>
          <w:szCs w:val="24"/>
        </w:rPr>
        <w:t xml:space="preserve">4.2 Reflection </w:t>
      </w:r>
    </w:p>
    <w:p w14:paraId="197E51AF" w14:textId="77777777" w:rsidR="0021756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present a reflective account here on the cruciality of stakeholder engagement in ensuring long-term project success and sustainability using </w:t>
      </w:r>
      <w:r>
        <w:rPr>
          <w:rFonts w:ascii="Times New Roman" w:eastAsia="Times New Roman" w:hAnsi="Times New Roman" w:cs="Times New Roman"/>
          <w:b/>
          <w:bCs/>
          <w:sz w:val="24"/>
          <w:szCs w:val="24"/>
        </w:rPr>
        <w:t>Gibbs’ Reflective Cycle</w:t>
      </w:r>
      <w:r>
        <w:rPr>
          <w:rFonts w:ascii="Times New Roman" w:eastAsia="Times New Roman" w:hAnsi="Times New Roman" w:cs="Times New Roman"/>
          <w:sz w:val="24"/>
          <w:szCs w:val="24"/>
        </w:rPr>
        <w:t xml:space="preserve">. </w:t>
      </w:r>
    </w:p>
    <w:p w14:paraId="1E1071F4" w14:textId="77777777" w:rsidR="0021756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lastRenderedPageBreak/>
        <w:t xml:space="preserve">Description </w:t>
      </w:r>
      <w:r>
        <w:rPr>
          <w:rFonts w:ascii="Times New Roman" w:eastAsia="Times New Roman" w:hAnsi="Times New Roman" w:cs="Times New Roman"/>
          <w:sz w:val="24"/>
          <w:szCs w:val="24"/>
        </w:rPr>
        <w:t xml:space="preserve">- Within my bounds as a Junior Stakeholder Manager associated with this project, I participated in various tasks including identification of key stakeholders, developing strategies to consult with and deciding the core communication activities associated with The Regent’s Park renovation project. In this process, I came across a plethora of stakeholders, with different authorities, influences and interests, involved, either directly or indirectly, in the project. Coordinating their diverse demands without deviating much from the core objectives of the project thus appeared a challenging task. </w:t>
      </w:r>
    </w:p>
    <w:p w14:paraId="77F06D23" w14:textId="77777777" w:rsidR="0021756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Feeling </w:t>
      </w:r>
      <w:r>
        <w:rPr>
          <w:rFonts w:ascii="Times New Roman" w:eastAsia="Times New Roman" w:hAnsi="Times New Roman" w:cs="Times New Roman"/>
          <w:sz w:val="24"/>
          <w:szCs w:val="24"/>
        </w:rPr>
        <w:t xml:space="preserve">- Though I was previously familiar with the idea of stakeholder management, I perceived it mainly as a task of communicating information to the stakeholders at different stages of the project. Hence, I was expectedly overwhelmed when I came to know it involves taking feedback from stakeholders and addressing them. I was initially frightened to approach the more vocal sets of stakeholders (e.g., the environmental groups) that are, nevertheless, important to assimilate to address the sustainability requirements of the project. I was also apprehensive, if not fearful, about the potential resistance that can come from them. </w:t>
      </w:r>
    </w:p>
    <w:p w14:paraId="5D97CD33" w14:textId="77777777" w:rsidR="0021756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Evaluation </w:t>
      </w:r>
      <w:r>
        <w:rPr>
          <w:rFonts w:ascii="Times New Roman" w:eastAsia="Times New Roman" w:hAnsi="Times New Roman" w:cs="Times New Roman"/>
          <w:sz w:val="24"/>
          <w:szCs w:val="24"/>
        </w:rPr>
        <w:t xml:space="preserve">- Contrary to what I presumed, stakeholder engagement with a proper communication plan and a consultation strategy at my disposal turns out to be a fruitful exercise. Consistent with what Song, Munyinda and Adu Sarfo (2025) have noted, I saw how they can point at potential risks that the executives alone would have overlooked only if one can enter into a dialogue with them. I realised that this consultation is important to not only gain their trust or prove our credibility but also to improve the overall outcomes of the project. Though it is true that conflicting priorities often threatened the project with potential delay, I realised they can be resolved through proper planning. </w:t>
      </w:r>
    </w:p>
    <w:p w14:paraId="23A8168A" w14:textId="77777777" w:rsidR="0021756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Analysis </w:t>
      </w:r>
      <w:r>
        <w:rPr>
          <w:rFonts w:ascii="Times New Roman" w:eastAsia="Times New Roman" w:hAnsi="Times New Roman" w:cs="Times New Roman"/>
          <w:sz w:val="24"/>
          <w:szCs w:val="24"/>
        </w:rPr>
        <w:t xml:space="preserve">- Communication with the stakeholders enabled me to understand how their engagement is paramount to improve performance while being compliant to the sustainability demands from a project. Involving the local communities in decision-making, or adopting what Kim, Xu and Rim (2024) called a ‘bottom-up approach’ of stakeholder communication, the project is benefited at the end in terms of taking better decisions and upholding the sustainability principles. My experience also revealed that, though power differences and conflicting interests are difficult to avoid, they can be mitigated using structured tools and adopted ethically sound methods of extracting stakeholders’ feedback. </w:t>
      </w:r>
    </w:p>
    <w:p w14:paraId="02756D06" w14:textId="77777777" w:rsidR="0021756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Conclusion </w:t>
      </w:r>
      <w:r>
        <w:rPr>
          <w:rFonts w:ascii="Times New Roman" w:eastAsia="Times New Roman" w:hAnsi="Times New Roman" w:cs="Times New Roman"/>
          <w:sz w:val="24"/>
          <w:szCs w:val="24"/>
        </w:rPr>
        <w:t xml:space="preserve">- After this exercise, I realised that stakeholder management is something bigger than simply another procedure, as it requires strategic abilities. A project is legitimised and </w:t>
      </w:r>
      <w:r>
        <w:rPr>
          <w:rFonts w:ascii="Times New Roman" w:eastAsia="Times New Roman" w:hAnsi="Times New Roman" w:cs="Times New Roman"/>
          <w:sz w:val="24"/>
          <w:szCs w:val="24"/>
        </w:rPr>
        <w:lastRenderedPageBreak/>
        <w:t xml:space="preserve">benefits from active stakeholder engagement if they are given an equitable chance to comment on the project’s actions. In summary, stakeholders’ active, as opposed to tokenistic, is required, to ensure its success and long-term sustainability. </w:t>
      </w:r>
    </w:p>
    <w:p w14:paraId="6DE43E31" w14:textId="77777777" w:rsidR="0021756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Action plan </w:t>
      </w:r>
      <w:r>
        <w:rPr>
          <w:rFonts w:ascii="Times New Roman" w:eastAsia="Times New Roman" w:hAnsi="Times New Roman" w:cs="Times New Roman"/>
          <w:sz w:val="24"/>
          <w:szCs w:val="24"/>
        </w:rPr>
        <w:t xml:space="preserve">- Based on my experiences in this project, I will focus on the following things in future: </w:t>
      </w:r>
    </w:p>
    <w:p w14:paraId="6832D4CA" w14:textId="77777777" w:rsidR="0021756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Identifying ways to involve stakeholders earlier in the project</w:t>
      </w:r>
    </w:p>
    <w:p w14:paraId="011A2506" w14:textId="77777777" w:rsidR="0021756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 Developing skills to resolve conflicts better</w:t>
      </w:r>
    </w:p>
    <w:p w14:paraId="630B1046" w14:textId="73A6A714" w:rsidR="0000049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  Making stakeholders’ involvement with the project more equitable through inclusive consultation methods </w:t>
      </w:r>
    </w:p>
    <w:p w14:paraId="5B64B1A9" w14:textId="77777777" w:rsidR="0000049C" w:rsidRDefault="0000049C">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410082ED" w14:textId="77777777" w:rsidR="0000049C" w:rsidRDefault="0000049C" w:rsidP="0000049C">
      <w:pPr>
        <w:pStyle w:val="Heading1"/>
      </w:pPr>
      <w:bookmarkStart w:id="4" w:name="_Toc216898376"/>
      <w:r w:rsidRPr="00E930EE">
        <w:lastRenderedPageBreak/>
        <w:t>References</w:t>
      </w:r>
      <w:bookmarkEnd w:id="4"/>
    </w:p>
    <w:p w14:paraId="4BAB9277" w14:textId="77777777" w:rsidR="0000049C" w:rsidRDefault="0000049C" w:rsidP="0000049C">
      <w:pPr>
        <w:spacing w:line="360" w:lineRule="auto"/>
        <w:jc w:val="both"/>
        <w:rPr>
          <w:rFonts w:ascii="Times New Roman" w:hAnsi="Times New Roman" w:cs="Times New Roman"/>
          <w:sz w:val="24"/>
          <w:szCs w:val="24"/>
        </w:rPr>
      </w:pPr>
      <w:r w:rsidRPr="004F71F6">
        <w:rPr>
          <w:rFonts w:ascii="Times New Roman" w:hAnsi="Times New Roman" w:cs="Times New Roman"/>
          <w:sz w:val="24"/>
          <w:szCs w:val="24"/>
        </w:rPr>
        <w:t>Arellano, L., Alcubilla, P. and Leguízamo, L.</w:t>
      </w:r>
      <w:r>
        <w:rPr>
          <w:rFonts w:ascii="Times New Roman" w:hAnsi="Times New Roman" w:cs="Times New Roman"/>
          <w:sz w:val="24"/>
          <w:szCs w:val="24"/>
        </w:rPr>
        <w:t xml:space="preserve"> (</w:t>
      </w:r>
      <w:r w:rsidRPr="004F71F6">
        <w:rPr>
          <w:rFonts w:ascii="Times New Roman" w:hAnsi="Times New Roman" w:cs="Times New Roman"/>
          <w:sz w:val="24"/>
          <w:szCs w:val="24"/>
        </w:rPr>
        <w:t>2023</w:t>
      </w:r>
      <w:r>
        <w:rPr>
          <w:rFonts w:ascii="Times New Roman" w:hAnsi="Times New Roman" w:cs="Times New Roman"/>
          <w:sz w:val="24"/>
          <w:szCs w:val="24"/>
        </w:rPr>
        <w:t>) ‘</w:t>
      </w:r>
      <w:r w:rsidRPr="004F71F6">
        <w:rPr>
          <w:rFonts w:ascii="Times New Roman" w:hAnsi="Times New Roman" w:cs="Times New Roman"/>
          <w:sz w:val="24"/>
          <w:szCs w:val="24"/>
        </w:rPr>
        <w:t>Ethical considerations in informed consent</w:t>
      </w:r>
      <w:r>
        <w:rPr>
          <w:rFonts w:ascii="Times New Roman" w:hAnsi="Times New Roman" w:cs="Times New Roman"/>
          <w:sz w:val="24"/>
          <w:szCs w:val="24"/>
        </w:rPr>
        <w:t>,’ i</w:t>
      </w:r>
      <w:r w:rsidRPr="004F71F6">
        <w:rPr>
          <w:rFonts w:ascii="Times New Roman" w:hAnsi="Times New Roman" w:cs="Times New Roman"/>
          <w:sz w:val="24"/>
          <w:szCs w:val="24"/>
        </w:rPr>
        <w:t>n </w:t>
      </w:r>
      <w:r w:rsidRPr="004F71F6">
        <w:rPr>
          <w:rFonts w:ascii="Times New Roman" w:hAnsi="Times New Roman" w:cs="Times New Roman"/>
          <w:i/>
          <w:iCs/>
          <w:sz w:val="24"/>
          <w:szCs w:val="24"/>
        </w:rPr>
        <w:t>Ethics-scientific research, ethical issues, artificial intelligence and education</w:t>
      </w:r>
      <w:r w:rsidRPr="004F71F6">
        <w:rPr>
          <w:rFonts w:ascii="Times New Roman" w:hAnsi="Times New Roman" w:cs="Times New Roman"/>
          <w:sz w:val="24"/>
          <w:szCs w:val="24"/>
        </w:rPr>
        <w:t>. IntechOpen.</w:t>
      </w:r>
    </w:p>
    <w:p w14:paraId="101ECD4E" w14:textId="77777777" w:rsidR="0000049C" w:rsidRDefault="0000049C" w:rsidP="0000049C">
      <w:pPr>
        <w:spacing w:line="360" w:lineRule="auto"/>
        <w:jc w:val="both"/>
        <w:rPr>
          <w:rFonts w:ascii="Times New Roman" w:hAnsi="Times New Roman" w:cs="Times New Roman"/>
          <w:sz w:val="24"/>
          <w:szCs w:val="24"/>
        </w:rPr>
      </w:pPr>
      <w:r w:rsidRPr="004F71F6">
        <w:rPr>
          <w:rFonts w:ascii="Times New Roman" w:hAnsi="Times New Roman" w:cs="Times New Roman"/>
          <w:sz w:val="24"/>
          <w:szCs w:val="24"/>
        </w:rPr>
        <w:t>Braun, V. and Clarke, V.</w:t>
      </w:r>
      <w:r>
        <w:rPr>
          <w:rFonts w:ascii="Times New Roman" w:hAnsi="Times New Roman" w:cs="Times New Roman"/>
          <w:sz w:val="24"/>
          <w:szCs w:val="24"/>
        </w:rPr>
        <w:t xml:space="preserve"> (</w:t>
      </w:r>
      <w:r w:rsidRPr="004F71F6">
        <w:rPr>
          <w:rFonts w:ascii="Times New Roman" w:hAnsi="Times New Roman" w:cs="Times New Roman"/>
          <w:sz w:val="24"/>
          <w:szCs w:val="24"/>
        </w:rPr>
        <w:t>2023</w:t>
      </w:r>
      <w:r>
        <w:rPr>
          <w:rFonts w:ascii="Times New Roman" w:hAnsi="Times New Roman" w:cs="Times New Roman"/>
          <w:sz w:val="24"/>
          <w:szCs w:val="24"/>
        </w:rPr>
        <w:t>) ‘</w:t>
      </w:r>
      <w:r w:rsidRPr="004F71F6">
        <w:rPr>
          <w:rFonts w:ascii="Times New Roman" w:hAnsi="Times New Roman" w:cs="Times New Roman"/>
          <w:sz w:val="24"/>
          <w:szCs w:val="24"/>
        </w:rPr>
        <w:t>Toward good practice in thematic analysis: Avoiding common problems and be (com) ing a knowing researcher</w:t>
      </w:r>
      <w:r>
        <w:rPr>
          <w:rFonts w:ascii="Times New Roman" w:hAnsi="Times New Roman" w:cs="Times New Roman"/>
          <w:sz w:val="24"/>
          <w:szCs w:val="24"/>
        </w:rPr>
        <w:t xml:space="preserve">,’ </w:t>
      </w:r>
      <w:r w:rsidRPr="004F71F6">
        <w:rPr>
          <w:rFonts w:ascii="Times New Roman" w:hAnsi="Times New Roman" w:cs="Times New Roman"/>
          <w:i/>
          <w:iCs/>
          <w:sz w:val="24"/>
          <w:szCs w:val="24"/>
        </w:rPr>
        <w:t>International journal of transgender health</w:t>
      </w:r>
      <w:r w:rsidRPr="004F71F6">
        <w:rPr>
          <w:rFonts w:ascii="Times New Roman" w:hAnsi="Times New Roman" w:cs="Times New Roman"/>
          <w:sz w:val="24"/>
          <w:szCs w:val="24"/>
        </w:rPr>
        <w:t>, 24(1), pp.</w:t>
      </w:r>
      <w:r>
        <w:rPr>
          <w:rFonts w:ascii="Times New Roman" w:hAnsi="Times New Roman" w:cs="Times New Roman"/>
          <w:sz w:val="24"/>
          <w:szCs w:val="24"/>
        </w:rPr>
        <w:t xml:space="preserve"> </w:t>
      </w:r>
      <w:r w:rsidRPr="004F71F6">
        <w:rPr>
          <w:rFonts w:ascii="Times New Roman" w:hAnsi="Times New Roman" w:cs="Times New Roman"/>
          <w:sz w:val="24"/>
          <w:szCs w:val="24"/>
        </w:rPr>
        <w:t>1-6.</w:t>
      </w:r>
    </w:p>
    <w:p w14:paraId="08B6D64C" w14:textId="77777777" w:rsidR="0000049C" w:rsidRDefault="0000049C" w:rsidP="0000049C">
      <w:pPr>
        <w:spacing w:line="360" w:lineRule="auto"/>
        <w:jc w:val="both"/>
        <w:rPr>
          <w:rFonts w:ascii="Times New Roman" w:hAnsi="Times New Roman" w:cs="Times New Roman"/>
          <w:sz w:val="24"/>
          <w:szCs w:val="24"/>
        </w:rPr>
      </w:pPr>
      <w:r w:rsidRPr="004F71F6">
        <w:rPr>
          <w:rFonts w:ascii="Times New Roman" w:hAnsi="Times New Roman" w:cs="Times New Roman"/>
          <w:sz w:val="24"/>
          <w:szCs w:val="24"/>
        </w:rPr>
        <w:t>Colón-Aguirre, M. and Bright, K.</w:t>
      </w:r>
      <w:r>
        <w:rPr>
          <w:rFonts w:ascii="Times New Roman" w:hAnsi="Times New Roman" w:cs="Times New Roman"/>
          <w:sz w:val="24"/>
          <w:szCs w:val="24"/>
        </w:rPr>
        <w:t xml:space="preserve"> (</w:t>
      </w:r>
      <w:r w:rsidRPr="004F71F6">
        <w:rPr>
          <w:rFonts w:ascii="Times New Roman" w:hAnsi="Times New Roman" w:cs="Times New Roman"/>
          <w:sz w:val="24"/>
          <w:szCs w:val="24"/>
        </w:rPr>
        <w:t>2022</w:t>
      </w:r>
      <w:r>
        <w:rPr>
          <w:rFonts w:ascii="Times New Roman" w:hAnsi="Times New Roman" w:cs="Times New Roman"/>
          <w:sz w:val="24"/>
          <w:szCs w:val="24"/>
        </w:rPr>
        <w:t>) ‘</w:t>
      </w:r>
      <w:r w:rsidRPr="004F71F6">
        <w:rPr>
          <w:rFonts w:ascii="Times New Roman" w:hAnsi="Times New Roman" w:cs="Times New Roman"/>
          <w:sz w:val="24"/>
          <w:szCs w:val="24"/>
        </w:rPr>
        <w:t>Incorporating diversity, equity, and inclusion (DEI) into research</w:t>
      </w:r>
      <w:r>
        <w:rPr>
          <w:rFonts w:ascii="Times New Roman" w:hAnsi="Times New Roman" w:cs="Times New Roman"/>
          <w:sz w:val="24"/>
          <w:szCs w:val="24"/>
        </w:rPr>
        <w:t xml:space="preserve">,’ </w:t>
      </w:r>
      <w:r w:rsidRPr="004F71F6">
        <w:rPr>
          <w:rFonts w:ascii="Times New Roman" w:hAnsi="Times New Roman" w:cs="Times New Roman"/>
          <w:i/>
          <w:iCs/>
          <w:sz w:val="24"/>
          <w:szCs w:val="24"/>
        </w:rPr>
        <w:t>Journal of Education for Library and Information Science</w:t>
      </w:r>
      <w:r w:rsidRPr="004F71F6">
        <w:rPr>
          <w:rFonts w:ascii="Times New Roman" w:hAnsi="Times New Roman" w:cs="Times New Roman"/>
          <w:sz w:val="24"/>
          <w:szCs w:val="24"/>
        </w:rPr>
        <w:t>, 63(3), pp.</w:t>
      </w:r>
      <w:r>
        <w:rPr>
          <w:rFonts w:ascii="Times New Roman" w:hAnsi="Times New Roman" w:cs="Times New Roman"/>
          <w:sz w:val="24"/>
          <w:szCs w:val="24"/>
        </w:rPr>
        <w:t xml:space="preserve"> </w:t>
      </w:r>
      <w:r w:rsidRPr="004F71F6">
        <w:rPr>
          <w:rFonts w:ascii="Times New Roman" w:hAnsi="Times New Roman" w:cs="Times New Roman"/>
          <w:sz w:val="24"/>
          <w:szCs w:val="24"/>
        </w:rPr>
        <w:t>237-244.</w:t>
      </w:r>
    </w:p>
    <w:p w14:paraId="6947D47C" w14:textId="77777777" w:rsidR="0000049C" w:rsidRDefault="0000049C" w:rsidP="0000049C">
      <w:pPr>
        <w:spacing w:line="360" w:lineRule="auto"/>
        <w:jc w:val="both"/>
        <w:rPr>
          <w:rFonts w:ascii="Times New Roman" w:hAnsi="Times New Roman" w:cs="Times New Roman"/>
          <w:sz w:val="24"/>
          <w:szCs w:val="24"/>
        </w:rPr>
      </w:pPr>
      <w:r w:rsidRPr="00E52EE9">
        <w:rPr>
          <w:rFonts w:ascii="Times New Roman" w:hAnsi="Times New Roman" w:cs="Times New Roman"/>
          <w:sz w:val="24"/>
          <w:szCs w:val="24"/>
        </w:rPr>
        <w:t>Cook, E., Velis, C.A. and Black, L.</w:t>
      </w:r>
      <w:r>
        <w:rPr>
          <w:rFonts w:ascii="Times New Roman" w:hAnsi="Times New Roman" w:cs="Times New Roman"/>
          <w:sz w:val="24"/>
          <w:szCs w:val="24"/>
        </w:rPr>
        <w:t xml:space="preserve"> (</w:t>
      </w:r>
      <w:r w:rsidRPr="00E52EE9">
        <w:rPr>
          <w:rFonts w:ascii="Times New Roman" w:hAnsi="Times New Roman" w:cs="Times New Roman"/>
          <w:sz w:val="24"/>
          <w:szCs w:val="24"/>
        </w:rPr>
        <w:t>2022</w:t>
      </w:r>
      <w:r>
        <w:rPr>
          <w:rFonts w:ascii="Times New Roman" w:hAnsi="Times New Roman" w:cs="Times New Roman"/>
          <w:sz w:val="24"/>
          <w:szCs w:val="24"/>
        </w:rPr>
        <w:t>) ‘</w:t>
      </w:r>
      <w:r w:rsidRPr="00E52EE9">
        <w:rPr>
          <w:rFonts w:ascii="Times New Roman" w:hAnsi="Times New Roman" w:cs="Times New Roman"/>
          <w:sz w:val="24"/>
          <w:szCs w:val="24"/>
        </w:rPr>
        <w:t>Construction and demolition waste management: a systematic scoping review of risks to occupational and public health</w:t>
      </w:r>
      <w:r>
        <w:rPr>
          <w:rFonts w:ascii="Times New Roman" w:hAnsi="Times New Roman" w:cs="Times New Roman"/>
          <w:sz w:val="24"/>
          <w:szCs w:val="24"/>
        </w:rPr>
        <w:t xml:space="preserve">,’ </w:t>
      </w:r>
      <w:r w:rsidRPr="00E52EE9">
        <w:rPr>
          <w:rFonts w:ascii="Times New Roman" w:hAnsi="Times New Roman" w:cs="Times New Roman"/>
          <w:i/>
          <w:iCs/>
          <w:sz w:val="24"/>
          <w:szCs w:val="24"/>
        </w:rPr>
        <w:t>Frontiers in Sustainability</w:t>
      </w:r>
      <w:r w:rsidRPr="00E52EE9">
        <w:rPr>
          <w:rFonts w:ascii="Times New Roman" w:hAnsi="Times New Roman" w:cs="Times New Roman"/>
          <w:sz w:val="24"/>
          <w:szCs w:val="24"/>
        </w:rPr>
        <w:t>, 3.</w:t>
      </w:r>
    </w:p>
    <w:p w14:paraId="03AF7FB4" w14:textId="77777777" w:rsidR="0000049C" w:rsidRDefault="0000049C" w:rsidP="0000049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Gov.UK (2024) </w:t>
      </w:r>
      <w:r>
        <w:rPr>
          <w:rFonts w:ascii="Times New Roman" w:hAnsi="Times New Roman" w:cs="Times New Roman"/>
          <w:i/>
          <w:iCs/>
          <w:sz w:val="24"/>
          <w:szCs w:val="24"/>
        </w:rPr>
        <w:t>Green infrastructure: delivering quality of life and environmental benefits for communities</w:t>
      </w:r>
      <w:r>
        <w:rPr>
          <w:rFonts w:ascii="Times New Roman" w:hAnsi="Times New Roman" w:cs="Times New Roman"/>
          <w:sz w:val="24"/>
          <w:szCs w:val="24"/>
        </w:rPr>
        <w:t xml:space="preserve">, 27 Aug. Available at: </w:t>
      </w:r>
      <w:hyperlink r:id="rId9" w:history="1">
        <w:r w:rsidRPr="00371EAB">
          <w:rPr>
            <w:rStyle w:val="Hyperlink"/>
            <w:rFonts w:ascii="Times New Roman" w:hAnsi="Times New Roman" w:cs="Times New Roman"/>
            <w:sz w:val="24"/>
            <w:szCs w:val="24"/>
          </w:rPr>
          <w:t>https://naturalengland.blog.gov.uk/2024/08/27/green-infrastructure-delivering-quality-of-life-and-environmental-benefits-for-communities/</w:t>
        </w:r>
      </w:hyperlink>
      <w:r>
        <w:rPr>
          <w:rFonts w:ascii="Times New Roman" w:hAnsi="Times New Roman" w:cs="Times New Roman"/>
          <w:sz w:val="24"/>
          <w:szCs w:val="24"/>
        </w:rPr>
        <w:t xml:space="preserve"> (Accessed: 15 December 2025). </w:t>
      </w:r>
    </w:p>
    <w:p w14:paraId="7EC2CA05" w14:textId="77777777" w:rsidR="0000049C" w:rsidRDefault="0000049C" w:rsidP="0000049C">
      <w:pPr>
        <w:spacing w:line="360" w:lineRule="auto"/>
        <w:jc w:val="both"/>
        <w:rPr>
          <w:rFonts w:ascii="Times New Roman" w:hAnsi="Times New Roman" w:cs="Times New Roman"/>
          <w:sz w:val="24"/>
          <w:szCs w:val="24"/>
        </w:rPr>
      </w:pPr>
      <w:r w:rsidRPr="00F02EAA">
        <w:rPr>
          <w:rFonts w:ascii="Times New Roman" w:hAnsi="Times New Roman" w:cs="Times New Roman"/>
          <w:sz w:val="24"/>
          <w:szCs w:val="24"/>
        </w:rPr>
        <w:t>Kim, K.H., Xu, H. and Rim, H.</w:t>
      </w:r>
      <w:r>
        <w:rPr>
          <w:rFonts w:ascii="Times New Roman" w:hAnsi="Times New Roman" w:cs="Times New Roman"/>
          <w:sz w:val="24"/>
          <w:szCs w:val="24"/>
        </w:rPr>
        <w:t xml:space="preserve"> (</w:t>
      </w:r>
      <w:r w:rsidRPr="00F02EAA">
        <w:rPr>
          <w:rFonts w:ascii="Times New Roman" w:hAnsi="Times New Roman" w:cs="Times New Roman"/>
          <w:sz w:val="24"/>
          <w:szCs w:val="24"/>
        </w:rPr>
        <w:t>2024</w:t>
      </w:r>
      <w:r>
        <w:rPr>
          <w:rFonts w:ascii="Times New Roman" w:hAnsi="Times New Roman" w:cs="Times New Roman"/>
          <w:sz w:val="24"/>
          <w:szCs w:val="24"/>
        </w:rPr>
        <w:t>) ‘</w:t>
      </w:r>
      <w:r w:rsidRPr="00F02EAA">
        <w:rPr>
          <w:rFonts w:ascii="Times New Roman" w:hAnsi="Times New Roman" w:cs="Times New Roman"/>
          <w:sz w:val="24"/>
          <w:szCs w:val="24"/>
        </w:rPr>
        <w:t>“We care about how you dialogue with your employees:” The effects of bottom-up CSR through the lens of dialogic communication</w:t>
      </w:r>
      <w:r>
        <w:rPr>
          <w:rFonts w:ascii="Times New Roman" w:hAnsi="Times New Roman" w:cs="Times New Roman"/>
          <w:sz w:val="24"/>
          <w:szCs w:val="24"/>
        </w:rPr>
        <w:t xml:space="preserve">,’ </w:t>
      </w:r>
      <w:r w:rsidRPr="00F02EAA">
        <w:rPr>
          <w:rFonts w:ascii="Times New Roman" w:hAnsi="Times New Roman" w:cs="Times New Roman"/>
          <w:i/>
          <w:iCs/>
          <w:sz w:val="24"/>
          <w:szCs w:val="24"/>
        </w:rPr>
        <w:t>Journal of Public Relations Research</w:t>
      </w:r>
      <w:r w:rsidRPr="00F02EAA">
        <w:rPr>
          <w:rFonts w:ascii="Times New Roman" w:hAnsi="Times New Roman" w:cs="Times New Roman"/>
          <w:sz w:val="24"/>
          <w:szCs w:val="24"/>
        </w:rPr>
        <w:t>, 36(3), pp.</w:t>
      </w:r>
      <w:r>
        <w:rPr>
          <w:rFonts w:ascii="Times New Roman" w:hAnsi="Times New Roman" w:cs="Times New Roman"/>
          <w:sz w:val="24"/>
          <w:szCs w:val="24"/>
        </w:rPr>
        <w:t xml:space="preserve"> </w:t>
      </w:r>
      <w:r w:rsidRPr="00F02EAA">
        <w:rPr>
          <w:rFonts w:ascii="Times New Roman" w:hAnsi="Times New Roman" w:cs="Times New Roman"/>
          <w:sz w:val="24"/>
          <w:szCs w:val="24"/>
        </w:rPr>
        <w:t>258-282.</w:t>
      </w:r>
    </w:p>
    <w:p w14:paraId="11CD1369" w14:textId="77777777" w:rsidR="0000049C" w:rsidRDefault="0000049C" w:rsidP="0000049C">
      <w:pPr>
        <w:spacing w:line="360" w:lineRule="auto"/>
        <w:jc w:val="both"/>
        <w:rPr>
          <w:rFonts w:ascii="Times New Roman" w:hAnsi="Times New Roman" w:cs="Times New Roman"/>
          <w:sz w:val="24"/>
          <w:szCs w:val="24"/>
        </w:rPr>
      </w:pPr>
      <w:r w:rsidRPr="00E52EE9">
        <w:rPr>
          <w:rFonts w:ascii="Times New Roman" w:hAnsi="Times New Roman" w:cs="Times New Roman"/>
          <w:sz w:val="24"/>
          <w:szCs w:val="24"/>
        </w:rPr>
        <w:t>Koilakonda, R.R. and Gudala, L.</w:t>
      </w:r>
      <w:r>
        <w:rPr>
          <w:rFonts w:ascii="Times New Roman" w:hAnsi="Times New Roman" w:cs="Times New Roman"/>
          <w:sz w:val="24"/>
          <w:szCs w:val="24"/>
        </w:rPr>
        <w:t xml:space="preserve"> (</w:t>
      </w:r>
      <w:r w:rsidRPr="00E52EE9">
        <w:rPr>
          <w:rFonts w:ascii="Times New Roman" w:hAnsi="Times New Roman" w:cs="Times New Roman"/>
          <w:sz w:val="24"/>
          <w:szCs w:val="24"/>
        </w:rPr>
        <w:t>2023</w:t>
      </w:r>
      <w:r>
        <w:rPr>
          <w:rFonts w:ascii="Times New Roman" w:hAnsi="Times New Roman" w:cs="Times New Roman"/>
          <w:sz w:val="24"/>
          <w:szCs w:val="24"/>
        </w:rPr>
        <w:t>) ‘</w:t>
      </w:r>
      <w:r w:rsidRPr="00E52EE9">
        <w:rPr>
          <w:rFonts w:ascii="Times New Roman" w:hAnsi="Times New Roman" w:cs="Times New Roman"/>
          <w:sz w:val="24"/>
          <w:szCs w:val="24"/>
        </w:rPr>
        <w:t>Effective communication strategies for stakeholder engagement</w:t>
      </w:r>
      <w:r>
        <w:rPr>
          <w:rFonts w:ascii="Times New Roman" w:hAnsi="Times New Roman" w:cs="Times New Roman"/>
          <w:sz w:val="24"/>
          <w:szCs w:val="24"/>
        </w:rPr>
        <w:t xml:space="preserve">,’ </w:t>
      </w:r>
      <w:r w:rsidRPr="00E52EE9">
        <w:rPr>
          <w:rFonts w:ascii="Times New Roman" w:hAnsi="Times New Roman" w:cs="Times New Roman"/>
          <w:i/>
          <w:iCs/>
          <w:sz w:val="24"/>
          <w:szCs w:val="24"/>
        </w:rPr>
        <w:t>International Journal of Core Engineering &amp; Management</w:t>
      </w:r>
      <w:r w:rsidRPr="00E52EE9">
        <w:rPr>
          <w:rFonts w:ascii="Times New Roman" w:hAnsi="Times New Roman" w:cs="Times New Roman"/>
          <w:sz w:val="24"/>
          <w:szCs w:val="24"/>
        </w:rPr>
        <w:t>, 7(8), pp.</w:t>
      </w:r>
      <w:r>
        <w:rPr>
          <w:rFonts w:ascii="Times New Roman" w:hAnsi="Times New Roman" w:cs="Times New Roman"/>
          <w:sz w:val="24"/>
          <w:szCs w:val="24"/>
        </w:rPr>
        <w:t xml:space="preserve"> </w:t>
      </w:r>
      <w:r w:rsidRPr="00E52EE9">
        <w:rPr>
          <w:rFonts w:ascii="Times New Roman" w:hAnsi="Times New Roman" w:cs="Times New Roman"/>
          <w:sz w:val="24"/>
          <w:szCs w:val="24"/>
        </w:rPr>
        <w:t>2348-9510.</w:t>
      </w:r>
    </w:p>
    <w:p w14:paraId="036E64B6" w14:textId="77777777" w:rsidR="0000049C" w:rsidRDefault="0000049C" w:rsidP="0000049C">
      <w:pPr>
        <w:spacing w:line="360" w:lineRule="auto"/>
        <w:jc w:val="both"/>
        <w:rPr>
          <w:rFonts w:ascii="Times New Roman" w:hAnsi="Times New Roman" w:cs="Times New Roman"/>
          <w:sz w:val="24"/>
          <w:szCs w:val="24"/>
        </w:rPr>
      </w:pPr>
      <w:r w:rsidRPr="00E52EE9">
        <w:rPr>
          <w:rFonts w:ascii="Times New Roman" w:hAnsi="Times New Roman" w:cs="Times New Roman"/>
          <w:sz w:val="24"/>
          <w:szCs w:val="24"/>
        </w:rPr>
        <w:t>Mensah, C.A., Andres, L., Perera, U. and Roji, A.</w:t>
      </w:r>
      <w:r>
        <w:rPr>
          <w:rFonts w:ascii="Times New Roman" w:hAnsi="Times New Roman" w:cs="Times New Roman"/>
          <w:sz w:val="24"/>
          <w:szCs w:val="24"/>
        </w:rPr>
        <w:t xml:space="preserve"> (</w:t>
      </w:r>
      <w:r w:rsidRPr="00E52EE9">
        <w:rPr>
          <w:rFonts w:ascii="Times New Roman" w:hAnsi="Times New Roman" w:cs="Times New Roman"/>
          <w:sz w:val="24"/>
          <w:szCs w:val="24"/>
        </w:rPr>
        <w:t>2016</w:t>
      </w:r>
      <w:r>
        <w:rPr>
          <w:rFonts w:ascii="Times New Roman" w:hAnsi="Times New Roman" w:cs="Times New Roman"/>
          <w:sz w:val="24"/>
          <w:szCs w:val="24"/>
        </w:rPr>
        <w:t>) ‘</w:t>
      </w:r>
      <w:r w:rsidRPr="00E52EE9">
        <w:rPr>
          <w:rFonts w:ascii="Times New Roman" w:hAnsi="Times New Roman" w:cs="Times New Roman"/>
          <w:sz w:val="24"/>
          <w:szCs w:val="24"/>
        </w:rPr>
        <w:t>Enhancing quality of life through the lens of green spaces: A systematic review approach</w:t>
      </w:r>
      <w:r>
        <w:rPr>
          <w:rFonts w:ascii="Times New Roman" w:hAnsi="Times New Roman" w:cs="Times New Roman"/>
          <w:sz w:val="24"/>
          <w:szCs w:val="24"/>
        </w:rPr>
        <w:t xml:space="preserve">,’ </w:t>
      </w:r>
      <w:r w:rsidRPr="00E52EE9">
        <w:rPr>
          <w:rFonts w:ascii="Times New Roman" w:hAnsi="Times New Roman" w:cs="Times New Roman"/>
          <w:i/>
          <w:iCs/>
          <w:sz w:val="24"/>
          <w:szCs w:val="24"/>
        </w:rPr>
        <w:t>International Journal of Wellbeing</w:t>
      </w:r>
      <w:r w:rsidRPr="00E52EE9">
        <w:rPr>
          <w:rFonts w:ascii="Times New Roman" w:hAnsi="Times New Roman" w:cs="Times New Roman"/>
          <w:sz w:val="24"/>
          <w:szCs w:val="24"/>
        </w:rPr>
        <w:t>, 6(1).</w:t>
      </w:r>
    </w:p>
    <w:p w14:paraId="3D1A4B1F" w14:textId="77777777" w:rsidR="0000049C" w:rsidRDefault="0000049C" w:rsidP="0000049C">
      <w:pPr>
        <w:spacing w:line="360" w:lineRule="auto"/>
        <w:jc w:val="both"/>
        <w:rPr>
          <w:rFonts w:ascii="Times New Roman" w:hAnsi="Times New Roman" w:cs="Times New Roman"/>
          <w:sz w:val="24"/>
          <w:szCs w:val="24"/>
        </w:rPr>
      </w:pPr>
      <w:r w:rsidRPr="004F71F6">
        <w:rPr>
          <w:rFonts w:ascii="Times New Roman" w:hAnsi="Times New Roman" w:cs="Times New Roman"/>
          <w:sz w:val="24"/>
          <w:szCs w:val="24"/>
        </w:rPr>
        <w:t>Noor, S., Tajik, O. and Golzar, J.</w:t>
      </w:r>
      <w:r>
        <w:rPr>
          <w:rFonts w:ascii="Times New Roman" w:hAnsi="Times New Roman" w:cs="Times New Roman"/>
          <w:sz w:val="24"/>
          <w:szCs w:val="24"/>
        </w:rPr>
        <w:t xml:space="preserve"> (</w:t>
      </w:r>
      <w:r w:rsidRPr="004F71F6">
        <w:rPr>
          <w:rFonts w:ascii="Times New Roman" w:hAnsi="Times New Roman" w:cs="Times New Roman"/>
          <w:sz w:val="24"/>
          <w:szCs w:val="24"/>
        </w:rPr>
        <w:t>2022</w:t>
      </w:r>
      <w:r>
        <w:rPr>
          <w:rFonts w:ascii="Times New Roman" w:hAnsi="Times New Roman" w:cs="Times New Roman"/>
          <w:sz w:val="24"/>
          <w:szCs w:val="24"/>
        </w:rPr>
        <w:t>) ‘</w:t>
      </w:r>
      <w:r w:rsidRPr="004F71F6">
        <w:rPr>
          <w:rFonts w:ascii="Times New Roman" w:hAnsi="Times New Roman" w:cs="Times New Roman"/>
          <w:sz w:val="24"/>
          <w:szCs w:val="24"/>
        </w:rPr>
        <w:t>Simple random sampling</w:t>
      </w:r>
      <w:r>
        <w:rPr>
          <w:rFonts w:ascii="Times New Roman" w:hAnsi="Times New Roman" w:cs="Times New Roman"/>
          <w:sz w:val="24"/>
          <w:szCs w:val="24"/>
        </w:rPr>
        <w:t xml:space="preserve">,’ </w:t>
      </w:r>
      <w:r w:rsidRPr="004F71F6">
        <w:rPr>
          <w:rFonts w:ascii="Times New Roman" w:hAnsi="Times New Roman" w:cs="Times New Roman"/>
          <w:i/>
          <w:iCs/>
          <w:sz w:val="24"/>
          <w:szCs w:val="24"/>
        </w:rPr>
        <w:t>International Journal of Education &amp; Language Studies</w:t>
      </w:r>
      <w:r w:rsidRPr="004F71F6">
        <w:rPr>
          <w:rFonts w:ascii="Times New Roman" w:hAnsi="Times New Roman" w:cs="Times New Roman"/>
          <w:sz w:val="24"/>
          <w:szCs w:val="24"/>
        </w:rPr>
        <w:t>, 1(2), pp.</w:t>
      </w:r>
      <w:r>
        <w:rPr>
          <w:rFonts w:ascii="Times New Roman" w:hAnsi="Times New Roman" w:cs="Times New Roman"/>
          <w:sz w:val="24"/>
          <w:szCs w:val="24"/>
        </w:rPr>
        <w:t xml:space="preserve"> </w:t>
      </w:r>
      <w:r w:rsidRPr="004F71F6">
        <w:rPr>
          <w:rFonts w:ascii="Times New Roman" w:hAnsi="Times New Roman" w:cs="Times New Roman"/>
          <w:sz w:val="24"/>
          <w:szCs w:val="24"/>
        </w:rPr>
        <w:t>78-82.</w:t>
      </w:r>
    </w:p>
    <w:p w14:paraId="34C0B629" w14:textId="77777777" w:rsidR="0000049C" w:rsidRDefault="0000049C" w:rsidP="0000049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Professional Academy (2025) </w:t>
      </w:r>
      <w:r>
        <w:rPr>
          <w:rFonts w:ascii="Times New Roman" w:hAnsi="Times New Roman" w:cs="Times New Roman"/>
          <w:i/>
          <w:iCs/>
          <w:sz w:val="24"/>
          <w:szCs w:val="24"/>
        </w:rPr>
        <w:t>Mendelow’s matrix – Marketing theories</w:t>
      </w:r>
      <w:r>
        <w:rPr>
          <w:rFonts w:ascii="Times New Roman" w:hAnsi="Times New Roman" w:cs="Times New Roman"/>
          <w:sz w:val="24"/>
          <w:szCs w:val="24"/>
        </w:rPr>
        <w:t xml:space="preserve">. Available at: </w:t>
      </w:r>
      <w:hyperlink r:id="rId10" w:history="1">
        <w:r w:rsidRPr="00FD7863">
          <w:rPr>
            <w:rStyle w:val="Hyperlink"/>
            <w:rFonts w:ascii="Times New Roman" w:hAnsi="Times New Roman" w:cs="Times New Roman"/>
            <w:sz w:val="24"/>
            <w:szCs w:val="24"/>
          </w:rPr>
          <w:t>https://www.professionalacademy.com/blogs/mendelows-matrix-marketing-theories/</w:t>
        </w:r>
      </w:hyperlink>
      <w:r>
        <w:rPr>
          <w:rFonts w:ascii="Times New Roman" w:hAnsi="Times New Roman" w:cs="Times New Roman"/>
          <w:sz w:val="24"/>
          <w:szCs w:val="24"/>
        </w:rPr>
        <w:t xml:space="preserve"> (Accessed: 14 December 2025). </w:t>
      </w:r>
    </w:p>
    <w:p w14:paraId="60190AD3" w14:textId="77777777" w:rsidR="0000049C" w:rsidRDefault="0000049C" w:rsidP="0000049C">
      <w:pPr>
        <w:spacing w:line="360" w:lineRule="auto"/>
        <w:jc w:val="both"/>
        <w:rPr>
          <w:rFonts w:ascii="Times New Roman" w:hAnsi="Times New Roman" w:cs="Times New Roman"/>
          <w:sz w:val="24"/>
          <w:szCs w:val="24"/>
        </w:rPr>
      </w:pPr>
      <w:r w:rsidRPr="00E52EE9">
        <w:rPr>
          <w:rFonts w:ascii="Times New Roman" w:hAnsi="Times New Roman" w:cs="Times New Roman"/>
          <w:sz w:val="24"/>
          <w:szCs w:val="24"/>
        </w:rPr>
        <w:lastRenderedPageBreak/>
        <w:t>Safapour, E., Kermanshachi, S. and Kamalirad, S.</w:t>
      </w:r>
      <w:r>
        <w:rPr>
          <w:rFonts w:ascii="Times New Roman" w:hAnsi="Times New Roman" w:cs="Times New Roman"/>
          <w:sz w:val="24"/>
          <w:szCs w:val="24"/>
        </w:rPr>
        <w:t xml:space="preserve"> (</w:t>
      </w:r>
      <w:r w:rsidRPr="00E52EE9">
        <w:rPr>
          <w:rFonts w:ascii="Times New Roman" w:hAnsi="Times New Roman" w:cs="Times New Roman"/>
          <w:sz w:val="24"/>
          <w:szCs w:val="24"/>
        </w:rPr>
        <w:t>2021</w:t>
      </w:r>
      <w:r>
        <w:rPr>
          <w:rFonts w:ascii="Times New Roman" w:hAnsi="Times New Roman" w:cs="Times New Roman"/>
          <w:sz w:val="24"/>
          <w:szCs w:val="24"/>
        </w:rPr>
        <w:t>) ‘</w:t>
      </w:r>
      <w:r w:rsidRPr="00E52EE9">
        <w:rPr>
          <w:rFonts w:ascii="Times New Roman" w:hAnsi="Times New Roman" w:cs="Times New Roman"/>
          <w:sz w:val="24"/>
          <w:szCs w:val="24"/>
        </w:rPr>
        <w:t>Analysis of effective project-based communication components within primary stakeholders in construction industry</w:t>
      </w:r>
      <w:r>
        <w:rPr>
          <w:rFonts w:ascii="Times New Roman" w:hAnsi="Times New Roman" w:cs="Times New Roman"/>
          <w:sz w:val="24"/>
          <w:szCs w:val="24"/>
        </w:rPr>
        <w:t xml:space="preserve">,’ </w:t>
      </w:r>
      <w:r w:rsidRPr="00E52EE9">
        <w:rPr>
          <w:rFonts w:ascii="Times New Roman" w:hAnsi="Times New Roman" w:cs="Times New Roman"/>
          <w:i/>
          <w:iCs/>
          <w:sz w:val="24"/>
          <w:szCs w:val="24"/>
        </w:rPr>
        <w:t>Built Environment Project and Asset Management</w:t>
      </w:r>
      <w:r w:rsidRPr="00E52EE9">
        <w:rPr>
          <w:rFonts w:ascii="Times New Roman" w:hAnsi="Times New Roman" w:cs="Times New Roman"/>
          <w:sz w:val="24"/>
          <w:szCs w:val="24"/>
        </w:rPr>
        <w:t>, 11(2), pp.</w:t>
      </w:r>
      <w:r>
        <w:rPr>
          <w:rFonts w:ascii="Times New Roman" w:hAnsi="Times New Roman" w:cs="Times New Roman"/>
          <w:sz w:val="24"/>
          <w:szCs w:val="24"/>
        </w:rPr>
        <w:t xml:space="preserve"> </w:t>
      </w:r>
      <w:r w:rsidRPr="00E52EE9">
        <w:rPr>
          <w:rFonts w:ascii="Times New Roman" w:hAnsi="Times New Roman" w:cs="Times New Roman"/>
          <w:sz w:val="24"/>
          <w:szCs w:val="24"/>
        </w:rPr>
        <w:t>157-173.</w:t>
      </w:r>
    </w:p>
    <w:p w14:paraId="3BC128E1" w14:textId="77777777" w:rsidR="0000049C" w:rsidRDefault="0000049C" w:rsidP="0000049C">
      <w:pPr>
        <w:spacing w:line="360" w:lineRule="auto"/>
        <w:jc w:val="both"/>
        <w:rPr>
          <w:rFonts w:ascii="Times New Roman" w:hAnsi="Times New Roman" w:cs="Times New Roman"/>
          <w:sz w:val="24"/>
          <w:szCs w:val="24"/>
        </w:rPr>
      </w:pPr>
      <w:r w:rsidRPr="00E52EE9">
        <w:rPr>
          <w:rFonts w:ascii="Times New Roman" w:hAnsi="Times New Roman" w:cs="Times New Roman"/>
          <w:sz w:val="24"/>
          <w:szCs w:val="24"/>
        </w:rPr>
        <w:t>Siems, E., Seuring, S. and Schilling, L.</w:t>
      </w:r>
      <w:r>
        <w:rPr>
          <w:rFonts w:ascii="Times New Roman" w:hAnsi="Times New Roman" w:cs="Times New Roman"/>
          <w:sz w:val="24"/>
          <w:szCs w:val="24"/>
        </w:rPr>
        <w:t xml:space="preserve"> (</w:t>
      </w:r>
      <w:r w:rsidRPr="00E52EE9">
        <w:rPr>
          <w:rFonts w:ascii="Times New Roman" w:hAnsi="Times New Roman" w:cs="Times New Roman"/>
          <w:sz w:val="24"/>
          <w:szCs w:val="24"/>
        </w:rPr>
        <w:t>2023</w:t>
      </w:r>
      <w:r>
        <w:rPr>
          <w:rFonts w:ascii="Times New Roman" w:hAnsi="Times New Roman" w:cs="Times New Roman"/>
          <w:sz w:val="24"/>
          <w:szCs w:val="24"/>
        </w:rPr>
        <w:t>) ‘</w:t>
      </w:r>
      <w:r w:rsidRPr="00E52EE9">
        <w:rPr>
          <w:rFonts w:ascii="Times New Roman" w:hAnsi="Times New Roman" w:cs="Times New Roman"/>
          <w:sz w:val="24"/>
          <w:szCs w:val="24"/>
        </w:rPr>
        <w:t>Stakeholder roles in sustainable supply chain management: a literature review</w:t>
      </w:r>
      <w:r>
        <w:rPr>
          <w:rFonts w:ascii="Times New Roman" w:hAnsi="Times New Roman" w:cs="Times New Roman"/>
          <w:sz w:val="24"/>
          <w:szCs w:val="24"/>
        </w:rPr>
        <w:t xml:space="preserve">,’ </w:t>
      </w:r>
      <w:r w:rsidRPr="00E52EE9">
        <w:rPr>
          <w:rFonts w:ascii="Times New Roman" w:hAnsi="Times New Roman" w:cs="Times New Roman"/>
          <w:i/>
          <w:iCs/>
          <w:sz w:val="24"/>
          <w:szCs w:val="24"/>
        </w:rPr>
        <w:t>Journal of Business Economics</w:t>
      </w:r>
      <w:r w:rsidRPr="00E52EE9">
        <w:rPr>
          <w:rFonts w:ascii="Times New Roman" w:hAnsi="Times New Roman" w:cs="Times New Roman"/>
          <w:sz w:val="24"/>
          <w:szCs w:val="24"/>
        </w:rPr>
        <w:t>, 93(4), pp.</w:t>
      </w:r>
      <w:r>
        <w:rPr>
          <w:rFonts w:ascii="Times New Roman" w:hAnsi="Times New Roman" w:cs="Times New Roman"/>
          <w:sz w:val="24"/>
          <w:szCs w:val="24"/>
        </w:rPr>
        <w:t xml:space="preserve"> </w:t>
      </w:r>
      <w:r w:rsidRPr="00E52EE9">
        <w:rPr>
          <w:rFonts w:ascii="Times New Roman" w:hAnsi="Times New Roman" w:cs="Times New Roman"/>
          <w:sz w:val="24"/>
          <w:szCs w:val="24"/>
        </w:rPr>
        <w:t>747-775.</w:t>
      </w:r>
    </w:p>
    <w:p w14:paraId="7C4A0C9D" w14:textId="77777777" w:rsidR="0000049C" w:rsidRDefault="0000049C" w:rsidP="0000049C">
      <w:pPr>
        <w:spacing w:line="360" w:lineRule="auto"/>
        <w:jc w:val="both"/>
        <w:rPr>
          <w:rFonts w:ascii="Times New Roman" w:hAnsi="Times New Roman" w:cs="Times New Roman"/>
          <w:sz w:val="24"/>
          <w:szCs w:val="24"/>
        </w:rPr>
      </w:pPr>
      <w:r w:rsidRPr="004F71F6">
        <w:rPr>
          <w:rFonts w:ascii="Times New Roman" w:hAnsi="Times New Roman" w:cs="Times New Roman"/>
          <w:sz w:val="24"/>
          <w:szCs w:val="24"/>
        </w:rPr>
        <w:t>Song, J., Munyinda, M. and Adu Sarfo, P.</w:t>
      </w:r>
      <w:r>
        <w:rPr>
          <w:rFonts w:ascii="Times New Roman" w:hAnsi="Times New Roman" w:cs="Times New Roman"/>
          <w:sz w:val="24"/>
          <w:szCs w:val="24"/>
        </w:rPr>
        <w:t xml:space="preserve"> (</w:t>
      </w:r>
      <w:r w:rsidRPr="004F71F6">
        <w:rPr>
          <w:rFonts w:ascii="Times New Roman" w:hAnsi="Times New Roman" w:cs="Times New Roman"/>
          <w:sz w:val="24"/>
          <w:szCs w:val="24"/>
        </w:rPr>
        <w:t>2025</w:t>
      </w:r>
      <w:r>
        <w:rPr>
          <w:rFonts w:ascii="Times New Roman" w:hAnsi="Times New Roman" w:cs="Times New Roman"/>
          <w:sz w:val="24"/>
          <w:szCs w:val="24"/>
        </w:rPr>
        <w:t>) ‘</w:t>
      </w:r>
      <w:r w:rsidRPr="004F71F6">
        <w:rPr>
          <w:rFonts w:ascii="Times New Roman" w:hAnsi="Times New Roman" w:cs="Times New Roman"/>
          <w:sz w:val="24"/>
          <w:szCs w:val="24"/>
        </w:rPr>
        <w:t>Examining the impact of risk management practices on sustainable project performance in the construction industry: the role of stakeholder engagement</w:t>
      </w:r>
      <w:r>
        <w:rPr>
          <w:rFonts w:ascii="Times New Roman" w:hAnsi="Times New Roman" w:cs="Times New Roman"/>
          <w:sz w:val="24"/>
          <w:szCs w:val="24"/>
        </w:rPr>
        <w:t xml:space="preserve">,’ </w:t>
      </w:r>
      <w:r w:rsidRPr="004F71F6">
        <w:rPr>
          <w:rFonts w:ascii="Times New Roman" w:hAnsi="Times New Roman" w:cs="Times New Roman"/>
          <w:i/>
          <w:iCs/>
          <w:sz w:val="24"/>
          <w:szCs w:val="24"/>
        </w:rPr>
        <w:t>Frontiers in Built Environment</w:t>
      </w:r>
      <w:r w:rsidRPr="004F71F6">
        <w:rPr>
          <w:rFonts w:ascii="Times New Roman" w:hAnsi="Times New Roman" w:cs="Times New Roman"/>
          <w:sz w:val="24"/>
          <w:szCs w:val="24"/>
        </w:rPr>
        <w:t>, 11.</w:t>
      </w:r>
    </w:p>
    <w:p w14:paraId="3FD2CAD0" w14:textId="77777777" w:rsidR="0000049C" w:rsidRDefault="0000049C" w:rsidP="0000049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Royal Parks. (2024) </w:t>
      </w:r>
      <w:r>
        <w:rPr>
          <w:rFonts w:ascii="Times New Roman" w:hAnsi="Times New Roman" w:cs="Times New Roman"/>
          <w:i/>
          <w:iCs/>
          <w:sz w:val="24"/>
          <w:szCs w:val="24"/>
        </w:rPr>
        <w:t>A new garden in The Regent’s Park: Demolition and site clearance</w:t>
      </w:r>
      <w:r>
        <w:rPr>
          <w:rFonts w:ascii="Times New Roman" w:hAnsi="Times New Roman" w:cs="Times New Roman"/>
          <w:sz w:val="24"/>
          <w:szCs w:val="24"/>
        </w:rPr>
        <w:t xml:space="preserve">, 6 Aug. Available at: </w:t>
      </w:r>
      <w:hyperlink r:id="rId11" w:history="1">
        <w:r w:rsidRPr="00371EAB">
          <w:rPr>
            <w:rStyle w:val="Hyperlink"/>
            <w:rFonts w:ascii="Times New Roman" w:hAnsi="Times New Roman" w:cs="Times New Roman"/>
            <w:sz w:val="24"/>
            <w:szCs w:val="24"/>
          </w:rPr>
          <w:t>https://www.royalparks.org.uk/read-watch-listen/new-garden-regents-park-demolition-site-clearance</w:t>
        </w:r>
      </w:hyperlink>
      <w:r>
        <w:rPr>
          <w:rFonts w:ascii="Times New Roman" w:hAnsi="Times New Roman" w:cs="Times New Roman"/>
          <w:sz w:val="24"/>
          <w:szCs w:val="24"/>
        </w:rPr>
        <w:t xml:space="preserve"> (Accessed: 14 December 2025). </w:t>
      </w:r>
    </w:p>
    <w:p w14:paraId="14BB5712" w14:textId="77777777" w:rsidR="0000049C" w:rsidRDefault="0000049C" w:rsidP="0000049C">
      <w:pPr>
        <w:spacing w:line="360" w:lineRule="auto"/>
        <w:jc w:val="both"/>
        <w:rPr>
          <w:rFonts w:ascii="Times New Roman" w:hAnsi="Times New Roman" w:cs="Times New Roman"/>
          <w:sz w:val="24"/>
          <w:szCs w:val="24"/>
        </w:rPr>
      </w:pPr>
      <w:r w:rsidRPr="004F71F6">
        <w:rPr>
          <w:rFonts w:ascii="Times New Roman" w:hAnsi="Times New Roman" w:cs="Times New Roman"/>
          <w:sz w:val="24"/>
          <w:szCs w:val="24"/>
        </w:rPr>
        <w:t>Tumpa, R.J. and Naeni, L.</w:t>
      </w:r>
      <w:r>
        <w:rPr>
          <w:rFonts w:ascii="Times New Roman" w:hAnsi="Times New Roman" w:cs="Times New Roman"/>
          <w:sz w:val="24"/>
          <w:szCs w:val="24"/>
        </w:rPr>
        <w:t xml:space="preserve"> (</w:t>
      </w:r>
      <w:r w:rsidRPr="004F71F6">
        <w:rPr>
          <w:rFonts w:ascii="Times New Roman" w:hAnsi="Times New Roman" w:cs="Times New Roman"/>
          <w:sz w:val="24"/>
          <w:szCs w:val="24"/>
        </w:rPr>
        <w:t>2025</w:t>
      </w:r>
      <w:r>
        <w:rPr>
          <w:rFonts w:ascii="Times New Roman" w:hAnsi="Times New Roman" w:cs="Times New Roman"/>
          <w:sz w:val="24"/>
          <w:szCs w:val="24"/>
        </w:rPr>
        <w:t>) ‘</w:t>
      </w:r>
      <w:r w:rsidRPr="004F71F6">
        <w:rPr>
          <w:rFonts w:ascii="Times New Roman" w:hAnsi="Times New Roman" w:cs="Times New Roman"/>
          <w:sz w:val="24"/>
          <w:szCs w:val="24"/>
        </w:rPr>
        <w:t>Improving decision-making and stakeholder engagement at project governance using digital technology for sustainable infrastructure projects</w:t>
      </w:r>
      <w:r>
        <w:rPr>
          <w:rFonts w:ascii="Times New Roman" w:hAnsi="Times New Roman" w:cs="Times New Roman"/>
          <w:sz w:val="24"/>
          <w:szCs w:val="24"/>
        </w:rPr>
        <w:t xml:space="preserve">,’ </w:t>
      </w:r>
      <w:r w:rsidRPr="004F71F6">
        <w:rPr>
          <w:rFonts w:ascii="Times New Roman" w:hAnsi="Times New Roman" w:cs="Times New Roman"/>
          <w:i/>
          <w:iCs/>
          <w:sz w:val="24"/>
          <w:szCs w:val="24"/>
        </w:rPr>
        <w:t>Smart and Sustainable Built Environment</w:t>
      </w:r>
      <w:r w:rsidRPr="004F71F6">
        <w:rPr>
          <w:rFonts w:ascii="Times New Roman" w:hAnsi="Times New Roman" w:cs="Times New Roman"/>
          <w:sz w:val="24"/>
          <w:szCs w:val="24"/>
        </w:rPr>
        <w:t>, 14(4), pp.</w:t>
      </w:r>
      <w:r>
        <w:rPr>
          <w:rFonts w:ascii="Times New Roman" w:hAnsi="Times New Roman" w:cs="Times New Roman"/>
          <w:sz w:val="24"/>
          <w:szCs w:val="24"/>
        </w:rPr>
        <w:t xml:space="preserve"> </w:t>
      </w:r>
      <w:r w:rsidRPr="004F71F6">
        <w:rPr>
          <w:rFonts w:ascii="Times New Roman" w:hAnsi="Times New Roman" w:cs="Times New Roman"/>
          <w:sz w:val="24"/>
          <w:szCs w:val="24"/>
        </w:rPr>
        <w:t>1292-1329.</w:t>
      </w:r>
    </w:p>
    <w:p w14:paraId="72080848" w14:textId="77777777" w:rsidR="0000049C" w:rsidRDefault="0000049C" w:rsidP="0000049C">
      <w:pPr>
        <w:spacing w:line="360" w:lineRule="auto"/>
        <w:jc w:val="both"/>
        <w:rPr>
          <w:rFonts w:ascii="Times New Roman" w:hAnsi="Times New Roman" w:cs="Times New Roman"/>
          <w:sz w:val="24"/>
          <w:szCs w:val="24"/>
        </w:rPr>
      </w:pPr>
      <w:r w:rsidRPr="00E52EE9">
        <w:rPr>
          <w:rFonts w:ascii="Times New Roman" w:hAnsi="Times New Roman" w:cs="Times New Roman"/>
          <w:sz w:val="24"/>
          <w:szCs w:val="24"/>
        </w:rPr>
        <w:t>Valentin, V., Naderpajouh, N. and Abraham, D.</w:t>
      </w:r>
      <w:r>
        <w:rPr>
          <w:rFonts w:ascii="Times New Roman" w:hAnsi="Times New Roman" w:cs="Times New Roman"/>
          <w:sz w:val="24"/>
          <w:szCs w:val="24"/>
        </w:rPr>
        <w:t xml:space="preserve"> (</w:t>
      </w:r>
      <w:r w:rsidRPr="00E52EE9">
        <w:rPr>
          <w:rFonts w:ascii="Times New Roman" w:hAnsi="Times New Roman" w:cs="Times New Roman"/>
          <w:sz w:val="24"/>
          <w:szCs w:val="24"/>
        </w:rPr>
        <w:t>2018</w:t>
      </w:r>
      <w:r>
        <w:rPr>
          <w:rFonts w:ascii="Times New Roman" w:hAnsi="Times New Roman" w:cs="Times New Roman"/>
          <w:sz w:val="24"/>
          <w:szCs w:val="24"/>
        </w:rPr>
        <w:t>) ‘</w:t>
      </w:r>
      <w:r w:rsidRPr="00E52EE9">
        <w:rPr>
          <w:rFonts w:ascii="Times New Roman" w:hAnsi="Times New Roman" w:cs="Times New Roman"/>
          <w:sz w:val="24"/>
          <w:szCs w:val="24"/>
        </w:rPr>
        <w:t>Impact of characteristics of infrastructure projects on public opinion</w:t>
      </w:r>
      <w:r>
        <w:rPr>
          <w:rFonts w:ascii="Times New Roman" w:hAnsi="Times New Roman" w:cs="Times New Roman"/>
          <w:sz w:val="24"/>
          <w:szCs w:val="24"/>
        </w:rPr>
        <w:t xml:space="preserve">,’ </w:t>
      </w:r>
      <w:r w:rsidRPr="00E52EE9">
        <w:rPr>
          <w:rFonts w:ascii="Times New Roman" w:hAnsi="Times New Roman" w:cs="Times New Roman"/>
          <w:i/>
          <w:iCs/>
          <w:sz w:val="24"/>
          <w:szCs w:val="24"/>
        </w:rPr>
        <w:t>Journal of Management in Engineering</w:t>
      </w:r>
      <w:r w:rsidRPr="00E52EE9">
        <w:rPr>
          <w:rFonts w:ascii="Times New Roman" w:hAnsi="Times New Roman" w:cs="Times New Roman"/>
          <w:sz w:val="24"/>
          <w:szCs w:val="24"/>
        </w:rPr>
        <w:t>, 34(1).</w:t>
      </w:r>
    </w:p>
    <w:p w14:paraId="39329B95" w14:textId="77777777" w:rsidR="0000049C" w:rsidRDefault="0000049C" w:rsidP="0000049C">
      <w:pPr>
        <w:spacing w:line="360" w:lineRule="auto"/>
        <w:jc w:val="both"/>
        <w:rPr>
          <w:rFonts w:ascii="Times New Roman" w:hAnsi="Times New Roman" w:cs="Times New Roman"/>
          <w:sz w:val="24"/>
          <w:szCs w:val="24"/>
        </w:rPr>
      </w:pPr>
      <w:r w:rsidRPr="004F71F6">
        <w:rPr>
          <w:rFonts w:ascii="Times New Roman" w:hAnsi="Times New Roman" w:cs="Times New Roman"/>
          <w:sz w:val="24"/>
          <w:szCs w:val="24"/>
        </w:rPr>
        <w:t>Vlahou, A., Hallinan, D., Apweiler, R., Argiles, A., Beige, J., Benigni, A., Bischoff, R., Black, P.C., Boehm, F., Céraline, J. and Chrousos, G.P.</w:t>
      </w:r>
      <w:r>
        <w:rPr>
          <w:rFonts w:ascii="Times New Roman" w:hAnsi="Times New Roman" w:cs="Times New Roman"/>
          <w:sz w:val="24"/>
          <w:szCs w:val="24"/>
        </w:rPr>
        <w:t xml:space="preserve"> (</w:t>
      </w:r>
      <w:r w:rsidRPr="004F71F6">
        <w:rPr>
          <w:rFonts w:ascii="Times New Roman" w:hAnsi="Times New Roman" w:cs="Times New Roman"/>
          <w:sz w:val="24"/>
          <w:szCs w:val="24"/>
        </w:rPr>
        <w:t>2021</w:t>
      </w:r>
      <w:r>
        <w:rPr>
          <w:rFonts w:ascii="Times New Roman" w:hAnsi="Times New Roman" w:cs="Times New Roman"/>
          <w:sz w:val="24"/>
          <w:szCs w:val="24"/>
        </w:rPr>
        <w:t>) ‘</w:t>
      </w:r>
      <w:r w:rsidRPr="004F71F6">
        <w:rPr>
          <w:rFonts w:ascii="Times New Roman" w:hAnsi="Times New Roman" w:cs="Times New Roman"/>
          <w:sz w:val="24"/>
          <w:szCs w:val="24"/>
        </w:rPr>
        <w:t>Data sharing under the General Data Protection Regulation: time to harmonize law and research ethics?</w:t>
      </w:r>
      <w:r>
        <w:rPr>
          <w:rFonts w:ascii="Times New Roman" w:hAnsi="Times New Roman" w:cs="Times New Roman"/>
          <w:sz w:val="24"/>
          <w:szCs w:val="24"/>
        </w:rPr>
        <w:t xml:space="preserve">,’ </w:t>
      </w:r>
      <w:r w:rsidRPr="004F71F6">
        <w:rPr>
          <w:rFonts w:ascii="Times New Roman" w:hAnsi="Times New Roman" w:cs="Times New Roman"/>
          <w:i/>
          <w:iCs/>
          <w:sz w:val="24"/>
          <w:szCs w:val="24"/>
        </w:rPr>
        <w:t>Hypertension</w:t>
      </w:r>
      <w:r w:rsidRPr="004F71F6">
        <w:rPr>
          <w:rFonts w:ascii="Times New Roman" w:hAnsi="Times New Roman" w:cs="Times New Roman"/>
          <w:sz w:val="24"/>
          <w:szCs w:val="24"/>
        </w:rPr>
        <w:t>, 77(4), pp.</w:t>
      </w:r>
      <w:r>
        <w:rPr>
          <w:rFonts w:ascii="Times New Roman" w:hAnsi="Times New Roman" w:cs="Times New Roman"/>
          <w:sz w:val="24"/>
          <w:szCs w:val="24"/>
        </w:rPr>
        <w:t xml:space="preserve"> </w:t>
      </w:r>
      <w:r w:rsidRPr="004F71F6">
        <w:rPr>
          <w:rFonts w:ascii="Times New Roman" w:hAnsi="Times New Roman" w:cs="Times New Roman"/>
          <w:sz w:val="24"/>
          <w:szCs w:val="24"/>
        </w:rPr>
        <w:t>1029-1035.</w:t>
      </w:r>
    </w:p>
    <w:p w14:paraId="65876C7B" w14:textId="77777777" w:rsidR="0000049C" w:rsidRPr="003D6369" w:rsidRDefault="0000049C" w:rsidP="0000049C">
      <w:pPr>
        <w:spacing w:line="360" w:lineRule="auto"/>
        <w:jc w:val="both"/>
        <w:rPr>
          <w:rFonts w:ascii="Times New Roman" w:hAnsi="Times New Roman" w:cs="Times New Roman"/>
          <w:sz w:val="24"/>
          <w:szCs w:val="24"/>
        </w:rPr>
      </w:pPr>
    </w:p>
    <w:p w14:paraId="1759A438" w14:textId="77777777" w:rsidR="0000049C" w:rsidRPr="009F5018" w:rsidRDefault="0000049C" w:rsidP="0000049C">
      <w:pPr>
        <w:spacing w:line="360" w:lineRule="auto"/>
        <w:jc w:val="both"/>
        <w:rPr>
          <w:rFonts w:ascii="Times New Roman" w:hAnsi="Times New Roman" w:cs="Times New Roman"/>
          <w:sz w:val="24"/>
          <w:szCs w:val="24"/>
        </w:rPr>
      </w:pPr>
    </w:p>
    <w:p w14:paraId="3773E1B5" w14:textId="77777777" w:rsidR="0021756F" w:rsidRDefault="0021756F">
      <w:pPr>
        <w:spacing w:line="360" w:lineRule="auto"/>
        <w:jc w:val="both"/>
        <w:rPr>
          <w:rFonts w:ascii="Times New Roman" w:eastAsia="Times New Roman" w:hAnsi="Times New Roman" w:cs="Times New Roman"/>
          <w:sz w:val="24"/>
          <w:szCs w:val="24"/>
        </w:rPr>
      </w:pPr>
    </w:p>
    <w:p w14:paraId="3A7C3701" w14:textId="77777777" w:rsidR="0021756F" w:rsidRDefault="0021756F">
      <w:pPr>
        <w:spacing w:line="360" w:lineRule="auto"/>
        <w:jc w:val="both"/>
        <w:rPr>
          <w:rFonts w:ascii="Times New Roman" w:eastAsia="Times New Roman" w:hAnsi="Times New Roman" w:cs="Times New Roman"/>
          <w:sz w:val="24"/>
          <w:szCs w:val="24"/>
        </w:rPr>
      </w:pPr>
    </w:p>
    <w:sectPr w:rsidR="0021756F">
      <w:footerReference w:type="default" r:id="rId12"/>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3D853D" w14:textId="77777777" w:rsidR="00BC1AEE" w:rsidRDefault="00BC1AEE" w:rsidP="0000049C">
      <w:pPr>
        <w:spacing w:after="0" w:line="240" w:lineRule="auto"/>
      </w:pPr>
      <w:r>
        <w:separator/>
      </w:r>
    </w:p>
  </w:endnote>
  <w:endnote w:type="continuationSeparator" w:id="0">
    <w:p w14:paraId="4D5BF7BD" w14:textId="77777777" w:rsidR="00BC1AEE" w:rsidRDefault="00BC1AEE" w:rsidP="000004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embedRegular r:id="rId1" w:fontKey="{5253DF23-3C17-48D9-A369-F7668FE780A9}"/>
    <w:embedBold r:id="rId2" w:fontKey="{EB791B1B-B019-4137-9775-1429E5246659}"/>
    <w:embedItalic r:id="rId3" w:fontKey="{F76425B8-FEC8-4C6C-A906-9ECFE4E0C35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embedRegular r:id="rId4" w:fontKey="{B8BEA7FC-D19B-4CD9-B263-B6B933B9777B}"/>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3768317"/>
      <w:docPartObj>
        <w:docPartGallery w:val="Page Numbers (Bottom of Page)"/>
        <w:docPartUnique/>
      </w:docPartObj>
    </w:sdtPr>
    <w:sdtEndPr>
      <w:rPr>
        <w:rFonts w:ascii="Times New Roman" w:hAnsi="Times New Roman" w:cs="Times New Roman"/>
        <w:noProof/>
        <w:sz w:val="24"/>
        <w:szCs w:val="24"/>
      </w:rPr>
    </w:sdtEndPr>
    <w:sdtContent>
      <w:p w14:paraId="62A77FFA" w14:textId="555917A2" w:rsidR="0000049C" w:rsidRPr="0000049C" w:rsidRDefault="0000049C" w:rsidP="0000049C">
        <w:pPr>
          <w:pStyle w:val="Footer"/>
          <w:spacing w:line="360" w:lineRule="auto"/>
          <w:jc w:val="right"/>
          <w:rPr>
            <w:rFonts w:ascii="Times New Roman" w:hAnsi="Times New Roman" w:cs="Times New Roman"/>
            <w:sz w:val="24"/>
            <w:szCs w:val="24"/>
          </w:rPr>
        </w:pPr>
        <w:r w:rsidRPr="0000049C">
          <w:rPr>
            <w:rFonts w:ascii="Times New Roman" w:hAnsi="Times New Roman" w:cs="Times New Roman"/>
            <w:sz w:val="24"/>
            <w:szCs w:val="24"/>
          </w:rPr>
          <w:fldChar w:fldCharType="begin"/>
        </w:r>
        <w:r w:rsidRPr="0000049C">
          <w:rPr>
            <w:rFonts w:ascii="Times New Roman" w:hAnsi="Times New Roman" w:cs="Times New Roman"/>
            <w:sz w:val="24"/>
            <w:szCs w:val="24"/>
          </w:rPr>
          <w:instrText xml:space="preserve"> PAGE   \* MERGEFORMAT </w:instrText>
        </w:r>
        <w:r w:rsidRPr="0000049C">
          <w:rPr>
            <w:rFonts w:ascii="Times New Roman" w:hAnsi="Times New Roman" w:cs="Times New Roman"/>
            <w:sz w:val="24"/>
            <w:szCs w:val="24"/>
          </w:rPr>
          <w:fldChar w:fldCharType="separate"/>
        </w:r>
        <w:r w:rsidRPr="0000049C">
          <w:rPr>
            <w:rFonts w:ascii="Times New Roman" w:hAnsi="Times New Roman" w:cs="Times New Roman"/>
            <w:noProof/>
            <w:sz w:val="24"/>
            <w:szCs w:val="24"/>
          </w:rPr>
          <w:t>2</w:t>
        </w:r>
        <w:r w:rsidRPr="0000049C">
          <w:rPr>
            <w:rFonts w:ascii="Times New Roman" w:hAnsi="Times New Roman" w:cs="Times New Roman"/>
            <w:noProof/>
            <w:sz w:val="24"/>
            <w:szCs w:val="24"/>
          </w:rPr>
          <w:fldChar w:fldCharType="end"/>
        </w:r>
      </w:p>
    </w:sdtContent>
  </w:sdt>
  <w:p w14:paraId="5F40C659" w14:textId="77777777" w:rsidR="0000049C" w:rsidRDefault="000004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93731B" w14:textId="77777777" w:rsidR="00BC1AEE" w:rsidRDefault="00BC1AEE" w:rsidP="0000049C">
      <w:pPr>
        <w:spacing w:after="0" w:line="240" w:lineRule="auto"/>
      </w:pPr>
      <w:r>
        <w:separator/>
      </w:r>
    </w:p>
  </w:footnote>
  <w:footnote w:type="continuationSeparator" w:id="0">
    <w:p w14:paraId="602F08BB" w14:textId="77777777" w:rsidR="00BC1AEE" w:rsidRDefault="00BC1AEE" w:rsidP="0000049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756F"/>
    <w:rsid w:val="0000049C"/>
    <w:rsid w:val="00025B91"/>
    <w:rsid w:val="001144B1"/>
    <w:rsid w:val="0021756F"/>
    <w:rsid w:val="002B7604"/>
    <w:rsid w:val="0055440B"/>
    <w:rsid w:val="00BC1AEE"/>
    <w:rsid w:val="00C817C9"/>
    <w:rsid w:val="00CA2B26"/>
    <w:rsid w:val="00D83317"/>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833FA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049C"/>
    <w:pPr>
      <w:keepNext/>
      <w:keepLines/>
      <w:spacing w:before="360" w:after="80" w:line="360" w:lineRule="auto"/>
      <w:outlineLvl w:val="0"/>
    </w:pPr>
    <w:rPr>
      <w:rFonts w:ascii="Times New Roman" w:hAnsi="Times New Roman"/>
      <w:b/>
      <w:color w:val="000000" w:themeColor="text1"/>
      <w:sz w:val="24"/>
      <w:szCs w:val="40"/>
    </w:rPr>
  </w:style>
  <w:style w:type="paragraph" w:styleId="Heading2">
    <w:name w:val="heading 2"/>
    <w:basedOn w:val="Normal"/>
    <w:next w:val="Normal"/>
    <w:link w:val="Heading2Char"/>
    <w:uiPriority w:val="9"/>
    <w:semiHidden/>
    <w:unhideWhenUsed/>
    <w:qFormat/>
    <w:pPr>
      <w:keepNext/>
      <w:keepLines/>
      <w:spacing w:before="160" w:after="80"/>
      <w:outlineLvl w:val="1"/>
    </w:pPr>
    <w:rPr>
      <w:color w:val="2F5496"/>
      <w:sz w:val="32"/>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color w:val="2F5496"/>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i/>
      <w:iCs/>
      <w:color w:val="2F5496"/>
    </w:rPr>
  </w:style>
  <w:style w:type="paragraph" w:styleId="Heading5">
    <w:name w:val="heading 5"/>
    <w:basedOn w:val="Normal"/>
    <w:next w:val="Normal"/>
    <w:link w:val="Heading5Char"/>
    <w:uiPriority w:val="9"/>
    <w:semiHidden/>
    <w:unhideWhenUsed/>
    <w:qFormat/>
    <w:pPr>
      <w:keepNext/>
      <w:keepLines/>
      <w:spacing w:before="80" w:after="40"/>
      <w:outlineLvl w:val="4"/>
    </w:pPr>
    <w:rPr>
      <w:color w:val="2F5496"/>
    </w:rPr>
  </w:style>
  <w:style w:type="paragraph" w:styleId="Heading6">
    <w:name w:val="heading 6"/>
    <w:basedOn w:val="Normal"/>
    <w:next w:val="Normal"/>
    <w:link w:val="Heading6Char"/>
    <w:uiPriority w:val="9"/>
    <w:semiHidden/>
    <w:unhideWhenUsed/>
    <w:qFormat/>
    <w:pPr>
      <w:keepNext/>
      <w:keepLines/>
      <w:spacing w:before="40" w:after="0"/>
      <w:outlineLvl w:val="5"/>
    </w:pPr>
    <w:rPr>
      <w:i/>
      <w:iCs/>
      <w:color w:val="595959"/>
    </w:rPr>
  </w:style>
  <w:style w:type="paragraph" w:styleId="Heading7">
    <w:name w:val="heading 7"/>
    <w:basedOn w:val="Normal"/>
    <w:next w:val="Normal"/>
    <w:link w:val="Heading7Char"/>
    <w:uiPriority w:val="9"/>
    <w:semiHidden/>
    <w:unhideWhenUsed/>
    <w:qFormat/>
    <w:rsid w:val="00A500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00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00F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spacing w:after="80" w:line="240" w:lineRule="auto"/>
    </w:pPr>
    <w:rPr>
      <w:sz w:val="56"/>
      <w:szCs w:val="56"/>
    </w:rPr>
  </w:style>
  <w:style w:type="character" w:customStyle="1" w:styleId="Heading1Char">
    <w:name w:val="Heading 1 Char"/>
    <w:basedOn w:val="DefaultParagraphFont"/>
    <w:link w:val="Heading1"/>
    <w:uiPriority w:val="9"/>
    <w:rsid w:val="0000049C"/>
    <w:rPr>
      <w:rFonts w:ascii="Times New Roman" w:hAnsi="Times New Roman"/>
      <w:b/>
      <w:color w:val="000000" w:themeColor="text1"/>
      <w:sz w:val="24"/>
      <w:szCs w:val="40"/>
    </w:rPr>
  </w:style>
  <w:style w:type="character" w:customStyle="1" w:styleId="Heading2Char">
    <w:name w:val="Heading 2 Char"/>
    <w:basedOn w:val="DefaultParagraphFont"/>
    <w:link w:val="Heading2"/>
    <w:uiPriority w:val="9"/>
    <w:semiHidden/>
    <w:rsid w:val="00A500F6"/>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semiHidden/>
    <w:rsid w:val="00A500F6"/>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A500F6"/>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A500F6"/>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A500F6"/>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A500F6"/>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A500F6"/>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A500F6"/>
    <w:rPr>
      <w:rFonts w:eastAsiaTheme="majorEastAsia" w:cstheme="majorBidi"/>
      <w:color w:val="272727" w:themeColor="text1" w:themeTint="D8"/>
      <w:lang w:val="en-GB"/>
    </w:rPr>
  </w:style>
  <w:style w:type="character" w:customStyle="1" w:styleId="TitleChar">
    <w:name w:val="Title Char"/>
    <w:basedOn w:val="DefaultParagraphFont"/>
    <w:link w:val="Title"/>
    <w:uiPriority w:val="10"/>
    <w:rsid w:val="00A500F6"/>
    <w:rPr>
      <w:rFonts w:asciiTheme="majorHAnsi" w:eastAsiaTheme="majorEastAsia" w:hAnsiTheme="majorHAnsi" w:cstheme="majorBidi"/>
      <w:spacing w:val="-10"/>
      <w:kern w:val="28"/>
      <w:sz w:val="56"/>
      <w:szCs w:val="56"/>
      <w:lang w:val="en-GB"/>
    </w:rPr>
  </w:style>
  <w:style w:type="character" w:customStyle="1" w:styleId="SubtitleChar">
    <w:name w:val="Subtitle Char"/>
    <w:basedOn w:val="DefaultParagraphFont"/>
    <w:link w:val="Subtitle"/>
    <w:uiPriority w:val="11"/>
    <w:rsid w:val="00A500F6"/>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A500F6"/>
    <w:pPr>
      <w:spacing w:before="160"/>
      <w:jc w:val="center"/>
    </w:pPr>
    <w:rPr>
      <w:i/>
      <w:iCs/>
      <w:color w:val="404040" w:themeColor="text1" w:themeTint="BF"/>
    </w:rPr>
  </w:style>
  <w:style w:type="character" w:customStyle="1" w:styleId="QuoteChar">
    <w:name w:val="Quote Char"/>
    <w:basedOn w:val="DefaultParagraphFont"/>
    <w:link w:val="Quote"/>
    <w:uiPriority w:val="29"/>
    <w:rsid w:val="00A500F6"/>
    <w:rPr>
      <w:i/>
      <w:iCs/>
      <w:color w:val="404040" w:themeColor="text1" w:themeTint="BF"/>
      <w:lang w:val="en-GB"/>
    </w:rPr>
  </w:style>
  <w:style w:type="paragraph" w:styleId="ListParagraph">
    <w:name w:val="List Paragraph"/>
    <w:basedOn w:val="Normal"/>
    <w:uiPriority w:val="34"/>
    <w:qFormat/>
    <w:rsid w:val="00A500F6"/>
    <w:pPr>
      <w:ind w:left="720"/>
      <w:contextualSpacing/>
    </w:pPr>
  </w:style>
  <w:style w:type="character" w:styleId="IntenseEmphasis">
    <w:name w:val="Intense Emphasis"/>
    <w:basedOn w:val="DefaultParagraphFont"/>
    <w:uiPriority w:val="21"/>
    <w:qFormat/>
    <w:rsid w:val="00A500F6"/>
    <w:rPr>
      <w:i/>
      <w:iCs/>
      <w:color w:val="2F5496" w:themeColor="accent1" w:themeShade="BF"/>
    </w:rPr>
  </w:style>
  <w:style w:type="paragraph" w:styleId="IntenseQuote">
    <w:name w:val="Intense Quote"/>
    <w:basedOn w:val="Normal"/>
    <w:next w:val="Normal"/>
    <w:link w:val="IntenseQuoteChar"/>
    <w:uiPriority w:val="30"/>
    <w:qFormat/>
    <w:rsid w:val="00A500F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500F6"/>
    <w:rPr>
      <w:i/>
      <w:iCs/>
      <w:color w:val="2F5496" w:themeColor="accent1" w:themeShade="BF"/>
      <w:lang w:val="en-GB"/>
    </w:rPr>
  </w:style>
  <w:style w:type="character" w:styleId="IntenseReference">
    <w:name w:val="Intense Reference"/>
    <w:basedOn w:val="DefaultParagraphFont"/>
    <w:uiPriority w:val="32"/>
    <w:qFormat/>
    <w:rsid w:val="00A500F6"/>
    <w:rPr>
      <w:b/>
      <w:bCs/>
      <w:smallCaps/>
      <w:color w:val="2F5496" w:themeColor="accent1" w:themeShade="BF"/>
      <w:spacing w:val="5"/>
    </w:rPr>
  </w:style>
  <w:style w:type="paragraph" w:styleId="Subtitle">
    <w:name w:val="Subtitle"/>
    <w:basedOn w:val="Normal"/>
    <w:next w:val="Normal"/>
    <w:link w:val="SubtitleChar"/>
    <w:uiPriority w:val="11"/>
    <w:qFormat/>
    <w:rPr>
      <w:color w:val="595959"/>
      <w:sz w:val="28"/>
      <w:szCs w:val="28"/>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 w:type="character" w:styleId="Hyperlink">
    <w:name w:val="Hyperlink"/>
    <w:basedOn w:val="DefaultParagraphFont"/>
    <w:uiPriority w:val="99"/>
    <w:unhideWhenUsed/>
    <w:rsid w:val="0000049C"/>
    <w:rPr>
      <w:color w:val="0563C1" w:themeColor="hyperlink"/>
      <w:u w:val="single"/>
    </w:rPr>
  </w:style>
  <w:style w:type="paragraph" w:styleId="Header">
    <w:name w:val="header"/>
    <w:basedOn w:val="Normal"/>
    <w:link w:val="HeaderChar"/>
    <w:uiPriority w:val="99"/>
    <w:unhideWhenUsed/>
    <w:rsid w:val="000004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049C"/>
  </w:style>
  <w:style w:type="paragraph" w:styleId="Footer">
    <w:name w:val="footer"/>
    <w:basedOn w:val="Normal"/>
    <w:link w:val="FooterChar"/>
    <w:uiPriority w:val="99"/>
    <w:unhideWhenUsed/>
    <w:rsid w:val="000004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049C"/>
  </w:style>
  <w:style w:type="paragraph" w:styleId="TOCHeading">
    <w:name w:val="TOC Heading"/>
    <w:basedOn w:val="Heading1"/>
    <w:next w:val="Normal"/>
    <w:uiPriority w:val="39"/>
    <w:unhideWhenUsed/>
    <w:qFormat/>
    <w:rsid w:val="0000049C"/>
    <w:pPr>
      <w:spacing w:before="240" w:after="0" w:line="259" w:lineRule="auto"/>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00049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oyalparks.org.uk/read-watch-listen/new-garden-regents-park-demolition-site-clearance" TargetMode="External"/><Relationship Id="rId5" Type="http://schemas.openxmlformats.org/officeDocument/2006/relationships/webSettings" Target="webSettings.xml"/><Relationship Id="rId10" Type="http://schemas.openxmlformats.org/officeDocument/2006/relationships/hyperlink" Target="https://www.professionalacademy.com/blogs/mendelows-matrix-marketing-theories/" TargetMode="External"/><Relationship Id="rId4" Type="http://schemas.openxmlformats.org/officeDocument/2006/relationships/settings" Target="settings.xml"/><Relationship Id="rId9" Type="http://schemas.openxmlformats.org/officeDocument/2006/relationships/hyperlink" Target="https://naturalengland.blog.gov.uk/2024/08/27/green-infrastructure-delivering-quality-of-life-and-environmental-benefits-for-communities/" TargetMode="External"/><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uS8SRUU9tQ9oo90UuNxdKDH4dWg==">CgMxLjAaHQoBMBIYChYICVISChB0YWJsZS5pNG1iZGs5Z2liGh8KATESGgoYCAlSFAoSdGFibGUuNGJndHF6dzM0amhxOAByITFvU2RyRDVxVTV5NVVaaTVNc0RXaHVpalF1TmNQR2tUNw==</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5A8B24D4-9F0D-4016-81C3-475223CDE9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3879</Words>
  <Characters>22115</Characters>
  <Application>Microsoft Office Word</Application>
  <DocSecurity>0</DocSecurity>
  <Lines>184</Lines>
  <Paragraphs>51</Paragraphs>
  <ScaleCrop>false</ScaleCrop>
  <Company/>
  <LinksUpToDate>false</LinksUpToDate>
  <CharactersWithSpaces>25943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2025-12-17T19:13:00Z</dcterms:created>
  <dcterms:modified xsi:type="dcterms:W3CDTF">2025-12-18T14:03:00Z</dcterms:modified>
</cp:coreProperties>
</file>