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237FEF7" wp14:textId="7D510E03">
      <w:r>
        <w:br/>
      </w:r>
      <w:r>
        <w:br/>
      </w:r>
      <w:r>
        <w:br/>
      </w:r>
    </w:p>
    <w:p xmlns:wp14="http://schemas.microsoft.com/office/word/2010/wordml" w:rsidP="3CE92551" w14:paraId="65315205" wp14:textId="5F47C2BC">
      <w:pPr>
        <w:jc w:val="center"/>
      </w:pPr>
      <w:r w:rsidRPr="3CE92551" w:rsidR="3CE92551">
        <w:rPr>
          <w:rFonts w:ascii="Arial" w:hAnsi="Arial" w:eastAsia="Arial" w:cs="Arial"/>
          <w:b w:val="1"/>
          <w:bCs w:val="1"/>
          <w:i w:val="0"/>
          <w:iCs w:val="0"/>
          <w:strike w:val="0"/>
          <w:dstrike w:val="0"/>
          <w:noProof w:val="0"/>
          <w:color w:val="000000" w:themeColor="text1" w:themeTint="FF" w:themeShade="FF"/>
          <w:sz w:val="42"/>
          <w:szCs w:val="42"/>
          <w:u w:val="none"/>
          <w:lang w:val="en-GB"/>
        </w:rPr>
        <w:t>Understanding Crime Justice and Punishment</w:t>
      </w:r>
      <w:r w:rsidRPr="3CE92551" w:rsidR="3CE92551">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p>
    <w:p xmlns:wp14="http://schemas.microsoft.com/office/word/2010/wordml" w:rsidP="3CE92551" w14:paraId="0D87AEA5" wp14:textId="52834885">
      <w:pPr>
        <w:jc w:val="center"/>
      </w:pPr>
      <w:r w:rsidRPr="3CE92551" w:rsidR="3CE92551">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‘Criminals are born, not made.’ - Supporting Paper </w:t>
      </w:r>
    </w:p>
    <w:p xmlns:wp14="http://schemas.microsoft.com/office/word/2010/wordml" w:rsidP="3CE92551" w14:paraId="0536ADEC" wp14:textId="2E26130A">
      <w:pPr>
        <w:jc w:val="center"/>
      </w:pPr>
      <w:r w:rsidRPr="3CE92551" w:rsidR="3CE92551">
        <w:rPr>
          <w:rFonts w:ascii="Arial" w:hAnsi="Arial" w:eastAsia="Arial" w:cs="Arial"/>
          <w:b w:val="1"/>
          <w:bCs w:val="1"/>
          <w:i w:val="0"/>
          <w:iCs w:val="0"/>
          <w:strike w:val="0"/>
          <w:dstrike w:val="0"/>
          <w:noProof w:val="0"/>
          <w:color w:val="000000" w:themeColor="text1" w:themeTint="FF" w:themeShade="FF"/>
          <w:sz w:val="36"/>
          <w:szCs w:val="36"/>
          <w:u w:val="none"/>
          <w:lang w:val="en-GB"/>
        </w:rPr>
        <w:t>Maddie Jones - 2006541</w:t>
      </w:r>
    </w:p>
    <w:p xmlns:wp14="http://schemas.microsoft.com/office/word/2010/wordml" w14:paraId="13099C3B" wp14:textId="699BDFB3">
      <w:r>
        <w:br/>
      </w:r>
      <w:r>
        <w:br/>
      </w:r>
      <w:r>
        <w:br/>
      </w:r>
      <w:r>
        <w:br/>
      </w:r>
      <w:r>
        <w:br/>
      </w:r>
      <w:r>
        <w:br/>
      </w:r>
      <w:r>
        <w:br/>
      </w:r>
      <w:r>
        <w:br/>
      </w:r>
      <w:r>
        <w:br/>
      </w:r>
      <w:r>
        <w:br/>
      </w:r>
      <w:r>
        <w:br/>
      </w:r>
      <w:r>
        <w:br/>
      </w:r>
      <w:r>
        <w:br/>
      </w:r>
      <w:r>
        <w:br/>
      </w:r>
    </w:p>
    <w:p xmlns:wp14="http://schemas.microsoft.com/office/word/2010/wordml" w14:paraId="7738DB4B" wp14:textId="4A2B1D3F"/>
    <w:p xmlns:wp14="http://schemas.microsoft.com/office/word/2010/wordml" w14:paraId="75EAC301" wp14:textId="4376216A"/>
    <w:p xmlns:wp14="http://schemas.microsoft.com/office/word/2010/wordml" w14:paraId="4C0CCC9E" wp14:textId="31AC3287"/>
    <w:p xmlns:wp14="http://schemas.microsoft.com/office/word/2010/wordml" w14:paraId="6BF5291E" wp14:textId="5522B7EC"/>
    <w:p xmlns:wp14="http://schemas.microsoft.com/office/word/2010/wordml" w14:paraId="782E9B50" wp14:textId="55799752"/>
    <w:p xmlns:wp14="http://schemas.microsoft.com/office/word/2010/wordml" w14:paraId="0473D47F" wp14:textId="1DAB9710"/>
    <w:p xmlns:wp14="http://schemas.microsoft.com/office/word/2010/wordml" w14:paraId="0F0C1BDE" wp14:textId="063BF3E4"/>
    <w:p xmlns:wp14="http://schemas.microsoft.com/office/word/2010/wordml" w14:paraId="7E40147F" wp14:textId="258209B8"/>
    <w:p xmlns:wp14="http://schemas.microsoft.com/office/word/2010/wordml" w14:paraId="127D846E" wp14:textId="0FD3FC4A"/>
    <w:p xmlns:wp14="http://schemas.microsoft.com/office/word/2010/wordml" w14:paraId="25037869" wp14:textId="1A400229"/>
    <w:p xmlns:wp14="http://schemas.microsoft.com/office/word/2010/wordml" w14:paraId="67CB3567" wp14:textId="231C38E7">
      <w:r>
        <w:br/>
      </w:r>
      <w:r>
        <w:br/>
      </w:r>
      <w:r>
        <w:br/>
      </w:r>
      <w:r>
        <w:br/>
      </w:r>
      <w:r>
        <w:br/>
      </w:r>
    </w:p>
    <w:p xmlns:wp14="http://schemas.microsoft.com/office/word/2010/wordml" w:rsidP="3CE92551" w14:paraId="7BDA9727" wp14:textId="2136C579">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supporting paper will look at different theorists' views on ‘Criminals are born, not made’ and whether they support this claim or have a contrasting opinion. It will start by talking about different theorists who support biological and psychological positivism which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states</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criminals are born and will move on to sociological positivism which looks at criminals as made. </w:t>
      </w:r>
      <w:r>
        <w:br/>
      </w:r>
    </w:p>
    <w:p xmlns:wp14="http://schemas.microsoft.com/office/word/2010/wordml" w:rsidP="3CE92551" w14:paraId="487CF3E0" wp14:textId="44A35E92">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first theorist that will be spoken about is William Sheldon who thinks it is within a biological explanation to why people turn to crime. In this research theory he looks at the three body types. The first being endomorphs who are more of a round shape and soft and it is Sheldon's idea that these people are more relaxed, enjoy having the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option</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laze about and love to talk. The next body type is ‘mesomorph.’ This body type is known to be strong, muscular, tough in all senses and resistant to injuries. As this is the case they are more into sports and games which involve power and are more predisposed to violence. The last body type, Ectomorph is a frail and fragile body who, in Sheldon's belief, are introverted and intellectual (Kenneth et al, 2013). </w:t>
      </w:r>
      <w:r>
        <w:br/>
      </w:r>
    </w:p>
    <w:p xmlns:wp14="http://schemas.microsoft.com/office/word/2010/wordml" w:rsidP="3CE92551" w14:paraId="685473AB" wp14:textId="04CA18E8">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In a contrasting argument against this, there are multiple statements to disprove Sheldon's theories. These are that a person's body shape can differ through their life through environmental factors and biological factors including thyroid problems (Genovese, J 2008).</w:t>
      </w:r>
    </w:p>
    <w:p xmlns:wp14="http://schemas.microsoft.com/office/word/2010/wordml" w:rsidP="3CE92551" w14:paraId="1A5B1EC5" wp14:textId="363E9922">
      <w:pPr>
        <w:spacing w:line="480" w:lineRule="auto"/>
      </w:pPr>
    </w:p>
    <w:p xmlns:wp14="http://schemas.microsoft.com/office/word/2010/wordml" w:rsidP="3CE92551" w14:paraId="1965166B" wp14:textId="495CB6A5">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Moving on to a theorist who looked at genetic influences, Jacobs et al (1965), had a hypothesis to state how a genetic condition may be the cause of a person's behaviour. Within his research he focused on his study to try and reveal a ‘criminal chromosome’ XYY. This chromosome, also referred to as Klinefelter Syndrome is where a male is not only born with the XY chromosome they are meant to, but XYY and affects 1 in 660 males (NHS, 2019). </w:t>
      </w:r>
      <w:r>
        <w:br/>
      </w:r>
    </w:p>
    <w:p xmlns:wp14="http://schemas.microsoft.com/office/word/2010/wordml" w:rsidP="3CE92551" w14:paraId="6D3B36C5" wp14:textId="68B02400">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Stockholm, K (2012) shows how men with this ‘criminal chromosome’ have been more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frequently</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convicted for arson, burglary, sexual abuse, and other criminal activities. Some areas that can contradict this is that this increase of criminal behaviour within these men cannot be proven to be fully down to the XYY chromosome and poor socioeconomic conditions but may be a part. </w:t>
      </w:r>
      <w:r>
        <w:br/>
      </w:r>
    </w:p>
    <w:p xmlns:wp14="http://schemas.microsoft.com/office/word/2010/wordml" w:rsidP="3CE92551" w14:paraId="518F92B2" wp14:textId="2FF82D56">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Within a contradictory argument, the National Organisation for Rare Disorders (NORD) states that even with the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previous</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statements and theories that say that this condition makes men more predisposed to violence, their recent studies show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it is</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not the case.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individuals with this condition are more likely to have behavioural problems and learning difficulties (NORD, 2012). This is also backed up from the systematic review by Birkhoff et al (2015) who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state</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through their research that there cannot be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an evident</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correlation between the two things. </w:t>
      </w:r>
    </w:p>
    <w:p xmlns:wp14="http://schemas.microsoft.com/office/word/2010/wordml" w:rsidP="3CE92551" w14:paraId="72AD1F40" wp14:textId="0A4DDBB2">
      <w:pPr>
        <w:spacing w:line="480" w:lineRule="auto"/>
      </w:pPr>
    </w:p>
    <w:p xmlns:wp14="http://schemas.microsoft.com/office/word/2010/wordml" w:rsidP="3CE92551" w14:paraId="03E09DC6" wp14:textId="3425F531">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Another genetic factor that contributes to criminal behaviour is a study by Han Brunner (Brunner et al, 1993), where he observed a Dutch family over several generations and found that many of the men exhibited antisocial and violent behaviour. Brunner, along with his colleagues, found that within these family members they were deficient or completely absent in Monoamine Oxidase A (MAOA).</w:t>
      </w:r>
    </w:p>
    <w:p xmlns:wp14="http://schemas.microsoft.com/office/word/2010/wordml" w:rsidP="3CE92551" w14:paraId="64183FAE" wp14:textId="7530D5B7">
      <w:pPr>
        <w:spacing w:line="480" w:lineRule="auto"/>
      </w:pPr>
    </w:p>
    <w:p xmlns:wp14="http://schemas.microsoft.com/office/word/2010/wordml" w:rsidP="3CE92551" w14:paraId="0902B566" wp14:textId="15754610">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chemicals within species, including humans, that regulate aggression include dopamine,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noradrenaline,</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serotonin. A study by the Institute of Cytology and Genetics in the Siberian Branch of the Russian Academy of Sciences involved mice to find out more about this relation. It was shown that the mice who were deficient in MAOA did show a higher level of isolation-induced aggression along with being more territorial and predatory (Latif et al, 2013).</w:t>
      </w:r>
    </w:p>
    <w:p xmlns:wp14="http://schemas.microsoft.com/office/word/2010/wordml" w:rsidP="3CE92551" w14:paraId="06AE105C" wp14:textId="1CC8E3A8">
      <w:pPr>
        <w:spacing w:line="480" w:lineRule="auto"/>
      </w:pPr>
    </w:p>
    <w:p xmlns:wp14="http://schemas.microsoft.com/office/word/2010/wordml" w:rsidP="3CE92551" w14:paraId="7A3037B9" wp14:textId="4E4E9610">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Brunner (1996) goes on to say that the idea of a gene that is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solely responsible</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a certain behaviour is improbable, as the data did not support the hypothesis that MAOA constitutes an “aggression gene”. It was also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stated</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a direct causal relationship between this behaviour and a single gene is highly unlikely because genes are simple as opposed to behaviour(s) having complex reasons. Therefore, although the study involving mice showed that there may be a relationship between MAOA deficiency and abnormal behaviour, the data did not support it. Some of the difficulties of MAOA deficiencies are shown by the complex effects on neurotransmitter functions, as well as a person’s observable traits in relation to their behaviour.</w:t>
      </w:r>
    </w:p>
    <w:p xmlns:wp14="http://schemas.microsoft.com/office/word/2010/wordml" w:rsidP="3CE92551" w14:paraId="380D70C9" wp14:textId="69D238ED">
      <w:pPr>
        <w:spacing w:line="480" w:lineRule="auto"/>
      </w:pPr>
    </w:p>
    <w:p xmlns:wp14="http://schemas.microsoft.com/office/word/2010/wordml" w:rsidP="3CE92551" w14:paraId="15256A8D" wp14:textId="5E57FDDF">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Moving on to Classicism Theory, Robert Merton (1957) was one of the first people to write about Strain theory. According to this, its beliefs are that being pressured is the cause of individuals turning too committing crimes as there is a strain too get to the ‘ideal’ way of living and achieving goals and dreams too be successful and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few</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legitimate ways to get there (Lee, 2021)</w:t>
      </w:r>
    </w:p>
    <w:p xmlns:wp14="http://schemas.microsoft.com/office/word/2010/wordml" w:rsidP="3CE92551" w14:paraId="368386D6" wp14:textId="45D753F2">
      <w:pPr>
        <w:spacing w:line="480" w:lineRule="auto"/>
      </w:pPr>
    </w:p>
    <w:p xmlns:wp14="http://schemas.microsoft.com/office/word/2010/wordml" w:rsidP="3CE92551" w14:paraId="5779F9DB" wp14:textId="05C36872">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Merton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investigated</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idea that there is a lack of the usual social or ethical standards of how to live. He shows that when people face this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strain,</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they have five ways to adapt. Number one being conformity and getting the ideal goals through socially approved means. Innovation and using unapproved means of obtaining these goals such as drug dealing. Third being Ritualism and by this he means in a more humble way to use the same socially approved ways to obtain smaller goals. Fourth to retreat completely and the last to rebel (Messner, 2012). </w:t>
      </w:r>
    </w:p>
    <w:p xmlns:wp14="http://schemas.microsoft.com/office/word/2010/wordml" w:rsidP="3CE92551" w14:paraId="42C17BDE" wp14:textId="1AB0DE0E">
      <w:pPr>
        <w:spacing w:line="480" w:lineRule="auto"/>
      </w:pPr>
    </w:p>
    <w:p xmlns:wp14="http://schemas.microsoft.com/office/word/2010/wordml" w:rsidP="3CE92551" w14:paraId="5CC86FB3" wp14:textId="15FE006F">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A good representation of this is the ‘American Dream.’ This was to encourage people to pursue the ‘best life’ and have all the success and was measured strongly on wealth and material possessions. People were expected to get to this point through education and work (</w:t>
      </w:r>
      <w:proofErr w:type="spellStart"/>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Messnerm</w:t>
      </w:r>
      <w:proofErr w:type="spellEnd"/>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2012). </w:t>
      </w:r>
      <w:r>
        <w:br/>
      </w:r>
    </w:p>
    <w:p xmlns:wp14="http://schemas.microsoft.com/office/word/2010/wordml" w:rsidP="3CE92551" w14:paraId="36E65611" wp14:textId="61A9BBAB">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Merton argued that this dream idea of living was highly unequal and put a massive divide into society which promoted goals that realistically only was available to some of the population. It was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apparent</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many working-class individuals could not get to this point through school and work and were forced to go down the route of crime (Schoepfer, 2006). </w:t>
      </w:r>
    </w:p>
    <w:p xmlns:wp14="http://schemas.microsoft.com/office/word/2010/wordml" w:rsidP="3CE92551" w14:paraId="55778DAE" wp14:textId="2D7DD82C">
      <w:pPr>
        <w:spacing w:line="480" w:lineRule="auto"/>
      </w:pPr>
    </w:p>
    <w:p xmlns:wp14="http://schemas.microsoft.com/office/word/2010/wordml" w:rsidP="3CE92551" w14:paraId="44AD8393" wp14:textId="7D6699BD">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a similar theory, Albert Cohen had the subcultural theory. Cohen explains that the limits which may be in place for someone from a lower class may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be responsible for</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them not being able to reach their full potential. These barriers include social background, low status, poor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standing,</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 chances of being successful in business and society</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confronted with expectations and goals that are unattainable, their self-respect may be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impacted</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 which could lead to a social grouping defined by their separation from the unachievable higher status (Cohen, 2015).</w:t>
      </w:r>
    </w:p>
    <w:p xmlns:wp14="http://schemas.microsoft.com/office/word/2010/wordml" w:rsidP="3CE92551" w14:paraId="632FF730" wp14:textId="005EB220">
      <w:pPr>
        <w:pStyle w:val="Normal"/>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3CE92551" w14:paraId="12719480" wp14:textId="200DD087">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Overall, through this research it shows that there are a lot of theorists and hypotheses to argue and try to prove both sides of whether a criminal is born or made. However, as there is more criticism and arguments against the statement criminals are born, personally I have more belief in the statement Criminals are made. </w:t>
      </w:r>
    </w:p>
    <w:p xmlns:wp14="http://schemas.microsoft.com/office/word/2010/wordml" w:rsidP="3CE92551" w14:paraId="6F63B366" wp14:textId="4E863857">
      <w:pPr>
        <w:spacing w:line="480" w:lineRule="auto"/>
      </w:pPr>
      <w:r>
        <w:br/>
      </w:r>
      <w:r>
        <w:br/>
      </w:r>
      <w:r>
        <w:br/>
      </w:r>
      <w:r>
        <w:br/>
      </w:r>
      <w:r>
        <w:br/>
      </w:r>
    </w:p>
    <w:p xmlns:wp14="http://schemas.microsoft.com/office/word/2010/wordml" w:rsidP="3CE92551" w14:paraId="20BAEFAD" wp14:textId="67B1458C">
      <w:pPr>
        <w:spacing w:line="480" w:lineRule="auto"/>
      </w:pPr>
    </w:p>
    <w:p xmlns:wp14="http://schemas.microsoft.com/office/word/2010/wordml" w:rsidP="3CE92551" w14:paraId="2B9FBC13" wp14:textId="18AC4AF7">
      <w:pPr>
        <w:spacing w:line="480" w:lineRule="auto"/>
      </w:pPr>
    </w:p>
    <w:p xmlns:wp14="http://schemas.microsoft.com/office/word/2010/wordml" w:rsidP="3CE92551" w14:paraId="7D390DDC" wp14:textId="2705682C">
      <w:pPr>
        <w:spacing w:line="480" w:lineRule="auto"/>
      </w:pPr>
    </w:p>
    <w:p xmlns:wp14="http://schemas.microsoft.com/office/word/2010/wordml" w:rsidP="3CE92551" w14:paraId="17C90D90" wp14:textId="6DF7971D">
      <w:pPr>
        <w:spacing w:line="480" w:lineRule="auto"/>
      </w:pPr>
    </w:p>
    <w:p xmlns:wp14="http://schemas.microsoft.com/office/word/2010/wordml" w:rsidP="3CE92551" w14:paraId="58F3D441" wp14:textId="2416567D">
      <w:pPr>
        <w:spacing w:line="480" w:lineRule="auto"/>
      </w:pPr>
    </w:p>
    <w:p xmlns:wp14="http://schemas.microsoft.com/office/word/2010/wordml" w:rsidP="3CE92551" w14:paraId="78F33702" wp14:textId="0728D34A">
      <w:pPr>
        <w:spacing w:line="480" w:lineRule="auto"/>
      </w:pPr>
    </w:p>
    <w:p xmlns:wp14="http://schemas.microsoft.com/office/word/2010/wordml" w:rsidP="3CE92551" w14:paraId="43EF9849" wp14:textId="1DD0591B">
      <w:pPr>
        <w:spacing w:line="480" w:lineRule="auto"/>
      </w:pPr>
    </w:p>
    <w:p xmlns:wp14="http://schemas.microsoft.com/office/word/2010/wordml" w:rsidP="3CE92551" w14:paraId="4E5BF050" wp14:textId="6422AC68">
      <w:pPr>
        <w:spacing w:line="480" w:lineRule="auto"/>
      </w:pPr>
    </w:p>
    <w:p xmlns:wp14="http://schemas.microsoft.com/office/word/2010/wordml" w:rsidP="3CE92551" w14:paraId="58E6C4A3" wp14:textId="18269600">
      <w:pPr>
        <w:pStyle w:val="Normal"/>
        <w:spacing w:line="480" w:lineRule="auto"/>
      </w:pPr>
      <w:r>
        <w:br/>
      </w:r>
    </w:p>
    <w:p xmlns:wp14="http://schemas.microsoft.com/office/word/2010/wordml" w:rsidP="3CE92551" w14:paraId="04CA7538" wp14:textId="428FAF83">
      <w:pPr>
        <w:spacing w:line="480" w:lineRule="auto"/>
        <w:jc w:val="both"/>
      </w:pPr>
      <w:r w:rsidRPr="3CE92551" w:rsidR="3CE92551">
        <w:rPr>
          <w:rFonts w:ascii="Arial" w:hAnsi="Arial" w:eastAsia="Arial" w:cs="Arial"/>
          <w:b w:val="0"/>
          <w:bCs w:val="0"/>
          <w:i w:val="0"/>
          <w:iCs w:val="0"/>
          <w:strike w:val="0"/>
          <w:dstrike w:val="0"/>
          <w:noProof w:val="0"/>
          <w:color w:val="000000" w:themeColor="text1" w:themeTint="FF" w:themeShade="FF"/>
          <w:sz w:val="24"/>
          <w:szCs w:val="24"/>
          <w:u w:val="single"/>
          <w:lang w:val="en-GB"/>
        </w:rPr>
        <w:t xml:space="preserve">References  </w:t>
      </w:r>
    </w:p>
    <w:p xmlns:wp14="http://schemas.microsoft.com/office/word/2010/wordml" w:rsidP="3CE92551" w14:paraId="72132F70" wp14:textId="04A5D3C1">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Birkhoff, J M &amp; Re, L (2015),</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The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47,XYY</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syndrome, 50 years of certainties and doubts: A systematic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review, VOL</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22 Pp 9-17 available at: </w:t>
      </w:r>
      <w:hyperlink r:id="R5554080c4cdd4e68">
        <w:r w:rsidRPr="3CE92551" w:rsidR="3CE92551">
          <w:rPr>
            <w:rStyle w:val="Hyperlink"/>
            <w:rFonts w:ascii="Arial" w:hAnsi="Arial" w:eastAsia="Arial" w:cs="Arial"/>
            <w:b w:val="0"/>
            <w:bCs w:val="0"/>
            <w:i w:val="0"/>
            <w:iCs w:val="0"/>
            <w:strike w:val="0"/>
            <w:dstrike w:val="0"/>
            <w:noProof w:val="0"/>
            <w:sz w:val="24"/>
            <w:szCs w:val="24"/>
            <w:lang w:val="en-GB"/>
          </w:rPr>
          <w:t>https://doi.org/10.1016/j.avb.2015.02.003</w:t>
        </w:r>
      </w:hyperlink>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Accessed</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 22/02/22)</w:t>
      </w:r>
    </w:p>
    <w:p xmlns:wp14="http://schemas.microsoft.com/office/word/2010/wordml" w:rsidP="3CE92551" w14:paraId="4ECDDD20" wp14:textId="545C009B">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Brunner, H., M. Nelen, X. </w:t>
      </w:r>
      <w:proofErr w:type="spellStart"/>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Breakefield</w:t>
      </w:r>
      <w:proofErr w:type="spellEnd"/>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 Ropers, and B. van Oost. (1993).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Abnormal behaviour associated with a point mutation in the structural gene for monoamine oxidase</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Science 262(5133): 578–580.</w:t>
      </w:r>
    </w:p>
    <w:p xmlns:wp14="http://schemas.microsoft.com/office/word/2010/wordml" w:rsidP="3CE92551" w14:paraId="13FBD8A9" wp14:textId="362736B6">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Brunner, H G, (1996),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MAOA deficiency and abnormal behaviour: perspectives on an association</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a8e669453a434787">
        <w:r w:rsidRPr="3CE92551" w:rsidR="3CE92551">
          <w:rPr>
            <w:rStyle w:val="Hyperlink"/>
            <w:rFonts w:ascii="Arial" w:hAnsi="Arial" w:eastAsia="Arial" w:cs="Arial"/>
            <w:b w:val="0"/>
            <w:bCs w:val="0"/>
            <w:i w:val="0"/>
            <w:iCs w:val="0"/>
            <w:strike w:val="0"/>
            <w:dstrike w:val="0"/>
            <w:noProof w:val="0"/>
            <w:sz w:val="24"/>
            <w:szCs w:val="24"/>
            <w:lang w:val="en-GB"/>
          </w:rPr>
          <w:t>https://pubmed.ncbi.nlm.nih.gov/8862875/</w:t>
        </w:r>
      </w:hyperlink>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DOI:10.1002/9780470514825.ch9</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23/02/22)</w:t>
      </w:r>
    </w:p>
    <w:p xmlns:wp14="http://schemas.microsoft.com/office/word/2010/wordml" w:rsidP="3CE92551" w14:paraId="03755FAF" wp14:textId="25CFA33C">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Cohen, A.K., (2015).</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Subculture Theory Delinquent Boys. In Criminology Theory</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(pp. 143-158). Routledge.</w:t>
      </w:r>
    </w:p>
    <w:p xmlns:wp14="http://schemas.microsoft.com/office/word/2010/wordml" w:rsidP="3CE92551" w14:paraId="01C55C0C" wp14:textId="0B01525D">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roofErr w:type="spellStart"/>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Deflem</w:t>
      </w:r>
      <w:proofErr w:type="spellEnd"/>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 and Triplett, R.A., (2018).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Anomie, Strain, and Opportunity Structure: Robert K. Merton’s Paradigm of Deviant Behaviour. The Handbook of the History and Philosophy of Criminology,</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pp.140-155.</w:t>
      </w:r>
    </w:p>
    <w:p xmlns:wp14="http://schemas.microsoft.com/office/word/2010/wordml" w:rsidP="3CE92551" w14:paraId="6C264C2A" wp14:textId="41A958E5">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Genovese, J (2008),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Physique Correlates with Reproductive Success in an Archival Sample of Delinquent Youth,</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a5a1ceeacc094280">
        <w:r w:rsidRPr="3CE92551" w:rsidR="3CE92551">
          <w:rPr>
            <w:rStyle w:val="Hyperlink"/>
            <w:rFonts w:ascii="Arial" w:hAnsi="Arial" w:eastAsia="Arial" w:cs="Arial"/>
            <w:b w:val="0"/>
            <w:bCs w:val="0"/>
            <w:i w:val="0"/>
            <w:iCs w:val="0"/>
            <w:strike w:val="0"/>
            <w:dstrike w:val="0"/>
            <w:noProof w:val="0"/>
            <w:sz w:val="24"/>
            <w:szCs w:val="24"/>
            <w:lang w:val="en-GB"/>
          </w:rPr>
          <w:t>https://journals.sagepub.com/doi/pdf/10.1177/147470490800600301</w:t>
        </w:r>
      </w:hyperlink>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23/02/22) </w:t>
      </w:r>
    </w:p>
    <w:p xmlns:wp14="http://schemas.microsoft.com/office/word/2010/wordml" w:rsidP="3CE92551" w14:paraId="5682CEC3" wp14:textId="3C587EFF">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Jacobs, P.A., Brunton, M., Melville, M.M., </w:t>
      </w:r>
      <w:proofErr w:type="spellStart"/>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Brittain</w:t>
      </w:r>
      <w:proofErr w:type="spellEnd"/>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R.P. and </w:t>
      </w:r>
      <w:proofErr w:type="spellStart"/>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McClemont</w:t>
      </w:r>
      <w:proofErr w:type="spellEnd"/>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W.F., (1965).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Aggressive behaviour, mental sub-normality and the XYY male. Nature</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208(5017), pp.1351-1352.</w:t>
      </w:r>
    </w:p>
    <w:p xmlns:wp14="http://schemas.microsoft.com/office/word/2010/wordml" w:rsidP="3CE92551" w14:paraId="096E8036" wp14:textId="233973D9">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Kenneth, I &amp; Matthew, B (2013),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Investigation of William H. Sheldon’s Constitutional Theory of Personality: A Case Study of the University of the Gambia </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073d4cc54465449d">
        <w:r w:rsidRPr="3CE92551" w:rsidR="3CE92551">
          <w:rPr>
            <w:rStyle w:val="Hyperlink"/>
            <w:rFonts w:ascii="Arial" w:hAnsi="Arial" w:eastAsia="Arial" w:cs="Arial"/>
            <w:b w:val="0"/>
            <w:bCs w:val="0"/>
            <w:i w:val="0"/>
            <w:iCs w:val="0"/>
            <w:strike w:val="0"/>
            <w:dstrike w:val="0"/>
            <w:noProof w:val="0"/>
            <w:sz w:val="24"/>
            <w:szCs w:val="24"/>
            <w:lang w:val="en-GB"/>
          </w:rPr>
          <w:t>https://www.researchgate.net/publication/287015241_Investigation_of_William_H_Sheldon's_Constitutional_Theory_of_Personality_A_Case_Study_of_the_University_of_the_Gambia</w:t>
        </w:r>
      </w:hyperlink>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23/02/22)</w:t>
      </w:r>
    </w:p>
    <w:p xmlns:wp14="http://schemas.microsoft.com/office/word/2010/wordml" w:rsidP="3CE92551" w14:paraId="27A88479" wp14:textId="4E375E58">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Latif, Z &amp; Koh-Bell, A, (2013),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Monoamine oxidase A (MAOA</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70b363c8914c4221">
        <w:r w:rsidRPr="3CE92551" w:rsidR="3CE92551">
          <w:rPr>
            <w:rStyle w:val="Hyperlink"/>
            <w:rFonts w:ascii="Arial" w:hAnsi="Arial" w:eastAsia="Arial" w:cs="Arial"/>
            <w:b w:val="0"/>
            <w:bCs w:val="0"/>
            <w:i w:val="0"/>
            <w:iCs w:val="0"/>
            <w:strike w:val="0"/>
            <w:dstrike w:val="0"/>
            <w:noProof w:val="0"/>
            <w:sz w:val="24"/>
            <w:szCs w:val="24"/>
            <w:lang w:val="en-GB"/>
          </w:rPr>
          <w:t>http://allaboutgenes.weebly.com/maoa.html</w:t>
        </w:r>
      </w:hyperlink>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22/02/22)</w:t>
      </w:r>
    </w:p>
    <w:p xmlns:wp14="http://schemas.microsoft.com/office/word/2010/wordml" w:rsidP="3CE92551" w14:paraId="108E8F54" wp14:textId="1A798D10">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Lee, J., (2021),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The Legacy of Robert K. Merton: On Theories of the Middle Range. In Sociological Forum</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(Vol. 36, No. 2, pp. 515-519).</w:t>
      </w:r>
    </w:p>
    <w:p xmlns:wp14="http://schemas.microsoft.com/office/word/2010/wordml" w:rsidP="3CE92551" w14:paraId="38EA8536" wp14:textId="22D7EC7D">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Messner, S.F. and Rosenfeld, R., (2012).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Crime and the American dream.</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Cengage Learning.</w:t>
      </w:r>
    </w:p>
    <w:p xmlns:wp14="http://schemas.microsoft.com/office/word/2010/wordml" w:rsidP="3CE92551" w14:paraId="1ABF1009" wp14:textId="2FBBA8AF">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National Organisation for Rare Diseases, (2012</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XYY</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Syndrome</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w:anchor="affected-populations" r:id="Rbda505e7f7e4417a">
        <w:r w:rsidRPr="3CE92551" w:rsidR="3CE92551">
          <w:rPr>
            <w:rStyle w:val="Hyperlink"/>
            <w:rFonts w:ascii="Arial" w:hAnsi="Arial" w:eastAsia="Arial" w:cs="Arial"/>
            <w:b w:val="0"/>
            <w:bCs w:val="0"/>
            <w:i w:val="0"/>
            <w:iCs w:val="0"/>
            <w:strike w:val="0"/>
            <w:dstrike w:val="0"/>
            <w:noProof w:val="0"/>
            <w:sz w:val="24"/>
            <w:szCs w:val="24"/>
            <w:lang w:val="en-GB"/>
          </w:rPr>
          <w:t>https://rarediseases.org/rare-diseases/xyy-syndrome/#affected-populations</w:t>
        </w:r>
      </w:hyperlink>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21/02/22)</w:t>
      </w:r>
    </w:p>
    <w:p xmlns:wp14="http://schemas.microsoft.com/office/word/2010/wordml" w:rsidP="3CE92551" w14:paraId="0C9580FC" wp14:textId="54918860">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NHS, (2019),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Klinefelter syndrome,</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w:anchor=":~:text=Klinefelter%20syndrome%20" r:id="R538b67d70d8842f4">
        <w:r w:rsidRPr="3CE92551" w:rsidR="3CE92551">
          <w:rPr>
            <w:rStyle w:val="Hyperlink"/>
            <w:rFonts w:ascii="Arial" w:hAnsi="Arial" w:eastAsia="Arial" w:cs="Arial"/>
            <w:b w:val="0"/>
            <w:bCs w:val="0"/>
            <w:i w:val="0"/>
            <w:iCs w:val="0"/>
            <w:strike w:val="0"/>
            <w:dstrike w:val="0"/>
            <w:noProof w:val="0"/>
            <w:sz w:val="24"/>
            <w:szCs w:val="24"/>
            <w:lang w:val="en-GB"/>
          </w:rPr>
          <w:t>https://www.nhs.uk/conditions/klinefelters-syndrome/#:~:text=Klinefelter%20syndrome%20</w:t>
        </w:r>
      </w:hyperlink>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(sometimes%20called%20Klinefelter's,genetic%20sex%20of%20a%20baby, (accessed on 21/02/22)</w:t>
      </w:r>
    </w:p>
    <w:p xmlns:wp14="http://schemas.microsoft.com/office/word/2010/wordml" w:rsidP="3CE92551" w14:paraId="55521736" wp14:textId="28350A1F">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Schoepfer, A. and Piquero, N.L., (2006).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Exploring white-collar crime and the American dream: A partial test of institutional anomie theory. Journal of Criminal Justice,</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34(3), pp.227-235. Available at: </w:t>
      </w:r>
      <w:hyperlink r:id="R91537d827f5045b4">
        <w:r w:rsidRPr="3CE92551" w:rsidR="3CE92551">
          <w:rPr>
            <w:rStyle w:val="Hyperlink"/>
            <w:rFonts w:ascii="Arial" w:hAnsi="Arial" w:eastAsia="Arial" w:cs="Arial"/>
            <w:b w:val="0"/>
            <w:bCs w:val="0"/>
            <w:i w:val="0"/>
            <w:iCs w:val="0"/>
            <w:strike w:val="0"/>
            <w:dstrike w:val="0"/>
            <w:noProof w:val="0"/>
            <w:sz w:val="24"/>
            <w:szCs w:val="24"/>
            <w:lang w:val="en-GB"/>
          </w:rPr>
          <w:t>https://www.sciencedirect.com/science/article/abs/pii/S0047235206000316</w:t>
        </w:r>
      </w:hyperlink>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CE92551" w14:paraId="2A40C701" wp14:textId="00A15379">
      <w:pPr>
        <w:pStyle w:val="ListParagraph"/>
        <w:numPr>
          <w:ilvl w:val="0"/>
          <w:numId w:val="1"/>
        </w:numPr>
        <w:spacing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Stockholm, K (2012),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Criminality in men with Klinefelter's syndrome and XYY syndrome: a cohort </w:t>
      </w:r>
      <w:r w:rsidRPr="3CE92551" w:rsidR="3CE92551">
        <w:rPr>
          <w:rFonts w:ascii="Arial" w:hAnsi="Arial" w:eastAsia="Arial" w:cs="Arial"/>
          <w:b w:val="0"/>
          <w:bCs w:val="0"/>
          <w:i w:val="1"/>
          <w:iCs w:val="1"/>
          <w:strike w:val="0"/>
          <w:dstrike w:val="0"/>
          <w:noProof w:val="0"/>
          <w:color w:val="000000" w:themeColor="text1" w:themeTint="FF" w:themeShade="FF"/>
          <w:sz w:val="24"/>
          <w:szCs w:val="24"/>
          <w:u w:val="none"/>
          <w:lang w:val="en-GB"/>
        </w:rPr>
        <w:t>study,</w:t>
      </w:r>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02ee3b6dae194c70">
        <w:r w:rsidRPr="3CE92551" w:rsidR="3CE92551">
          <w:rPr>
            <w:rStyle w:val="Hyperlink"/>
            <w:rFonts w:ascii="Arial" w:hAnsi="Arial" w:eastAsia="Arial" w:cs="Arial"/>
            <w:b w:val="0"/>
            <w:bCs w:val="0"/>
            <w:i w:val="0"/>
            <w:iCs w:val="0"/>
            <w:strike w:val="0"/>
            <w:dstrike w:val="0"/>
            <w:noProof w:val="0"/>
            <w:sz w:val="24"/>
            <w:szCs w:val="24"/>
            <w:lang w:val="en-GB"/>
          </w:rPr>
          <w:t>https://bmjopen.bmj.com/content/2/1/e000650</w:t>
        </w:r>
      </w:hyperlink>
      <w:r w:rsidRPr="3CE92551" w:rsidR="3CE92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21/02/22)</w:t>
      </w:r>
    </w:p>
    <w:p xmlns:wp14="http://schemas.microsoft.com/office/word/2010/wordml" w:rsidP="3CE92551" w14:paraId="5E5787A5" wp14:textId="1D0D30EF">
      <w:pPr>
        <w:pStyle w:val="Normal"/>
        <w:spacing w:line="48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3caIHpmugIPBC4" id="nboz13Rm"/>
    <int:WordHash hashCode="jcbuoUmtwmxHCJ" id="vdrb6FxP"/>
    <int:WordHash hashCode="3pmp3sgsVjDbTN" id="siIKYfok"/>
    <int:WordHash hashCode="Kf7waybazG4Qhb" id="lZhIf4Xy"/>
    <int:WordHash hashCode="QoUtM9jw8sh338" id="NlqNvCt5"/>
    <int:ParagraphRange paragraphId="1467611611" textId="511867768" start="402" length="11" invalidationStart="402" invalidationLength="11" id="xmsGtYbw"/>
    <int:ParagraphRange paragraphId="1913859952" textId="1345870685" start="34" length="6" invalidationStart="34" invalidationLength="6" id="Sg2GRRgp"/>
    <int:ParagraphRange paragraphId="335272105" textId="908539574" start="149" length="29" invalidationStart="149" invalidationLength="29" id="oEAIMBEd"/>
    <int:ParagraphRange paragraphId="1913859952" textId="77976513" start="34" length="6" invalidationStart="34" invalidationLength="6" id="DW4wCWFx"/>
  </int:Manifest>
  <int:Observations>
    <int:Content id="nboz13Rm">
      <int:Rejection type="LegacyProofing"/>
    </int:Content>
    <int:Content id="vdrb6FxP">
      <int:Rejection type="LegacyProofing"/>
    </int:Content>
    <int:Content id="siIKYfok">
      <int:Rejection type="LegacyProofing"/>
    </int:Content>
    <int:Content id="lZhIf4Xy">
      <int:Rejection type="LegacyProofing"/>
    </int:Content>
    <int:Content id="NlqNvCt5">
      <int:Rejection type="LegacyProofing"/>
    </int:Content>
    <int:Content id="xmsGtYbw">
      <int:Rejection type="LegacyProofing"/>
    </int:Content>
    <int:Content id="Sg2GRRgp">
      <int:Rejection type="LegacyProofing"/>
    </int:Content>
    <int:Content id="oEAIMBEd">
      <int:Rejection type="LegacyProofing"/>
    </int:Content>
    <int:Content id="DW4wCWF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8F3887"/>
    <w:rsid w:val="009AA78D"/>
    <w:rsid w:val="009AA78D"/>
    <w:rsid w:val="1D7E1388"/>
    <w:rsid w:val="3023CAA6"/>
    <w:rsid w:val="3815B42E"/>
    <w:rsid w:val="3CE92551"/>
    <w:rsid w:val="4DD9E3B1"/>
    <w:rsid w:val="6D8F3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F3887"/>
  <w15:chartTrackingRefBased/>
  <w15:docId w15:val="{24448326-15A4-4A46-AFDC-1D8894A516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avb.2015.02.003" TargetMode="External" Id="R5554080c4cdd4e68" /><Relationship Type="http://schemas.openxmlformats.org/officeDocument/2006/relationships/hyperlink" Target="https://pubmed.ncbi.nlm.nih.gov/8862875/" TargetMode="External" Id="Ra8e669453a434787" /><Relationship Type="http://schemas.openxmlformats.org/officeDocument/2006/relationships/hyperlink" Target="https://journals.sagepub.com/doi/pdf/10.1177/147470490800600301" TargetMode="External" Id="Ra5a1ceeacc094280" /><Relationship Type="http://schemas.openxmlformats.org/officeDocument/2006/relationships/hyperlink" Target="https://www.researchgate.net/publication/287015241_Investigation_of_William_H_Sheldon's_Constitutional_Theory_of_Personality_A_Case_Study_of_the_University_of_the_Gambia" TargetMode="External" Id="R073d4cc54465449d" /><Relationship Type="http://schemas.openxmlformats.org/officeDocument/2006/relationships/hyperlink" Target="http://allaboutgenes.weebly.com/maoa.html" TargetMode="External" Id="R70b363c8914c4221" /><Relationship Type="http://schemas.openxmlformats.org/officeDocument/2006/relationships/hyperlink" Target="https://rarediseases.org/rare-diseases/xyy-syndrome/" TargetMode="External" Id="Rbda505e7f7e4417a" /><Relationship Type="http://schemas.openxmlformats.org/officeDocument/2006/relationships/hyperlink" Target="https://www.nhs.uk/conditions/klinefelters-syndrome/" TargetMode="External" Id="R538b67d70d8842f4" /><Relationship Type="http://schemas.openxmlformats.org/officeDocument/2006/relationships/hyperlink" Target="https://www.sciencedirect.com/science/article/abs/pii/S0047235206000316" TargetMode="External" Id="R91537d827f5045b4" /><Relationship Type="http://schemas.openxmlformats.org/officeDocument/2006/relationships/hyperlink" Target="https://bmjopen.bmj.com/content/2/1/e000650" TargetMode="External" Id="R02ee3b6dae194c70" /><Relationship Type="http://schemas.microsoft.com/office/2019/09/relationships/intelligence" Target="/word/intelligence.xml" Id="R89138577053948a1" /><Relationship Type="http://schemas.openxmlformats.org/officeDocument/2006/relationships/numbering" Target="/word/numbering.xml" Id="R33ba8679b92349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Maddie Jones (2006541)</dc:creator>
  <keywords/>
  <dc:description/>
  <lastModifiedBy>Maddie Jones (2006541)</lastModifiedBy>
  <revision>2</revision>
  <dcterms:created xsi:type="dcterms:W3CDTF">2022-03-03T12:46:17.1697007Z</dcterms:created>
  <dcterms:modified xsi:type="dcterms:W3CDTF">2022-03-03T12:50:20.2914596Z</dcterms:modified>
</coreProperties>
</file>