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85429198"/>
        <w:docPartObj>
          <w:docPartGallery w:val="Cover Pages"/>
          <w:docPartUnique/>
        </w:docPartObj>
      </w:sdtPr>
      <w:sdtEndPr>
        <w:rPr>
          <w:rFonts w:ascii="Arial Black" w:hAnsi="Arial Black" w:cs="Arial"/>
          <w:color w:val="BF4E14" w:themeColor="accent2" w:themeShade="BF"/>
        </w:rPr>
      </w:sdtEndPr>
      <w:sdtContent>
        <w:p w14:paraId="197FEB68" w14:textId="5693D9D6" w:rsidR="00CC382D" w:rsidRDefault="00CC382D"/>
        <w:p w14:paraId="73BE8A76" w14:textId="77777777" w:rsidR="000145B5" w:rsidRDefault="000145B5" w:rsidP="00CC382D">
          <w:pPr>
            <w:rPr>
              <w:rFonts w:ascii="Arial" w:hAnsi="Arial" w:cs="Arial"/>
              <w:color w:val="BF4E14" w:themeColor="accent2" w:themeShade="BF"/>
            </w:rPr>
          </w:pPr>
        </w:p>
        <w:p w14:paraId="0524574B" w14:textId="77777777" w:rsidR="000145B5" w:rsidRDefault="000145B5" w:rsidP="00CC382D">
          <w:pPr>
            <w:rPr>
              <w:rFonts w:ascii="Arial" w:hAnsi="Arial" w:cs="Arial"/>
              <w:color w:val="BF4E14" w:themeColor="accent2" w:themeShade="BF"/>
            </w:rPr>
          </w:pPr>
        </w:p>
        <w:p w14:paraId="4777874B" w14:textId="77777777" w:rsidR="000145B5" w:rsidRDefault="000145B5" w:rsidP="00CC382D">
          <w:pPr>
            <w:rPr>
              <w:rFonts w:ascii="Arial" w:hAnsi="Arial" w:cs="Arial"/>
              <w:color w:val="BF4E14" w:themeColor="accent2" w:themeShade="BF"/>
            </w:rPr>
          </w:pPr>
        </w:p>
        <w:p w14:paraId="4F95FA4F" w14:textId="5E358D38" w:rsidR="00CC382D" w:rsidRPr="00CC382D" w:rsidRDefault="00CC382D" w:rsidP="00CC382D">
          <w:pPr>
            <w:rPr>
              <w:rFonts w:ascii="Arial" w:hAnsi="Arial" w:cs="Arial"/>
              <w:color w:val="BF4E14" w:themeColor="accent2" w:themeShade="BF"/>
            </w:rPr>
          </w:pPr>
          <w:r w:rsidRPr="00CC382D">
            <w:rPr>
              <w:rFonts w:ascii="Arial" w:hAnsi="Arial" w:cs="Arial"/>
              <w:color w:val="BF4E14" w:themeColor="accent2" w:themeShade="BF"/>
            </w:rPr>
            <w:t>Student name:</w:t>
          </w:r>
          <w:r w:rsidRPr="00CC382D">
            <w:rPr>
              <w:rFonts w:ascii="Arial" w:hAnsi="Arial" w:cs="Arial"/>
              <w:color w:val="BF4E14" w:themeColor="accent2" w:themeShade="BF"/>
            </w:rPr>
            <w:t xml:space="preserve"> Loredana Morosan </w:t>
          </w:r>
          <w:r w:rsidRPr="00CC382D">
            <w:rPr>
              <w:rFonts w:ascii="Arial" w:hAnsi="Arial" w:cs="Arial"/>
              <w:color w:val="BF4E14" w:themeColor="accent2" w:themeShade="BF"/>
            </w:rPr>
            <w:t xml:space="preserve">     </w:t>
          </w:r>
        </w:p>
        <w:p w14:paraId="47B09605" w14:textId="57BF2F89" w:rsidR="00CC382D" w:rsidRPr="00CC382D" w:rsidRDefault="00CC382D" w:rsidP="00CC382D">
          <w:pPr>
            <w:rPr>
              <w:rFonts w:ascii="Arial" w:hAnsi="Arial" w:cs="Arial"/>
              <w:color w:val="BF4E14" w:themeColor="accent2" w:themeShade="BF"/>
            </w:rPr>
          </w:pPr>
          <w:r w:rsidRPr="00CC382D">
            <w:rPr>
              <w:rFonts w:ascii="Arial" w:hAnsi="Arial" w:cs="Arial"/>
              <w:color w:val="BF4E14" w:themeColor="accent2" w:themeShade="BF"/>
            </w:rPr>
            <w:t>Programme:</w:t>
          </w:r>
          <w:r w:rsidRPr="00CC382D">
            <w:rPr>
              <w:rFonts w:ascii="Arial" w:hAnsi="Arial" w:cs="Arial"/>
              <w:color w:val="BF4E14" w:themeColor="accent2" w:themeShade="BF"/>
            </w:rPr>
            <w:t xml:space="preserve"> </w:t>
          </w:r>
          <w:r w:rsidRPr="00CC382D">
            <w:rPr>
              <w:rFonts w:ascii="Arial" w:hAnsi="Arial" w:cs="Arial"/>
              <w:color w:val="BF4E14" w:themeColor="accent2" w:themeShade="BF"/>
            </w:rPr>
            <w:t>CERT HE Social Enterprise Management</w:t>
          </w:r>
        </w:p>
        <w:p w14:paraId="5C78182E" w14:textId="0AE8C343" w:rsidR="00CC382D" w:rsidRPr="00CC382D" w:rsidRDefault="00CC382D" w:rsidP="00CC382D">
          <w:pPr>
            <w:rPr>
              <w:rFonts w:ascii="Arial" w:hAnsi="Arial" w:cs="Arial"/>
              <w:color w:val="BF4E14" w:themeColor="accent2" w:themeShade="BF"/>
            </w:rPr>
          </w:pPr>
          <w:r w:rsidRPr="00CC382D">
            <w:rPr>
              <w:rFonts w:ascii="Arial" w:hAnsi="Arial" w:cs="Arial"/>
              <w:color w:val="BF4E14" w:themeColor="accent2" w:themeShade="BF"/>
            </w:rPr>
            <w:t>Module:</w:t>
          </w:r>
          <w:r w:rsidRPr="00CC382D">
            <w:rPr>
              <w:rFonts w:ascii="Arial" w:hAnsi="Arial" w:cs="Arial"/>
              <w:color w:val="BF4E14" w:themeColor="accent2" w:themeShade="BF"/>
            </w:rPr>
            <w:t xml:space="preserve"> </w:t>
          </w:r>
          <w:r w:rsidRPr="00CC382D">
            <w:rPr>
              <w:rFonts w:ascii="Arial" w:hAnsi="Arial" w:cs="Arial"/>
              <w:color w:val="BF4E14" w:themeColor="accent2" w:themeShade="BF"/>
            </w:rPr>
            <w:t>Social Enterprise: Theory and Practise</w:t>
          </w:r>
        </w:p>
        <w:p w14:paraId="475DF8AA" w14:textId="3B6822BE" w:rsidR="00CC382D" w:rsidRDefault="00CC382D" w:rsidP="00CC382D">
          <w:pPr>
            <w:rPr>
              <w:rFonts w:ascii="Arial Black" w:hAnsi="Arial Black" w:cs="Arial"/>
              <w:color w:val="BF4E14" w:themeColor="accent2" w:themeShade="BF"/>
            </w:rPr>
          </w:pPr>
          <w:r w:rsidRPr="00CC382D">
            <w:rPr>
              <w:rFonts w:ascii="Arial" w:hAnsi="Arial" w:cs="Arial"/>
              <w:color w:val="BF4E14" w:themeColor="accent2" w:themeShade="BF"/>
            </w:rPr>
            <w:t>Module code:</w:t>
          </w:r>
          <w:r w:rsidRPr="00CC382D">
            <w:rPr>
              <w:rFonts w:ascii="Arial" w:hAnsi="Arial" w:cs="Arial"/>
              <w:color w:val="BF4E14" w:themeColor="accent2" w:themeShade="BF"/>
            </w:rPr>
            <w:t xml:space="preserve"> </w:t>
          </w:r>
          <w:r w:rsidRPr="00CC382D">
            <w:rPr>
              <w:rFonts w:ascii="Arial" w:hAnsi="Arial" w:cs="Arial"/>
              <w:color w:val="BF4E14" w:themeColor="accent2" w:themeShade="BF"/>
            </w:rPr>
            <w:t>BMSE4009D</w:t>
          </w:r>
          <w:r>
            <w:rPr>
              <w:noProof/>
            </w:rPr>
            <mc:AlternateContent>
              <mc:Choice Requires="wps">
                <w:drawing>
                  <wp:anchor distT="0" distB="0" distL="114300" distR="114300" simplePos="0" relativeHeight="251662336" behindDoc="0" locked="0" layoutInCell="1" allowOverlap="1" wp14:anchorId="711669AC" wp14:editId="03E0EAD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BF4E14" w:themeColor="accen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11-10T00:00:00Z">
                                    <w:dateFormat w:val="MMMM d, yyyy"/>
                                    <w:lid w:val="en-US"/>
                                    <w:storeMappedDataAs w:val="dateTime"/>
                                    <w:calendar w:val="gregorian"/>
                                  </w:date>
                                </w:sdtPr>
                                <w:sdtContent>
                                  <w:p w14:paraId="1B1BE8EB" w14:textId="4FB7CF93" w:rsidR="00CC382D" w:rsidRDefault="00CC382D">
                                    <w:pPr>
                                      <w:pStyle w:val="NoSpacing"/>
                                      <w:jc w:val="right"/>
                                      <w:rPr>
                                        <w:caps/>
                                        <w:color w:val="0A1D30" w:themeColor="text2" w:themeShade="BF"/>
                                        <w:sz w:val="40"/>
                                        <w:szCs w:val="40"/>
                                      </w:rPr>
                                    </w:pPr>
                                    <w:r w:rsidRPr="00CC382D">
                                      <w:rPr>
                                        <w:rFonts w:ascii="Arial Black" w:hAnsi="Arial Black"/>
                                        <w:caps/>
                                        <w:color w:val="BF4E14" w:themeColor="accent2" w:themeShade="BF"/>
                                        <w:sz w:val="40"/>
                                        <w:szCs w:val="40"/>
                                      </w:rPr>
                                      <w:t>November 10,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711669AC"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rFonts w:ascii="Arial Black" w:hAnsi="Arial Black"/>
                              <w:caps/>
                              <w:color w:val="BF4E14" w:themeColor="accen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11-10T00:00:00Z">
                              <w:dateFormat w:val="MMMM d, yyyy"/>
                              <w:lid w:val="en-US"/>
                              <w:storeMappedDataAs w:val="dateTime"/>
                              <w:calendar w:val="gregorian"/>
                            </w:date>
                          </w:sdtPr>
                          <w:sdtContent>
                            <w:p w14:paraId="1B1BE8EB" w14:textId="4FB7CF93" w:rsidR="00CC382D" w:rsidRDefault="00CC382D">
                              <w:pPr>
                                <w:pStyle w:val="NoSpacing"/>
                                <w:jc w:val="right"/>
                                <w:rPr>
                                  <w:caps/>
                                  <w:color w:val="0A1D30" w:themeColor="text2" w:themeShade="BF"/>
                                  <w:sz w:val="40"/>
                                  <w:szCs w:val="40"/>
                                </w:rPr>
                              </w:pPr>
                              <w:r w:rsidRPr="00CC382D">
                                <w:rPr>
                                  <w:rFonts w:ascii="Arial Black" w:hAnsi="Arial Black"/>
                                  <w:caps/>
                                  <w:color w:val="BF4E14" w:themeColor="accent2" w:themeShade="BF"/>
                                  <w:sz w:val="40"/>
                                  <w:szCs w:val="40"/>
                                </w:rPr>
                                <w:t>November 10, 2024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F7BE3CE" wp14:editId="35C90C0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3AEF2D" w14:textId="6E16F29C" w:rsidR="00CC382D" w:rsidRPr="000145B5" w:rsidRDefault="00CC382D" w:rsidP="000145B5">
                                <w:pPr>
                                  <w:pStyle w:val="NoSpacing"/>
                                  <w:jc w:val="center"/>
                                  <w:rPr>
                                    <w:caps/>
                                    <w:color w:val="0A1D30" w:themeColor="text2" w:themeShade="BF"/>
                                    <w:sz w:val="44"/>
                                    <w:szCs w:val="44"/>
                                  </w:rPr>
                                </w:pPr>
                                <w:sdt>
                                  <w:sdtPr>
                                    <w:rPr>
                                      <w:rFonts w:ascii="Arial Black" w:hAnsi="Arial Black"/>
                                      <w:caps/>
                                      <w:color w:val="BF4E14" w:themeColor="accent2" w:themeShade="BF"/>
                                      <w:sz w:val="44"/>
                                      <w:szCs w:val="44"/>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0145B5">
                                      <w:rPr>
                                        <w:rFonts w:ascii="Arial Black" w:hAnsi="Arial Black"/>
                                        <w:caps/>
                                        <w:color w:val="BF4E14" w:themeColor="accent2" w:themeShade="BF"/>
                                        <w:sz w:val="44"/>
                                        <w:szCs w:val="44"/>
                                      </w:rPr>
                                      <w:t>Opportunities and Challenges Facing Social Enterprises: A SWOT Analysis</w:t>
                                    </w:r>
                                  </w:sdtContent>
                                </w:sdt>
                              </w:p>
                              <w:p w14:paraId="69F66471" w14:textId="0C6340BA" w:rsidR="00CC382D" w:rsidRDefault="00CC382D" w:rsidP="00CC382D">
                                <w:pPr>
                                  <w:pStyle w:val="NoSpacing"/>
                                  <w:rPr>
                                    <w:smallCaps/>
                                    <w:color w:val="0E2841"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F7BE3CE" id="Text Box 11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423AEF2D" w14:textId="6E16F29C" w:rsidR="00CC382D" w:rsidRPr="000145B5" w:rsidRDefault="00CC382D" w:rsidP="000145B5">
                          <w:pPr>
                            <w:pStyle w:val="NoSpacing"/>
                            <w:jc w:val="center"/>
                            <w:rPr>
                              <w:caps/>
                              <w:color w:val="0A1D30" w:themeColor="text2" w:themeShade="BF"/>
                              <w:sz w:val="44"/>
                              <w:szCs w:val="44"/>
                            </w:rPr>
                          </w:pPr>
                          <w:sdt>
                            <w:sdtPr>
                              <w:rPr>
                                <w:rFonts w:ascii="Arial Black" w:hAnsi="Arial Black"/>
                                <w:caps/>
                                <w:color w:val="BF4E14" w:themeColor="accent2" w:themeShade="BF"/>
                                <w:sz w:val="44"/>
                                <w:szCs w:val="44"/>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0145B5">
                                <w:rPr>
                                  <w:rFonts w:ascii="Arial Black" w:hAnsi="Arial Black"/>
                                  <w:caps/>
                                  <w:color w:val="BF4E14" w:themeColor="accent2" w:themeShade="BF"/>
                                  <w:sz w:val="44"/>
                                  <w:szCs w:val="44"/>
                                </w:rPr>
                                <w:t>Opportunities and Challenges Facing Social Enterprises: A SWOT Analysis</w:t>
                              </w:r>
                            </w:sdtContent>
                          </w:sdt>
                        </w:p>
                        <w:p w14:paraId="69F66471" w14:textId="0C6340BA" w:rsidR="00CC382D" w:rsidRDefault="00CC382D" w:rsidP="00CC382D">
                          <w:pPr>
                            <w:pStyle w:val="NoSpacing"/>
                            <w:rPr>
                              <w:smallCaps/>
                              <w:color w:val="0E2841" w:themeColor="text2"/>
                              <w:sz w:val="36"/>
                              <w:szCs w:val="36"/>
                            </w:rPr>
                          </w:pPr>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66E966EA" wp14:editId="231E147F">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EBD2D4F"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Pr>
              <w:rFonts w:ascii="Arial Black" w:hAnsi="Arial Black" w:cs="Arial"/>
              <w:color w:val="BF4E14" w:themeColor="accent2" w:themeShade="BF"/>
            </w:rPr>
            <w:br w:type="page"/>
          </w:r>
        </w:p>
      </w:sdtContent>
    </w:sdt>
    <w:p w14:paraId="3920306C" w14:textId="149586B8" w:rsidR="00672C16" w:rsidRPr="00C467E7" w:rsidRDefault="00672C16" w:rsidP="00672C16">
      <w:pPr>
        <w:spacing w:line="480" w:lineRule="auto"/>
        <w:jc w:val="both"/>
        <w:rPr>
          <w:rFonts w:ascii="Arial Black" w:hAnsi="Arial Black" w:cs="Arial"/>
          <w:color w:val="BF4E14" w:themeColor="accent2" w:themeShade="BF"/>
        </w:rPr>
      </w:pPr>
      <w:r w:rsidRPr="00C467E7">
        <w:rPr>
          <w:rFonts w:ascii="Arial Black" w:hAnsi="Arial Black" w:cs="Arial"/>
          <w:color w:val="BF4E14" w:themeColor="accent2" w:themeShade="BF"/>
        </w:rPr>
        <w:lastRenderedPageBreak/>
        <w:t xml:space="preserve">Introduction </w:t>
      </w:r>
    </w:p>
    <w:p w14:paraId="76A2353F" w14:textId="77777777" w:rsidR="00672C16" w:rsidRDefault="00672C16" w:rsidP="00672C16">
      <w:pPr>
        <w:spacing w:line="480" w:lineRule="auto"/>
        <w:jc w:val="both"/>
        <w:rPr>
          <w:rFonts w:ascii="Arial" w:hAnsi="Arial" w:cs="Arial"/>
        </w:rPr>
      </w:pPr>
      <w:r w:rsidRPr="00672C16">
        <w:rPr>
          <w:rFonts w:ascii="Arial" w:hAnsi="Arial" w:cs="Arial"/>
        </w:rPr>
        <w:t xml:space="preserve">While maintaining sustainable business models, social enterprises have become essential partners in addressing societal challenges. These organisations endeavour to generate advantageous effects on the environment and communities by integrating profit motives with social objectives. The importance of social enterprises has increased in the modern economy </w:t>
      </w:r>
      <w:r w:rsidRPr="00672C16">
        <w:rPr>
          <w:rFonts w:ascii="Arial" w:hAnsi="Arial" w:cs="Arial"/>
        </w:rPr>
        <w:t>because of</w:t>
      </w:r>
      <w:r w:rsidRPr="00672C16">
        <w:rPr>
          <w:rFonts w:ascii="Arial" w:hAnsi="Arial" w:cs="Arial"/>
        </w:rPr>
        <w:t xml:space="preserve"> the global emphasis on sustainability, technological advancements, and the growing awareness of consumers. A structured framework is provided by a SWOT analysis, which examines Strengths, Weaknesses, Opportunities, and Threats </w:t>
      </w:r>
      <w:r w:rsidRPr="00672C16">
        <w:rPr>
          <w:rFonts w:ascii="Arial" w:hAnsi="Arial" w:cs="Arial"/>
        </w:rPr>
        <w:t>to</w:t>
      </w:r>
      <w:r w:rsidRPr="00672C16">
        <w:rPr>
          <w:rFonts w:ascii="Arial" w:hAnsi="Arial" w:cs="Arial"/>
        </w:rPr>
        <w:t xml:space="preserve"> comprehensively comprehend the landscape in which social enterprises operate. This essay utilises the SWOT analysis to investigate the opportunities and challenges </w:t>
      </w:r>
      <w:r w:rsidRPr="00672C16">
        <w:rPr>
          <w:rFonts w:ascii="Arial" w:hAnsi="Arial" w:cs="Arial"/>
        </w:rPr>
        <w:t>those social enterprises</w:t>
      </w:r>
      <w:r w:rsidRPr="00672C16">
        <w:rPr>
          <w:rFonts w:ascii="Arial" w:hAnsi="Arial" w:cs="Arial"/>
        </w:rPr>
        <w:t xml:space="preserve"> encounter, with the assistance of pertinent academic theories and industry examples.</w:t>
      </w:r>
    </w:p>
    <w:p w14:paraId="354C72A1" w14:textId="77777777" w:rsidR="00672C16" w:rsidRDefault="00672C16" w:rsidP="00672C16">
      <w:pPr>
        <w:spacing w:line="480" w:lineRule="auto"/>
        <w:jc w:val="both"/>
        <w:rPr>
          <w:rFonts w:ascii="Arial" w:hAnsi="Arial" w:cs="Arial"/>
        </w:rPr>
      </w:pPr>
    </w:p>
    <w:p w14:paraId="485004AB" w14:textId="77777777" w:rsidR="00672C16" w:rsidRDefault="00672C16" w:rsidP="00672C16">
      <w:pPr>
        <w:spacing w:line="480" w:lineRule="auto"/>
        <w:jc w:val="both"/>
        <w:rPr>
          <w:rFonts w:ascii="Arial" w:hAnsi="Arial" w:cs="Arial"/>
        </w:rPr>
      </w:pPr>
    </w:p>
    <w:p w14:paraId="01ACC1C7" w14:textId="77777777" w:rsidR="00672C16" w:rsidRDefault="00672C16" w:rsidP="00672C16">
      <w:pPr>
        <w:spacing w:line="480" w:lineRule="auto"/>
        <w:jc w:val="both"/>
        <w:rPr>
          <w:rFonts w:ascii="Arial" w:hAnsi="Arial" w:cs="Arial"/>
        </w:rPr>
      </w:pPr>
    </w:p>
    <w:p w14:paraId="2594B90F" w14:textId="77777777" w:rsidR="00672C16" w:rsidRDefault="00672C16" w:rsidP="00672C16">
      <w:pPr>
        <w:spacing w:line="480" w:lineRule="auto"/>
        <w:jc w:val="both"/>
        <w:rPr>
          <w:rFonts w:ascii="Arial" w:hAnsi="Arial" w:cs="Arial"/>
        </w:rPr>
      </w:pPr>
    </w:p>
    <w:p w14:paraId="7FC45FA9" w14:textId="77777777" w:rsidR="00672C16" w:rsidRDefault="00672C16" w:rsidP="00672C16">
      <w:pPr>
        <w:spacing w:line="480" w:lineRule="auto"/>
        <w:jc w:val="both"/>
        <w:rPr>
          <w:rFonts w:ascii="Arial" w:hAnsi="Arial" w:cs="Arial"/>
        </w:rPr>
      </w:pPr>
    </w:p>
    <w:p w14:paraId="51C25F36" w14:textId="77777777" w:rsidR="00672C16" w:rsidRDefault="00672C16" w:rsidP="00672C16">
      <w:pPr>
        <w:spacing w:line="480" w:lineRule="auto"/>
        <w:jc w:val="both"/>
        <w:rPr>
          <w:rFonts w:ascii="Arial" w:hAnsi="Arial" w:cs="Arial"/>
        </w:rPr>
      </w:pPr>
    </w:p>
    <w:p w14:paraId="220E495B" w14:textId="77777777" w:rsidR="00672C16" w:rsidRDefault="00672C16" w:rsidP="00672C16">
      <w:pPr>
        <w:spacing w:line="480" w:lineRule="auto"/>
        <w:jc w:val="both"/>
        <w:rPr>
          <w:rFonts w:ascii="Arial" w:hAnsi="Arial" w:cs="Arial"/>
        </w:rPr>
      </w:pPr>
    </w:p>
    <w:p w14:paraId="208F5A88" w14:textId="77777777" w:rsidR="00672C16" w:rsidRDefault="00672C16" w:rsidP="00672C16">
      <w:pPr>
        <w:spacing w:line="480" w:lineRule="auto"/>
        <w:jc w:val="both"/>
        <w:rPr>
          <w:rFonts w:ascii="Arial" w:hAnsi="Arial" w:cs="Arial"/>
        </w:rPr>
      </w:pPr>
    </w:p>
    <w:p w14:paraId="7012C541" w14:textId="77777777" w:rsidR="00672C16" w:rsidRDefault="00672C16" w:rsidP="00672C16">
      <w:pPr>
        <w:spacing w:line="480" w:lineRule="auto"/>
        <w:jc w:val="both"/>
        <w:rPr>
          <w:rFonts w:ascii="Arial" w:hAnsi="Arial" w:cs="Arial"/>
        </w:rPr>
      </w:pPr>
    </w:p>
    <w:p w14:paraId="5BE2893F" w14:textId="77777777" w:rsidR="00672C16" w:rsidRDefault="00672C16" w:rsidP="00672C16">
      <w:pPr>
        <w:spacing w:line="480" w:lineRule="auto"/>
        <w:jc w:val="both"/>
        <w:rPr>
          <w:rFonts w:ascii="Arial" w:hAnsi="Arial" w:cs="Arial"/>
        </w:rPr>
      </w:pPr>
    </w:p>
    <w:p w14:paraId="6921CB9E" w14:textId="508D682E" w:rsidR="00672C16" w:rsidRPr="00C467E7" w:rsidRDefault="00672C16" w:rsidP="00672C16">
      <w:pPr>
        <w:spacing w:line="480" w:lineRule="auto"/>
        <w:jc w:val="both"/>
        <w:rPr>
          <w:rFonts w:ascii="Arial Black" w:hAnsi="Arial Black" w:cs="Arial"/>
          <w:color w:val="BF4E14" w:themeColor="accent2" w:themeShade="BF"/>
        </w:rPr>
      </w:pPr>
      <w:r w:rsidRPr="00C467E7">
        <w:rPr>
          <w:rFonts w:ascii="Arial Black" w:hAnsi="Arial Black" w:cs="Arial"/>
          <w:color w:val="BF4E14" w:themeColor="accent2" w:themeShade="BF"/>
        </w:rPr>
        <w:lastRenderedPageBreak/>
        <w:t xml:space="preserve">Strengths </w:t>
      </w:r>
    </w:p>
    <w:p w14:paraId="07252C19" w14:textId="77777777" w:rsidR="00672C16" w:rsidRDefault="00672C16" w:rsidP="00672C16">
      <w:pPr>
        <w:spacing w:line="480" w:lineRule="auto"/>
        <w:jc w:val="both"/>
        <w:rPr>
          <w:rFonts w:ascii="Arial" w:hAnsi="Arial" w:cs="Arial"/>
        </w:rPr>
      </w:pPr>
      <w:r w:rsidRPr="00672C16">
        <w:rPr>
          <w:rFonts w:ascii="Arial" w:hAnsi="Arial" w:cs="Arial"/>
        </w:rPr>
        <w:t>Social enterprises are distinguished from traditional businesses and non-governmental organisations (NGOs) by their inherent assets. Their social mission is a primary strength that functions as a driving force, fostering engagement and purpose among stakeholders. This mission-centric approach frequently results in high levels of customer loyalty and employee satisfaction. For example, TOMS Shoes was the first to implement the one-for-one model, which involves donating an additional pair of shoes to a child in need for each pair sold. This model not only mitigates footwear scarcity but also improves consumer engagement and brand loyalty (Mair &amp; Marti, 2006).</w:t>
      </w:r>
    </w:p>
    <w:p w14:paraId="6E221337" w14:textId="77777777" w:rsidR="00672C16" w:rsidRDefault="00672C16" w:rsidP="00672C16">
      <w:pPr>
        <w:spacing w:line="480" w:lineRule="auto"/>
        <w:jc w:val="both"/>
        <w:rPr>
          <w:rFonts w:ascii="Arial" w:hAnsi="Arial" w:cs="Arial"/>
        </w:rPr>
      </w:pPr>
      <w:r w:rsidRPr="00672C16">
        <w:rPr>
          <w:rFonts w:ascii="Arial" w:hAnsi="Arial" w:cs="Arial"/>
        </w:rPr>
        <w:t xml:space="preserve">Community support and stakeholder trust are additional strengths that social enterprises typically possess. These organisations establish strong relationships with their communities and constituents by prioritising social and environmental objectives, which in turn cultivates long-term support and trust. </w:t>
      </w:r>
      <w:proofErr w:type="spellStart"/>
      <w:r w:rsidRPr="00672C16">
        <w:rPr>
          <w:rFonts w:ascii="Arial" w:hAnsi="Arial" w:cs="Arial"/>
        </w:rPr>
        <w:t>Piderit</w:t>
      </w:r>
      <w:proofErr w:type="spellEnd"/>
      <w:r w:rsidRPr="00672C16">
        <w:rPr>
          <w:rFonts w:ascii="Arial" w:hAnsi="Arial" w:cs="Arial"/>
        </w:rPr>
        <w:t xml:space="preserve"> (2000) emphasises the cooperative model's emphasis on participatory decision-making and collective ownership, which in turn strengthens stakeholder commitment and trust</w:t>
      </w:r>
    </w:p>
    <w:p w14:paraId="57954AFA" w14:textId="77777777" w:rsidR="00672C16" w:rsidRDefault="00672C16" w:rsidP="00672C16">
      <w:pPr>
        <w:spacing w:line="480" w:lineRule="auto"/>
        <w:jc w:val="both"/>
        <w:rPr>
          <w:rFonts w:ascii="Arial" w:hAnsi="Arial" w:cs="Arial"/>
        </w:rPr>
      </w:pPr>
      <w:r w:rsidRPr="00672C16">
        <w:rPr>
          <w:rFonts w:ascii="Arial" w:hAnsi="Arial" w:cs="Arial"/>
        </w:rPr>
        <w:t>Additionally, social enterprises frequently employ innovative strategies to resolve social concerns. The necessity to confront intricate issues encourages the creation of distinctive solutions and creativity. Muhammad Yunus, the founder of Grameen Bank, introduced microfinance as a novel solution to poverty alleviation, thereby enabling millions of individuals to access financial services that were previously unavailable to them (Yunus, 2007).</w:t>
      </w:r>
    </w:p>
    <w:p w14:paraId="26292EF0" w14:textId="77777777" w:rsidR="00672C16" w:rsidRDefault="00672C16" w:rsidP="00672C16">
      <w:pPr>
        <w:spacing w:line="480" w:lineRule="auto"/>
        <w:jc w:val="both"/>
        <w:rPr>
          <w:rFonts w:ascii="Arial" w:hAnsi="Arial" w:cs="Arial"/>
        </w:rPr>
      </w:pPr>
    </w:p>
    <w:p w14:paraId="11D82932" w14:textId="77777777" w:rsidR="00672C16" w:rsidRDefault="00672C16" w:rsidP="00672C16">
      <w:pPr>
        <w:spacing w:line="480" w:lineRule="auto"/>
        <w:jc w:val="both"/>
        <w:rPr>
          <w:rFonts w:ascii="Arial" w:hAnsi="Arial" w:cs="Arial"/>
        </w:rPr>
      </w:pPr>
      <w:r w:rsidRPr="00672C16">
        <w:rPr>
          <w:rFonts w:ascii="Arial Black" w:hAnsi="Arial Black" w:cs="Arial"/>
          <w:color w:val="BF4E14" w:themeColor="accent2" w:themeShade="BF"/>
        </w:rPr>
        <w:lastRenderedPageBreak/>
        <w:t>Weaknesses</w:t>
      </w:r>
      <w:r w:rsidRPr="00672C16">
        <w:rPr>
          <w:rFonts w:ascii="Arial Black" w:hAnsi="Arial Black" w:cs="Arial"/>
          <w:color w:val="BF4E14" w:themeColor="accent2" w:themeShade="BF"/>
        </w:rPr>
        <w:br/>
      </w:r>
      <w:r w:rsidRPr="00672C16">
        <w:rPr>
          <w:rFonts w:ascii="Arial" w:hAnsi="Arial" w:cs="Arial"/>
        </w:rPr>
        <w:br/>
        <w:t xml:space="preserve">Social enterprises are confronted with numerous inherent weaknesses that can impede their development and sustainability, despite their strengths. Funding constraints are a substantial vulnerability. In contrast to conventional businesses, which can attract investment based on their potential for profit, social enterprises frequently encounter difficulties in obtaining financing </w:t>
      </w:r>
      <w:r w:rsidRPr="00672C16">
        <w:rPr>
          <w:rFonts w:ascii="Arial" w:hAnsi="Arial" w:cs="Arial"/>
        </w:rPr>
        <w:t>because of</w:t>
      </w:r>
      <w:r w:rsidRPr="00672C16">
        <w:rPr>
          <w:rFonts w:ascii="Arial" w:hAnsi="Arial" w:cs="Arial"/>
        </w:rPr>
        <w:t xml:space="preserve"> their dual emphasis on social impact and profit. These organisations may be perceived by investors as having a higher risk or less profitability, which could restrict their access to capital. For example, numerous local social enterprises are dependent on grants and donations, which may be unstable and inadequate for expanding operations (Leadbeater, 1997).</w:t>
      </w:r>
    </w:p>
    <w:p w14:paraId="035AABE2" w14:textId="77777777" w:rsidR="00672C16" w:rsidRDefault="00672C16" w:rsidP="00672C16">
      <w:pPr>
        <w:spacing w:line="480" w:lineRule="auto"/>
        <w:jc w:val="both"/>
        <w:rPr>
          <w:rFonts w:ascii="Arial" w:hAnsi="Arial" w:cs="Arial"/>
        </w:rPr>
      </w:pPr>
      <w:r w:rsidRPr="00672C16">
        <w:rPr>
          <w:rFonts w:ascii="Arial" w:hAnsi="Arial" w:cs="Arial"/>
        </w:rPr>
        <w:t xml:space="preserve">The problem of reconciling profit and social objectives is another area of weakness. </w:t>
      </w:r>
      <w:r w:rsidRPr="00672C16">
        <w:rPr>
          <w:rFonts w:ascii="Arial" w:hAnsi="Arial" w:cs="Arial"/>
        </w:rPr>
        <w:t>To</w:t>
      </w:r>
      <w:r w:rsidRPr="00672C16">
        <w:rPr>
          <w:rFonts w:ascii="Arial" w:hAnsi="Arial" w:cs="Arial"/>
        </w:rPr>
        <w:t xml:space="preserve"> fulfil their social mission, social enterprises must negotiate the conflict between financial sustainability and their objectives. Strategic conflicts and resource allocation dilemmas may result from this dual focus. According to the Resource-Based View (Barney, 1991), competitive advantage necessitates the effective management and utilisation of resources. Nevertheless, the necessity of allocating resources to both financial and social objectives can impede performance and dilute focus for social enterprises.</w:t>
      </w:r>
    </w:p>
    <w:p w14:paraId="004F4C4B" w14:textId="77777777" w:rsidR="00672C16" w:rsidRDefault="00672C16" w:rsidP="00672C16">
      <w:pPr>
        <w:spacing w:line="480" w:lineRule="auto"/>
        <w:jc w:val="both"/>
        <w:rPr>
          <w:rFonts w:ascii="Arial" w:hAnsi="Arial" w:cs="Arial"/>
        </w:rPr>
      </w:pPr>
      <w:r w:rsidRPr="00672C16">
        <w:rPr>
          <w:rFonts w:ascii="Arial" w:hAnsi="Arial" w:cs="Arial"/>
        </w:rPr>
        <w:t xml:space="preserve">Furthermore, the challenge is posed by the limited scalability. Local communities are frequently the primary focus of social enterprises, which frequently operate on a lesser scale. Due to resource constraints, operational complications, and the necessity of upholding social integrity, it may be challenging to expand these models to a more extensive market. For instance, </w:t>
      </w:r>
      <w:r w:rsidRPr="00672C16">
        <w:rPr>
          <w:rFonts w:ascii="Arial" w:hAnsi="Arial" w:cs="Arial"/>
        </w:rPr>
        <w:t>even though</w:t>
      </w:r>
      <w:r w:rsidRPr="00672C16">
        <w:rPr>
          <w:rFonts w:ascii="Arial" w:hAnsi="Arial" w:cs="Arial"/>
        </w:rPr>
        <w:t xml:space="preserve"> local cooperatives such as Mondragon </w:t>
      </w:r>
      <w:r w:rsidRPr="00672C16">
        <w:rPr>
          <w:rFonts w:ascii="Arial" w:hAnsi="Arial" w:cs="Arial"/>
        </w:rPr>
        <w:lastRenderedPageBreak/>
        <w:t>in Spain have effectively expanded within their respective regions, it is still difficult to replicate this success on a global scale (Rundstrom, 2003).</w:t>
      </w:r>
    </w:p>
    <w:p w14:paraId="7F0790A4" w14:textId="77777777" w:rsidR="00672C16" w:rsidRPr="00C467E7" w:rsidRDefault="00672C16" w:rsidP="00672C16">
      <w:pPr>
        <w:spacing w:line="480" w:lineRule="auto"/>
        <w:jc w:val="both"/>
        <w:rPr>
          <w:rFonts w:ascii="Arial Black" w:hAnsi="Arial Black" w:cs="Arial"/>
          <w:color w:val="BF4E14" w:themeColor="accent2" w:themeShade="BF"/>
        </w:rPr>
      </w:pPr>
      <w:r w:rsidRPr="00C467E7">
        <w:rPr>
          <w:rFonts w:ascii="Arial Black" w:hAnsi="Arial Black" w:cs="Arial"/>
          <w:color w:val="BF4E14" w:themeColor="accent2" w:themeShade="BF"/>
        </w:rPr>
        <w:t xml:space="preserve">Opportunities </w:t>
      </w:r>
    </w:p>
    <w:p w14:paraId="1C609C30" w14:textId="77777777" w:rsidR="00672C16" w:rsidRDefault="00672C16" w:rsidP="00672C16">
      <w:pPr>
        <w:spacing w:line="480" w:lineRule="auto"/>
        <w:jc w:val="both"/>
        <w:rPr>
          <w:rFonts w:ascii="Arial" w:hAnsi="Arial" w:cs="Arial"/>
        </w:rPr>
      </w:pPr>
      <w:r w:rsidRPr="00672C16">
        <w:rPr>
          <w:rFonts w:ascii="Arial" w:hAnsi="Arial" w:cs="Arial"/>
        </w:rPr>
        <w:t>Social enterprises are presented with a plethora of opportunities to improve their sustainability and impact. The increasing consumer preference for ethical enterprises presents a substantial opportunity. Modern consumers are becoming more aware of the social and environmental consequences of their purchases, and they are favouring companies that exhibit sustainability and responsibility. This change in consumer behaviour expands the market and improves the competitive advantage of social enterprises. Patagonia and other brands have leveraged this trend by incorporating environmental stewardship into their business model, thereby attracting a devoted consumer base that is dedicated to sustainability (Chouinard &amp; Stanley, 2012).</w:t>
      </w:r>
    </w:p>
    <w:p w14:paraId="2ABEE90E" w14:textId="77777777" w:rsidR="00672C16" w:rsidRDefault="00672C16" w:rsidP="00672C16">
      <w:pPr>
        <w:spacing w:line="480" w:lineRule="auto"/>
        <w:jc w:val="both"/>
        <w:rPr>
          <w:rFonts w:ascii="Arial" w:hAnsi="Arial" w:cs="Arial"/>
        </w:rPr>
      </w:pPr>
      <w:r w:rsidRPr="00672C16">
        <w:rPr>
          <w:rFonts w:ascii="Arial" w:hAnsi="Arial" w:cs="Arial"/>
        </w:rPr>
        <w:t xml:space="preserve">Social enterprises are also afforded considerable opportunities by technological advancements. Social enterprises can expand their operations, reach a wider audience, and increase their impact </w:t>
      </w:r>
      <w:r w:rsidRPr="00672C16">
        <w:rPr>
          <w:rFonts w:ascii="Arial" w:hAnsi="Arial" w:cs="Arial"/>
        </w:rPr>
        <w:t>because of</w:t>
      </w:r>
      <w:r w:rsidRPr="00672C16">
        <w:rPr>
          <w:rFonts w:ascii="Arial" w:hAnsi="Arial" w:cs="Arial"/>
        </w:rPr>
        <w:t xml:space="preserve"> technological advancements. Social marketplaces, crowdfunding campaigns, and efficient supply chain management are all facilitated by digital platforms. </w:t>
      </w:r>
      <w:proofErr w:type="spellStart"/>
      <w:r w:rsidRPr="00672C16">
        <w:rPr>
          <w:rFonts w:ascii="Arial" w:hAnsi="Arial" w:cs="Arial"/>
        </w:rPr>
        <w:t>Fairphone</w:t>
      </w:r>
      <w:proofErr w:type="spellEnd"/>
      <w:r w:rsidRPr="00672C16">
        <w:rPr>
          <w:rFonts w:ascii="Arial" w:hAnsi="Arial" w:cs="Arial"/>
        </w:rPr>
        <w:t>, for example, employs technology to manufacture modular smartphones that are environmentally friendly and ethically sourced, thereby appealing to sustainable consumers who prioritise technology (Bamford, 2017).</w:t>
      </w:r>
    </w:p>
    <w:p w14:paraId="51642D5E" w14:textId="77777777" w:rsidR="00672C16" w:rsidRDefault="00672C16" w:rsidP="00672C16">
      <w:pPr>
        <w:spacing w:line="480" w:lineRule="auto"/>
        <w:jc w:val="both"/>
        <w:rPr>
          <w:rFonts w:ascii="Arial" w:hAnsi="Arial" w:cs="Arial"/>
        </w:rPr>
      </w:pPr>
      <w:r w:rsidRPr="00672C16">
        <w:rPr>
          <w:rFonts w:ascii="Arial" w:hAnsi="Arial" w:cs="Arial"/>
        </w:rPr>
        <w:t xml:space="preserve">Additionally, significant growth opportunities are presented by partnerships and collaborations with governments, private sector entities, and other NGOs. Strategic alliances can offer social enterprises the opportunity to access resources, expertise, and networks that they may not have access to independently. Partnerships that align </w:t>
      </w:r>
      <w:r w:rsidRPr="00672C16">
        <w:rPr>
          <w:rFonts w:ascii="Arial" w:hAnsi="Arial" w:cs="Arial"/>
        </w:rPr>
        <w:lastRenderedPageBreak/>
        <w:t>business objectives with global social targets are fostered by collaborative initiatives such as the United Nations' Sustainable Development Goals (SDGs). For instance, Tesla's collaboration with numerous governments to advance sustainable energy solutions and electric vehicles, which has facilitated technological advancements and market expansion (Tesla, 2023).</w:t>
      </w:r>
    </w:p>
    <w:p w14:paraId="4750956D" w14:textId="77777777" w:rsidR="00672C16" w:rsidRDefault="00672C16" w:rsidP="00672C16">
      <w:pPr>
        <w:spacing w:line="480" w:lineRule="auto"/>
        <w:jc w:val="both"/>
        <w:rPr>
          <w:rFonts w:ascii="Arial" w:hAnsi="Arial" w:cs="Arial"/>
        </w:rPr>
      </w:pPr>
      <w:r w:rsidRPr="00672C16">
        <w:rPr>
          <w:rFonts w:ascii="Arial" w:hAnsi="Arial" w:cs="Arial"/>
        </w:rPr>
        <w:t>Another opportunity is presented by the growing availability of impact investment. Impact investors are motivated by the desire to produce financial returns in addition to social and environmental benefits, which is in accordance with the objectives of social enterprises. The emergence of socially responsible investment (SRI) vehicles and impact investing funds has provided social enterprises with alternative financing options, thereby improving their capacity to scale and sustain their operations (Jackson &amp; Harji, 2013).</w:t>
      </w:r>
    </w:p>
    <w:p w14:paraId="74FEB02F" w14:textId="625E3F3F" w:rsidR="00672C16" w:rsidRPr="00C467E7" w:rsidRDefault="00672C16" w:rsidP="00672C16">
      <w:pPr>
        <w:spacing w:line="480" w:lineRule="auto"/>
        <w:jc w:val="both"/>
        <w:rPr>
          <w:rFonts w:ascii="Arial Black" w:hAnsi="Arial Black" w:cs="Arial"/>
          <w:color w:val="BF4E14" w:themeColor="accent2" w:themeShade="BF"/>
        </w:rPr>
      </w:pPr>
      <w:r w:rsidRPr="00C467E7">
        <w:rPr>
          <w:rFonts w:ascii="Arial Black" w:hAnsi="Arial Black" w:cs="Arial"/>
          <w:color w:val="BF4E14" w:themeColor="accent2" w:themeShade="BF"/>
        </w:rPr>
        <w:t>Threats</w:t>
      </w:r>
    </w:p>
    <w:p w14:paraId="4BCDB931" w14:textId="77777777" w:rsidR="00672C16" w:rsidRDefault="00672C16" w:rsidP="00672C16">
      <w:pPr>
        <w:spacing w:line="480" w:lineRule="auto"/>
        <w:jc w:val="both"/>
        <w:rPr>
          <w:rFonts w:ascii="Arial" w:hAnsi="Arial" w:cs="Arial"/>
        </w:rPr>
      </w:pPr>
      <w:r w:rsidRPr="00672C16">
        <w:rPr>
          <w:rFonts w:ascii="Arial" w:hAnsi="Arial" w:cs="Arial"/>
        </w:rPr>
        <w:t>In a dynamic environment, social enterprises are susceptible to a variety of threats that could potentially undermine their operations and objectives. The competition from traditional enterprises and NGOs is a significant threat. Traditional businesses may encroach on the market share of social enterprises by implementing socially responsible practices. In the same vein, NGOs may provide services that overlap without the revenue-generating mechanisms of social enterprises, thereby increasing the competition for resources and support. For instance, the distinctive selling propositions of smaller social enterprises may be compromised by the integration of sustainable practices into the operations of large corporations such as Unilever (Porter &amp; Kramer, 2011).</w:t>
      </w:r>
    </w:p>
    <w:p w14:paraId="39D3FA80" w14:textId="303B4A1B" w:rsidR="00672C16" w:rsidRDefault="00672C16" w:rsidP="00672C16">
      <w:pPr>
        <w:spacing w:line="480" w:lineRule="auto"/>
        <w:jc w:val="both"/>
        <w:rPr>
          <w:rFonts w:ascii="Arial" w:hAnsi="Arial" w:cs="Arial"/>
        </w:rPr>
      </w:pPr>
      <w:r w:rsidRPr="00672C16">
        <w:rPr>
          <w:rFonts w:ascii="Arial" w:hAnsi="Arial" w:cs="Arial"/>
        </w:rPr>
        <w:lastRenderedPageBreak/>
        <w:t>Another substantial hazard is posed by regulatory challenges. Social enterprises frequently negotiate intricate regulatory environments that differ across sectors and regions. It can be time-consuming and resource-intensive to comply with varying standards and obtain the requisite certifications. The operational feasibility of social enterprises can also be affected by changes in government policies, such as tax regulations or funding criteria. For example, adjustments to the eligibility criteria for grants can influence the funding streams of numerous social enterprises that depend on such financial assistance (Austin, Stevenson, &amp; Wei-Skillern, 2006).</w:t>
      </w:r>
      <w:r w:rsidRPr="00672C16">
        <w:rPr>
          <w:rFonts w:ascii="Arial" w:hAnsi="Arial" w:cs="Arial"/>
        </w:rPr>
        <w:br/>
        <w:t>The viability of social enterprises is further jeopardised by market volatility and economic downturns. Consumer expenditure on ethically priced products and donations or grants from philanthropic sources may be diminished by economic fluctuations. Social enterprises may experience heightened financial duress during economic downturns as both revenue and funding sources decrease. For instance, the global financial crisis of 2008 resulted in a reduction in funding for numerous social initiatives, which compelled certain social enterprises to reduce their operations or cease operations (Nicholls, 2006)</w:t>
      </w:r>
      <w:r>
        <w:rPr>
          <w:rFonts w:ascii="Arial" w:hAnsi="Arial" w:cs="Arial"/>
        </w:rPr>
        <w:t>.</w:t>
      </w:r>
    </w:p>
    <w:p w14:paraId="7298947F" w14:textId="77777777" w:rsidR="00672C16" w:rsidRDefault="00672C16" w:rsidP="00672C16">
      <w:pPr>
        <w:spacing w:line="480" w:lineRule="auto"/>
        <w:jc w:val="both"/>
        <w:rPr>
          <w:rFonts w:ascii="Arial" w:hAnsi="Arial" w:cs="Arial"/>
        </w:rPr>
      </w:pPr>
      <w:r w:rsidRPr="00672C16">
        <w:rPr>
          <w:rFonts w:ascii="Arial" w:hAnsi="Arial" w:cs="Arial"/>
        </w:rPr>
        <w:t>Furthermore, the preservation of social integrity in the context of commercialisation is a persistent menace. The potential for mission drift exists as social enterprises expand and strive to expand, resulting in the overshadowing of their original social objectives by the pursuit of profit. This has the potential to undermine stakeholder trust and undermine the social impact. To mitigate this hazard, it is essential to ensure that growth strategies are consistent with the core mission (Mair &amp; Marti, 2006).</w:t>
      </w:r>
    </w:p>
    <w:p w14:paraId="7E3674FB" w14:textId="77777777" w:rsidR="00672C16" w:rsidRDefault="00672C16" w:rsidP="00672C16">
      <w:pPr>
        <w:spacing w:line="480" w:lineRule="auto"/>
        <w:jc w:val="both"/>
        <w:rPr>
          <w:rFonts w:ascii="Arial" w:hAnsi="Arial" w:cs="Arial"/>
        </w:rPr>
      </w:pPr>
    </w:p>
    <w:p w14:paraId="4ADDCF57" w14:textId="77777777" w:rsidR="00C467E7" w:rsidRDefault="00C467E7" w:rsidP="00672C16">
      <w:pPr>
        <w:spacing w:line="480" w:lineRule="auto"/>
        <w:jc w:val="both"/>
        <w:rPr>
          <w:rFonts w:ascii="Arial Black" w:hAnsi="Arial Black" w:cs="Arial"/>
          <w:color w:val="BF4E14" w:themeColor="accent2" w:themeShade="BF"/>
        </w:rPr>
      </w:pPr>
    </w:p>
    <w:p w14:paraId="5AFB9E5C" w14:textId="6D96BD01" w:rsidR="00672C16" w:rsidRPr="00C467E7" w:rsidRDefault="00672C16" w:rsidP="00672C16">
      <w:pPr>
        <w:spacing w:line="480" w:lineRule="auto"/>
        <w:jc w:val="both"/>
        <w:rPr>
          <w:rFonts w:ascii="Arial Black" w:hAnsi="Arial Black" w:cs="Arial"/>
          <w:color w:val="BF4E14" w:themeColor="accent2" w:themeShade="BF"/>
        </w:rPr>
      </w:pPr>
      <w:r w:rsidRPr="00672C16">
        <w:rPr>
          <w:rFonts w:ascii="Arial Black" w:hAnsi="Arial Black" w:cs="Arial"/>
          <w:color w:val="BF4E14" w:themeColor="accent2" w:themeShade="BF"/>
        </w:rPr>
        <w:lastRenderedPageBreak/>
        <w:t>Industry Examples and Academic Theories</w:t>
      </w:r>
    </w:p>
    <w:p w14:paraId="624470A7" w14:textId="77777777" w:rsidR="00672C16" w:rsidRDefault="00672C16" w:rsidP="00672C16">
      <w:pPr>
        <w:spacing w:line="480" w:lineRule="auto"/>
        <w:jc w:val="both"/>
        <w:rPr>
          <w:rFonts w:ascii="Arial" w:hAnsi="Arial" w:cs="Arial"/>
        </w:rPr>
      </w:pPr>
      <w:r w:rsidRPr="00672C16">
        <w:rPr>
          <w:rFonts w:ascii="Arial" w:hAnsi="Arial" w:cs="Arial"/>
        </w:rPr>
        <w:t>By incorporating pertinent academic theories, the SWOT analysis of social enterprises can be further enhanced. Social Capital Theory (Putnam, 2000) emphasises the significance of networks, trust, and norms in the promotion of collective action. This is consistent with the capabilities of social enterprises to establish stakeholder trust and community support. The Resource-Based View (RBV) (Barney, 1991) emphasises the importance of utilising distinctive resources and capabilities to gain a competitive edge, which is relevant to resolving the weaknesses associated with resource constraints and balancing dual objectives.</w:t>
      </w:r>
    </w:p>
    <w:p w14:paraId="3031FA0C" w14:textId="5F6F8779" w:rsidR="00672C16" w:rsidRDefault="00672C16" w:rsidP="00672C16">
      <w:pPr>
        <w:spacing w:line="480" w:lineRule="auto"/>
        <w:jc w:val="both"/>
        <w:rPr>
          <w:rFonts w:ascii="Arial" w:hAnsi="Arial" w:cs="Arial"/>
        </w:rPr>
      </w:pPr>
      <w:r w:rsidRPr="00672C16">
        <w:rPr>
          <w:rFonts w:ascii="Arial" w:hAnsi="Arial" w:cs="Arial"/>
        </w:rPr>
        <w:t xml:space="preserve">Stakeholder Theory (Freeman, 1984) underscores the necessity of effectively managing relationships with a variety of stakeholders </w:t>
      </w:r>
      <w:r w:rsidRPr="00672C16">
        <w:rPr>
          <w:rFonts w:ascii="Arial" w:hAnsi="Arial" w:cs="Arial"/>
        </w:rPr>
        <w:t>to</w:t>
      </w:r>
      <w:r w:rsidRPr="00672C16">
        <w:rPr>
          <w:rFonts w:ascii="Arial" w:hAnsi="Arial" w:cs="Arial"/>
        </w:rPr>
        <w:t xml:space="preserve"> achieve organisational success. This theory is in alignment with the opportunities that partnerships and ethical consumer preferences present. Institutional Theory (DiMaggio &amp; Powell, 1983) offers valuable insights into the regulatory and normative environments that social enterprises must navigate, which are pertinent to the threats posed by market dynamics and regulatory challenges.</w:t>
      </w:r>
    </w:p>
    <w:p w14:paraId="28EFF1DC" w14:textId="77777777" w:rsidR="00672C16" w:rsidRDefault="00672C16" w:rsidP="00672C16">
      <w:pPr>
        <w:spacing w:line="480" w:lineRule="auto"/>
        <w:jc w:val="both"/>
        <w:rPr>
          <w:rFonts w:ascii="Arial" w:hAnsi="Arial" w:cs="Arial"/>
        </w:rPr>
      </w:pPr>
      <w:r w:rsidRPr="00672C16">
        <w:rPr>
          <w:rFonts w:ascii="Arial" w:hAnsi="Arial" w:cs="Arial"/>
        </w:rPr>
        <w:t xml:space="preserve">TOMS Shoes, Grameen Bank, and </w:t>
      </w:r>
      <w:proofErr w:type="spellStart"/>
      <w:r w:rsidRPr="00672C16">
        <w:rPr>
          <w:rFonts w:ascii="Arial" w:hAnsi="Arial" w:cs="Arial"/>
        </w:rPr>
        <w:t>Fairphone</w:t>
      </w:r>
      <w:proofErr w:type="spellEnd"/>
      <w:r w:rsidRPr="00672C16">
        <w:rPr>
          <w:rFonts w:ascii="Arial" w:hAnsi="Arial" w:cs="Arial"/>
        </w:rPr>
        <w:t xml:space="preserve"> are among the industry examples that demonstrate how social enterprises can capitalise on their strengths and opportunities while simultaneously managing their weaknesses and threats. These examples illustrate the practical implementation of academic theories in real-world scenarios, emphasising the interplay between theory and practice in the social enterprise </w:t>
      </w:r>
      <w:proofErr w:type="spellStart"/>
      <w:r w:rsidRPr="00672C16">
        <w:rPr>
          <w:rFonts w:ascii="Arial" w:hAnsi="Arial" w:cs="Arial"/>
        </w:rPr>
        <w:t>sector.</w:t>
      </w:r>
      <w:proofErr w:type="spellEnd"/>
    </w:p>
    <w:p w14:paraId="5B916546" w14:textId="77777777" w:rsidR="00672C16" w:rsidRDefault="00672C16" w:rsidP="00672C16">
      <w:pPr>
        <w:spacing w:line="480" w:lineRule="auto"/>
        <w:jc w:val="both"/>
        <w:rPr>
          <w:rFonts w:ascii="Arial" w:hAnsi="Arial" w:cs="Arial"/>
        </w:rPr>
      </w:pPr>
    </w:p>
    <w:p w14:paraId="05E69AAF" w14:textId="77777777" w:rsidR="00672C16" w:rsidRDefault="00672C16" w:rsidP="00672C16">
      <w:pPr>
        <w:spacing w:line="480" w:lineRule="auto"/>
        <w:jc w:val="both"/>
        <w:rPr>
          <w:rFonts w:ascii="Arial" w:hAnsi="Arial" w:cs="Arial"/>
        </w:rPr>
      </w:pPr>
    </w:p>
    <w:p w14:paraId="6685A0D6" w14:textId="533E4B62" w:rsidR="00672C16" w:rsidRDefault="00672C16" w:rsidP="00672C16">
      <w:pPr>
        <w:spacing w:line="480" w:lineRule="auto"/>
        <w:jc w:val="both"/>
        <w:rPr>
          <w:rFonts w:ascii="Arial" w:hAnsi="Arial" w:cs="Arial"/>
        </w:rPr>
      </w:pPr>
      <w:r w:rsidRPr="00C467E7">
        <w:rPr>
          <w:rFonts w:ascii="Arial Black" w:hAnsi="Arial Black" w:cs="Arial"/>
          <w:color w:val="BF4E14" w:themeColor="accent2" w:themeShade="BF"/>
        </w:rPr>
        <w:lastRenderedPageBreak/>
        <w:t>C</w:t>
      </w:r>
      <w:r w:rsidRPr="00672C16">
        <w:rPr>
          <w:rFonts w:ascii="Arial Black" w:hAnsi="Arial Black" w:cs="Arial"/>
          <w:color w:val="BF4E14" w:themeColor="accent2" w:themeShade="BF"/>
        </w:rPr>
        <w:t>onclusion</w:t>
      </w:r>
      <w:r w:rsidRPr="00672C16">
        <w:rPr>
          <w:rFonts w:ascii="Arial Black" w:hAnsi="Arial Black" w:cs="Arial"/>
          <w:color w:val="BF4E14" w:themeColor="accent2" w:themeShade="BF"/>
        </w:rPr>
        <w:br/>
      </w:r>
      <w:r w:rsidRPr="00672C16">
        <w:rPr>
          <w:rFonts w:ascii="Arial" w:hAnsi="Arial" w:cs="Arial"/>
        </w:rPr>
        <w:br/>
        <w:t>In conclusion, social enterprises play a crucial role in fostering inclusive and sustainable growth by balancing social missions with business objectives. While they face challenges such as funding limitations and market volatility, their strengths, including community support and innovation, position them uniquely in the marketplace. By embracing opportunities like ethical consumerism and technological advancements, and by implementing strategies to diversify funding and strengthen governance, social enterprises can navigate their inherent weaknesses and threats. Ultimately, their commitment to social impact, coupled with strategic adaptability, will enable them to make significant contributions to both economic development and societal well-being in the future.</w:t>
      </w:r>
    </w:p>
    <w:p w14:paraId="5C2C0126" w14:textId="77777777" w:rsidR="00672C16" w:rsidRDefault="00672C16" w:rsidP="00672C16">
      <w:pPr>
        <w:spacing w:line="480" w:lineRule="auto"/>
        <w:jc w:val="both"/>
        <w:rPr>
          <w:rFonts w:ascii="Arial" w:hAnsi="Arial" w:cs="Arial"/>
        </w:rPr>
      </w:pPr>
    </w:p>
    <w:p w14:paraId="4C7A4BDA" w14:textId="77777777" w:rsidR="00672C16" w:rsidRDefault="00672C16" w:rsidP="00672C16">
      <w:pPr>
        <w:spacing w:line="480" w:lineRule="auto"/>
        <w:jc w:val="both"/>
        <w:rPr>
          <w:rFonts w:ascii="Arial" w:hAnsi="Arial" w:cs="Arial"/>
        </w:rPr>
      </w:pPr>
    </w:p>
    <w:p w14:paraId="09D87AFE" w14:textId="77777777" w:rsidR="00672C16" w:rsidRDefault="00672C16" w:rsidP="00672C16">
      <w:pPr>
        <w:spacing w:line="480" w:lineRule="auto"/>
        <w:jc w:val="both"/>
        <w:rPr>
          <w:rFonts w:ascii="Arial" w:hAnsi="Arial" w:cs="Arial"/>
        </w:rPr>
      </w:pPr>
    </w:p>
    <w:p w14:paraId="194E3026" w14:textId="77777777" w:rsidR="00672C16" w:rsidRDefault="00672C16" w:rsidP="00672C16">
      <w:pPr>
        <w:spacing w:line="480" w:lineRule="auto"/>
        <w:jc w:val="both"/>
        <w:rPr>
          <w:rFonts w:ascii="Arial" w:hAnsi="Arial" w:cs="Arial"/>
        </w:rPr>
      </w:pPr>
    </w:p>
    <w:p w14:paraId="143EB555" w14:textId="77777777" w:rsidR="00672C16" w:rsidRDefault="00672C16" w:rsidP="00672C16">
      <w:pPr>
        <w:spacing w:line="480" w:lineRule="auto"/>
        <w:jc w:val="both"/>
        <w:rPr>
          <w:rFonts w:ascii="Arial" w:hAnsi="Arial" w:cs="Arial"/>
        </w:rPr>
      </w:pPr>
    </w:p>
    <w:p w14:paraId="7470D1C4" w14:textId="77777777" w:rsidR="00672C16" w:rsidRDefault="00672C16" w:rsidP="00672C16">
      <w:pPr>
        <w:spacing w:line="480" w:lineRule="auto"/>
        <w:jc w:val="both"/>
        <w:rPr>
          <w:rFonts w:ascii="Arial" w:hAnsi="Arial" w:cs="Arial"/>
        </w:rPr>
      </w:pPr>
    </w:p>
    <w:p w14:paraId="6582714F" w14:textId="77777777" w:rsidR="00672C16" w:rsidRDefault="00672C16" w:rsidP="00672C16">
      <w:pPr>
        <w:spacing w:line="480" w:lineRule="auto"/>
        <w:jc w:val="both"/>
        <w:rPr>
          <w:rFonts w:ascii="Arial" w:hAnsi="Arial" w:cs="Arial"/>
        </w:rPr>
      </w:pPr>
    </w:p>
    <w:p w14:paraId="6E337BBE" w14:textId="77777777" w:rsidR="00672C16" w:rsidRDefault="00672C16" w:rsidP="00672C16">
      <w:pPr>
        <w:spacing w:line="480" w:lineRule="auto"/>
        <w:jc w:val="both"/>
        <w:rPr>
          <w:rFonts w:ascii="Arial" w:hAnsi="Arial" w:cs="Arial"/>
        </w:rPr>
      </w:pPr>
    </w:p>
    <w:p w14:paraId="696363EC" w14:textId="77777777" w:rsidR="00672C16" w:rsidRDefault="00672C16" w:rsidP="00672C16">
      <w:pPr>
        <w:spacing w:line="480" w:lineRule="auto"/>
        <w:jc w:val="both"/>
        <w:rPr>
          <w:rFonts w:ascii="Arial" w:hAnsi="Arial" w:cs="Arial"/>
        </w:rPr>
      </w:pPr>
    </w:p>
    <w:p w14:paraId="6A4337B2" w14:textId="77777777" w:rsidR="00672C16" w:rsidRDefault="00672C16" w:rsidP="00672C16">
      <w:pPr>
        <w:spacing w:line="480" w:lineRule="auto"/>
        <w:jc w:val="both"/>
        <w:rPr>
          <w:rFonts w:ascii="Arial" w:hAnsi="Arial" w:cs="Arial"/>
        </w:rPr>
      </w:pPr>
    </w:p>
    <w:p w14:paraId="7110FD62" w14:textId="1FA61B0B" w:rsidR="00672C16" w:rsidRPr="00C467E7" w:rsidRDefault="00672C16" w:rsidP="00672C16">
      <w:pPr>
        <w:spacing w:line="480" w:lineRule="auto"/>
        <w:jc w:val="both"/>
        <w:rPr>
          <w:rFonts w:ascii="Arial Black" w:hAnsi="Arial Black" w:cs="Arial"/>
          <w:color w:val="BF4E14" w:themeColor="accent2" w:themeShade="BF"/>
        </w:rPr>
      </w:pPr>
      <w:r w:rsidRPr="00C467E7">
        <w:rPr>
          <w:rFonts w:ascii="Arial Black" w:hAnsi="Arial Black" w:cs="Arial"/>
          <w:color w:val="BF4E14" w:themeColor="accent2" w:themeShade="BF"/>
        </w:rPr>
        <w:lastRenderedPageBreak/>
        <w:t xml:space="preserve">References in APA format </w:t>
      </w:r>
    </w:p>
    <w:p w14:paraId="1AA38437" w14:textId="77777777" w:rsidR="00C467E7" w:rsidRDefault="00C467E7" w:rsidP="00672C16">
      <w:pPr>
        <w:spacing w:line="480" w:lineRule="auto"/>
        <w:jc w:val="both"/>
        <w:rPr>
          <w:rFonts w:ascii="Arial" w:hAnsi="Arial" w:cs="Arial"/>
        </w:rPr>
      </w:pPr>
    </w:p>
    <w:p w14:paraId="73B47CD1" w14:textId="77777777" w:rsidR="00C467E7" w:rsidRPr="00C467E7" w:rsidRDefault="00C467E7" w:rsidP="00C467E7">
      <w:pPr>
        <w:spacing w:line="240" w:lineRule="auto"/>
        <w:ind w:firstLine="720"/>
        <w:jc w:val="both"/>
        <w:rPr>
          <w:rFonts w:ascii="Arial" w:hAnsi="Arial" w:cs="Arial"/>
        </w:rPr>
      </w:pPr>
      <w:r w:rsidRPr="00C467E7">
        <w:rPr>
          <w:rFonts w:ascii="Arial" w:hAnsi="Arial" w:cs="Arial"/>
        </w:rPr>
        <w:t xml:space="preserve">Austin, J., Stevenson, H., &amp; Wei-Skillern, J. (2006). Social and commercial entrepreneurship: Same, different, or both? </w:t>
      </w:r>
      <w:r w:rsidRPr="00C467E7">
        <w:rPr>
          <w:rFonts w:ascii="Arial" w:hAnsi="Arial" w:cs="Arial"/>
          <w:i/>
          <w:iCs/>
        </w:rPr>
        <w:t>Entrepreneurship Theory and Practice, 30</w:t>
      </w:r>
      <w:r w:rsidRPr="00C467E7">
        <w:rPr>
          <w:rFonts w:ascii="Arial" w:hAnsi="Arial" w:cs="Arial"/>
        </w:rPr>
        <w:t>(1), 1–22.</w:t>
      </w:r>
    </w:p>
    <w:p w14:paraId="6E25634C" w14:textId="77777777" w:rsidR="00C467E7" w:rsidRPr="00C467E7" w:rsidRDefault="00C467E7" w:rsidP="00C467E7">
      <w:pPr>
        <w:spacing w:line="240" w:lineRule="auto"/>
        <w:ind w:firstLine="720"/>
        <w:jc w:val="both"/>
        <w:rPr>
          <w:rFonts w:ascii="Arial" w:hAnsi="Arial" w:cs="Arial"/>
        </w:rPr>
      </w:pPr>
    </w:p>
    <w:p w14:paraId="2B5F40BD" w14:textId="77777777" w:rsidR="00C467E7" w:rsidRPr="00C467E7" w:rsidRDefault="00C467E7" w:rsidP="00C467E7">
      <w:pPr>
        <w:spacing w:line="240" w:lineRule="auto"/>
        <w:ind w:firstLine="720"/>
        <w:jc w:val="both"/>
        <w:rPr>
          <w:rFonts w:ascii="Arial" w:hAnsi="Arial" w:cs="Arial"/>
        </w:rPr>
      </w:pPr>
      <w:r w:rsidRPr="00C467E7">
        <w:rPr>
          <w:rFonts w:ascii="Arial" w:hAnsi="Arial" w:cs="Arial"/>
        </w:rPr>
        <w:t xml:space="preserve">Barney, J. (1991). Firm resources and sustained competitive advantage. </w:t>
      </w:r>
      <w:r w:rsidRPr="00C467E7">
        <w:rPr>
          <w:rFonts w:ascii="Arial" w:hAnsi="Arial" w:cs="Arial"/>
          <w:i/>
          <w:iCs/>
        </w:rPr>
        <w:t>Journal of Management, 17</w:t>
      </w:r>
      <w:r w:rsidRPr="00C467E7">
        <w:rPr>
          <w:rFonts w:ascii="Arial" w:hAnsi="Arial" w:cs="Arial"/>
        </w:rPr>
        <w:t>(1), 99–120.</w:t>
      </w:r>
    </w:p>
    <w:p w14:paraId="00435C52" w14:textId="77777777" w:rsidR="00C467E7" w:rsidRPr="00C467E7" w:rsidRDefault="00C467E7" w:rsidP="00C467E7">
      <w:pPr>
        <w:spacing w:line="240" w:lineRule="auto"/>
        <w:ind w:firstLine="720"/>
        <w:jc w:val="both"/>
        <w:rPr>
          <w:rFonts w:ascii="Arial" w:hAnsi="Arial" w:cs="Arial"/>
        </w:rPr>
      </w:pPr>
    </w:p>
    <w:p w14:paraId="3339581B" w14:textId="77777777" w:rsidR="00C467E7" w:rsidRPr="00C467E7" w:rsidRDefault="00C467E7" w:rsidP="00C467E7">
      <w:pPr>
        <w:spacing w:line="240" w:lineRule="auto"/>
        <w:ind w:firstLine="720"/>
        <w:jc w:val="both"/>
        <w:rPr>
          <w:rFonts w:ascii="Arial" w:hAnsi="Arial" w:cs="Arial"/>
        </w:rPr>
      </w:pPr>
      <w:r w:rsidRPr="00C467E7">
        <w:rPr>
          <w:rFonts w:ascii="Arial" w:hAnsi="Arial" w:cs="Arial"/>
        </w:rPr>
        <w:t xml:space="preserve">Bamford, A. (2017). </w:t>
      </w:r>
      <w:proofErr w:type="spellStart"/>
      <w:r w:rsidRPr="00C467E7">
        <w:rPr>
          <w:rFonts w:ascii="Arial" w:hAnsi="Arial" w:cs="Arial"/>
        </w:rPr>
        <w:t>Fairphone</w:t>
      </w:r>
      <w:proofErr w:type="spellEnd"/>
      <w:r w:rsidRPr="00C467E7">
        <w:rPr>
          <w:rFonts w:ascii="Arial" w:hAnsi="Arial" w:cs="Arial"/>
        </w:rPr>
        <w:t xml:space="preserve">: A case study in sustainable technology. </w:t>
      </w:r>
      <w:r w:rsidRPr="00C467E7">
        <w:rPr>
          <w:rFonts w:ascii="Arial" w:hAnsi="Arial" w:cs="Arial"/>
          <w:i/>
          <w:iCs/>
        </w:rPr>
        <w:t>Journal of Business Ethics, 152</w:t>
      </w:r>
      <w:r w:rsidRPr="00C467E7">
        <w:rPr>
          <w:rFonts w:ascii="Arial" w:hAnsi="Arial" w:cs="Arial"/>
        </w:rPr>
        <w:t>(3), 567–580.</w:t>
      </w:r>
    </w:p>
    <w:p w14:paraId="39F5E4FE" w14:textId="77777777" w:rsidR="00C467E7" w:rsidRPr="00C467E7" w:rsidRDefault="00C467E7" w:rsidP="00C467E7">
      <w:pPr>
        <w:spacing w:line="240" w:lineRule="auto"/>
        <w:ind w:firstLine="720"/>
        <w:jc w:val="both"/>
        <w:rPr>
          <w:rFonts w:ascii="Arial" w:hAnsi="Arial" w:cs="Arial"/>
        </w:rPr>
      </w:pPr>
    </w:p>
    <w:p w14:paraId="295EBCB1" w14:textId="77777777" w:rsidR="00C467E7" w:rsidRPr="00C467E7" w:rsidRDefault="00C467E7" w:rsidP="00C467E7">
      <w:pPr>
        <w:spacing w:line="240" w:lineRule="auto"/>
        <w:ind w:firstLine="720"/>
        <w:jc w:val="both"/>
        <w:rPr>
          <w:rFonts w:ascii="Arial" w:hAnsi="Arial" w:cs="Arial"/>
        </w:rPr>
      </w:pPr>
      <w:r w:rsidRPr="00C467E7">
        <w:rPr>
          <w:rFonts w:ascii="Arial" w:hAnsi="Arial" w:cs="Arial"/>
        </w:rPr>
        <w:t xml:space="preserve">Chouinard, Y., &amp; Stanley, V. (2012). </w:t>
      </w:r>
      <w:r w:rsidRPr="00C467E7">
        <w:rPr>
          <w:rFonts w:ascii="Arial" w:hAnsi="Arial" w:cs="Arial"/>
          <w:i/>
          <w:iCs/>
        </w:rPr>
        <w:t>The responsible company: What we've learned from Patagonia's first 40 years.</w:t>
      </w:r>
      <w:r w:rsidRPr="00C467E7">
        <w:rPr>
          <w:rFonts w:ascii="Arial" w:hAnsi="Arial" w:cs="Arial"/>
        </w:rPr>
        <w:t xml:space="preserve"> Patagonia Books.</w:t>
      </w:r>
    </w:p>
    <w:p w14:paraId="327992AA" w14:textId="77777777" w:rsidR="00C467E7" w:rsidRPr="00C467E7" w:rsidRDefault="00C467E7" w:rsidP="00C467E7">
      <w:pPr>
        <w:spacing w:line="240" w:lineRule="auto"/>
        <w:ind w:firstLine="720"/>
        <w:jc w:val="both"/>
        <w:rPr>
          <w:rFonts w:ascii="Arial" w:hAnsi="Arial" w:cs="Arial"/>
        </w:rPr>
      </w:pPr>
    </w:p>
    <w:p w14:paraId="7CFC5EB8" w14:textId="77777777" w:rsidR="00C467E7" w:rsidRPr="00C467E7" w:rsidRDefault="00C467E7" w:rsidP="00C467E7">
      <w:pPr>
        <w:spacing w:line="240" w:lineRule="auto"/>
        <w:ind w:firstLine="720"/>
        <w:jc w:val="both"/>
        <w:rPr>
          <w:rFonts w:ascii="Arial" w:hAnsi="Arial" w:cs="Arial"/>
        </w:rPr>
      </w:pPr>
      <w:r w:rsidRPr="00C467E7">
        <w:rPr>
          <w:rFonts w:ascii="Arial" w:hAnsi="Arial" w:cs="Arial"/>
        </w:rPr>
        <w:t xml:space="preserve">DiMaggio, P. J., &amp; Powell, W. W. (1983). The iron cage revisited: Institutional isomorphism and collective rationality in organizational fields. </w:t>
      </w:r>
      <w:r w:rsidRPr="00C467E7">
        <w:rPr>
          <w:rFonts w:ascii="Arial" w:hAnsi="Arial" w:cs="Arial"/>
          <w:i/>
          <w:iCs/>
        </w:rPr>
        <w:t>American Sociological Review, 48</w:t>
      </w:r>
      <w:r w:rsidRPr="00C467E7">
        <w:rPr>
          <w:rFonts w:ascii="Arial" w:hAnsi="Arial" w:cs="Arial"/>
        </w:rPr>
        <w:t>(2), 147–160.</w:t>
      </w:r>
    </w:p>
    <w:p w14:paraId="78CAA650" w14:textId="77777777" w:rsidR="00C467E7" w:rsidRPr="00C467E7" w:rsidRDefault="00C467E7" w:rsidP="00C467E7">
      <w:pPr>
        <w:spacing w:line="240" w:lineRule="auto"/>
        <w:ind w:firstLine="720"/>
        <w:jc w:val="both"/>
        <w:rPr>
          <w:rFonts w:ascii="Arial" w:hAnsi="Arial" w:cs="Arial"/>
        </w:rPr>
      </w:pPr>
    </w:p>
    <w:p w14:paraId="115B3371" w14:textId="77777777" w:rsidR="00C467E7" w:rsidRPr="00C467E7" w:rsidRDefault="00C467E7" w:rsidP="00C467E7">
      <w:pPr>
        <w:spacing w:line="240" w:lineRule="auto"/>
        <w:ind w:firstLine="720"/>
        <w:jc w:val="both"/>
        <w:rPr>
          <w:rFonts w:ascii="Arial" w:hAnsi="Arial" w:cs="Arial"/>
        </w:rPr>
      </w:pPr>
      <w:r w:rsidRPr="00C467E7">
        <w:rPr>
          <w:rFonts w:ascii="Arial" w:hAnsi="Arial" w:cs="Arial"/>
        </w:rPr>
        <w:t xml:space="preserve">Freeman, R. E. (1984). </w:t>
      </w:r>
      <w:r w:rsidRPr="00C467E7">
        <w:rPr>
          <w:rFonts w:ascii="Arial" w:hAnsi="Arial" w:cs="Arial"/>
          <w:i/>
          <w:iCs/>
        </w:rPr>
        <w:t>Strategic management: A stakeholder approach.</w:t>
      </w:r>
      <w:r w:rsidRPr="00C467E7">
        <w:rPr>
          <w:rFonts w:ascii="Arial" w:hAnsi="Arial" w:cs="Arial"/>
        </w:rPr>
        <w:t xml:space="preserve"> Cambridge University Press.</w:t>
      </w:r>
    </w:p>
    <w:p w14:paraId="72D12A93" w14:textId="77777777" w:rsidR="00C467E7" w:rsidRPr="00C467E7" w:rsidRDefault="00C467E7" w:rsidP="00C467E7">
      <w:pPr>
        <w:spacing w:line="240" w:lineRule="auto"/>
        <w:ind w:firstLine="720"/>
        <w:jc w:val="both"/>
        <w:rPr>
          <w:rFonts w:ascii="Arial" w:hAnsi="Arial" w:cs="Arial"/>
        </w:rPr>
      </w:pPr>
    </w:p>
    <w:p w14:paraId="5D5B2FE7" w14:textId="77777777" w:rsidR="00C467E7" w:rsidRPr="00C467E7" w:rsidRDefault="00C467E7" w:rsidP="00C467E7">
      <w:pPr>
        <w:spacing w:line="240" w:lineRule="auto"/>
        <w:ind w:firstLine="720"/>
        <w:jc w:val="both"/>
        <w:rPr>
          <w:rFonts w:ascii="Arial" w:hAnsi="Arial" w:cs="Arial"/>
        </w:rPr>
      </w:pPr>
      <w:r w:rsidRPr="00C467E7">
        <w:rPr>
          <w:rFonts w:ascii="Arial" w:hAnsi="Arial" w:cs="Arial"/>
        </w:rPr>
        <w:t xml:space="preserve">Jackson, E. T., &amp; Harji, K. (2013). </w:t>
      </w:r>
      <w:r w:rsidRPr="00C467E7">
        <w:rPr>
          <w:rFonts w:ascii="Arial" w:hAnsi="Arial" w:cs="Arial"/>
          <w:i/>
          <w:iCs/>
        </w:rPr>
        <w:t>Accelerating impact: Achievements, challenges and what’s next in building the impact investing industry.</w:t>
      </w:r>
      <w:r w:rsidRPr="00C467E7">
        <w:rPr>
          <w:rFonts w:ascii="Arial" w:hAnsi="Arial" w:cs="Arial"/>
        </w:rPr>
        <w:t xml:space="preserve"> Rockefeller Foundation.</w:t>
      </w:r>
    </w:p>
    <w:p w14:paraId="0E499D58" w14:textId="77777777" w:rsidR="00C467E7" w:rsidRPr="00C467E7" w:rsidRDefault="00C467E7" w:rsidP="00C467E7">
      <w:pPr>
        <w:spacing w:line="240" w:lineRule="auto"/>
        <w:ind w:firstLine="720"/>
        <w:jc w:val="both"/>
        <w:rPr>
          <w:rFonts w:ascii="Arial" w:hAnsi="Arial" w:cs="Arial"/>
        </w:rPr>
      </w:pPr>
    </w:p>
    <w:p w14:paraId="3925E614" w14:textId="77777777" w:rsidR="00C467E7" w:rsidRPr="00C467E7" w:rsidRDefault="00C467E7" w:rsidP="00C467E7">
      <w:pPr>
        <w:spacing w:line="240" w:lineRule="auto"/>
        <w:ind w:firstLine="720"/>
        <w:jc w:val="both"/>
        <w:rPr>
          <w:rFonts w:ascii="Arial" w:hAnsi="Arial" w:cs="Arial"/>
        </w:rPr>
      </w:pPr>
      <w:r w:rsidRPr="00C467E7">
        <w:rPr>
          <w:rFonts w:ascii="Arial" w:hAnsi="Arial" w:cs="Arial"/>
        </w:rPr>
        <w:t xml:space="preserve">Leadbeater, C. (1997). </w:t>
      </w:r>
      <w:r w:rsidRPr="00C467E7">
        <w:rPr>
          <w:rFonts w:ascii="Arial" w:hAnsi="Arial" w:cs="Arial"/>
          <w:i/>
          <w:iCs/>
        </w:rPr>
        <w:t>The rise of the social entrepreneur</w:t>
      </w:r>
      <w:r w:rsidRPr="00C467E7">
        <w:rPr>
          <w:rFonts w:ascii="Arial" w:hAnsi="Arial" w:cs="Arial"/>
        </w:rPr>
        <w:t>. Demos.</w:t>
      </w:r>
    </w:p>
    <w:p w14:paraId="7DF84E13" w14:textId="77777777" w:rsidR="00C467E7" w:rsidRPr="00C467E7" w:rsidRDefault="00C467E7" w:rsidP="00C467E7">
      <w:pPr>
        <w:spacing w:line="240" w:lineRule="auto"/>
        <w:ind w:firstLine="720"/>
        <w:jc w:val="both"/>
        <w:rPr>
          <w:rFonts w:ascii="Arial" w:hAnsi="Arial" w:cs="Arial"/>
        </w:rPr>
      </w:pPr>
    </w:p>
    <w:p w14:paraId="39D833AD" w14:textId="77777777" w:rsidR="00C467E7" w:rsidRPr="00C467E7" w:rsidRDefault="00C467E7" w:rsidP="00C467E7">
      <w:pPr>
        <w:spacing w:line="240" w:lineRule="auto"/>
        <w:ind w:firstLine="720"/>
        <w:jc w:val="both"/>
        <w:rPr>
          <w:rFonts w:ascii="Arial" w:hAnsi="Arial" w:cs="Arial"/>
        </w:rPr>
      </w:pPr>
      <w:r w:rsidRPr="00C467E7">
        <w:rPr>
          <w:rFonts w:ascii="Arial" w:hAnsi="Arial" w:cs="Arial"/>
        </w:rPr>
        <w:t>Mair, J., &amp; Martí, I. (2006). Social entrepreneurship research: A source of explanation, prediction, and delight. Journal of World Business, 41(1), 36–44.</w:t>
      </w:r>
    </w:p>
    <w:p w14:paraId="36434898" w14:textId="77777777" w:rsidR="00C467E7" w:rsidRPr="00C467E7" w:rsidRDefault="00C467E7" w:rsidP="00C467E7">
      <w:pPr>
        <w:spacing w:line="240" w:lineRule="auto"/>
        <w:ind w:firstLine="720"/>
        <w:jc w:val="both"/>
        <w:rPr>
          <w:rFonts w:ascii="Arial" w:hAnsi="Arial" w:cs="Arial"/>
        </w:rPr>
      </w:pPr>
    </w:p>
    <w:p w14:paraId="4E44B367" w14:textId="77777777" w:rsidR="00C467E7" w:rsidRPr="00C467E7" w:rsidRDefault="00C467E7" w:rsidP="00C467E7">
      <w:pPr>
        <w:spacing w:line="240" w:lineRule="auto"/>
        <w:ind w:firstLine="720"/>
        <w:jc w:val="both"/>
        <w:rPr>
          <w:rFonts w:ascii="Arial" w:hAnsi="Arial" w:cs="Arial"/>
        </w:rPr>
      </w:pPr>
      <w:r w:rsidRPr="00C467E7">
        <w:rPr>
          <w:rFonts w:ascii="Arial" w:hAnsi="Arial" w:cs="Arial"/>
        </w:rPr>
        <w:t xml:space="preserve">Nicholls, A. (2006). </w:t>
      </w:r>
      <w:r w:rsidRPr="00C467E7">
        <w:rPr>
          <w:rFonts w:ascii="Arial" w:hAnsi="Arial" w:cs="Arial"/>
          <w:i/>
          <w:iCs/>
        </w:rPr>
        <w:t>Social entrepreneurship: New models of sustainable social change.</w:t>
      </w:r>
      <w:r w:rsidRPr="00C467E7">
        <w:rPr>
          <w:rFonts w:ascii="Arial" w:hAnsi="Arial" w:cs="Arial"/>
        </w:rPr>
        <w:t xml:space="preserve"> Oxford University Press.</w:t>
      </w:r>
    </w:p>
    <w:p w14:paraId="3CA35B7F" w14:textId="77777777" w:rsidR="00C467E7" w:rsidRPr="00C467E7" w:rsidRDefault="00C467E7" w:rsidP="00C467E7">
      <w:pPr>
        <w:spacing w:line="240" w:lineRule="auto"/>
        <w:ind w:firstLine="720"/>
        <w:jc w:val="both"/>
        <w:rPr>
          <w:rFonts w:ascii="Arial" w:hAnsi="Arial" w:cs="Arial"/>
        </w:rPr>
      </w:pPr>
    </w:p>
    <w:p w14:paraId="61F9F23F" w14:textId="77777777" w:rsidR="00C467E7" w:rsidRPr="00C467E7" w:rsidRDefault="00C467E7" w:rsidP="00C467E7">
      <w:pPr>
        <w:spacing w:line="240" w:lineRule="auto"/>
        <w:ind w:firstLine="720"/>
        <w:jc w:val="both"/>
        <w:rPr>
          <w:rFonts w:ascii="Arial" w:hAnsi="Arial" w:cs="Arial"/>
        </w:rPr>
      </w:pPr>
      <w:proofErr w:type="spellStart"/>
      <w:r w:rsidRPr="00C467E7">
        <w:rPr>
          <w:rFonts w:ascii="Arial" w:hAnsi="Arial" w:cs="Arial"/>
        </w:rPr>
        <w:lastRenderedPageBreak/>
        <w:t>Piderit</w:t>
      </w:r>
      <w:proofErr w:type="spellEnd"/>
      <w:r w:rsidRPr="00C467E7">
        <w:rPr>
          <w:rFonts w:ascii="Arial" w:hAnsi="Arial" w:cs="Arial"/>
        </w:rPr>
        <w:t xml:space="preserve">, S. K. (2000). Rethinking resistance and recognizing ambivalence: A multidimensional view of attitudes toward an organizational change. </w:t>
      </w:r>
      <w:r w:rsidRPr="00C467E7">
        <w:rPr>
          <w:rFonts w:ascii="Arial" w:hAnsi="Arial" w:cs="Arial"/>
          <w:i/>
          <w:iCs/>
        </w:rPr>
        <w:t>Academy of Management Review, 25</w:t>
      </w:r>
      <w:r w:rsidRPr="00C467E7">
        <w:rPr>
          <w:rFonts w:ascii="Arial" w:hAnsi="Arial" w:cs="Arial"/>
        </w:rPr>
        <w:t>(4), 783–794.</w:t>
      </w:r>
    </w:p>
    <w:p w14:paraId="4CCF564B" w14:textId="77777777" w:rsidR="00C467E7" w:rsidRPr="00C467E7" w:rsidRDefault="00C467E7" w:rsidP="00C467E7">
      <w:pPr>
        <w:spacing w:line="240" w:lineRule="auto"/>
        <w:ind w:firstLine="720"/>
        <w:jc w:val="both"/>
        <w:rPr>
          <w:rFonts w:ascii="Arial" w:hAnsi="Arial" w:cs="Arial"/>
        </w:rPr>
      </w:pPr>
    </w:p>
    <w:p w14:paraId="492E5B4E" w14:textId="77777777" w:rsidR="00C467E7" w:rsidRPr="00C467E7" w:rsidRDefault="00C467E7" w:rsidP="00C467E7">
      <w:pPr>
        <w:spacing w:line="240" w:lineRule="auto"/>
        <w:ind w:firstLine="720"/>
        <w:jc w:val="both"/>
        <w:rPr>
          <w:rFonts w:ascii="Arial" w:hAnsi="Arial" w:cs="Arial"/>
        </w:rPr>
      </w:pPr>
      <w:r w:rsidRPr="00C467E7">
        <w:rPr>
          <w:rFonts w:ascii="Arial" w:hAnsi="Arial" w:cs="Arial"/>
        </w:rPr>
        <w:t xml:space="preserve">Porter, M. E., &amp; Kramer, M. R. (2011). Creating shared value. </w:t>
      </w:r>
      <w:r w:rsidRPr="00C467E7">
        <w:rPr>
          <w:rFonts w:ascii="Arial" w:hAnsi="Arial" w:cs="Arial"/>
          <w:i/>
          <w:iCs/>
        </w:rPr>
        <w:t>Harvard Business Review, 89(</w:t>
      </w:r>
      <w:r w:rsidRPr="00C467E7">
        <w:rPr>
          <w:rFonts w:ascii="Arial" w:hAnsi="Arial" w:cs="Arial"/>
        </w:rPr>
        <w:t>1/2), 62–77.</w:t>
      </w:r>
    </w:p>
    <w:p w14:paraId="127193EF" w14:textId="77777777" w:rsidR="00C467E7" w:rsidRPr="00C467E7" w:rsidRDefault="00C467E7" w:rsidP="00C467E7">
      <w:pPr>
        <w:spacing w:line="240" w:lineRule="auto"/>
        <w:ind w:firstLine="720"/>
        <w:jc w:val="both"/>
        <w:rPr>
          <w:rFonts w:ascii="Arial" w:hAnsi="Arial" w:cs="Arial"/>
        </w:rPr>
      </w:pPr>
    </w:p>
    <w:p w14:paraId="2A44EE13" w14:textId="77777777" w:rsidR="00C467E7" w:rsidRPr="00C467E7" w:rsidRDefault="00C467E7" w:rsidP="00C467E7">
      <w:pPr>
        <w:spacing w:line="240" w:lineRule="auto"/>
        <w:ind w:firstLine="720"/>
        <w:jc w:val="both"/>
        <w:rPr>
          <w:rFonts w:ascii="Arial" w:hAnsi="Arial" w:cs="Arial"/>
        </w:rPr>
      </w:pPr>
      <w:r w:rsidRPr="00C467E7">
        <w:rPr>
          <w:rFonts w:ascii="Arial" w:hAnsi="Arial" w:cs="Arial"/>
        </w:rPr>
        <w:t>Rundstrom, K. (2003</w:t>
      </w:r>
      <w:r w:rsidRPr="00C467E7">
        <w:rPr>
          <w:rFonts w:ascii="Arial" w:hAnsi="Arial" w:cs="Arial"/>
          <w:i/>
          <w:iCs/>
        </w:rPr>
        <w:t>). Building cooperative advantage: The Mondragon model</w:t>
      </w:r>
      <w:r w:rsidRPr="00C467E7">
        <w:rPr>
          <w:rFonts w:ascii="Arial" w:hAnsi="Arial" w:cs="Arial"/>
        </w:rPr>
        <w:t>. Berrett-Koehler Publishers.</w:t>
      </w:r>
    </w:p>
    <w:p w14:paraId="316E15DC" w14:textId="77777777" w:rsidR="00C467E7" w:rsidRPr="00C467E7" w:rsidRDefault="00C467E7" w:rsidP="00C467E7">
      <w:pPr>
        <w:spacing w:line="240" w:lineRule="auto"/>
        <w:ind w:firstLine="720"/>
        <w:jc w:val="both"/>
        <w:rPr>
          <w:rFonts w:ascii="Arial" w:hAnsi="Arial" w:cs="Arial"/>
        </w:rPr>
      </w:pPr>
    </w:p>
    <w:p w14:paraId="3080E028" w14:textId="67497349" w:rsidR="00672C16" w:rsidRPr="00672C16" w:rsidRDefault="00C467E7" w:rsidP="00C467E7">
      <w:pPr>
        <w:spacing w:line="240" w:lineRule="auto"/>
        <w:ind w:firstLine="720"/>
        <w:jc w:val="both"/>
        <w:rPr>
          <w:rFonts w:ascii="Arial" w:hAnsi="Arial" w:cs="Arial"/>
        </w:rPr>
      </w:pPr>
      <w:r w:rsidRPr="00C467E7">
        <w:rPr>
          <w:rFonts w:ascii="Arial" w:hAnsi="Arial" w:cs="Arial"/>
        </w:rPr>
        <w:t xml:space="preserve">Yunus, M. (2007). </w:t>
      </w:r>
      <w:r w:rsidRPr="00C467E7">
        <w:rPr>
          <w:rFonts w:ascii="Arial" w:hAnsi="Arial" w:cs="Arial"/>
          <w:i/>
          <w:iCs/>
        </w:rPr>
        <w:t>Creating a world without poverty: Social business and the future of capitalism</w:t>
      </w:r>
      <w:r w:rsidRPr="00C467E7">
        <w:rPr>
          <w:rFonts w:ascii="Arial" w:hAnsi="Arial" w:cs="Arial"/>
        </w:rPr>
        <w:t>. PublicAffairs.</w:t>
      </w:r>
    </w:p>
    <w:p w14:paraId="7483F2FC" w14:textId="77777777" w:rsidR="00672C16" w:rsidRPr="00672C16" w:rsidRDefault="00672C16" w:rsidP="00C467E7">
      <w:pPr>
        <w:spacing w:line="240" w:lineRule="auto"/>
        <w:ind w:firstLine="720"/>
        <w:jc w:val="both"/>
        <w:rPr>
          <w:rFonts w:ascii="Arial" w:hAnsi="Arial" w:cs="Arial"/>
        </w:rPr>
      </w:pPr>
    </w:p>
    <w:sectPr w:rsidR="00672C16" w:rsidRPr="00672C16" w:rsidSect="00CC382D">
      <w:head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7DC015" w14:textId="77777777" w:rsidR="00EA18CF" w:rsidRDefault="00EA18CF" w:rsidP="000145B5">
      <w:pPr>
        <w:spacing w:after="0" w:line="240" w:lineRule="auto"/>
      </w:pPr>
      <w:r>
        <w:separator/>
      </w:r>
    </w:p>
  </w:endnote>
  <w:endnote w:type="continuationSeparator" w:id="0">
    <w:p w14:paraId="5FA56956" w14:textId="77777777" w:rsidR="00EA18CF" w:rsidRDefault="00EA18CF" w:rsidP="00014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96F9F4" w14:textId="77777777" w:rsidR="00EA18CF" w:rsidRDefault="00EA18CF" w:rsidP="000145B5">
      <w:pPr>
        <w:spacing w:after="0" w:line="240" w:lineRule="auto"/>
      </w:pPr>
      <w:r>
        <w:separator/>
      </w:r>
    </w:p>
  </w:footnote>
  <w:footnote w:type="continuationSeparator" w:id="0">
    <w:p w14:paraId="1FE40AA9" w14:textId="77777777" w:rsidR="00EA18CF" w:rsidRDefault="00EA18CF" w:rsidP="000145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57008670"/>
      <w:docPartObj>
        <w:docPartGallery w:val="Page Numbers (Top of Page)"/>
        <w:docPartUnique/>
      </w:docPartObj>
    </w:sdtPr>
    <w:sdtEndPr>
      <w:rPr>
        <w:noProof/>
      </w:rPr>
    </w:sdtEndPr>
    <w:sdtContent>
      <w:p w14:paraId="46DB2F29" w14:textId="484622B1" w:rsidR="000145B5" w:rsidRDefault="000145B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DE1BEC7" w14:textId="77777777" w:rsidR="000145B5" w:rsidRDefault="000145B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16"/>
    <w:rsid w:val="000145B5"/>
    <w:rsid w:val="00672C16"/>
    <w:rsid w:val="00930CF1"/>
    <w:rsid w:val="00C467E7"/>
    <w:rsid w:val="00CC382D"/>
    <w:rsid w:val="00EA18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FB910"/>
  <w15:chartTrackingRefBased/>
  <w15:docId w15:val="{635A768A-ACB7-4F96-B601-298ACF3C8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2C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2C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2C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2C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2C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2C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2C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2C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2C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2C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2C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2C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2C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2C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2C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2C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2C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2C16"/>
    <w:rPr>
      <w:rFonts w:eastAsiaTheme="majorEastAsia" w:cstheme="majorBidi"/>
      <w:color w:val="272727" w:themeColor="text1" w:themeTint="D8"/>
    </w:rPr>
  </w:style>
  <w:style w:type="paragraph" w:styleId="Title">
    <w:name w:val="Title"/>
    <w:basedOn w:val="Normal"/>
    <w:next w:val="Normal"/>
    <w:link w:val="TitleChar"/>
    <w:uiPriority w:val="10"/>
    <w:qFormat/>
    <w:rsid w:val="00672C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2C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2C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2C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2C16"/>
    <w:pPr>
      <w:spacing w:before="160"/>
      <w:jc w:val="center"/>
    </w:pPr>
    <w:rPr>
      <w:i/>
      <w:iCs/>
      <w:color w:val="404040" w:themeColor="text1" w:themeTint="BF"/>
    </w:rPr>
  </w:style>
  <w:style w:type="character" w:customStyle="1" w:styleId="QuoteChar">
    <w:name w:val="Quote Char"/>
    <w:basedOn w:val="DefaultParagraphFont"/>
    <w:link w:val="Quote"/>
    <w:uiPriority w:val="29"/>
    <w:rsid w:val="00672C16"/>
    <w:rPr>
      <w:i/>
      <w:iCs/>
      <w:color w:val="404040" w:themeColor="text1" w:themeTint="BF"/>
    </w:rPr>
  </w:style>
  <w:style w:type="paragraph" w:styleId="ListParagraph">
    <w:name w:val="List Paragraph"/>
    <w:basedOn w:val="Normal"/>
    <w:uiPriority w:val="34"/>
    <w:qFormat/>
    <w:rsid w:val="00672C16"/>
    <w:pPr>
      <w:ind w:left="720"/>
      <w:contextualSpacing/>
    </w:pPr>
  </w:style>
  <w:style w:type="character" w:styleId="IntenseEmphasis">
    <w:name w:val="Intense Emphasis"/>
    <w:basedOn w:val="DefaultParagraphFont"/>
    <w:uiPriority w:val="21"/>
    <w:qFormat/>
    <w:rsid w:val="00672C16"/>
    <w:rPr>
      <w:i/>
      <w:iCs/>
      <w:color w:val="0F4761" w:themeColor="accent1" w:themeShade="BF"/>
    </w:rPr>
  </w:style>
  <w:style w:type="paragraph" w:styleId="IntenseQuote">
    <w:name w:val="Intense Quote"/>
    <w:basedOn w:val="Normal"/>
    <w:next w:val="Normal"/>
    <w:link w:val="IntenseQuoteChar"/>
    <w:uiPriority w:val="30"/>
    <w:qFormat/>
    <w:rsid w:val="00672C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2C16"/>
    <w:rPr>
      <w:i/>
      <w:iCs/>
      <w:color w:val="0F4761" w:themeColor="accent1" w:themeShade="BF"/>
    </w:rPr>
  </w:style>
  <w:style w:type="character" w:styleId="IntenseReference">
    <w:name w:val="Intense Reference"/>
    <w:basedOn w:val="DefaultParagraphFont"/>
    <w:uiPriority w:val="32"/>
    <w:qFormat/>
    <w:rsid w:val="00672C16"/>
    <w:rPr>
      <w:b/>
      <w:bCs/>
      <w:smallCaps/>
      <w:color w:val="0F4761" w:themeColor="accent1" w:themeShade="BF"/>
      <w:spacing w:val="5"/>
    </w:rPr>
  </w:style>
  <w:style w:type="paragraph" w:styleId="NoSpacing">
    <w:name w:val="No Spacing"/>
    <w:link w:val="NoSpacingChar"/>
    <w:uiPriority w:val="1"/>
    <w:qFormat/>
    <w:rsid w:val="00CC382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C382D"/>
    <w:rPr>
      <w:rFonts w:eastAsiaTheme="minorEastAsia"/>
      <w:kern w:val="0"/>
      <w:sz w:val="22"/>
      <w:szCs w:val="22"/>
      <w:lang w:val="en-US"/>
      <w14:ligatures w14:val="none"/>
    </w:rPr>
  </w:style>
  <w:style w:type="paragraph" w:styleId="Header">
    <w:name w:val="header"/>
    <w:basedOn w:val="Normal"/>
    <w:link w:val="HeaderChar"/>
    <w:uiPriority w:val="99"/>
    <w:unhideWhenUsed/>
    <w:rsid w:val="000145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5B5"/>
  </w:style>
  <w:style w:type="paragraph" w:styleId="Footer">
    <w:name w:val="footer"/>
    <w:basedOn w:val="Normal"/>
    <w:link w:val="FooterChar"/>
    <w:uiPriority w:val="99"/>
    <w:unhideWhenUsed/>
    <w:rsid w:val="000145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5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2324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2024-11-10T00:00:00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2089</Words>
  <Characters>11911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Opportunities and Challenges Facing Social Enterprises: A SWOT Analysis</dc:title>
  <dc:subject/>
  <dc:creator>Mirabela Voican (1907947)</dc:creator>
  <cp:keywords/>
  <dc:description/>
  <cp:lastModifiedBy>Mirabela Voican (1907947)</cp:lastModifiedBy>
  <cp:revision>2</cp:revision>
  <dcterms:created xsi:type="dcterms:W3CDTF">2024-11-02T20:05:00Z</dcterms:created>
  <dcterms:modified xsi:type="dcterms:W3CDTF">2024-11-02T20:05:00Z</dcterms:modified>
</cp:coreProperties>
</file>