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9CFFE8" w14:textId="30008127" w:rsidR="004C7172" w:rsidRDefault="00120E29">
      <w:r>
        <w:rPr>
          <w:noProof/>
        </w:rPr>
        <w:drawing>
          <wp:inline distT="0" distB="0" distL="0" distR="0" wp14:anchorId="1E676FEA" wp14:editId="74BB7FA0">
            <wp:extent cx="2621280" cy="1164590"/>
            <wp:effectExtent l="0" t="0" r="7620" b="0"/>
            <wp:docPr id="322630701" name="Picture 1" descr="Trinity Saint Dav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630701" name="Picture 1" descr="Trinity Saint David&#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1280" cy="1164590"/>
                    </a:xfrm>
                    <a:prstGeom prst="rect">
                      <a:avLst/>
                    </a:prstGeom>
                    <a:noFill/>
                  </pic:spPr>
                </pic:pic>
              </a:graphicData>
            </a:graphic>
          </wp:inline>
        </w:drawing>
      </w:r>
    </w:p>
    <w:p w14:paraId="440619DC" w14:textId="77777777" w:rsidR="000F1A80" w:rsidRDefault="000F1A80" w:rsidP="008520CF">
      <w:pPr>
        <w:spacing w:line="360" w:lineRule="auto"/>
      </w:pPr>
    </w:p>
    <w:p w14:paraId="5A21A0D8" w14:textId="77777777" w:rsidR="000F1A80" w:rsidRDefault="000F1A80" w:rsidP="008520CF">
      <w:pPr>
        <w:spacing w:line="360" w:lineRule="auto"/>
      </w:pPr>
    </w:p>
    <w:p w14:paraId="2A426A84" w14:textId="77777777" w:rsidR="000F1A80" w:rsidRDefault="000F1A80" w:rsidP="008520CF">
      <w:pPr>
        <w:spacing w:line="360" w:lineRule="auto"/>
      </w:pPr>
    </w:p>
    <w:p w14:paraId="03C02CF5" w14:textId="572464F8" w:rsidR="00D23A37" w:rsidRPr="008520CF" w:rsidRDefault="00D23A37" w:rsidP="008520CF">
      <w:pPr>
        <w:spacing w:line="360" w:lineRule="auto"/>
        <w:rPr>
          <w:rFonts w:ascii="Arial" w:hAnsi="Arial" w:cs="Arial"/>
          <w:b/>
          <w:bCs/>
          <w:sz w:val="28"/>
          <w:szCs w:val="28"/>
        </w:rPr>
      </w:pPr>
      <w:r w:rsidRPr="008520CF">
        <w:rPr>
          <w:rFonts w:ascii="Arial" w:hAnsi="Arial" w:cs="Arial"/>
          <w:b/>
          <w:bCs/>
          <w:sz w:val="28"/>
          <w:szCs w:val="28"/>
        </w:rPr>
        <w:t>Module Title: Introduction to Physiology</w:t>
      </w:r>
    </w:p>
    <w:p w14:paraId="65AA5EEA" w14:textId="7E89571E" w:rsidR="009A3477" w:rsidRPr="008520CF" w:rsidRDefault="00D23A37" w:rsidP="008520CF">
      <w:pPr>
        <w:spacing w:line="360" w:lineRule="auto"/>
        <w:rPr>
          <w:rFonts w:ascii="Arial" w:hAnsi="Arial" w:cs="Arial"/>
          <w:b/>
          <w:bCs/>
          <w:sz w:val="28"/>
          <w:szCs w:val="28"/>
        </w:rPr>
      </w:pPr>
      <w:r w:rsidRPr="008520CF">
        <w:rPr>
          <w:rFonts w:ascii="Arial" w:hAnsi="Arial" w:cs="Arial"/>
          <w:b/>
          <w:bCs/>
          <w:sz w:val="28"/>
          <w:szCs w:val="28"/>
        </w:rPr>
        <w:t>Module Code: BMHP5023</w:t>
      </w:r>
    </w:p>
    <w:p w14:paraId="0459026B" w14:textId="62D9B177" w:rsidR="00346AB1" w:rsidRPr="008520CF" w:rsidRDefault="009A3477" w:rsidP="008520CF">
      <w:pPr>
        <w:spacing w:line="360" w:lineRule="auto"/>
        <w:rPr>
          <w:rFonts w:ascii="Arial" w:hAnsi="Arial" w:cs="Arial"/>
          <w:b/>
          <w:bCs/>
          <w:sz w:val="28"/>
          <w:szCs w:val="28"/>
        </w:rPr>
      </w:pPr>
      <w:r w:rsidRPr="008520CF">
        <w:rPr>
          <w:rFonts w:ascii="Arial" w:hAnsi="Arial" w:cs="Arial"/>
          <w:b/>
          <w:bCs/>
          <w:sz w:val="28"/>
          <w:szCs w:val="28"/>
        </w:rPr>
        <w:t xml:space="preserve">Assignment Title: </w:t>
      </w:r>
      <w:r w:rsidR="00005C33" w:rsidRPr="008520CF">
        <w:rPr>
          <w:rFonts w:ascii="Arial" w:hAnsi="Arial" w:cs="Arial"/>
          <w:b/>
          <w:bCs/>
          <w:sz w:val="28"/>
          <w:szCs w:val="28"/>
        </w:rPr>
        <w:t>Component 1:Written Assignment (Case Study Report)</w:t>
      </w:r>
    </w:p>
    <w:p w14:paraId="674C0045" w14:textId="77777777" w:rsidR="00346AB1" w:rsidRPr="008520CF" w:rsidRDefault="00346AB1" w:rsidP="008520CF">
      <w:pPr>
        <w:spacing w:line="360" w:lineRule="auto"/>
        <w:rPr>
          <w:rFonts w:ascii="Arial" w:hAnsi="Arial" w:cs="Arial"/>
          <w:b/>
          <w:bCs/>
          <w:sz w:val="28"/>
          <w:szCs w:val="28"/>
        </w:rPr>
      </w:pPr>
      <w:r w:rsidRPr="008520CF">
        <w:rPr>
          <w:rFonts w:ascii="Arial" w:hAnsi="Arial" w:cs="Arial"/>
          <w:b/>
          <w:bCs/>
          <w:sz w:val="28"/>
          <w:szCs w:val="28"/>
        </w:rPr>
        <w:t>Name: Gloria Armoo</w:t>
      </w:r>
    </w:p>
    <w:p w14:paraId="69B33B18" w14:textId="77777777" w:rsidR="00346AB1" w:rsidRPr="008520CF" w:rsidRDefault="00346AB1" w:rsidP="008520CF">
      <w:pPr>
        <w:spacing w:line="360" w:lineRule="auto"/>
        <w:rPr>
          <w:rFonts w:ascii="Arial" w:hAnsi="Arial" w:cs="Arial"/>
          <w:b/>
          <w:bCs/>
          <w:sz w:val="28"/>
          <w:szCs w:val="28"/>
        </w:rPr>
      </w:pPr>
      <w:r w:rsidRPr="008520CF">
        <w:rPr>
          <w:rFonts w:ascii="Arial" w:hAnsi="Arial" w:cs="Arial"/>
          <w:b/>
          <w:bCs/>
          <w:sz w:val="28"/>
          <w:szCs w:val="28"/>
        </w:rPr>
        <w:t>Student ID: 2511523</w:t>
      </w:r>
    </w:p>
    <w:p w14:paraId="58BA8FE3" w14:textId="7B1A061E" w:rsidR="00346AB1" w:rsidRPr="008520CF" w:rsidRDefault="00346AB1" w:rsidP="008520CF">
      <w:pPr>
        <w:spacing w:line="360" w:lineRule="auto"/>
        <w:rPr>
          <w:rFonts w:ascii="Arial" w:hAnsi="Arial" w:cs="Arial"/>
          <w:b/>
          <w:bCs/>
          <w:sz w:val="28"/>
          <w:szCs w:val="28"/>
        </w:rPr>
      </w:pPr>
      <w:r w:rsidRPr="008520CF">
        <w:rPr>
          <w:rFonts w:ascii="Arial" w:hAnsi="Arial" w:cs="Arial"/>
          <w:b/>
          <w:bCs/>
          <w:sz w:val="28"/>
          <w:szCs w:val="28"/>
        </w:rPr>
        <w:t xml:space="preserve">Lecturer: </w:t>
      </w:r>
      <w:r w:rsidR="00EE39EE" w:rsidRPr="008520CF">
        <w:rPr>
          <w:rFonts w:ascii="Arial" w:hAnsi="Arial" w:cs="Arial"/>
          <w:b/>
          <w:bCs/>
          <w:sz w:val="28"/>
          <w:szCs w:val="28"/>
        </w:rPr>
        <w:t>Farah Is</w:t>
      </w:r>
      <w:r w:rsidR="008830BB" w:rsidRPr="008520CF">
        <w:rPr>
          <w:rFonts w:ascii="Arial" w:hAnsi="Arial" w:cs="Arial"/>
          <w:b/>
          <w:bCs/>
          <w:sz w:val="28"/>
          <w:szCs w:val="28"/>
        </w:rPr>
        <w:t>lam</w:t>
      </w:r>
      <w:r w:rsidR="00EE39EE" w:rsidRPr="008520CF">
        <w:rPr>
          <w:rFonts w:ascii="Arial" w:hAnsi="Arial" w:cs="Arial"/>
          <w:b/>
          <w:bCs/>
          <w:sz w:val="28"/>
          <w:szCs w:val="28"/>
        </w:rPr>
        <w:t xml:space="preserve"> </w:t>
      </w:r>
    </w:p>
    <w:p w14:paraId="44649BE4" w14:textId="77777777" w:rsidR="000B22D5" w:rsidRPr="00376B29" w:rsidRDefault="000B22D5" w:rsidP="00346AB1">
      <w:pPr>
        <w:rPr>
          <w:rFonts w:ascii="Arial" w:hAnsi="Arial" w:cs="Arial"/>
          <w:b/>
          <w:bCs/>
          <w:sz w:val="28"/>
          <w:szCs w:val="28"/>
        </w:rPr>
      </w:pPr>
    </w:p>
    <w:p w14:paraId="1672FF73" w14:textId="77777777" w:rsidR="000B22D5" w:rsidRPr="00376B29" w:rsidRDefault="000B22D5" w:rsidP="00346AB1">
      <w:pPr>
        <w:rPr>
          <w:rFonts w:ascii="Arial" w:hAnsi="Arial" w:cs="Arial"/>
          <w:b/>
          <w:bCs/>
        </w:rPr>
      </w:pPr>
    </w:p>
    <w:p w14:paraId="2D9BDDAF" w14:textId="77777777" w:rsidR="000B22D5" w:rsidRPr="00376B29" w:rsidRDefault="000B22D5" w:rsidP="00346AB1">
      <w:pPr>
        <w:rPr>
          <w:rFonts w:ascii="Arial" w:hAnsi="Arial" w:cs="Arial"/>
          <w:b/>
          <w:bCs/>
        </w:rPr>
      </w:pPr>
    </w:p>
    <w:p w14:paraId="079937FB" w14:textId="77777777" w:rsidR="000B22D5" w:rsidRPr="00376B29" w:rsidRDefault="000B22D5" w:rsidP="00346AB1">
      <w:pPr>
        <w:rPr>
          <w:rFonts w:ascii="Arial" w:hAnsi="Arial" w:cs="Arial"/>
          <w:b/>
          <w:bCs/>
        </w:rPr>
      </w:pPr>
    </w:p>
    <w:p w14:paraId="10CA345D" w14:textId="77777777" w:rsidR="000B22D5" w:rsidRDefault="000B22D5" w:rsidP="00346AB1">
      <w:pPr>
        <w:rPr>
          <w:rFonts w:ascii="Arial" w:hAnsi="Arial" w:cs="Arial"/>
        </w:rPr>
      </w:pPr>
    </w:p>
    <w:p w14:paraId="2E1F445B" w14:textId="77777777" w:rsidR="000B22D5" w:rsidRDefault="000B22D5" w:rsidP="00346AB1">
      <w:pPr>
        <w:rPr>
          <w:rFonts w:ascii="Arial" w:hAnsi="Arial" w:cs="Arial"/>
        </w:rPr>
      </w:pPr>
    </w:p>
    <w:p w14:paraId="655C2E40" w14:textId="77777777" w:rsidR="000B22D5" w:rsidRDefault="000B22D5" w:rsidP="00346AB1">
      <w:pPr>
        <w:rPr>
          <w:rFonts w:ascii="Arial" w:hAnsi="Arial" w:cs="Arial"/>
        </w:rPr>
      </w:pPr>
    </w:p>
    <w:p w14:paraId="3C81786C" w14:textId="77777777" w:rsidR="000B22D5" w:rsidRDefault="000B22D5" w:rsidP="00346AB1">
      <w:pPr>
        <w:rPr>
          <w:rFonts w:ascii="Arial" w:hAnsi="Arial" w:cs="Arial"/>
        </w:rPr>
      </w:pPr>
    </w:p>
    <w:p w14:paraId="638A4390" w14:textId="77777777" w:rsidR="000B22D5" w:rsidRDefault="000B22D5" w:rsidP="00346AB1">
      <w:pPr>
        <w:rPr>
          <w:rFonts w:ascii="Arial" w:hAnsi="Arial" w:cs="Arial"/>
        </w:rPr>
      </w:pPr>
    </w:p>
    <w:p w14:paraId="4EB6EF42" w14:textId="77777777" w:rsidR="000B22D5" w:rsidRDefault="000B22D5" w:rsidP="00346AB1">
      <w:pPr>
        <w:rPr>
          <w:rFonts w:ascii="Arial" w:hAnsi="Arial" w:cs="Arial"/>
        </w:rPr>
      </w:pPr>
    </w:p>
    <w:p w14:paraId="7E5821B1" w14:textId="77777777" w:rsidR="000B22D5" w:rsidRDefault="000B22D5" w:rsidP="00346AB1">
      <w:pPr>
        <w:rPr>
          <w:rFonts w:ascii="Arial" w:hAnsi="Arial" w:cs="Arial"/>
        </w:rPr>
      </w:pPr>
    </w:p>
    <w:p w14:paraId="0E6598FC" w14:textId="77777777" w:rsidR="00792F91" w:rsidRDefault="00792F91" w:rsidP="00346AB1">
      <w:pPr>
        <w:rPr>
          <w:rFonts w:ascii="Arial" w:hAnsi="Arial" w:cs="Arial"/>
        </w:rPr>
      </w:pPr>
    </w:p>
    <w:p w14:paraId="11A78325" w14:textId="48C6D1A6" w:rsidR="000B22D5" w:rsidRPr="005E30CE" w:rsidRDefault="00E722EB" w:rsidP="00346AB1">
      <w:pPr>
        <w:rPr>
          <w:rFonts w:ascii="Arial" w:hAnsi="Arial" w:cs="Arial"/>
        </w:rPr>
      </w:pPr>
      <w:r w:rsidRPr="005E30CE">
        <w:rPr>
          <w:rFonts w:ascii="Arial" w:hAnsi="Arial" w:cs="Arial"/>
        </w:rPr>
        <w:lastRenderedPageBreak/>
        <w:t>Table of Contents</w:t>
      </w:r>
    </w:p>
    <w:p w14:paraId="4ACCB8F0" w14:textId="4202B8BE"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1. Introduction</w:t>
      </w:r>
      <w:r w:rsidR="00A62337" w:rsidRPr="00DF2463">
        <w:rPr>
          <w:rFonts w:ascii="Arial" w:hAnsi="Arial" w:cs="Arial"/>
          <w:sz w:val="22"/>
          <w:szCs w:val="22"/>
        </w:rPr>
        <w:t>…………………………………………………………………………</w:t>
      </w:r>
      <w:r w:rsidR="00051F92" w:rsidRPr="00DF2463">
        <w:rPr>
          <w:rFonts w:ascii="Arial" w:hAnsi="Arial" w:cs="Arial"/>
          <w:sz w:val="22"/>
          <w:szCs w:val="22"/>
        </w:rPr>
        <w:t>….</w:t>
      </w:r>
      <w:r w:rsidRPr="00DF2463">
        <w:rPr>
          <w:rFonts w:ascii="Arial" w:hAnsi="Arial" w:cs="Arial"/>
          <w:sz w:val="22"/>
          <w:szCs w:val="22"/>
        </w:rPr>
        <w:tab/>
        <w:t>3</w:t>
      </w:r>
    </w:p>
    <w:p w14:paraId="2ADF9F4A" w14:textId="14D90A81"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2. Regulation of Blood Glucose Levels in the Human Body</w:t>
      </w:r>
      <w:r w:rsidR="00A62337" w:rsidRPr="00DF2463">
        <w:rPr>
          <w:rFonts w:ascii="Arial" w:hAnsi="Arial" w:cs="Arial"/>
          <w:sz w:val="22"/>
          <w:szCs w:val="22"/>
        </w:rPr>
        <w:t>…………………………</w:t>
      </w:r>
      <w:r w:rsidRPr="00DF2463">
        <w:rPr>
          <w:rFonts w:ascii="Arial" w:hAnsi="Arial" w:cs="Arial"/>
          <w:sz w:val="22"/>
          <w:szCs w:val="22"/>
        </w:rPr>
        <w:tab/>
        <w:t>3</w:t>
      </w:r>
    </w:p>
    <w:p w14:paraId="5FEE9407" w14:textId="2CD115F1"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2.1 Normal Blood Glucose Homeostasis</w:t>
      </w:r>
      <w:r w:rsidR="00576B81" w:rsidRPr="00DF2463">
        <w:rPr>
          <w:rFonts w:ascii="Arial" w:hAnsi="Arial" w:cs="Arial"/>
          <w:sz w:val="22"/>
          <w:szCs w:val="22"/>
        </w:rPr>
        <w:t>………………………………………………</w:t>
      </w:r>
      <w:r w:rsidRPr="00DF2463">
        <w:rPr>
          <w:rFonts w:ascii="Arial" w:hAnsi="Arial" w:cs="Arial"/>
          <w:sz w:val="22"/>
          <w:szCs w:val="22"/>
        </w:rPr>
        <w:tab/>
        <w:t>3</w:t>
      </w:r>
    </w:p>
    <w:p w14:paraId="5EB1A895" w14:textId="7FD54E0F"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2.2 Role of Insulin in Blood Glucose Regulation</w:t>
      </w:r>
      <w:r w:rsidR="00394038" w:rsidRPr="00DF2463">
        <w:rPr>
          <w:rFonts w:ascii="Arial" w:hAnsi="Arial" w:cs="Arial"/>
          <w:sz w:val="22"/>
          <w:szCs w:val="22"/>
        </w:rPr>
        <w:t>………………………………………</w:t>
      </w:r>
      <w:r w:rsidRPr="00DF2463">
        <w:rPr>
          <w:rFonts w:ascii="Arial" w:hAnsi="Arial" w:cs="Arial"/>
          <w:sz w:val="22"/>
          <w:szCs w:val="22"/>
        </w:rPr>
        <w:tab/>
        <w:t>4</w:t>
      </w:r>
    </w:p>
    <w:p w14:paraId="609D4660" w14:textId="31CB645D"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2.3 Role of Glucagon in Blood Glucose Regulation</w:t>
      </w:r>
      <w:r w:rsidR="00394038" w:rsidRPr="00DF2463">
        <w:rPr>
          <w:rFonts w:ascii="Arial" w:hAnsi="Arial" w:cs="Arial"/>
          <w:sz w:val="22"/>
          <w:szCs w:val="22"/>
        </w:rPr>
        <w:t>………………………………</w:t>
      </w:r>
      <w:r w:rsidR="00051F92" w:rsidRPr="00DF2463">
        <w:rPr>
          <w:rFonts w:ascii="Arial" w:hAnsi="Arial" w:cs="Arial"/>
          <w:sz w:val="22"/>
          <w:szCs w:val="22"/>
        </w:rPr>
        <w:t>….</w:t>
      </w:r>
      <w:r w:rsidRPr="00DF2463">
        <w:rPr>
          <w:rFonts w:ascii="Arial" w:hAnsi="Arial" w:cs="Arial"/>
          <w:sz w:val="22"/>
          <w:szCs w:val="22"/>
        </w:rPr>
        <w:tab/>
        <w:t>4</w:t>
      </w:r>
    </w:p>
    <w:p w14:paraId="0CA1C072" w14:textId="7AE00F31"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2.4 Blood Glucose Dysregulation in Type 2 Diabetes</w:t>
      </w:r>
      <w:r w:rsidR="00394038" w:rsidRPr="00DF2463">
        <w:rPr>
          <w:rFonts w:ascii="Arial" w:hAnsi="Arial" w:cs="Arial"/>
          <w:sz w:val="22"/>
          <w:szCs w:val="22"/>
        </w:rPr>
        <w:t>……………………………</w:t>
      </w:r>
      <w:r w:rsidR="00051F92" w:rsidRPr="00DF2463">
        <w:rPr>
          <w:rFonts w:ascii="Arial" w:hAnsi="Arial" w:cs="Arial"/>
          <w:sz w:val="22"/>
          <w:szCs w:val="22"/>
        </w:rPr>
        <w:t>….</w:t>
      </w:r>
      <w:r w:rsidRPr="00DF2463">
        <w:rPr>
          <w:rFonts w:ascii="Arial" w:hAnsi="Arial" w:cs="Arial"/>
          <w:sz w:val="22"/>
          <w:szCs w:val="22"/>
        </w:rPr>
        <w:tab/>
        <w:t>5</w:t>
      </w:r>
    </w:p>
    <w:p w14:paraId="34609AA6" w14:textId="64BEF215"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3. Role of Oxygen and Glucose in Cellular Energy Production (Cell Metabolism</w:t>
      </w:r>
      <w:proofErr w:type="gramStart"/>
      <w:r w:rsidRPr="00DF2463">
        <w:rPr>
          <w:rFonts w:ascii="Arial" w:hAnsi="Arial" w:cs="Arial"/>
          <w:sz w:val="22"/>
          <w:szCs w:val="22"/>
        </w:rPr>
        <w:t>)</w:t>
      </w:r>
      <w:r w:rsidR="00394038" w:rsidRPr="00DF2463">
        <w:rPr>
          <w:rFonts w:ascii="Arial" w:hAnsi="Arial" w:cs="Arial"/>
          <w:sz w:val="22"/>
          <w:szCs w:val="22"/>
        </w:rPr>
        <w:t>..</w:t>
      </w:r>
      <w:proofErr w:type="gramEnd"/>
      <w:r w:rsidRPr="00DF2463">
        <w:rPr>
          <w:rFonts w:ascii="Arial" w:hAnsi="Arial" w:cs="Arial"/>
          <w:sz w:val="22"/>
          <w:szCs w:val="22"/>
        </w:rPr>
        <w:tab/>
        <w:t>5</w:t>
      </w:r>
    </w:p>
    <w:p w14:paraId="7919A5D9" w14:textId="6F7593D1"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3.1 Importance of Glucose and Oxygen</w:t>
      </w:r>
      <w:r w:rsidR="00A14EAC" w:rsidRPr="00DF2463">
        <w:rPr>
          <w:rFonts w:ascii="Arial" w:hAnsi="Arial" w:cs="Arial"/>
          <w:sz w:val="22"/>
          <w:szCs w:val="22"/>
        </w:rPr>
        <w:t>……………………………………………</w:t>
      </w:r>
      <w:r w:rsidR="00051F92" w:rsidRPr="00DF2463">
        <w:rPr>
          <w:rFonts w:ascii="Arial" w:hAnsi="Arial" w:cs="Arial"/>
          <w:sz w:val="22"/>
          <w:szCs w:val="22"/>
        </w:rPr>
        <w:t>….</w:t>
      </w:r>
      <w:r w:rsidRPr="00DF2463">
        <w:rPr>
          <w:rFonts w:ascii="Arial" w:hAnsi="Arial" w:cs="Arial"/>
          <w:sz w:val="22"/>
          <w:szCs w:val="22"/>
        </w:rPr>
        <w:tab/>
        <w:t>5</w:t>
      </w:r>
    </w:p>
    <w:p w14:paraId="67FC63F9" w14:textId="2E4DFDE6"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3.2 Cellular Respiration Process</w:t>
      </w:r>
      <w:r w:rsidR="00A14EAC" w:rsidRPr="00DF2463">
        <w:rPr>
          <w:rFonts w:ascii="Arial" w:hAnsi="Arial" w:cs="Arial"/>
          <w:sz w:val="22"/>
          <w:szCs w:val="22"/>
        </w:rPr>
        <w:t>……………………………………………………</w:t>
      </w:r>
      <w:r w:rsidR="00051F92" w:rsidRPr="00DF2463">
        <w:rPr>
          <w:rFonts w:ascii="Arial" w:hAnsi="Arial" w:cs="Arial"/>
          <w:sz w:val="22"/>
          <w:szCs w:val="22"/>
        </w:rPr>
        <w:t>….</w:t>
      </w:r>
      <w:r w:rsidRPr="00DF2463">
        <w:rPr>
          <w:rFonts w:ascii="Arial" w:hAnsi="Arial" w:cs="Arial"/>
          <w:sz w:val="22"/>
          <w:szCs w:val="22"/>
        </w:rPr>
        <w:tab/>
        <w:t>5</w:t>
      </w:r>
    </w:p>
    <w:p w14:paraId="58944842" w14:textId="43122A13"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3.3 Relationship with Type 2 Diabetes</w:t>
      </w:r>
      <w:r w:rsidR="00486030" w:rsidRPr="00DF2463">
        <w:rPr>
          <w:rFonts w:ascii="Arial" w:hAnsi="Arial" w:cs="Arial"/>
          <w:sz w:val="22"/>
          <w:szCs w:val="22"/>
        </w:rPr>
        <w:t>…………………………………………………</w:t>
      </w:r>
      <w:r w:rsidRPr="00DF2463">
        <w:rPr>
          <w:rFonts w:ascii="Arial" w:hAnsi="Arial" w:cs="Arial"/>
          <w:sz w:val="22"/>
          <w:szCs w:val="22"/>
        </w:rPr>
        <w:tab/>
        <w:t>6</w:t>
      </w:r>
    </w:p>
    <w:p w14:paraId="4BA4EF08" w14:textId="3DA4471B"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4. Importance of Recording and Tracking Blood Glucose Levels in Type 2 Diabetes Management</w:t>
      </w:r>
      <w:r w:rsidR="002347EF" w:rsidRPr="00DF2463">
        <w:rPr>
          <w:rFonts w:ascii="Arial" w:hAnsi="Arial" w:cs="Arial"/>
          <w:sz w:val="22"/>
          <w:szCs w:val="22"/>
        </w:rPr>
        <w:t>………………………………………………………………………………</w:t>
      </w:r>
      <w:r w:rsidRPr="00DF2463">
        <w:rPr>
          <w:rFonts w:ascii="Arial" w:hAnsi="Arial" w:cs="Arial"/>
          <w:sz w:val="22"/>
          <w:szCs w:val="22"/>
        </w:rPr>
        <w:tab/>
        <w:t>6</w:t>
      </w:r>
    </w:p>
    <w:p w14:paraId="1172E4B2" w14:textId="7A2FE4A8"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4.1 Purpose of Blood Glucose Monitoring</w:t>
      </w:r>
      <w:r w:rsidR="002347EF" w:rsidRPr="00DF2463">
        <w:rPr>
          <w:rFonts w:ascii="Arial" w:hAnsi="Arial" w:cs="Arial"/>
          <w:sz w:val="22"/>
          <w:szCs w:val="22"/>
        </w:rPr>
        <w:t>…………………………………………</w:t>
      </w:r>
      <w:r w:rsidR="00051F92" w:rsidRPr="00DF2463">
        <w:rPr>
          <w:rFonts w:ascii="Arial" w:hAnsi="Arial" w:cs="Arial"/>
          <w:sz w:val="22"/>
          <w:szCs w:val="22"/>
        </w:rPr>
        <w:t>….</w:t>
      </w:r>
      <w:r w:rsidRPr="00DF2463">
        <w:rPr>
          <w:rFonts w:ascii="Arial" w:hAnsi="Arial" w:cs="Arial"/>
          <w:sz w:val="22"/>
          <w:szCs w:val="22"/>
        </w:rPr>
        <w:tab/>
        <w:t>6</w:t>
      </w:r>
    </w:p>
    <w:p w14:paraId="7FBC2B85" w14:textId="0CD16596"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4.2 Benefits of Long-Term Blood Glucose Tracking</w:t>
      </w:r>
      <w:r w:rsidR="006534DA" w:rsidRPr="00DF2463">
        <w:rPr>
          <w:rFonts w:ascii="Arial" w:hAnsi="Arial" w:cs="Arial"/>
          <w:sz w:val="22"/>
          <w:szCs w:val="22"/>
        </w:rPr>
        <w:t>………………………………</w:t>
      </w:r>
      <w:r w:rsidR="00051F92" w:rsidRPr="00DF2463">
        <w:rPr>
          <w:rFonts w:ascii="Arial" w:hAnsi="Arial" w:cs="Arial"/>
          <w:sz w:val="22"/>
          <w:szCs w:val="22"/>
        </w:rPr>
        <w:t>….</w:t>
      </w:r>
      <w:r w:rsidRPr="00DF2463">
        <w:rPr>
          <w:rFonts w:ascii="Arial" w:hAnsi="Arial" w:cs="Arial"/>
          <w:sz w:val="22"/>
          <w:szCs w:val="22"/>
        </w:rPr>
        <w:tab/>
        <w:t>7</w:t>
      </w:r>
    </w:p>
    <w:p w14:paraId="70DE899F" w14:textId="598FD3DE"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4.3 Role of Healthcare Professionals</w:t>
      </w:r>
      <w:r w:rsidR="006534DA" w:rsidRPr="00DF2463">
        <w:rPr>
          <w:rFonts w:ascii="Arial" w:hAnsi="Arial" w:cs="Arial"/>
          <w:sz w:val="22"/>
          <w:szCs w:val="22"/>
        </w:rPr>
        <w:t>………………………………………………</w:t>
      </w:r>
      <w:r w:rsidR="00051F92" w:rsidRPr="00DF2463">
        <w:rPr>
          <w:rFonts w:ascii="Arial" w:hAnsi="Arial" w:cs="Arial"/>
          <w:sz w:val="22"/>
          <w:szCs w:val="22"/>
        </w:rPr>
        <w:t>….</w:t>
      </w:r>
      <w:r w:rsidRPr="00DF2463">
        <w:rPr>
          <w:rFonts w:ascii="Arial" w:hAnsi="Arial" w:cs="Arial"/>
          <w:sz w:val="22"/>
          <w:szCs w:val="22"/>
        </w:rPr>
        <w:tab/>
        <w:t>7</w:t>
      </w:r>
    </w:p>
    <w:p w14:paraId="24527FCA" w14:textId="06B6CBD3"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5. Evidence-Based Lifestyle Recommendations for Improving Type 2 Diabetes Management</w:t>
      </w:r>
      <w:r w:rsidR="006534DA" w:rsidRPr="00DF2463">
        <w:rPr>
          <w:rFonts w:ascii="Arial" w:hAnsi="Arial" w:cs="Arial"/>
          <w:sz w:val="22"/>
          <w:szCs w:val="22"/>
        </w:rPr>
        <w:t>………………………………………………………………………………</w:t>
      </w:r>
      <w:r w:rsidRPr="00DF2463">
        <w:rPr>
          <w:rFonts w:ascii="Arial" w:hAnsi="Arial" w:cs="Arial"/>
          <w:sz w:val="22"/>
          <w:szCs w:val="22"/>
        </w:rPr>
        <w:tab/>
        <w:t>8</w:t>
      </w:r>
    </w:p>
    <w:p w14:paraId="0BFD38EF" w14:textId="4C33726A"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5.1 Dietary Modification</w:t>
      </w:r>
      <w:r w:rsidR="00746223" w:rsidRPr="00DF2463">
        <w:rPr>
          <w:rFonts w:ascii="Arial" w:hAnsi="Arial" w:cs="Arial"/>
          <w:sz w:val="22"/>
          <w:szCs w:val="22"/>
        </w:rPr>
        <w:t>………………………………………………………………….</w:t>
      </w:r>
      <w:r w:rsidRPr="00DF2463">
        <w:rPr>
          <w:rFonts w:ascii="Arial" w:hAnsi="Arial" w:cs="Arial"/>
          <w:sz w:val="22"/>
          <w:szCs w:val="22"/>
        </w:rPr>
        <w:tab/>
        <w:t>8</w:t>
      </w:r>
    </w:p>
    <w:p w14:paraId="0C7DE66B" w14:textId="6A42D5D9"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5.2 Physical Activity</w:t>
      </w:r>
      <w:r w:rsidR="00746223" w:rsidRPr="00DF2463">
        <w:rPr>
          <w:rFonts w:ascii="Arial" w:hAnsi="Arial" w:cs="Arial"/>
          <w:sz w:val="22"/>
          <w:szCs w:val="22"/>
        </w:rPr>
        <w:t>………………………………………………………………………</w:t>
      </w:r>
      <w:r w:rsidRPr="00DF2463">
        <w:rPr>
          <w:rFonts w:ascii="Arial" w:hAnsi="Arial" w:cs="Arial"/>
          <w:sz w:val="22"/>
          <w:szCs w:val="22"/>
        </w:rPr>
        <w:tab/>
        <w:t>8</w:t>
      </w:r>
    </w:p>
    <w:p w14:paraId="54FD562F" w14:textId="4F35EF78"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5.3 Smoking Cessation</w:t>
      </w:r>
      <w:r w:rsidR="00746223" w:rsidRPr="00DF2463">
        <w:rPr>
          <w:rFonts w:ascii="Arial" w:hAnsi="Arial" w:cs="Arial"/>
          <w:sz w:val="22"/>
          <w:szCs w:val="22"/>
        </w:rPr>
        <w:t>………………………………………………………………</w:t>
      </w:r>
      <w:r w:rsidR="00051F92" w:rsidRPr="00DF2463">
        <w:rPr>
          <w:rFonts w:ascii="Arial" w:hAnsi="Arial" w:cs="Arial"/>
          <w:sz w:val="22"/>
          <w:szCs w:val="22"/>
        </w:rPr>
        <w:t>….</w:t>
      </w:r>
      <w:r w:rsidRPr="00DF2463">
        <w:rPr>
          <w:rFonts w:ascii="Arial" w:hAnsi="Arial" w:cs="Arial"/>
          <w:sz w:val="22"/>
          <w:szCs w:val="22"/>
        </w:rPr>
        <w:tab/>
        <w:t>8</w:t>
      </w:r>
    </w:p>
    <w:p w14:paraId="15E03593" w14:textId="6642B88C"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5.4 Weight Management</w:t>
      </w:r>
      <w:r w:rsidR="00746223" w:rsidRPr="00DF2463">
        <w:rPr>
          <w:rFonts w:ascii="Arial" w:hAnsi="Arial" w:cs="Arial"/>
          <w:sz w:val="22"/>
          <w:szCs w:val="22"/>
        </w:rPr>
        <w:t>…………………………………………………………………</w:t>
      </w:r>
      <w:r w:rsidRPr="00DF2463">
        <w:rPr>
          <w:rFonts w:ascii="Arial" w:hAnsi="Arial" w:cs="Arial"/>
          <w:sz w:val="22"/>
          <w:szCs w:val="22"/>
        </w:rPr>
        <w:tab/>
        <w:t>9</w:t>
      </w:r>
    </w:p>
    <w:p w14:paraId="5573FC7A" w14:textId="542C51BE"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5.5 Patient Education and Self-Management</w:t>
      </w:r>
      <w:r w:rsidR="00746223" w:rsidRPr="00DF2463">
        <w:rPr>
          <w:rFonts w:ascii="Arial" w:hAnsi="Arial" w:cs="Arial"/>
          <w:sz w:val="22"/>
          <w:szCs w:val="22"/>
        </w:rPr>
        <w:t>………………………………………….</w:t>
      </w:r>
      <w:r w:rsidRPr="00DF2463">
        <w:rPr>
          <w:rFonts w:ascii="Arial" w:hAnsi="Arial" w:cs="Arial"/>
          <w:sz w:val="22"/>
          <w:szCs w:val="22"/>
        </w:rPr>
        <w:tab/>
        <w:t>9</w:t>
      </w:r>
    </w:p>
    <w:p w14:paraId="5DA9B760" w14:textId="009C2AC8" w:rsidR="002D61DF" w:rsidRPr="00DF2463" w:rsidRDefault="002D61DF" w:rsidP="009322F0">
      <w:pPr>
        <w:spacing w:line="360" w:lineRule="auto"/>
        <w:rPr>
          <w:rFonts w:ascii="Arial" w:hAnsi="Arial" w:cs="Arial"/>
          <w:sz w:val="22"/>
          <w:szCs w:val="22"/>
        </w:rPr>
      </w:pPr>
      <w:r w:rsidRPr="00DF2463">
        <w:rPr>
          <w:rFonts w:ascii="Arial" w:hAnsi="Arial" w:cs="Arial"/>
          <w:sz w:val="22"/>
          <w:szCs w:val="22"/>
        </w:rPr>
        <w:t>6. Conclusion</w:t>
      </w:r>
      <w:r w:rsidR="00746223" w:rsidRPr="00DF2463">
        <w:rPr>
          <w:rFonts w:ascii="Arial" w:hAnsi="Arial" w:cs="Arial"/>
          <w:sz w:val="22"/>
          <w:szCs w:val="22"/>
        </w:rPr>
        <w:t>……………………………………………………………………………...</w:t>
      </w:r>
      <w:r w:rsidRPr="00DF2463">
        <w:rPr>
          <w:rFonts w:ascii="Arial" w:hAnsi="Arial" w:cs="Arial"/>
          <w:sz w:val="22"/>
          <w:szCs w:val="22"/>
        </w:rPr>
        <w:tab/>
        <w:t>9</w:t>
      </w:r>
    </w:p>
    <w:p w14:paraId="52ECBCA9" w14:textId="4727875F" w:rsidR="002D61DF" w:rsidRDefault="002D61DF" w:rsidP="009322F0">
      <w:pPr>
        <w:spacing w:line="360" w:lineRule="auto"/>
        <w:rPr>
          <w:rFonts w:ascii="Arial" w:hAnsi="Arial" w:cs="Arial"/>
          <w:sz w:val="22"/>
          <w:szCs w:val="22"/>
        </w:rPr>
      </w:pPr>
      <w:r w:rsidRPr="00DF2463">
        <w:rPr>
          <w:rFonts w:ascii="Arial" w:hAnsi="Arial" w:cs="Arial"/>
          <w:sz w:val="22"/>
          <w:szCs w:val="22"/>
        </w:rPr>
        <w:t>References</w:t>
      </w:r>
      <w:r w:rsidR="00746223" w:rsidRPr="00DF2463">
        <w:rPr>
          <w:rFonts w:ascii="Arial" w:hAnsi="Arial" w:cs="Arial"/>
          <w:sz w:val="22"/>
          <w:szCs w:val="22"/>
        </w:rPr>
        <w:t>………………………………………………………………………………...</w:t>
      </w:r>
      <w:r w:rsidRPr="00DF2463">
        <w:rPr>
          <w:rFonts w:ascii="Arial" w:hAnsi="Arial" w:cs="Arial"/>
          <w:sz w:val="22"/>
          <w:szCs w:val="22"/>
        </w:rPr>
        <w:tab/>
        <w:t>1</w:t>
      </w:r>
      <w:r w:rsidR="00B51109">
        <w:rPr>
          <w:rFonts w:ascii="Arial" w:hAnsi="Arial" w:cs="Arial"/>
          <w:sz w:val="22"/>
          <w:szCs w:val="22"/>
        </w:rPr>
        <w:t>0</w:t>
      </w:r>
    </w:p>
    <w:p w14:paraId="6E0E5D86" w14:textId="77777777" w:rsidR="00F852CE" w:rsidRDefault="00F852CE" w:rsidP="009322F0">
      <w:pPr>
        <w:spacing w:line="360" w:lineRule="auto"/>
        <w:rPr>
          <w:rFonts w:ascii="Arial" w:hAnsi="Arial" w:cs="Arial"/>
          <w:sz w:val="22"/>
          <w:szCs w:val="22"/>
        </w:rPr>
      </w:pPr>
    </w:p>
    <w:p w14:paraId="2F83C61C" w14:textId="5275215F" w:rsidR="00393DAC" w:rsidRDefault="00393DAC" w:rsidP="005F2CEA">
      <w:pPr>
        <w:spacing w:line="360" w:lineRule="auto"/>
        <w:rPr>
          <w:rFonts w:ascii="Arial" w:hAnsi="Arial" w:cs="Arial"/>
        </w:rPr>
      </w:pPr>
    </w:p>
    <w:p w14:paraId="3B9CEF90" w14:textId="2E6103E4" w:rsidR="0075142D" w:rsidRPr="007567B0" w:rsidRDefault="00AA3550" w:rsidP="0075142D">
      <w:pPr>
        <w:pStyle w:val="ListParagraph"/>
        <w:numPr>
          <w:ilvl w:val="0"/>
          <w:numId w:val="2"/>
        </w:numPr>
        <w:spacing w:line="360" w:lineRule="auto"/>
        <w:rPr>
          <w:rFonts w:ascii="Arial" w:hAnsi="Arial" w:cs="Arial"/>
        </w:rPr>
      </w:pPr>
      <w:r w:rsidRPr="007567B0">
        <w:rPr>
          <w:rFonts w:ascii="Arial" w:hAnsi="Arial" w:cs="Arial"/>
        </w:rPr>
        <w:lastRenderedPageBreak/>
        <w:t>Introduction</w:t>
      </w:r>
    </w:p>
    <w:p w14:paraId="4B258CFF" w14:textId="18D9B008" w:rsidR="00E707B5" w:rsidRDefault="00D35D4A" w:rsidP="00C641BF">
      <w:pPr>
        <w:spacing w:line="360" w:lineRule="auto"/>
        <w:jc w:val="center"/>
        <w:rPr>
          <w:rFonts w:ascii="Arial" w:hAnsi="Arial" w:cs="Arial"/>
        </w:rPr>
      </w:pPr>
      <w:r>
        <w:rPr>
          <w:rFonts w:ascii="Arial" w:hAnsi="Arial" w:cs="Arial"/>
          <w:noProof/>
        </w:rPr>
        <w:drawing>
          <wp:inline distT="0" distB="0" distL="0" distR="0" wp14:anchorId="04962570" wp14:editId="659AFBCE">
            <wp:extent cx="3096895" cy="2023745"/>
            <wp:effectExtent l="0" t="0" r="8255" b="0"/>
            <wp:docPr id="1084707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96895" cy="2023745"/>
                    </a:xfrm>
                    <a:prstGeom prst="rect">
                      <a:avLst/>
                    </a:prstGeom>
                    <a:noFill/>
                  </pic:spPr>
                </pic:pic>
              </a:graphicData>
            </a:graphic>
          </wp:inline>
        </w:drawing>
      </w:r>
    </w:p>
    <w:p w14:paraId="25B40A32" w14:textId="034BB3A7" w:rsidR="00040DD5" w:rsidRPr="007636A3" w:rsidRDefault="00040DD5" w:rsidP="00C641BF">
      <w:pPr>
        <w:spacing w:line="360" w:lineRule="auto"/>
        <w:jc w:val="center"/>
        <w:rPr>
          <w:rFonts w:ascii="Arial" w:hAnsi="Arial" w:cs="Arial"/>
          <w:sz w:val="20"/>
          <w:szCs w:val="20"/>
        </w:rPr>
      </w:pPr>
      <w:r w:rsidRPr="007636A3">
        <w:rPr>
          <w:rFonts w:ascii="Arial" w:hAnsi="Arial" w:cs="Arial"/>
          <w:sz w:val="20"/>
          <w:szCs w:val="20"/>
        </w:rPr>
        <w:t>Figure 1: Diabetes Mellitus</w:t>
      </w:r>
    </w:p>
    <w:p w14:paraId="713DB87A" w14:textId="0A37C6FE" w:rsidR="00D345CF" w:rsidRDefault="00040DD5" w:rsidP="00C641BF">
      <w:pPr>
        <w:spacing w:line="360" w:lineRule="auto"/>
        <w:jc w:val="center"/>
        <w:rPr>
          <w:rFonts w:ascii="Arial" w:hAnsi="Arial" w:cs="Arial"/>
          <w:sz w:val="20"/>
          <w:szCs w:val="20"/>
        </w:rPr>
      </w:pPr>
      <w:r w:rsidRPr="007636A3">
        <w:rPr>
          <w:rFonts w:ascii="Arial" w:hAnsi="Arial" w:cs="Arial"/>
          <w:sz w:val="20"/>
          <w:szCs w:val="20"/>
        </w:rPr>
        <w:t>Source: (Rejoy Health, 2024)</w:t>
      </w:r>
    </w:p>
    <w:p w14:paraId="444E9926" w14:textId="77777777" w:rsidR="00615C5A" w:rsidRDefault="00344C99" w:rsidP="00D93061">
      <w:pPr>
        <w:spacing w:line="360" w:lineRule="auto"/>
        <w:rPr>
          <w:rFonts w:ascii="Arial" w:hAnsi="Arial" w:cs="Arial"/>
          <w:sz w:val="22"/>
          <w:szCs w:val="22"/>
        </w:rPr>
      </w:pPr>
      <w:r w:rsidRPr="00344C99">
        <w:rPr>
          <w:rFonts w:ascii="Arial" w:hAnsi="Arial" w:cs="Arial"/>
          <w:sz w:val="22"/>
          <w:szCs w:val="22"/>
        </w:rPr>
        <w:t>Diabetes mellitus is a persistent metabolic disorder, which is typified by a deficiency in the regulation of blood glucose, and Type 2 diabetes is the most widespread. It occurs primarily because of insulin resistance and inexorable macro- and micro-involution of pancreatic β-cells, leading to sustained hyperglycaemia. The management must entail patients learning the physiological processes that take place in glucose regulation, energy generation and the roles that lifestyle behaviours play in their condition. This report explores blood glucose level maintenance in relation to insulin and glucagon, glucose and oxygen involvement in generating cellular energy, the significance of glucose monitoring, and the support of glucose monitoring interventions in the management of Type 2 diabetes through lifestyle modifications.</w:t>
      </w:r>
    </w:p>
    <w:p w14:paraId="7F40C1DB" w14:textId="77777777" w:rsidR="00615C5A" w:rsidRDefault="00615C5A" w:rsidP="00D93061">
      <w:pPr>
        <w:spacing w:line="360" w:lineRule="auto"/>
        <w:rPr>
          <w:rFonts w:ascii="Arial" w:hAnsi="Arial" w:cs="Arial"/>
          <w:sz w:val="22"/>
          <w:szCs w:val="22"/>
        </w:rPr>
      </w:pPr>
    </w:p>
    <w:p w14:paraId="7C15E405" w14:textId="77777777" w:rsidR="00615C5A" w:rsidRDefault="00615C5A" w:rsidP="00D93061">
      <w:pPr>
        <w:spacing w:line="360" w:lineRule="auto"/>
        <w:rPr>
          <w:rFonts w:ascii="Arial" w:hAnsi="Arial" w:cs="Arial"/>
          <w:sz w:val="22"/>
          <w:szCs w:val="22"/>
        </w:rPr>
      </w:pPr>
    </w:p>
    <w:p w14:paraId="36AD3BD3" w14:textId="7259DA3A" w:rsidR="00D93061" w:rsidRPr="00B51109" w:rsidRDefault="00D93061" w:rsidP="00D93061">
      <w:pPr>
        <w:spacing w:line="360" w:lineRule="auto"/>
        <w:rPr>
          <w:rFonts w:ascii="Arial" w:hAnsi="Arial" w:cs="Arial"/>
          <w:b/>
          <w:bCs/>
        </w:rPr>
      </w:pPr>
      <w:r w:rsidRPr="00B51109">
        <w:rPr>
          <w:rFonts w:ascii="Arial" w:hAnsi="Arial" w:cs="Arial"/>
          <w:b/>
          <w:bCs/>
        </w:rPr>
        <w:t>2. Regulation of Blood Glucose Levels in the Human Body</w:t>
      </w:r>
    </w:p>
    <w:p w14:paraId="3FBC2C1E" w14:textId="2EDCEBFD" w:rsidR="00610C01" w:rsidRPr="00792F91" w:rsidRDefault="00D93061" w:rsidP="00792F91">
      <w:pPr>
        <w:spacing w:line="360" w:lineRule="auto"/>
        <w:rPr>
          <w:rFonts w:ascii="Arial" w:hAnsi="Arial" w:cs="Arial"/>
          <w:b/>
          <w:bCs/>
        </w:rPr>
      </w:pPr>
      <w:r w:rsidRPr="00B51109">
        <w:rPr>
          <w:rFonts w:ascii="Arial" w:hAnsi="Arial" w:cs="Arial"/>
          <w:b/>
          <w:bCs/>
        </w:rPr>
        <w:t>2.1 Normal Blood Glucose Homeostasis</w:t>
      </w:r>
    </w:p>
    <w:p w14:paraId="061FC7D6" w14:textId="77777777" w:rsidR="00615C5A" w:rsidRDefault="0054040D" w:rsidP="00BA5DF1">
      <w:pPr>
        <w:spacing w:line="360" w:lineRule="auto"/>
        <w:rPr>
          <w:rFonts w:ascii="Arial" w:hAnsi="Arial" w:cs="Arial"/>
          <w:sz w:val="22"/>
          <w:szCs w:val="22"/>
        </w:rPr>
      </w:pPr>
      <w:r w:rsidRPr="00BA5DF1">
        <w:rPr>
          <w:rFonts w:ascii="Arial" w:hAnsi="Arial" w:cs="Arial"/>
          <w:sz w:val="22"/>
          <w:szCs w:val="22"/>
        </w:rPr>
        <w:t>The physiological mechanism that helps to keep the blood sugar amount at a relatively constant level to furnish the cells with a constant energy supply is known as blood glucose homeostasis. Glucose is a necessary energy source, especially for the brain and other tissues that are metabolically active. Carbohydrates are digested into glucose after intake of carbohydrates, and the glucose is absorbed into the bloodstream, which leads to an increase in the levels of glucose in</w:t>
      </w:r>
      <w:r w:rsidR="001D689C" w:rsidRPr="00BA5DF1">
        <w:rPr>
          <w:rFonts w:ascii="Arial" w:hAnsi="Arial" w:cs="Arial"/>
          <w:sz w:val="22"/>
          <w:szCs w:val="22"/>
        </w:rPr>
        <w:t xml:space="preserve"> the bloodstream (Edwin et al., 2024). This increase is sensed by the pancreatic specialised cells in</w:t>
      </w:r>
      <w:r w:rsidR="00A93A74" w:rsidRPr="00BA5DF1">
        <w:rPr>
          <w:rFonts w:ascii="Arial" w:hAnsi="Arial" w:cs="Arial"/>
          <w:sz w:val="22"/>
          <w:szCs w:val="22"/>
        </w:rPr>
        <w:t xml:space="preserve"> the islets of Langerhans. Pancreatic 2-cells</w:t>
      </w:r>
    </w:p>
    <w:p w14:paraId="7194D203" w14:textId="77777777" w:rsidR="00615C5A" w:rsidRDefault="00A93A74" w:rsidP="00F647A3">
      <w:pPr>
        <w:spacing w:line="360" w:lineRule="auto"/>
        <w:rPr>
          <w:rFonts w:ascii="Arial" w:hAnsi="Arial" w:cs="Arial"/>
          <w:sz w:val="22"/>
          <w:szCs w:val="22"/>
        </w:rPr>
      </w:pPr>
      <w:r w:rsidRPr="00BA5DF1">
        <w:rPr>
          <w:rFonts w:ascii="Arial" w:hAnsi="Arial" w:cs="Arial"/>
          <w:sz w:val="22"/>
          <w:szCs w:val="22"/>
        </w:rPr>
        <w:lastRenderedPageBreak/>
        <w:t xml:space="preserve">then respond by releasing insulin, whereas when blood </w:t>
      </w:r>
      <w:r w:rsidR="003A7287" w:rsidRPr="00BA5DF1">
        <w:rPr>
          <w:rFonts w:ascii="Arial" w:hAnsi="Arial" w:cs="Arial"/>
          <w:sz w:val="22"/>
          <w:szCs w:val="22"/>
        </w:rPr>
        <w:t>glucose levels are lower, glucagon is released by pancreatic 2-cells.</w:t>
      </w:r>
    </w:p>
    <w:p w14:paraId="27D61627" w14:textId="77777777" w:rsidR="00893907" w:rsidRDefault="00893907" w:rsidP="00F647A3">
      <w:pPr>
        <w:spacing w:line="360" w:lineRule="auto"/>
        <w:rPr>
          <w:rFonts w:ascii="Arial" w:hAnsi="Arial" w:cs="Arial"/>
          <w:sz w:val="22"/>
          <w:szCs w:val="22"/>
        </w:rPr>
      </w:pPr>
    </w:p>
    <w:p w14:paraId="727CFDBB" w14:textId="77777777" w:rsidR="00893907" w:rsidRDefault="00893907" w:rsidP="00F647A3">
      <w:pPr>
        <w:spacing w:line="360" w:lineRule="auto"/>
        <w:rPr>
          <w:rFonts w:ascii="Arial" w:hAnsi="Arial" w:cs="Arial"/>
          <w:sz w:val="22"/>
          <w:szCs w:val="22"/>
        </w:rPr>
      </w:pPr>
    </w:p>
    <w:p w14:paraId="2029EEC3" w14:textId="5B1C9495" w:rsidR="008744BA" w:rsidRPr="00615C5A" w:rsidRDefault="0033619C" w:rsidP="00F647A3">
      <w:pPr>
        <w:spacing w:line="360" w:lineRule="auto"/>
        <w:rPr>
          <w:rFonts w:ascii="Arial" w:hAnsi="Arial" w:cs="Arial"/>
          <w:b/>
          <w:bCs/>
          <w:sz w:val="22"/>
          <w:szCs w:val="22"/>
        </w:rPr>
      </w:pPr>
      <w:r w:rsidRPr="00615C5A">
        <w:rPr>
          <w:rFonts w:ascii="Arial" w:hAnsi="Arial" w:cs="Arial"/>
          <w:b/>
          <w:bCs/>
        </w:rPr>
        <w:t>2.2 Role of Insulin in Blood Glucose Regulation</w:t>
      </w:r>
    </w:p>
    <w:p w14:paraId="25CF7F9D" w14:textId="234DF045" w:rsidR="00F647A3" w:rsidRPr="00BA5DF1" w:rsidRDefault="00F647A3" w:rsidP="00BA5DF1">
      <w:pPr>
        <w:spacing w:line="360" w:lineRule="auto"/>
        <w:rPr>
          <w:rFonts w:ascii="Arial" w:hAnsi="Arial" w:cs="Arial"/>
          <w:sz w:val="22"/>
          <w:szCs w:val="22"/>
        </w:rPr>
      </w:pPr>
      <w:r w:rsidRPr="00BA5DF1">
        <w:rPr>
          <w:rFonts w:ascii="Arial" w:hAnsi="Arial" w:cs="Arial"/>
          <w:sz w:val="22"/>
          <w:szCs w:val="22"/>
        </w:rPr>
        <w:t xml:space="preserve">Insulin is a peptide hormone which contributes significantly by reducing the blood glucose level about an hour or so following a food intake. Insulin diffuses into the bloodstream when the amount of blood glucose increases, and pancreatic 58 cells responsible for producing insulin are stimulated. </w:t>
      </w:r>
      <w:r w:rsidR="00B2186F">
        <w:rPr>
          <w:rFonts w:ascii="Arial" w:hAnsi="Arial" w:cs="Arial"/>
          <w:sz w:val="22"/>
          <w:szCs w:val="22"/>
        </w:rPr>
        <w:t>R</w:t>
      </w:r>
      <w:r w:rsidR="0059643A">
        <w:rPr>
          <w:rFonts w:ascii="Arial" w:hAnsi="Arial" w:cs="Arial"/>
          <w:sz w:val="22"/>
          <w:szCs w:val="22"/>
        </w:rPr>
        <w:t xml:space="preserve">esearch conducted by </w:t>
      </w:r>
      <w:r w:rsidR="004C65A6" w:rsidRPr="004C65A6">
        <w:rPr>
          <w:rFonts w:ascii="Arial" w:hAnsi="Arial" w:cs="Arial"/>
          <w:sz w:val="22"/>
          <w:szCs w:val="22"/>
        </w:rPr>
        <w:t>(Tan et al., 2025)</w:t>
      </w:r>
      <w:r w:rsidR="004C65A6">
        <w:rPr>
          <w:rFonts w:ascii="Arial" w:hAnsi="Arial" w:cs="Arial"/>
          <w:sz w:val="22"/>
          <w:szCs w:val="22"/>
        </w:rPr>
        <w:t xml:space="preserve"> highlights that </w:t>
      </w:r>
      <w:r w:rsidRPr="00BA5DF1">
        <w:rPr>
          <w:rFonts w:ascii="Arial" w:hAnsi="Arial" w:cs="Arial"/>
          <w:sz w:val="22"/>
          <w:szCs w:val="22"/>
        </w:rPr>
        <w:t>Insulin is bound to the receptors of the target cells, especially the skeletal muscle and adipose tissue cells, and through these receptors promotes glucose uptake in the blood.</w:t>
      </w:r>
    </w:p>
    <w:p w14:paraId="2F4248CD" w14:textId="764E4574" w:rsidR="007C2A3A" w:rsidRPr="00BA5DF1" w:rsidRDefault="00F647A3" w:rsidP="00BA5DF1">
      <w:pPr>
        <w:spacing w:line="360" w:lineRule="auto"/>
        <w:rPr>
          <w:rFonts w:ascii="Arial" w:hAnsi="Arial" w:cs="Arial"/>
          <w:sz w:val="22"/>
          <w:szCs w:val="22"/>
        </w:rPr>
      </w:pPr>
      <w:r w:rsidRPr="00BA5DF1">
        <w:rPr>
          <w:rFonts w:ascii="Arial" w:hAnsi="Arial" w:cs="Arial"/>
          <w:sz w:val="22"/>
          <w:szCs w:val="22"/>
        </w:rPr>
        <w:t>Another important insulin activity is the stimulation of glucose-transporting proteins, particularly GLUT4, which enables the intake of glucose into cells to be converted into energy. Glucose can be directly used in the production of ATP or the storage of glycogen in muscle cells. Insulin is also known to stimulate glycogenesis, the process of converting surplus glucose to glycogen that is stored in the liver and muscles to be used later (Salih et al., 2022).</w:t>
      </w:r>
      <w:r w:rsidR="00046767" w:rsidRPr="00BA5DF1">
        <w:rPr>
          <w:rFonts w:ascii="Arial" w:hAnsi="Arial" w:cs="Arial"/>
          <w:sz w:val="22"/>
          <w:szCs w:val="22"/>
        </w:rPr>
        <w:t xml:space="preserve"> </w:t>
      </w:r>
    </w:p>
    <w:p w14:paraId="579B2123" w14:textId="77777777" w:rsidR="00893907" w:rsidRDefault="00893907" w:rsidP="00046767">
      <w:pPr>
        <w:spacing w:line="360" w:lineRule="auto"/>
        <w:rPr>
          <w:rFonts w:ascii="Arial" w:hAnsi="Arial" w:cs="Arial"/>
          <w:sz w:val="22"/>
          <w:szCs w:val="22"/>
        </w:rPr>
      </w:pPr>
    </w:p>
    <w:p w14:paraId="135FACDE" w14:textId="77777777" w:rsidR="00893907" w:rsidRDefault="00893907" w:rsidP="00046767">
      <w:pPr>
        <w:spacing w:line="360" w:lineRule="auto"/>
        <w:rPr>
          <w:rFonts w:ascii="Arial" w:hAnsi="Arial" w:cs="Arial"/>
          <w:sz w:val="22"/>
          <w:szCs w:val="22"/>
        </w:rPr>
      </w:pPr>
    </w:p>
    <w:p w14:paraId="5CE49F00" w14:textId="75532FDA" w:rsidR="00046767" w:rsidRPr="00615C5A" w:rsidRDefault="00046767" w:rsidP="00046767">
      <w:pPr>
        <w:spacing w:line="360" w:lineRule="auto"/>
        <w:rPr>
          <w:rFonts w:ascii="Arial" w:hAnsi="Arial" w:cs="Arial"/>
          <w:b/>
          <w:bCs/>
        </w:rPr>
      </w:pPr>
      <w:r w:rsidRPr="00615C5A">
        <w:rPr>
          <w:rFonts w:ascii="Arial" w:hAnsi="Arial" w:cs="Arial"/>
          <w:b/>
          <w:bCs/>
        </w:rPr>
        <w:t>2.3 Role of Glucagon in Blood Glucose Regulation</w:t>
      </w:r>
    </w:p>
    <w:p w14:paraId="32CEE04F" w14:textId="33619B1E" w:rsidR="00046767" w:rsidRPr="00C462F5" w:rsidRDefault="00046767" w:rsidP="00C462F5">
      <w:pPr>
        <w:spacing w:line="360" w:lineRule="auto"/>
        <w:rPr>
          <w:rFonts w:ascii="Arial" w:hAnsi="Arial" w:cs="Arial"/>
          <w:sz w:val="22"/>
          <w:szCs w:val="22"/>
        </w:rPr>
      </w:pPr>
      <w:r w:rsidRPr="00C462F5">
        <w:rPr>
          <w:rFonts w:ascii="Arial" w:hAnsi="Arial" w:cs="Arial"/>
          <w:sz w:val="22"/>
          <w:szCs w:val="22"/>
        </w:rPr>
        <w:t>Glucagon is a counter-regulatory hormone to insulin and is significant when blood glucose is decreased during fasting or other times. The glucagon that is emitted by pancreatic 8-cells when the glucose levels decline mainly acts on the liver.</w:t>
      </w:r>
      <w:r w:rsidR="00595143">
        <w:rPr>
          <w:rFonts w:ascii="Arial" w:hAnsi="Arial" w:cs="Arial"/>
          <w:sz w:val="22"/>
          <w:szCs w:val="22"/>
        </w:rPr>
        <w:t xml:space="preserve"> </w:t>
      </w:r>
      <w:r w:rsidRPr="00C462F5">
        <w:rPr>
          <w:rFonts w:ascii="Arial" w:hAnsi="Arial" w:cs="Arial"/>
          <w:sz w:val="22"/>
          <w:szCs w:val="22"/>
        </w:rPr>
        <w:t>Glucagon prompts glycogen degradation, turning glycogen into glucose, and gluconeogenesis, the creation of novel glucose out of non-carbs. The processes will free glucose into the blood, eliminating hypoglycaemia and making sure that tissues still obtain enough energy (</w:t>
      </w:r>
      <w:proofErr w:type="spellStart"/>
      <w:r w:rsidRPr="00C462F5">
        <w:rPr>
          <w:rFonts w:ascii="Arial" w:hAnsi="Arial" w:cs="Arial"/>
          <w:sz w:val="22"/>
          <w:szCs w:val="22"/>
        </w:rPr>
        <w:t>Indarto</w:t>
      </w:r>
      <w:proofErr w:type="spellEnd"/>
      <w:r w:rsidRPr="00C462F5">
        <w:rPr>
          <w:rFonts w:ascii="Arial" w:hAnsi="Arial" w:cs="Arial"/>
          <w:sz w:val="22"/>
          <w:szCs w:val="22"/>
        </w:rPr>
        <w:t xml:space="preserve"> et al., 2022).</w:t>
      </w:r>
    </w:p>
    <w:p w14:paraId="5A1F15F3" w14:textId="45801688" w:rsidR="00046767" w:rsidRPr="00C462F5" w:rsidRDefault="00046767" w:rsidP="00C462F5">
      <w:pPr>
        <w:spacing w:line="360" w:lineRule="auto"/>
        <w:rPr>
          <w:rFonts w:ascii="Arial" w:hAnsi="Arial" w:cs="Arial"/>
          <w:sz w:val="22"/>
          <w:szCs w:val="22"/>
        </w:rPr>
      </w:pPr>
      <w:r w:rsidRPr="00C462F5">
        <w:rPr>
          <w:rFonts w:ascii="Arial" w:hAnsi="Arial" w:cs="Arial"/>
          <w:sz w:val="22"/>
          <w:szCs w:val="22"/>
        </w:rPr>
        <w:t>The interplay between insulin and glucagon to enable the body to normalise food consumption and energy demands and keep blood glucose levels normal represents a slight change in blood glucose levels.</w:t>
      </w:r>
    </w:p>
    <w:p w14:paraId="38D826D3" w14:textId="77777777" w:rsidR="00660EE9" w:rsidRPr="00C462F5" w:rsidRDefault="00660EE9" w:rsidP="00C462F5">
      <w:pPr>
        <w:spacing w:line="360" w:lineRule="auto"/>
        <w:rPr>
          <w:rFonts w:ascii="Arial" w:hAnsi="Arial" w:cs="Arial"/>
          <w:sz w:val="22"/>
          <w:szCs w:val="22"/>
        </w:rPr>
      </w:pPr>
    </w:p>
    <w:p w14:paraId="415511C9" w14:textId="77777777" w:rsidR="00DB3927" w:rsidRDefault="00DB3927" w:rsidP="00426528">
      <w:pPr>
        <w:spacing w:line="360" w:lineRule="auto"/>
        <w:rPr>
          <w:rFonts w:ascii="Arial" w:hAnsi="Arial" w:cs="Arial"/>
          <w:b/>
          <w:bCs/>
        </w:rPr>
      </w:pPr>
    </w:p>
    <w:p w14:paraId="1946FCD7" w14:textId="53E2DD6A" w:rsidR="00581D1C" w:rsidRPr="00893907" w:rsidRDefault="00581D1C" w:rsidP="00426528">
      <w:pPr>
        <w:spacing w:line="360" w:lineRule="auto"/>
        <w:rPr>
          <w:rFonts w:ascii="Arial" w:hAnsi="Arial" w:cs="Arial"/>
          <w:b/>
          <w:bCs/>
        </w:rPr>
      </w:pPr>
      <w:r w:rsidRPr="00893907">
        <w:rPr>
          <w:rFonts w:ascii="Arial" w:hAnsi="Arial" w:cs="Arial"/>
          <w:b/>
          <w:bCs/>
        </w:rPr>
        <w:lastRenderedPageBreak/>
        <w:t>2.4 Blood Glucose Dysregulation in Type 2 Diabetes</w:t>
      </w:r>
    </w:p>
    <w:p w14:paraId="535E910E" w14:textId="70F4FC82" w:rsidR="00581D1C" w:rsidRPr="00426528" w:rsidRDefault="00581D1C" w:rsidP="00426528">
      <w:pPr>
        <w:spacing w:line="360" w:lineRule="auto"/>
        <w:rPr>
          <w:rFonts w:ascii="Arial" w:hAnsi="Arial" w:cs="Arial"/>
          <w:sz w:val="22"/>
          <w:szCs w:val="22"/>
        </w:rPr>
      </w:pPr>
      <w:r w:rsidRPr="00426528">
        <w:rPr>
          <w:rFonts w:ascii="Arial" w:hAnsi="Arial" w:cs="Arial"/>
          <w:sz w:val="22"/>
          <w:szCs w:val="22"/>
        </w:rPr>
        <w:t>In Type 2 diabetes, the body is no longer able to regulate blood glucose levels normally, primarily because of insulin resistance, i.e. body cells no longer respond to insulin as well as they could have previously.</w:t>
      </w:r>
      <w:r w:rsidR="00744042" w:rsidRPr="00744042">
        <w:t xml:space="preserve"> </w:t>
      </w:r>
      <w:r w:rsidR="00744042" w:rsidRPr="00744042">
        <w:rPr>
          <w:rFonts w:ascii="Arial" w:hAnsi="Arial" w:cs="Arial"/>
          <w:sz w:val="22"/>
          <w:szCs w:val="22"/>
        </w:rPr>
        <w:t>Smedegaard et al.</w:t>
      </w:r>
      <w:r w:rsidR="00927711">
        <w:rPr>
          <w:rFonts w:ascii="Arial" w:hAnsi="Arial" w:cs="Arial"/>
          <w:sz w:val="22"/>
          <w:szCs w:val="22"/>
        </w:rPr>
        <w:t>(</w:t>
      </w:r>
      <w:r w:rsidR="00744042" w:rsidRPr="00744042">
        <w:rPr>
          <w:rFonts w:ascii="Arial" w:hAnsi="Arial" w:cs="Arial"/>
          <w:sz w:val="22"/>
          <w:szCs w:val="22"/>
        </w:rPr>
        <w:t xml:space="preserve"> 2025)</w:t>
      </w:r>
      <w:r w:rsidR="00744042">
        <w:rPr>
          <w:rFonts w:ascii="Arial" w:hAnsi="Arial" w:cs="Arial"/>
          <w:sz w:val="22"/>
          <w:szCs w:val="22"/>
        </w:rPr>
        <w:t xml:space="preserve"> </w:t>
      </w:r>
      <w:r w:rsidRPr="00426528">
        <w:rPr>
          <w:rFonts w:ascii="Arial" w:hAnsi="Arial" w:cs="Arial"/>
          <w:sz w:val="22"/>
          <w:szCs w:val="22"/>
        </w:rPr>
        <w:t xml:space="preserve"> </w:t>
      </w:r>
      <w:r w:rsidR="00BF3FA9">
        <w:rPr>
          <w:rFonts w:ascii="Arial" w:hAnsi="Arial" w:cs="Arial"/>
          <w:sz w:val="22"/>
          <w:szCs w:val="22"/>
        </w:rPr>
        <w:t xml:space="preserve">finds </w:t>
      </w:r>
      <w:r w:rsidR="005A0D6D">
        <w:rPr>
          <w:rFonts w:ascii="Arial" w:hAnsi="Arial" w:cs="Arial"/>
          <w:sz w:val="22"/>
          <w:szCs w:val="22"/>
        </w:rPr>
        <w:t>that a</w:t>
      </w:r>
      <w:r w:rsidRPr="00426528">
        <w:rPr>
          <w:rFonts w:ascii="Arial" w:hAnsi="Arial" w:cs="Arial"/>
          <w:sz w:val="22"/>
          <w:szCs w:val="22"/>
        </w:rPr>
        <w:t xml:space="preserve">lthough in the early stages, the pancreatic </w:t>
      </w:r>
      <w:r w:rsidR="00956E10">
        <w:rPr>
          <w:rFonts w:ascii="Arial" w:hAnsi="Arial" w:cs="Arial"/>
          <w:sz w:val="22"/>
          <w:szCs w:val="22"/>
        </w:rPr>
        <w:t>B</w:t>
      </w:r>
      <w:r w:rsidRPr="00426528">
        <w:rPr>
          <w:rFonts w:ascii="Arial" w:hAnsi="Arial" w:cs="Arial"/>
          <w:sz w:val="22"/>
          <w:szCs w:val="22"/>
        </w:rPr>
        <w:t>-cells adapt to this by producing more insulin</w:t>
      </w:r>
      <w:r w:rsidR="002C643F">
        <w:rPr>
          <w:rFonts w:ascii="Arial" w:hAnsi="Arial" w:cs="Arial"/>
          <w:sz w:val="22"/>
          <w:szCs w:val="22"/>
        </w:rPr>
        <w:t>,</w:t>
      </w:r>
      <w:r w:rsidRPr="00426528">
        <w:rPr>
          <w:rFonts w:ascii="Arial" w:hAnsi="Arial" w:cs="Arial"/>
          <w:sz w:val="22"/>
          <w:szCs w:val="22"/>
        </w:rPr>
        <w:t xml:space="preserve"> over time, the cells with continued stress are subjected to progressive dysfunction and decreased secretion of insulin.</w:t>
      </w:r>
    </w:p>
    <w:p w14:paraId="4E3FBE58" w14:textId="77777777" w:rsidR="00893907" w:rsidRDefault="00581D1C" w:rsidP="00426528">
      <w:pPr>
        <w:spacing w:line="360" w:lineRule="auto"/>
        <w:rPr>
          <w:rFonts w:ascii="Arial" w:hAnsi="Arial" w:cs="Arial"/>
          <w:sz w:val="22"/>
          <w:szCs w:val="22"/>
        </w:rPr>
      </w:pPr>
      <w:r w:rsidRPr="00426528">
        <w:rPr>
          <w:rFonts w:ascii="Arial" w:hAnsi="Arial" w:cs="Arial"/>
          <w:sz w:val="22"/>
          <w:szCs w:val="22"/>
        </w:rPr>
        <w:t>This leads to reduced uptake of glucose by tissues, resulting in ongoing hyperglycaemia. Prolonged high glucose in blood may harm blood vessels and organs, creating the potential for complications through cardiovascular disease, kidney disease, diabetic neuropathy and retinopathy.</w:t>
      </w:r>
    </w:p>
    <w:p w14:paraId="13014199" w14:textId="77777777" w:rsidR="00893907" w:rsidRDefault="00893907" w:rsidP="00426528">
      <w:pPr>
        <w:spacing w:line="360" w:lineRule="auto"/>
        <w:rPr>
          <w:rFonts w:ascii="Arial" w:hAnsi="Arial" w:cs="Arial"/>
          <w:sz w:val="22"/>
          <w:szCs w:val="22"/>
        </w:rPr>
      </w:pPr>
    </w:p>
    <w:p w14:paraId="198C0F5D" w14:textId="77777777" w:rsidR="00893907" w:rsidRDefault="00893907" w:rsidP="00426528">
      <w:pPr>
        <w:spacing w:line="360" w:lineRule="auto"/>
        <w:rPr>
          <w:rFonts w:ascii="Arial" w:hAnsi="Arial" w:cs="Arial"/>
          <w:sz w:val="22"/>
          <w:szCs w:val="22"/>
        </w:rPr>
      </w:pPr>
    </w:p>
    <w:p w14:paraId="1FF914B1" w14:textId="366DE77E" w:rsidR="00581D1C" w:rsidRPr="00893907" w:rsidRDefault="00581D1C" w:rsidP="00893907">
      <w:pPr>
        <w:spacing w:line="360" w:lineRule="auto"/>
        <w:rPr>
          <w:rFonts w:ascii="Arial" w:hAnsi="Arial" w:cs="Arial"/>
          <w:b/>
          <w:bCs/>
        </w:rPr>
      </w:pPr>
      <w:r w:rsidRPr="00893907">
        <w:rPr>
          <w:rFonts w:ascii="Arial" w:hAnsi="Arial" w:cs="Arial"/>
          <w:b/>
          <w:bCs/>
        </w:rPr>
        <w:t>3. Role of Oxygen and Glucose in Cellular Energy Production (Cell</w:t>
      </w:r>
      <w:r w:rsidR="00C90698">
        <w:rPr>
          <w:rFonts w:ascii="Arial" w:hAnsi="Arial" w:cs="Arial"/>
          <w:b/>
          <w:bCs/>
        </w:rPr>
        <w:t xml:space="preserve"> </w:t>
      </w:r>
      <w:r w:rsidRPr="00893907">
        <w:rPr>
          <w:rFonts w:ascii="Arial" w:hAnsi="Arial" w:cs="Arial"/>
          <w:b/>
          <w:bCs/>
        </w:rPr>
        <w:t>Metabolism)</w:t>
      </w:r>
    </w:p>
    <w:p w14:paraId="319B7E87" w14:textId="77777777" w:rsidR="00581D1C" w:rsidRPr="00893907" w:rsidRDefault="00581D1C" w:rsidP="00893907">
      <w:pPr>
        <w:spacing w:line="360" w:lineRule="auto"/>
        <w:rPr>
          <w:rFonts w:ascii="Arial" w:hAnsi="Arial" w:cs="Arial"/>
          <w:b/>
          <w:bCs/>
        </w:rPr>
      </w:pPr>
      <w:r w:rsidRPr="00893907">
        <w:rPr>
          <w:rFonts w:ascii="Arial" w:hAnsi="Arial" w:cs="Arial"/>
          <w:b/>
          <w:bCs/>
        </w:rPr>
        <w:t>3.1 Importance of Glucose and Oxygen</w:t>
      </w:r>
    </w:p>
    <w:p w14:paraId="27E933AC" w14:textId="77777777" w:rsidR="00C90698" w:rsidRDefault="00581D1C" w:rsidP="00A75EF7">
      <w:pPr>
        <w:spacing w:line="360" w:lineRule="auto"/>
        <w:rPr>
          <w:rFonts w:ascii="Arial" w:hAnsi="Arial" w:cs="Arial"/>
          <w:sz w:val="22"/>
          <w:szCs w:val="22"/>
        </w:rPr>
      </w:pPr>
      <w:r w:rsidRPr="00581D1C">
        <w:rPr>
          <w:rFonts w:ascii="Arial" w:hAnsi="Arial" w:cs="Arial"/>
          <w:sz w:val="22"/>
          <w:szCs w:val="22"/>
        </w:rPr>
        <w:t>The cells need a constant supply of energy to be able to accomplish vital biological processes, including muscle contraction, active transport, protein synthesis and the maintenance of cell structures. This energy is generated as adenosine triphosphate (ATP), which is the major currency of energy in cells. The glucose found in the dietary carbohydrates gets absorbed into the bloodstream and gets into the cell. Chemical energy is stored in the cell, and when it is consumed, glucose is metabolically reacted and results in the release of that energy (</w:t>
      </w:r>
      <w:proofErr w:type="spellStart"/>
      <w:r w:rsidRPr="00581D1C">
        <w:rPr>
          <w:rFonts w:ascii="Arial" w:hAnsi="Arial" w:cs="Arial"/>
          <w:sz w:val="22"/>
          <w:szCs w:val="22"/>
        </w:rPr>
        <w:t>Maguolo</w:t>
      </w:r>
      <w:proofErr w:type="spellEnd"/>
      <w:r w:rsidRPr="00581D1C">
        <w:rPr>
          <w:rFonts w:ascii="Arial" w:hAnsi="Arial" w:cs="Arial"/>
          <w:sz w:val="22"/>
          <w:szCs w:val="22"/>
        </w:rPr>
        <w:t xml:space="preserve"> et al., 2024). The oxygen, which is supplied to the body via the respiratory system and delivered to the bloodstream by blood, enables the cell to extract a significantly greater quantity of energy out of glucose than in anaerobic metabolism. </w:t>
      </w:r>
    </w:p>
    <w:p w14:paraId="409618DA" w14:textId="77777777" w:rsidR="00C90698" w:rsidRDefault="00C90698" w:rsidP="00A75EF7">
      <w:pPr>
        <w:spacing w:line="360" w:lineRule="auto"/>
        <w:rPr>
          <w:rFonts w:ascii="Arial" w:hAnsi="Arial" w:cs="Arial"/>
          <w:sz w:val="22"/>
          <w:szCs w:val="22"/>
        </w:rPr>
      </w:pPr>
    </w:p>
    <w:p w14:paraId="29C6B55E" w14:textId="77777777" w:rsidR="00C90698" w:rsidRDefault="00C90698" w:rsidP="00A75EF7">
      <w:pPr>
        <w:spacing w:line="360" w:lineRule="auto"/>
        <w:rPr>
          <w:rFonts w:ascii="Arial" w:hAnsi="Arial" w:cs="Arial"/>
          <w:sz w:val="22"/>
          <w:szCs w:val="22"/>
        </w:rPr>
      </w:pPr>
    </w:p>
    <w:p w14:paraId="1DFF5C07" w14:textId="59443C35" w:rsidR="00581D1C" w:rsidRPr="00C90698" w:rsidRDefault="00581D1C" w:rsidP="00C90698">
      <w:pPr>
        <w:spacing w:line="360" w:lineRule="auto"/>
        <w:rPr>
          <w:rFonts w:ascii="Arial" w:hAnsi="Arial" w:cs="Arial"/>
          <w:b/>
          <w:bCs/>
        </w:rPr>
      </w:pPr>
      <w:r w:rsidRPr="00C90698">
        <w:rPr>
          <w:rFonts w:ascii="Arial" w:hAnsi="Arial" w:cs="Arial"/>
          <w:b/>
          <w:bCs/>
        </w:rPr>
        <w:t>3.2 Cellular Respiration Process</w:t>
      </w:r>
    </w:p>
    <w:p w14:paraId="687A4A83" w14:textId="77777777" w:rsidR="00581D1C" w:rsidRPr="00A75EF7" w:rsidRDefault="00581D1C" w:rsidP="00A75EF7">
      <w:pPr>
        <w:spacing w:line="360" w:lineRule="auto"/>
        <w:rPr>
          <w:rFonts w:ascii="Arial" w:hAnsi="Arial" w:cs="Arial"/>
          <w:sz w:val="22"/>
          <w:szCs w:val="22"/>
        </w:rPr>
      </w:pPr>
      <w:r w:rsidRPr="00A75EF7">
        <w:rPr>
          <w:rFonts w:ascii="Arial" w:hAnsi="Arial" w:cs="Arial"/>
          <w:sz w:val="22"/>
          <w:szCs w:val="22"/>
        </w:rPr>
        <w:t>Cellular respiration refers to a chain of metabolic responses that take place primarily in the cytoplasm and the mitochondria to decompose glucose to produce ATP. It manifests itself in three steps.</w:t>
      </w:r>
    </w:p>
    <w:p w14:paraId="2045EF90" w14:textId="77777777" w:rsidR="002B675C" w:rsidRPr="00A75EF7" w:rsidRDefault="00581D1C" w:rsidP="00A75EF7">
      <w:pPr>
        <w:spacing w:line="360" w:lineRule="auto"/>
        <w:rPr>
          <w:rFonts w:ascii="Arial" w:hAnsi="Arial" w:cs="Arial"/>
          <w:sz w:val="22"/>
          <w:szCs w:val="22"/>
        </w:rPr>
      </w:pPr>
      <w:r w:rsidRPr="00A75EF7">
        <w:rPr>
          <w:rFonts w:ascii="Arial" w:hAnsi="Arial" w:cs="Arial"/>
          <w:sz w:val="22"/>
          <w:szCs w:val="22"/>
        </w:rPr>
        <w:lastRenderedPageBreak/>
        <w:t>The second step entails the link reaction and Krebs cycle, which take place within the mitochondria. The pyruvate gets into the mitochondria, where it is changed into acetyl-CoA in the</w:t>
      </w:r>
      <w:r w:rsidR="002B675C" w:rsidRPr="00A75EF7">
        <w:rPr>
          <w:rFonts w:ascii="Arial" w:hAnsi="Arial" w:cs="Arial"/>
          <w:sz w:val="22"/>
          <w:szCs w:val="22"/>
        </w:rPr>
        <w:t xml:space="preserve"> link reaction, with carbon dioxide as a waste product. The acetyl-CoA is then processed through the Krebs cycle, where further breakdown is carried out, and more energy carriers such as NADH and FADH2 are formed (Younas et al., 2026).</w:t>
      </w:r>
    </w:p>
    <w:p w14:paraId="36042009" w14:textId="77777777" w:rsidR="002B675C" w:rsidRPr="00A75EF7" w:rsidRDefault="002B675C" w:rsidP="00A75EF7">
      <w:pPr>
        <w:spacing w:line="360" w:lineRule="auto"/>
        <w:rPr>
          <w:rFonts w:ascii="Arial" w:hAnsi="Arial" w:cs="Arial"/>
          <w:sz w:val="22"/>
          <w:szCs w:val="22"/>
        </w:rPr>
      </w:pPr>
      <w:r w:rsidRPr="00A75EF7">
        <w:rPr>
          <w:rFonts w:ascii="Arial" w:hAnsi="Arial" w:cs="Arial"/>
          <w:sz w:val="22"/>
          <w:szCs w:val="22"/>
        </w:rPr>
        <w:t>The last process is the electron transport chain, which is on the inner membrane of mitochondria. At this phase, NADH and FADH2 take part and transfer electrons through a platform of protein complexes to generate a gradient of protons, which provides energy for the production of adenosine triphosphate. Oxygen is used as the last electron acceptor and reacts with hydrogen ions to create water. It can enable the production of ATP via oxidative phosphorylation (Gray et al., 2024).</w:t>
      </w:r>
    </w:p>
    <w:p w14:paraId="5CCBABD2" w14:textId="39279A92" w:rsidR="002B675C" w:rsidRDefault="002B675C" w:rsidP="00A75EF7">
      <w:pPr>
        <w:spacing w:line="360" w:lineRule="auto"/>
        <w:rPr>
          <w:rFonts w:ascii="Arial" w:hAnsi="Arial" w:cs="Arial"/>
          <w:sz w:val="22"/>
          <w:szCs w:val="22"/>
        </w:rPr>
      </w:pPr>
      <w:r w:rsidRPr="00A75EF7">
        <w:rPr>
          <w:rFonts w:ascii="Arial" w:hAnsi="Arial" w:cs="Arial"/>
          <w:sz w:val="22"/>
          <w:szCs w:val="22"/>
        </w:rPr>
        <w:t>Overall reaction:</w:t>
      </w:r>
      <w:r w:rsidR="00671962">
        <w:rPr>
          <w:rFonts w:ascii="Arial" w:hAnsi="Arial" w:cs="Arial"/>
          <w:sz w:val="22"/>
          <w:szCs w:val="22"/>
        </w:rPr>
        <w:t xml:space="preserve"> </w:t>
      </w:r>
      <w:r w:rsidRPr="00A75EF7">
        <w:rPr>
          <w:rFonts w:ascii="Arial" w:hAnsi="Arial" w:cs="Arial"/>
          <w:sz w:val="22"/>
          <w:szCs w:val="22"/>
        </w:rPr>
        <w:t>Glucose + Oxygen → Carbon dioxide + Water + ATP energy</w:t>
      </w:r>
    </w:p>
    <w:p w14:paraId="2FC0349A" w14:textId="77777777" w:rsidR="00880BF3" w:rsidRDefault="00880BF3" w:rsidP="002B675C">
      <w:pPr>
        <w:spacing w:line="360" w:lineRule="auto"/>
        <w:rPr>
          <w:rFonts w:ascii="Arial" w:hAnsi="Arial" w:cs="Arial"/>
          <w:sz w:val="22"/>
          <w:szCs w:val="22"/>
        </w:rPr>
      </w:pPr>
    </w:p>
    <w:p w14:paraId="79C1BF92" w14:textId="77777777" w:rsidR="00880BF3" w:rsidRDefault="00880BF3" w:rsidP="002B675C">
      <w:pPr>
        <w:spacing w:line="360" w:lineRule="auto"/>
        <w:rPr>
          <w:rFonts w:ascii="Arial" w:hAnsi="Arial" w:cs="Arial"/>
          <w:sz w:val="22"/>
          <w:szCs w:val="22"/>
        </w:rPr>
      </w:pPr>
    </w:p>
    <w:p w14:paraId="0C8B7FBE" w14:textId="7BAEBE26" w:rsidR="002B675C" w:rsidRPr="00880BF3" w:rsidRDefault="002B675C" w:rsidP="002B675C">
      <w:pPr>
        <w:spacing w:line="360" w:lineRule="auto"/>
        <w:rPr>
          <w:rFonts w:ascii="Arial" w:hAnsi="Arial" w:cs="Arial"/>
          <w:b/>
          <w:bCs/>
        </w:rPr>
      </w:pPr>
      <w:r w:rsidRPr="00880BF3">
        <w:rPr>
          <w:rFonts w:ascii="Arial" w:hAnsi="Arial" w:cs="Arial"/>
          <w:b/>
          <w:bCs/>
        </w:rPr>
        <w:t>3.3 Relationship with Type 2 Diabetes</w:t>
      </w:r>
    </w:p>
    <w:p w14:paraId="5EB05771" w14:textId="0309D581" w:rsidR="002B675C" w:rsidRDefault="002B675C" w:rsidP="00671962">
      <w:pPr>
        <w:spacing w:line="360" w:lineRule="auto"/>
        <w:rPr>
          <w:rFonts w:ascii="Arial" w:hAnsi="Arial" w:cs="Arial"/>
          <w:sz w:val="22"/>
          <w:szCs w:val="22"/>
        </w:rPr>
      </w:pPr>
      <w:r w:rsidRPr="00671962">
        <w:rPr>
          <w:rFonts w:ascii="Arial" w:hAnsi="Arial" w:cs="Arial"/>
          <w:sz w:val="22"/>
          <w:szCs w:val="22"/>
        </w:rPr>
        <w:t xml:space="preserve">In Type 2 diabetes, the movement of glucose in cells gets impaired due to impaired action of insulin. The resistance to insulin means that the muscle and adipose tissue cells can no longer efficiently take in the glucose in the bloodstream. Even when glucose can be found in the blood, the process of its uptake into cells can be inefficient, which interferes with normal metabolism and decreases energy supply. </w:t>
      </w:r>
      <w:r w:rsidR="00C54E59">
        <w:rPr>
          <w:rFonts w:ascii="Arial" w:hAnsi="Arial" w:cs="Arial"/>
          <w:sz w:val="22"/>
          <w:szCs w:val="22"/>
        </w:rPr>
        <w:t>According to</w:t>
      </w:r>
      <w:r w:rsidR="002B2AF4">
        <w:rPr>
          <w:rFonts w:ascii="Arial" w:hAnsi="Arial" w:cs="Arial"/>
          <w:sz w:val="22"/>
          <w:szCs w:val="22"/>
        </w:rPr>
        <w:t xml:space="preserve"> </w:t>
      </w:r>
      <w:r w:rsidR="007C2005" w:rsidRPr="007C2005">
        <w:rPr>
          <w:rFonts w:ascii="Arial" w:hAnsi="Arial" w:cs="Arial"/>
          <w:sz w:val="22"/>
          <w:szCs w:val="22"/>
        </w:rPr>
        <w:t>(</w:t>
      </w:r>
      <w:proofErr w:type="spellStart"/>
      <w:r w:rsidR="007C2005" w:rsidRPr="007C2005">
        <w:rPr>
          <w:rFonts w:ascii="Arial" w:hAnsi="Arial" w:cs="Arial"/>
          <w:sz w:val="22"/>
          <w:szCs w:val="22"/>
        </w:rPr>
        <w:t>Chotolli</w:t>
      </w:r>
      <w:proofErr w:type="spellEnd"/>
      <w:r w:rsidR="007C2005" w:rsidRPr="007C2005">
        <w:rPr>
          <w:rFonts w:ascii="Arial" w:hAnsi="Arial" w:cs="Arial"/>
          <w:sz w:val="22"/>
          <w:szCs w:val="22"/>
        </w:rPr>
        <w:t xml:space="preserve"> and Agostini, 2023)</w:t>
      </w:r>
      <w:r w:rsidR="007C2005">
        <w:rPr>
          <w:rFonts w:ascii="Arial" w:hAnsi="Arial" w:cs="Arial"/>
          <w:sz w:val="22"/>
          <w:szCs w:val="22"/>
        </w:rPr>
        <w:t xml:space="preserve"> </w:t>
      </w:r>
      <w:r w:rsidR="00C54E59">
        <w:rPr>
          <w:rFonts w:ascii="Arial" w:hAnsi="Arial" w:cs="Arial"/>
          <w:sz w:val="22"/>
          <w:szCs w:val="22"/>
        </w:rPr>
        <w:t xml:space="preserve"> </w:t>
      </w:r>
      <w:r w:rsidR="002B2AF4">
        <w:rPr>
          <w:rFonts w:ascii="Arial" w:hAnsi="Arial" w:cs="Arial"/>
          <w:sz w:val="22"/>
          <w:szCs w:val="22"/>
        </w:rPr>
        <w:t>c</w:t>
      </w:r>
      <w:r w:rsidRPr="00671962">
        <w:rPr>
          <w:rFonts w:ascii="Arial" w:hAnsi="Arial" w:cs="Arial"/>
          <w:sz w:val="22"/>
          <w:szCs w:val="22"/>
        </w:rPr>
        <w:t xml:space="preserve">ontinuous hyperglycaemia can induce mitochondrial dysfunction and augment oxidative stress that can significantly damage tissues as well. </w:t>
      </w:r>
    </w:p>
    <w:p w14:paraId="3C1A4769" w14:textId="77777777" w:rsidR="00880BF3" w:rsidRDefault="00880BF3" w:rsidP="007D5B60">
      <w:pPr>
        <w:spacing w:line="360" w:lineRule="auto"/>
        <w:rPr>
          <w:rFonts w:ascii="Arial" w:hAnsi="Arial" w:cs="Arial"/>
          <w:sz w:val="22"/>
          <w:szCs w:val="22"/>
        </w:rPr>
      </w:pPr>
    </w:p>
    <w:p w14:paraId="4291774A" w14:textId="77777777" w:rsidR="00880BF3" w:rsidRDefault="00880BF3" w:rsidP="007D5B60">
      <w:pPr>
        <w:spacing w:line="360" w:lineRule="auto"/>
        <w:rPr>
          <w:rFonts w:ascii="Arial" w:hAnsi="Arial" w:cs="Arial"/>
          <w:sz w:val="22"/>
          <w:szCs w:val="22"/>
        </w:rPr>
      </w:pPr>
    </w:p>
    <w:p w14:paraId="2E176577" w14:textId="57325FC9" w:rsidR="002B675C" w:rsidRPr="007D5B60" w:rsidRDefault="002B675C" w:rsidP="007D5B60">
      <w:pPr>
        <w:spacing w:line="360" w:lineRule="auto"/>
        <w:rPr>
          <w:rFonts w:ascii="Arial" w:hAnsi="Arial" w:cs="Arial"/>
          <w:b/>
          <w:bCs/>
        </w:rPr>
      </w:pPr>
      <w:r w:rsidRPr="007D5B60">
        <w:rPr>
          <w:rFonts w:ascii="Arial" w:hAnsi="Arial" w:cs="Arial"/>
          <w:b/>
          <w:bCs/>
        </w:rPr>
        <w:t>4. Importance of Recording and Tracking Blood Glucose Levels in Type 2 Diabetes Management</w:t>
      </w:r>
    </w:p>
    <w:p w14:paraId="529C50C9" w14:textId="77777777" w:rsidR="002B675C" w:rsidRPr="007D5B60" w:rsidRDefault="002B675C" w:rsidP="007D5B60">
      <w:pPr>
        <w:spacing w:line="360" w:lineRule="auto"/>
        <w:rPr>
          <w:rFonts w:ascii="Arial" w:hAnsi="Arial" w:cs="Arial"/>
          <w:b/>
          <w:bCs/>
        </w:rPr>
      </w:pPr>
      <w:r w:rsidRPr="007D5B60">
        <w:rPr>
          <w:rFonts w:ascii="Arial" w:hAnsi="Arial" w:cs="Arial"/>
          <w:b/>
          <w:bCs/>
        </w:rPr>
        <w:t>4.1 Purpose of Blood Glucose Monitoring</w:t>
      </w:r>
    </w:p>
    <w:p w14:paraId="2C06B41A" w14:textId="36BDE7A8" w:rsidR="002147AC" w:rsidRDefault="002B675C" w:rsidP="00D95850">
      <w:pPr>
        <w:spacing w:line="360" w:lineRule="auto"/>
        <w:rPr>
          <w:rFonts w:ascii="Arial" w:hAnsi="Arial" w:cs="Arial"/>
          <w:sz w:val="22"/>
          <w:szCs w:val="22"/>
        </w:rPr>
      </w:pPr>
      <w:r w:rsidRPr="00D95850">
        <w:rPr>
          <w:rFonts w:ascii="Arial" w:hAnsi="Arial" w:cs="Arial"/>
          <w:sz w:val="22"/>
          <w:szCs w:val="22"/>
        </w:rPr>
        <w:t>Measuring and monitoring blood glucose is a very crucial aspect of proper management of Type 2 diabetes since it allows individuals to know how their glucose levels fluctuate. Frequent monitoring will give patients information regarding the daily glucose patterns and what factors can induce changes in the concentration of blood glucose either upwards or downwards (Wasserman, 2022).</w:t>
      </w:r>
      <w:r w:rsidR="00880BF3">
        <w:rPr>
          <w:rFonts w:ascii="Arial" w:hAnsi="Arial" w:cs="Arial"/>
          <w:sz w:val="22"/>
          <w:szCs w:val="22"/>
        </w:rPr>
        <w:t xml:space="preserve"> </w:t>
      </w:r>
      <w:r w:rsidR="002147AC" w:rsidRPr="00D95850">
        <w:rPr>
          <w:rFonts w:ascii="Arial" w:hAnsi="Arial" w:cs="Arial"/>
          <w:sz w:val="22"/>
          <w:szCs w:val="22"/>
        </w:rPr>
        <w:t xml:space="preserve">Glucose monitoring leads to patients being able to sense </w:t>
      </w:r>
      <w:r w:rsidR="002147AC" w:rsidRPr="00D95850">
        <w:rPr>
          <w:rFonts w:ascii="Arial" w:hAnsi="Arial" w:cs="Arial"/>
          <w:sz w:val="22"/>
          <w:szCs w:val="22"/>
        </w:rPr>
        <w:lastRenderedPageBreak/>
        <w:t>when there are instances of hyperglycaemia (high blood glucose) or hypoglycaemia (low blood glucose) so that they can take early action before complications arise.</w:t>
      </w:r>
      <w:r w:rsidR="00AF2AC3" w:rsidRPr="00AF2AC3">
        <w:t xml:space="preserve"> </w:t>
      </w:r>
      <w:r w:rsidR="00AF2AC3" w:rsidRPr="00AF2AC3">
        <w:rPr>
          <w:rFonts w:ascii="Arial" w:hAnsi="Arial" w:cs="Arial"/>
          <w:sz w:val="22"/>
          <w:szCs w:val="22"/>
        </w:rPr>
        <w:t>(Edwin et al., 2024)</w:t>
      </w:r>
      <w:r w:rsidR="00472B09">
        <w:rPr>
          <w:rFonts w:ascii="Arial" w:hAnsi="Arial" w:cs="Arial"/>
          <w:sz w:val="22"/>
          <w:szCs w:val="22"/>
        </w:rPr>
        <w:t xml:space="preserve"> </w:t>
      </w:r>
      <w:r w:rsidR="001A7910">
        <w:rPr>
          <w:rFonts w:ascii="Arial" w:hAnsi="Arial" w:cs="Arial"/>
          <w:sz w:val="22"/>
          <w:szCs w:val="22"/>
        </w:rPr>
        <w:t>illustrated that</w:t>
      </w:r>
      <w:r w:rsidR="000F6C47">
        <w:rPr>
          <w:rFonts w:ascii="Arial" w:hAnsi="Arial" w:cs="Arial"/>
          <w:sz w:val="22"/>
          <w:szCs w:val="22"/>
        </w:rPr>
        <w:t xml:space="preserve"> </w:t>
      </w:r>
      <w:r w:rsidR="002147AC" w:rsidRPr="00D95850">
        <w:rPr>
          <w:rFonts w:ascii="Arial" w:hAnsi="Arial" w:cs="Arial"/>
          <w:sz w:val="22"/>
          <w:szCs w:val="22"/>
        </w:rPr>
        <w:t>high glucose levels could be a sign of poor control of the disease, and low sugar levels could be a sign of an overdose of medication or insufficient food consumption.</w:t>
      </w:r>
    </w:p>
    <w:p w14:paraId="799D646E" w14:textId="77777777" w:rsidR="009D7820" w:rsidRDefault="009D7820" w:rsidP="00AD39DA">
      <w:pPr>
        <w:spacing w:line="360" w:lineRule="auto"/>
        <w:rPr>
          <w:rFonts w:ascii="Arial" w:hAnsi="Arial" w:cs="Arial"/>
          <w:sz w:val="22"/>
          <w:szCs w:val="22"/>
        </w:rPr>
      </w:pPr>
    </w:p>
    <w:p w14:paraId="21FFFCC4" w14:textId="77777777" w:rsidR="009D7820" w:rsidRDefault="009D7820" w:rsidP="00AD39DA">
      <w:pPr>
        <w:spacing w:line="360" w:lineRule="auto"/>
        <w:rPr>
          <w:rFonts w:ascii="Arial" w:hAnsi="Arial" w:cs="Arial"/>
          <w:sz w:val="22"/>
          <w:szCs w:val="22"/>
        </w:rPr>
      </w:pPr>
    </w:p>
    <w:p w14:paraId="18382409" w14:textId="2622D988" w:rsidR="002147AC" w:rsidRPr="00AD39DA" w:rsidRDefault="002147AC" w:rsidP="00AD39DA">
      <w:pPr>
        <w:spacing w:line="360" w:lineRule="auto"/>
        <w:rPr>
          <w:rFonts w:ascii="Arial" w:hAnsi="Arial" w:cs="Arial"/>
          <w:b/>
          <w:bCs/>
        </w:rPr>
      </w:pPr>
      <w:r w:rsidRPr="00AD39DA">
        <w:rPr>
          <w:rFonts w:ascii="Arial" w:hAnsi="Arial" w:cs="Arial"/>
          <w:b/>
          <w:bCs/>
        </w:rPr>
        <w:t>4.2 Benefits of Long-Term Blood Glucose Tracking</w:t>
      </w:r>
    </w:p>
    <w:p w14:paraId="3CCB37E6" w14:textId="77777777" w:rsidR="002147AC" w:rsidRPr="00AD39DA" w:rsidRDefault="002147AC" w:rsidP="00AD39DA">
      <w:pPr>
        <w:spacing w:line="360" w:lineRule="auto"/>
        <w:rPr>
          <w:rFonts w:ascii="Arial" w:hAnsi="Arial" w:cs="Arial"/>
          <w:sz w:val="22"/>
          <w:szCs w:val="22"/>
        </w:rPr>
      </w:pPr>
      <w:r w:rsidRPr="00AD39DA">
        <w:rPr>
          <w:rFonts w:ascii="Arial" w:hAnsi="Arial" w:cs="Arial"/>
          <w:sz w:val="22"/>
          <w:szCs w:val="22"/>
        </w:rPr>
        <w:t>Continuous monitoring of blood sugar over an extended period is helpful in controlled medication administration by enabling a medical practitioner to evaluate trends as opposed to taking a test at a time. Ongoing diagnoses can also indicate how the treatment plans are keeping the glucose levels within their normal range, as well as whether the patient will need extra measures (Richter et al., 2025).</w:t>
      </w:r>
    </w:p>
    <w:p w14:paraId="6770F4DD" w14:textId="77777777" w:rsidR="0063222F" w:rsidRDefault="002147AC" w:rsidP="009D7820">
      <w:pPr>
        <w:spacing w:line="360" w:lineRule="auto"/>
        <w:rPr>
          <w:rFonts w:ascii="Arial" w:hAnsi="Arial" w:cs="Arial"/>
          <w:sz w:val="22"/>
          <w:szCs w:val="22"/>
        </w:rPr>
      </w:pPr>
      <w:r w:rsidRPr="00AD39DA">
        <w:rPr>
          <w:rFonts w:ascii="Arial" w:hAnsi="Arial" w:cs="Arial"/>
          <w:sz w:val="22"/>
          <w:szCs w:val="22"/>
        </w:rPr>
        <w:t xml:space="preserve">Blood glucose records are also effective in enabling patients to know how their lifestyle behaviours can affect their condition. Comparison between glucose results and the foods and beverages consumed, exercise, and stress can help individuals determine the behaviours that positively or negatively affect blood glucose levels. </w:t>
      </w:r>
    </w:p>
    <w:p w14:paraId="7779317F" w14:textId="77777777" w:rsidR="0063222F" w:rsidRDefault="0063222F" w:rsidP="009D7820">
      <w:pPr>
        <w:spacing w:line="360" w:lineRule="auto"/>
        <w:rPr>
          <w:rFonts w:ascii="Arial" w:hAnsi="Arial" w:cs="Arial"/>
          <w:sz w:val="22"/>
          <w:szCs w:val="22"/>
        </w:rPr>
      </w:pPr>
    </w:p>
    <w:p w14:paraId="0E8EAD5B" w14:textId="77777777" w:rsidR="0063222F" w:rsidRDefault="0063222F" w:rsidP="009D7820">
      <w:pPr>
        <w:spacing w:line="360" w:lineRule="auto"/>
        <w:rPr>
          <w:rFonts w:ascii="Arial" w:hAnsi="Arial" w:cs="Arial"/>
          <w:sz w:val="22"/>
          <w:szCs w:val="22"/>
        </w:rPr>
      </w:pPr>
    </w:p>
    <w:p w14:paraId="4CFD160E" w14:textId="7F6CDE07" w:rsidR="002147AC" w:rsidRPr="0063222F" w:rsidRDefault="002147AC" w:rsidP="009D7820">
      <w:pPr>
        <w:spacing w:line="360" w:lineRule="auto"/>
        <w:rPr>
          <w:rFonts w:ascii="Arial" w:hAnsi="Arial" w:cs="Arial"/>
          <w:sz w:val="22"/>
          <w:szCs w:val="22"/>
        </w:rPr>
      </w:pPr>
      <w:r w:rsidRPr="009D7820">
        <w:rPr>
          <w:rFonts w:ascii="Arial" w:hAnsi="Arial" w:cs="Arial"/>
          <w:b/>
          <w:bCs/>
        </w:rPr>
        <w:t>4.3 Role of Healthcare Professionals</w:t>
      </w:r>
    </w:p>
    <w:p w14:paraId="2443E5FD" w14:textId="77777777" w:rsidR="002147AC" w:rsidRPr="00AD39DA" w:rsidRDefault="002147AC" w:rsidP="00AD39DA">
      <w:pPr>
        <w:spacing w:line="360" w:lineRule="auto"/>
        <w:rPr>
          <w:rFonts w:ascii="Arial" w:hAnsi="Arial" w:cs="Arial"/>
          <w:sz w:val="22"/>
          <w:szCs w:val="22"/>
        </w:rPr>
      </w:pPr>
      <w:r w:rsidRPr="00AD39DA">
        <w:rPr>
          <w:rFonts w:ascii="Arial" w:hAnsi="Arial" w:cs="Arial"/>
          <w:sz w:val="22"/>
          <w:szCs w:val="22"/>
        </w:rPr>
        <w:t>Practice nurses, as well as other health professionals, can make an impact in patient-disciplined blood glucose management. Education about proper monitoring methods, interpretation of the results of glucose level control and the necessity of proper record-keeping can be employed by the nurses.</w:t>
      </w:r>
    </w:p>
    <w:p w14:paraId="46128147" w14:textId="7227D13D" w:rsidR="002147AC" w:rsidRPr="00AD39DA" w:rsidRDefault="002147AC" w:rsidP="00AD39DA">
      <w:pPr>
        <w:spacing w:line="360" w:lineRule="auto"/>
        <w:rPr>
          <w:rFonts w:ascii="Arial" w:hAnsi="Arial" w:cs="Arial"/>
          <w:sz w:val="22"/>
          <w:szCs w:val="22"/>
        </w:rPr>
      </w:pPr>
      <w:r w:rsidRPr="00AD39DA">
        <w:rPr>
          <w:rFonts w:ascii="Arial" w:hAnsi="Arial" w:cs="Arial"/>
          <w:sz w:val="22"/>
          <w:szCs w:val="22"/>
        </w:rPr>
        <w:t>Nurses will be able to collaborate with patients in achieving realistic objectives and create personalised care plans according to their lifestyle, treatment requirements and glucose patterns (Lundqvist et al., 2024). With regular support and communication, healthcare workers can promote patient participation in self-management and enhance self-confidence and long-term outcomes of diabetes management.</w:t>
      </w:r>
      <w:r w:rsidR="00250762" w:rsidRPr="00AD39DA">
        <w:rPr>
          <w:rFonts w:ascii="Arial" w:hAnsi="Arial" w:cs="Arial"/>
          <w:sz w:val="22"/>
          <w:szCs w:val="22"/>
        </w:rPr>
        <w:t xml:space="preserve"> </w:t>
      </w:r>
    </w:p>
    <w:p w14:paraId="2ED900D9" w14:textId="77777777" w:rsidR="002E4609" w:rsidRDefault="002E4609" w:rsidP="002147AC">
      <w:pPr>
        <w:spacing w:line="360" w:lineRule="auto"/>
        <w:rPr>
          <w:rFonts w:ascii="Arial" w:hAnsi="Arial" w:cs="Arial"/>
          <w:sz w:val="22"/>
          <w:szCs w:val="22"/>
        </w:rPr>
      </w:pPr>
    </w:p>
    <w:p w14:paraId="591DC77D" w14:textId="77777777" w:rsidR="002E4609" w:rsidRPr="00AD39DA" w:rsidRDefault="002E4609" w:rsidP="00AD39DA">
      <w:pPr>
        <w:spacing w:line="360" w:lineRule="auto"/>
        <w:rPr>
          <w:rFonts w:ascii="Arial" w:hAnsi="Arial" w:cs="Arial"/>
          <w:b/>
          <w:bCs/>
        </w:rPr>
      </w:pPr>
      <w:r w:rsidRPr="00AD39DA">
        <w:rPr>
          <w:rFonts w:ascii="Arial" w:hAnsi="Arial" w:cs="Arial"/>
          <w:b/>
          <w:bCs/>
        </w:rPr>
        <w:lastRenderedPageBreak/>
        <w:t xml:space="preserve">5. Evidence-Based Lifestyle Recommendations for Improving Type 2 Diabetes Management </w:t>
      </w:r>
    </w:p>
    <w:p w14:paraId="667AF501" w14:textId="77777777" w:rsidR="002E4609" w:rsidRPr="002E4609" w:rsidRDefault="002E4609" w:rsidP="00AD39DA">
      <w:pPr>
        <w:spacing w:line="360" w:lineRule="auto"/>
        <w:rPr>
          <w:rFonts w:ascii="Arial" w:hAnsi="Arial" w:cs="Arial"/>
          <w:sz w:val="22"/>
          <w:szCs w:val="22"/>
        </w:rPr>
      </w:pPr>
      <w:r w:rsidRPr="00AD39DA">
        <w:rPr>
          <w:rFonts w:ascii="Arial" w:hAnsi="Arial" w:cs="Arial"/>
          <w:b/>
          <w:bCs/>
        </w:rPr>
        <w:t>5.1 Dietary Modification</w:t>
      </w:r>
    </w:p>
    <w:p w14:paraId="1616051A" w14:textId="77777777" w:rsidR="002E4609" w:rsidRPr="007C4E52" w:rsidRDefault="002E4609" w:rsidP="007C4E52">
      <w:pPr>
        <w:spacing w:line="360" w:lineRule="auto"/>
        <w:rPr>
          <w:rFonts w:ascii="Arial" w:hAnsi="Arial" w:cs="Arial"/>
          <w:sz w:val="22"/>
          <w:szCs w:val="22"/>
        </w:rPr>
      </w:pPr>
      <w:r w:rsidRPr="007C4E52">
        <w:rPr>
          <w:rFonts w:ascii="Arial" w:hAnsi="Arial" w:cs="Arial"/>
          <w:sz w:val="22"/>
          <w:szCs w:val="22"/>
        </w:rPr>
        <w:t>Nutrition change appears to be an important aspect of Type 2 diabetes management since food preferences directly impact the regulation of blood sugar and metabolic well-being. Having a balanced diet that contains the right amount of each type of carbohydrate, protein, and healthy fats can sustain constant levels of blood glucose and good health.</w:t>
      </w:r>
    </w:p>
    <w:p w14:paraId="5C9F7D61" w14:textId="77777777" w:rsidR="0063222F" w:rsidRDefault="002E4609" w:rsidP="007C4E52">
      <w:pPr>
        <w:spacing w:line="360" w:lineRule="auto"/>
        <w:rPr>
          <w:rFonts w:ascii="Arial" w:hAnsi="Arial" w:cs="Arial"/>
          <w:sz w:val="22"/>
          <w:szCs w:val="22"/>
        </w:rPr>
      </w:pPr>
      <w:r w:rsidRPr="007C4E52">
        <w:rPr>
          <w:rFonts w:ascii="Arial" w:hAnsi="Arial" w:cs="Arial"/>
          <w:sz w:val="22"/>
          <w:szCs w:val="22"/>
        </w:rPr>
        <w:t>Patients need to be encouraged to take more dietary fibre by consuming food items like vegetables, whole grains, legumes and fruits. Rapid rises in blood glucose after meals would be lessened by fibre, as it slows down the digestion and absorption of glucose (Tan et al., 2025). It is also necessary to reduce refined carbohydrates such as sugary foods and processed carbohydrates since the above-mentioned foods can impact blood glucose levels with significant rises.</w:t>
      </w:r>
    </w:p>
    <w:p w14:paraId="42E8CDE6" w14:textId="77777777" w:rsidR="0063222F" w:rsidRDefault="0063222F" w:rsidP="007C4E52">
      <w:pPr>
        <w:spacing w:line="360" w:lineRule="auto"/>
        <w:rPr>
          <w:rFonts w:ascii="Arial" w:hAnsi="Arial" w:cs="Arial"/>
          <w:sz w:val="22"/>
          <w:szCs w:val="22"/>
        </w:rPr>
      </w:pPr>
    </w:p>
    <w:p w14:paraId="5DAAC865" w14:textId="77777777" w:rsidR="0063222F" w:rsidRDefault="0063222F" w:rsidP="007C4E52">
      <w:pPr>
        <w:spacing w:line="360" w:lineRule="auto"/>
        <w:rPr>
          <w:rFonts w:ascii="Arial" w:hAnsi="Arial" w:cs="Arial"/>
          <w:sz w:val="22"/>
          <w:szCs w:val="22"/>
        </w:rPr>
      </w:pPr>
    </w:p>
    <w:p w14:paraId="3C186504" w14:textId="782FD27C" w:rsidR="002E4609" w:rsidRPr="0063222F" w:rsidRDefault="002E4609" w:rsidP="007C4E52">
      <w:pPr>
        <w:spacing w:line="360" w:lineRule="auto"/>
        <w:rPr>
          <w:rFonts w:ascii="Arial" w:hAnsi="Arial" w:cs="Arial"/>
        </w:rPr>
      </w:pPr>
      <w:r w:rsidRPr="0063222F">
        <w:rPr>
          <w:rFonts w:ascii="Arial" w:hAnsi="Arial" w:cs="Arial"/>
          <w:b/>
          <w:bCs/>
        </w:rPr>
        <w:t>5.2 Physical Activity</w:t>
      </w:r>
    </w:p>
    <w:p w14:paraId="0EE82C2A" w14:textId="77777777" w:rsidR="002E4609" w:rsidRPr="00CF318D" w:rsidRDefault="002E4609" w:rsidP="00CF318D">
      <w:pPr>
        <w:spacing w:line="360" w:lineRule="auto"/>
        <w:rPr>
          <w:rFonts w:ascii="Arial" w:hAnsi="Arial" w:cs="Arial"/>
          <w:sz w:val="22"/>
          <w:szCs w:val="22"/>
        </w:rPr>
      </w:pPr>
      <w:r w:rsidRPr="00CF318D">
        <w:rPr>
          <w:rFonts w:ascii="Arial" w:hAnsi="Arial" w:cs="Arial"/>
          <w:sz w:val="22"/>
          <w:szCs w:val="22"/>
        </w:rPr>
        <w:t>Physical exercise is critical in lowering the blood glucose level among people with Type 2 diabetes. Aerobic exercises, such as walking, cycling and swimming, and resistance training exercises to enhance muscle strength are recommended.</w:t>
      </w:r>
    </w:p>
    <w:p w14:paraId="57F5DBC2" w14:textId="77777777" w:rsidR="0063222F" w:rsidRDefault="002E4609" w:rsidP="00CF318D">
      <w:pPr>
        <w:spacing w:line="360" w:lineRule="auto"/>
        <w:rPr>
          <w:rFonts w:ascii="Arial" w:hAnsi="Arial" w:cs="Arial"/>
          <w:sz w:val="22"/>
          <w:szCs w:val="22"/>
        </w:rPr>
      </w:pPr>
      <w:r w:rsidRPr="00CF318D">
        <w:rPr>
          <w:rFonts w:ascii="Arial" w:hAnsi="Arial" w:cs="Arial"/>
          <w:sz w:val="22"/>
          <w:szCs w:val="22"/>
        </w:rPr>
        <w:t>Exercise also enhances insulin sensitivity, as well as glucose uptake by skeletal muscles. The muscles during physical activity demand more energy and use more glucose, helping lower the level of glucose in the blood. Exercise also helps to manage weight as it burns extra calories and helps to lose superfluous fat on the body, leading to metabolic wellbeing (Salih et al., 2022).</w:t>
      </w:r>
    </w:p>
    <w:p w14:paraId="2D7A9CEA" w14:textId="77777777" w:rsidR="0063222F" w:rsidRDefault="0063222F" w:rsidP="00CF318D">
      <w:pPr>
        <w:spacing w:line="360" w:lineRule="auto"/>
        <w:rPr>
          <w:rFonts w:ascii="Arial" w:hAnsi="Arial" w:cs="Arial"/>
          <w:sz w:val="22"/>
          <w:szCs w:val="22"/>
        </w:rPr>
      </w:pPr>
    </w:p>
    <w:p w14:paraId="3388D99F" w14:textId="77777777" w:rsidR="0063222F" w:rsidRDefault="0063222F" w:rsidP="00CF318D">
      <w:pPr>
        <w:spacing w:line="360" w:lineRule="auto"/>
        <w:rPr>
          <w:rFonts w:ascii="Arial" w:hAnsi="Arial" w:cs="Arial"/>
          <w:sz w:val="22"/>
          <w:szCs w:val="22"/>
        </w:rPr>
      </w:pPr>
    </w:p>
    <w:p w14:paraId="32BAD948" w14:textId="53E28157" w:rsidR="002E4609" w:rsidRPr="0063222F" w:rsidRDefault="002E4609" w:rsidP="00CF318D">
      <w:pPr>
        <w:spacing w:line="360" w:lineRule="auto"/>
        <w:rPr>
          <w:rFonts w:ascii="Arial" w:hAnsi="Arial" w:cs="Arial"/>
          <w:sz w:val="22"/>
          <w:szCs w:val="22"/>
        </w:rPr>
      </w:pPr>
      <w:r w:rsidRPr="00CF318D">
        <w:rPr>
          <w:rFonts w:ascii="Arial" w:hAnsi="Arial" w:cs="Arial"/>
          <w:b/>
          <w:bCs/>
        </w:rPr>
        <w:t>5.3 Smoking Cessation</w:t>
      </w:r>
    </w:p>
    <w:p w14:paraId="1DAB3373" w14:textId="77777777" w:rsidR="0063222F" w:rsidRDefault="002E4609" w:rsidP="004F6315">
      <w:pPr>
        <w:spacing w:line="360" w:lineRule="auto"/>
        <w:rPr>
          <w:rFonts w:ascii="Arial" w:hAnsi="Arial" w:cs="Arial"/>
          <w:sz w:val="22"/>
          <w:szCs w:val="22"/>
        </w:rPr>
      </w:pPr>
      <w:r w:rsidRPr="004F6315">
        <w:rPr>
          <w:rFonts w:ascii="Arial" w:hAnsi="Arial" w:cs="Arial"/>
          <w:sz w:val="22"/>
          <w:szCs w:val="22"/>
        </w:rPr>
        <w:t xml:space="preserve">Smoking cessation plays a significant role as a part of a lifestyle intervention due to the potential aggravation of diabetes control by smoking. Exposure to nicotine is a factor in insulin resistance, impairing the effectiveness of insulin in maintaining the level of blood glucose. Inflammation and blood vessel damage (increased by smoking) also predispose the </w:t>
      </w:r>
      <w:r w:rsidRPr="004F6315">
        <w:rPr>
          <w:rFonts w:ascii="Arial" w:hAnsi="Arial" w:cs="Arial"/>
          <w:sz w:val="22"/>
          <w:szCs w:val="22"/>
        </w:rPr>
        <w:lastRenderedPageBreak/>
        <w:t>patient to cardiovascular disease and other complications of diabetes (</w:t>
      </w:r>
      <w:proofErr w:type="spellStart"/>
      <w:r w:rsidRPr="004F6315">
        <w:rPr>
          <w:rFonts w:ascii="Arial" w:hAnsi="Arial" w:cs="Arial"/>
          <w:sz w:val="22"/>
          <w:szCs w:val="22"/>
        </w:rPr>
        <w:t>Indarto</w:t>
      </w:r>
      <w:proofErr w:type="spellEnd"/>
      <w:r w:rsidRPr="004F6315">
        <w:rPr>
          <w:rFonts w:ascii="Arial" w:hAnsi="Arial" w:cs="Arial"/>
          <w:sz w:val="22"/>
          <w:szCs w:val="22"/>
        </w:rPr>
        <w:t xml:space="preserve"> et al., 2022). Nicotine replacement therapy and behavioural counselling, as well as smoking cessation programmes, should be used to support the patients.</w:t>
      </w:r>
    </w:p>
    <w:p w14:paraId="25AA5475" w14:textId="77777777" w:rsidR="0063222F" w:rsidRDefault="0063222F" w:rsidP="004F6315">
      <w:pPr>
        <w:spacing w:line="360" w:lineRule="auto"/>
        <w:rPr>
          <w:rFonts w:ascii="Arial" w:hAnsi="Arial" w:cs="Arial"/>
          <w:sz w:val="22"/>
          <w:szCs w:val="22"/>
        </w:rPr>
      </w:pPr>
    </w:p>
    <w:p w14:paraId="72C679CC" w14:textId="77777777" w:rsidR="0063222F" w:rsidRDefault="0063222F" w:rsidP="004F6315">
      <w:pPr>
        <w:spacing w:line="360" w:lineRule="auto"/>
        <w:rPr>
          <w:rFonts w:ascii="Arial" w:hAnsi="Arial" w:cs="Arial"/>
          <w:sz w:val="22"/>
          <w:szCs w:val="22"/>
        </w:rPr>
      </w:pPr>
    </w:p>
    <w:p w14:paraId="3AF7FAE5" w14:textId="1276CDEB" w:rsidR="00CD01E5" w:rsidRPr="0063222F" w:rsidRDefault="00CD01E5" w:rsidP="004F6315">
      <w:pPr>
        <w:spacing w:line="360" w:lineRule="auto"/>
        <w:rPr>
          <w:rFonts w:ascii="Arial" w:hAnsi="Arial" w:cs="Arial"/>
          <w:sz w:val="22"/>
          <w:szCs w:val="22"/>
        </w:rPr>
      </w:pPr>
      <w:r w:rsidRPr="004F6315">
        <w:rPr>
          <w:rFonts w:ascii="Arial" w:hAnsi="Arial" w:cs="Arial"/>
          <w:b/>
          <w:bCs/>
        </w:rPr>
        <w:t>5.4 Weight Management</w:t>
      </w:r>
    </w:p>
    <w:p w14:paraId="17F2E540" w14:textId="77777777" w:rsidR="0063222F" w:rsidRDefault="00CD01E5" w:rsidP="00792F91">
      <w:pPr>
        <w:spacing w:line="360" w:lineRule="auto"/>
        <w:rPr>
          <w:rFonts w:ascii="Arial" w:hAnsi="Arial" w:cs="Arial"/>
          <w:sz w:val="22"/>
          <w:szCs w:val="22"/>
        </w:rPr>
      </w:pPr>
      <w:r w:rsidRPr="004F6315">
        <w:rPr>
          <w:rFonts w:ascii="Arial" w:hAnsi="Arial" w:cs="Arial"/>
          <w:sz w:val="22"/>
          <w:szCs w:val="22"/>
        </w:rPr>
        <w:t>Abdominal fat or excess body weight has been identified as a contributor to insulin resistance in the normal pathways of insulin signalling. Weight loss can moderately raise insulin sensitivity, improve glucose metabolism and minimise cardiovascular issues. Healthy eating and exercise habits are some of the best strategies that can be used to manage and reduce the weight of persons with Type 2 diabetes (Smedegaard et al., 2025).</w:t>
      </w:r>
    </w:p>
    <w:p w14:paraId="4173CD29" w14:textId="77777777" w:rsidR="0063222F" w:rsidRDefault="0063222F" w:rsidP="00792F91">
      <w:pPr>
        <w:spacing w:line="360" w:lineRule="auto"/>
        <w:rPr>
          <w:rFonts w:ascii="Arial" w:hAnsi="Arial" w:cs="Arial"/>
          <w:sz w:val="22"/>
          <w:szCs w:val="22"/>
        </w:rPr>
      </w:pPr>
    </w:p>
    <w:p w14:paraId="157BB654" w14:textId="77777777" w:rsidR="0063222F" w:rsidRDefault="0063222F" w:rsidP="00792F91">
      <w:pPr>
        <w:spacing w:line="360" w:lineRule="auto"/>
        <w:rPr>
          <w:rFonts w:ascii="Arial" w:hAnsi="Arial" w:cs="Arial"/>
          <w:sz w:val="22"/>
          <w:szCs w:val="22"/>
        </w:rPr>
      </w:pPr>
    </w:p>
    <w:p w14:paraId="5E799460" w14:textId="129266BA" w:rsidR="00CD01E5" w:rsidRPr="0063222F" w:rsidRDefault="00CD01E5" w:rsidP="00792F91">
      <w:pPr>
        <w:spacing w:line="360" w:lineRule="auto"/>
        <w:rPr>
          <w:rFonts w:ascii="Arial" w:hAnsi="Arial" w:cs="Arial"/>
          <w:sz w:val="22"/>
          <w:szCs w:val="22"/>
        </w:rPr>
      </w:pPr>
      <w:r w:rsidRPr="00792F91">
        <w:rPr>
          <w:rFonts w:ascii="Arial" w:hAnsi="Arial" w:cs="Arial"/>
          <w:b/>
          <w:bCs/>
        </w:rPr>
        <w:t>5.5 Patient Education and Self-Management</w:t>
      </w:r>
    </w:p>
    <w:p w14:paraId="7C7E4C79" w14:textId="77777777" w:rsidR="002977EB" w:rsidRDefault="00CD01E5" w:rsidP="004F6315">
      <w:pPr>
        <w:spacing w:line="360" w:lineRule="auto"/>
        <w:rPr>
          <w:rFonts w:ascii="Arial" w:hAnsi="Arial" w:cs="Arial"/>
          <w:sz w:val="22"/>
          <w:szCs w:val="22"/>
        </w:rPr>
      </w:pPr>
      <w:r w:rsidRPr="004F6315">
        <w:rPr>
          <w:rFonts w:ascii="Arial" w:hAnsi="Arial" w:cs="Arial"/>
          <w:sz w:val="22"/>
          <w:szCs w:val="22"/>
        </w:rPr>
        <w:t>The management of diabetes needs patient participation. Due to awareness of the condition, treatment plans, and regular health check-ups, patients make informed decisions about their health.</w:t>
      </w:r>
      <w:r w:rsidR="005E41DB">
        <w:rPr>
          <w:rFonts w:ascii="Arial" w:hAnsi="Arial" w:cs="Arial"/>
          <w:sz w:val="22"/>
          <w:szCs w:val="22"/>
        </w:rPr>
        <w:t xml:space="preserve"> </w:t>
      </w:r>
      <w:r w:rsidRPr="004F6315">
        <w:rPr>
          <w:rFonts w:ascii="Arial" w:hAnsi="Arial" w:cs="Arial"/>
          <w:sz w:val="22"/>
          <w:szCs w:val="22"/>
        </w:rPr>
        <w:t>Practice nurses have a significant role to play as they may offer education about blood glucose monitoring, medication adherence and lifestyle changes.</w:t>
      </w:r>
      <w:r w:rsidR="00DD6ABA">
        <w:rPr>
          <w:rFonts w:ascii="Arial" w:hAnsi="Arial" w:cs="Arial"/>
          <w:sz w:val="22"/>
          <w:szCs w:val="22"/>
        </w:rPr>
        <w:t xml:space="preserve"> According to </w:t>
      </w:r>
      <w:r w:rsidRPr="004F6315">
        <w:rPr>
          <w:rFonts w:ascii="Arial" w:hAnsi="Arial" w:cs="Arial"/>
          <w:sz w:val="22"/>
          <w:szCs w:val="22"/>
        </w:rPr>
        <w:t xml:space="preserve"> </w:t>
      </w:r>
      <w:r w:rsidR="00DD6ABA" w:rsidRPr="00DD6ABA">
        <w:rPr>
          <w:rFonts w:ascii="Arial" w:hAnsi="Arial" w:cs="Arial"/>
          <w:sz w:val="22"/>
          <w:szCs w:val="22"/>
        </w:rPr>
        <w:t>(Gray et al., 2024)</w:t>
      </w:r>
      <w:r w:rsidR="00DD6ABA">
        <w:rPr>
          <w:rFonts w:ascii="Arial" w:hAnsi="Arial" w:cs="Arial"/>
          <w:sz w:val="22"/>
          <w:szCs w:val="22"/>
        </w:rPr>
        <w:t xml:space="preserve"> </w:t>
      </w:r>
      <w:r w:rsidRPr="004F6315">
        <w:rPr>
          <w:rFonts w:ascii="Arial" w:hAnsi="Arial" w:cs="Arial"/>
          <w:sz w:val="22"/>
          <w:szCs w:val="22"/>
        </w:rPr>
        <w:t>Periodic assistance and individualised care interventions assist patients to gain confidence in self-management, enhance glucose control and decrease the likelihood of long-term problems</w:t>
      </w:r>
      <w:r w:rsidR="002977EB">
        <w:rPr>
          <w:rFonts w:ascii="Arial" w:hAnsi="Arial" w:cs="Arial"/>
          <w:sz w:val="22"/>
          <w:szCs w:val="22"/>
        </w:rPr>
        <w:t>.</w:t>
      </w:r>
    </w:p>
    <w:p w14:paraId="6A0F53CE" w14:textId="77777777" w:rsidR="00321F2A" w:rsidRDefault="00321F2A" w:rsidP="004F6315">
      <w:pPr>
        <w:spacing w:line="360" w:lineRule="auto"/>
        <w:rPr>
          <w:rFonts w:ascii="Arial" w:hAnsi="Arial" w:cs="Arial"/>
          <w:sz w:val="22"/>
          <w:szCs w:val="22"/>
        </w:rPr>
      </w:pPr>
    </w:p>
    <w:p w14:paraId="4BD4B788" w14:textId="7FC08761" w:rsidR="00CD01E5" w:rsidRPr="002977EB" w:rsidRDefault="00CD01E5" w:rsidP="004F6315">
      <w:pPr>
        <w:spacing w:line="360" w:lineRule="auto"/>
        <w:rPr>
          <w:rFonts w:ascii="Arial" w:hAnsi="Arial" w:cs="Arial"/>
          <w:sz w:val="22"/>
          <w:szCs w:val="22"/>
        </w:rPr>
      </w:pPr>
      <w:r w:rsidRPr="004F6315">
        <w:rPr>
          <w:rFonts w:ascii="Arial" w:hAnsi="Arial" w:cs="Arial"/>
          <w:b/>
          <w:bCs/>
        </w:rPr>
        <w:t>6. Conclusion</w:t>
      </w:r>
    </w:p>
    <w:p w14:paraId="1353768D" w14:textId="271C3240" w:rsidR="00427D76" w:rsidRDefault="00CD01E5" w:rsidP="007D4DFD">
      <w:pPr>
        <w:spacing w:line="360" w:lineRule="auto"/>
        <w:rPr>
          <w:rFonts w:ascii="Arial" w:hAnsi="Arial" w:cs="Arial"/>
          <w:sz w:val="22"/>
          <w:szCs w:val="22"/>
        </w:rPr>
      </w:pPr>
      <w:r w:rsidRPr="004F6315">
        <w:rPr>
          <w:rFonts w:ascii="Arial" w:hAnsi="Arial" w:cs="Arial"/>
          <w:sz w:val="22"/>
          <w:szCs w:val="22"/>
        </w:rPr>
        <w:t>New ways of managing Type 2 diabetes should involve maintaining the balance of blood sugar levels through frequent monitoring and maintaining a healthy lifestyle. Insulin and glucagon are key considerations in determining the amount of glucose in the blood, and glucose metabolism provides the energy required to enable normal cell functioning. The measurement of blood glucose can help a patient and medical care providers to identify patterns, analyse treatment, and prevent complications. Lifestyle changes can boost insulin</w:t>
      </w:r>
      <w:r w:rsidR="00E7620F">
        <w:rPr>
          <w:rFonts w:ascii="Arial" w:hAnsi="Arial" w:cs="Arial"/>
          <w:sz w:val="22"/>
          <w:szCs w:val="22"/>
        </w:rPr>
        <w:t xml:space="preserve"> </w:t>
      </w:r>
      <w:r w:rsidRPr="004F6315">
        <w:rPr>
          <w:rFonts w:ascii="Arial" w:hAnsi="Arial" w:cs="Arial"/>
          <w:sz w:val="22"/>
          <w:szCs w:val="22"/>
        </w:rPr>
        <w:t>sensitivity and overall health outcomes with the appropriate diet, exercise, cessation of smoking and weight management.</w:t>
      </w:r>
      <w:bookmarkStart w:id="0" w:name="_Toc241331045"/>
    </w:p>
    <w:p w14:paraId="22AFB6F0" w14:textId="2D1B81E8" w:rsidR="007D4DFD" w:rsidRPr="00427D76" w:rsidRDefault="007D4DFD" w:rsidP="00427D76">
      <w:pPr>
        <w:spacing w:line="360" w:lineRule="auto"/>
        <w:rPr>
          <w:rFonts w:ascii="Arial" w:hAnsi="Arial" w:cs="Arial"/>
          <w:b/>
          <w:bCs/>
        </w:rPr>
      </w:pPr>
      <w:r w:rsidRPr="00427D76">
        <w:rPr>
          <w:rFonts w:ascii="Arial" w:hAnsi="Arial" w:cs="Arial"/>
          <w:b/>
          <w:bCs/>
          <w:lang w:val="en-US"/>
        </w:rPr>
        <w:lastRenderedPageBreak/>
        <w:t>References</w:t>
      </w:r>
      <w:bookmarkEnd w:id="0"/>
    </w:p>
    <w:p w14:paraId="4A09E789" w14:textId="77777777" w:rsidR="007D4DFD" w:rsidRPr="00CB40D4" w:rsidRDefault="007D4DFD" w:rsidP="00CB40D4">
      <w:pPr>
        <w:spacing w:line="360" w:lineRule="auto"/>
        <w:rPr>
          <w:rFonts w:ascii="Arial" w:hAnsi="Arial" w:cs="Arial"/>
          <w:sz w:val="22"/>
          <w:szCs w:val="22"/>
          <w:lang w:val="en-US"/>
        </w:rPr>
      </w:pPr>
      <w:r w:rsidRPr="00CB40D4">
        <w:rPr>
          <w:rFonts w:ascii="Arial" w:hAnsi="Arial" w:cs="Arial"/>
          <w:sz w:val="22"/>
          <w:szCs w:val="22"/>
          <w:lang w:val="en-US"/>
        </w:rPr>
        <w:t xml:space="preserve">Chotolli, A. P., and Agostini, L. (2023) “Glut4 translocation and its implications on swine muscle tissue,” </w:t>
      </w:r>
      <w:proofErr w:type="spellStart"/>
      <w:r w:rsidRPr="00CB40D4">
        <w:rPr>
          <w:rFonts w:ascii="Arial" w:hAnsi="Arial" w:cs="Arial"/>
          <w:i/>
          <w:iCs/>
          <w:sz w:val="22"/>
          <w:szCs w:val="22"/>
          <w:lang w:val="en-US"/>
        </w:rPr>
        <w:t>Ciência</w:t>
      </w:r>
      <w:proofErr w:type="spellEnd"/>
      <w:r w:rsidRPr="00CB40D4">
        <w:rPr>
          <w:rFonts w:ascii="Arial" w:hAnsi="Arial" w:cs="Arial"/>
          <w:i/>
          <w:iCs/>
          <w:sz w:val="22"/>
          <w:szCs w:val="22"/>
          <w:lang w:val="en-US"/>
        </w:rPr>
        <w:t xml:space="preserve"> Animal</w:t>
      </w:r>
      <w:r w:rsidRPr="00CB40D4">
        <w:rPr>
          <w:rFonts w:ascii="Arial" w:hAnsi="Arial" w:cs="Arial"/>
          <w:sz w:val="22"/>
          <w:szCs w:val="22"/>
          <w:lang w:val="en-US"/>
        </w:rPr>
        <w:t xml:space="preserve">, </w:t>
      </w:r>
      <w:r w:rsidRPr="00CB40D4">
        <w:rPr>
          <w:rFonts w:ascii="Arial" w:hAnsi="Arial" w:cs="Arial"/>
          <w:i/>
          <w:iCs/>
          <w:sz w:val="22"/>
          <w:szCs w:val="22"/>
          <w:lang w:val="en-US"/>
        </w:rPr>
        <w:t>33</w:t>
      </w:r>
      <w:r w:rsidRPr="00CB40D4">
        <w:rPr>
          <w:rFonts w:ascii="Arial" w:hAnsi="Arial" w:cs="Arial"/>
          <w:sz w:val="22"/>
          <w:szCs w:val="22"/>
          <w:lang w:val="en-US"/>
        </w:rPr>
        <w:t>(4), 122-a.</w:t>
      </w:r>
    </w:p>
    <w:p w14:paraId="79043E25" w14:textId="77777777" w:rsidR="007D4DFD" w:rsidRPr="00CB40D4" w:rsidRDefault="007D4DFD" w:rsidP="00CB40D4">
      <w:pPr>
        <w:spacing w:line="360" w:lineRule="auto"/>
        <w:rPr>
          <w:rFonts w:ascii="Arial" w:hAnsi="Arial" w:cs="Arial"/>
          <w:sz w:val="22"/>
          <w:szCs w:val="22"/>
          <w:lang w:val="en-US"/>
        </w:rPr>
      </w:pPr>
      <w:r w:rsidRPr="00CB40D4">
        <w:rPr>
          <w:rFonts w:ascii="Arial" w:hAnsi="Arial" w:cs="Arial"/>
          <w:sz w:val="22"/>
          <w:szCs w:val="22"/>
          <w:lang w:val="en-US"/>
        </w:rPr>
        <w:t xml:space="preserve">Edwin, M. R., Merrin, R. S., Rose, B. A., and Milton, B. J. (2024) “From ancient grains to modern solution: Exploring the significance of millets in reversing imbalance of blood sugar levels,” In </w:t>
      </w:r>
      <w:r w:rsidRPr="00CB40D4">
        <w:rPr>
          <w:rFonts w:ascii="Arial" w:hAnsi="Arial" w:cs="Arial"/>
          <w:i/>
          <w:iCs/>
          <w:sz w:val="22"/>
          <w:szCs w:val="22"/>
          <w:lang w:val="en-US"/>
        </w:rPr>
        <w:t>Revitalizing Health Through Humanities</w:t>
      </w:r>
      <w:r w:rsidRPr="00CB40D4">
        <w:rPr>
          <w:rFonts w:ascii="Arial" w:hAnsi="Arial" w:cs="Arial"/>
          <w:sz w:val="22"/>
          <w:szCs w:val="22"/>
          <w:lang w:val="en-US"/>
        </w:rPr>
        <w:t xml:space="preserve"> (pp. 166-174). Routledge.</w:t>
      </w:r>
    </w:p>
    <w:p w14:paraId="32D1074E" w14:textId="77777777" w:rsidR="007D4DFD" w:rsidRPr="00CB40D4" w:rsidRDefault="007D4DFD" w:rsidP="00CB40D4">
      <w:pPr>
        <w:spacing w:line="360" w:lineRule="auto"/>
        <w:rPr>
          <w:rFonts w:ascii="Arial" w:hAnsi="Arial" w:cs="Arial"/>
          <w:sz w:val="22"/>
          <w:szCs w:val="22"/>
          <w:lang w:val="en-US"/>
        </w:rPr>
      </w:pPr>
      <w:r w:rsidRPr="00CB40D4">
        <w:rPr>
          <w:rFonts w:ascii="Arial" w:hAnsi="Arial" w:cs="Arial"/>
          <w:sz w:val="22"/>
          <w:szCs w:val="22"/>
          <w:lang w:val="en-US"/>
        </w:rPr>
        <w:t xml:space="preserve">Gray, S. M., </w:t>
      </w:r>
      <w:proofErr w:type="spellStart"/>
      <w:r w:rsidRPr="00CB40D4">
        <w:rPr>
          <w:rFonts w:ascii="Arial" w:hAnsi="Arial" w:cs="Arial"/>
          <w:sz w:val="22"/>
          <w:szCs w:val="22"/>
          <w:lang w:val="en-US"/>
        </w:rPr>
        <w:t>Goonatilleke</w:t>
      </w:r>
      <w:proofErr w:type="spellEnd"/>
      <w:r w:rsidRPr="00CB40D4">
        <w:rPr>
          <w:rFonts w:ascii="Arial" w:hAnsi="Arial" w:cs="Arial"/>
          <w:sz w:val="22"/>
          <w:szCs w:val="22"/>
          <w:lang w:val="en-US"/>
        </w:rPr>
        <w:t xml:space="preserve">, E., Emrick, M. A., Becker, J. O., Hoofnagle, A. N., Stefanovski, D., and D’Alessio, D. A. (2024) “High doses of exogenous glucagon stimulate insulin secretion and reduce insulin clearance in healthy humans,” </w:t>
      </w:r>
      <w:r w:rsidRPr="00CB40D4">
        <w:rPr>
          <w:rFonts w:ascii="Arial" w:hAnsi="Arial" w:cs="Arial"/>
          <w:i/>
          <w:iCs/>
          <w:sz w:val="22"/>
          <w:szCs w:val="22"/>
          <w:lang w:val="en-US"/>
        </w:rPr>
        <w:t>Diabetes</w:t>
      </w:r>
      <w:r w:rsidRPr="00CB40D4">
        <w:rPr>
          <w:rFonts w:ascii="Arial" w:hAnsi="Arial" w:cs="Arial"/>
          <w:sz w:val="22"/>
          <w:szCs w:val="22"/>
          <w:lang w:val="en-US"/>
        </w:rPr>
        <w:t xml:space="preserve">, </w:t>
      </w:r>
      <w:r w:rsidRPr="00CB40D4">
        <w:rPr>
          <w:rFonts w:ascii="Arial" w:hAnsi="Arial" w:cs="Arial"/>
          <w:i/>
          <w:iCs/>
          <w:sz w:val="22"/>
          <w:szCs w:val="22"/>
          <w:lang w:val="en-US"/>
        </w:rPr>
        <w:t>73</w:t>
      </w:r>
      <w:r w:rsidRPr="00CB40D4">
        <w:rPr>
          <w:rFonts w:ascii="Arial" w:hAnsi="Arial" w:cs="Arial"/>
          <w:sz w:val="22"/>
          <w:szCs w:val="22"/>
          <w:lang w:val="en-US"/>
        </w:rPr>
        <w:t xml:space="preserve">(3), 412-425. </w:t>
      </w:r>
      <w:hyperlink r:id="rId9" w:history="1">
        <w:r w:rsidRPr="00CB40D4">
          <w:rPr>
            <w:rStyle w:val="Hyperlink"/>
            <w:rFonts w:ascii="Arial" w:hAnsi="Arial" w:cs="Arial"/>
            <w:sz w:val="22"/>
            <w:szCs w:val="22"/>
            <w:lang w:val="en-US"/>
          </w:rPr>
          <w:t>https://doi.org/10.1530/JOE-24-0269</w:t>
        </w:r>
      </w:hyperlink>
      <w:r w:rsidRPr="00CB40D4">
        <w:rPr>
          <w:rFonts w:ascii="Arial" w:hAnsi="Arial" w:cs="Arial"/>
          <w:sz w:val="22"/>
          <w:szCs w:val="22"/>
          <w:lang w:val="en-US"/>
        </w:rPr>
        <w:t xml:space="preserve"> </w:t>
      </w:r>
    </w:p>
    <w:p w14:paraId="18120A8A" w14:textId="77777777" w:rsidR="007D4DFD" w:rsidRPr="00CB40D4" w:rsidRDefault="007D4DFD" w:rsidP="00CB40D4">
      <w:pPr>
        <w:spacing w:line="360" w:lineRule="auto"/>
        <w:rPr>
          <w:rFonts w:ascii="Arial" w:hAnsi="Arial" w:cs="Arial"/>
          <w:sz w:val="22"/>
          <w:szCs w:val="22"/>
          <w:lang w:val="en-US"/>
        </w:rPr>
      </w:pPr>
      <w:proofErr w:type="spellStart"/>
      <w:r w:rsidRPr="00CB40D4">
        <w:rPr>
          <w:rFonts w:ascii="Arial" w:hAnsi="Arial" w:cs="Arial"/>
          <w:sz w:val="22"/>
          <w:szCs w:val="22"/>
          <w:lang w:val="en-US"/>
        </w:rPr>
        <w:t>Indarto</w:t>
      </w:r>
      <w:proofErr w:type="spellEnd"/>
      <w:r w:rsidRPr="00CB40D4">
        <w:rPr>
          <w:rFonts w:ascii="Arial" w:hAnsi="Arial" w:cs="Arial"/>
          <w:sz w:val="22"/>
          <w:szCs w:val="22"/>
          <w:lang w:val="en-US"/>
        </w:rPr>
        <w:t xml:space="preserve">, D., </w:t>
      </w:r>
      <w:proofErr w:type="spellStart"/>
      <w:r w:rsidRPr="00CB40D4">
        <w:rPr>
          <w:rFonts w:ascii="Arial" w:hAnsi="Arial" w:cs="Arial"/>
          <w:sz w:val="22"/>
          <w:szCs w:val="22"/>
          <w:lang w:val="en-US"/>
        </w:rPr>
        <w:t>Rochmah</w:t>
      </w:r>
      <w:proofErr w:type="spellEnd"/>
      <w:r w:rsidRPr="00CB40D4">
        <w:rPr>
          <w:rFonts w:ascii="Arial" w:hAnsi="Arial" w:cs="Arial"/>
          <w:sz w:val="22"/>
          <w:szCs w:val="22"/>
          <w:lang w:val="en-US"/>
        </w:rPr>
        <w:t xml:space="preserve">, D. N., Wiboworini, B., Pratama, Y. M., and Wibowo, Y. C. (2022) “Effects of Vegetables Consumption Before Carbohydrates on Blood Glucose and GLP-1 Levels Among Diabetic Patients in Indonesia,” </w:t>
      </w:r>
      <w:r w:rsidRPr="00CB40D4">
        <w:rPr>
          <w:rFonts w:ascii="Arial" w:hAnsi="Arial" w:cs="Arial"/>
          <w:i/>
          <w:iCs/>
          <w:sz w:val="22"/>
          <w:szCs w:val="22"/>
          <w:lang w:val="en-US"/>
        </w:rPr>
        <w:t>International Journal of Preventive Medicine</w:t>
      </w:r>
      <w:r w:rsidRPr="00CB40D4">
        <w:rPr>
          <w:rFonts w:ascii="Arial" w:hAnsi="Arial" w:cs="Arial"/>
          <w:sz w:val="22"/>
          <w:szCs w:val="22"/>
          <w:lang w:val="en-US"/>
        </w:rPr>
        <w:t xml:space="preserve">, </w:t>
      </w:r>
      <w:r w:rsidRPr="00CB40D4">
        <w:rPr>
          <w:rFonts w:ascii="Arial" w:hAnsi="Arial" w:cs="Arial"/>
          <w:i/>
          <w:iCs/>
          <w:sz w:val="22"/>
          <w:szCs w:val="22"/>
          <w:lang w:val="en-US"/>
        </w:rPr>
        <w:t>13</w:t>
      </w:r>
      <w:r w:rsidRPr="00CB40D4">
        <w:rPr>
          <w:rFonts w:ascii="Arial" w:hAnsi="Arial" w:cs="Arial"/>
          <w:sz w:val="22"/>
          <w:szCs w:val="22"/>
          <w:lang w:val="en-US"/>
        </w:rPr>
        <w:t xml:space="preserve">, 144. </w:t>
      </w:r>
      <w:hyperlink r:id="rId10" w:history="1">
        <w:r w:rsidRPr="00CB40D4">
          <w:rPr>
            <w:rStyle w:val="Hyperlink"/>
            <w:rFonts w:ascii="Arial" w:hAnsi="Arial" w:cs="Arial"/>
            <w:sz w:val="22"/>
            <w:szCs w:val="22"/>
            <w:lang w:val="en-US"/>
          </w:rPr>
          <w:t>https://doi.org/10.4103/ijpvm.IJPVM_704_20</w:t>
        </w:r>
      </w:hyperlink>
      <w:r w:rsidRPr="00CB40D4">
        <w:rPr>
          <w:rFonts w:ascii="Arial" w:hAnsi="Arial" w:cs="Arial"/>
          <w:sz w:val="22"/>
          <w:szCs w:val="22"/>
          <w:lang w:val="en-US"/>
        </w:rPr>
        <w:t xml:space="preserve"> </w:t>
      </w:r>
    </w:p>
    <w:p w14:paraId="072B0363" w14:textId="77777777" w:rsidR="007D4DFD" w:rsidRPr="00CB40D4" w:rsidRDefault="007D4DFD" w:rsidP="00CB40D4">
      <w:pPr>
        <w:spacing w:line="360" w:lineRule="auto"/>
        <w:rPr>
          <w:rFonts w:ascii="Arial" w:hAnsi="Arial" w:cs="Arial"/>
          <w:sz w:val="22"/>
          <w:szCs w:val="22"/>
          <w:lang w:val="en-US"/>
        </w:rPr>
      </w:pPr>
      <w:r w:rsidRPr="00CB40D4">
        <w:rPr>
          <w:rFonts w:ascii="Arial" w:hAnsi="Arial" w:cs="Arial"/>
          <w:sz w:val="22"/>
          <w:szCs w:val="22"/>
          <w:lang w:val="en-US"/>
        </w:rPr>
        <w:t xml:space="preserve">Lundqvist, M. H., Pereira, M. J., Almby, K., Hetty, S., and Eriksson, J. W. (2024) “Regulation of the cortisol axis, glucagon, and growth hormone by glucose is altered in prediabetes and type 2 diabetes,” </w:t>
      </w:r>
      <w:r w:rsidRPr="00CB40D4">
        <w:rPr>
          <w:rFonts w:ascii="Arial" w:hAnsi="Arial" w:cs="Arial"/>
          <w:i/>
          <w:iCs/>
          <w:sz w:val="22"/>
          <w:szCs w:val="22"/>
          <w:lang w:val="en-US"/>
        </w:rPr>
        <w:t>The Journal of Clinical Endocrinology and Metabolism</w:t>
      </w:r>
      <w:r w:rsidRPr="00CB40D4">
        <w:rPr>
          <w:rFonts w:ascii="Arial" w:hAnsi="Arial" w:cs="Arial"/>
          <w:sz w:val="22"/>
          <w:szCs w:val="22"/>
          <w:lang w:val="en-US"/>
        </w:rPr>
        <w:t xml:space="preserve">, </w:t>
      </w:r>
      <w:r w:rsidRPr="00CB40D4">
        <w:rPr>
          <w:rFonts w:ascii="Arial" w:hAnsi="Arial" w:cs="Arial"/>
          <w:i/>
          <w:iCs/>
          <w:sz w:val="22"/>
          <w:szCs w:val="22"/>
          <w:lang w:val="en-US"/>
        </w:rPr>
        <w:t>109</w:t>
      </w:r>
      <w:r w:rsidRPr="00CB40D4">
        <w:rPr>
          <w:rFonts w:ascii="Arial" w:hAnsi="Arial" w:cs="Arial"/>
          <w:sz w:val="22"/>
          <w:szCs w:val="22"/>
          <w:lang w:val="en-US"/>
        </w:rPr>
        <w:t xml:space="preserve">(2), e675-e688. </w:t>
      </w:r>
      <w:hyperlink r:id="rId11" w:history="1">
        <w:r w:rsidRPr="00CB40D4">
          <w:rPr>
            <w:rStyle w:val="Hyperlink"/>
            <w:rFonts w:ascii="Arial" w:hAnsi="Arial" w:cs="Arial"/>
            <w:sz w:val="22"/>
            <w:szCs w:val="22"/>
            <w:lang w:val="en-US"/>
          </w:rPr>
          <w:t>https://doi.org/10.1210/clinem/dgad549</w:t>
        </w:r>
      </w:hyperlink>
      <w:r w:rsidRPr="00CB40D4">
        <w:rPr>
          <w:rFonts w:ascii="Arial" w:hAnsi="Arial" w:cs="Arial"/>
          <w:sz w:val="22"/>
          <w:szCs w:val="22"/>
          <w:lang w:val="en-US"/>
        </w:rPr>
        <w:t xml:space="preserve"> </w:t>
      </w:r>
    </w:p>
    <w:p w14:paraId="182DA9BC" w14:textId="77777777" w:rsidR="007D4DFD" w:rsidRPr="00CB40D4" w:rsidRDefault="007D4DFD" w:rsidP="00CB40D4">
      <w:pPr>
        <w:spacing w:line="360" w:lineRule="auto"/>
        <w:rPr>
          <w:rFonts w:ascii="Arial" w:hAnsi="Arial" w:cs="Arial"/>
          <w:sz w:val="22"/>
          <w:szCs w:val="22"/>
          <w:lang w:val="en-US"/>
        </w:rPr>
      </w:pPr>
      <w:proofErr w:type="spellStart"/>
      <w:r w:rsidRPr="00CB40D4">
        <w:rPr>
          <w:rFonts w:ascii="Arial" w:hAnsi="Arial" w:cs="Arial"/>
          <w:sz w:val="22"/>
          <w:szCs w:val="22"/>
          <w:lang w:val="en-US"/>
        </w:rPr>
        <w:t>Maguolo</w:t>
      </w:r>
      <w:proofErr w:type="spellEnd"/>
      <w:r w:rsidRPr="00CB40D4">
        <w:rPr>
          <w:rFonts w:ascii="Arial" w:hAnsi="Arial" w:cs="Arial"/>
          <w:sz w:val="22"/>
          <w:szCs w:val="22"/>
          <w:lang w:val="en-US"/>
        </w:rPr>
        <w:t xml:space="preserve">, A., Mazzuca, G., Smart, C. E., and </w:t>
      </w:r>
      <w:proofErr w:type="spellStart"/>
      <w:r w:rsidRPr="00CB40D4">
        <w:rPr>
          <w:rFonts w:ascii="Arial" w:hAnsi="Arial" w:cs="Arial"/>
          <w:sz w:val="22"/>
          <w:szCs w:val="22"/>
          <w:lang w:val="en-US"/>
        </w:rPr>
        <w:t>Maffeis</w:t>
      </w:r>
      <w:proofErr w:type="spellEnd"/>
      <w:r w:rsidRPr="00CB40D4">
        <w:rPr>
          <w:rFonts w:ascii="Arial" w:hAnsi="Arial" w:cs="Arial"/>
          <w:sz w:val="22"/>
          <w:szCs w:val="22"/>
          <w:lang w:val="en-US"/>
        </w:rPr>
        <w:t xml:space="preserve">, C. (2024) “Postprandial glucose metabolism in children and adolescents with type 1 diabetes mellitus: potential targets for improvement,” </w:t>
      </w:r>
      <w:r w:rsidRPr="00CB40D4">
        <w:rPr>
          <w:rFonts w:ascii="Arial" w:hAnsi="Arial" w:cs="Arial"/>
          <w:i/>
          <w:iCs/>
          <w:sz w:val="22"/>
          <w:szCs w:val="22"/>
          <w:lang w:val="en-US"/>
        </w:rPr>
        <w:t>European journal of clinical nutrition</w:t>
      </w:r>
      <w:r w:rsidRPr="00CB40D4">
        <w:rPr>
          <w:rFonts w:ascii="Arial" w:hAnsi="Arial" w:cs="Arial"/>
          <w:sz w:val="22"/>
          <w:szCs w:val="22"/>
          <w:lang w:val="en-US"/>
        </w:rPr>
        <w:t xml:space="preserve">, </w:t>
      </w:r>
      <w:r w:rsidRPr="00CB40D4">
        <w:rPr>
          <w:rFonts w:ascii="Arial" w:hAnsi="Arial" w:cs="Arial"/>
          <w:i/>
          <w:iCs/>
          <w:sz w:val="22"/>
          <w:szCs w:val="22"/>
          <w:lang w:val="en-US"/>
        </w:rPr>
        <w:t>78</w:t>
      </w:r>
      <w:r w:rsidRPr="00CB40D4">
        <w:rPr>
          <w:rFonts w:ascii="Arial" w:hAnsi="Arial" w:cs="Arial"/>
          <w:sz w:val="22"/>
          <w:szCs w:val="22"/>
          <w:lang w:val="en-US"/>
        </w:rPr>
        <w:t xml:space="preserve">(2), 79-86. </w:t>
      </w:r>
      <w:hyperlink r:id="rId12" w:history="1">
        <w:r w:rsidRPr="00CB40D4">
          <w:rPr>
            <w:rStyle w:val="Hyperlink"/>
            <w:rFonts w:ascii="Arial" w:hAnsi="Arial" w:cs="Arial"/>
            <w:sz w:val="22"/>
            <w:szCs w:val="22"/>
            <w:lang w:val="en-US"/>
          </w:rPr>
          <w:t>https://doi.org/10.3390/foods13244123?urlappend=%3Futm_source%3Dresearchgate.net%26utm_medium%3Darticle</w:t>
        </w:r>
      </w:hyperlink>
      <w:r w:rsidRPr="00CB40D4">
        <w:rPr>
          <w:rFonts w:ascii="Arial" w:hAnsi="Arial" w:cs="Arial"/>
          <w:sz w:val="22"/>
          <w:szCs w:val="22"/>
          <w:lang w:val="en-US"/>
        </w:rPr>
        <w:t xml:space="preserve"> </w:t>
      </w:r>
    </w:p>
    <w:p w14:paraId="2AD550B0" w14:textId="77777777" w:rsidR="007D4DFD" w:rsidRPr="00CB40D4" w:rsidRDefault="007D4DFD" w:rsidP="00CB40D4">
      <w:pPr>
        <w:spacing w:line="360" w:lineRule="auto"/>
        <w:rPr>
          <w:rFonts w:ascii="Arial" w:hAnsi="Arial" w:cs="Arial"/>
          <w:sz w:val="22"/>
          <w:szCs w:val="22"/>
          <w:lang w:val="en-US"/>
        </w:rPr>
      </w:pPr>
      <w:r w:rsidRPr="00CB40D4">
        <w:rPr>
          <w:rFonts w:ascii="Arial" w:hAnsi="Arial" w:cs="Arial"/>
          <w:sz w:val="22"/>
          <w:szCs w:val="22"/>
          <w:lang w:val="en-US"/>
        </w:rPr>
        <w:t>Rejoy Health. (2024) “</w:t>
      </w:r>
      <w:r w:rsidRPr="00CB40D4">
        <w:rPr>
          <w:rFonts w:ascii="Arial" w:hAnsi="Arial" w:cs="Arial"/>
          <w:i/>
          <w:iCs/>
          <w:sz w:val="22"/>
          <w:szCs w:val="22"/>
          <w:lang w:val="en-US"/>
        </w:rPr>
        <w:t>Diabetes mellitus pathology</w:t>
      </w:r>
      <w:r w:rsidRPr="00CB40D4">
        <w:rPr>
          <w:rFonts w:ascii="Arial" w:hAnsi="Arial" w:cs="Arial"/>
          <w:sz w:val="22"/>
          <w:szCs w:val="22"/>
          <w:lang w:val="en-US"/>
        </w:rPr>
        <w:t xml:space="preserve"> [Infographic],” Rejoy Health. </w:t>
      </w:r>
      <w:hyperlink r:id="rId13" w:tgtFrame="_blank" w:history="1">
        <w:r w:rsidRPr="00CB40D4">
          <w:rPr>
            <w:rStyle w:val="Hyperlink"/>
            <w:rFonts w:ascii="Arial" w:hAnsi="Arial" w:cs="Arial"/>
            <w:sz w:val="22"/>
            <w:szCs w:val="22"/>
            <w:lang w:val="en-US"/>
          </w:rPr>
          <w:t>Rejoy Health article</w:t>
        </w:r>
      </w:hyperlink>
    </w:p>
    <w:p w14:paraId="73A24B9B" w14:textId="77777777" w:rsidR="00441400" w:rsidRPr="00CB40D4" w:rsidRDefault="00441400" w:rsidP="00CB40D4">
      <w:pPr>
        <w:spacing w:line="360" w:lineRule="auto"/>
        <w:rPr>
          <w:rFonts w:ascii="Arial" w:hAnsi="Arial" w:cs="Arial"/>
          <w:sz w:val="22"/>
          <w:szCs w:val="22"/>
          <w:lang w:val="en-US"/>
        </w:rPr>
      </w:pPr>
      <w:r w:rsidRPr="00CB40D4">
        <w:rPr>
          <w:rFonts w:ascii="Arial" w:hAnsi="Arial" w:cs="Arial"/>
          <w:sz w:val="22"/>
          <w:szCs w:val="22"/>
        </w:rPr>
        <w:t>Richter, E. A., Bilan, P. J., and Klip, A. (2025) “</w:t>
      </w:r>
      <w:r w:rsidRPr="00CB40D4">
        <w:rPr>
          <w:rFonts w:ascii="Arial" w:hAnsi="Arial" w:cs="Arial"/>
          <w:sz w:val="22"/>
          <w:szCs w:val="22"/>
          <w:lang w:val="en-US"/>
        </w:rPr>
        <w:t xml:space="preserve">A comprehensive view of muscle glucose uptake: regulation by insulin, contractile activity, and exercise,” </w:t>
      </w:r>
      <w:r w:rsidRPr="00CB40D4">
        <w:rPr>
          <w:rFonts w:ascii="Arial" w:hAnsi="Arial" w:cs="Arial"/>
          <w:i/>
          <w:iCs/>
          <w:sz w:val="22"/>
          <w:szCs w:val="22"/>
          <w:lang w:val="en-US"/>
        </w:rPr>
        <w:t>Physiological reviews</w:t>
      </w:r>
      <w:r w:rsidRPr="00CB40D4">
        <w:rPr>
          <w:rFonts w:ascii="Arial" w:hAnsi="Arial" w:cs="Arial"/>
          <w:sz w:val="22"/>
          <w:szCs w:val="22"/>
          <w:lang w:val="en-US"/>
        </w:rPr>
        <w:t xml:space="preserve">, </w:t>
      </w:r>
      <w:r w:rsidRPr="00CB40D4">
        <w:rPr>
          <w:rFonts w:ascii="Arial" w:hAnsi="Arial" w:cs="Arial"/>
          <w:i/>
          <w:iCs/>
          <w:sz w:val="22"/>
          <w:szCs w:val="22"/>
          <w:lang w:val="en-US"/>
        </w:rPr>
        <w:t>105</w:t>
      </w:r>
      <w:r w:rsidRPr="00CB40D4">
        <w:rPr>
          <w:rFonts w:ascii="Arial" w:hAnsi="Arial" w:cs="Arial"/>
          <w:sz w:val="22"/>
          <w:szCs w:val="22"/>
          <w:lang w:val="en-US"/>
        </w:rPr>
        <w:t xml:space="preserve">(3), 1867-1945. </w:t>
      </w:r>
      <w:hyperlink r:id="rId14" w:history="1">
        <w:r w:rsidRPr="00CB40D4">
          <w:rPr>
            <w:rStyle w:val="Hyperlink"/>
            <w:rFonts w:ascii="Arial" w:hAnsi="Arial" w:cs="Arial"/>
            <w:sz w:val="22"/>
            <w:szCs w:val="22"/>
            <w:lang w:val="en-US"/>
          </w:rPr>
          <w:t>https://doi.org/10.1152/physrev.00033.2024</w:t>
        </w:r>
      </w:hyperlink>
      <w:r w:rsidRPr="00CB40D4">
        <w:rPr>
          <w:rFonts w:ascii="Arial" w:hAnsi="Arial" w:cs="Arial"/>
          <w:sz w:val="22"/>
          <w:szCs w:val="22"/>
          <w:lang w:val="en-US"/>
        </w:rPr>
        <w:t xml:space="preserve"> </w:t>
      </w:r>
    </w:p>
    <w:p w14:paraId="343B638F" w14:textId="77777777" w:rsidR="00441400" w:rsidRPr="00CB40D4" w:rsidRDefault="00441400" w:rsidP="00CB40D4">
      <w:pPr>
        <w:spacing w:line="360" w:lineRule="auto"/>
        <w:rPr>
          <w:rFonts w:ascii="Arial" w:hAnsi="Arial" w:cs="Arial"/>
          <w:sz w:val="22"/>
          <w:szCs w:val="22"/>
          <w:lang w:val="en-US"/>
        </w:rPr>
      </w:pPr>
      <w:r w:rsidRPr="00CB40D4">
        <w:rPr>
          <w:rFonts w:ascii="Arial" w:hAnsi="Arial" w:cs="Arial"/>
          <w:sz w:val="22"/>
          <w:szCs w:val="22"/>
          <w:lang w:val="en-US"/>
        </w:rPr>
        <w:t xml:space="preserve">Salih, K. J., Sabir, D. K., and Abdoul, H. J. (2022) “Glycolysis regulation to maintain blood glucose homeostasis,” </w:t>
      </w:r>
      <w:r w:rsidRPr="00CB40D4">
        <w:rPr>
          <w:rFonts w:ascii="Arial" w:hAnsi="Arial" w:cs="Arial"/>
          <w:i/>
          <w:iCs/>
          <w:sz w:val="22"/>
          <w:szCs w:val="22"/>
          <w:lang w:val="en-US"/>
        </w:rPr>
        <w:t>Kurdistan Journal of Applied Research</w:t>
      </w:r>
      <w:r w:rsidRPr="00CB40D4">
        <w:rPr>
          <w:rFonts w:ascii="Arial" w:hAnsi="Arial" w:cs="Arial"/>
          <w:sz w:val="22"/>
          <w:szCs w:val="22"/>
          <w:lang w:val="en-US"/>
        </w:rPr>
        <w:t xml:space="preserve">, </w:t>
      </w:r>
      <w:r w:rsidRPr="00CB40D4">
        <w:rPr>
          <w:rFonts w:ascii="Arial" w:hAnsi="Arial" w:cs="Arial"/>
          <w:i/>
          <w:iCs/>
          <w:sz w:val="22"/>
          <w:szCs w:val="22"/>
          <w:lang w:val="en-US"/>
        </w:rPr>
        <w:t>7</w:t>
      </w:r>
      <w:r w:rsidRPr="00CB40D4">
        <w:rPr>
          <w:rFonts w:ascii="Arial" w:hAnsi="Arial" w:cs="Arial"/>
          <w:sz w:val="22"/>
          <w:szCs w:val="22"/>
          <w:lang w:val="en-US"/>
        </w:rPr>
        <w:t xml:space="preserve">(1), 114-124. </w:t>
      </w:r>
      <w:hyperlink r:id="rId15" w:history="1">
        <w:r w:rsidRPr="00CB40D4">
          <w:rPr>
            <w:rStyle w:val="Hyperlink"/>
            <w:rFonts w:ascii="Arial" w:hAnsi="Arial" w:cs="Arial"/>
            <w:sz w:val="22"/>
            <w:szCs w:val="22"/>
            <w:lang w:val="en-US"/>
          </w:rPr>
          <w:t>https://doi.org/10.24017/Scince.2022.1.10</w:t>
        </w:r>
      </w:hyperlink>
      <w:r w:rsidRPr="00CB40D4">
        <w:rPr>
          <w:rFonts w:ascii="Arial" w:hAnsi="Arial" w:cs="Arial"/>
          <w:sz w:val="22"/>
          <w:szCs w:val="22"/>
          <w:lang w:val="en-US"/>
        </w:rPr>
        <w:t xml:space="preserve"> </w:t>
      </w:r>
    </w:p>
    <w:p w14:paraId="65672E4D" w14:textId="77777777" w:rsidR="00441400" w:rsidRPr="00CB40D4" w:rsidRDefault="00441400" w:rsidP="00CB40D4">
      <w:pPr>
        <w:spacing w:line="360" w:lineRule="auto"/>
        <w:rPr>
          <w:rFonts w:ascii="Arial" w:hAnsi="Arial" w:cs="Arial"/>
          <w:sz w:val="22"/>
          <w:szCs w:val="22"/>
          <w:lang w:val="en-US"/>
        </w:rPr>
      </w:pPr>
      <w:r w:rsidRPr="00CB40D4">
        <w:rPr>
          <w:rFonts w:ascii="Arial" w:hAnsi="Arial" w:cs="Arial"/>
          <w:sz w:val="22"/>
          <w:szCs w:val="22"/>
        </w:rPr>
        <w:lastRenderedPageBreak/>
        <w:t>Smedegaard, S., Kampmann, U., Ovesen, P. G., Suder, L. B., Knudsen, J. H., Wegener, G., ... and Rittig, N. (2025) “</w:t>
      </w:r>
      <w:r w:rsidRPr="00CB40D4">
        <w:rPr>
          <w:rFonts w:ascii="Arial" w:hAnsi="Arial" w:cs="Arial"/>
          <w:sz w:val="22"/>
          <w:szCs w:val="22"/>
          <w:lang w:val="en-US"/>
        </w:rPr>
        <w:t xml:space="preserve">Premeal whey protein lowers postprandial blood glucose in women with gestational diabetes mellitus: a randomized, crossover clinical trial,” </w:t>
      </w:r>
      <w:r w:rsidRPr="00CB40D4">
        <w:rPr>
          <w:rFonts w:ascii="Arial" w:hAnsi="Arial" w:cs="Arial"/>
          <w:i/>
          <w:iCs/>
          <w:sz w:val="22"/>
          <w:szCs w:val="22"/>
          <w:lang w:val="en-US"/>
        </w:rPr>
        <w:t>Diabetes Care</w:t>
      </w:r>
      <w:r w:rsidRPr="00CB40D4">
        <w:rPr>
          <w:rFonts w:ascii="Arial" w:hAnsi="Arial" w:cs="Arial"/>
          <w:sz w:val="22"/>
          <w:szCs w:val="22"/>
          <w:lang w:val="en-US"/>
        </w:rPr>
        <w:t xml:space="preserve">, </w:t>
      </w:r>
      <w:r w:rsidRPr="00CB40D4">
        <w:rPr>
          <w:rFonts w:ascii="Arial" w:hAnsi="Arial" w:cs="Arial"/>
          <w:i/>
          <w:iCs/>
          <w:sz w:val="22"/>
          <w:szCs w:val="22"/>
          <w:lang w:val="en-US"/>
        </w:rPr>
        <w:t>48</w:t>
      </w:r>
      <w:r w:rsidRPr="00CB40D4">
        <w:rPr>
          <w:rFonts w:ascii="Arial" w:hAnsi="Arial" w:cs="Arial"/>
          <w:sz w:val="22"/>
          <w:szCs w:val="22"/>
          <w:lang w:val="en-US"/>
        </w:rPr>
        <w:t xml:space="preserve">(6), 1022-1031. </w:t>
      </w:r>
      <w:hyperlink r:id="rId16" w:history="1">
        <w:r w:rsidRPr="00CB40D4">
          <w:rPr>
            <w:rStyle w:val="Hyperlink"/>
            <w:rFonts w:ascii="Arial" w:hAnsi="Arial" w:cs="Arial"/>
            <w:sz w:val="22"/>
            <w:szCs w:val="22"/>
            <w:lang w:val="en-US"/>
          </w:rPr>
          <w:t>https://doi.org/10.1016/j.ajcnut.2023.05.012</w:t>
        </w:r>
      </w:hyperlink>
      <w:r w:rsidRPr="00CB40D4">
        <w:rPr>
          <w:rFonts w:ascii="Arial" w:hAnsi="Arial" w:cs="Arial"/>
          <w:sz w:val="22"/>
          <w:szCs w:val="22"/>
          <w:lang w:val="en-US"/>
        </w:rPr>
        <w:t xml:space="preserve"> </w:t>
      </w:r>
    </w:p>
    <w:p w14:paraId="42683982" w14:textId="77777777" w:rsidR="00441400" w:rsidRPr="00CB40D4" w:rsidRDefault="00441400" w:rsidP="00CB40D4">
      <w:pPr>
        <w:spacing w:line="360" w:lineRule="auto"/>
        <w:rPr>
          <w:rFonts w:ascii="Arial" w:hAnsi="Arial" w:cs="Arial"/>
          <w:sz w:val="22"/>
          <w:szCs w:val="22"/>
          <w:lang w:val="en-US"/>
        </w:rPr>
      </w:pPr>
      <w:r w:rsidRPr="00CB40D4">
        <w:rPr>
          <w:rFonts w:ascii="Arial" w:hAnsi="Arial" w:cs="Arial"/>
          <w:sz w:val="22"/>
          <w:szCs w:val="22"/>
          <w:lang w:val="en-US"/>
        </w:rPr>
        <w:t xml:space="preserve">Tan, L. S., Lau, H. H., Abdelalim, E. M., Khoo, C. M., O’Brien, R. M., Tai, E. S., and Teo, A. K. K. (2025) “The role of glucose-6-phosphatase activity in glucose homeostasis and its potential for diabetes therapy,” </w:t>
      </w:r>
      <w:r w:rsidRPr="00CB40D4">
        <w:rPr>
          <w:rFonts w:ascii="Arial" w:hAnsi="Arial" w:cs="Arial"/>
          <w:i/>
          <w:iCs/>
          <w:sz w:val="22"/>
          <w:szCs w:val="22"/>
          <w:lang w:val="en-US"/>
        </w:rPr>
        <w:t>Trends in molecular medicine</w:t>
      </w:r>
      <w:r w:rsidRPr="00CB40D4">
        <w:rPr>
          <w:rFonts w:ascii="Arial" w:hAnsi="Arial" w:cs="Arial"/>
          <w:sz w:val="22"/>
          <w:szCs w:val="22"/>
          <w:lang w:val="en-US"/>
        </w:rPr>
        <w:t xml:space="preserve">, </w:t>
      </w:r>
      <w:r w:rsidRPr="00CB40D4">
        <w:rPr>
          <w:rFonts w:ascii="Arial" w:hAnsi="Arial" w:cs="Arial"/>
          <w:i/>
          <w:iCs/>
          <w:sz w:val="22"/>
          <w:szCs w:val="22"/>
          <w:lang w:val="en-US"/>
        </w:rPr>
        <w:t>31</w:t>
      </w:r>
      <w:r w:rsidRPr="00CB40D4">
        <w:rPr>
          <w:rFonts w:ascii="Arial" w:hAnsi="Arial" w:cs="Arial"/>
          <w:sz w:val="22"/>
          <w:szCs w:val="22"/>
          <w:lang w:val="en-US"/>
        </w:rPr>
        <w:t xml:space="preserve">(2), 152-164. </w:t>
      </w:r>
      <w:hyperlink r:id="rId17" w:history="1">
        <w:r w:rsidRPr="00CB40D4">
          <w:rPr>
            <w:rStyle w:val="Hyperlink"/>
            <w:rFonts w:ascii="Arial" w:hAnsi="Arial" w:cs="Arial"/>
            <w:sz w:val="22"/>
            <w:szCs w:val="22"/>
            <w:lang w:val="en-US"/>
          </w:rPr>
          <w:t>https://doi.org/10.1016/j.molmed.2024.09.005</w:t>
        </w:r>
      </w:hyperlink>
      <w:r w:rsidRPr="00CB40D4">
        <w:rPr>
          <w:rFonts w:ascii="Arial" w:hAnsi="Arial" w:cs="Arial"/>
          <w:sz w:val="22"/>
          <w:szCs w:val="22"/>
          <w:lang w:val="en-US"/>
        </w:rPr>
        <w:t xml:space="preserve"> </w:t>
      </w:r>
    </w:p>
    <w:p w14:paraId="3372FB88" w14:textId="77777777" w:rsidR="00441400" w:rsidRPr="00CB40D4" w:rsidRDefault="00441400" w:rsidP="00CB40D4">
      <w:pPr>
        <w:spacing w:line="360" w:lineRule="auto"/>
        <w:rPr>
          <w:rFonts w:ascii="Arial" w:hAnsi="Arial" w:cs="Arial"/>
          <w:sz w:val="22"/>
          <w:szCs w:val="22"/>
          <w:lang w:val="en-US"/>
        </w:rPr>
      </w:pPr>
      <w:r w:rsidRPr="00CB40D4">
        <w:rPr>
          <w:rFonts w:ascii="Arial" w:hAnsi="Arial" w:cs="Arial"/>
          <w:sz w:val="22"/>
          <w:szCs w:val="22"/>
          <w:lang w:val="en-US"/>
        </w:rPr>
        <w:t xml:space="preserve">Wasserman, D. H. (2022) “Insulin, muscle glucose uptake, and hexokinase: revisiting the road not taken,” </w:t>
      </w:r>
      <w:r w:rsidRPr="00CB40D4">
        <w:rPr>
          <w:rFonts w:ascii="Arial" w:hAnsi="Arial" w:cs="Arial"/>
          <w:i/>
          <w:iCs/>
          <w:sz w:val="22"/>
          <w:szCs w:val="22"/>
          <w:lang w:val="en-US"/>
        </w:rPr>
        <w:t>Physiology</w:t>
      </w:r>
      <w:r w:rsidRPr="00CB40D4">
        <w:rPr>
          <w:rFonts w:ascii="Arial" w:hAnsi="Arial" w:cs="Arial"/>
          <w:sz w:val="22"/>
          <w:szCs w:val="22"/>
          <w:lang w:val="en-US"/>
        </w:rPr>
        <w:t xml:space="preserve">, </w:t>
      </w:r>
      <w:r w:rsidRPr="00CB40D4">
        <w:rPr>
          <w:rFonts w:ascii="Arial" w:hAnsi="Arial" w:cs="Arial"/>
          <w:i/>
          <w:iCs/>
          <w:sz w:val="22"/>
          <w:szCs w:val="22"/>
          <w:lang w:val="en-US"/>
        </w:rPr>
        <w:t>37</w:t>
      </w:r>
      <w:r w:rsidRPr="00CB40D4">
        <w:rPr>
          <w:rFonts w:ascii="Arial" w:hAnsi="Arial" w:cs="Arial"/>
          <w:sz w:val="22"/>
          <w:szCs w:val="22"/>
          <w:lang w:val="en-US"/>
        </w:rPr>
        <w:t>(3), 115-127.</w:t>
      </w:r>
    </w:p>
    <w:p w14:paraId="5D2858EF" w14:textId="77777777" w:rsidR="00441400" w:rsidRPr="00CB40D4" w:rsidRDefault="00441400" w:rsidP="00CB40D4">
      <w:pPr>
        <w:spacing w:line="360" w:lineRule="auto"/>
        <w:rPr>
          <w:rFonts w:ascii="Arial" w:hAnsi="Arial" w:cs="Arial"/>
          <w:sz w:val="22"/>
          <w:szCs w:val="22"/>
          <w:lang w:val="en-US"/>
        </w:rPr>
      </w:pPr>
      <w:r w:rsidRPr="00CB40D4">
        <w:rPr>
          <w:rFonts w:ascii="Arial" w:hAnsi="Arial" w:cs="Arial"/>
          <w:sz w:val="22"/>
          <w:szCs w:val="22"/>
          <w:lang w:val="en-US"/>
        </w:rPr>
        <w:t xml:space="preserve">Younas, S., Sahu, S., Karale, S., Nafees, M., and Farooq, S. (2026) “Feeding and fasting and impact on pancreatic hormones: insulin and beyond,” In </w:t>
      </w:r>
      <w:r w:rsidRPr="00CB40D4">
        <w:rPr>
          <w:rFonts w:ascii="Arial" w:hAnsi="Arial" w:cs="Arial"/>
          <w:i/>
          <w:iCs/>
          <w:sz w:val="22"/>
          <w:szCs w:val="22"/>
          <w:lang w:val="en-US"/>
        </w:rPr>
        <w:t>Hormones in Neuroscience</w:t>
      </w:r>
      <w:r w:rsidRPr="00CB40D4">
        <w:rPr>
          <w:rFonts w:ascii="Arial" w:hAnsi="Arial" w:cs="Arial"/>
          <w:sz w:val="22"/>
          <w:szCs w:val="22"/>
          <w:lang w:val="en-US"/>
        </w:rPr>
        <w:t xml:space="preserve"> (pp. 55-69). Academic Press. </w:t>
      </w:r>
      <w:hyperlink r:id="rId18" w:history="1">
        <w:r w:rsidRPr="00CB40D4">
          <w:rPr>
            <w:rStyle w:val="Hyperlink"/>
            <w:rFonts w:ascii="Arial" w:hAnsi="Arial" w:cs="Arial"/>
            <w:sz w:val="22"/>
            <w:szCs w:val="22"/>
            <w:lang w:val="en-US"/>
          </w:rPr>
          <w:t>https://doi.org/10.1016/B978-0-443-30263-3.00038-5</w:t>
        </w:r>
      </w:hyperlink>
      <w:r w:rsidRPr="00CB40D4">
        <w:rPr>
          <w:rFonts w:ascii="Arial" w:hAnsi="Arial" w:cs="Arial"/>
          <w:sz w:val="22"/>
          <w:szCs w:val="22"/>
          <w:lang w:val="en-US"/>
        </w:rPr>
        <w:t xml:space="preserve"> </w:t>
      </w:r>
    </w:p>
    <w:p w14:paraId="6FE8C26E" w14:textId="77777777" w:rsidR="00441400" w:rsidRPr="00CB40D4" w:rsidRDefault="00441400" w:rsidP="00CB40D4">
      <w:pPr>
        <w:spacing w:line="360" w:lineRule="auto"/>
        <w:rPr>
          <w:rFonts w:ascii="Arial" w:hAnsi="Arial" w:cs="Arial"/>
          <w:sz w:val="22"/>
          <w:szCs w:val="22"/>
          <w:lang w:val="en-US"/>
        </w:rPr>
      </w:pPr>
    </w:p>
    <w:p w14:paraId="4E494E7A" w14:textId="77777777" w:rsidR="00343416" w:rsidRDefault="00343416" w:rsidP="002E4609">
      <w:pPr>
        <w:spacing w:line="360" w:lineRule="auto"/>
        <w:rPr>
          <w:rFonts w:ascii="Arial" w:hAnsi="Arial" w:cs="Arial"/>
          <w:sz w:val="22"/>
          <w:szCs w:val="22"/>
        </w:rPr>
      </w:pPr>
    </w:p>
    <w:p w14:paraId="1CF021AC" w14:textId="77777777" w:rsidR="002E4609" w:rsidRDefault="002E4609" w:rsidP="002147AC">
      <w:pPr>
        <w:spacing w:line="360" w:lineRule="auto"/>
        <w:rPr>
          <w:rFonts w:ascii="Arial" w:hAnsi="Arial" w:cs="Arial"/>
          <w:sz w:val="22"/>
          <w:szCs w:val="22"/>
        </w:rPr>
      </w:pPr>
    </w:p>
    <w:p w14:paraId="51EE002A" w14:textId="77777777" w:rsidR="002E4609" w:rsidRDefault="002E4609" w:rsidP="002147AC">
      <w:pPr>
        <w:spacing w:line="360" w:lineRule="auto"/>
        <w:rPr>
          <w:rFonts w:ascii="Arial" w:hAnsi="Arial" w:cs="Arial"/>
          <w:sz w:val="22"/>
          <w:szCs w:val="22"/>
        </w:rPr>
      </w:pPr>
    </w:p>
    <w:p w14:paraId="50BA74C4" w14:textId="77777777" w:rsidR="002E4609" w:rsidRDefault="002E4609" w:rsidP="002147AC">
      <w:pPr>
        <w:spacing w:line="360" w:lineRule="auto"/>
        <w:rPr>
          <w:rFonts w:ascii="Arial" w:hAnsi="Arial" w:cs="Arial"/>
          <w:sz w:val="22"/>
          <w:szCs w:val="22"/>
        </w:rPr>
      </w:pPr>
    </w:p>
    <w:p w14:paraId="529F6F48" w14:textId="77777777" w:rsidR="002E4609" w:rsidRDefault="002E4609" w:rsidP="002147AC">
      <w:pPr>
        <w:spacing w:line="360" w:lineRule="auto"/>
        <w:rPr>
          <w:rFonts w:ascii="Arial" w:hAnsi="Arial" w:cs="Arial"/>
          <w:sz w:val="22"/>
          <w:szCs w:val="22"/>
        </w:rPr>
      </w:pPr>
    </w:p>
    <w:p w14:paraId="5AD73DE7" w14:textId="77777777" w:rsidR="002E4609" w:rsidRDefault="002E4609" w:rsidP="002147AC">
      <w:pPr>
        <w:spacing w:line="360" w:lineRule="auto"/>
        <w:rPr>
          <w:rFonts w:ascii="Arial" w:hAnsi="Arial" w:cs="Arial"/>
          <w:sz w:val="22"/>
          <w:szCs w:val="22"/>
        </w:rPr>
      </w:pPr>
    </w:p>
    <w:p w14:paraId="4522A3C3" w14:textId="77777777" w:rsidR="002E4609" w:rsidRDefault="002E4609" w:rsidP="002147AC">
      <w:pPr>
        <w:spacing w:line="360" w:lineRule="auto"/>
        <w:rPr>
          <w:rFonts w:ascii="Arial" w:hAnsi="Arial" w:cs="Arial"/>
          <w:sz w:val="22"/>
          <w:szCs w:val="22"/>
        </w:rPr>
      </w:pPr>
    </w:p>
    <w:p w14:paraId="2DB8E000" w14:textId="77777777" w:rsidR="002E4609" w:rsidRDefault="002E4609" w:rsidP="002147AC">
      <w:pPr>
        <w:spacing w:line="360" w:lineRule="auto"/>
        <w:rPr>
          <w:rFonts w:ascii="Arial" w:hAnsi="Arial" w:cs="Arial"/>
          <w:sz w:val="22"/>
          <w:szCs w:val="22"/>
        </w:rPr>
      </w:pPr>
    </w:p>
    <w:p w14:paraId="56E40953" w14:textId="77777777" w:rsidR="002E4609" w:rsidRDefault="002E4609" w:rsidP="002147AC">
      <w:pPr>
        <w:spacing w:line="360" w:lineRule="auto"/>
        <w:rPr>
          <w:rFonts w:ascii="Arial" w:hAnsi="Arial" w:cs="Arial"/>
          <w:sz w:val="22"/>
          <w:szCs w:val="22"/>
        </w:rPr>
      </w:pPr>
    </w:p>
    <w:p w14:paraId="00CE4218" w14:textId="77777777" w:rsidR="002E4609" w:rsidRDefault="002E4609" w:rsidP="002147AC">
      <w:pPr>
        <w:spacing w:line="360" w:lineRule="auto"/>
        <w:rPr>
          <w:rFonts w:ascii="Arial" w:hAnsi="Arial" w:cs="Arial"/>
          <w:sz w:val="22"/>
          <w:szCs w:val="22"/>
        </w:rPr>
      </w:pPr>
    </w:p>
    <w:p w14:paraId="00FF68D5" w14:textId="77777777" w:rsidR="002E4609" w:rsidRDefault="002E4609" w:rsidP="002147AC">
      <w:pPr>
        <w:spacing w:line="360" w:lineRule="auto"/>
        <w:rPr>
          <w:rFonts w:ascii="Arial" w:hAnsi="Arial" w:cs="Arial"/>
          <w:sz w:val="22"/>
          <w:szCs w:val="22"/>
        </w:rPr>
      </w:pPr>
    </w:p>
    <w:p w14:paraId="0C901781" w14:textId="77777777" w:rsidR="002E4609" w:rsidRDefault="002E4609" w:rsidP="002147AC">
      <w:pPr>
        <w:spacing w:line="360" w:lineRule="auto"/>
        <w:rPr>
          <w:rFonts w:ascii="Arial" w:hAnsi="Arial" w:cs="Arial"/>
          <w:sz w:val="22"/>
          <w:szCs w:val="22"/>
        </w:rPr>
      </w:pPr>
    </w:p>
    <w:p w14:paraId="1CF8BE91" w14:textId="77777777" w:rsidR="002E4609" w:rsidRDefault="002E4609" w:rsidP="002147AC">
      <w:pPr>
        <w:spacing w:line="360" w:lineRule="auto"/>
        <w:rPr>
          <w:rFonts w:ascii="Arial" w:hAnsi="Arial" w:cs="Arial"/>
          <w:sz w:val="22"/>
          <w:szCs w:val="22"/>
        </w:rPr>
      </w:pPr>
    </w:p>
    <w:p w14:paraId="3998610A" w14:textId="77777777" w:rsidR="002E4609" w:rsidRDefault="002E4609" w:rsidP="002147AC">
      <w:pPr>
        <w:spacing w:line="360" w:lineRule="auto"/>
        <w:rPr>
          <w:rFonts w:ascii="Arial" w:hAnsi="Arial" w:cs="Arial"/>
          <w:sz w:val="22"/>
          <w:szCs w:val="22"/>
        </w:rPr>
      </w:pPr>
    </w:p>
    <w:p w14:paraId="2414FC70" w14:textId="77777777" w:rsidR="002E4609" w:rsidRDefault="002E4609" w:rsidP="002147AC">
      <w:pPr>
        <w:spacing w:line="360" w:lineRule="auto"/>
        <w:rPr>
          <w:rFonts w:ascii="Arial" w:hAnsi="Arial" w:cs="Arial"/>
          <w:sz w:val="22"/>
          <w:szCs w:val="22"/>
        </w:rPr>
      </w:pPr>
    </w:p>
    <w:p w14:paraId="0DF5C4C2" w14:textId="77777777" w:rsidR="00581D1C" w:rsidRDefault="00581D1C" w:rsidP="00581D1C">
      <w:pPr>
        <w:spacing w:line="360" w:lineRule="auto"/>
        <w:rPr>
          <w:rFonts w:ascii="Arial" w:hAnsi="Arial" w:cs="Arial"/>
          <w:sz w:val="22"/>
          <w:szCs w:val="22"/>
        </w:rPr>
      </w:pPr>
    </w:p>
    <w:p w14:paraId="530157E3" w14:textId="77777777" w:rsidR="00581D1C" w:rsidRDefault="00581D1C" w:rsidP="00581D1C">
      <w:pPr>
        <w:spacing w:line="360" w:lineRule="auto"/>
        <w:rPr>
          <w:rFonts w:ascii="Arial" w:hAnsi="Arial" w:cs="Arial"/>
          <w:sz w:val="22"/>
          <w:szCs w:val="22"/>
        </w:rPr>
      </w:pPr>
    </w:p>
    <w:p w14:paraId="16BDE3A6" w14:textId="77777777" w:rsidR="00581D1C" w:rsidRPr="00E902D7" w:rsidRDefault="00581D1C" w:rsidP="00581D1C">
      <w:pPr>
        <w:spacing w:line="360" w:lineRule="auto"/>
        <w:rPr>
          <w:rFonts w:ascii="Arial" w:hAnsi="Arial" w:cs="Arial"/>
          <w:sz w:val="22"/>
          <w:szCs w:val="22"/>
        </w:rPr>
      </w:pPr>
    </w:p>
    <w:p w14:paraId="70021FBA" w14:textId="77777777" w:rsidR="00D5118D" w:rsidRPr="00E902D7" w:rsidRDefault="00D5118D" w:rsidP="00D93061">
      <w:pPr>
        <w:spacing w:line="360" w:lineRule="auto"/>
        <w:rPr>
          <w:rFonts w:ascii="Arial" w:hAnsi="Arial" w:cs="Arial"/>
          <w:sz w:val="22"/>
          <w:szCs w:val="22"/>
        </w:rPr>
      </w:pPr>
    </w:p>
    <w:sectPr w:rsidR="00D5118D" w:rsidRPr="00E902D7" w:rsidSect="001A3B34">
      <w:footerReference w:type="default" r:id="rId1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971E4B" w14:textId="77777777" w:rsidR="00707EF8" w:rsidRDefault="00707EF8" w:rsidP="004534E5">
      <w:pPr>
        <w:spacing w:after="0" w:line="240" w:lineRule="auto"/>
      </w:pPr>
      <w:r>
        <w:separator/>
      </w:r>
    </w:p>
  </w:endnote>
  <w:endnote w:type="continuationSeparator" w:id="0">
    <w:p w14:paraId="32494F33" w14:textId="77777777" w:rsidR="00707EF8" w:rsidRDefault="00707EF8" w:rsidP="004534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1742349"/>
      <w:docPartObj>
        <w:docPartGallery w:val="Page Numbers (Bottom of Page)"/>
        <w:docPartUnique/>
      </w:docPartObj>
    </w:sdtPr>
    <w:sdtEndPr/>
    <w:sdtContent>
      <w:p w14:paraId="2508614F" w14:textId="5285D3FE" w:rsidR="008045EA" w:rsidRDefault="008045EA">
        <w:pPr>
          <w:pStyle w:val="Footer"/>
          <w:jc w:val="center"/>
        </w:pPr>
        <w:r>
          <w:fldChar w:fldCharType="begin"/>
        </w:r>
        <w:r>
          <w:instrText>PAGE   \* MERGEFORMAT</w:instrText>
        </w:r>
        <w:r>
          <w:fldChar w:fldCharType="separate"/>
        </w:r>
        <w:r>
          <w:t>2</w:t>
        </w:r>
        <w:r>
          <w:fldChar w:fldCharType="end"/>
        </w:r>
      </w:p>
    </w:sdtContent>
  </w:sdt>
  <w:p w14:paraId="4419B309" w14:textId="77777777" w:rsidR="004534E5" w:rsidRDefault="004534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FD1977" w14:textId="77777777" w:rsidR="00707EF8" w:rsidRDefault="00707EF8" w:rsidP="004534E5">
      <w:pPr>
        <w:spacing w:after="0" w:line="240" w:lineRule="auto"/>
      </w:pPr>
      <w:r>
        <w:separator/>
      </w:r>
    </w:p>
  </w:footnote>
  <w:footnote w:type="continuationSeparator" w:id="0">
    <w:p w14:paraId="537F8DAE" w14:textId="77777777" w:rsidR="00707EF8" w:rsidRDefault="00707EF8" w:rsidP="004534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264968"/>
    <w:multiLevelType w:val="hybridMultilevel"/>
    <w:tmpl w:val="3904CB0E"/>
    <w:lvl w:ilvl="0" w:tplc="0809000F">
      <w:start w:val="1"/>
      <w:numFmt w:val="decimal"/>
      <w:lvlText w:val="%1."/>
      <w:lvlJc w:val="left"/>
      <w:pPr>
        <w:ind w:left="1210" w:hanging="360"/>
      </w:pPr>
      <w:rPr>
        <w:rFonts w:hint="default"/>
      </w:rPr>
    </w:lvl>
    <w:lvl w:ilvl="1" w:tplc="08090019" w:tentative="1">
      <w:start w:val="1"/>
      <w:numFmt w:val="lowerLetter"/>
      <w:lvlText w:val="%2."/>
      <w:lvlJc w:val="left"/>
      <w:pPr>
        <w:ind w:left="1930" w:hanging="360"/>
      </w:pPr>
    </w:lvl>
    <w:lvl w:ilvl="2" w:tplc="0809001B" w:tentative="1">
      <w:start w:val="1"/>
      <w:numFmt w:val="lowerRoman"/>
      <w:lvlText w:val="%3."/>
      <w:lvlJc w:val="right"/>
      <w:pPr>
        <w:ind w:left="2650" w:hanging="180"/>
      </w:pPr>
    </w:lvl>
    <w:lvl w:ilvl="3" w:tplc="0809000F" w:tentative="1">
      <w:start w:val="1"/>
      <w:numFmt w:val="decimal"/>
      <w:lvlText w:val="%4."/>
      <w:lvlJc w:val="left"/>
      <w:pPr>
        <w:ind w:left="3370" w:hanging="360"/>
      </w:pPr>
    </w:lvl>
    <w:lvl w:ilvl="4" w:tplc="08090019" w:tentative="1">
      <w:start w:val="1"/>
      <w:numFmt w:val="lowerLetter"/>
      <w:lvlText w:val="%5."/>
      <w:lvlJc w:val="left"/>
      <w:pPr>
        <w:ind w:left="4090" w:hanging="360"/>
      </w:pPr>
    </w:lvl>
    <w:lvl w:ilvl="5" w:tplc="0809001B" w:tentative="1">
      <w:start w:val="1"/>
      <w:numFmt w:val="lowerRoman"/>
      <w:lvlText w:val="%6."/>
      <w:lvlJc w:val="right"/>
      <w:pPr>
        <w:ind w:left="4810" w:hanging="180"/>
      </w:pPr>
    </w:lvl>
    <w:lvl w:ilvl="6" w:tplc="0809000F" w:tentative="1">
      <w:start w:val="1"/>
      <w:numFmt w:val="decimal"/>
      <w:lvlText w:val="%7."/>
      <w:lvlJc w:val="left"/>
      <w:pPr>
        <w:ind w:left="5530" w:hanging="360"/>
      </w:pPr>
    </w:lvl>
    <w:lvl w:ilvl="7" w:tplc="08090019" w:tentative="1">
      <w:start w:val="1"/>
      <w:numFmt w:val="lowerLetter"/>
      <w:lvlText w:val="%8."/>
      <w:lvlJc w:val="left"/>
      <w:pPr>
        <w:ind w:left="6250" w:hanging="360"/>
      </w:pPr>
    </w:lvl>
    <w:lvl w:ilvl="8" w:tplc="0809001B" w:tentative="1">
      <w:start w:val="1"/>
      <w:numFmt w:val="lowerRoman"/>
      <w:lvlText w:val="%9."/>
      <w:lvlJc w:val="right"/>
      <w:pPr>
        <w:ind w:left="6970" w:hanging="180"/>
      </w:pPr>
    </w:lvl>
  </w:abstractNum>
  <w:abstractNum w:abstractNumId="1" w15:restartNumberingAfterBreak="0">
    <w:nsid w:val="6AED4713"/>
    <w:multiLevelType w:val="hybridMultilevel"/>
    <w:tmpl w:val="828EF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0147540">
    <w:abstractNumId w:val="0"/>
  </w:num>
  <w:num w:numId="2" w16cid:durableId="8471401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720"/>
    <w:rsid w:val="00005C33"/>
    <w:rsid w:val="00040DD5"/>
    <w:rsid w:val="00045CD2"/>
    <w:rsid w:val="00046767"/>
    <w:rsid w:val="00051F92"/>
    <w:rsid w:val="0009217A"/>
    <w:rsid w:val="000B1A29"/>
    <w:rsid w:val="000B22D5"/>
    <w:rsid w:val="000C0244"/>
    <w:rsid w:val="000F1A80"/>
    <w:rsid w:val="000F6C47"/>
    <w:rsid w:val="00120E29"/>
    <w:rsid w:val="00145382"/>
    <w:rsid w:val="00150CA7"/>
    <w:rsid w:val="001551E0"/>
    <w:rsid w:val="00157EE6"/>
    <w:rsid w:val="00162779"/>
    <w:rsid w:val="00183BE6"/>
    <w:rsid w:val="001A3B34"/>
    <w:rsid w:val="001A7910"/>
    <w:rsid w:val="001D1CB6"/>
    <w:rsid w:val="001D689C"/>
    <w:rsid w:val="001F14AE"/>
    <w:rsid w:val="002049DD"/>
    <w:rsid w:val="00213F8F"/>
    <w:rsid w:val="002147AC"/>
    <w:rsid w:val="002347EF"/>
    <w:rsid w:val="00250762"/>
    <w:rsid w:val="002977EB"/>
    <w:rsid w:val="002B2AF4"/>
    <w:rsid w:val="002B675C"/>
    <w:rsid w:val="002C643F"/>
    <w:rsid w:val="002D61DF"/>
    <w:rsid w:val="002E4609"/>
    <w:rsid w:val="002E4677"/>
    <w:rsid w:val="00321B4A"/>
    <w:rsid w:val="00321F2A"/>
    <w:rsid w:val="0032442D"/>
    <w:rsid w:val="0033619C"/>
    <w:rsid w:val="00343416"/>
    <w:rsid w:val="00344C99"/>
    <w:rsid w:val="00346AB1"/>
    <w:rsid w:val="00376B29"/>
    <w:rsid w:val="00393DAC"/>
    <w:rsid w:val="00394038"/>
    <w:rsid w:val="00397C5E"/>
    <w:rsid w:val="003A35FF"/>
    <w:rsid w:val="003A7287"/>
    <w:rsid w:val="003C0805"/>
    <w:rsid w:val="00426528"/>
    <w:rsid w:val="00427D76"/>
    <w:rsid w:val="00441400"/>
    <w:rsid w:val="004534E5"/>
    <w:rsid w:val="00472B09"/>
    <w:rsid w:val="00482BDA"/>
    <w:rsid w:val="00486030"/>
    <w:rsid w:val="004A1B27"/>
    <w:rsid w:val="004C33CE"/>
    <w:rsid w:val="004C65A6"/>
    <w:rsid w:val="004C7172"/>
    <w:rsid w:val="004C73B5"/>
    <w:rsid w:val="004F6315"/>
    <w:rsid w:val="00517578"/>
    <w:rsid w:val="00523A8F"/>
    <w:rsid w:val="0054040D"/>
    <w:rsid w:val="00576B81"/>
    <w:rsid w:val="00581D1C"/>
    <w:rsid w:val="005943FF"/>
    <w:rsid w:val="00595143"/>
    <w:rsid w:val="0059643A"/>
    <w:rsid w:val="005A0D6D"/>
    <w:rsid w:val="005A5B92"/>
    <w:rsid w:val="005E30CE"/>
    <w:rsid w:val="005E41DB"/>
    <w:rsid w:val="005E7BDF"/>
    <w:rsid w:val="005F2CEA"/>
    <w:rsid w:val="0060286D"/>
    <w:rsid w:val="00610C01"/>
    <w:rsid w:val="00611089"/>
    <w:rsid w:val="00615C5A"/>
    <w:rsid w:val="0063222F"/>
    <w:rsid w:val="006422E6"/>
    <w:rsid w:val="006534DA"/>
    <w:rsid w:val="00660EE9"/>
    <w:rsid w:val="00671962"/>
    <w:rsid w:val="00682614"/>
    <w:rsid w:val="00684BE8"/>
    <w:rsid w:val="006A0E08"/>
    <w:rsid w:val="006A781F"/>
    <w:rsid w:val="006E2664"/>
    <w:rsid w:val="00707EF8"/>
    <w:rsid w:val="00744042"/>
    <w:rsid w:val="00746223"/>
    <w:rsid w:val="0075142D"/>
    <w:rsid w:val="007567B0"/>
    <w:rsid w:val="007636A3"/>
    <w:rsid w:val="00792F91"/>
    <w:rsid w:val="007C2005"/>
    <w:rsid w:val="007C2A3A"/>
    <w:rsid w:val="007C4E52"/>
    <w:rsid w:val="007D0C3C"/>
    <w:rsid w:val="007D39BA"/>
    <w:rsid w:val="007D4DFD"/>
    <w:rsid w:val="007D5B60"/>
    <w:rsid w:val="007F16C3"/>
    <w:rsid w:val="008045EA"/>
    <w:rsid w:val="008520CF"/>
    <w:rsid w:val="008744BA"/>
    <w:rsid w:val="00880BF3"/>
    <w:rsid w:val="008830BB"/>
    <w:rsid w:val="00893907"/>
    <w:rsid w:val="008B22E8"/>
    <w:rsid w:val="008C381F"/>
    <w:rsid w:val="0092146A"/>
    <w:rsid w:val="00927711"/>
    <w:rsid w:val="009322F0"/>
    <w:rsid w:val="0093345B"/>
    <w:rsid w:val="00956E10"/>
    <w:rsid w:val="009602F3"/>
    <w:rsid w:val="009709B2"/>
    <w:rsid w:val="00997392"/>
    <w:rsid w:val="009A3477"/>
    <w:rsid w:val="009B182A"/>
    <w:rsid w:val="009D7820"/>
    <w:rsid w:val="009E7202"/>
    <w:rsid w:val="00A14EAC"/>
    <w:rsid w:val="00A62337"/>
    <w:rsid w:val="00A64188"/>
    <w:rsid w:val="00A75EF7"/>
    <w:rsid w:val="00A93A74"/>
    <w:rsid w:val="00AA3550"/>
    <w:rsid w:val="00AD39DA"/>
    <w:rsid w:val="00AE6A15"/>
    <w:rsid w:val="00AF2AC3"/>
    <w:rsid w:val="00B1390B"/>
    <w:rsid w:val="00B2186F"/>
    <w:rsid w:val="00B51109"/>
    <w:rsid w:val="00BA5DF1"/>
    <w:rsid w:val="00BE630F"/>
    <w:rsid w:val="00BF1C5C"/>
    <w:rsid w:val="00BF3FA9"/>
    <w:rsid w:val="00C02487"/>
    <w:rsid w:val="00C27720"/>
    <w:rsid w:val="00C462F5"/>
    <w:rsid w:val="00C549E4"/>
    <w:rsid w:val="00C54E59"/>
    <w:rsid w:val="00C558F1"/>
    <w:rsid w:val="00C641BF"/>
    <w:rsid w:val="00C90698"/>
    <w:rsid w:val="00CB40D4"/>
    <w:rsid w:val="00CD01E5"/>
    <w:rsid w:val="00CF318D"/>
    <w:rsid w:val="00D03FA8"/>
    <w:rsid w:val="00D156E2"/>
    <w:rsid w:val="00D23A37"/>
    <w:rsid w:val="00D345CF"/>
    <w:rsid w:val="00D35D4A"/>
    <w:rsid w:val="00D46C83"/>
    <w:rsid w:val="00D5118D"/>
    <w:rsid w:val="00D557CE"/>
    <w:rsid w:val="00D93061"/>
    <w:rsid w:val="00D95850"/>
    <w:rsid w:val="00DB3927"/>
    <w:rsid w:val="00DC63E2"/>
    <w:rsid w:val="00DD6ABA"/>
    <w:rsid w:val="00DF2463"/>
    <w:rsid w:val="00E0767D"/>
    <w:rsid w:val="00E45845"/>
    <w:rsid w:val="00E707B5"/>
    <w:rsid w:val="00E722EB"/>
    <w:rsid w:val="00E7620F"/>
    <w:rsid w:val="00E86329"/>
    <w:rsid w:val="00E902D7"/>
    <w:rsid w:val="00EE39EE"/>
    <w:rsid w:val="00F53BD4"/>
    <w:rsid w:val="00F647A3"/>
    <w:rsid w:val="00F70BFB"/>
    <w:rsid w:val="00F852CE"/>
    <w:rsid w:val="00F9008E"/>
    <w:rsid w:val="00FD34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1A49B"/>
  <w15:chartTrackingRefBased/>
  <w15:docId w15:val="{DB56BF57-4C9C-436E-915D-929F9AFC2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77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77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77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77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77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77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77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77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77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7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77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77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77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77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77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77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77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7720"/>
    <w:rPr>
      <w:rFonts w:eastAsiaTheme="majorEastAsia" w:cstheme="majorBidi"/>
      <w:color w:val="272727" w:themeColor="text1" w:themeTint="D8"/>
    </w:rPr>
  </w:style>
  <w:style w:type="paragraph" w:styleId="Title">
    <w:name w:val="Title"/>
    <w:basedOn w:val="Normal"/>
    <w:next w:val="Normal"/>
    <w:link w:val="TitleChar"/>
    <w:uiPriority w:val="10"/>
    <w:qFormat/>
    <w:rsid w:val="00C277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77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77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77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7720"/>
    <w:pPr>
      <w:spacing w:before="160"/>
      <w:jc w:val="center"/>
    </w:pPr>
    <w:rPr>
      <w:i/>
      <w:iCs/>
      <w:color w:val="404040" w:themeColor="text1" w:themeTint="BF"/>
    </w:rPr>
  </w:style>
  <w:style w:type="character" w:customStyle="1" w:styleId="QuoteChar">
    <w:name w:val="Quote Char"/>
    <w:basedOn w:val="DefaultParagraphFont"/>
    <w:link w:val="Quote"/>
    <w:uiPriority w:val="29"/>
    <w:rsid w:val="00C27720"/>
    <w:rPr>
      <w:i/>
      <w:iCs/>
      <w:color w:val="404040" w:themeColor="text1" w:themeTint="BF"/>
    </w:rPr>
  </w:style>
  <w:style w:type="paragraph" w:styleId="ListParagraph">
    <w:name w:val="List Paragraph"/>
    <w:basedOn w:val="Normal"/>
    <w:uiPriority w:val="34"/>
    <w:qFormat/>
    <w:rsid w:val="00C27720"/>
    <w:pPr>
      <w:ind w:left="720"/>
      <w:contextualSpacing/>
    </w:pPr>
  </w:style>
  <w:style w:type="character" w:styleId="IntenseEmphasis">
    <w:name w:val="Intense Emphasis"/>
    <w:basedOn w:val="DefaultParagraphFont"/>
    <w:uiPriority w:val="21"/>
    <w:qFormat/>
    <w:rsid w:val="00C27720"/>
    <w:rPr>
      <w:i/>
      <w:iCs/>
      <w:color w:val="0F4761" w:themeColor="accent1" w:themeShade="BF"/>
    </w:rPr>
  </w:style>
  <w:style w:type="paragraph" w:styleId="IntenseQuote">
    <w:name w:val="Intense Quote"/>
    <w:basedOn w:val="Normal"/>
    <w:next w:val="Normal"/>
    <w:link w:val="IntenseQuoteChar"/>
    <w:uiPriority w:val="30"/>
    <w:qFormat/>
    <w:rsid w:val="00C277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7720"/>
    <w:rPr>
      <w:i/>
      <w:iCs/>
      <w:color w:val="0F4761" w:themeColor="accent1" w:themeShade="BF"/>
    </w:rPr>
  </w:style>
  <w:style w:type="character" w:styleId="IntenseReference">
    <w:name w:val="Intense Reference"/>
    <w:basedOn w:val="DefaultParagraphFont"/>
    <w:uiPriority w:val="32"/>
    <w:qFormat/>
    <w:rsid w:val="00C27720"/>
    <w:rPr>
      <w:b/>
      <w:bCs/>
      <w:smallCaps/>
      <w:color w:val="0F4761" w:themeColor="accent1" w:themeShade="BF"/>
      <w:spacing w:val="5"/>
    </w:rPr>
  </w:style>
  <w:style w:type="character" w:styleId="Hyperlink">
    <w:name w:val="Hyperlink"/>
    <w:basedOn w:val="DefaultParagraphFont"/>
    <w:uiPriority w:val="99"/>
    <w:unhideWhenUsed/>
    <w:rsid w:val="007D4DFD"/>
    <w:rPr>
      <w:color w:val="467886" w:themeColor="hyperlink"/>
      <w:u w:val="single"/>
    </w:rPr>
  </w:style>
  <w:style w:type="character" w:styleId="UnresolvedMention">
    <w:name w:val="Unresolved Mention"/>
    <w:basedOn w:val="DefaultParagraphFont"/>
    <w:uiPriority w:val="99"/>
    <w:semiHidden/>
    <w:unhideWhenUsed/>
    <w:rsid w:val="007D4DFD"/>
    <w:rPr>
      <w:color w:val="605E5C"/>
      <w:shd w:val="clear" w:color="auto" w:fill="E1DFDD"/>
    </w:rPr>
  </w:style>
  <w:style w:type="paragraph" w:styleId="Header">
    <w:name w:val="header"/>
    <w:basedOn w:val="Normal"/>
    <w:link w:val="HeaderChar"/>
    <w:uiPriority w:val="99"/>
    <w:unhideWhenUsed/>
    <w:rsid w:val="004534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4E5"/>
  </w:style>
  <w:style w:type="paragraph" w:styleId="Footer">
    <w:name w:val="footer"/>
    <w:basedOn w:val="Normal"/>
    <w:link w:val="FooterChar"/>
    <w:uiPriority w:val="99"/>
    <w:unhideWhenUsed/>
    <w:rsid w:val="004534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4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joyhealth.com/blog/introdcution-to-diabetes-mellitus?utm_source=chatgpt.com" TargetMode="External"/><Relationship Id="rId18" Type="http://schemas.openxmlformats.org/officeDocument/2006/relationships/hyperlink" Target="https://doi.org/10.1016/B978-0-443-30263-3.00038-5"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3390/foods13244123?urlappend=%3Futm_source%3Dresearchgate.net%26utm_medium%3Darticle" TargetMode="External"/><Relationship Id="rId17" Type="http://schemas.openxmlformats.org/officeDocument/2006/relationships/hyperlink" Target="https://doi.org/10.1016/j.molmed.2024.09.005" TargetMode="External"/><Relationship Id="rId2" Type="http://schemas.openxmlformats.org/officeDocument/2006/relationships/styles" Target="styles.xml"/><Relationship Id="rId16" Type="http://schemas.openxmlformats.org/officeDocument/2006/relationships/hyperlink" Target="https://doi.org/10.1016/j.ajcnut.2023.05.012"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210/clinem/dgad549" TargetMode="External"/><Relationship Id="rId5" Type="http://schemas.openxmlformats.org/officeDocument/2006/relationships/footnotes" Target="footnotes.xml"/><Relationship Id="rId15" Type="http://schemas.openxmlformats.org/officeDocument/2006/relationships/hyperlink" Target="https://doi.org/10.24017/Scince.2022.1.10" TargetMode="External"/><Relationship Id="rId10" Type="http://schemas.openxmlformats.org/officeDocument/2006/relationships/hyperlink" Target="https://doi.org/10.4103/ijpvm.IJPVM_704_20"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530/JOE-24-0269" TargetMode="External"/><Relationship Id="rId14" Type="http://schemas.openxmlformats.org/officeDocument/2006/relationships/hyperlink" Target="https://doi.org/10.1152/physrev.00033.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98</TotalTime>
  <Pages>12</Pages>
  <Words>2862</Words>
  <Characters>16318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Gloria Armoo</dc:creator>
  <cp:keywords/>
  <dc:description/>
  <cp:lastModifiedBy>Gloria Armoo</cp:lastModifiedBy>
  <cp:revision>2</cp:revision>
  <dcterms:created xsi:type="dcterms:W3CDTF">2026-10-19T14:43:00Z</dcterms:created>
  <dcterms:modified xsi:type="dcterms:W3CDTF">2026-10-19T14:43:00Z</dcterms:modified>
</cp:coreProperties>
</file>