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92C4C" w14:textId="20E13D75" w:rsidR="00722D41" w:rsidRDefault="00CE4B47" w:rsidP="00B562B4">
      <w:pPr>
        <w:spacing w:after="0"/>
        <w:jc w:val="center"/>
        <w:rPr>
          <w:rFonts w:ascii="Arial" w:hAnsi="Arial" w:cs="Arial"/>
          <w:b/>
        </w:rPr>
      </w:pPr>
      <w:r w:rsidRPr="00AB5D5B">
        <w:rPr>
          <w:noProof/>
        </w:rPr>
        <w:drawing>
          <wp:anchor distT="0" distB="0" distL="114300" distR="114300" simplePos="0" relativeHeight="251658240" behindDoc="1" locked="0" layoutInCell="1" allowOverlap="1" wp14:anchorId="7BFF7F20" wp14:editId="70C0EF49">
            <wp:simplePos x="0" y="0"/>
            <wp:positionH relativeFrom="column">
              <wp:posOffset>53064</wp:posOffset>
            </wp:positionH>
            <wp:positionV relativeFrom="paragraph">
              <wp:posOffset>553</wp:posOffset>
            </wp:positionV>
            <wp:extent cx="1581150" cy="638175"/>
            <wp:effectExtent l="0" t="0" r="0" b="9525"/>
            <wp:wrapTight wrapText="bothSides">
              <wp:wrapPolygon edited="0">
                <wp:start x="0" y="0"/>
                <wp:lineTo x="0" y="21278"/>
                <wp:lineTo x="21340" y="21278"/>
                <wp:lineTo x="21340" y="0"/>
                <wp:lineTo x="0" y="0"/>
              </wp:wrapPolygon>
            </wp:wrapTight>
            <wp:docPr id="1025" name="Picture 2" descr="University of Wales Trinity Saint David">
              <a:extLst xmlns:a="http://schemas.openxmlformats.org/drawingml/2006/main">
                <a:ext uri="{FF2B5EF4-FFF2-40B4-BE49-F238E27FC236}">
                  <a16:creationId xmlns:a16="http://schemas.microsoft.com/office/drawing/2014/main" id="{1BA6F46E-B82C-9BB9-687D-9144764055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 descr="University of Wales Trinity Saint David">
                      <a:extLst>
                        <a:ext uri="{FF2B5EF4-FFF2-40B4-BE49-F238E27FC236}">
                          <a16:creationId xmlns:a16="http://schemas.microsoft.com/office/drawing/2014/main" id="{1BA6F46E-B82C-9BB9-687D-914476405518}"/>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1150" cy="638175"/>
                    </a:xfrm>
                    <a:prstGeom prst="rect">
                      <a:avLst/>
                    </a:prstGeom>
                    <a:noFill/>
                  </pic:spPr>
                </pic:pic>
              </a:graphicData>
            </a:graphic>
            <wp14:sizeRelH relativeFrom="page">
              <wp14:pctWidth>0</wp14:pctWidth>
            </wp14:sizeRelH>
            <wp14:sizeRelV relativeFrom="page">
              <wp14:pctHeight>0</wp14:pctHeight>
            </wp14:sizeRelV>
          </wp:anchor>
        </w:drawing>
      </w:r>
    </w:p>
    <w:p w14:paraId="09A878D4" w14:textId="77777777" w:rsidR="00722D41" w:rsidRDefault="00722D41" w:rsidP="00B562B4">
      <w:pPr>
        <w:spacing w:after="0"/>
        <w:jc w:val="center"/>
        <w:rPr>
          <w:rFonts w:ascii="Arial" w:hAnsi="Arial" w:cs="Arial"/>
          <w:b/>
        </w:rPr>
      </w:pPr>
    </w:p>
    <w:p w14:paraId="0F7FFFC5" w14:textId="77777777" w:rsidR="00722D41" w:rsidRDefault="00722D41" w:rsidP="00B562B4">
      <w:pPr>
        <w:spacing w:after="0"/>
        <w:jc w:val="center"/>
        <w:rPr>
          <w:rFonts w:ascii="Arial" w:hAnsi="Arial" w:cs="Arial"/>
          <w:b/>
        </w:rPr>
      </w:pPr>
    </w:p>
    <w:p w14:paraId="2C9161A8" w14:textId="77777777" w:rsidR="00722D41" w:rsidRDefault="00722D41" w:rsidP="00B562B4">
      <w:pPr>
        <w:spacing w:after="0"/>
        <w:jc w:val="center"/>
        <w:rPr>
          <w:rFonts w:ascii="Arial" w:hAnsi="Arial" w:cs="Arial"/>
          <w:b/>
        </w:rPr>
      </w:pPr>
    </w:p>
    <w:p w14:paraId="7E8D7A7C" w14:textId="77777777" w:rsidR="009E616D" w:rsidRPr="00AB5D5B" w:rsidRDefault="009E616D" w:rsidP="009E616D">
      <w:pPr>
        <w:pStyle w:val="Heading1"/>
        <w:jc w:val="center"/>
        <w:rPr>
          <w:rFonts w:ascii="Arial" w:hAnsi="Arial" w:cs="Arial"/>
          <w:color w:val="auto"/>
          <w:sz w:val="22"/>
          <w:szCs w:val="22"/>
        </w:rPr>
      </w:pPr>
      <w:r w:rsidRPr="00AB5D5B">
        <w:rPr>
          <w:rFonts w:ascii="Arial" w:hAnsi="Arial" w:cs="Arial"/>
          <w:color w:val="auto"/>
          <w:sz w:val="22"/>
          <w:szCs w:val="22"/>
        </w:rPr>
        <w:t>Student Name: Davod Rostami</w:t>
      </w:r>
    </w:p>
    <w:p w14:paraId="14A0E095" w14:textId="77777777" w:rsidR="009E616D" w:rsidRPr="00AB5D5B" w:rsidRDefault="009E616D" w:rsidP="009E616D">
      <w:pPr>
        <w:pStyle w:val="Heading1"/>
        <w:jc w:val="center"/>
        <w:rPr>
          <w:rFonts w:ascii="Arial" w:hAnsi="Arial" w:cs="Arial"/>
          <w:color w:val="auto"/>
          <w:sz w:val="22"/>
          <w:szCs w:val="22"/>
        </w:rPr>
      </w:pPr>
      <w:r w:rsidRPr="00AB5D5B">
        <w:rPr>
          <w:rFonts w:ascii="Arial" w:hAnsi="Arial" w:cs="Arial"/>
          <w:color w:val="auto"/>
          <w:sz w:val="22"/>
          <w:szCs w:val="22"/>
        </w:rPr>
        <w:t>Student ID: 2319757</w:t>
      </w:r>
    </w:p>
    <w:p w14:paraId="7AD47F94" w14:textId="6E1183CC" w:rsidR="009E616D" w:rsidRPr="00AE5E4C" w:rsidRDefault="009E616D" w:rsidP="009E616D">
      <w:pPr>
        <w:pStyle w:val="Heading1"/>
        <w:jc w:val="center"/>
        <w:rPr>
          <w:rFonts w:ascii="Arial" w:hAnsi="Arial" w:cs="Arial"/>
          <w:color w:val="auto"/>
          <w:sz w:val="22"/>
          <w:szCs w:val="22"/>
        </w:rPr>
      </w:pPr>
      <w:r w:rsidRPr="00AE5E4C">
        <w:rPr>
          <w:rFonts w:ascii="Arial" w:hAnsi="Arial" w:cs="Arial"/>
          <w:color w:val="auto"/>
          <w:sz w:val="22"/>
          <w:szCs w:val="22"/>
        </w:rPr>
        <w:t>Module Title: LCLM 500</w:t>
      </w:r>
      <w:r w:rsidRPr="00AE5E4C">
        <w:rPr>
          <w:rFonts w:ascii="Arial" w:hAnsi="Arial" w:cs="Arial"/>
          <w:color w:val="auto"/>
          <w:sz w:val="22"/>
          <w:szCs w:val="22"/>
        </w:rPr>
        <w:t>1</w:t>
      </w:r>
      <w:r w:rsidRPr="00AE5E4C">
        <w:rPr>
          <w:rFonts w:ascii="Arial" w:hAnsi="Arial" w:cs="Arial"/>
          <w:color w:val="auto"/>
          <w:sz w:val="22"/>
          <w:szCs w:val="22"/>
        </w:rPr>
        <w:t xml:space="preserve"> – </w:t>
      </w:r>
      <w:r w:rsidR="00AE5E4C" w:rsidRPr="00AE5E4C">
        <w:rPr>
          <w:rFonts w:ascii="Arial" w:hAnsi="Arial" w:cs="Arial"/>
          <w:color w:val="auto"/>
          <w:sz w:val="22"/>
          <w:szCs w:val="22"/>
        </w:rPr>
        <w:t>Strategic Management for Business</w:t>
      </w:r>
    </w:p>
    <w:p w14:paraId="2295521F" w14:textId="77777777" w:rsidR="00AE5E4C" w:rsidRDefault="009E616D" w:rsidP="00AE5E4C">
      <w:pPr>
        <w:pStyle w:val="Heading1"/>
        <w:jc w:val="center"/>
        <w:rPr>
          <w:rFonts w:ascii="Arial" w:hAnsi="Arial" w:cs="Arial"/>
          <w:color w:val="auto"/>
          <w:sz w:val="22"/>
          <w:szCs w:val="22"/>
        </w:rPr>
      </w:pPr>
      <w:r w:rsidRPr="00AB5D5B">
        <w:rPr>
          <w:rFonts w:ascii="Arial" w:hAnsi="Arial" w:cs="Arial"/>
          <w:color w:val="auto"/>
          <w:sz w:val="22"/>
          <w:szCs w:val="22"/>
        </w:rPr>
        <w:t xml:space="preserve">Lecturer: </w:t>
      </w:r>
      <w:r w:rsidR="00AE5E4C">
        <w:rPr>
          <w:rFonts w:ascii="Arial" w:hAnsi="Arial" w:cs="Arial"/>
          <w:color w:val="auto"/>
          <w:sz w:val="22"/>
          <w:szCs w:val="22"/>
        </w:rPr>
        <w:t xml:space="preserve">MD </w:t>
      </w:r>
      <w:proofErr w:type="spellStart"/>
      <w:r w:rsidR="00AE5E4C">
        <w:rPr>
          <w:rFonts w:ascii="Arial" w:hAnsi="Arial" w:cs="Arial"/>
          <w:color w:val="auto"/>
          <w:sz w:val="22"/>
          <w:szCs w:val="22"/>
        </w:rPr>
        <w:t>Ashikul</w:t>
      </w:r>
      <w:proofErr w:type="spellEnd"/>
      <w:r w:rsidR="00AE5E4C">
        <w:rPr>
          <w:rFonts w:ascii="Arial" w:hAnsi="Arial" w:cs="Arial"/>
          <w:color w:val="auto"/>
          <w:sz w:val="22"/>
          <w:szCs w:val="22"/>
        </w:rPr>
        <w:t xml:space="preserve"> Khan</w:t>
      </w:r>
    </w:p>
    <w:p w14:paraId="18FF5F4C" w14:textId="77777777" w:rsidR="00AE5E4C" w:rsidRDefault="00AE5E4C" w:rsidP="00AE5E4C">
      <w:pPr>
        <w:pStyle w:val="Heading1"/>
        <w:jc w:val="center"/>
        <w:rPr>
          <w:color w:val="auto"/>
          <w:sz w:val="48"/>
        </w:rPr>
      </w:pPr>
    </w:p>
    <w:p w14:paraId="120FC1F5" w14:textId="77777777" w:rsidR="00AE5E4C" w:rsidRDefault="00AE5E4C" w:rsidP="00AE5E4C">
      <w:pPr>
        <w:pStyle w:val="Heading1"/>
        <w:jc w:val="center"/>
        <w:rPr>
          <w:color w:val="auto"/>
          <w:sz w:val="48"/>
        </w:rPr>
      </w:pPr>
    </w:p>
    <w:p w14:paraId="7BAD63E8" w14:textId="4A6D108F" w:rsidR="00380C29" w:rsidRPr="004C3C4C" w:rsidRDefault="008E1F9E" w:rsidP="00AE5E4C">
      <w:pPr>
        <w:pStyle w:val="Heading1"/>
        <w:jc w:val="center"/>
        <w:rPr>
          <w:rFonts w:ascii="Arial" w:hAnsi="Arial" w:cs="Arial"/>
          <w:color w:val="auto"/>
          <w:sz w:val="24"/>
          <w:szCs w:val="24"/>
        </w:rPr>
      </w:pPr>
      <w:r w:rsidRPr="004C3C4C">
        <w:rPr>
          <w:rFonts w:ascii="Arial" w:hAnsi="Arial" w:cs="Arial"/>
          <w:color w:val="auto"/>
          <w:sz w:val="24"/>
          <w:szCs w:val="24"/>
        </w:rPr>
        <w:t>Strategic Growth Report</w:t>
      </w:r>
      <w:r w:rsidR="004C3C4C">
        <w:rPr>
          <w:rFonts w:ascii="Arial" w:hAnsi="Arial" w:cs="Arial"/>
          <w:color w:val="auto"/>
          <w:sz w:val="24"/>
          <w:szCs w:val="24"/>
        </w:rPr>
        <w:t xml:space="preserve"> </w:t>
      </w:r>
      <w:r w:rsidRPr="004C3C4C">
        <w:rPr>
          <w:rFonts w:ascii="Arial" w:hAnsi="Arial" w:cs="Arial"/>
          <w:color w:val="auto"/>
          <w:sz w:val="24"/>
          <w:szCs w:val="24"/>
        </w:rPr>
        <w:t>for Innocent Drinks</w:t>
      </w:r>
    </w:p>
    <w:p w14:paraId="336450BC" w14:textId="77777777" w:rsidR="00380C29" w:rsidRDefault="008E1F9E">
      <w:r>
        <w:br w:type="page"/>
      </w:r>
    </w:p>
    <w:p w14:paraId="2A7A0F3E"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lastRenderedPageBreak/>
        <w:t>Table of Contents</w:t>
      </w:r>
    </w:p>
    <w:p w14:paraId="27A79A49" w14:textId="6DAC4051" w:rsidR="00380C29" w:rsidRPr="004C3C4C" w:rsidRDefault="008E1F9E">
      <w:pPr>
        <w:tabs>
          <w:tab w:val="left" w:pos="8928"/>
        </w:tabs>
        <w:spacing w:after="20"/>
        <w:ind w:left="288"/>
        <w:rPr>
          <w:rFonts w:ascii="Arial" w:hAnsi="Arial" w:cs="Arial"/>
        </w:rPr>
      </w:pPr>
      <w:r w:rsidRPr="004C3C4C">
        <w:rPr>
          <w:rFonts w:ascii="Arial" w:hAnsi="Arial" w:cs="Arial"/>
        </w:rPr>
        <w:t>Executive Summary</w:t>
      </w:r>
      <w:r w:rsidRPr="004C3C4C">
        <w:rPr>
          <w:rFonts w:ascii="Arial" w:hAnsi="Arial" w:cs="Arial"/>
        </w:rPr>
        <w:tab/>
      </w:r>
    </w:p>
    <w:p w14:paraId="63D6B769" w14:textId="0EC66F65" w:rsidR="00380C29" w:rsidRPr="004C3C4C" w:rsidRDefault="008E1F9E">
      <w:pPr>
        <w:tabs>
          <w:tab w:val="left" w:pos="8928"/>
        </w:tabs>
        <w:spacing w:after="20"/>
        <w:rPr>
          <w:rFonts w:ascii="Arial" w:hAnsi="Arial" w:cs="Arial"/>
        </w:rPr>
      </w:pPr>
      <w:r w:rsidRPr="004C3C4C">
        <w:rPr>
          <w:rFonts w:ascii="Arial" w:hAnsi="Arial" w:cs="Arial"/>
        </w:rPr>
        <w:t>1. Introduction to Innocent Drinks</w:t>
      </w:r>
      <w:r w:rsidRPr="004C3C4C">
        <w:rPr>
          <w:rFonts w:ascii="Arial" w:hAnsi="Arial" w:cs="Arial"/>
        </w:rPr>
        <w:tab/>
      </w:r>
    </w:p>
    <w:p w14:paraId="3F472FA1" w14:textId="091F3F27" w:rsidR="00380C29" w:rsidRPr="004C3C4C" w:rsidRDefault="008E1F9E">
      <w:pPr>
        <w:tabs>
          <w:tab w:val="left" w:pos="8928"/>
        </w:tabs>
        <w:spacing w:after="20"/>
        <w:rPr>
          <w:rFonts w:ascii="Arial" w:hAnsi="Arial" w:cs="Arial"/>
        </w:rPr>
      </w:pPr>
      <w:r w:rsidRPr="004C3C4C">
        <w:rPr>
          <w:rFonts w:ascii="Arial" w:hAnsi="Arial" w:cs="Arial"/>
        </w:rPr>
        <w:t>2. Evaluation of the Current Market Situation</w:t>
      </w:r>
      <w:r w:rsidRPr="004C3C4C">
        <w:rPr>
          <w:rFonts w:ascii="Arial" w:hAnsi="Arial" w:cs="Arial"/>
        </w:rPr>
        <w:tab/>
      </w:r>
    </w:p>
    <w:p w14:paraId="28FB1053" w14:textId="38FE26B2" w:rsidR="00380C29" w:rsidRPr="004C3C4C" w:rsidRDefault="008E1F9E">
      <w:pPr>
        <w:tabs>
          <w:tab w:val="left" w:pos="8928"/>
        </w:tabs>
        <w:spacing w:after="20"/>
        <w:rPr>
          <w:rFonts w:ascii="Arial" w:hAnsi="Arial" w:cs="Arial"/>
        </w:rPr>
      </w:pPr>
      <w:r w:rsidRPr="004C3C4C">
        <w:rPr>
          <w:rFonts w:ascii="Arial" w:hAnsi="Arial" w:cs="Arial"/>
        </w:rPr>
        <w:t>2.1 PESTEL Analysis</w:t>
      </w:r>
      <w:r w:rsidRPr="004C3C4C">
        <w:rPr>
          <w:rFonts w:ascii="Arial" w:hAnsi="Arial" w:cs="Arial"/>
        </w:rPr>
        <w:tab/>
      </w:r>
    </w:p>
    <w:p w14:paraId="42AE1C04" w14:textId="57ECF84A" w:rsidR="00380C29" w:rsidRPr="004C3C4C" w:rsidRDefault="008E1F9E">
      <w:pPr>
        <w:tabs>
          <w:tab w:val="left" w:pos="8928"/>
        </w:tabs>
        <w:spacing w:after="20"/>
        <w:rPr>
          <w:rFonts w:ascii="Arial" w:hAnsi="Arial" w:cs="Arial"/>
        </w:rPr>
      </w:pPr>
      <w:r w:rsidRPr="004C3C4C">
        <w:rPr>
          <w:rFonts w:ascii="Arial" w:hAnsi="Arial" w:cs="Arial"/>
        </w:rPr>
        <w:t>2.2 Porter’s Five Forces</w:t>
      </w:r>
      <w:r w:rsidRPr="004C3C4C">
        <w:rPr>
          <w:rFonts w:ascii="Arial" w:hAnsi="Arial" w:cs="Arial"/>
        </w:rPr>
        <w:tab/>
      </w:r>
    </w:p>
    <w:p w14:paraId="2C759374" w14:textId="333D7637" w:rsidR="00380C29" w:rsidRPr="004C3C4C" w:rsidRDefault="008E1F9E">
      <w:pPr>
        <w:tabs>
          <w:tab w:val="left" w:pos="8928"/>
        </w:tabs>
        <w:spacing w:after="20"/>
        <w:rPr>
          <w:rFonts w:ascii="Arial" w:hAnsi="Arial" w:cs="Arial"/>
        </w:rPr>
      </w:pPr>
      <w:r w:rsidRPr="004C3C4C">
        <w:rPr>
          <w:rFonts w:ascii="Arial" w:hAnsi="Arial" w:cs="Arial"/>
        </w:rPr>
        <w:t>2.3 SWOT Analysis</w:t>
      </w:r>
    </w:p>
    <w:p w14:paraId="35A6A65A" w14:textId="777A7003" w:rsidR="00380C29" w:rsidRPr="004C3C4C" w:rsidRDefault="008E1F9E">
      <w:pPr>
        <w:tabs>
          <w:tab w:val="left" w:pos="8928"/>
        </w:tabs>
        <w:spacing w:after="20"/>
        <w:rPr>
          <w:rFonts w:ascii="Arial" w:hAnsi="Arial" w:cs="Arial"/>
        </w:rPr>
      </w:pPr>
      <w:r w:rsidRPr="004C3C4C">
        <w:rPr>
          <w:rFonts w:ascii="Arial" w:hAnsi="Arial" w:cs="Arial"/>
        </w:rPr>
        <w:t>3. Strategic Growth Options and Proposed Strategy</w:t>
      </w:r>
    </w:p>
    <w:p w14:paraId="5548A309" w14:textId="462D9CF3" w:rsidR="00380C29" w:rsidRPr="004C3C4C" w:rsidRDefault="008E1F9E">
      <w:pPr>
        <w:tabs>
          <w:tab w:val="left" w:pos="8928"/>
        </w:tabs>
        <w:spacing w:after="20"/>
        <w:rPr>
          <w:rFonts w:ascii="Arial" w:hAnsi="Arial" w:cs="Arial"/>
        </w:rPr>
      </w:pPr>
      <w:r w:rsidRPr="004C3C4C">
        <w:rPr>
          <w:rFonts w:ascii="Arial" w:hAnsi="Arial" w:cs="Arial"/>
        </w:rPr>
        <w:t>4. Strategy Evaluation</w:t>
      </w:r>
    </w:p>
    <w:p w14:paraId="5EA37007" w14:textId="205FAFBC" w:rsidR="00380C29" w:rsidRPr="004C3C4C" w:rsidRDefault="008E1F9E">
      <w:pPr>
        <w:tabs>
          <w:tab w:val="left" w:pos="8928"/>
        </w:tabs>
        <w:spacing w:after="20"/>
        <w:rPr>
          <w:rFonts w:ascii="Arial" w:hAnsi="Arial" w:cs="Arial"/>
        </w:rPr>
      </w:pPr>
      <w:r w:rsidRPr="004C3C4C">
        <w:rPr>
          <w:rFonts w:ascii="Arial" w:hAnsi="Arial" w:cs="Arial"/>
        </w:rPr>
        <w:t>5. Stakeholder Analysis</w:t>
      </w:r>
      <w:r w:rsidRPr="004C3C4C">
        <w:rPr>
          <w:rFonts w:ascii="Arial" w:hAnsi="Arial" w:cs="Arial"/>
        </w:rPr>
        <w:tab/>
      </w:r>
    </w:p>
    <w:p w14:paraId="3F0D9BA1" w14:textId="313EE089" w:rsidR="00380C29" w:rsidRPr="004C3C4C" w:rsidRDefault="008E1F9E">
      <w:pPr>
        <w:tabs>
          <w:tab w:val="left" w:pos="8928"/>
        </w:tabs>
        <w:spacing w:after="20"/>
        <w:rPr>
          <w:rFonts w:ascii="Arial" w:hAnsi="Arial" w:cs="Arial"/>
        </w:rPr>
      </w:pPr>
      <w:r w:rsidRPr="004C3C4C">
        <w:rPr>
          <w:rFonts w:ascii="Arial" w:hAnsi="Arial" w:cs="Arial"/>
        </w:rPr>
        <w:t>6. Implementation and Monitoring</w:t>
      </w:r>
      <w:r w:rsidRPr="004C3C4C">
        <w:rPr>
          <w:rFonts w:ascii="Arial" w:hAnsi="Arial" w:cs="Arial"/>
        </w:rPr>
        <w:tab/>
      </w:r>
    </w:p>
    <w:p w14:paraId="08183639" w14:textId="13A75515" w:rsidR="00380C29" w:rsidRPr="004C3C4C" w:rsidRDefault="008E1F9E">
      <w:pPr>
        <w:tabs>
          <w:tab w:val="left" w:pos="8928"/>
        </w:tabs>
        <w:spacing w:after="20"/>
        <w:rPr>
          <w:rFonts w:ascii="Arial" w:hAnsi="Arial" w:cs="Arial"/>
        </w:rPr>
      </w:pPr>
      <w:r w:rsidRPr="004C3C4C">
        <w:rPr>
          <w:rFonts w:ascii="Arial" w:hAnsi="Arial" w:cs="Arial"/>
        </w:rPr>
        <w:t>7. Conclusion</w:t>
      </w:r>
      <w:r w:rsidRPr="004C3C4C">
        <w:rPr>
          <w:rFonts w:ascii="Arial" w:hAnsi="Arial" w:cs="Arial"/>
        </w:rPr>
        <w:tab/>
      </w:r>
    </w:p>
    <w:p w14:paraId="23E4EE2B" w14:textId="23E8CDD3" w:rsidR="00380C29" w:rsidRPr="004C3C4C" w:rsidRDefault="008E1F9E">
      <w:pPr>
        <w:tabs>
          <w:tab w:val="left" w:pos="8928"/>
        </w:tabs>
        <w:spacing w:after="20"/>
        <w:ind w:left="288"/>
        <w:rPr>
          <w:rFonts w:ascii="Arial" w:hAnsi="Arial" w:cs="Arial"/>
        </w:rPr>
      </w:pPr>
      <w:r w:rsidRPr="004C3C4C">
        <w:rPr>
          <w:rFonts w:ascii="Arial" w:hAnsi="Arial" w:cs="Arial"/>
        </w:rPr>
        <w:t>References</w:t>
      </w:r>
      <w:r w:rsidRPr="004C3C4C">
        <w:rPr>
          <w:rFonts w:ascii="Arial" w:hAnsi="Arial" w:cs="Arial"/>
        </w:rPr>
        <w:tab/>
      </w:r>
    </w:p>
    <w:p w14:paraId="0F28668A" w14:textId="77777777" w:rsidR="00380C29" w:rsidRPr="004C3C4C" w:rsidRDefault="008E1F9E">
      <w:pPr>
        <w:rPr>
          <w:rFonts w:ascii="Arial" w:hAnsi="Arial" w:cs="Arial"/>
        </w:rPr>
      </w:pPr>
      <w:r w:rsidRPr="004C3C4C">
        <w:rPr>
          <w:rFonts w:ascii="Arial" w:hAnsi="Arial" w:cs="Arial"/>
        </w:rPr>
        <w:br w:type="page"/>
      </w:r>
    </w:p>
    <w:p w14:paraId="1BF2712F"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lastRenderedPageBreak/>
        <w:t>Executive Summary</w:t>
      </w:r>
    </w:p>
    <w:p w14:paraId="3EECE2A1" w14:textId="77777777" w:rsidR="00380C29" w:rsidRPr="004C3C4C" w:rsidRDefault="008E1F9E">
      <w:pPr>
        <w:spacing w:after="140"/>
        <w:jc w:val="both"/>
        <w:rPr>
          <w:rFonts w:ascii="Arial" w:hAnsi="Arial" w:cs="Arial"/>
        </w:rPr>
      </w:pPr>
      <w:r w:rsidRPr="004C3C4C">
        <w:rPr>
          <w:rFonts w:ascii="Arial" w:hAnsi="Arial" w:cs="Arial"/>
        </w:rPr>
        <w:t>Innocent Drinks is a UK-based healthy beverage company best known for smoothies, juices and plant-based drinks. Since its launch in 1999, it has developed into one of the most recognisable brands in the UK and European healthy drinks market. Innocent’s market position is built on natural ingredients, a distinctive and approachable brand personality, and a strong commitment to ethical business practices. The company’s mission is to make natural, delicious food and drink that helps people live well, while its</w:t>
      </w:r>
      <w:r w:rsidRPr="004C3C4C">
        <w:rPr>
          <w:rFonts w:ascii="Arial" w:hAnsi="Arial" w:cs="Arial"/>
        </w:rPr>
        <w:t xml:space="preserve"> wider vision is to leave things better than it found them (Innocent Drinks, 2024a).</w:t>
      </w:r>
    </w:p>
    <w:p w14:paraId="20BF0A10" w14:textId="77777777" w:rsidR="00380C29" w:rsidRPr="004C3C4C" w:rsidRDefault="008E1F9E">
      <w:pPr>
        <w:spacing w:after="140"/>
        <w:jc w:val="both"/>
        <w:rPr>
          <w:rFonts w:ascii="Arial" w:hAnsi="Arial" w:cs="Arial"/>
        </w:rPr>
      </w:pPr>
      <w:r w:rsidRPr="004C3C4C">
        <w:rPr>
          <w:rFonts w:ascii="Arial" w:hAnsi="Arial" w:cs="Arial"/>
        </w:rPr>
        <w:t>Innocent operates in a market shaped by growing health awareness, sustainability concerns and increasing competition. Although demand for healthier beverages remains strong, the company faces pressure from multinational rivals, own-label supermarket products and specialist wellness brands. In addition, it must manage supply chain volatility, inflationary pressures, environmental expectations and the need to innovate without weakening its brand authenticity.</w:t>
      </w:r>
    </w:p>
    <w:p w14:paraId="5BF1DDE7" w14:textId="77777777" w:rsidR="00380C29" w:rsidRPr="004C3C4C" w:rsidRDefault="008E1F9E">
      <w:pPr>
        <w:spacing w:after="140"/>
        <w:jc w:val="both"/>
        <w:rPr>
          <w:rFonts w:ascii="Arial" w:hAnsi="Arial" w:cs="Arial"/>
        </w:rPr>
      </w:pPr>
      <w:r w:rsidRPr="004C3C4C">
        <w:rPr>
          <w:rFonts w:ascii="Arial" w:hAnsi="Arial" w:cs="Arial"/>
        </w:rPr>
        <w:t>This report evaluates Innocent’s current position through PESTEL analysis, Porter’s Five Forces and SWOT analysis. The findings suggest that Innocent’s strongest advantages are its brand trust, sustainability credibility and differentiation through natural, health-oriented products. However, these strengths must be reinforced through carefully chosen growth strategies.</w:t>
      </w:r>
    </w:p>
    <w:p w14:paraId="68DADBCE" w14:textId="77777777" w:rsidR="00380C29" w:rsidRPr="004C3C4C" w:rsidRDefault="008E1F9E">
      <w:pPr>
        <w:spacing w:after="140"/>
        <w:jc w:val="both"/>
        <w:rPr>
          <w:rFonts w:ascii="Arial" w:hAnsi="Arial" w:cs="Arial"/>
        </w:rPr>
      </w:pPr>
      <w:r w:rsidRPr="004C3C4C">
        <w:rPr>
          <w:rFonts w:ascii="Arial" w:hAnsi="Arial" w:cs="Arial"/>
        </w:rPr>
        <w:t>Using Ansoff’s Matrix, the report recommends a combined product development and market development strategy. Specifically, Innocent should expand its functional wellbeing drinks and plant-based range, while selectively entering or deepening its presence in new health-conscious urban markets. This is consistent with the company’s existing differentiation strategy and ethical values.</w:t>
      </w:r>
    </w:p>
    <w:p w14:paraId="2F2F5577" w14:textId="77777777" w:rsidR="00380C29" w:rsidRPr="004C3C4C" w:rsidRDefault="008E1F9E">
      <w:pPr>
        <w:spacing w:after="140"/>
        <w:jc w:val="both"/>
        <w:rPr>
          <w:rFonts w:ascii="Arial" w:hAnsi="Arial" w:cs="Arial"/>
        </w:rPr>
      </w:pPr>
      <w:r w:rsidRPr="004C3C4C">
        <w:rPr>
          <w:rFonts w:ascii="Arial" w:hAnsi="Arial" w:cs="Arial"/>
        </w:rPr>
        <w:t>The recommended strategy is then assessed using the Suitability, Feasibility and Acceptability (SFA) framework. The report concludes that this strategy offers the best balance between growth, brand fit and stakeholder expectations. A stakeholder analysis and implementation plan are also presented to support effective execution and long-term strategic success.</w:t>
      </w:r>
    </w:p>
    <w:p w14:paraId="45EE71B9"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1. Introduction to Innocent Drinks</w:t>
      </w:r>
    </w:p>
    <w:p w14:paraId="678DA896" w14:textId="77777777" w:rsidR="00380C29" w:rsidRPr="004C3C4C" w:rsidRDefault="008E1F9E">
      <w:pPr>
        <w:spacing w:after="140"/>
        <w:jc w:val="both"/>
        <w:rPr>
          <w:rFonts w:ascii="Arial" w:hAnsi="Arial" w:cs="Arial"/>
        </w:rPr>
      </w:pPr>
      <w:r w:rsidRPr="004C3C4C">
        <w:rPr>
          <w:rFonts w:ascii="Arial" w:hAnsi="Arial" w:cs="Arial"/>
        </w:rPr>
        <w:t>Innocent Drinks was founded in 1999 by Richard Reed, Adam Balon and Jon Wright. What began as a small smoothie business has grown into one of Europe’s leading healthy beverage brands. The company produces smoothies, juices, juice shots and plant-based drinks, and has become known for its simple ingredients, playful branding and strong ethical values.</w:t>
      </w:r>
    </w:p>
    <w:p w14:paraId="40896F4A" w14:textId="77777777" w:rsidR="00380C29" w:rsidRPr="004C3C4C" w:rsidRDefault="008E1F9E">
      <w:pPr>
        <w:spacing w:after="140"/>
        <w:jc w:val="both"/>
        <w:rPr>
          <w:rFonts w:ascii="Arial" w:hAnsi="Arial" w:cs="Arial"/>
        </w:rPr>
      </w:pPr>
      <w:r w:rsidRPr="004C3C4C">
        <w:rPr>
          <w:rFonts w:ascii="Arial" w:hAnsi="Arial" w:cs="Arial"/>
        </w:rPr>
        <w:t>The organisation’s mission is “to make natural, delicious food and drink that helps people live well and die old” (Innocent Drinks, 2024a). This mission reflects its commitment to health and natural nutrition. Innocent also states that it wants to “leave things better than we found them,” which shapes its sustainability agenda and wider stakeholder relationships (Innocent Drinks, 2024a).</w:t>
      </w:r>
    </w:p>
    <w:p w14:paraId="737F39D4" w14:textId="77777777" w:rsidR="00380C29" w:rsidRPr="004C3C4C" w:rsidRDefault="008E1F9E">
      <w:pPr>
        <w:spacing w:after="140"/>
        <w:jc w:val="both"/>
        <w:rPr>
          <w:rFonts w:ascii="Arial" w:hAnsi="Arial" w:cs="Arial"/>
        </w:rPr>
      </w:pPr>
      <w:r w:rsidRPr="004C3C4C">
        <w:rPr>
          <w:rFonts w:ascii="Arial" w:hAnsi="Arial" w:cs="Arial"/>
        </w:rPr>
        <w:t>Innocent is a certified B Corporation, meaning it has met recognised standards of social and environmental performance, accountability and transparency (B Lab, 2023). The company also publicly states that it gives 10% of profits to good causes and is working towards long-term environmental goals such as recyclable packaging, support for regenerative agriculture and a net zero by 2040 target (Innocent Drinks, 2024c).</w:t>
      </w:r>
    </w:p>
    <w:p w14:paraId="72DA72F2" w14:textId="77777777" w:rsidR="00380C29" w:rsidRPr="004C3C4C" w:rsidRDefault="008E1F9E">
      <w:pPr>
        <w:spacing w:after="140"/>
        <w:jc w:val="both"/>
        <w:rPr>
          <w:rFonts w:ascii="Arial" w:hAnsi="Arial" w:cs="Arial"/>
        </w:rPr>
      </w:pPr>
      <w:r w:rsidRPr="004C3C4C">
        <w:rPr>
          <w:rFonts w:ascii="Arial" w:hAnsi="Arial" w:cs="Arial"/>
        </w:rPr>
        <w:lastRenderedPageBreak/>
        <w:t>These values are strategically important because Innocent does not compete only on product quality. It also competes as a mission-driven consumer brand. Customers expect the organisation to deliver healthy products in a way that remains responsible and authentic. As competition in the healthy drinks market increases, Innocent must continue growing without abandoning the values that support its reputation and differentiation.</w:t>
      </w:r>
    </w:p>
    <w:p w14:paraId="4178B4B6" w14:textId="77777777" w:rsidR="00380C29" w:rsidRPr="004C3C4C" w:rsidRDefault="008E1F9E">
      <w:pPr>
        <w:spacing w:after="140"/>
        <w:jc w:val="both"/>
        <w:rPr>
          <w:rFonts w:ascii="Arial" w:hAnsi="Arial" w:cs="Arial"/>
        </w:rPr>
      </w:pPr>
      <w:r w:rsidRPr="004C3C4C">
        <w:rPr>
          <w:rFonts w:ascii="Arial" w:hAnsi="Arial" w:cs="Arial"/>
        </w:rPr>
        <w:t>This report therefore examines the company’s current market situation, explores strategic growth options, recommends a suitable strategy and outlines how that strategy can be implemented and monitored effectively.</w:t>
      </w:r>
    </w:p>
    <w:p w14:paraId="4EB97B44"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2. Evaluation of the Current Market Situation</w:t>
      </w:r>
    </w:p>
    <w:p w14:paraId="3CBAAEAE" w14:textId="77777777" w:rsidR="00380C29" w:rsidRPr="004C3C4C" w:rsidRDefault="008E1F9E">
      <w:pPr>
        <w:spacing w:after="140"/>
        <w:jc w:val="both"/>
        <w:rPr>
          <w:rFonts w:ascii="Arial" w:hAnsi="Arial" w:cs="Arial"/>
        </w:rPr>
      </w:pPr>
      <w:r w:rsidRPr="004C3C4C">
        <w:rPr>
          <w:rFonts w:ascii="Arial" w:hAnsi="Arial" w:cs="Arial"/>
        </w:rPr>
        <w:t>To identify strategic opportunities for Innocent Drinks, it is necessary to assess both the external environment and the company’s internal position. This section uses PESTEL analysis, Porter’s Five Forces and SWOT analysis to evaluate the organisation’s current market situation.</w:t>
      </w:r>
    </w:p>
    <w:p w14:paraId="60CC0DEB" w14:textId="77777777" w:rsidR="00380C29" w:rsidRPr="004C3C4C" w:rsidRDefault="008E1F9E">
      <w:pPr>
        <w:pStyle w:val="Heading2"/>
        <w:rPr>
          <w:rFonts w:ascii="Arial" w:hAnsi="Arial" w:cs="Arial"/>
          <w:color w:val="auto"/>
          <w:sz w:val="22"/>
          <w:szCs w:val="22"/>
        </w:rPr>
      </w:pPr>
      <w:r w:rsidRPr="004C3C4C">
        <w:rPr>
          <w:rFonts w:ascii="Arial" w:hAnsi="Arial" w:cs="Arial"/>
          <w:color w:val="auto"/>
          <w:sz w:val="22"/>
          <w:szCs w:val="22"/>
        </w:rPr>
        <w:t>2.1 PESTEL Analysis</w:t>
      </w:r>
    </w:p>
    <w:p w14:paraId="0F3EDFDE" w14:textId="77777777" w:rsidR="00380C29" w:rsidRPr="004C3C4C" w:rsidRDefault="008E1F9E">
      <w:pPr>
        <w:spacing w:after="140"/>
        <w:jc w:val="both"/>
        <w:rPr>
          <w:rFonts w:ascii="Arial" w:hAnsi="Arial" w:cs="Arial"/>
        </w:rPr>
      </w:pPr>
      <w:r w:rsidRPr="004C3C4C">
        <w:rPr>
          <w:rFonts w:ascii="Arial" w:hAnsi="Arial" w:cs="Arial"/>
        </w:rPr>
        <w:t>PESTEL analysis examines the political, economic, social, technological, environmental and legal factors affecting an organisation (Johnson, Scholes and Whittington, 2020).</w:t>
      </w:r>
    </w:p>
    <w:p w14:paraId="7A1F05E9" w14:textId="77777777" w:rsidR="00380C29" w:rsidRPr="004C3C4C" w:rsidRDefault="008E1F9E">
      <w:pPr>
        <w:spacing w:after="140"/>
        <w:jc w:val="both"/>
        <w:rPr>
          <w:rFonts w:ascii="Arial" w:hAnsi="Arial" w:cs="Arial"/>
        </w:rPr>
      </w:pPr>
      <w:r w:rsidRPr="004C3C4C">
        <w:rPr>
          <w:rFonts w:ascii="Arial" w:hAnsi="Arial" w:cs="Arial"/>
          <w:b/>
        </w:rPr>
        <w:t xml:space="preserve">Political and legal factors. </w:t>
      </w:r>
      <w:r w:rsidRPr="004C3C4C">
        <w:rPr>
          <w:rFonts w:ascii="Arial" w:hAnsi="Arial" w:cs="Arial"/>
        </w:rPr>
        <w:t>Government policy increasingly shapes the beverage sector, especially through health and environmental regulation. In the UK, the Soft Drinks Industry Levy encourages companies to reduce added sugar in beverages (HM Government, 2016). Since Innocent already promotes healthier products, this policy environment supports its positioning. Legal requirements relating to food safety, labelling and environmental claims are also important. Innocent must ensure that health and sustainability messaging remains accura</w:t>
      </w:r>
      <w:r w:rsidRPr="004C3C4C">
        <w:rPr>
          <w:rFonts w:ascii="Arial" w:hAnsi="Arial" w:cs="Arial"/>
        </w:rPr>
        <w:t>te and compliant.</w:t>
      </w:r>
    </w:p>
    <w:p w14:paraId="1332B9AD" w14:textId="77777777" w:rsidR="00380C29" w:rsidRPr="004C3C4C" w:rsidRDefault="008E1F9E">
      <w:pPr>
        <w:spacing w:after="140"/>
        <w:jc w:val="both"/>
        <w:rPr>
          <w:rFonts w:ascii="Arial" w:hAnsi="Arial" w:cs="Arial"/>
        </w:rPr>
      </w:pPr>
      <w:r w:rsidRPr="004C3C4C">
        <w:rPr>
          <w:rFonts w:ascii="Arial" w:hAnsi="Arial" w:cs="Arial"/>
          <w:b/>
        </w:rPr>
        <w:t xml:space="preserve">Economic factors. </w:t>
      </w:r>
      <w:r w:rsidRPr="004C3C4C">
        <w:rPr>
          <w:rFonts w:ascii="Arial" w:hAnsi="Arial" w:cs="Arial"/>
        </w:rPr>
        <w:t>Innocent operates in a difficult economic environment where inflation, transport costs and volatile agricultural prices affect production expenses. Premium brands may also be vulnerable when consumers reduce discretionary spending. However, demand for health-focused products remains relatively resilient because many consumers still view wellness as worth paying for (Statista, 2024). This suggests that Innocent should protect its premium positioning rather than compete on price.</w:t>
      </w:r>
    </w:p>
    <w:p w14:paraId="1C09E968" w14:textId="77777777" w:rsidR="00380C29" w:rsidRPr="004C3C4C" w:rsidRDefault="008E1F9E">
      <w:pPr>
        <w:spacing w:after="140"/>
        <w:jc w:val="both"/>
        <w:rPr>
          <w:rFonts w:ascii="Arial" w:hAnsi="Arial" w:cs="Arial"/>
        </w:rPr>
      </w:pPr>
      <w:r w:rsidRPr="004C3C4C">
        <w:rPr>
          <w:rFonts w:ascii="Arial" w:hAnsi="Arial" w:cs="Arial"/>
          <w:b/>
        </w:rPr>
        <w:t xml:space="preserve">Social factors. </w:t>
      </w:r>
      <w:r w:rsidRPr="004C3C4C">
        <w:rPr>
          <w:rFonts w:ascii="Arial" w:hAnsi="Arial" w:cs="Arial"/>
        </w:rPr>
        <w:t>Social trends strongly favour Innocent’s category. Consumers are more health-conscious, more interested in natural ingredients and more concerned about ethical sourcing and sustainability. Demand for plant-based products and functional beverages has also grown. These trends align closely with Innocent’s brand values and create room for targeted innovation.</w:t>
      </w:r>
    </w:p>
    <w:p w14:paraId="434C002A" w14:textId="77777777" w:rsidR="00380C29" w:rsidRPr="004C3C4C" w:rsidRDefault="008E1F9E">
      <w:pPr>
        <w:spacing w:after="140"/>
        <w:jc w:val="both"/>
        <w:rPr>
          <w:rFonts w:ascii="Arial" w:hAnsi="Arial" w:cs="Arial"/>
        </w:rPr>
      </w:pPr>
      <w:r w:rsidRPr="004C3C4C">
        <w:rPr>
          <w:rFonts w:ascii="Arial" w:hAnsi="Arial" w:cs="Arial"/>
          <w:b/>
        </w:rPr>
        <w:t xml:space="preserve">Technological factors. </w:t>
      </w:r>
      <w:r w:rsidRPr="004C3C4C">
        <w:rPr>
          <w:rFonts w:ascii="Arial" w:hAnsi="Arial" w:cs="Arial"/>
        </w:rPr>
        <w:t>Advances in processing, packaging and digital communication have important implications for Innocent. Technology supports product innovation in functional drinks, strengthens supply-chain traceability and allows the company to communicate more effectively with consumers. Innocent has historically used brand voice and digital communication well, which remains a source of advantage.</w:t>
      </w:r>
    </w:p>
    <w:p w14:paraId="55AF2CBD" w14:textId="77777777" w:rsidR="00380C29" w:rsidRPr="004C3C4C" w:rsidRDefault="008E1F9E">
      <w:pPr>
        <w:spacing w:after="140"/>
        <w:jc w:val="both"/>
        <w:rPr>
          <w:rFonts w:ascii="Arial" w:hAnsi="Arial" w:cs="Arial"/>
        </w:rPr>
      </w:pPr>
      <w:r w:rsidRPr="004C3C4C">
        <w:rPr>
          <w:rFonts w:ascii="Arial" w:hAnsi="Arial" w:cs="Arial"/>
          <w:b/>
        </w:rPr>
        <w:t xml:space="preserve">Environmental factors. </w:t>
      </w:r>
      <w:r w:rsidRPr="004C3C4C">
        <w:rPr>
          <w:rFonts w:ascii="Arial" w:hAnsi="Arial" w:cs="Arial"/>
        </w:rPr>
        <w:t>Sustainability is central to Innocent’s brand identity. The company has committed to recyclable packaging, support for farming innovation and long-term carbon reduction goals (Innocent Drinks, 2024c). However, climate change also threatens fruit supply, which makes environmental issues both a branding issue and an operational risk.</w:t>
      </w:r>
    </w:p>
    <w:p w14:paraId="3C543490" w14:textId="77777777" w:rsidR="00380C29" w:rsidRPr="004C3C4C" w:rsidRDefault="008E1F9E">
      <w:pPr>
        <w:spacing w:before="120" w:after="60"/>
        <w:rPr>
          <w:rFonts w:ascii="Arial" w:hAnsi="Arial" w:cs="Arial"/>
        </w:rPr>
      </w:pPr>
      <w:r w:rsidRPr="004C3C4C">
        <w:rPr>
          <w:rFonts w:ascii="Arial" w:hAnsi="Arial" w:cs="Arial"/>
          <w:b/>
        </w:rPr>
        <w:t>Table 1. PESTEL summary</w:t>
      </w:r>
    </w:p>
    <w:tbl>
      <w:tblPr>
        <w:tblStyle w:val="TableGrid"/>
        <w:tblW w:w="0" w:type="auto"/>
        <w:jc w:val="center"/>
        <w:tblLook w:val="04A0" w:firstRow="1" w:lastRow="0" w:firstColumn="1" w:lastColumn="0" w:noHBand="0" w:noVBand="1"/>
      </w:tblPr>
      <w:tblGrid>
        <w:gridCol w:w="3918"/>
        <w:gridCol w:w="5576"/>
      </w:tblGrid>
      <w:tr w:rsidR="004C3C4C" w:rsidRPr="004C3C4C" w14:paraId="37F476BF" w14:textId="77777777">
        <w:trPr>
          <w:jc w:val="center"/>
        </w:trPr>
        <w:tc>
          <w:tcPr>
            <w:tcW w:w="4752" w:type="dxa"/>
            <w:shd w:val="clear" w:color="auto" w:fill="DCE6F1"/>
            <w:vAlign w:val="center"/>
          </w:tcPr>
          <w:p w14:paraId="0571535B" w14:textId="77777777" w:rsidR="00380C29" w:rsidRPr="004C3C4C" w:rsidRDefault="008E1F9E">
            <w:pPr>
              <w:jc w:val="center"/>
              <w:rPr>
                <w:rFonts w:ascii="Arial" w:hAnsi="Arial" w:cs="Arial"/>
              </w:rPr>
            </w:pPr>
            <w:r w:rsidRPr="004C3C4C">
              <w:rPr>
                <w:rFonts w:ascii="Arial" w:hAnsi="Arial" w:cs="Arial"/>
                <w:b/>
              </w:rPr>
              <w:lastRenderedPageBreak/>
              <w:t>Factor</w:t>
            </w:r>
          </w:p>
        </w:tc>
        <w:tc>
          <w:tcPr>
            <w:tcW w:w="4752" w:type="dxa"/>
            <w:shd w:val="clear" w:color="auto" w:fill="DCE6F1"/>
            <w:vAlign w:val="center"/>
          </w:tcPr>
          <w:p w14:paraId="679771C5" w14:textId="77777777" w:rsidR="00380C29" w:rsidRPr="004C3C4C" w:rsidRDefault="008E1F9E">
            <w:pPr>
              <w:jc w:val="center"/>
              <w:rPr>
                <w:rFonts w:ascii="Arial" w:hAnsi="Arial" w:cs="Arial"/>
              </w:rPr>
            </w:pPr>
            <w:r w:rsidRPr="004C3C4C">
              <w:rPr>
                <w:rFonts w:ascii="Arial" w:hAnsi="Arial" w:cs="Arial"/>
                <w:b/>
              </w:rPr>
              <w:t>Strategic implication for Innocent Drinks</w:t>
            </w:r>
          </w:p>
        </w:tc>
      </w:tr>
      <w:tr w:rsidR="004C3C4C" w:rsidRPr="004C3C4C" w14:paraId="637FD59C" w14:textId="77777777">
        <w:trPr>
          <w:jc w:val="center"/>
        </w:trPr>
        <w:tc>
          <w:tcPr>
            <w:tcW w:w="2304" w:type="dxa"/>
            <w:shd w:val="clear" w:color="auto" w:fill="FFFFFF"/>
            <w:vAlign w:val="center"/>
          </w:tcPr>
          <w:p w14:paraId="387C519B" w14:textId="77777777" w:rsidR="00380C29" w:rsidRPr="004C3C4C" w:rsidRDefault="008E1F9E">
            <w:pPr>
              <w:jc w:val="center"/>
              <w:rPr>
                <w:rFonts w:ascii="Arial" w:hAnsi="Arial" w:cs="Arial"/>
              </w:rPr>
            </w:pPr>
            <w:r w:rsidRPr="004C3C4C">
              <w:rPr>
                <w:rFonts w:ascii="Arial" w:hAnsi="Arial" w:cs="Arial"/>
              </w:rPr>
              <w:t>Political / legal</w:t>
            </w:r>
          </w:p>
        </w:tc>
        <w:tc>
          <w:tcPr>
            <w:tcW w:w="7056" w:type="dxa"/>
            <w:shd w:val="clear" w:color="auto" w:fill="FFFFFF"/>
            <w:vAlign w:val="center"/>
          </w:tcPr>
          <w:p w14:paraId="14538772" w14:textId="77777777" w:rsidR="00380C29" w:rsidRPr="004C3C4C" w:rsidRDefault="008E1F9E">
            <w:pPr>
              <w:rPr>
                <w:rFonts w:ascii="Arial" w:hAnsi="Arial" w:cs="Arial"/>
              </w:rPr>
            </w:pPr>
            <w:r w:rsidRPr="004C3C4C">
              <w:rPr>
                <w:rFonts w:ascii="Arial" w:hAnsi="Arial" w:cs="Arial"/>
              </w:rPr>
              <w:t>Supports healthier products but requires careful compliance on claims, safety and sustainability messaging.</w:t>
            </w:r>
          </w:p>
        </w:tc>
      </w:tr>
      <w:tr w:rsidR="004C3C4C" w:rsidRPr="004C3C4C" w14:paraId="45FDB3B8" w14:textId="77777777">
        <w:trPr>
          <w:jc w:val="center"/>
        </w:trPr>
        <w:tc>
          <w:tcPr>
            <w:tcW w:w="2304" w:type="dxa"/>
            <w:shd w:val="clear" w:color="auto" w:fill="FFFFFF"/>
            <w:vAlign w:val="center"/>
          </w:tcPr>
          <w:p w14:paraId="3A32C087" w14:textId="77777777" w:rsidR="00380C29" w:rsidRPr="004C3C4C" w:rsidRDefault="008E1F9E">
            <w:pPr>
              <w:jc w:val="center"/>
              <w:rPr>
                <w:rFonts w:ascii="Arial" w:hAnsi="Arial" w:cs="Arial"/>
              </w:rPr>
            </w:pPr>
            <w:r w:rsidRPr="004C3C4C">
              <w:rPr>
                <w:rFonts w:ascii="Arial" w:hAnsi="Arial" w:cs="Arial"/>
              </w:rPr>
              <w:t>Economic</w:t>
            </w:r>
          </w:p>
        </w:tc>
        <w:tc>
          <w:tcPr>
            <w:tcW w:w="7056" w:type="dxa"/>
            <w:shd w:val="clear" w:color="auto" w:fill="FFFFFF"/>
            <w:vAlign w:val="center"/>
          </w:tcPr>
          <w:p w14:paraId="4810C260" w14:textId="77777777" w:rsidR="00380C29" w:rsidRPr="004C3C4C" w:rsidRDefault="008E1F9E">
            <w:pPr>
              <w:rPr>
                <w:rFonts w:ascii="Arial" w:hAnsi="Arial" w:cs="Arial"/>
              </w:rPr>
            </w:pPr>
            <w:r w:rsidRPr="004C3C4C">
              <w:rPr>
                <w:rFonts w:ascii="Arial" w:hAnsi="Arial" w:cs="Arial"/>
              </w:rPr>
              <w:t>Premium positioning must be defended during inflation and cost pressure.</w:t>
            </w:r>
          </w:p>
        </w:tc>
      </w:tr>
      <w:tr w:rsidR="004C3C4C" w:rsidRPr="004C3C4C" w14:paraId="13C93D11" w14:textId="77777777">
        <w:trPr>
          <w:jc w:val="center"/>
        </w:trPr>
        <w:tc>
          <w:tcPr>
            <w:tcW w:w="2304" w:type="dxa"/>
            <w:shd w:val="clear" w:color="auto" w:fill="FFFFFF"/>
            <w:vAlign w:val="center"/>
          </w:tcPr>
          <w:p w14:paraId="30E46154" w14:textId="77777777" w:rsidR="00380C29" w:rsidRPr="004C3C4C" w:rsidRDefault="008E1F9E">
            <w:pPr>
              <w:jc w:val="center"/>
              <w:rPr>
                <w:rFonts w:ascii="Arial" w:hAnsi="Arial" w:cs="Arial"/>
              </w:rPr>
            </w:pPr>
            <w:r w:rsidRPr="004C3C4C">
              <w:rPr>
                <w:rFonts w:ascii="Arial" w:hAnsi="Arial" w:cs="Arial"/>
              </w:rPr>
              <w:t>Social</w:t>
            </w:r>
          </w:p>
        </w:tc>
        <w:tc>
          <w:tcPr>
            <w:tcW w:w="7056" w:type="dxa"/>
            <w:shd w:val="clear" w:color="auto" w:fill="FFFFFF"/>
            <w:vAlign w:val="center"/>
          </w:tcPr>
          <w:p w14:paraId="447691EE" w14:textId="77777777" w:rsidR="00380C29" w:rsidRPr="004C3C4C" w:rsidRDefault="008E1F9E">
            <w:pPr>
              <w:rPr>
                <w:rFonts w:ascii="Arial" w:hAnsi="Arial" w:cs="Arial"/>
              </w:rPr>
            </w:pPr>
            <w:r w:rsidRPr="004C3C4C">
              <w:rPr>
                <w:rFonts w:ascii="Arial" w:hAnsi="Arial" w:cs="Arial"/>
              </w:rPr>
              <w:t>Health, plant-based and sustainability trends favour the brand.</w:t>
            </w:r>
          </w:p>
        </w:tc>
      </w:tr>
      <w:tr w:rsidR="004C3C4C" w:rsidRPr="004C3C4C" w14:paraId="2BE389F1" w14:textId="77777777">
        <w:trPr>
          <w:jc w:val="center"/>
        </w:trPr>
        <w:tc>
          <w:tcPr>
            <w:tcW w:w="2304" w:type="dxa"/>
            <w:shd w:val="clear" w:color="auto" w:fill="FFFFFF"/>
            <w:vAlign w:val="center"/>
          </w:tcPr>
          <w:p w14:paraId="2A387458" w14:textId="77777777" w:rsidR="00380C29" w:rsidRPr="004C3C4C" w:rsidRDefault="008E1F9E">
            <w:pPr>
              <w:jc w:val="center"/>
              <w:rPr>
                <w:rFonts w:ascii="Arial" w:hAnsi="Arial" w:cs="Arial"/>
              </w:rPr>
            </w:pPr>
            <w:r w:rsidRPr="004C3C4C">
              <w:rPr>
                <w:rFonts w:ascii="Arial" w:hAnsi="Arial" w:cs="Arial"/>
              </w:rPr>
              <w:t>Technological</w:t>
            </w:r>
          </w:p>
        </w:tc>
        <w:tc>
          <w:tcPr>
            <w:tcW w:w="7056" w:type="dxa"/>
            <w:shd w:val="clear" w:color="auto" w:fill="FFFFFF"/>
            <w:vAlign w:val="center"/>
          </w:tcPr>
          <w:p w14:paraId="52D40C2A" w14:textId="77777777" w:rsidR="00380C29" w:rsidRPr="004C3C4C" w:rsidRDefault="008E1F9E">
            <w:pPr>
              <w:rPr>
                <w:rFonts w:ascii="Arial" w:hAnsi="Arial" w:cs="Arial"/>
              </w:rPr>
            </w:pPr>
            <w:r w:rsidRPr="004C3C4C">
              <w:rPr>
                <w:rFonts w:ascii="Arial" w:hAnsi="Arial" w:cs="Arial"/>
              </w:rPr>
              <w:t>Improves product innovation, traceability and consumer engagement.</w:t>
            </w:r>
          </w:p>
        </w:tc>
      </w:tr>
      <w:tr w:rsidR="004C3C4C" w:rsidRPr="004C3C4C" w14:paraId="07424105" w14:textId="77777777">
        <w:trPr>
          <w:jc w:val="center"/>
        </w:trPr>
        <w:tc>
          <w:tcPr>
            <w:tcW w:w="2304" w:type="dxa"/>
            <w:shd w:val="clear" w:color="auto" w:fill="FFFFFF"/>
            <w:vAlign w:val="center"/>
          </w:tcPr>
          <w:p w14:paraId="532F9E7E" w14:textId="77777777" w:rsidR="00380C29" w:rsidRPr="004C3C4C" w:rsidRDefault="008E1F9E">
            <w:pPr>
              <w:jc w:val="center"/>
              <w:rPr>
                <w:rFonts w:ascii="Arial" w:hAnsi="Arial" w:cs="Arial"/>
              </w:rPr>
            </w:pPr>
            <w:r w:rsidRPr="004C3C4C">
              <w:rPr>
                <w:rFonts w:ascii="Arial" w:hAnsi="Arial" w:cs="Arial"/>
              </w:rPr>
              <w:t>Environmental</w:t>
            </w:r>
          </w:p>
        </w:tc>
        <w:tc>
          <w:tcPr>
            <w:tcW w:w="7056" w:type="dxa"/>
            <w:shd w:val="clear" w:color="auto" w:fill="FFFFFF"/>
            <w:vAlign w:val="center"/>
          </w:tcPr>
          <w:p w14:paraId="64E02D99" w14:textId="77777777" w:rsidR="00380C29" w:rsidRPr="004C3C4C" w:rsidRDefault="008E1F9E">
            <w:pPr>
              <w:rPr>
                <w:rFonts w:ascii="Arial" w:hAnsi="Arial" w:cs="Arial"/>
              </w:rPr>
            </w:pPr>
            <w:r w:rsidRPr="004C3C4C">
              <w:rPr>
                <w:rFonts w:ascii="Arial" w:hAnsi="Arial" w:cs="Arial"/>
              </w:rPr>
              <w:t>Creates both reputational opportunity and supply-chain risk.</w:t>
            </w:r>
          </w:p>
        </w:tc>
      </w:tr>
    </w:tbl>
    <w:p w14:paraId="13C508A7" w14:textId="77777777" w:rsidR="00380C29" w:rsidRPr="004C3C4C" w:rsidRDefault="008E1F9E">
      <w:pPr>
        <w:pStyle w:val="Heading2"/>
        <w:rPr>
          <w:rFonts w:ascii="Arial" w:hAnsi="Arial" w:cs="Arial"/>
          <w:color w:val="auto"/>
          <w:sz w:val="22"/>
          <w:szCs w:val="22"/>
        </w:rPr>
      </w:pPr>
      <w:r w:rsidRPr="004C3C4C">
        <w:rPr>
          <w:rFonts w:ascii="Arial" w:hAnsi="Arial" w:cs="Arial"/>
          <w:color w:val="auto"/>
          <w:sz w:val="22"/>
          <w:szCs w:val="22"/>
        </w:rPr>
        <w:t>2.2 Porter’s Five Forces</w:t>
      </w:r>
    </w:p>
    <w:p w14:paraId="08E9AC1D" w14:textId="77777777" w:rsidR="00380C29" w:rsidRPr="004C3C4C" w:rsidRDefault="008E1F9E">
      <w:pPr>
        <w:spacing w:after="140"/>
        <w:jc w:val="both"/>
        <w:rPr>
          <w:rFonts w:ascii="Arial" w:hAnsi="Arial" w:cs="Arial"/>
        </w:rPr>
      </w:pPr>
      <w:r w:rsidRPr="004C3C4C">
        <w:rPr>
          <w:rFonts w:ascii="Arial" w:hAnsi="Arial" w:cs="Arial"/>
        </w:rPr>
        <w:t>Porter’s Five Forces framework is useful for understanding the competitive structure of the industry (Porter, 1980).</w:t>
      </w:r>
    </w:p>
    <w:p w14:paraId="077C85EB" w14:textId="77777777" w:rsidR="00380C29" w:rsidRPr="004C3C4C" w:rsidRDefault="008E1F9E">
      <w:pPr>
        <w:spacing w:after="140"/>
        <w:jc w:val="both"/>
        <w:rPr>
          <w:rFonts w:ascii="Arial" w:hAnsi="Arial" w:cs="Arial"/>
        </w:rPr>
      </w:pPr>
      <w:r w:rsidRPr="004C3C4C">
        <w:rPr>
          <w:rFonts w:ascii="Arial" w:hAnsi="Arial" w:cs="Arial"/>
          <w:b/>
        </w:rPr>
        <w:t xml:space="preserve">Competitive rivalry is high. </w:t>
      </w:r>
      <w:r w:rsidRPr="004C3C4C">
        <w:rPr>
          <w:rFonts w:ascii="Arial" w:hAnsi="Arial" w:cs="Arial"/>
        </w:rPr>
        <w:t>Innocent competes with global beverage firms, retailer own-label products and specialist health brands. This increases pressure on shelf space, pricing and innovation.</w:t>
      </w:r>
    </w:p>
    <w:p w14:paraId="4F2A3062" w14:textId="77777777" w:rsidR="00380C29" w:rsidRPr="004C3C4C" w:rsidRDefault="008E1F9E">
      <w:pPr>
        <w:spacing w:after="140"/>
        <w:jc w:val="both"/>
        <w:rPr>
          <w:rFonts w:ascii="Arial" w:hAnsi="Arial" w:cs="Arial"/>
        </w:rPr>
      </w:pPr>
      <w:r w:rsidRPr="004C3C4C">
        <w:rPr>
          <w:rFonts w:ascii="Arial" w:hAnsi="Arial" w:cs="Arial"/>
          <w:b/>
        </w:rPr>
        <w:t xml:space="preserve">Threat of new entrants is moderate. </w:t>
      </w:r>
      <w:r w:rsidRPr="004C3C4C">
        <w:rPr>
          <w:rFonts w:ascii="Arial" w:hAnsi="Arial" w:cs="Arial"/>
        </w:rPr>
        <w:t>While building a large-scale trusted brand is difficult, smaller challenger brands can still enter the market through niche positioning and digital channels.</w:t>
      </w:r>
    </w:p>
    <w:p w14:paraId="208EF94B" w14:textId="77777777" w:rsidR="00380C29" w:rsidRPr="004C3C4C" w:rsidRDefault="008E1F9E">
      <w:pPr>
        <w:spacing w:after="140"/>
        <w:jc w:val="both"/>
        <w:rPr>
          <w:rFonts w:ascii="Arial" w:hAnsi="Arial" w:cs="Arial"/>
        </w:rPr>
      </w:pPr>
      <w:r w:rsidRPr="004C3C4C">
        <w:rPr>
          <w:rFonts w:ascii="Arial" w:hAnsi="Arial" w:cs="Arial"/>
          <w:b/>
        </w:rPr>
        <w:t xml:space="preserve">Supplier power is moderate to high. </w:t>
      </w:r>
      <w:r w:rsidRPr="004C3C4C">
        <w:rPr>
          <w:rFonts w:ascii="Arial" w:hAnsi="Arial" w:cs="Arial"/>
        </w:rPr>
        <w:t>Innocent depends on agricultural ingredients such as fruit and plant-based inputs. Supply disruptions and climate risks can affect availability and cost.</w:t>
      </w:r>
    </w:p>
    <w:p w14:paraId="27FE75FC" w14:textId="77777777" w:rsidR="00380C29" w:rsidRPr="004C3C4C" w:rsidRDefault="008E1F9E">
      <w:pPr>
        <w:spacing w:after="140"/>
        <w:jc w:val="both"/>
        <w:rPr>
          <w:rFonts w:ascii="Arial" w:hAnsi="Arial" w:cs="Arial"/>
        </w:rPr>
      </w:pPr>
      <w:r w:rsidRPr="004C3C4C">
        <w:rPr>
          <w:rFonts w:ascii="Arial" w:hAnsi="Arial" w:cs="Arial"/>
          <w:b/>
        </w:rPr>
        <w:t xml:space="preserve">Buyer power is high. </w:t>
      </w:r>
      <w:r w:rsidRPr="004C3C4C">
        <w:rPr>
          <w:rFonts w:ascii="Arial" w:hAnsi="Arial" w:cs="Arial"/>
        </w:rPr>
        <w:t>Consumers have many alternatives, and major retailers hold significant power over distribution, pricing and visibility.</w:t>
      </w:r>
    </w:p>
    <w:p w14:paraId="6800FFD0" w14:textId="77777777" w:rsidR="00380C29" w:rsidRPr="004C3C4C" w:rsidRDefault="008E1F9E">
      <w:pPr>
        <w:spacing w:after="140"/>
        <w:jc w:val="both"/>
        <w:rPr>
          <w:rFonts w:ascii="Arial" w:hAnsi="Arial" w:cs="Arial"/>
        </w:rPr>
      </w:pPr>
      <w:r w:rsidRPr="004C3C4C">
        <w:rPr>
          <w:rFonts w:ascii="Arial" w:hAnsi="Arial" w:cs="Arial"/>
          <w:b/>
        </w:rPr>
        <w:t xml:space="preserve">Threat of substitutes is high. </w:t>
      </w:r>
      <w:r w:rsidRPr="004C3C4C">
        <w:rPr>
          <w:rFonts w:ascii="Arial" w:hAnsi="Arial" w:cs="Arial"/>
        </w:rPr>
        <w:t>Customers can switch easily to water, tea, coffee, soft drinks, protein drinks or homemade smoothies.</w:t>
      </w:r>
    </w:p>
    <w:p w14:paraId="0962C268" w14:textId="77777777" w:rsidR="00380C29" w:rsidRPr="004C3C4C" w:rsidRDefault="008E1F9E">
      <w:pPr>
        <w:spacing w:after="140"/>
        <w:jc w:val="both"/>
        <w:rPr>
          <w:rFonts w:ascii="Arial" w:hAnsi="Arial" w:cs="Arial"/>
        </w:rPr>
      </w:pPr>
      <w:r w:rsidRPr="004C3C4C">
        <w:rPr>
          <w:rFonts w:ascii="Arial" w:hAnsi="Arial" w:cs="Arial"/>
        </w:rPr>
        <w:t>Overall, the Five Forces analysis suggests that Innocent must compete through differentiation rather than cost leadership.</w:t>
      </w:r>
    </w:p>
    <w:p w14:paraId="2CC8BC37" w14:textId="77777777" w:rsidR="00380C29" w:rsidRPr="004C3C4C" w:rsidRDefault="008E1F9E">
      <w:pPr>
        <w:pStyle w:val="Heading2"/>
        <w:rPr>
          <w:rFonts w:ascii="Arial" w:hAnsi="Arial" w:cs="Arial"/>
          <w:color w:val="auto"/>
          <w:sz w:val="22"/>
          <w:szCs w:val="22"/>
        </w:rPr>
      </w:pPr>
      <w:r w:rsidRPr="004C3C4C">
        <w:rPr>
          <w:rFonts w:ascii="Arial" w:hAnsi="Arial" w:cs="Arial"/>
          <w:color w:val="auto"/>
          <w:sz w:val="22"/>
          <w:szCs w:val="22"/>
        </w:rPr>
        <w:t>2.3 SWOT Analysis</w:t>
      </w:r>
    </w:p>
    <w:p w14:paraId="2BE958CE" w14:textId="77777777" w:rsidR="00380C29" w:rsidRPr="004C3C4C" w:rsidRDefault="008E1F9E">
      <w:pPr>
        <w:spacing w:after="140"/>
        <w:jc w:val="both"/>
        <w:rPr>
          <w:rFonts w:ascii="Arial" w:hAnsi="Arial" w:cs="Arial"/>
        </w:rPr>
      </w:pPr>
      <w:r w:rsidRPr="004C3C4C">
        <w:rPr>
          <w:rFonts w:ascii="Arial" w:hAnsi="Arial" w:cs="Arial"/>
        </w:rPr>
        <w:t>A SWOT analysis summarises Innocent’s main internal strengths and weaknesses alongside external opportunities and threats.</w:t>
      </w:r>
    </w:p>
    <w:p w14:paraId="3200B3F9" w14:textId="77777777" w:rsidR="00380C29" w:rsidRPr="004C3C4C" w:rsidRDefault="008E1F9E">
      <w:pPr>
        <w:spacing w:before="120" w:after="60"/>
        <w:rPr>
          <w:rFonts w:ascii="Arial" w:hAnsi="Arial" w:cs="Arial"/>
        </w:rPr>
      </w:pPr>
      <w:r w:rsidRPr="004C3C4C">
        <w:rPr>
          <w:rFonts w:ascii="Arial" w:hAnsi="Arial" w:cs="Arial"/>
          <w:b/>
        </w:rPr>
        <w:t>Table 2. SWOT analysis</w:t>
      </w:r>
    </w:p>
    <w:tbl>
      <w:tblPr>
        <w:tblStyle w:val="TableGrid"/>
        <w:tblW w:w="0" w:type="auto"/>
        <w:jc w:val="center"/>
        <w:tblLook w:val="04A0" w:firstRow="1" w:lastRow="0" w:firstColumn="1" w:lastColumn="0" w:noHBand="0" w:noVBand="1"/>
      </w:tblPr>
      <w:tblGrid>
        <w:gridCol w:w="4747"/>
        <w:gridCol w:w="4747"/>
      </w:tblGrid>
      <w:tr w:rsidR="004C3C4C" w:rsidRPr="004C3C4C" w14:paraId="25EC9FE7" w14:textId="77777777">
        <w:trPr>
          <w:jc w:val="center"/>
        </w:trPr>
        <w:tc>
          <w:tcPr>
            <w:tcW w:w="4752" w:type="dxa"/>
            <w:shd w:val="clear" w:color="auto" w:fill="DCE6F1"/>
            <w:vAlign w:val="center"/>
          </w:tcPr>
          <w:p w14:paraId="600528D4" w14:textId="77777777" w:rsidR="00380C29" w:rsidRPr="004C3C4C" w:rsidRDefault="008E1F9E">
            <w:pPr>
              <w:rPr>
                <w:rFonts w:ascii="Arial" w:hAnsi="Arial" w:cs="Arial"/>
              </w:rPr>
            </w:pPr>
            <w:r w:rsidRPr="004C3C4C">
              <w:rPr>
                <w:rFonts w:ascii="Arial" w:hAnsi="Arial" w:cs="Arial"/>
                <w:b/>
              </w:rPr>
              <w:t>Strengths</w:t>
            </w:r>
            <w:r w:rsidRPr="004C3C4C">
              <w:rPr>
                <w:rFonts w:ascii="Arial" w:hAnsi="Arial" w:cs="Arial"/>
              </w:rPr>
              <w:br/>
              <w:t>Strong brand recognition, trusted natural positioning, B Corp certification, sustainability credibility and a distinctive tone of voice (Innocent Drinks, 2024b). These factors support premium differentiation.</w:t>
            </w:r>
          </w:p>
        </w:tc>
        <w:tc>
          <w:tcPr>
            <w:tcW w:w="4752" w:type="dxa"/>
            <w:shd w:val="clear" w:color="auto" w:fill="DCE6F1"/>
            <w:vAlign w:val="center"/>
          </w:tcPr>
          <w:p w14:paraId="40FC30E5" w14:textId="77777777" w:rsidR="00380C29" w:rsidRPr="004C3C4C" w:rsidRDefault="008E1F9E">
            <w:pPr>
              <w:rPr>
                <w:rFonts w:ascii="Arial" w:hAnsi="Arial" w:cs="Arial"/>
              </w:rPr>
            </w:pPr>
            <w:r w:rsidRPr="004C3C4C">
              <w:rPr>
                <w:rFonts w:ascii="Arial" w:hAnsi="Arial" w:cs="Arial"/>
                <w:b/>
              </w:rPr>
              <w:t>Weaknesses</w:t>
            </w:r>
            <w:r w:rsidRPr="004C3C4C">
              <w:rPr>
                <w:rFonts w:ascii="Arial" w:hAnsi="Arial" w:cs="Arial"/>
              </w:rPr>
              <w:br/>
              <w:t>Relatively high pricing, dependence on agricultural supply chains and limited room to compromise on ethics or quality without harming brand trust.</w:t>
            </w:r>
          </w:p>
        </w:tc>
      </w:tr>
      <w:tr w:rsidR="004C3C4C" w:rsidRPr="004C3C4C" w14:paraId="6AE2DFF0" w14:textId="77777777">
        <w:trPr>
          <w:jc w:val="center"/>
        </w:trPr>
        <w:tc>
          <w:tcPr>
            <w:tcW w:w="4752" w:type="dxa"/>
            <w:shd w:val="clear" w:color="auto" w:fill="FFFFFF"/>
            <w:vAlign w:val="center"/>
          </w:tcPr>
          <w:p w14:paraId="01BF2B2D" w14:textId="77777777" w:rsidR="00380C29" w:rsidRPr="004C3C4C" w:rsidRDefault="008E1F9E">
            <w:pPr>
              <w:rPr>
                <w:rFonts w:ascii="Arial" w:hAnsi="Arial" w:cs="Arial"/>
              </w:rPr>
            </w:pPr>
            <w:r w:rsidRPr="004C3C4C">
              <w:rPr>
                <w:rFonts w:ascii="Arial" w:hAnsi="Arial" w:cs="Arial"/>
                <w:b/>
              </w:rPr>
              <w:t>Opportunities</w:t>
            </w:r>
            <w:r w:rsidRPr="004C3C4C">
              <w:rPr>
                <w:rFonts w:ascii="Arial" w:hAnsi="Arial" w:cs="Arial"/>
              </w:rPr>
              <w:br/>
              <w:t>Growth in plant-based beverages, the expansion of functional wellbeing drinks, selective international growth and deeper sustainability leadership.</w:t>
            </w:r>
          </w:p>
        </w:tc>
        <w:tc>
          <w:tcPr>
            <w:tcW w:w="4752" w:type="dxa"/>
            <w:shd w:val="clear" w:color="auto" w:fill="FFFFFF"/>
            <w:vAlign w:val="center"/>
          </w:tcPr>
          <w:p w14:paraId="1DE8110D" w14:textId="77777777" w:rsidR="00380C29" w:rsidRPr="004C3C4C" w:rsidRDefault="008E1F9E">
            <w:pPr>
              <w:rPr>
                <w:rFonts w:ascii="Arial" w:hAnsi="Arial" w:cs="Arial"/>
              </w:rPr>
            </w:pPr>
            <w:r w:rsidRPr="004C3C4C">
              <w:rPr>
                <w:rFonts w:ascii="Arial" w:hAnsi="Arial" w:cs="Arial"/>
                <w:b/>
              </w:rPr>
              <w:t>Threats</w:t>
            </w:r>
            <w:r w:rsidRPr="004C3C4C">
              <w:rPr>
                <w:rFonts w:ascii="Arial" w:hAnsi="Arial" w:cs="Arial"/>
              </w:rPr>
              <w:br/>
              <w:t>Private-label imitation, economic pressure, intense competition, climate-related supply risk and rising consumer scepticism about environmental claims.</w:t>
            </w:r>
          </w:p>
        </w:tc>
      </w:tr>
      <w:tr w:rsidR="004C3C4C" w:rsidRPr="004C3C4C" w14:paraId="081AD0B5" w14:textId="77777777">
        <w:trPr>
          <w:jc w:val="center"/>
        </w:trPr>
        <w:tc>
          <w:tcPr>
            <w:tcW w:w="9504" w:type="dxa"/>
            <w:gridSpan w:val="2"/>
            <w:shd w:val="clear" w:color="auto" w:fill="FFFFFF"/>
          </w:tcPr>
          <w:p w14:paraId="1CB5DE38" w14:textId="77777777" w:rsidR="00380C29" w:rsidRPr="004C3C4C" w:rsidRDefault="008E1F9E">
            <w:pPr>
              <w:jc w:val="center"/>
              <w:rPr>
                <w:rFonts w:ascii="Arial" w:hAnsi="Arial" w:cs="Arial"/>
              </w:rPr>
            </w:pPr>
            <w:r w:rsidRPr="004C3C4C">
              <w:rPr>
                <w:rFonts w:ascii="Arial" w:hAnsi="Arial" w:cs="Arial"/>
                <w:i/>
              </w:rPr>
              <w:lastRenderedPageBreak/>
              <w:t>The analysis shows that Innocent’s future success depends on building on its existing strengths rather than moving into unrelated markets or price-based competition.</w:t>
            </w:r>
          </w:p>
        </w:tc>
      </w:tr>
    </w:tbl>
    <w:p w14:paraId="07C55260"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3. Strategic Growth Options and Proposed Strategy</w:t>
      </w:r>
    </w:p>
    <w:p w14:paraId="37F5DD34" w14:textId="77777777" w:rsidR="00380C29" w:rsidRPr="004C3C4C" w:rsidRDefault="008E1F9E">
      <w:pPr>
        <w:spacing w:after="140"/>
        <w:jc w:val="both"/>
        <w:rPr>
          <w:rFonts w:ascii="Arial" w:hAnsi="Arial" w:cs="Arial"/>
        </w:rPr>
      </w:pPr>
      <w:r w:rsidRPr="004C3C4C">
        <w:rPr>
          <w:rFonts w:ascii="Arial" w:hAnsi="Arial" w:cs="Arial"/>
        </w:rPr>
        <w:t>Ansoff’s Matrix identifies four broad growth options: market penetration, product development, market development and diversification (Ansoff, 1957).</w:t>
      </w:r>
    </w:p>
    <w:p w14:paraId="6E33F3CC" w14:textId="77777777" w:rsidR="00380C29" w:rsidRPr="004C3C4C" w:rsidRDefault="008E1F9E">
      <w:pPr>
        <w:spacing w:after="140"/>
        <w:jc w:val="both"/>
        <w:rPr>
          <w:rFonts w:ascii="Arial" w:hAnsi="Arial" w:cs="Arial"/>
        </w:rPr>
      </w:pPr>
      <w:r w:rsidRPr="004C3C4C">
        <w:rPr>
          <w:rFonts w:ascii="Arial" w:hAnsi="Arial" w:cs="Arial"/>
          <w:b/>
        </w:rPr>
        <w:t xml:space="preserve">Market penetration. </w:t>
      </w:r>
      <w:r w:rsidRPr="004C3C4C">
        <w:rPr>
          <w:rFonts w:ascii="Arial" w:hAnsi="Arial" w:cs="Arial"/>
        </w:rPr>
        <w:t>This would involve selling more existing products in current markets. It could be achieved through stronger promotion, broader retail distribution and more visible digital campaigns. Although relatively low risk, it is unlikely to produce major long-term growth in a mature and competitive market.</w:t>
      </w:r>
    </w:p>
    <w:p w14:paraId="5A1CC621" w14:textId="77777777" w:rsidR="00380C29" w:rsidRPr="004C3C4C" w:rsidRDefault="008E1F9E">
      <w:pPr>
        <w:spacing w:after="140"/>
        <w:jc w:val="both"/>
        <w:rPr>
          <w:rFonts w:ascii="Arial" w:hAnsi="Arial" w:cs="Arial"/>
        </w:rPr>
      </w:pPr>
      <w:r w:rsidRPr="004C3C4C">
        <w:rPr>
          <w:rFonts w:ascii="Arial" w:hAnsi="Arial" w:cs="Arial"/>
          <w:b/>
        </w:rPr>
        <w:t xml:space="preserve">Product development. </w:t>
      </w:r>
      <w:r w:rsidRPr="004C3C4C">
        <w:rPr>
          <w:rFonts w:ascii="Arial" w:hAnsi="Arial" w:cs="Arial"/>
        </w:rPr>
        <w:t>This is more attractive. Innocent already has strong credibility in health-oriented beverages, which gives it permission to expand into functional wellbeing drinks. These could include products positioned around immunity, natural energy, hydration, fibre or plant-based protein. Because Innocent already sells smoothies, juice shots and vitamin-related drinks, such innovation would feel like a logical extension of the existing brand.</w:t>
      </w:r>
    </w:p>
    <w:p w14:paraId="1CE9C4EB" w14:textId="77777777" w:rsidR="00380C29" w:rsidRPr="004C3C4C" w:rsidRDefault="008E1F9E">
      <w:pPr>
        <w:spacing w:after="140"/>
        <w:jc w:val="both"/>
        <w:rPr>
          <w:rFonts w:ascii="Arial" w:hAnsi="Arial" w:cs="Arial"/>
        </w:rPr>
      </w:pPr>
      <w:r w:rsidRPr="004C3C4C">
        <w:rPr>
          <w:rFonts w:ascii="Arial" w:hAnsi="Arial" w:cs="Arial"/>
          <w:b/>
        </w:rPr>
        <w:t xml:space="preserve">Market development. </w:t>
      </w:r>
      <w:r w:rsidRPr="004C3C4C">
        <w:rPr>
          <w:rFonts w:ascii="Arial" w:hAnsi="Arial" w:cs="Arial"/>
        </w:rPr>
        <w:t>This involves moving into new geographic or demographic markets. Rather than pursuing broad expansion, Innocent should focus on selected urban markets where premium, health-led products are already accepted and retailer support is achievable.</w:t>
      </w:r>
    </w:p>
    <w:p w14:paraId="4F34388C" w14:textId="77777777" w:rsidR="00380C29" w:rsidRPr="004C3C4C" w:rsidRDefault="008E1F9E">
      <w:pPr>
        <w:spacing w:after="140"/>
        <w:jc w:val="both"/>
        <w:rPr>
          <w:rFonts w:ascii="Arial" w:hAnsi="Arial" w:cs="Arial"/>
        </w:rPr>
      </w:pPr>
      <w:r w:rsidRPr="004C3C4C">
        <w:rPr>
          <w:rFonts w:ascii="Arial" w:hAnsi="Arial" w:cs="Arial"/>
          <w:b/>
        </w:rPr>
        <w:t xml:space="preserve">Diversification. </w:t>
      </w:r>
      <w:r w:rsidRPr="004C3C4C">
        <w:rPr>
          <w:rFonts w:ascii="Arial" w:hAnsi="Arial" w:cs="Arial"/>
        </w:rPr>
        <w:t>Diversification into categories such as healthy snacks may appear attractive, but it carries greater risk and could dilute brand clarity. At this stage, Innocent’s core advantage remains in beverage-led convenience and health, so diversification is not the preferred route.</w:t>
      </w:r>
    </w:p>
    <w:p w14:paraId="216A3026" w14:textId="77777777" w:rsidR="00380C29" w:rsidRPr="004C3C4C" w:rsidRDefault="008E1F9E">
      <w:pPr>
        <w:pStyle w:val="Heading2"/>
        <w:rPr>
          <w:rFonts w:ascii="Arial" w:hAnsi="Arial" w:cs="Arial"/>
          <w:color w:val="auto"/>
          <w:sz w:val="22"/>
          <w:szCs w:val="22"/>
        </w:rPr>
      </w:pPr>
      <w:r w:rsidRPr="004C3C4C">
        <w:rPr>
          <w:rFonts w:ascii="Arial" w:hAnsi="Arial" w:cs="Arial"/>
          <w:color w:val="auto"/>
          <w:sz w:val="22"/>
          <w:szCs w:val="22"/>
        </w:rPr>
        <w:t>Recommended Strategy</w:t>
      </w:r>
    </w:p>
    <w:p w14:paraId="01C5DAC1" w14:textId="77777777" w:rsidR="00380C29" w:rsidRPr="004C3C4C" w:rsidRDefault="008E1F9E">
      <w:pPr>
        <w:spacing w:after="140"/>
        <w:jc w:val="both"/>
        <w:rPr>
          <w:rFonts w:ascii="Arial" w:hAnsi="Arial" w:cs="Arial"/>
        </w:rPr>
      </w:pPr>
      <w:r w:rsidRPr="004C3C4C">
        <w:rPr>
          <w:rFonts w:ascii="Arial" w:hAnsi="Arial" w:cs="Arial"/>
        </w:rPr>
        <w:t>The most suitable strategy is a combination of product development and market development.</w:t>
      </w:r>
    </w:p>
    <w:p w14:paraId="1E65D364" w14:textId="77777777" w:rsidR="00380C29" w:rsidRPr="004C3C4C" w:rsidRDefault="008E1F9E">
      <w:pPr>
        <w:spacing w:after="140"/>
        <w:jc w:val="both"/>
        <w:rPr>
          <w:rFonts w:ascii="Arial" w:hAnsi="Arial" w:cs="Arial"/>
        </w:rPr>
      </w:pPr>
      <w:r w:rsidRPr="004C3C4C">
        <w:rPr>
          <w:rFonts w:ascii="Arial" w:hAnsi="Arial" w:cs="Arial"/>
        </w:rPr>
        <w:t>This strategy should focus on three priorities. First, Innocent should launch a tightly focused range of functional natural drinks that meet clear consumer needs while remaining consistent with the brand’s simple and transparent identity. Second, it should expand its plant-based portfolio, since demand for plant-based products continues to grow for both health and ethical reasons. Third, it should pursue selective market development in premium, health-conscious urban markets where its brand proposition is m</w:t>
      </w:r>
      <w:r w:rsidRPr="004C3C4C">
        <w:rPr>
          <w:rFonts w:ascii="Arial" w:hAnsi="Arial" w:cs="Arial"/>
        </w:rPr>
        <w:t>ost likely to resonate.</w:t>
      </w:r>
    </w:p>
    <w:p w14:paraId="436B5C6D" w14:textId="77777777" w:rsidR="00380C29" w:rsidRPr="004C3C4C" w:rsidRDefault="008E1F9E">
      <w:pPr>
        <w:spacing w:after="140"/>
        <w:jc w:val="both"/>
        <w:rPr>
          <w:rFonts w:ascii="Arial" w:hAnsi="Arial" w:cs="Arial"/>
        </w:rPr>
      </w:pPr>
      <w:r w:rsidRPr="004C3C4C">
        <w:rPr>
          <w:rFonts w:ascii="Arial" w:hAnsi="Arial" w:cs="Arial"/>
        </w:rPr>
        <w:t>This recommendation aligns with Porter’s concept of differentiation strategy (Porter, 1985). Innocent should not try to be the lowest-cost option. Its advantage lies in trusted ingredients, sustainability commitments and a values-driven brand identity. Growth should therefore come from extending that differentiation into adjacent spaces rather than weakening it through price competition.</w:t>
      </w:r>
    </w:p>
    <w:p w14:paraId="08C59BD1"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4. Strategy Evaluation</w:t>
      </w:r>
    </w:p>
    <w:p w14:paraId="1FF748B7" w14:textId="77777777" w:rsidR="00380C29" w:rsidRPr="004C3C4C" w:rsidRDefault="008E1F9E">
      <w:pPr>
        <w:spacing w:after="140"/>
        <w:jc w:val="both"/>
        <w:rPr>
          <w:rFonts w:ascii="Arial" w:hAnsi="Arial" w:cs="Arial"/>
        </w:rPr>
      </w:pPr>
      <w:r w:rsidRPr="004C3C4C">
        <w:rPr>
          <w:rFonts w:ascii="Arial" w:hAnsi="Arial" w:cs="Arial"/>
        </w:rPr>
        <w:t>The proposed strategy can be evaluated using the Suitability, Feasibility and Acceptability (SFA) framework (Johnson, Scholes and Whittington, 2020).</w:t>
      </w:r>
    </w:p>
    <w:p w14:paraId="6CAD5943" w14:textId="77777777" w:rsidR="00380C29" w:rsidRPr="004C3C4C" w:rsidRDefault="008E1F9E">
      <w:pPr>
        <w:spacing w:after="140"/>
        <w:jc w:val="both"/>
        <w:rPr>
          <w:rFonts w:ascii="Arial" w:hAnsi="Arial" w:cs="Arial"/>
        </w:rPr>
      </w:pPr>
      <w:r w:rsidRPr="004C3C4C">
        <w:rPr>
          <w:rFonts w:ascii="Arial" w:hAnsi="Arial" w:cs="Arial"/>
          <w:b/>
        </w:rPr>
        <w:t xml:space="preserve">Suitability. </w:t>
      </w:r>
      <w:r w:rsidRPr="004C3C4C">
        <w:rPr>
          <w:rFonts w:ascii="Arial" w:hAnsi="Arial" w:cs="Arial"/>
        </w:rPr>
        <w:t xml:space="preserve">The strategy is suitable because it responds directly to the external environment. Consumer demand for healthier, plant-based and functional drinks remains strong, and policy trends continue to favour lower-sugar and wellness-oriented categories. The strategy also fits </w:t>
      </w:r>
      <w:r w:rsidRPr="004C3C4C">
        <w:rPr>
          <w:rFonts w:ascii="Arial" w:hAnsi="Arial" w:cs="Arial"/>
        </w:rPr>
        <w:lastRenderedPageBreak/>
        <w:t>Innocent’s existing brand identity. Functional drinks and plant-based innovation are natural extensions of what consumers already associate with the company.</w:t>
      </w:r>
    </w:p>
    <w:p w14:paraId="514655CD" w14:textId="77777777" w:rsidR="00380C29" w:rsidRPr="004C3C4C" w:rsidRDefault="008E1F9E">
      <w:pPr>
        <w:spacing w:after="140"/>
        <w:jc w:val="both"/>
        <w:rPr>
          <w:rFonts w:ascii="Arial" w:hAnsi="Arial" w:cs="Arial"/>
        </w:rPr>
      </w:pPr>
      <w:r w:rsidRPr="004C3C4C">
        <w:rPr>
          <w:rFonts w:ascii="Arial" w:hAnsi="Arial" w:cs="Arial"/>
          <w:b/>
        </w:rPr>
        <w:t xml:space="preserve">Feasibility. </w:t>
      </w:r>
      <w:r w:rsidRPr="004C3C4C">
        <w:rPr>
          <w:rFonts w:ascii="Arial" w:hAnsi="Arial" w:cs="Arial"/>
        </w:rPr>
        <w:t>The strategy is feasible because Innocent already has significant strengths in brand recognition, product development, retailer relationships and mission-led communication. Its sustainability commitments and supplier initiatives also support longer-term credibility (Innocent Drinks, 2024c). However, feasibility depends on disciplined implementation. Functional products can increase formulation complexity and regulatory scrutiny, so growth should be phased rather than too broad.</w:t>
      </w:r>
    </w:p>
    <w:p w14:paraId="12567A0F" w14:textId="77777777" w:rsidR="00380C29" w:rsidRPr="004C3C4C" w:rsidRDefault="008E1F9E">
      <w:pPr>
        <w:spacing w:after="140"/>
        <w:jc w:val="both"/>
        <w:rPr>
          <w:rFonts w:ascii="Arial" w:hAnsi="Arial" w:cs="Arial"/>
        </w:rPr>
      </w:pPr>
      <w:r w:rsidRPr="004C3C4C">
        <w:rPr>
          <w:rFonts w:ascii="Arial" w:hAnsi="Arial" w:cs="Arial"/>
          <w:b/>
        </w:rPr>
        <w:t xml:space="preserve">Acceptability. </w:t>
      </w:r>
      <w:r w:rsidRPr="004C3C4C">
        <w:rPr>
          <w:rFonts w:ascii="Arial" w:hAnsi="Arial" w:cs="Arial"/>
        </w:rPr>
        <w:t>The strategy is acceptable to most stakeholders. Customers are likely to respond positively to new health-led products if they remain authentic and simple. Retailers should value differentiated innovations that grow category sales. Investors are likely to support a strategy that builds on existing strengths while offering revenue growth. Employees may also be more supportive of a strategy that remains aligned with the company’s ethical identity.</w:t>
      </w:r>
    </w:p>
    <w:p w14:paraId="1A954A19" w14:textId="77777777" w:rsidR="00380C29" w:rsidRPr="004C3C4C" w:rsidRDefault="008E1F9E">
      <w:pPr>
        <w:spacing w:after="140"/>
        <w:jc w:val="both"/>
        <w:rPr>
          <w:rFonts w:ascii="Arial" w:hAnsi="Arial" w:cs="Arial"/>
        </w:rPr>
      </w:pPr>
      <w:r w:rsidRPr="004C3C4C">
        <w:rPr>
          <w:rFonts w:ascii="Arial" w:hAnsi="Arial" w:cs="Arial"/>
          <w:b/>
        </w:rPr>
        <w:t xml:space="preserve">Assumptions. </w:t>
      </w:r>
      <w:r w:rsidRPr="004C3C4C">
        <w:rPr>
          <w:rFonts w:ascii="Arial" w:hAnsi="Arial" w:cs="Arial"/>
        </w:rPr>
        <w:t>This recommendation assumes that demand for plant-based and functional beverages will remain attractive in the medium term, that Innocent can extend into these categories without damaging brand trust, and that selected target markets will offer the right retail infrastructure for premium chilled drinks. These assumptions are reasonable but should be tested through piloting.</w:t>
      </w:r>
    </w:p>
    <w:p w14:paraId="6C4860D8"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5. Stakeholder Analysis</w:t>
      </w:r>
    </w:p>
    <w:p w14:paraId="2FB82E6A" w14:textId="77777777" w:rsidR="00380C29" w:rsidRPr="004C3C4C" w:rsidRDefault="008E1F9E">
      <w:pPr>
        <w:spacing w:after="140"/>
        <w:jc w:val="both"/>
        <w:rPr>
          <w:rFonts w:ascii="Arial" w:hAnsi="Arial" w:cs="Arial"/>
        </w:rPr>
      </w:pPr>
      <w:r w:rsidRPr="004C3C4C">
        <w:rPr>
          <w:rFonts w:ascii="Arial" w:hAnsi="Arial" w:cs="Arial"/>
        </w:rPr>
        <w:t>Stakeholder theory argues that organisations must consider the interests of all groups affected by their decisions, not only shareholders (Freeman, 1984). This is particularly important for Innocent, whose mission-led brand depends heavily on trust and reputation.</w:t>
      </w:r>
    </w:p>
    <w:p w14:paraId="47D95A5F" w14:textId="77777777" w:rsidR="00380C29" w:rsidRPr="004C3C4C" w:rsidRDefault="008E1F9E">
      <w:pPr>
        <w:spacing w:after="140"/>
        <w:jc w:val="both"/>
        <w:rPr>
          <w:rFonts w:ascii="Arial" w:hAnsi="Arial" w:cs="Arial"/>
        </w:rPr>
      </w:pPr>
      <w:r w:rsidRPr="004C3C4C">
        <w:rPr>
          <w:rFonts w:ascii="Arial" w:hAnsi="Arial" w:cs="Arial"/>
        </w:rPr>
        <w:t>The company’s main stakeholders are customers, employees, suppliers, retail partners, investors, regulators and sustainability-focused groups. Customers are essential because their trust supports Innocent’s premium positioning. Employees are important because internal culture contributes to external brand strength. Suppliers and farmers matter because Innocent relies on agricultural ingredients and publicly commits to responsible sourcing (Innocent Drinks, 2024g). Retailers are powerful because they control</w:t>
      </w:r>
      <w:r w:rsidRPr="004C3C4C">
        <w:rPr>
          <w:rFonts w:ascii="Arial" w:hAnsi="Arial" w:cs="Arial"/>
        </w:rPr>
        <w:t xml:space="preserve"> shelf space and product visibility. Investors expect financial returns as well as manageable strategic risk. Regulators and certification bodies matter because Innocent operates in a regulated category and benefits from external validation such as B Corp certification.</w:t>
      </w:r>
    </w:p>
    <w:p w14:paraId="786CBB63" w14:textId="77777777" w:rsidR="00380C29" w:rsidRPr="004C3C4C" w:rsidRDefault="008E1F9E">
      <w:pPr>
        <w:spacing w:after="140"/>
        <w:jc w:val="both"/>
        <w:rPr>
          <w:rFonts w:ascii="Arial" w:hAnsi="Arial" w:cs="Arial"/>
        </w:rPr>
      </w:pPr>
      <w:r w:rsidRPr="004C3C4C">
        <w:rPr>
          <w:rFonts w:ascii="Arial" w:hAnsi="Arial" w:cs="Arial"/>
        </w:rPr>
        <w:t>Using Mendelow’s Matrix, investors, senior managers and major retail partners sit in the high power/high interest group and should be managed closely. Regulators have high power but lower day-to-day interest, so they should be kept satisfied through compliance. Customers, employees and environmental groups are high-interest stakeholders and should be kept informed and engaged. The wider public has lower direct influence but should still be monitored because consumer brand reputation can change quickly.</w:t>
      </w:r>
    </w:p>
    <w:p w14:paraId="7E5DACBD" w14:textId="77777777" w:rsidR="00380C29" w:rsidRPr="004C3C4C" w:rsidRDefault="008E1F9E">
      <w:pPr>
        <w:spacing w:after="140"/>
        <w:jc w:val="both"/>
        <w:rPr>
          <w:rFonts w:ascii="Arial" w:hAnsi="Arial" w:cs="Arial"/>
        </w:rPr>
      </w:pPr>
      <w:r w:rsidRPr="004C3C4C">
        <w:rPr>
          <w:rFonts w:ascii="Arial" w:hAnsi="Arial" w:cs="Arial"/>
        </w:rPr>
        <w:t>A brief stakeholder engagement plan should support the strategy. Customers should receive clear communication about benefits, ingredients and sustainability. Employees should be involved through internal communication and innovation briefings. Suppliers should be engaged through long-term partnership and resilience planning. Retailers should receive strong launch support and category evidence. Investors should receive regular updates that combine financial and sustainability performance.</w:t>
      </w:r>
    </w:p>
    <w:p w14:paraId="6AB8BE87" w14:textId="77777777" w:rsidR="00380C29" w:rsidRPr="004C3C4C" w:rsidRDefault="008E1F9E">
      <w:pPr>
        <w:spacing w:before="120" w:after="60"/>
        <w:rPr>
          <w:rFonts w:ascii="Arial" w:hAnsi="Arial" w:cs="Arial"/>
        </w:rPr>
      </w:pPr>
      <w:r w:rsidRPr="004C3C4C">
        <w:rPr>
          <w:rFonts w:ascii="Arial" w:hAnsi="Arial" w:cs="Arial"/>
          <w:b/>
        </w:rPr>
        <w:lastRenderedPageBreak/>
        <w:t>Table 3. Stakeholder engagement overview</w:t>
      </w:r>
    </w:p>
    <w:tbl>
      <w:tblPr>
        <w:tblStyle w:val="TableGrid"/>
        <w:tblW w:w="0" w:type="auto"/>
        <w:jc w:val="center"/>
        <w:tblLook w:val="04A0" w:firstRow="1" w:lastRow="0" w:firstColumn="1" w:lastColumn="0" w:noHBand="0" w:noVBand="1"/>
      </w:tblPr>
      <w:tblGrid>
        <w:gridCol w:w="3165"/>
        <w:gridCol w:w="3164"/>
        <w:gridCol w:w="3165"/>
      </w:tblGrid>
      <w:tr w:rsidR="004C3C4C" w:rsidRPr="004C3C4C" w14:paraId="7CE505E2" w14:textId="77777777">
        <w:trPr>
          <w:jc w:val="center"/>
        </w:trPr>
        <w:tc>
          <w:tcPr>
            <w:tcW w:w="3168" w:type="dxa"/>
            <w:shd w:val="clear" w:color="auto" w:fill="DCE6F1"/>
          </w:tcPr>
          <w:p w14:paraId="4C722239" w14:textId="77777777" w:rsidR="00380C29" w:rsidRPr="004C3C4C" w:rsidRDefault="008E1F9E">
            <w:pPr>
              <w:jc w:val="center"/>
              <w:rPr>
                <w:rFonts w:ascii="Arial" w:hAnsi="Arial" w:cs="Arial"/>
              </w:rPr>
            </w:pPr>
            <w:r w:rsidRPr="004C3C4C">
              <w:rPr>
                <w:rFonts w:ascii="Arial" w:hAnsi="Arial" w:cs="Arial"/>
                <w:b/>
              </w:rPr>
              <w:t>Stakeholder group</w:t>
            </w:r>
          </w:p>
        </w:tc>
        <w:tc>
          <w:tcPr>
            <w:tcW w:w="3168" w:type="dxa"/>
            <w:shd w:val="clear" w:color="auto" w:fill="DCE6F1"/>
          </w:tcPr>
          <w:p w14:paraId="5197D519" w14:textId="77777777" w:rsidR="00380C29" w:rsidRPr="004C3C4C" w:rsidRDefault="008E1F9E">
            <w:pPr>
              <w:jc w:val="center"/>
              <w:rPr>
                <w:rFonts w:ascii="Arial" w:hAnsi="Arial" w:cs="Arial"/>
              </w:rPr>
            </w:pPr>
            <w:r w:rsidRPr="004C3C4C">
              <w:rPr>
                <w:rFonts w:ascii="Arial" w:hAnsi="Arial" w:cs="Arial"/>
                <w:b/>
              </w:rPr>
              <w:t>Position in Mendelow’s Matrix</w:t>
            </w:r>
          </w:p>
        </w:tc>
        <w:tc>
          <w:tcPr>
            <w:tcW w:w="3168" w:type="dxa"/>
            <w:shd w:val="clear" w:color="auto" w:fill="DCE6F1"/>
          </w:tcPr>
          <w:p w14:paraId="48D70B9B" w14:textId="77777777" w:rsidR="00380C29" w:rsidRPr="004C3C4C" w:rsidRDefault="008E1F9E">
            <w:pPr>
              <w:jc w:val="center"/>
              <w:rPr>
                <w:rFonts w:ascii="Arial" w:hAnsi="Arial" w:cs="Arial"/>
              </w:rPr>
            </w:pPr>
            <w:r w:rsidRPr="004C3C4C">
              <w:rPr>
                <w:rFonts w:ascii="Arial" w:hAnsi="Arial" w:cs="Arial"/>
                <w:b/>
              </w:rPr>
              <w:t>Engagement approach</w:t>
            </w:r>
          </w:p>
        </w:tc>
      </w:tr>
      <w:tr w:rsidR="004C3C4C" w:rsidRPr="004C3C4C" w14:paraId="22E19C2C" w14:textId="77777777">
        <w:trPr>
          <w:jc w:val="center"/>
        </w:trPr>
        <w:tc>
          <w:tcPr>
            <w:tcW w:w="3168" w:type="dxa"/>
            <w:shd w:val="clear" w:color="auto" w:fill="FFFFFF"/>
            <w:vAlign w:val="center"/>
          </w:tcPr>
          <w:p w14:paraId="791FA15D" w14:textId="77777777" w:rsidR="00380C29" w:rsidRPr="004C3C4C" w:rsidRDefault="008E1F9E">
            <w:pPr>
              <w:rPr>
                <w:rFonts w:ascii="Arial" w:hAnsi="Arial" w:cs="Arial"/>
              </w:rPr>
            </w:pPr>
            <w:r w:rsidRPr="004C3C4C">
              <w:rPr>
                <w:rFonts w:ascii="Arial" w:hAnsi="Arial" w:cs="Arial"/>
              </w:rPr>
              <w:t>Investors / senior managers / key retailers</w:t>
            </w:r>
          </w:p>
        </w:tc>
        <w:tc>
          <w:tcPr>
            <w:tcW w:w="3168" w:type="dxa"/>
            <w:shd w:val="clear" w:color="auto" w:fill="FFFFFF"/>
            <w:vAlign w:val="center"/>
          </w:tcPr>
          <w:p w14:paraId="4D7E6D23" w14:textId="77777777" w:rsidR="00380C29" w:rsidRPr="004C3C4C" w:rsidRDefault="008E1F9E">
            <w:pPr>
              <w:jc w:val="center"/>
              <w:rPr>
                <w:rFonts w:ascii="Arial" w:hAnsi="Arial" w:cs="Arial"/>
              </w:rPr>
            </w:pPr>
            <w:r w:rsidRPr="004C3C4C">
              <w:rPr>
                <w:rFonts w:ascii="Arial" w:hAnsi="Arial" w:cs="Arial"/>
              </w:rPr>
              <w:t>High power / high interest</w:t>
            </w:r>
          </w:p>
        </w:tc>
        <w:tc>
          <w:tcPr>
            <w:tcW w:w="3168" w:type="dxa"/>
            <w:shd w:val="clear" w:color="auto" w:fill="FFFFFF"/>
            <w:vAlign w:val="center"/>
          </w:tcPr>
          <w:p w14:paraId="062DB767" w14:textId="77777777" w:rsidR="00380C29" w:rsidRPr="004C3C4C" w:rsidRDefault="008E1F9E">
            <w:pPr>
              <w:rPr>
                <w:rFonts w:ascii="Arial" w:hAnsi="Arial" w:cs="Arial"/>
              </w:rPr>
            </w:pPr>
            <w:r w:rsidRPr="004C3C4C">
              <w:rPr>
                <w:rFonts w:ascii="Arial" w:hAnsi="Arial" w:cs="Arial"/>
              </w:rPr>
              <w:t>Manage closely through regular performance updates and strategic reviews.</w:t>
            </w:r>
          </w:p>
        </w:tc>
      </w:tr>
      <w:tr w:rsidR="004C3C4C" w:rsidRPr="004C3C4C" w14:paraId="6FBA002A" w14:textId="77777777">
        <w:trPr>
          <w:jc w:val="center"/>
        </w:trPr>
        <w:tc>
          <w:tcPr>
            <w:tcW w:w="3168" w:type="dxa"/>
            <w:shd w:val="clear" w:color="auto" w:fill="FFFFFF"/>
            <w:vAlign w:val="center"/>
          </w:tcPr>
          <w:p w14:paraId="44310ED6" w14:textId="77777777" w:rsidR="00380C29" w:rsidRPr="004C3C4C" w:rsidRDefault="008E1F9E">
            <w:pPr>
              <w:rPr>
                <w:rFonts w:ascii="Arial" w:hAnsi="Arial" w:cs="Arial"/>
              </w:rPr>
            </w:pPr>
            <w:r w:rsidRPr="004C3C4C">
              <w:rPr>
                <w:rFonts w:ascii="Arial" w:hAnsi="Arial" w:cs="Arial"/>
              </w:rPr>
              <w:t>Regulators</w:t>
            </w:r>
          </w:p>
        </w:tc>
        <w:tc>
          <w:tcPr>
            <w:tcW w:w="3168" w:type="dxa"/>
            <w:shd w:val="clear" w:color="auto" w:fill="FFFFFF"/>
            <w:vAlign w:val="center"/>
          </w:tcPr>
          <w:p w14:paraId="29131331" w14:textId="77777777" w:rsidR="00380C29" w:rsidRPr="004C3C4C" w:rsidRDefault="008E1F9E">
            <w:pPr>
              <w:jc w:val="center"/>
              <w:rPr>
                <w:rFonts w:ascii="Arial" w:hAnsi="Arial" w:cs="Arial"/>
              </w:rPr>
            </w:pPr>
            <w:r w:rsidRPr="004C3C4C">
              <w:rPr>
                <w:rFonts w:ascii="Arial" w:hAnsi="Arial" w:cs="Arial"/>
              </w:rPr>
              <w:t>High power / lower interest</w:t>
            </w:r>
          </w:p>
        </w:tc>
        <w:tc>
          <w:tcPr>
            <w:tcW w:w="3168" w:type="dxa"/>
            <w:shd w:val="clear" w:color="auto" w:fill="FFFFFF"/>
            <w:vAlign w:val="center"/>
          </w:tcPr>
          <w:p w14:paraId="5BD40468" w14:textId="77777777" w:rsidR="00380C29" w:rsidRPr="004C3C4C" w:rsidRDefault="008E1F9E">
            <w:pPr>
              <w:rPr>
                <w:rFonts w:ascii="Arial" w:hAnsi="Arial" w:cs="Arial"/>
              </w:rPr>
            </w:pPr>
            <w:r w:rsidRPr="004C3C4C">
              <w:rPr>
                <w:rFonts w:ascii="Arial" w:hAnsi="Arial" w:cs="Arial"/>
              </w:rPr>
              <w:t>Keep satisfied through compliance, transparent reporting and prompt issue management.</w:t>
            </w:r>
          </w:p>
        </w:tc>
      </w:tr>
      <w:tr w:rsidR="004C3C4C" w:rsidRPr="004C3C4C" w14:paraId="18B30DFD" w14:textId="77777777">
        <w:trPr>
          <w:jc w:val="center"/>
        </w:trPr>
        <w:tc>
          <w:tcPr>
            <w:tcW w:w="3168" w:type="dxa"/>
            <w:shd w:val="clear" w:color="auto" w:fill="FFFFFF"/>
            <w:vAlign w:val="center"/>
          </w:tcPr>
          <w:p w14:paraId="4DA54B29" w14:textId="77777777" w:rsidR="00380C29" w:rsidRPr="004C3C4C" w:rsidRDefault="008E1F9E">
            <w:pPr>
              <w:rPr>
                <w:rFonts w:ascii="Arial" w:hAnsi="Arial" w:cs="Arial"/>
              </w:rPr>
            </w:pPr>
            <w:r w:rsidRPr="004C3C4C">
              <w:rPr>
                <w:rFonts w:ascii="Arial" w:hAnsi="Arial" w:cs="Arial"/>
              </w:rPr>
              <w:t>Customers / employees / sustainability groups</w:t>
            </w:r>
          </w:p>
        </w:tc>
        <w:tc>
          <w:tcPr>
            <w:tcW w:w="3168" w:type="dxa"/>
            <w:shd w:val="clear" w:color="auto" w:fill="FFFFFF"/>
            <w:vAlign w:val="center"/>
          </w:tcPr>
          <w:p w14:paraId="59414021" w14:textId="77777777" w:rsidR="00380C29" w:rsidRPr="004C3C4C" w:rsidRDefault="008E1F9E">
            <w:pPr>
              <w:jc w:val="center"/>
              <w:rPr>
                <w:rFonts w:ascii="Arial" w:hAnsi="Arial" w:cs="Arial"/>
              </w:rPr>
            </w:pPr>
            <w:r w:rsidRPr="004C3C4C">
              <w:rPr>
                <w:rFonts w:ascii="Arial" w:hAnsi="Arial" w:cs="Arial"/>
              </w:rPr>
              <w:t>Lower power / high interest</w:t>
            </w:r>
          </w:p>
        </w:tc>
        <w:tc>
          <w:tcPr>
            <w:tcW w:w="3168" w:type="dxa"/>
            <w:shd w:val="clear" w:color="auto" w:fill="FFFFFF"/>
            <w:vAlign w:val="center"/>
          </w:tcPr>
          <w:p w14:paraId="374622D5" w14:textId="77777777" w:rsidR="00380C29" w:rsidRPr="004C3C4C" w:rsidRDefault="008E1F9E">
            <w:pPr>
              <w:rPr>
                <w:rFonts w:ascii="Arial" w:hAnsi="Arial" w:cs="Arial"/>
              </w:rPr>
            </w:pPr>
            <w:r w:rsidRPr="004C3C4C">
              <w:rPr>
                <w:rFonts w:ascii="Arial" w:hAnsi="Arial" w:cs="Arial"/>
              </w:rPr>
              <w:t>Keep informed and engaged through clear communication and participation.</w:t>
            </w:r>
          </w:p>
        </w:tc>
      </w:tr>
      <w:tr w:rsidR="004C3C4C" w:rsidRPr="004C3C4C" w14:paraId="2A9ED48D" w14:textId="77777777">
        <w:trPr>
          <w:jc w:val="center"/>
        </w:trPr>
        <w:tc>
          <w:tcPr>
            <w:tcW w:w="3168" w:type="dxa"/>
            <w:shd w:val="clear" w:color="auto" w:fill="FFFFFF"/>
            <w:vAlign w:val="center"/>
          </w:tcPr>
          <w:p w14:paraId="282C56C3" w14:textId="77777777" w:rsidR="00380C29" w:rsidRPr="004C3C4C" w:rsidRDefault="008E1F9E">
            <w:pPr>
              <w:rPr>
                <w:rFonts w:ascii="Arial" w:hAnsi="Arial" w:cs="Arial"/>
              </w:rPr>
            </w:pPr>
            <w:r w:rsidRPr="004C3C4C">
              <w:rPr>
                <w:rFonts w:ascii="Arial" w:hAnsi="Arial" w:cs="Arial"/>
              </w:rPr>
              <w:t>Wider public</w:t>
            </w:r>
          </w:p>
        </w:tc>
        <w:tc>
          <w:tcPr>
            <w:tcW w:w="3168" w:type="dxa"/>
            <w:shd w:val="clear" w:color="auto" w:fill="FFFFFF"/>
            <w:vAlign w:val="center"/>
          </w:tcPr>
          <w:p w14:paraId="480944FD" w14:textId="77777777" w:rsidR="00380C29" w:rsidRPr="004C3C4C" w:rsidRDefault="008E1F9E">
            <w:pPr>
              <w:jc w:val="center"/>
              <w:rPr>
                <w:rFonts w:ascii="Arial" w:hAnsi="Arial" w:cs="Arial"/>
              </w:rPr>
            </w:pPr>
            <w:r w:rsidRPr="004C3C4C">
              <w:rPr>
                <w:rFonts w:ascii="Arial" w:hAnsi="Arial" w:cs="Arial"/>
              </w:rPr>
              <w:t>Lower power / lower interest</w:t>
            </w:r>
          </w:p>
        </w:tc>
        <w:tc>
          <w:tcPr>
            <w:tcW w:w="3168" w:type="dxa"/>
            <w:shd w:val="clear" w:color="auto" w:fill="FFFFFF"/>
            <w:vAlign w:val="center"/>
          </w:tcPr>
          <w:p w14:paraId="26A8890F" w14:textId="77777777" w:rsidR="00380C29" w:rsidRPr="004C3C4C" w:rsidRDefault="008E1F9E">
            <w:pPr>
              <w:rPr>
                <w:rFonts w:ascii="Arial" w:hAnsi="Arial" w:cs="Arial"/>
              </w:rPr>
            </w:pPr>
            <w:r w:rsidRPr="004C3C4C">
              <w:rPr>
                <w:rFonts w:ascii="Arial" w:hAnsi="Arial" w:cs="Arial"/>
              </w:rPr>
              <w:t>Monitor reputation and respond quickly to emerging concerns.</w:t>
            </w:r>
          </w:p>
        </w:tc>
      </w:tr>
    </w:tbl>
    <w:p w14:paraId="2A4CDF5E"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6. Implementation and Monitoring</w:t>
      </w:r>
    </w:p>
    <w:p w14:paraId="6221F130" w14:textId="77777777" w:rsidR="00380C29" w:rsidRPr="004C3C4C" w:rsidRDefault="008E1F9E">
      <w:pPr>
        <w:spacing w:after="140"/>
        <w:jc w:val="both"/>
        <w:rPr>
          <w:rFonts w:ascii="Arial" w:hAnsi="Arial" w:cs="Arial"/>
        </w:rPr>
      </w:pPr>
      <w:r w:rsidRPr="004C3C4C">
        <w:rPr>
          <w:rFonts w:ascii="Arial" w:hAnsi="Arial" w:cs="Arial"/>
        </w:rPr>
        <w:t>The proposed strategy should be implemented through a phased approach over approximately 24–36 months.</w:t>
      </w:r>
    </w:p>
    <w:p w14:paraId="4B2EA8AF" w14:textId="77777777" w:rsidR="00380C29" w:rsidRPr="004C3C4C" w:rsidRDefault="008E1F9E">
      <w:pPr>
        <w:spacing w:after="140"/>
        <w:jc w:val="both"/>
        <w:rPr>
          <w:rFonts w:ascii="Arial" w:hAnsi="Arial" w:cs="Arial"/>
        </w:rPr>
      </w:pPr>
      <w:r w:rsidRPr="004C3C4C">
        <w:rPr>
          <w:rFonts w:ascii="Arial" w:hAnsi="Arial" w:cs="Arial"/>
        </w:rPr>
        <w:t>The first objective is to launch a focused functional wellbeing range. The second is to strengthen the plant-based product portfolio. The third is to build presence in a small number of selected new markets. The fourth is to ensure that growth does not weaken sustainability performance.</w:t>
      </w:r>
    </w:p>
    <w:p w14:paraId="580A3124" w14:textId="77777777" w:rsidR="00380C29" w:rsidRPr="004C3C4C" w:rsidRDefault="008E1F9E">
      <w:pPr>
        <w:spacing w:after="140"/>
        <w:jc w:val="both"/>
        <w:rPr>
          <w:rFonts w:ascii="Arial" w:hAnsi="Arial" w:cs="Arial"/>
        </w:rPr>
      </w:pPr>
      <w:r w:rsidRPr="004C3C4C">
        <w:rPr>
          <w:rFonts w:ascii="Arial" w:hAnsi="Arial" w:cs="Arial"/>
        </w:rPr>
        <w:t>During the first phase, Innocent should carry out customer research, concept testing and regulatory review. It should identify the most attractive functional needs, such as immunity, hydration or natural energy, and select a limited number of target markets based on demand, channel fit and retail access.</w:t>
      </w:r>
    </w:p>
    <w:p w14:paraId="1A0C1DAE" w14:textId="77777777" w:rsidR="00380C29" w:rsidRPr="004C3C4C" w:rsidRDefault="008E1F9E">
      <w:pPr>
        <w:spacing w:after="140"/>
        <w:jc w:val="both"/>
        <w:rPr>
          <w:rFonts w:ascii="Arial" w:hAnsi="Arial" w:cs="Arial"/>
        </w:rPr>
      </w:pPr>
      <w:r w:rsidRPr="004C3C4C">
        <w:rPr>
          <w:rFonts w:ascii="Arial" w:hAnsi="Arial" w:cs="Arial"/>
        </w:rPr>
        <w:t>The second phase should involve pilot launches with key retailers. Innocent should test product performance, repeat purchase, pricing and communication. Controlled market entry should also begin in one priority expansion market.</w:t>
      </w:r>
    </w:p>
    <w:p w14:paraId="5DDB4964" w14:textId="77777777" w:rsidR="00380C29" w:rsidRPr="004C3C4C" w:rsidRDefault="008E1F9E">
      <w:pPr>
        <w:spacing w:after="140"/>
        <w:jc w:val="both"/>
        <w:rPr>
          <w:rFonts w:ascii="Arial" w:hAnsi="Arial" w:cs="Arial"/>
        </w:rPr>
      </w:pPr>
      <w:r w:rsidRPr="004C3C4C">
        <w:rPr>
          <w:rFonts w:ascii="Arial" w:hAnsi="Arial" w:cs="Arial"/>
        </w:rPr>
        <w:t>The third phase should focus on scaling successful products, refining supply arrangements and extending distribution where performance targets are achieved.</w:t>
      </w:r>
    </w:p>
    <w:p w14:paraId="409B6F79" w14:textId="77777777" w:rsidR="00380C29" w:rsidRPr="004C3C4C" w:rsidRDefault="008E1F9E">
      <w:pPr>
        <w:spacing w:after="140"/>
        <w:jc w:val="both"/>
        <w:rPr>
          <w:rFonts w:ascii="Arial" w:hAnsi="Arial" w:cs="Arial"/>
        </w:rPr>
      </w:pPr>
      <w:r w:rsidRPr="004C3C4C">
        <w:rPr>
          <w:rFonts w:ascii="Arial" w:hAnsi="Arial" w:cs="Arial"/>
        </w:rPr>
        <w:t>Key performance indicators should include the number of successful launches, sales from new products, repeat purchase, retailer distribution, market share growth, customer engagement and sustainability progress. Environmental KPIs should include packaging recyclability, emissions trends and supplier participation in farming support initiatives (Innocent Drinks, 2024c).</w:t>
      </w:r>
    </w:p>
    <w:p w14:paraId="26104F3F" w14:textId="77777777" w:rsidR="00380C29" w:rsidRPr="004C3C4C" w:rsidRDefault="008E1F9E">
      <w:pPr>
        <w:spacing w:after="140"/>
        <w:jc w:val="both"/>
        <w:rPr>
          <w:rFonts w:ascii="Arial" w:hAnsi="Arial" w:cs="Arial"/>
        </w:rPr>
      </w:pPr>
      <w:r w:rsidRPr="004C3C4C">
        <w:rPr>
          <w:rFonts w:ascii="Arial" w:hAnsi="Arial" w:cs="Arial"/>
        </w:rPr>
        <w:t>Major risks include product rejection, operational complexity, authenticity loss and supply instability. These risks can be reduced through small-scale pilots, strong supplier planning and careful phasing.</w:t>
      </w:r>
    </w:p>
    <w:p w14:paraId="5ABCF901" w14:textId="77777777" w:rsidR="00380C29" w:rsidRPr="004C3C4C" w:rsidRDefault="008E1F9E">
      <w:pPr>
        <w:spacing w:before="120" w:after="60"/>
        <w:rPr>
          <w:rFonts w:ascii="Arial" w:hAnsi="Arial" w:cs="Arial"/>
        </w:rPr>
      </w:pPr>
      <w:r w:rsidRPr="004C3C4C">
        <w:rPr>
          <w:rFonts w:ascii="Arial" w:hAnsi="Arial" w:cs="Arial"/>
          <w:b/>
        </w:rPr>
        <w:t>Table 4. Implementation roadmap and KPIs</w:t>
      </w:r>
    </w:p>
    <w:tbl>
      <w:tblPr>
        <w:tblStyle w:val="TableGrid"/>
        <w:tblW w:w="0" w:type="auto"/>
        <w:jc w:val="center"/>
        <w:tblLook w:val="04A0" w:firstRow="1" w:lastRow="0" w:firstColumn="1" w:lastColumn="0" w:noHBand="0" w:noVBand="1"/>
      </w:tblPr>
      <w:tblGrid>
        <w:gridCol w:w="2373"/>
        <w:gridCol w:w="2373"/>
        <w:gridCol w:w="2374"/>
        <w:gridCol w:w="2374"/>
      </w:tblGrid>
      <w:tr w:rsidR="004C3C4C" w:rsidRPr="004C3C4C" w14:paraId="05E8FB19" w14:textId="77777777">
        <w:trPr>
          <w:jc w:val="center"/>
        </w:trPr>
        <w:tc>
          <w:tcPr>
            <w:tcW w:w="2376" w:type="dxa"/>
            <w:shd w:val="clear" w:color="auto" w:fill="DCE6F1"/>
          </w:tcPr>
          <w:p w14:paraId="1EA98264" w14:textId="77777777" w:rsidR="00380C29" w:rsidRPr="004C3C4C" w:rsidRDefault="008E1F9E">
            <w:pPr>
              <w:jc w:val="center"/>
              <w:rPr>
                <w:rFonts w:ascii="Arial" w:hAnsi="Arial" w:cs="Arial"/>
              </w:rPr>
            </w:pPr>
            <w:r w:rsidRPr="004C3C4C">
              <w:rPr>
                <w:rFonts w:ascii="Arial" w:hAnsi="Arial" w:cs="Arial"/>
                <w:b/>
              </w:rPr>
              <w:t>Phase</w:t>
            </w:r>
          </w:p>
        </w:tc>
        <w:tc>
          <w:tcPr>
            <w:tcW w:w="2376" w:type="dxa"/>
            <w:shd w:val="clear" w:color="auto" w:fill="DCE6F1"/>
          </w:tcPr>
          <w:p w14:paraId="67FC06CD" w14:textId="77777777" w:rsidR="00380C29" w:rsidRPr="004C3C4C" w:rsidRDefault="008E1F9E">
            <w:pPr>
              <w:jc w:val="center"/>
              <w:rPr>
                <w:rFonts w:ascii="Arial" w:hAnsi="Arial" w:cs="Arial"/>
              </w:rPr>
            </w:pPr>
            <w:r w:rsidRPr="004C3C4C">
              <w:rPr>
                <w:rFonts w:ascii="Arial" w:hAnsi="Arial" w:cs="Arial"/>
                <w:b/>
              </w:rPr>
              <w:t>Timing</w:t>
            </w:r>
          </w:p>
        </w:tc>
        <w:tc>
          <w:tcPr>
            <w:tcW w:w="2376" w:type="dxa"/>
            <w:shd w:val="clear" w:color="auto" w:fill="DCE6F1"/>
          </w:tcPr>
          <w:p w14:paraId="4A9DC375" w14:textId="77777777" w:rsidR="00380C29" w:rsidRPr="004C3C4C" w:rsidRDefault="008E1F9E">
            <w:pPr>
              <w:jc w:val="center"/>
              <w:rPr>
                <w:rFonts w:ascii="Arial" w:hAnsi="Arial" w:cs="Arial"/>
              </w:rPr>
            </w:pPr>
            <w:r w:rsidRPr="004C3C4C">
              <w:rPr>
                <w:rFonts w:ascii="Arial" w:hAnsi="Arial" w:cs="Arial"/>
                <w:b/>
              </w:rPr>
              <w:t>Key actions</w:t>
            </w:r>
          </w:p>
        </w:tc>
        <w:tc>
          <w:tcPr>
            <w:tcW w:w="2376" w:type="dxa"/>
            <w:shd w:val="clear" w:color="auto" w:fill="DCE6F1"/>
          </w:tcPr>
          <w:p w14:paraId="2160494E" w14:textId="77777777" w:rsidR="00380C29" w:rsidRPr="004C3C4C" w:rsidRDefault="008E1F9E">
            <w:pPr>
              <w:jc w:val="center"/>
              <w:rPr>
                <w:rFonts w:ascii="Arial" w:hAnsi="Arial" w:cs="Arial"/>
              </w:rPr>
            </w:pPr>
            <w:r w:rsidRPr="004C3C4C">
              <w:rPr>
                <w:rFonts w:ascii="Arial" w:hAnsi="Arial" w:cs="Arial"/>
                <w:b/>
              </w:rPr>
              <w:t>Primary KPIs</w:t>
            </w:r>
          </w:p>
        </w:tc>
      </w:tr>
      <w:tr w:rsidR="004C3C4C" w:rsidRPr="004C3C4C" w14:paraId="6FCC02BC" w14:textId="77777777">
        <w:trPr>
          <w:jc w:val="center"/>
        </w:trPr>
        <w:tc>
          <w:tcPr>
            <w:tcW w:w="2376" w:type="dxa"/>
            <w:shd w:val="clear" w:color="auto" w:fill="FFFFFF"/>
            <w:vAlign w:val="center"/>
          </w:tcPr>
          <w:p w14:paraId="55F5A5AE" w14:textId="77777777" w:rsidR="00380C29" w:rsidRPr="004C3C4C" w:rsidRDefault="008E1F9E">
            <w:pPr>
              <w:jc w:val="center"/>
              <w:rPr>
                <w:rFonts w:ascii="Arial" w:hAnsi="Arial" w:cs="Arial"/>
              </w:rPr>
            </w:pPr>
            <w:r w:rsidRPr="004C3C4C">
              <w:rPr>
                <w:rFonts w:ascii="Arial" w:hAnsi="Arial" w:cs="Arial"/>
              </w:rPr>
              <w:t>1. Insight and design</w:t>
            </w:r>
          </w:p>
        </w:tc>
        <w:tc>
          <w:tcPr>
            <w:tcW w:w="2376" w:type="dxa"/>
            <w:shd w:val="clear" w:color="auto" w:fill="FFFFFF"/>
            <w:vAlign w:val="center"/>
          </w:tcPr>
          <w:p w14:paraId="4BE1D582" w14:textId="77777777" w:rsidR="00380C29" w:rsidRPr="004C3C4C" w:rsidRDefault="008E1F9E">
            <w:pPr>
              <w:jc w:val="center"/>
              <w:rPr>
                <w:rFonts w:ascii="Arial" w:hAnsi="Arial" w:cs="Arial"/>
              </w:rPr>
            </w:pPr>
            <w:r w:rsidRPr="004C3C4C">
              <w:rPr>
                <w:rFonts w:ascii="Arial" w:hAnsi="Arial" w:cs="Arial"/>
              </w:rPr>
              <w:t>Months 1–6</w:t>
            </w:r>
          </w:p>
        </w:tc>
        <w:tc>
          <w:tcPr>
            <w:tcW w:w="2376" w:type="dxa"/>
            <w:shd w:val="clear" w:color="auto" w:fill="FFFFFF"/>
            <w:vAlign w:val="center"/>
          </w:tcPr>
          <w:p w14:paraId="31C8B924" w14:textId="77777777" w:rsidR="00380C29" w:rsidRPr="004C3C4C" w:rsidRDefault="008E1F9E">
            <w:pPr>
              <w:rPr>
                <w:rFonts w:ascii="Arial" w:hAnsi="Arial" w:cs="Arial"/>
              </w:rPr>
            </w:pPr>
            <w:r w:rsidRPr="004C3C4C">
              <w:rPr>
                <w:rFonts w:ascii="Arial" w:hAnsi="Arial" w:cs="Arial"/>
              </w:rPr>
              <w:t xml:space="preserve">Customer research, concept testing, </w:t>
            </w:r>
            <w:r w:rsidRPr="004C3C4C">
              <w:rPr>
                <w:rFonts w:ascii="Arial" w:hAnsi="Arial" w:cs="Arial"/>
              </w:rPr>
              <w:lastRenderedPageBreak/>
              <w:t>regulatory review, market selection.</w:t>
            </w:r>
          </w:p>
        </w:tc>
        <w:tc>
          <w:tcPr>
            <w:tcW w:w="2376" w:type="dxa"/>
            <w:shd w:val="clear" w:color="auto" w:fill="FFFFFF"/>
            <w:vAlign w:val="center"/>
          </w:tcPr>
          <w:p w14:paraId="7C73568B" w14:textId="77777777" w:rsidR="00380C29" w:rsidRPr="004C3C4C" w:rsidRDefault="008E1F9E">
            <w:pPr>
              <w:rPr>
                <w:rFonts w:ascii="Arial" w:hAnsi="Arial" w:cs="Arial"/>
              </w:rPr>
            </w:pPr>
            <w:r w:rsidRPr="004C3C4C">
              <w:rPr>
                <w:rFonts w:ascii="Arial" w:hAnsi="Arial" w:cs="Arial"/>
              </w:rPr>
              <w:lastRenderedPageBreak/>
              <w:t xml:space="preserve">Validated concepts; launch readiness; </w:t>
            </w:r>
            <w:r w:rsidRPr="004C3C4C">
              <w:rPr>
                <w:rFonts w:ascii="Arial" w:hAnsi="Arial" w:cs="Arial"/>
              </w:rPr>
              <w:lastRenderedPageBreak/>
              <w:t>target-market shortlist.</w:t>
            </w:r>
          </w:p>
        </w:tc>
      </w:tr>
      <w:tr w:rsidR="004C3C4C" w:rsidRPr="004C3C4C" w14:paraId="38E1B8AC" w14:textId="77777777">
        <w:trPr>
          <w:jc w:val="center"/>
        </w:trPr>
        <w:tc>
          <w:tcPr>
            <w:tcW w:w="2376" w:type="dxa"/>
            <w:shd w:val="clear" w:color="auto" w:fill="FFFFFF"/>
            <w:vAlign w:val="center"/>
          </w:tcPr>
          <w:p w14:paraId="0091EA66" w14:textId="77777777" w:rsidR="00380C29" w:rsidRPr="004C3C4C" w:rsidRDefault="008E1F9E">
            <w:pPr>
              <w:jc w:val="center"/>
              <w:rPr>
                <w:rFonts w:ascii="Arial" w:hAnsi="Arial" w:cs="Arial"/>
              </w:rPr>
            </w:pPr>
            <w:r w:rsidRPr="004C3C4C">
              <w:rPr>
                <w:rFonts w:ascii="Arial" w:hAnsi="Arial" w:cs="Arial"/>
              </w:rPr>
              <w:lastRenderedPageBreak/>
              <w:t>2. Pilot and launch</w:t>
            </w:r>
          </w:p>
        </w:tc>
        <w:tc>
          <w:tcPr>
            <w:tcW w:w="2376" w:type="dxa"/>
            <w:shd w:val="clear" w:color="auto" w:fill="FFFFFF"/>
            <w:vAlign w:val="center"/>
          </w:tcPr>
          <w:p w14:paraId="78DA0785" w14:textId="77777777" w:rsidR="00380C29" w:rsidRPr="004C3C4C" w:rsidRDefault="008E1F9E">
            <w:pPr>
              <w:jc w:val="center"/>
              <w:rPr>
                <w:rFonts w:ascii="Arial" w:hAnsi="Arial" w:cs="Arial"/>
              </w:rPr>
            </w:pPr>
            <w:r w:rsidRPr="004C3C4C">
              <w:rPr>
                <w:rFonts w:ascii="Arial" w:hAnsi="Arial" w:cs="Arial"/>
              </w:rPr>
              <w:t>Months 7–18</w:t>
            </w:r>
          </w:p>
        </w:tc>
        <w:tc>
          <w:tcPr>
            <w:tcW w:w="2376" w:type="dxa"/>
            <w:shd w:val="clear" w:color="auto" w:fill="FFFFFF"/>
            <w:vAlign w:val="center"/>
          </w:tcPr>
          <w:p w14:paraId="5F5F698F" w14:textId="77777777" w:rsidR="00380C29" w:rsidRPr="004C3C4C" w:rsidRDefault="008E1F9E">
            <w:pPr>
              <w:rPr>
                <w:rFonts w:ascii="Arial" w:hAnsi="Arial" w:cs="Arial"/>
              </w:rPr>
            </w:pPr>
            <w:r w:rsidRPr="004C3C4C">
              <w:rPr>
                <w:rFonts w:ascii="Arial" w:hAnsi="Arial" w:cs="Arial"/>
              </w:rPr>
              <w:t>Pilot launches with lead retailers; controlled market entry.</w:t>
            </w:r>
          </w:p>
        </w:tc>
        <w:tc>
          <w:tcPr>
            <w:tcW w:w="2376" w:type="dxa"/>
            <w:shd w:val="clear" w:color="auto" w:fill="FFFFFF"/>
            <w:vAlign w:val="center"/>
          </w:tcPr>
          <w:p w14:paraId="6A617C12" w14:textId="77777777" w:rsidR="00380C29" w:rsidRPr="004C3C4C" w:rsidRDefault="008E1F9E">
            <w:pPr>
              <w:rPr>
                <w:rFonts w:ascii="Arial" w:hAnsi="Arial" w:cs="Arial"/>
              </w:rPr>
            </w:pPr>
            <w:r w:rsidRPr="004C3C4C">
              <w:rPr>
                <w:rFonts w:ascii="Arial" w:hAnsi="Arial" w:cs="Arial"/>
              </w:rPr>
              <w:t>Trial rate; repeat purchase; retailer acceptance; early sales.</w:t>
            </w:r>
          </w:p>
        </w:tc>
      </w:tr>
      <w:tr w:rsidR="004C3C4C" w:rsidRPr="004C3C4C" w14:paraId="4935E77B" w14:textId="77777777">
        <w:trPr>
          <w:jc w:val="center"/>
        </w:trPr>
        <w:tc>
          <w:tcPr>
            <w:tcW w:w="2376" w:type="dxa"/>
            <w:shd w:val="clear" w:color="auto" w:fill="FFFFFF"/>
            <w:vAlign w:val="center"/>
          </w:tcPr>
          <w:p w14:paraId="46767B2C" w14:textId="77777777" w:rsidR="00380C29" w:rsidRPr="004C3C4C" w:rsidRDefault="008E1F9E">
            <w:pPr>
              <w:jc w:val="center"/>
              <w:rPr>
                <w:rFonts w:ascii="Arial" w:hAnsi="Arial" w:cs="Arial"/>
              </w:rPr>
            </w:pPr>
            <w:r w:rsidRPr="004C3C4C">
              <w:rPr>
                <w:rFonts w:ascii="Arial" w:hAnsi="Arial" w:cs="Arial"/>
              </w:rPr>
              <w:t>3. Scale and optimise</w:t>
            </w:r>
          </w:p>
        </w:tc>
        <w:tc>
          <w:tcPr>
            <w:tcW w:w="2376" w:type="dxa"/>
            <w:shd w:val="clear" w:color="auto" w:fill="FFFFFF"/>
            <w:vAlign w:val="center"/>
          </w:tcPr>
          <w:p w14:paraId="4A6014E9" w14:textId="77777777" w:rsidR="00380C29" w:rsidRPr="004C3C4C" w:rsidRDefault="008E1F9E">
            <w:pPr>
              <w:jc w:val="center"/>
              <w:rPr>
                <w:rFonts w:ascii="Arial" w:hAnsi="Arial" w:cs="Arial"/>
              </w:rPr>
            </w:pPr>
            <w:r w:rsidRPr="004C3C4C">
              <w:rPr>
                <w:rFonts w:ascii="Arial" w:hAnsi="Arial" w:cs="Arial"/>
              </w:rPr>
              <w:t>Months 19–36</w:t>
            </w:r>
          </w:p>
        </w:tc>
        <w:tc>
          <w:tcPr>
            <w:tcW w:w="2376" w:type="dxa"/>
            <w:shd w:val="clear" w:color="auto" w:fill="FFFFFF"/>
            <w:vAlign w:val="center"/>
          </w:tcPr>
          <w:p w14:paraId="630F04E3" w14:textId="77777777" w:rsidR="00380C29" w:rsidRPr="004C3C4C" w:rsidRDefault="008E1F9E">
            <w:pPr>
              <w:rPr>
                <w:rFonts w:ascii="Arial" w:hAnsi="Arial" w:cs="Arial"/>
              </w:rPr>
            </w:pPr>
            <w:r w:rsidRPr="004C3C4C">
              <w:rPr>
                <w:rFonts w:ascii="Arial" w:hAnsi="Arial" w:cs="Arial"/>
              </w:rPr>
              <w:t>Expand winning SKUs, refine sourcing and broaden distribution.</w:t>
            </w:r>
          </w:p>
        </w:tc>
        <w:tc>
          <w:tcPr>
            <w:tcW w:w="2376" w:type="dxa"/>
            <w:shd w:val="clear" w:color="auto" w:fill="FFFFFF"/>
            <w:vAlign w:val="center"/>
          </w:tcPr>
          <w:p w14:paraId="523B54ED" w14:textId="77777777" w:rsidR="00380C29" w:rsidRPr="004C3C4C" w:rsidRDefault="008E1F9E">
            <w:pPr>
              <w:rPr>
                <w:rFonts w:ascii="Arial" w:hAnsi="Arial" w:cs="Arial"/>
              </w:rPr>
            </w:pPr>
            <w:r w:rsidRPr="004C3C4C">
              <w:rPr>
                <w:rFonts w:ascii="Arial" w:hAnsi="Arial" w:cs="Arial"/>
              </w:rPr>
              <w:t>Sales growth; distribution points; margin; sustainability progress.</w:t>
            </w:r>
          </w:p>
        </w:tc>
      </w:tr>
    </w:tbl>
    <w:p w14:paraId="33FE3C4A" w14:textId="7777777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7. Conclusion</w:t>
      </w:r>
    </w:p>
    <w:p w14:paraId="3B5BBE39" w14:textId="77777777" w:rsidR="00380C29" w:rsidRPr="004C3C4C" w:rsidRDefault="008E1F9E">
      <w:pPr>
        <w:spacing w:after="140"/>
        <w:jc w:val="both"/>
        <w:rPr>
          <w:rFonts w:ascii="Arial" w:hAnsi="Arial" w:cs="Arial"/>
        </w:rPr>
      </w:pPr>
      <w:r w:rsidRPr="004C3C4C">
        <w:rPr>
          <w:rFonts w:ascii="Arial" w:hAnsi="Arial" w:cs="Arial"/>
        </w:rPr>
        <w:t>Innocent Drinks has built a strong competitive position through natural ingredients, ethical values, sustainability commitments and distinctive branding. These qualities have helped it become one of the best-known healthy beverage brands in the UK and Europe. However, strong competition, rising costs, environmental risk and changing consumer expectations mean that Innocent cannot rely on its current position alone.</w:t>
      </w:r>
    </w:p>
    <w:p w14:paraId="499D544B" w14:textId="77777777" w:rsidR="00380C29" w:rsidRPr="004C3C4C" w:rsidRDefault="008E1F9E">
      <w:pPr>
        <w:spacing w:after="140"/>
        <w:jc w:val="both"/>
        <w:rPr>
          <w:rFonts w:ascii="Arial" w:hAnsi="Arial" w:cs="Arial"/>
        </w:rPr>
      </w:pPr>
      <w:r w:rsidRPr="004C3C4C">
        <w:rPr>
          <w:rFonts w:ascii="Arial" w:hAnsi="Arial" w:cs="Arial"/>
        </w:rPr>
        <w:t>This report evaluated the company’s situation using PESTEL analysis, Porter’s Five Forces and SWOT analysis. The findings showed that Innocent’s strongest route to growth is not price competition or unrelated diversification, but a strategy that deepens its existing differentiation.</w:t>
      </w:r>
    </w:p>
    <w:p w14:paraId="33B794F1" w14:textId="77777777" w:rsidR="00380C29" w:rsidRPr="004C3C4C" w:rsidRDefault="008E1F9E">
      <w:pPr>
        <w:spacing w:after="140"/>
        <w:jc w:val="both"/>
        <w:rPr>
          <w:rFonts w:ascii="Arial" w:hAnsi="Arial" w:cs="Arial"/>
        </w:rPr>
      </w:pPr>
      <w:r w:rsidRPr="004C3C4C">
        <w:rPr>
          <w:rFonts w:ascii="Arial" w:hAnsi="Arial" w:cs="Arial"/>
        </w:rPr>
        <w:t>A combined product development and market development strategy is therefore recommended. By expanding into functional natural drinks, strengthening its plant-based range and entering selected health-conscious markets, Innocent can pursue growth in a way that is both commercially attractive and aligned with its mission. The strategy is suitable, feasible and acceptable, provided that it is introduced gradually and supported by strong stakeholder engagement and disciplined implementation.</w:t>
      </w:r>
    </w:p>
    <w:p w14:paraId="24D9B745" w14:textId="77777777" w:rsidR="00380C29" w:rsidRPr="004C3C4C" w:rsidRDefault="008E1F9E">
      <w:pPr>
        <w:spacing w:after="140"/>
        <w:jc w:val="both"/>
        <w:rPr>
          <w:rFonts w:ascii="Arial" w:hAnsi="Arial" w:cs="Arial"/>
        </w:rPr>
      </w:pPr>
      <w:r w:rsidRPr="004C3C4C">
        <w:rPr>
          <w:rFonts w:ascii="Arial" w:hAnsi="Arial" w:cs="Arial"/>
        </w:rPr>
        <w:t>Ultimately, Innocent’s future success will depend on whether it can grow while still feeling unmistakably “Innocent” to consumers: healthy, simple, responsible and trustworthy.</w:t>
      </w:r>
    </w:p>
    <w:p w14:paraId="413C8511" w14:textId="77777777" w:rsidR="0085165D" w:rsidRPr="004C3C4C" w:rsidRDefault="0085165D">
      <w:pPr>
        <w:pStyle w:val="Heading1"/>
        <w:rPr>
          <w:rFonts w:ascii="Arial" w:hAnsi="Arial" w:cs="Arial"/>
          <w:color w:val="auto"/>
          <w:sz w:val="22"/>
          <w:szCs w:val="22"/>
        </w:rPr>
      </w:pPr>
    </w:p>
    <w:p w14:paraId="5A56A7EF" w14:textId="77777777" w:rsidR="0085165D" w:rsidRPr="004C3C4C" w:rsidRDefault="0085165D">
      <w:pPr>
        <w:pStyle w:val="Heading1"/>
        <w:rPr>
          <w:rFonts w:ascii="Arial" w:hAnsi="Arial" w:cs="Arial"/>
          <w:color w:val="auto"/>
          <w:sz w:val="22"/>
          <w:szCs w:val="22"/>
        </w:rPr>
      </w:pPr>
    </w:p>
    <w:p w14:paraId="4F58A41D" w14:textId="49C9B5F7" w:rsidR="00380C29" w:rsidRPr="004C3C4C" w:rsidRDefault="008E1F9E">
      <w:pPr>
        <w:pStyle w:val="Heading1"/>
        <w:rPr>
          <w:rFonts w:ascii="Arial" w:hAnsi="Arial" w:cs="Arial"/>
          <w:color w:val="auto"/>
          <w:sz w:val="22"/>
          <w:szCs w:val="22"/>
        </w:rPr>
      </w:pPr>
      <w:r w:rsidRPr="004C3C4C">
        <w:rPr>
          <w:rFonts w:ascii="Arial" w:hAnsi="Arial" w:cs="Arial"/>
          <w:color w:val="auto"/>
          <w:sz w:val="22"/>
          <w:szCs w:val="22"/>
        </w:rPr>
        <w:t>References</w:t>
      </w:r>
    </w:p>
    <w:p w14:paraId="169CC268" w14:textId="77777777" w:rsidR="00380C29" w:rsidRDefault="008E1F9E">
      <w:pPr>
        <w:spacing w:after="80"/>
        <w:ind w:left="360" w:hanging="360"/>
      </w:pPr>
      <w:r>
        <w:t>Ansoff, H.I. (1957) ‘Strategies for diversification’, Harvard Business Review, 35(5), pp. 113–124.</w:t>
      </w:r>
    </w:p>
    <w:p w14:paraId="16DAC967" w14:textId="77777777" w:rsidR="00380C29" w:rsidRDefault="008E1F9E">
      <w:pPr>
        <w:spacing w:after="80"/>
        <w:ind w:left="360" w:hanging="360"/>
      </w:pPr>
      <w:r>
        <w:t>B Lab (2023) Certified B Corporation Standards. Available at: B Lab corporate materials.</w:t>
      </w:r>
    </w:p>
    <w:p w14:paraId="626D420B" w14:textId="77777777" w:rsidR="00380C29" w:rsidRDefault="008E1F9E">
      <w:pPr>
        <w:spacing w:after="80"/>
        <w:ind w:left="360" w:hanging="360"/>
      </w:pPr>
      <w:r>
        <w:t>Freeman, R.E. (1984) Strategic Management: A Stakeholder Approach. Boston: Pitman.</w:t>
      </w:r>
    </w:p>
    <w:p w14:paraId="148B80BB" w14:textId="77777777" w:rsidR="00380C29" w:rsidRDefault="008E1F9E">
      <w:pPr>
        <w:spacing w:after="80"/>
        <w:ind w:left="360" w:hanging="360"/>
      </w:pPr>
      <w:r>
        <w:t>HM Government (2016) Soft Drinks Industry Levy. Available at: GOV.UK.</w:t>
      </w:r>
    </w:p>
    <w:p w14:paraId="46D64C84" w14:textId="77777777" w:rsidR="00380C29" w:rsidRDefault="008E1F9E">
      <w:pPr>
        <w:spacing w:after="80"/>
        <w:ind w:left="360" w:hanging="360"/>
      </w:pPr>
      <w:r>
        <w:t>Innocent Drinks (2024a) A bit about us. Available at: Innocent Drinks corporate website.</w:t>
      </w:r>
    </w:p>
    <w:p w14:paraId="264241D7" w14:textId="77777777" w:rsidR="00380C29" w:rsidRDefault="008E1F9E">
      <w:pPr>
        <w:spacing w:after="80"/>
        <w:ind w:left="360" w:hanging="360"/>
      </w:pPr>
      <w:r>
        <w:t>Innocent Drinks (2024b) B Corp. Available at: Innocent Drinks corporate website.</w:t>
      </w:r>
    </w:p>
    <w:p w14:paraId="56E49F6F" w14:textId="77777777" w:rsidR="00380C29" w:rsidRDefault="008E1F9E">
      <w:pPr>
        <w:spacing w:after="80"/>
        <w:ind w:left="360" w:hanging="360"/>
      </w:pPr>
      <w:r>
        <w:t>Innocent Drinks (2024c) Things we do for the planet. Available at: Innocent Drinks corporate website.</w:t>
      </w:r>
    </w:p>
    <w:p w14:paraId="1BC5465C" w14:textId="77777777" w:rsidR="00380C29" w:rsidRDefault="008E1F9E">
      <w:pPr>
        <w:spacing w:after="80"/>
        <w:ind w:left="360" w:hanging="360"/>
      </w:pPr>
      <w:r>
        <w:t>Innocent Drinks (2024g) Farmer Innovation Fund. Available at: Innocent Drinks corporate website.</w:t>
      </w:r>
    </w:p>
    <w:p w14:paraId="7A28F383" w14:textId="77777777" w:rsidR="00380C29" w:rsidRDefault="008E1F9E">
      <w:pPr>
        <w:spacing w:after="80"/>
        <w:ind w:left="360" w:hanging="360"/>
      </w:pPr>
      <w:r>
        <w:t>Johnson, G., Scholes, K. and Whittington, R. (2020) Exploring Strategy. 12th edn. Harlow: Pearson.</w:t>
      </w:r>
    </w:p>
    <w:p w14:paraId="1012DC5B" w14:textId="77777777" w:rsidR="00380C29" w:rsidRDefault="008E1F9E">
      <w:pPr>
        <w:spacing w:after="80"/>
        <w:ind w:left="360" w:hanging="360"/>
      </w:pPr>
      <w:r>
        <w:lastRenderedPageBreak/>
        <w:t>Porter, M.E. (1980) Competitive Strategy: Techniques for Analyzing Industries and Competitors. New York: Free Press.</w:t>
      </w:r>
    </w:p>
    <w:p w14:paraId="3E9C5AF6" w14:textId="77777777" w:rsidR="00380C29" w:rsidRDefault="008E1F9E">
      <w:pPr>
        <w:spacing w:after="80"/>
        <w:ind w:left="360" w:hanging="360"/>
      </w:pPr>
      <w:r>
        <w:t>Porter, M.E. (1985) Competitive Advantage: Creating and Sustaining Superior Performance. New York: Free Press.</w:t>
      </w:r>
    </w:p>
    <w:p w14:paraId="0F5A6949" w14:textId="77777777" w:rsidR="00380C29" w:rsidRDefault="008E1F9E">
      <w:pPr>
        <w:spacing w:after="80"/>
        <w:ind w:left="360" w:hanging="360"/>
      </w:pPr>
      <w:r>
        <w:t>Statista (2024) Global smoothie and healthy drinks market statistics. Available at: Statista database.</w:t>
      </w:r>
    </w:p>
    <w:sectPr w:rsidR="00380C29" w:rsidSect="00034616">
      <w:footerReference w:type="default" r:id="rId9"/>
      <w:pgSz w:w="12240" w:h="15840"/>
      <w:pgMar w:top="1224" w:right="1368" w:bottom="1080" w:left="13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B560C" w14:textId="77777777" w:rsidR="008E1F9E" w:rsidRDefault="008E1F9E">
      <w:pPr>
        <w:spacing w:after="0" w:line="240" w:lineRule="auto"/>
      </w:pPr>
      <w:r>
        <w:separator/>
      </w:r>
    </w:p>
  </w:endnote>
  <w:endnote w:type="continuationSeparator" w:id="0">
    <w:p w14:paraId="707EF514" w14:textId="77777777" w:rsidR="008E1F9E" w:rsidRDefault="008E1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8E5CA" w14:textId="77777777" w:rsidR="00380C29" w:rsidRDefault="008E1F9E">
    <w:pPr>
      <w:pStyle w:val="Footer"/>
      <w:jc w:val="center"/>
    </w:pPr>
    <w:r>
      <w:rPr>
        <w:color w:val="5A626C"/>
        <w:sz w:val="18"/>
      </w:rPr>
      <w:t xml:space="preserve">Strategic Growth Report for Innocent Drinks | 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F038E" w14:textId="77777777" w:rsidR="008E1F9E" w:rsidRDefault="008E1F9E">
      <w:pPr>
        <w:spacing w:after="0" w:line="240" w:lineRule="auto"/>
      </w:pPr>
      <w:r>
        <w:separator/>
      </w:r>
    </w:p>
  </w:footnote>
  <w:footnote w:type="continuationSeparator" w:id="0">
    <w:p w14:paraId="577F59F7" w14:textId="77777777" w:rsidR="008E1F9E" w:rsidRDefault="008E1F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4349371">
    <w:abstractNumId w:val="8"/>
  </w:num>
  <w:num w:numId="2" w16cid:durableId="1589074610">
    <w:abstractNumId w:val="6"/>
  </w:num>
  <w:num w:numId="3" w16cid:durableId="508107768">
    <w:abstractNumId w:val="5"/>
  </w:num>
  <w:num w:numId="4" w16cid:durableId="2100245876">
    <w:abstractNumId w:val="4"/>
  </w:num>
  <w:num w:numId="5" w16cid:durableId="1059941461">
    <w:abstractNumId w:val="7"/>
  </w:num>
  <w:num w:numId="6" w16cid:durableId="188687248">
    <w:abstractNumId w:val="3"/>
  </w:num>
  <w:num w:numId="7" w16cid:durableId="1476684349">
    <w:abstractNumId w:val="2"/>
  </w:num>
  <w:num w:numId="8" w16cid:durableId="2116123561">
    <w:abstractNumId w:val="1"/>
  </w:num>
  <w:num w:numId="9" w16cid:durableId="1383217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F4855"/>
    <w:rsid w:val="00326F90"/>
    <w:rsid w:val="00380C29"/>
    <w:rsid w:val="004C3C4C"/>
    <w:rsid w:val="00722D41"/>
    <w:rsid w:val="007C4349"/>
    <w:rsid w:val="0085165D"/>
    <w:rsid w:val="008E1F9E"/>
    <w:rsid w:val="009E616D"/>
    <w:rsid w:val="00AA1D8D"/>
    <w:rsid w:val="00AE5E4C"/>
    <w:rsid w:val="00B46587"/>
    <w:rsid w:val="00B47730"/>
    <w:rsid w:val="00B562B4"/>
    <w:rsid w:val="00CB0664"/>
    <w:rsid w:val="00CE4B47"/>
    <w:rsid w:val="00EA0F21"/>
    <w:rsid w:val="00F85FE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B99E44"/>
  <w14:defaultImageDpi w14:val="300"/>
  <w15:docId w15:val="{1F0BEA72-5831-485B-869E-344A40BC1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240" w:after="120"/>
      <w:outlineLvl w:val="0"/>
    </w:pPr>
    <w:rPr>
      <w:rFonts w:asciiTheme="majorHAnsi" w:eastAsiaTheme="majorEastAsia" w:hAnsiTheme="majorHAnsi" w:cstheme="majorBidi"/>
      <w:b/>
      <w:bCs/>
      <w:color w:val="305496"/>
      <w:sz w:val="30"/>
      <w:szCs w:val="28"/>
    </w:rPr>
  </w:style>
  <w:style w:type="paragraph" w:styleId="Heading2">
    <w:name w:val="heading 2"/>
    <w:basedOn w:val="Normal"/>
    <w:next w:val="Normal"/>
    <w:link w:val="Heading2Char"/>
    <w:uiPriority w:val="9"/>
    <w:unhideWhenUsed/>
    <w:qFormat/>
    <w:rsid w:val="00FC693F"/>
    <w:pPr>
      <w:keepNext/>
      <w:keepLines/>
      <w:spacing w:before="160" w:after="120"/>
      <w:outlineLvl w:val="1"/>
    </w:pPr>
    <w:rPr>
      <w:rFonts w:asciiTheme="majorHAnsi" w:eastAsiaTheme="majorEastAsia" w:hAnsiTheme="majorHAnsi" w:cstheme="majorBidi"/>
      <w:b/>
      <w:bCs/>
      <w:color w:val="305496"/>
      <w:sz w:val="25"/>
      <w:szCs w:val="26"/>
    </w:rPr>
  </w:style>
  <w:style w:type="paragraph" w:styleId="Heading3">
    <w:name w:val="heading 3"/>
    <w:basedOn w:val="Normal"/>
    <w:next w:val="Normal"/>
    <w:link w:val="Heading3Char"/>
    <w:uiPriority w:val="9"/>
    <w:unhideWhenUsed/>
    <w:qFormat/>
    <w:rsid w:val="00FC693F"/>
    <w:pPr>
      <w:keepNext/>
      <w:keepLines/>
      <w:spacing w:before="160" w:after="120"/>
      <w:outlineLvl w:val="2"/>
    </w:pPr>
    <w:rPr>
      <w:rFonts w:asciiTheme="majorHAnsi" w:eastAsiaTheme="majorEastAsia" w:hAnsiTheme="majorHAnsi" w:cstheme="majorBidi"/>
      <w:b/>
      <w:bCs/>
      <w:color w:val="1F2937"/>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60" w:after="120" w:line="240" w:lineRule="auto"/>
      <w:contextualSpacing/>
    </w:pPr>
    <w:rPr>
      <w:rFonts w:asciiTheme="majorHAnsi" w:eastAsiaTheme="majorEastAsia" w:hAnsiTheme="majorHAnsi" w:cstheme="majorBidi"/>
      <w:color w:val="305496"/>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3284</Words>
  <Characters>18719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21960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Simona Kavaliauskaite</cp:lastModifiedBy>
  <cp:revision>12</cp:revision>
  <dcterms:created xsi:type="dcterms:W3CDTF">2026-03-13T13:11:00Z</dcterms:created>
  <dcterms:modified xsi:type="dcterms:W3CDTF">2026-03-13T13:18:00Z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78b5cacd-5066-4e63-b66a-64633f284ebd</vt:lpwstr>
  </property>
</Properties>
</file>