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1.1</w:t>
      </w:r>
    </w:p>
    <w:p w:rsidR="00000000" w:rsidDel="00000000" w:rsidP="00000000" w:rsidRDefault="00000000" w:rsidRPr="00000000" w14:paraId="00000002">
      <w:pPr>
        <w:spacing w:after="240" w:before="240" w:lineRule="auto"/>
        <w:rPr>
          <w:rFonts w:ascii="Calibri" w:cs="Calibri" w:eastAsia="Calibri" w:hAnsi="Calibri"/>
          <w:sz w:val="24"/>
          <w:szCs w:val="24"/>
          <w:highlight w:val="white"/>
        </w:rPr>
      </w:pPr>
      <w:r w:rsidDel="00000000" w:rsidR="00000000" w:rsidRPr="00000000">
        <w:rPr>
          <w:rFonts w:ascii="Calibri" w:cs="Calibri" w:eastAsia="Calibri" w:hAnsi="Calibri"/>
          <w:sz w:val="24"/>
          <w:szCs w:val="24"/>
          <w:rtl w:val="0"/>
        </w:rPr>
        <w:t xml:space="preserve">Collins English Dictionary (2026) defines a professional as “people who have</w:t>
      </w:r>
      <w:r w:rsidDel="00000000" w:rsidR="00000000" w:rsidRPr="00000000">
        <w:rPr>
          <w:rFonts w:ascii="Calibri" w:cs="Calibri" w:eastAsia="Calibri" w:hAnsi="Calibri"/>
          <w:sz w:val="24"/>
          <w:szCs w:val="24"/>
          <w:rtl w:val="0"/>
        </w:rPr>
        <w:t xml:space="preserve"> </w:t>
      </w:r>
      <w:hyperlink r:id="rId6">
        <w:r w:rsidDel="00000000" w:rsidR="00000000" w:rsidRPr="00000000">
          <w:rPr>
            <w:rFonts w:ascii="Calibri" w:cs="Calibri" w:eastAsia="Calibri" w:hAnsi="Calibri"/>
            <w:sz w:val="24"/>
            <w:szCs w:val="24"/>
            <w:rtl w:val="0"/>
          </w:rPr>
          <w:t xml:space="preserve">jobs</w:t>
        </w:r>
      </w:hyperlink>
      <w:r w:rsidDel="00000000" w:rsidR="00000000" w:rsidRPr="00000000">
        <w:rPr>
          <w:rFonts w:ascii="Calibri" w:cs="Calibri" w:eastAsia="Calibri" w:hAnsi="Calibri"/>
          <w:sz w:val="24"/>
          <w:szCs w:val="24"/>
          <w:rtl w:val="0"/>
        </w:rPr>
        <w:t xml:space="preserve"> that require </w:t>
      </w:r>
      <w:hyperlink r:id="rId7">
        <w:r w:rsidDel="00000000" w:rsidR="00000000" w:rsidRPr="00000000">
          <w:rPr>
            <w:rFonts w:ascii="Calibri" w:cs="Calibri" w:eastAsia="Calibri" w:hAnsi="Calibri"/>
            <w:sz w:val="24"/>
            <w:szCs w:val="24"/>
            <w:rtl w:val="0"/>
          </w:rPr>
          <w:t xml:space="preserve">advanced</w:t>
        </w:r>
      </w:hyperlink>
      <w:r w:rsidDel="00000000" w:rsidR="00000000" w:rsidRPr="00000000">
        <w:rPr>
          <w:rFonts w:ascii="Calibri" w:cs="Calibri" w:eastAsia="Calibri" w:hAnsi="Calibri"/>
          <w:sz w:val="24"/>
          <w:szCs w:val="24"/>
          <w:rtl w:val="0"/>
        </w:rPr>
        <w:t xml:space="preserve"> </w:t>
      </w:r>
      <w:hyperlink r:id="rId8">
        <w:r w:rsidDel="00000000" w:rsidR="00000000" w:rsidRPr="00000000">
          <w:rPr>
            <w:rFonts w:ascii="Calibri" w:cs="Calibri" w:eastAsia="Calibri" w:hAnsi="Calibri"/>
            <w:sz w:val="24"/>
            <w:szCs w:val="24"/>
            <w:rtl w:val="0"/>
          </w:rPr>
          <w:t xml:space="preserve">education</w:t>
        </w:r>
      </w:hyperlink>
      <w:r w:rsidDel="00000000" w:rsidR="00000000" w:rsidRPr="00000000">
        <w:rPr>
          <w:rFonts w:ascii="Calibri" w:cs="Calibri" w:eastAsia="Calibri" w:hAnsi="Calibri"/>
          <w:sz w:val="24"/>
          <w:szCs w:val="24"/>
          <w:rtl w:val="0"/>
        </w:rPr>
        <w:t xml:space="preserve"> or training”. Professionals are often well trained, educated and are often subject to professional standards set out by governing bodies.</w:t>
      </w:r>
      <w:r w:rsidDel="00000000" w:rsidR="00000000" w:rsidRPr="00000000">
        <w:rPr>
          <w:rtl w:val="0"/>
        </w:rPr>
      </w:r>
    </w:p>
    <w:p w:rsidR="00000000" w:rsidDel="00000000" w:rsidP="00000000" w:rsidRDefault="00000000" w:rsidRPr="00000000" w14:paraId="00000003">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my role as a People Professional (PP) at Nexxobyte, I will deliver a presentation explaining the role of a PP and how the function can positively contribute to organisational performance. It would be important to ensure that managers understand that the role of a PP has moved on from traditional HR roles that were often seen as administrative functions (CIPD, 2025). Modern PP focuses on supporting success by providing strategy advice and guidance to managers in areas like culture, performance improvement and evidence-based decision making.</w:t>
      </w:r>
    </w:p>
    <w:p w:rsidR="00000000" w:rsidDel="00000000" w:rsidP="00000000" w:rsidRDefault="00000000" w:rsidRPr="00000000" w14:paraId="00000004">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 will also introduce to the management team the CIPD Profession Map (CIPD, 2024). This outlines the knowledge, behaviours and values expected from PPs. In particular, it highlights three key professional values: being principles-led, evidence-based and outcomes-driven. These values help ensure that PPs operate with integrity, use evidenced based decision making, and focus on positive results for both the employer and employee. By following these principles, Nexxobyte can develop more effective and consistent approaches to managing its workforce, which it clearly has not done to date.</w:t>
      </w:r>
    </w:p>
    <w:p w:rsidR="00000000" w:rsidDel="00000000" w:rsidP="00000000" w:rsidRDefault="00000000" w:rsidRPr="00000000" w14:paraId="00000005">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Fairness and ethical practice are clear weaknesses within Nexxobyte and need attention. These contribute to my own professional integrity, whilst following good practice guidance and legal requirements. There have been indications of questionable behaviours within parts of the organisation, so it is essential that policies, procedures and decision-making processes are applied consistently and without bias. CIPD (2023) notes that promoting fairness and transparency helps build trust between employees and managers, strengthens their relationships, and ensures that staff are treated equitably; this also ensures the organisation reduces risks and complies with legislation.</w:t>
      </w:r>
    </w:p>
    <w:p w:rsidR="00000000" w:rsidDel="00000000" w:rsidP="00000000" w:rsidRDefault="00000000" w:rsidRPr="00000000" w14:paraId="00000006">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Taylor &amp; Woodhams (2022) highlight another area which to consider; that of  diversity, equality, and inclusion within the workplace. If employees are treated differently depending on their manager or team (as has happened), it can negatively affect morale, engagement and productivity. Addressing these issues through clear policies, training and consistent practices can help create a more inclusive environment where all employees feel valued and supported.</w:t>
      </w:r>
    </w:p>
    <w:p w:rsidR="00000000" w:rsidDel="00000000" w:rsidP="00000000" w:rsidRDefault="00000000" w:rsidRPr="00000000" w14:paraId="00000007">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To support these improvements, we will introduce formal and informal learning and development initiatives for managers. This may include training, coaching and practical guidance on areas such as performance management, communication, and handling employee relations issues. By ensuring managers are well trained (whether through coaching, mentoring, or qualifications) it should ensure decisions made are consistent and reflect the objectives of Nexxobyte.</w:t>
      </w:r>
    </w:p>
    <w:p w:rsidR="00000000" w:rsidDel="00000000" w:rsidP="00000000" w:rsidRDefault="00000000" w:rsidRPr="00000000" w14:paraId="00000008">
      <w:pPr>
        <w:spacing w:after="240" w:befor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9">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 shall emphasise the importance of evidence-based decision making. By using data, employee feedback and best practice guidance from CIPD and ACAS, Nexxobyte can make better decisions about its staff. </w:t>
      </w:r>
    </w:p>
    <w:p w:rsidR="00000000" w:rsidDel="00000000" w:rsidP="00000000" w:rsidRDefault="00000000" w:rsidRPr="00000000" w14:paraId="0000000A">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B">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1.2</w:t>
      </w:r>
    </w:p>
    <w:p w:rsidR="00000000" w:rsidDel="00000000" w:rsidP="00000000" w:rsidRDefault="00000000" w:rsidRPr="00000000" w14:paraId="0000000C">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D">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Two personal and ethical values which I will bring to the role at Nexxobyte are fairness and respect for others. These values were confirmed by a Psychology Today online test which I recently undertook. Understanding my own values allows me to apply a framework to my life and work which guides my behaviours, decision making and how I interact with others, the latter being of high importance in my role as a PP at Nexxobyte. CIPD (2025d) highlights that PPs should act in a principles-led way, ensuring that decisions are ethical, evidence-based and focused on positive outcomes for employees and organisations.</w:t>
      </w:r>
    </w:p>
    <w:p w:rsidR="00000000" w:rsidDel="00000000" w:rsidP="00000000" w:rsidRDefault="00000000" w:rsidRPr="00000000" w14:paraId="0000000E">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F">
      <w:pPr>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Fairness</w:t>
      </w:r>
    </w:p>
    <w:p w:rsidR="00000000" w:rsidDel="00000000" w:rsidP="00000000" w:rsidRDefault="00000000" w:rsidRPr="00000000" w14:paraId="00000010">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This means that I will make decisions, and assist others in doing so, that are transparent, consistent across managers and free from personal biases. As a PP, I will need to ensure policies and procedures are applied by all managers in a fair and equal manner. From the case study it is evident that some managers do not treat staff fairly and consistently at all times, and some questionable behaviours take place amongst them and the wider staff.</w:t>
      </w:r>
    </w:p>
    <w:p w:rsidR="00000000" w:rsidDel="00000000" w:rsidP="00000000" w:rsidRDefault="00000000" w:rsidRPr="00000000" w14:paraId="00000011">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2">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Evidence from CIPD (2018) states that when employees feel decision making is biased, it can damage trust and goodwill, staff morale and engagement levels. By applying fairness in my role, I would ensure that managers are supported to follow policies correctly and make objective decisions regarding recruitment and the allocation of L&amp;D budgets. I can also suggest that managers are unable to sign off decisions alone, and that these are reviewed by a relevant PP to ensure consistency.</w:t>
      </w:r>
    </w:p>
    <w:p w:rsidR="00000000" w:rsidDel="00000000" w:rsidP="00000000" w:rsidRDefault="00000000" w:rsidRPr="00000000" w14:paraId="00000013">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4">
      <w:pPr>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Respect for others</w:t>
      </w:r>
    </w:p>
    <w:p w:rsidR="00000000" w:rsidDel="00000000" w:rsidP="00000000" w:rsidRDefault="00000000" w:rsidRPr="00000000" w14:paraId="00000015">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Respect for others is essential in building positive working relationships and an inclusive workplace culture. Research from Hannum (2022) highlights the importance of respect in the workplace, and the lack of it is likely to be a contributing factor to the resignations and complaints identified in the case study. Demonstrating respect involves listening to employees, encouraging open communication and valuing different perspectives.</w:t>
      </w:r>
    </w:p>
    <w:p w:rsidR="00000000" w:rsidDel="00000000" w:rsidP="00000000" w:rsidRDefault="00000000" w:rsidRPr="00000000" w14:paraId="00000016">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7">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Applying this value at Nexxobyte would help strengthen relationships between managers and employees and create a more supportive working environment. Urquhart (2022) notes that when employees feel respected and supported, they are more likely to be engaged and motivated to contribute positively.</w:t>
      </w:r>
    </w:p>
    <w:p w:rsidR="00000000" w:rsidDel="00000000" w:rsidP="00000000" w:rsidRDefault="00000000" w:rsidRPr="00000000" w14:paraId="00000018">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9">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However, situations may arise where behaviours or decisions appear unethical or inconsistent. In these cases, as a PP I must demonstrate professional courage by speaking up and challenging practices that conflict with ethical standards. This may involve advising managers on appropriate procedures, raising concerns with senior leadership or supporting employees who raise workplace issues. This will contribute to stronger working relationships, improved employee engagement and a more positive organisational culture.</w:t>
      </w:r>
    </w:p>
    <w:p w:rsidR="00000000" w:rsidDel="00000000" w:rsidP="00000000" w:rsidRDefault="00000000" w:rsidRPr="00000000" w14:paraId="0000001A">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B">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1.3</w:t>
      </w:r>
    </w:p>
    <w:p w:rsidR="00000000" w:rsidDel="00000000" w:rsidP="00000000" w:rsidRDefault="00000000" w:rsidRPr="00000000" w14:paraId="0000001C">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According to Singh (2023) PPs should contribute to organisational discussions in an informed, clear and confident way so they can influence decisions and ensure that people management issues are properly looked at. With the growth of Nexxobyte and the lack of procedures means that HR expertise is important in helping leaders understand the impact of their decision on staff and performance.</w:t>
      </w:r>
    </w:p>
    <w:p w:rsidR="00000000" w:rsidDel="00000000" w:rsidP="00000000" w:rsidRDefault="00000000" w:rsidRPr="00000000" w14:paraId="0000001D">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 will contribute to discussions with directors by presenting evidence about issues currently affecting the organisation. Currently, there are some inconsistent management practices, complaints and loss of valuable staff. Using data (employee turnover, complaints and feedback from complaints or exit interviews) would help build an evidence-based argument to demonstrate why consistent policies and improved management capability are needed. Evidence-based practice strengthens credibility and helps ensure that HR recommendations are taken seriously (Waite, Beevers et al., 2021).</w:t>
      </w:r>
    </w:p>
    <w:p w:rsidR="00000000" w:rsidDel="00000000" w:rsidP="00000000" w:rsidRDefault="00000000" w:rsidRPr="00000000" w14:paraId="0000001E">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 will ensure that communication is clear and engaging, as this is important when influencing others in leadership roles. When discussing concerns with the directors and managers, I can gain their attention by presenting key issues concisely, using appropriate tone and pace to ensure messages are understood, where possible it is worth presenting the information using diagrams to illustrate things more clearly. Throughout I will also summarise key points and check understanding during discussions to ensure that all parties are clear about issues and potential solutions and even go as far as to include a Too Long; Didn't Read (TL; DR) section as part of my communications. I would apply active listening and questioning to aid my understanding of the different perspectives of Kit, Aisha and the managers, particularly as Kit has previously allowed managers too much autonomy.</w:t>
      </w:r>
    </w:p>
    <w:p w:rsidR="00000000" w:rsidDel="00000000" w:rsidP="00000000" w:rsidRDefault="00000000" w:rsidRPr="00000000" w14:paraId="0000001F">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Adapting communication to suit the audience is another key factor to consider, and using the CIPD (2022) guide on how to write a business report to aid this.  When speaking with directors the focus will be on the strategic impact of the issues, such as staff turnover, productivity and the organisation’s ability to continue growing. When speaking to managers, the focus might be on practical improvements like management training, explaining procedures and the consistent application of them to recruitment and L&amp;D activity.</w:t>
      </w:r>
    </w:p>
    <w:p w:rsidR="00000000" w:rsidDel="00000000" w:rsidP="00000000" w:rsidRDefault="00000000" w:rsidRPr="00000000" w14:paraId="00000020">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1">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1.4</w:t>
      </w:r>
    </w:p>
    <w:p w:rsidR="00000000" w:rsidDel="00000000" w:rsidP="00000000" w:rsidRDefault="00000000" w:rsidRPr="00000000" w14:paraId="00000022">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PPs must recognise when organisational practices conflict with ethical values or legislation, and then raise concerns with others. As a PP, it would be important to identify these issues and address them using professional standards and, if suitable, formal escalation processes.</w:t>
      </w:r>
    </w:p>
    <w:p w:rsidR="00000000" w:rsidDel="00000000" w:rsidP="00000000" w:rsidRDefault="00000000" w:rsidRPr="00000000" w14:paraId="00000023">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 number of ethical concerns arise from the way Nexxobyte is currently being managed by the team. The team managers were promoted informally, without management training, and have been allowed to recruit and manage employees in their own ways, which are inconsistent. This has resulted in inconsistent practices across teams, such as different working arrangements and unequal access to L&amp;D opportunities. From an ethical stance, this raises concerns about fairness, transparency, and equality and introduces a possibility of the Peter Principle (Lazear, 2004) occurring where staff are promoted to their level of incompetence. Simply being a solid software engineer does not lead to them being the best manager as they may not have the required skillset to be fully competent in the role.</w:t>
      </w:r>
    </w:p>
    <w:p w:rsidR="00000000" w:rsidDel="00000000" w:rsidP="00000000" w:rsidRDefault="00000000" w:rsidRPr="00000000" w14:paraId="00000024">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Using ethical frameworks can help guide responses to these issues, Deontology focuses on acting according to duties, rules and professional standards (Arnold, Beauchamp et al, 2020).  PPs should ensure consistent policies and fair treatment for all employees. Utilitarianism will encourage decisions that create the greatest benefit for the majority of employees, which would support implementing fair and transparent procedures across the organisation (Deoli &amp; Daft, 2012) .</w:t>
      </w:r>
    </w:p>
    <w:p w:rsidR="00000000" w:rsidDel="00000000" w:rsidP="00000000" w:rsidRDefault="00000000" w:rsidRPr="00000000" w14:paraId="00000025">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Failing to act on these ethical concerns could damage employee trust, harm organisational culture and contribute to greater staff turnover(CIPD, 2024b), which has already been identified as a problem.  As HR adviser, I would raise these concerns with Aisha and the leadership team, using employee feedback and turnover data to support conclusions and provide evidence for better decision making. I would also recommend introducing clearer HR policies, formal management training, and consistent L&amp;D processes to ensure best practice is adhered to.</w:t>
      </w:r>
    </w:p>
    <w:p w:rsidR="00000000" w:rsidDel="00000000" w:rsidP="00000000" w:rsidRDefault="00000000" w:rsidRPr="00000000" w14:paraId="00000026">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Some of the issues could also create legal risks for Nexxobyte; such as the inconsistent recruitment practices and unequal access to development opportunities; these may potentially lead to claims of discrimination if certain groups are treated less favourably. Similarly, poor management practices may lead to grievances, complaints, or claims of unfair treatment. There are also concerns around staff using working time and equipment to run side business and other jobs, this should be identified and dealt with through policies; particularly if a manager turned a blind eye to this occurring.</w:t>
      </w:r>
    </w:p>
    <w:p w:rsidR="00000000" w:rsidDel="00000000" w:rsidP="00000000" w:rsidRDefault="00000000" w:rsidRPr="00000000" w14:paraId="00000027">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If these risks became a reality, it would be important to raise them through appropriate organisational policies. Concerns could be discussed with senior leadership to ensure they understand the potential legal implications and the need for consistent application of policies. If serious wrongdoing occurred and internal processes failed to resolve the issue, whistleblowing conditions under the Public Interest Disclosure Act 1998 could apply (ACAS, 2024), these could have serious consequences on Nexxobyte and its reputation..</w:t>
      </w:r>
    </w:p>
    <w:p w:rsidR="00000000" w:rsidDel="00000000" w:rsidP="00000000" w:rsidRDefault="00000000" w:rsidRPr="00000000" w14:paraId="00000028">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9">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2.1</w:t>
      </w:r>
    </w:p>
    <w:p w:rsidR="00000000" w:rsidDel="00000000" w:rsidP="00000000" w:rsidRDefault="00000000" w:rsidRPr="00000000" w14:paraId="0000002A">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B">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Dear all,</w:t>
      </w:r>
    </w:p>
    <w:p w:rsidR="00000000" w:rsidDel="00000000" w:rsidP="00000000" w:rsidRDefault="00000000" w:rsidRPr="00000000" w14:paraId="0000002C">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 wanted to respond to the comment about change and why clear policies are really necessary when the company is currently performing well financially.</w:t>
      </w:r>
    </w:p>
    <w:p w:rsidR="00000000" w:rsidDel="00000000" w:rsidP="00000000" w:rsidRDefault="00000000" w:rsidRPr="00000000" w14:paraId="0000002D">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Various bodies of research note that employees who feel included, valued and fairly treated are more likely to be motivated, engaged and productive, indeed a paper by Bellett, De Neve at al (2019) highlights that a happy workforce is a more productive workforce. While short-term financial performance may be strong, organisations that invest in employee wellbeing and engagement are more likely to succeed in the long term.</w:t>
      </w:r>
    </w:p>
    <w:p w:rsidR="00000000" w:rsidDel="00000000" w:rsidP="00000000" w:rsidRDefault="00000000" w:rsidRPr="00000000" w14:paraId="0000002E">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w:t>
      </w:r>
      <w:r w:rsidDel="00000000" w:rsidR="00000000" w:rsidRPr="00000000">
        <w:rPr>
          <w:rFonts w:ascii="Calibri" w:cs="Calibri" w:eastAsia="Calibri" w:hAnsi="Calibri"/>
          <w:sz w:val="24"/>
          <w:szCs w:val="24"/>
          <w:rtl w:val="0"/>
        </w:rPr>
        <w:t xml:space="preserve">eeling respected and included in the workplace supports motivation and job satisfaction and Maslow’s Hierarchy of Needs, cited by Armstrong and Taylor (2026), explains that individuals are motivated by psychological needs such as belonging and esteem, once their basic needs are met. They elaborate further and note that when employees feel part of a team and believe their contributions are valued, and their needs are fulfilled, it can increase motivation and commitment. Work from McClelland, cited by Taylor (2025), suggests that there are three types of employee needs exhibited by most people: affiliation needs, achievement needs, and power needs. When affiliation needs are met through inclusion and fairness, it can really boost motivation.</w:t>
      </w:r>
    </w:p>
    <w:p w:rsidR="00000000" w:rsidDel="00000000" w:rsidP="00000000" w:rsidRDefault="00000000" w:rsidRPr="00000000" w14:paraId="0000002F">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Other motivation research highlights the importance of meaningful and supportive work environments. Pink (2010) notes that people are motivated by having autonomy, mastery of their role, and purpose, instead of external pressures and control. When employees feel trusted, supported, and fairly treated, they are more likely to positively engage with their work and develop their skills further </w:t>
      </w:r>
      <w:r w:rsidDel="00000000" w:rsidR="00000000" w:rsidRPr="00000000">
        <w:rPr>
          <w:rFonts w:ascii="Calibri" w:cs="Calibri" w:eastAsia="Calibri" w:hAnsi="Calibri"/>
          <w:sz w:val="24"/>
          <w:szCs w:val="24"/>
          <w:rtl w:val="0"/>
        </w:rPr>
        <w:t xml:space="preserve">(Minnaar &amp; de Morree, 2020)</w:t>
      </w: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30">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SCARF model, developed by David Rock, cited by Baby, Francis et al (2024), highlights that fairness and a sense of belonging influence how workers respond in social environments. . When unfairness occurs, it can cause stress responses and disengagement, whilst fairness and inclusion promote cooperation and improved performances</w:t>
      </w: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31">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There are also clear benefits to Nexxobyte; places that create inclusive and fair environments tend to see higher employee engagement, improved collaborative working and greater efficiency. Employees are also more likely to remain with organisations where they feel valued (Minaar &amp; de Morree, 2020), which reduces turnover and recruitment costs. However, inconsistent management practices or unfairness can lead to less motivated staff at Nexxobyte, conflict amongst the team, and even more lost talent; which is an issue that has recently been highlighted within Nexxobyte.</w:t>
      </w:r>
    </w:p>
    <w:p w:rsidR="00000000" w:rsidDel="00000000" w:rsidP="00000000" w:rsidRDefault="00000000" w:rsidRPr="00000000" w14:paraId="00000032">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Please let me know if you wish to discuss this further.</w:t>
      </w:r>
    </w:p>
    <w:p w:rsidR="00000000" w:rsidDel="00000000" w:rsidP="00000000" w:rsidRDefault="00000000" w:rsidRPr="00000000" w14:paraId="00000033">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4">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2.2</w:t>
      </w:r>
    </w:p>
    <w:p w:rsidR="00000000" w:rsidDel="00000000" w:rsidP="00000000" w:rsidRDefault="00000000" w:rsidRPr="00000000" w14:paraId="00000035">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6">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To ensure the L&amp;D policy at Nexxobyte is both fair and inclusive for all, it will be vital to seek feedback and involve the employees and managers in its design, and to use suitable methods to evaluate its relative success. Due to the current inconsistent allocation and allowance of training and budgets across Nexxobyte, a formal and inclusive approach is essential.</w:t>
      </w:r>
    </w:p>
    <w:p w:rsidR="00000000" w:rsidDel="00000000" w:rsidP="00000000" w:rsidRDefault="00000000" w:rsidRPr="00000000" w14:paraId="00000037">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8">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Consultation with managers, software engineers, and admin staff is needed as these are the core users of the L&amp;D opportunities and experience them differently. I can use various methods to gain this information from surveys, team discussions, and one-to-one conversations as staff will be able to share their experience and identify the barriers to accessing L&amp;D opportunities (Communications.gov.uk, 2020). Giving staff a chance to express their employee voice aligns with CIPD (2025c) best practice on employee engagement; by engaging with staff, it will ensure transparency in how decisions are made, reduce perceptions of favoritism and unfairness, and increase employee trust. </w:t>
      </w:r>
    </w:p>
    <w:p w:rsidR="00000000" w:rsidDel="00000000" w:rsidP="00000000" w:rsidRDefault="00000000" w:rsidRPr="00000000" w14:paraId="00000039">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A">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If available, it is important to assess the current data from training records, complaints and turnover to identify possible  patterns of inequality and unfairness. If some teams have considerably less budget allocation and time allowance for L&amp;D, it will be useful to standardise these across the teams to ensure there are equal allocations for each manager to use for their team (Cheatle, 2019). This may cause problems if team tasks are not of equal value and difficulty, but it will be a good starting point. By ensuring that staff can see these and how they are allocated will reduce alleged favoritism and unfairness.</w:t>
      </w:r>
    </w:p>
    <w:p w:rsidR="00000000" w:rsidDel="00000000" w:rsidP="00000000" w:rsidRDefault="00000000" w:rsidRPr="00000000" w14:paraId="0000003B">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C">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policy should allow flexibility in the types of learning activities available, including formal training, online learning, mentoring and on-the-job development, as this allows for employees to  have their different learning styles met. Providing clear guidance and training for managers is also critical, as inconsistent management capability has been an issue in the case study. Managers should undertake mandatory equality and diversity training to ensure any unconscious biases are highlighted and dealt with.</w:t>
      </w:r>
    </w:p>
    <w:p w:rsidR="00000000" w:rsidDel="00000000" w:rsidP="00000000" w:rsidRDefault="00000000" w:rsidRPr="00000000" w14:paraId="0000003D">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E">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After a period of implementation, the policy should be reviewed against the current baseline data to see if improvements and positive feedback are occurring. Gathering further feedback from surveys, focus groups, and formal/informal discussions will take place to ensure staff feel like their opportunities appear fairer and more equal. If not, this is an opportune time to issue further guidance to managers, or a rewrite of unsuccessful aspects of the policy to take place.</w:t>
      </w:r>
    </w:p>
    <w:p w:rsidR="00000000" w:rsidDel="00000000" w:rsidP="00000000" w:rsidRDefault="00000000" w:rsidRPr="00000000" w14:paraId="0000003F">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0">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1">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2.3</w:t>
      </w:r>
    </w:p>
    <w:p w:rsidR="00000000" w:rsidDel="00000000" w:rsidP="00000000" w:rsidRDefault="00000000" w:rsidRPr="00000000" w14:paraId="00000042">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3">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Feedback was given from my line manager, Martin Griffiths, who I have worked with for almost seven years. </w:t>
      </w:r>
      <w:r w:rsidDel="00000000" w:rsidR="00000000" w:rsidRPr="00000000">
        <w:rPr>
          <w:rFonts w:ascii="Calibri" w:cs="Calibri" w:eastAsia="Calibri" w:hAnsi="Calibri"/>
          <w:sz w:val="24"/>
          <w:szCs w:val="24"/>
          <w:rtl w:val="0"/>
        </w:rPr>
        <w:t xml:space="preserve">The</w:t>
      </w:r>
      <w:r w:rsidDel="00000000" w:rsidR="00000000" w:rsidRPr="00000000">
        <w:rPr>
          <w:rFonts w:ascii="Calibri" w:cs="Calibri" w:eastAsia="Calibri" w:hAnsi="Calibri"/>
          <w:sz w:val="24"/>
          <w:szCs w:val="24"/>
          <w:rtl w:val="0"/>
        </w:rPr>
        <w:t xml:space="preserve"> bulk of this period of time, he has been my line manager.</w:t>
      </w:r>
    </w:p>
    <w:p w:rsidR="00000000" w:rsidDel="00000000" w:rsidP="00000000" w:rsidRDefault="00000000" w:rsidRPr="00000000" w14:paraId="00000044">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5">
      <w:pPr>
        <w:rPr>
          <w:rFonts w:ascii="Calibri" w:cs="Calibri" w:eastAsia="Calibri" w:hAnsi="Calibri"/>
          <w:sz w:val="24"/>
          <w:szCs w:val="24"/>
        </w:rPr>
      </w:pPr>
      <w:r w:rsidDel="00000000" w:rsidR="00000000" w:rsidRPr="00000000">
        <w:rPr>
          <w:rtl w:val="0"/>
        </w:rPr>
      </w:r>
    </w:p>
    <w:tbl>
      <w:tblPr>
        <w:tblStyle w:val="Table1"/>
        <w:tblW w:w="936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580.8386277001273"/>
        <w:gridCol w:w="3567.9796696315125"/>
        <w:gridCol w:w="3211.181702668361"/>
        <w:tblGridChange w:id="0">
          <w:tblGrid>
            <w:gridCol w:w="2580.8386277001273"/>
            <w:gridCol w:w="3567.9796696315125"/>
            <w:gridCol w:w="3211.181702668361"/>
          </w:tblGrid>
        </w:tblGridChange>
      </w:tblGrid>
      <w:tr>
        <w:trPr>
          <w:cantSplit w:val="0"/>
          <w:trHeight w:val="315" w:hRule="atLeast"/>
          <w:tblHeader w:val="0"/>
        </w:trPr>
        <w:tc>
          <w:tcPr>
            <w:tcBorders>
              <w:top w:color="284e3f" w:space="0" w:sz="5" w:val="single"/>
              <w:left w:color="284e3f" w:space="0" w:sz="5" w:val="single"/>
              <w:bottom w:color="000000" w:space="0" w:sz="5" w:val="single"/>
              <w:right w:color="356854" w:space="0" w:sz="5" w:val="single"/>
            </w:tcBorders>
            <w:shd w:fill="356854" w:val="clear"/>
            <w:tcMar>
              <w:top w:w="40.0" w:type="dxa"/>
              <w:left w:w="120.0" w:type="dxa"/>
              <w:bottom w:w="40.0" w:type="dxa"/>
              <w:right w:w="120.0" w:type="dxa"/>
            </w:tcMar>
            <w:vAlign w:val="center"/>
          </w:tcPr>
          <w:p w:rsidR="00000000" w:rsidDel="00000000" w:rsidP="00000000" w:rsidRDefault="00000000" w:rsidRPr="00000000" w14:paraId="00000046">
            <w:pPr>
              <w:widowControl w:val="0"/>
              <w:rPr>
                <w:rFonts w:ascii="Calibri" w:cs="Calibri" w:eastAsia="Calibri" w:hAnsi="Calibri"/>
                <w:sz w:val="24"/>
                <w:szCs w:val="24"/>
              </w:rPr>
            </w:pPr>
            <w:r w:rsidDel="00000000" w:rsidR="00000000" w:rsidRPr="00000000">
              <w:rPr>
                <w:rFonts w:ascii="Calibri" w:cs="Calibri" w:eastAsia="Calibri" w:hAnsi="Calibri"/>
                <w:color w:val="ffffff"/>
                <w:sz w:val="24"/>
                <w:szCs w:val="24"/>
                <w:rtl w:val="0"/>
              </w:rPr>
              <w:t xml:space="preserve">Standard</w:t>
            </w:r>
            <w:r w:rsidDel="00000000" w:rsidR="00000000" w:rsidRPr="00000000">
              <w:rPr>
                <w:rtl w:val="0"/>
              </w:rPr>
            </w:r>
          </w:p>
        </w:tc>
        <w:tc>
          <w:tcPr>
            <w:tcBorders>
              <w:top w:color="284e3f" w:space="0" w:sz="5" w:val="single"/>
              <w:left w:color="cccccc" w:space="0" w:sz="5" w:val="single"/>
              <w:bottom w:color="000000" w:space="0" w:sz="5" w:val="single"/>
              <w:right w:color="356854" w:space="0" w:sz="5" w:val="single"/>
            </w:tcBorders>
            <w:shd w:fill="356854" w:val="clear"/>
            <w:tcMar>
              <w:top w:w="40.0" w:type="dxa"/>
              <w:left w:w="120.0" w:type="dxa"/>
              <w:bottom w:w="40.0" w:type="dxa"/>
              <w:right w:w="120.0" w:type="dxa"/>
            </w:tcMar>
            <w:vAlign w:val="center"/>
          </w:tcPr>
          <w:p w:rsidR="00000000" w:rsidDel="00000000" w:rsidP="00000000" w:rsidRDefault="00000000" w:rsidRPr="00000000" w14:paraId="00000047">
            <w:pPr>
              <w:widowControl w:val="0"/>
              <w:rPr>
                <w:rFonts w:ascii="Calibri" w:cs="Calibri" w:eastAsia="Calibri" w:hAnsi="Calibri"/>
                <w:sz w:val="24"/>
                <w:szCs w:val="24"/>
              </w:rPr>
            </w:pPr>
            <w:r w:rsidDel="00000000" w:rsidR="00000000" w:rsidRPr="00000000">
              <w:rPr>
                <w:rFonts w:ascii="Calibri" w:cs="Calibri" w:eastAsia="Calibri" w:hAnsi="Calibri"/>
                <w:color w:val="ffffff"/>
                <w:sz w:val="24"/>
                <w:szCs w:val="24"/>
                <w:rtl w:val="0"/>
              </w:rPr>
              <w:t xml:space="preserve">Feedback from MG - line manager</w:t>
            </w:r>
            <w:r w:rsidDel="00000000" w:rsidR="00000000" w:rsidRPr="00000000">
              <w:rPr>
                <w:rtl w:val="0"/>
              </w:rPr>
            </w:r>
          </w:p>
        </w:tc>
        <w:tc>
          <w:tcPr>
            <w:tcBorders>
              <w:top w:color="284e3f" w:space="0" w:sz="5" w:val="single"/>
              <w:left w:color="cccccc" w:space="0" w:sz="5" w:val="single"/>
              <w:bottom w:color="000000" w:space="0" w:sz="5" w:val="single"/>
              <w:right w:color="284e3f" w:space="0" w:sz="5" w:val="single"/>
            </w:tcBorders>
            <w:shd w:fill="356854" w:val="clear"/>
            <w:tcMar>
              <w:top w:w="40.0" w:type="dxa"/>
              <w:left w:w="120.0" w:type="dxa"/>
              <w:bottom w:w="40.0" w:type="dxa"/>
              <w:right w:w="120.0" w:type="dxa"/>
            </w:tcMar>
            <w:vAlign w:val="center"/>
          </w:tcPr>
          <w:p w:rsidR="00000000" w:rsidDel="00000000" w:rsidP="00000000" w:rsidRDefault="00000000" w:rsidRPr="00000000" w14:paraId="00000048">
            <w:pPr>
              <w:widowControl w:val="0"/>
              <w:rPr>
                <w:rFonts w:ascii="Calibri" w:cs="Calibri" w:eastAsia="Calibri" w:hAnsi="Calibri"/>
                <w:sz w:val="24"/>
                <w:szCs w:val="24"/>
              </w:rPr>
            </w:pPr>
            <w:r w:rsidDel="00000000" w:rsidR="00000000" w:rsidRPr="00000000">
              <w:rPr>
                <w:rFonts w:ascii="Calibri" w:cs="Calibri" w:eastAsia="Calibri" w:hAnsi="Calibri"/>
                <w:color w:val="ffffff"/>
                <w:sz w:val="24"/>
                <w:szCs w:val="24"/>
                <w:rtl w:val="0"/>
              </w:rPr>
              <w:t xml:space="preserve">My reflection</w:t>
            </w:r>
            <w:r w:rsidDel="00000000" w:rsidR="00000000" w:rsidRPr="00000000">
              <w:rPr>
                <w:rtl w:val="0"/>
              </w:rPr>
            </w:r>
          </w:p>
        </w:tc>
      </w:tr>
      <w:tr>
        <w:trPr>
          <w:cantSplit w:val="0"/>
          <w:trHeight w:val="3450" w:hRule="atLeast"/>
          <w:tblHeader w:val="0"/>
        </w:trPr>
        <w:tc>
          <w:tcPr>
            <w:tcBorders>
              <w:top w:color="cccccc" w:space="0" w:sz="5" w:val="single"/>
              <w:left w:color="000000" w:space="0" w:sz="5" w:val="single"/>
              <w:bottom w:color="000000" w:space="0" w:sz="5" w:val="single"/>
              <w:right w:color="000000" w:space="0" w:sz="5"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49">
            <w:pPr>
              <w:widowControl w:val="0"/>
              <w:rPr>
                <w:rFonts w:ascii="Calibri" w:cs="Calibri" w:eastAsia="Calibri" w:hAnsi="Calibri"/>
                <w:sz w:val="24"/>
                <w:szCs w:val="24"/>
              </w:rPr>
            </w:pPr>
            <w:r w:rsidDel="00000000" w:rsidR="00000000" w:rsidRPr="00000000">
              <w:rPr>
                <w:rFonts w:ascii="Calibri" w:cs="Calibri" w:eastAsia="Calibri" w:hAnsi="Calibri"/>
                <w:color w:val="434343"/>
                <w:sz w:val="24"/>
                <w:szCs w:val="24"/>
                <w:rtl w:val="0"/>
              </w:rPr>
              <w:t xml:space="preserve">Inclusivity</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4A">
            <w:pPr>
              <w:widowControl w:val="0"/>
              <w:rPr>
                <w:rFonts w:ascii="Calibri" w:cs="Calibri" w:eastAsia="Calibri" w:hAnsi="Calibri"/>
                <w:sz w:val="24"/>
                <w:szCs w:val="24"/>
              </w:rPr>
            </w:pPr>
            <w:r w:rsidDel="00000000" w:rsidR="00000000" w:rsidRPr="00000000">
              <w:rPr>
                <w:rFonts w:ascii="Calibri" w:cs="Calibri" w:eastAsia="Calibri" w:hAnsi="Calibri"/>
                <w:color w:val="434343"/>
                <w:sz w:val="24"/>
                <w:szCs w:val="24"/>
                <w:rtl w:val="0"/>
              </w:rPr>
              <w:t xml:space="preserve">Mike demonstrates inclusive practice through his consistent and fair approach to all schools he supports. As an IQA, he works with both high and underperforming schools and ensures that expectations, support and communication remain fair and </w:t>
            </w:r>
            <w:r w:rsidDel="00000000" w:rsidR="00000000" w:rsidRPr="00000000">
              <w:rPr>
                <w:rFonts w:ascii="Calibri" w:cs="Calibri" w:eastAsia="Calibri" w:hAnsi="Calibri"/>
                <w:color w:val="434343"/>
                <w:sz w:val="24"/>
                <w:szCs w:val="24"/>
                <w:rtl w:val="0"/>
              </w:rPr>
              <w:t xml:space="preserve">consitent</w:t>
            </w:r>
            <w:r w:rsidDel="00000000" w:rsidR="00000000" w:rsidRPr="00000000">
              <w:rPr>
                <w:rFonts w:ascii="Calibri" w:cs="Calibri" w:eastAsia="Calibri" w:hAnsi="Calibri"/>
                <w:color w:val="434343"/>
                <w:sz w:val="24"/>
                <w:szCs w:val="24"/>
                <w:rtl w:val="0"/>
              </w:rPr>
              <w:t xml:space="preserve">. He adapts his approach to meet the needs of each setting without lowering standards, ensuring that no school feels over or undersupported.</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4B">
            <w:pPr>
              <w:widowControl w:val="0"/>
              <w:rPr>
                <w:rFonts w:ascii="Calibri" w:cs="Calibri" w:eastAsia="Calibri" w:hAnsi="Calibri"/>
                <w:sz w:val="24"/>
                <w:szCs w:val="24"/>
              </w:rPr>
            </w:pPr>
            <w:r w:rsidDel="00000000" w:rsidR="00000000" w:rsidRPr="00000000">
              <w:rPr>
                <w:rFonts w:ascii="Calibri" w:cs="Calibri" w:eastAsia="Calibri" w:hAnsi="Calibri"/>
                <w:color w:val="434343"/>
                <w:sz w:val="24"/>
                <w:szCs w:val="24"/>
                <w:rtl w:val="0"/>
              </w:rPr>
              <w:t xml:space="preserve">I work with a wide range of schools, teachers and learners and aim to treat all with equal respect and consistency. In practice, this includes supporting centres to adapt materials where content may be sensitive or triggering for individual learners, ensuring that guided learning hours are still met while maintaining accessibility. Where additional support is required, I run Teams or in-person sessions to help raise standards. </w:t>
            </w:r>
            <w:r w:rsidDel="00000000" w:rsidR="00000000" w:rsidRPr="00000000">
              <w:rPr>
                <w:rtl w:val="0"/>
              </w:rPr>
            </w:r>
          </w:p>
        </w:tc>
      </w:tr>
      <w:tr>
        <w:trPr>
          <w:cantSplit w:val="0"/>
          <w:trHeight w:val="3900" w:hRule="atLeast"/>
          <w:tblHeader w:val="0"/>
        </w:trPr>
        <w:tc>
          <w:tcPr>
            <w:tcBorders>
              <w:top w:color="cccccc" w:space="0" w:sz="5" w:val="single"/>
              <w:left w:color="000000" w:space="0" w:sz="5" w:val="single"/>
              <w:bottom w:color="000000" w:space="0" w:sz="5" w:val="single"/>
              <w:right w:color="000000" w:space="0" w:sz="5"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04C">
            <w:pPr>
              <w:widowControl w:val="0"/>
              <w:rPr>
                <w:rFonts w:ascii="Calibri" w:cs="Calibri" w:eastAsia="Calibri" w:hAnsi="Calibri"/>
                <w:sz w:val="24"/>
                <w:szCs w:val="24"/>
              </w:rPr>
            </w:pPr>
            <w:r w:rsidDel="00000000" w:rsidR="00000000" w:rsidRPr="00000000">
              <w:rPr>
                <w:rFonts w:ascii="Calibri" w:cs="Calibri" w:eastAsia="Calibri" w:hAnsi="Calibri"/>
                <w:color w:val="434343"/>
                <w:sz w:val="24"/>
                <w:szCs w:val="24"/>
                <w:rtl w:val="0"/>
              </w:rPr>
              <w:t xml:space="preserve">Valuing Diversity</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04D">
            <w:pPr>
              <w:widowControl w:val="0"/>
              <w:rPr>
                <w:rFonts w:ascii="Calibri" w:cs="Calibri" w:eastAsia="Calibri" w:hAnsi="Calibri"/>
                <w:sz w:val="24"/>
                <w:szCs w:val="24"/>
              </w:rPr>
            </w:pPr>
            <w:r w:rsidDel="00000000" w:rsidR="00000000" w:rsidRPr="00000000">
              <w:rPr>
                <w:rFonts w:ascii="Calibri" w:cs="Calibri" w:eastAsia="Calibri" w:hAnsi="Calibri"/>
                <w:color w:val="434343"/>
                <w:sz w:val="24"/>
                <w:szCs w:val="24"/>
                <w:rtl w:val="0"/>
              </w:rPr>
              <w:t xml:space="preserve">Mike recognises that schools operate in varied contexts, with differences in leadership style, resources, staff experience and learner demographics. Rather than applying a uniform judgement, he considers various factors when offering feedback but he </w:t>
            </w:r>
            <w:r w:rsidDel="00000000" w:rsidR="00000000" w:rsidRPr="00000000">
              <w:rPr>
                <w:rFonts w:ascii="Calibri" w:cs="Calibri" w:eastAsia="Calibri" w:hAnsi="Calibri"/>
                <w:color w:val="434343"/>
                <w:sz w:val="24"/>
                <w:szCs w:val="24"/>
                <w:rtl w:val="0"/>
              </w:rPr>
              <w:t xml:space="preserve">operats</w:t>
            </w:r>
            <w:r w:rsidDel="00000000" w:rsidR="00000000" w:rsidRPr="00000000">
              <w:rPr>
                <w:rFonts w:ascii="Calibri" w:cs="Calibri" w:eastAsia="Calibri" w:hAnsi="Calibri"/>
                <w:color w:val="434343"/>
                <w:sz w:val="24"/>
                <w:szCs w:val="24"/>
                <w:rtl w:val="0"/>
              </w:rPr>
              <w:t xml:space="preserve"> within strict guidelines from the Award Organisation and our Lead Standards Verifier. In developing new workbooks, he has been mindful to include examples that reflect different types of educational environments, helping ensure materials are relevant and accessible to a broad audience. He has written a workbook on DEI and that has been well received by our centres.</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04E">
            <w:pPr>
              <w:widowControl w:val="0"/>
              <w:rPr>
                <w:rFonts w:ascii="Calibri" w:cs="Calibri" w:eastAsia="Calibri" w:hAnsi="Calibri"/>
                <w:sz w:val="24"/>
                <w:szCs w:val="24"/>
              </w:rPr>
            </w:pPr>
            <w:r w:rsidDel="00000000" w:rsidR="00000000" w:rsidRPr="00000000">
              <w:rPr>
                <w:rFonts w:ascii="Calibri" w:cs="Calibri" w:eastAsia="Calibri" w:hAnsi="Calibri"/>
                <w:color w:val="434343"/>
                <w:sz w:val="24"/>
                <w:szCs w:val="24"/>
                <w:rtl w:val="0"/>
              </w:rPr>
              <w:t xml:space="preserve">When writing workbooks, I have worked closely with Pearson to ensure resources are accessible to a wide range of centres and learners. For example, in the Sexual Health and Wellbeing unit, I recognised that some faith-based schools were reluctant to deliver the content. By working with the Product Manager, we reframed the unit in a more sensitive and inclusive way so that it remained compliant while being accessible to learners of different faiths and cultural contexts, including centres in the Middle East with minimal adaptation required. This experience reinforced my understanding that valuing diversity requires thinking about cultural differences in detail.</w:t>
            </w:r>
            <w:r w:rsidDel="00000000" w:rsidR="00000000" w:rsidRPr="00000000">
              <w:rPr>
                <w:rtl w:val="0"/>
              </w:rPr>
            </w:r>
          </w:p>
        </w:tc>
      </w:tr>
      <w:tr>
        <w:trPr>
          <w:cantSplit w:val="0"/>
          <w:trHeight w:val="2325" w:hRule="atLeast"/>
          <w:tblHeader w:val="0"/>
        </w:trPr>
        <w:tc>
          <w:tcPr>
            <w:tcBorders>
              <w:top w:color="cccccc" w:space="0" w:sz="5" w:val="single"/>
              <w:left w:color="000000" w:space="0" w:sz="5" w:val="single"/>
              <w:bottom w:color="000000" w:space="0" w:sz="5" w:val="single"/>
              <w:right w:color="000000" w:space="0" w:sz="5"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4F">
            <w:pPr>
              <w:widowControl w:val="0"/>
              <w:rPr>
                <w:rFonts w:ascii="Calibri" w:cs="Calibri" w:eastAsia="Calibri" w:hAnsi="Calibri"/>
                <w:sz w:val="24"/>
                <w:szCs w:val="24"/>
              </w:rPr>
            </w:pPr>
            <w:r w:rsidDel="00000000" w:rsidR="00000000" w:rsidRPr="00000000">
              <w:rPr>
                <w:rFonts w:ascii="Calibri" w:cs="Calibri" w:eastAsia="Calibri" w:hAnsi="Calibri"/>
                <w:color w:val="434343"/>
                <w:sz w:val="24"/>
                <w:szCs w:val="24"/>
                <w:rtl w:val="0"/>
              </w:rPr>
              <w:t xml:space="preserve">Building Relationships</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50">
            <w:pPr>
              <w:widowControl w:val="0"/>
              <w:rPr>
                <w:rFonts w:ascii="Calibri" w:cs="Calibri" w:eastAsia="Calibri" w:hAnsi="Calibri"/>
                <w:sz w:val="24"/>
                <w:szCs w:val="24"/>
              </w:rPr>
            </w:pPr>
            <w:r w:rsidDel="00000000" w:rsidR="00000000" w:rsidRPr="00000000">
              <w:rPr>
                <w:rFonts w:ascii="Calibri" w:cs="Calibri" w:eastAsia="Calibri" w:hAnsi="Calibri"/>
                <w:color w:val="434343"/>
                <w:sz w:val="24"/>
                <w:szCs w:val="24"/>
                <w:rtl w:val="0"/>
              </w:rPr>
              <w:t xml:space="preserve">Mike builds professional, respectful relationships with both external partners and internal colleagues. Even when delivering challenging quality feedback, he maintains professionalism and uses a supportive </w:t>
            </w:r>
            <w:r w:rsidDel="00000000" w:rsidR="00000000" w:rsidRPr="00000000">
              <w:rPr>
                <w:rFonts w:ascii="Calibri" w:cs="Calibri" w:eastAsia="Calibri" w:hAnsi="Calibri"/>
                <w:color w:val="434343"/>
                <w:sz w:val="24"/>
                <w:szCs w:val="24"/>
                <w:rtl w:val="0"/>
              </w:rPr>
              <w:t xml:space="preserve">apporach</w:t>
            </w:r>
            <w:r w:rsidDel="00000000" w:rsidR="00000000" w:rsidRPr="00000000">
              <w:rPr>
                <w:rFonts w:ascii="Calibri" w:cs="Calibri" w:eastAsia="Calibri" w:hAnsi="Calibri"/>
                <w:color w:val="434343"/>
                <w:sz w:val="24"/>
                <w:szCs w:val="24"/>
                <w:rtl w:val="0"/>
              </w:rPr>
              <w:t xml:space="preserve">. This has enabled him to build credibility with schools, ensuring that quality assurance conversations remain constructive and supportive. </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51">
            <w:pPr>
              <w:widowControl w:val="0"/>
              <w:rPr>
                <w:rFonts w:ascii="Calibri" w:cs="Calibri" w:eastAsia="Calibri" w:hAnsi="Calibri"/>
                <w:sz w:val="24"/>
                <w:szCs w:val="24"/>
              </w:rPr>
            </w:pPr>
            <w:r w:rsidDel="00000000" w:rsidR="00000000" w:rsidRPr="00000000">
              <w:rPr>
                <w:rFonts w:ascii="Calibri" w:cs="Calibri" w:eastAsia="Calibri" w:hAnsi="Calibri"/>
                <w:color w:val="434343"/>
                <w:sz w:val="24"/>
                <w:szCs w:val="24"/>
                <w:rtl w:val="0"/>
              </w:rPr>
              <w:t xml:space="preserve">I prioritise building respectful relationships as this is a key part of my role and has allowed me to be a success in it. Reflecting on this, I see relationship-building as a key strength but I am aware that I need to expand my network more and meet with more senior school leaders to support them in supervising staff, whilst also possibly gaining access to decision makers. This could enhance my personal sales figures and allow me to meet my targets. Quarterly or half year business reviews might help with this, as will going to Partnership meetings with my schools across South Wales, a bit like I am doing in Feb 2026.</w:t>
            </w:r>
            <w:r w:rsidDel="00000000" w:rsidR="00000000" w:rsidRPr="00000000">
              <w:rPr>
                <w:rtl w:val="0"/>
              </w:rPr>
            </w:r>
          </w:p>
        </w:tc>
      </w:tr>
      <w:tr>
        <w:trPr>
          <w:cantSplit w:val="0"/>
          <w:trHeight w:val="3900" w:hRule="atLeast"/>
          <w:tblHeader w:val="0"/>
        </w:trPr>
        <w:tc>
          <w:tcPr>
            <w:tcBorders>
              <w:top w:color="cccccc" w:space="0" w:sz="5" w:val="single"/>
              <w:left w:color="000000" w:space="0" w:sz="5" w:val="single"/>
              <w:bottom w:color="000000" w:space="0" w:sz="5" w:val="single"/>
              <w:right w:color="000000" w:space="0" w:sz="5"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052">
            <w:pPr>
              <w:widowControl w:val="0"/>
              <w:rPr>
                <w:rFonts w:ascii="Calibri" w:cs="Calibri" w:eastAsia="Calibri" w:hAnsi="Calibri"/>
                <w:sz w:val="24"/>
                <w:szCs w:val="24"/>
              </w:rPr>
            </w:pPr>
            <w:r w:rsidDel="00000000" w:rsidR="00000000" w:rsidRPr="00000000">
              <w:rPr>
                <w:rFonts w:ascii="Calibri" w:cs="Calibri" w:eastAsia="Calibri" w:hAnsi="Calibri"/>
                <w:color w:val="434343"/>
                <w:sz w:val="24"/>
                <w:szCs w:val="24"/>
                <w:rtl w:val="0"/>
              </w:rPr>
              <w:t xml:space="preserve">Collaborative Working</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053">
            <w:pPr>
              <w:widowControl w:val="0"/>
              <w:rPr>
                <w:rFonts w:ascii="Calibri" w:cs="Calibri" w:eastAsia="Calibri" w:hAnsi="Calibri"/>
                <w:sz w:val="24"/>
                <w:szCs w:val="24"/>
              </w:rPr>
            </w:pPr>
            <w:r w:rsidDel="00000000" w:rsidR="00000000" w:rsidRPr="00000000">
              <w:rPr>
                <w:rFonts w:ascii="Calibri" w:cs="Calibri" w:eastAsia="Calibri" w:hAnsi="Calibri"/>
                <w:color w:val="434343"/>
                <w:sz w:val="24"/>
                <w:szCs w:val="24"/>
                <w:rtl w:val="0"/>
              </w:rPr>
              <w:t xml:space="preserve">Mike demonstrates collaborative working through his willingness to engage schools in conversation and regularly visits his closest centres and uses Teams with centres he cannot drive to. He works alongside staff to identify practical solutions and improvements. Internally, he contributes positively to team discussions and </w:t>
            </w:r>
            <w:r w:rsidDel="00000000" w:rsidR="00000000" w:rsidRPr="00000000">
              <w:rPr>
                <w:rFonts w:ascii="Calibri" w:cs="Calibri" w:eastAsia="Calibri" w:hAnsi="Calibri"/>
                <w:color w:val="434343"/>
                <w:sz w:val="24"/>
                <w:szCs w:val="24"/>
                <w:rtl w:val="0"/>
              </w:rPr>
              <w:t xml:space="preserve">supportsbusiness</w:t>
            </w:r>
            <w:r w:rsidDel="00000000" w:rsidR="00000000" w:rsidRPr="00000000">
              <w:rPr>
                <w:rFonts w:ascii="Calibri" w:cs="Calibri" w:eastAsia="Calibri" w:hAnsi="Calibri"/>
                <w:color w:val="434343"/>
                <w:sz w:val="24"/>
                <w:szCs w:val="24"/>
                <w:rtl w:val="0"/>
              </w:rPr>
              <w:t xml:space="preserve"> growth goals and </w:t>
            </w:r>
            <w:r w:rsidDel="00000000" w:rsidR="00000000" w:rsidRPr="00000000">
              <w:rPr>
                <w:rFonts w:ascii="Calibri" w:cs="Calibri" w:eastAsia="Calibri" w:hAnsi="Calibri"/>
                <w:color w:val="434343"/>
                <w:sz w:val="24"/>
                <w:szCs w:val="24"/>
                <w:rtl w:val="0"/>
              </w:rPr>
              <w:t xml:space="preserve">is, particularly</w:t>
            </w:r>
            <w:r w:rsidDel="00000000" w:rsidR="00000000" w:rsidRPr="00000000">
              <w:rPr>
                <w:rFonts w:ascii="Calibri" w:cs="Calibri" w:eastAsia="Calibri" w:hAnsi="Calibri"/>
                <w:color w:val="434343"/>
                <w:sz w:val="24"/>
                <w:szCs w:val="24"/>
                <w:rtl w:val="0"/>
              </w:rPr>
              <w:t xml:space="preserve"> good at onboarding processes for new staff members due to his experience.</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054">
            <w:pPr>
              <w:widowControl w:val="0"/>
              <w:rPr>
                <w:rFonts w:ascii="Calibri" w:cs="Calibri" w:eastAsia="Calibri" w:hAnsi="Calibri"/>
                <w:sz w:val="24"/>
                <w:szCs w:val="24"/>
              </w:rPr>
            </w:pPr>
            <w:r w:rsidDel="00000000" w:rsidR="00000000" w:rsidRPr="00000000">
              <w:rPr>
                <w:rFonts w:ascii="Calibri" w:cs="Calibri" w:eastAsia="Calibri" w:hAnsi="Calibri"/>
                <w:color w:val="434343"/>
                <w:sz w:val="24"/>
                <w:szCs w:val="24"/>
                <w:rtl w:val="0"/>
              </w:rPr>
              <w:t xml:space="preserve">Reflecting on  the last seven years in this role, it may seem that I spend a disproportionate amount of time on some schools. However, putting in the hours and graft with schools that are struggling has seen them flourish and become better performing centres over time. When new centres come on board, or they take up a new subject with us, I often see a lot of scope creep and do far more work with them than I should, this often pays dividends much further down the line and sorts out any minor niggles early to allow them to excel more rapidly. Reflecting on this, I will continue balancing collaboration with clear boundaries to ensure my workload does not balloon, particularly during IQA windows.</w:t>
            </w:r>
            <w:r w:rsidDel="00000000" w:rsidR="00000000" w:rsidRPr="00000000">
              <w:rPr>
                <w:rtl w:val="0"/>
              </w:rPr>
            </w:r>
          </w:p>
        </w:tc>
      </w:tr>
      <w:tr>
        <w:trPr>
          <w:cantSplit w:val="0"/>
          <w:trHeight w:val="4350" w:hRule="atLeast"/>
          <w:tblHeader w:val="0"/>
        </w:trPr>
        <w:tc>
          <w:tcPr>
            <w:tcBorders>
              <w:top w:color="cccccc" w:space="0" w:sz="5" w:val="single"/>
              <w:left w:color="000000" w:space="0" w:sz="5" w:val="single"/>
              <w:bottom w:color="000000" w:space="0" w:sz="5" w:val="single"/>
              <w:right w:color="000000" w:space="0" w:sz="5"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55">
            <w:pPr>
              <w:widowControl w:val="0"/>
              <w:rPr>
                <w:rFonts w:ascii="Calibri" w:cs="Calibri" w:eastAsia="Calibri" w:hAnsi="Calibri"/>
                <w:sz w:val="24"/>
                <w:szCs w:val="24"/>
              </w:rPr>
            </w:pPr>
            <w:r w:rsidDel="00000000" w:rsidR="00000000" w:rsidRPr="00000000">
              <w:rPr>
                <w:rFonts w:ascii="Calibri" w:cs="Calibri" w:eastAsia="Calibri" w:hAnsi="Calibri"/>
                <w:color w:val="434343"/>
                <w:sz w:val="24"/>
                <w:szCs w:val="24"/>
                <w:rtl w:val="0"/>
              </w:rPr>
              <w:t xml:space="preserve">Sharing Knowledge</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56">
            <w:pPr>
              <w:widowControl w:val="0"/>
              <w:rPr>
                <w:rFonts w:ascii="Calibri" w:cs="Calibri" w:eastAsia="Calibri" w:hAnsi="Calibri"/>
                <w:sz w:val="24"/>
                <w:szCs w:val="24"/>
              </w:rPr>
            </w:pPr>
            <w:r w:rsidDel="00000000" w:rsidR="00000000" w:rsidRPr="00000000">
              <w:rPr>
                <w:rFonts w:ascii="Calibri" w:cs="Calibri" w:eastAsia="Calibri" w:hAnsi="Calibri"/>
                <w:color w:val="434343"/>
                <w:sz w:val="24"/>
                <w:szCs w:val="24"/>
                <w:rtl w:val="0"/>
              </w:rPr>
              <w:t xml:space="preserve">Mike actively shares knowledge and experience with colleagues and new team members. During onboarding, he provides guidance on expectations, systems and best practice, helping others integrate effectively into their roles. His involvement in writing and refining workbooks further demonstrates his commitment to sharing expertise to improve overall standards of delivery. Indeed, Mike freely gives up considerable time when proof-reading his </w:t>
            </w:r>
            <w:r w:rsidDel="00000000" w:rsidR="00000000" w:rsidRPr="00000000">
              <w:rPr>
                <w:rFonts w:ascii="Calibri" w:cs="Calibri" w:eastAsia="Calibri" w:hAnsi="Calibri"/>
                <w:color w:val="434343"/>
                <w:sz w:val="24"/>
                <w:szCs w:val="24"/>
                <w:rtl w:val="0"/>
              </w:rPr>
              <w:t xml:space="preserve">colleagues new</w:t>
            </w:r>
            <w:r w:rsidDel="00000000" w:rsidR="00000000" w:rsidRPr="00000000">
              <w:rPr>
                <w:rFonts w:ascii="Calibri" w:cs="Calibri" w:eastAsia="Calibri" w:hAnsi="Calibri"/>
                <w:color w:val="434343"/>
                <w:sz w:val="24"/>
                <w:szCs w:val="24"/>
                <w:rtl w:val="0"/>
              </w:rPr>
              <w:t xml:space="preserve"> workbooks and provides a really good insight into how to improve them.</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57">
            <w:pPr>
              <w:widowControl w:val="0"/>
              <w:rPr>
                <w:rFonts w:ascii="Calibri" w:cs="Calibri" w:eastAsia="Calibri" w:hAnsi="Calibri"/>
                <w:sz w:val="24"/>
                <w:szCs w:val="24"/>
              </w:rPr>
            </w:pPr>
            <w:r w:rsidDel="00000000" w:rsidR="00000000" w:rsidRPr="00000000">
              <w:rPr>
                <w:rFonts w:ascii="Calibri" w:cs="Calibri" w:eastAsia="Calibri" w:hAnsi="Calibri"/>
                <w:color w:val="434343"/>
                <w:sz w:val="24"/>
                <w:szCs w:val="24"/>
                <w:rtl w:val="0"/>
              </w:rPr>
              <w:t xml:space="preserve">I completely agree with this, I have been described as being part of the backbone of the IQA team; at present and there is little to the role that I do not know the answer to, or few problems that I have not come across in my time here. I started the role prior to Covid and that exposed me to serious challenges and I had a steep learning curve where anything that could go wrong, did go wrong. When we have had new staff, like those starting in January, I have gone out of my way to ensure that they are supported and able to speak to me about any problems. I have delivered a range of training, recaps, and catch-ups with them to ensure they are supported and up to speed. I have also reinforced the importance of messing up, owning  it, reflecting on it, correcting it and learning from the experience as part of their learning curve. As I have a background in employability from previous roles, I was excited to write the new WorkSkills course and offer my knowledge and expertise to the units.</w:t>
            </w:r>
            <w:r w:rsidDel="00000000" w:rsidR="00000000" w:rsidRPr="00000000">
              <w:rPr>
                <w:rtl w:val="0"/>
              </w:rPr>
            </w:r>
          </w:p>
        </w:tc>
      </w:tr>
      <w:tr>
        <w:trPr>
          <w:cantSplit w:val="0"/>
          <w:trHeight w:val="6375" w:hRule="atLeast"/>
          <w:tblHeader w:val="0"/>
        </w:trPr>
        <w:tc>
          <w:tcPr>
            <w:tcBorders>
              <w:top w:color="cccccc" w:space="0" w:sz="5" w:val="single"/>
              <w:left w:color="000000" w:space="0" w:sz="5" w:val="single"/>
              <w:bottom w:color="000000" w:space="0" w:sz="5" w:val="single"/>
              <w:right w:color="000000" w:space="0" w:sz="5"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058">
            <w:pPr>
              <w:widowControl w:val="0"/>
              <w:rPr>
                <w:rFonts w:ascii="Calibri" w:cs="Calibri" w:eastAsia="Calibri" w:hAnsi="Calibri"/>
                <w:sz w:val="24"/>
                <w:szCs w:val="24"/>
              </w:rPr>
            </w:pPr>
            <w:r w:rsidDel="00000000" w:rsidR="00000000" w:rsidRPr="00000000">
              <w:rPr>
                <w:rFonts w:ascii="Calibri" w:cs="Calibri" w:eastAsia="Calibri" w:hAnsi="Calibri"/>
                <w:color w:val="434343"/>
                <w:sz w:val="24"/>
                <w:szCs w:val="24"/>
                <w:rtl w:val="0"/>
              </w:rPr>
              <w:t xml:space="preserve">Conflict Resolution</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059">
            <w:pPr>
              <w:widowControl w:val="0"/>
              <w:rPr>
                <w:rFonts w:ascii="Calibri" w:cs="Calibri" w:eastAsia="Calibri" w:hAnsi="Calibri"/>
                <w:sz w:val="24"/>
                <w:szCs w:val="24"/>
              </w:rPr>
            </w:pPr>
            <w:r w:rsidDel="00000000" w:rsidR="00000000" w:rsidRPr="00000000">
              <w:rPr>
                <w:rFonts w:ascii="Calibri" w:cs="Calibri" w:eastAsia="Calibri" w:hAnsi="Calibri"/>
                <w:color w:val="434343"/>
                <w:sz w:val="24"/>
                <w:szCs w:val="24"/>
                <w:rtl w:val="0"/>
              </w:rPr>
              <w:t xml:space="preserve">In his IQA role, Mike occasionally manages difficult conversations where quality concerns must be addressed. He approaches these situations calmly and professionally, focusing on evidence and improvement rather than criticism. I tend to be copied into emails so </w:t>
            </w:r>
            <w:r w:rsidDel="00000000" w:rsidR="00000000" w:rsidRPr="00000000">
              <w:rPr>
                <w:rFonts w:ascii="Calibri" w:cs="Calibri" w:eastAsia="Calibri" w:hAnsi="Calibri"/>
                <w:color w:val="434343"/>
                <w:sz w:val="24"/>
                <w:szCs w:val="24"/>
                <w:rtl w:val="0"/>
              </w:rPr>
              <w:t xml:space="preserve">i am</w:t>
            </w:r>
            <w:r w:rsidDel="00000000" w:rsidR="00000000" w:rsidRPr="00000000">
              <w:rPr>
                <w:rFonts w:ascii="Calibri" w:cs="Calibri" w:eastAsia="Calibri" w:hAnsi="Calibri"/>
                <w:color w:val="434343"/>
                <w:sz w:val="24"/>
                <w:szCs w:val="24"/>
                <w:rtl w:val="0"/>
              </w:rPr>
              <w:t xml:space="preserve"> aware of issues, should he need to escalate them. His approach helps maintain working relationships while still addressing necessary standards concerns.</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05A">
            <w:pPr>
              <w:widowControl w:val="0"/>
              <w:rPr>
                <w:rFonts w:ascii="Calibri" w:cs="Calibri" w:eastAsia="Calibri" w:hAnsi="Calibri"/>
                <w:sz w:val="24"/>
                <w:szCs w:val="24"/>
              </w:rPr>
            </w:pPr>
            <w:r w:rsidDel="00000000" w:rsidR="00000000" w:rsidRPr="00000000">
              <w:rPr>
                <w:rFonts w:ascii="Calibri" w:cs="Calibri" w:eastAsia="Calibri" w:hAnsi="Calibri"/>
                <w:color w:val="434343"/>
                <w:sz w:val="24"/>
                <w:szCs w:val="24"/>
                <w:rtl w:val="0"/>
              </w:rPr>
              <w:t xml:space="preserve">When quality concerns arise, I focus on using evidence and professional standards to guide discussions, rather than framing issues as criticism. Reflecting on this, I recognise that while my approach supports positive working relationships, there are occasions where I could be more assertive in reinforcing required standards. I sometimes prioritise maintaining harmony over confidently challenging resistance, but this is a structural issue with the role as there is a strange juxtaposition between driving sales, and maintaining quality standards. To strengthen this area, I plan to develop my assertiveness skills so that I can stand firm where necessary while still maintaining professionalism. This will ensure that BTEC standards are upheld consistently without compromising relationships/sales.</w:t>
            </w:r>
            <w:r w:rsidDel="00000000" w:rsidR="00000000" w:rsidRPr="00000000">
              <w:rPr>
                <w:rtl w:val="0"/>
              </w:rPr>
            </w:r>
          </w:p>
        </w:tc>
      </w:tr>
      <w:tr>
        <w:trPr>
          <w:cantSplit w:val="0"/>
          <w:trHeight w:val="2550" w:hRule="atLeast"/>
          <w:tblHeader w:val="0"/>
        </w:trPr>
        <w:tc>
          <w:tcPr>
            <w:tcBorders>
              <w:top w:color="cccccc" w:space="0" w:sz="5" w:val="single"/>
              <w:left w:color="000000" w:space="0" w:sz="5" w:val="single"/>
              <w:bottom w:color="000000" w:space="0" w:sz="5" w:val="single"/>
              <w:right w:color="000000" w:space="0" w:sz="5"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5B">
            <w:pPr>
              <w:widowControl w:val="0"/>
              <w:rPr>
                <w:rFonts w:ascii="Calibri" w:cs="Calibri" w:eastAsia="Calibri" w:hAnsi="Calibri"/>
                <w:sz w:val="24"/>
                <w:szCs w:val="24"/>
              </w:rPr>
            </w:pPr>
            <w:r w:rsidDel="00000000" w:rsidR="00000000" w:rsidRPr="00000000">
              <w:rPr>
                <w:rFonts w:ascii="Calibri" w:cs="Calibri" w:eastAsia="Calibri" w:hAnsi="Calibri"/>
                <w:color w:val="434343"/>
                <w:sz w:val="24"/>
                <w:szCs w:val="24"/>
                <w:rtl w:val="0"/>
              </w:rPr>
              <w:t xml:space="preserve">Psychological Safety</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5C">
            <w:pPr>
              <w:widowControl w:val="0"/>
              <w:rPr>
                <w:rFonts w:ascii="Calibri" w:cs="Calibri" w:eastAsia="Calibri" w:hAnsi="Calibri"/>
                <w:sz w:val="24"/>
                <w:szCs w:val="24"/>
              </w:rPr>
            </w:pPr>
            <w:r w:rsidDel="00000000" w:rsidR="00000000" w:rsidRPr="00000000">
              <w:rPr>
                <w:rFonts w:ascii="Calibri" w:cs="Calibri" w:eastAsia="Calibri" w:hAnsi="Calibri"/>
                <w:color w:val="434343"/>
                <w:sz w:val="24"/>
                <w:szCs w:val="24"/>
                <w:rtl w:val="0"/>
              </w:rPr>
              <w:t xml:space="preserve">Mike contributes to psychological safety by encouraging open discussion and maintaining a non-judgemental tone when colleagues or school staff raise concerns. His approach supports honest dialogue and helps create an environment where individuals feel able to acknowledge challenges and seek support. Lately, he has been proofreading workbooks from colleagues and supports them to ensure the content and assessment criteria for tasks are meeting the </w:t>
            </w:r>
            <w:r w:rsidDel="00000000" w:rsidR="00000000" w:rsidRPr="00000000">
              <w:rPr>
                <w:rFonts w:ascii="Calibri" w:cs="Calibri" w:eastAsia="Calibri" w:hAnsi="Calibri"/>
                <w:color w:val="434343"/>
                <w:sz w:val="24"/>
                <w:szCs w:val="24"/>
                <w:rtl w:val="0"/>
              </w:rPr>
              <w:t xml:space="preserve">requirement</w:t>
            </w:r>
            <w:r w:rsidDel="00000000" w:rsidR="00000000" w:rsidRPr="00000000">
              <w:rPr>
                <w:rFonts w:ascii="Calibri" w:cs="Calibri" w:eastAsia="Calibri" w:hAnsi="Calibri"/>
                <w:color w:val="434343"/>
                <w:sz w:val="24"/>
                <w:szCs w:val="24"/>
                <w:rtl w:val="0"/>
              </w:rPr>
              <w:t xml:space="preserve"> of the awarding organisation. He has a sensible and pragmatic approach which the two writers appreciate.</w:t>
            </w: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5D">
            <w:pPr>
              <w:widowControl w:val="0"/>
              <w:rPr>
                <w:rFonts w:ascii="Calibri" w:cs="Calibri" w:eastAsia="Calibri" w:hAnsi="Calibri"/>
                <w:sz w:val="24"/>
                <w:szCs w:val="24"/>
              </w:rPr>
            </w:pPr>
            <w:r w:rsidDel="00000000" w:rsidR="00000000" w:rsidRPr="00000000">
              <w:rPr>
                <w:rFonts w:ascii="Calibri" w:cs="Calibri" w:eastAsia="Calibri" w:hAnsi="Calibri"/>
                <w:color w:val="434343"/>
                <w:sz w:val="24"/>
                <w:szCs w:val="24"/>
                <w:rtl w:val="0"/>
              </w:rPr>
              <w:t xml:space="preserve">I aim to create an environment where colleagues and schools feel comfortable raising concerns. Feedback indicated that my approach is supportive and non-judgemental. From my personal life, I have been told that I can appear judgemental and be opinionated, which is different to how I am in work and is something to consider in the future.</w:t>
            </w:r>
            <w:r w:rsidDel="00000000" w:rsidR="00000000" w:rsidRPr="00000000">
              <w:rPr>
                <w:rtl w:val="0"/>
              </w:rPr>
            </w:r>
          </w:p>
        </w:tc>
      </w:tr>
    </w:tbl>
    <w:p w:rsidR="00000000" w:rsidDel="00000000" w:rsidP="00000000" w:rsidRDefault="00000000" w:rsidRPr="00000000" w14:paraId="0000005E">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F">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3.1</w:t>
      </w:r>
    </w:p>
    <w:p w:rsidR="00000000" w:rsidDel="00000000" w:rsidP="00000000" w:rsidRDefault="00000000" w:rsidRPr="00000000" w14:paraId="00000060">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1">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role of the people professionals (PP) has evolved dramatically from simply being a function that processes paperwork and writes rules and contracts for the workplace. PP roles have adapted to enable them to better serve staff and their expectations, new ways of working since the Covid Pandemic, and drivers of organisational change. Two key areas which have changed the PP landscape considerably are a move towards strategic roles within organisations and the increased use of technology and artificial intelligence in HR (ICS Learn, 2025).</w:t>
      </w:r>
    </w:p>
    <w:p w:rsidR="00000000" w:rsidDel="00000000" w:rsidP="00000000" w:rsidRDefault="00000000" w:rsidRPr="00000000" w14:paraId="00000062">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3">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PPs are expected to support organisations in a wider range of areas, these can include organisation performance, workforce planning, and change management, rather than focussing upon administrative functions and tasks (CIPD, 2025). To achieve this, PPs will work closely with business leaders and make major contributions towards business strategy. To ensure I am able to make a suitable contribution to this area, I have already completed a course on Negotiation Skills. However, I can still learn more by exposing myself to greater aspects of the business to develop my commercial awareness, and undertake more work on my communication and influencing skills.</w:t>
      </w:r>
    </w:p>
    <w:p w:rsidR="00000000" w:rsidDel="00000000" w:rsidP="00000000" w:rsidRDefault="00000000" w:rsidRPr="00000000" w14:paraId="00000064">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5">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My second area is the use of Artificial Intelligence (AI) in HR. Many organisations are now using AI to write job advertisements and </w:t>
      </w:r>
      <w:r w:rsidDel="00000000" w:rsidR="00000000" w:rsidRPr="00000000">
        <w:rPr>
          <w:rFonts w:ascii="Calibri" w:cs="Calibri" w:eastAsia="Calibri" w:hAnsi="Calibri"/>
          <w:sz w:val="24"/>
          <w:szCs w:val="24"/>
          <w:rtl w:val="0"/>
        </w:rPr>
        <w:t xml:space="preserve">person</w:t>
      </w:r>
      <w:r w:rsidDel="00000000" w:rsidR="00000000" w:rsidRPr="00000000">
        <w:rPr>
          <w:rFonts w:ascii="Calibri" w:cs="Calibri" w:eastAsia="Calibri" w:hAnsi="Calibri"/>
          <w:sz w:val="24"/>
          <w:szCs w:val="24"/>
          <w:rtl w:val="0"/>
        </w:rPr>
        <w:t xml:space="preserve"> specifications, short-list candidates (replacing Boolean searches), assist with onboarding, and conducting data analysis (Agrawal, 2025). AI can complete routine tasks, allowing PPs to analyse data and support better decision making within organisations much more quickly. A wide range of tools are available, ranging from ChatGPT, to Gemini and Microsoft Co-Pilot. As with any new technology and way of capturing data, there are concerns regarding data protection, privacy, and transparency in its use. The implication for my professional development is that I need to strengthen my understanding and appreciation of AI, how to use it, how to enable it to learn and answer the questions I pose, in addition to enhancing my own data analysis skills to ensure AI produces correct figures, as it can make errors. In addition to this, it has been highlighted by Long, Ramsay et al (2023 )that AI introduces biases that can cause reputational and legal issues if not monitored and adapted.</w:t>
      </w:r>
    </w:p>
    <w:p w:rsidR="00000000" w:rsidDel="00000000" w:rsidP="00000000" w:rsidRDefault="00000000" w:rsidRPr="00000000" w14:paraId="00000066">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7">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3.2</w:t>
      </w:r>
    </w:p>
    <w:p w:rsidR="00000000" w:rsidDel="00000000" w:rsidP="00000000" w:rsidRDefault="00000000" w:rsidRPr="00000000" w14:paraId="00000068">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Reflecting on my own practice and feedback from my line manager, I have identified strengths, weaknesses, and development priorities in relation to people practice.</w:t>
      </w:r>
    </w:p>
    <w:p w:rsidR="00000000" w:rsidDel="00000000" w:rsidP="00000000" w:rsidRDefault="00000000" w:rsidRPr="00000000" w14:paraId="00000069">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terms of strengths, </w:t>
      </w:r>
      <w:r w:rsidDel="00000000" w:rsidR="00000000" w:rsidRPr="00000000">
        <w:rPr>
          <w:rFonts w:ascii="Calibri" w:cs="Calibri" w:eastAsia="Calibri" w:hAnsi="Calibri"/>
          <w:sz w:val="24"/>
          <w:szCs w:val="24"/>
          <w:rtl w:val="0"/>
        </w:rPr>
        <w:t xml:space="preserve">I am effective in relationship management and inclusivity, building trust with schools while supporting both high and underperforming centres. This aligns with the growing emphasis in HR on inclusivity and equitable practice. I am also strong in knowledge sharing and collaboration, supporting onboarding, mentoring, and the development of inclusive workbooks and IQA, which reflects the increasing expectation for HR practitioners to contribute to learning and team capability.</w:t>
      </w:r>
    </w:p>
    <w:p w:rsidR="00000000" w:rsidDel="00000000" w:rsidP="00000000" w:rsidRDefault="00000000" w:rsidRPr="00000000" w14:paraId="0000006A">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 recognise my weaknesses, and I need to improve assertiveness in enforcing standards, particularly where commercial pressures are juxtaposed with quality expectations. As HR moves towards more data-driven decision making and accountability, this is a key area for growth. I also tend to overextend myself when supporting struggling centres or onboarding new schools, which can reduce focus and efficiency in the short-term, but provide strong foundations for improved standards later down the line.</w:t>
      </w:r>
    </w:p>
    <w:p w:rsidR="00000000" w:rsidDel="00000000" w:rsidP="00000000" w:rsidRDefault="00000000" w:rsidRPr="00000000" w14:paraId="0000006B">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To address these gaps, I plan to strengthen assertiveness, implement stricter, clearer boundaries to focus on high impact activities, and expand my HR capability, including working with the new Operations Manager on policies, procedures, increasing the poor employee voice, and recruitment and selection.</w:t>
      </w:r>
    </w:p>
    <w:p w:rsidR="00000000" w:rsidDel="00000000" w:rsidP="00000000" w:rsidRDefault="00000000" w:rsidRPr="00000000" w14:paraId="0000006C">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D">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3.3</w:t>
      </w:r>
    </w:p>
    <w:p w:rsidR="00000000" w:rsidDel="00000000" w:rsidP="00000000" w:rsidRDefault="00000000" w:rsidRPr="00000000" w14:paraId="0000006E">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F">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 will enrol on a Santander Universities course in Assertive Communication. The course will help me to negotiate better with others, become a more effective leader on projects, and create a more open, honest and respectful atmosphere. Whilst feedback has noted that I deal with difficult conversations well and am assertive, I do tend to struggle with the need to offset leniency of quality with sales. This is a cultural dynamic that has always existed within the organisation and has always left me feeling uncomfortable.</w:t>
      </w:r>
    </w:p>
    <w:p w:rsidR="00000000" w:rsidDel="00000000" w:rsidP="00000000" w:rsidRDefault="00000000" w:rsidRPr="00000000" w14:paraId="00000070">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1">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 would also like to improve my general HR knowledge and have some input into the culture of the organisation, once the new Operations Manager starts in a few months. Some of this will come about through my studies, attending webinars and continuing to listen to the CIPD Podcast and Eat Sleep Work Repeat podcast. Currently, there are challenges with workplace culture, including bullying, harassment, and low morale, which are often addressed internally rather than escalated to directors and owners. When the new Operations Manager starts, I intend to work closely with them to implement constructive, evidence-based approaches to improving psychological safety, staff engagement, and inclusive practices.</w:t>
      </w:r>
    </w:p>
    <w:p w:rsidR="00000000" w:rsidDel="00000000" w:rsidP="00000000" w:rsidRDefault="00000000" w:rsidRPr="00000000" w14:paraId="00000072">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3">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Together, these two activities will strengthen my operational and strategic capabilities, directly addressing the development areas identified in my self-assessment and supporting my long-term professional growth as a people practitioner.</w:t>
      </w:r>
    </w:p>
    <w:p w:rsidR="00000000" w:rsidDel="00000000" w:rsidP="00000000" w:rsidRDefault="00000000" w:rsidRPr="00000000" w14:paraId="00000074">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5">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6">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3.4</w:t>
      </w:r>
    </w:p>
    <w:p w:rsidR="00000000" w:rsidDel="00000000" w:rsidP="00000000" w:rsidRDefault="00000000" w:rsidRPr="00000000" w14:paraId="00000077">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8">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Extract from Sweet Education PDP.</w:t>
      </w:r>
    </w:p>
    <w:p w:rsidR="00000000" w:rsidDel="00000000" w:rsidP="00000000" w:rsidRDefault="00000000" w:rsidRPr="00000000" w14:paraId="00000079">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A">
      <w:pPr>
        <w:spacing w:after="200" w:line="276" w:lineRule="auto"/>
        <w:rPr>
          <w:rFonts w:ascii="Calibri" w:cs="Calibri" w:eastAsia="Calibri" w:hAnsi="Calibri"/>
          <w:sz w:val="24"/>
          <w:szCs w:val="24"/>
        </w:rPr>
      </w:pPr>
      <w:r w:rsidDel="00000000" w:rsidR="00000000" w:rsidRPr="00000000">
        <w:rPr>
          <w:rFonts w:ascii="Calibri" w:cs="Calibri" w:eastAsia="Calibri" w:hAnsi="Calibri"/>
          <w:sz w:val="24"/>
          <w:szCs w:val="24"/>
        </w:rPr>
        <w:drawing>
          <wp:inline distB="0" distT="0" distL="0" distR="0">
            <wp:extent cx="2743200" cy="746760"/>
            <wp:effectExtent b="0" l="0" r="0" t="0"/>
            <wp:docPr descr="Logo&#10;&#10;Description automatically generated" id="1" name="image1.png"/>
            <a:graphic>
              <a:graphicData uri="http://schemas.openxmlformats.org/drawingml/2006/picture">
                <pic:pic>
                  <pic:nvPicPr>
                    <pic:cNvPr descr="Logo&#10;&#10;Description automatically generated" id="0" name="image1.png"/>
                    <pic:cNvPicPr preferRelativeResize="0"/>
                  </pic:nvPicPr>
                  <pic:blipFill>
                    <a:blip r:embed="rId9"/>
                    <a:srcRect b="0" l="0" r="0" t="0"/>
                    <a:stretch>
                      <a:fillRect/>
                    </a:stretch>
                  </pic:blipFill>
                  <pic:spPr>
                    <a:xfrm>
                      <a:off x="0" y="0"/>
                      <a:ext cx="2743200" cy="746760"/>
                    </a:xfrm>
                    <a:prstGeom prst="rect"/>
                    <a:ln/>
                  </pic:spPr>
                </pic:pic>
              </a:graphicData>
            </a:graphic>
          </wp:inline>
        </w:drawing>
      </w:r>
      <w:r w:rsidDel="00000000" w:rsidR="00000000" w:rsidRPr="00000000">
        <w:rPr>
          <w:rtl w:val="0"/>
        </w:rPr>
      </w:r>
    </w:p>
    <w:tbl>
      <w:tblPr>
        <w:tblStyle w:val="Table2"/>
        <w:tblW w:w="1011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0"/>
        <w:gridCol w:w="1275"/>
        <w:gridCol w:w="1005"/>
        <w:gridCol w:w="2850"/>
        <w:gridCol w:w="3135"/>
        <w:gridCol w:w="1035"/>
        <w:tblGridChange w:id="0">
          <w:tblGrid>
            <w:gridCol w:w="810"/>
            <w:gridCol w:w="1275"/>
            <w:gridCol w:w="1005"/>
            <w:gridCol w:w="2850"/>
            <w:gridCol w:w="3135"/>
            <w:gridCol w:w="1035"/>
          </w:tblGrid>
        </w:tblGridChange>
      </w:tblGrid>
      <w:tr>
        <w:trPr>
          <w:cantSplit w:val="0"/>
          <w:tblHeader w:val="0"/>
        </w:trPr>
        <w:tc>
          <w:tcPr>
            <w:gridSpan w:val="6"/>
            <w:shd w:fill="a6a6a6" w:val="clear"/>
          </w:tcPr>
          <w:p w:rsidR="00000000" w:rsidDel="00000000" w:rsidP="00000000" w:rsidRDefault="00000000" w:rsidRPr="00000000" w14:paraId="0000007B">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Learning Development Record – Name: Michael Hargreaves</w:t>
            </w:r>
          </w:p>
          <w:p w:rsidR="00000000" w:rsidDel="00000000" w:rsidP="00000000" w:rsidRDefault="00000000" w:rsidRPr="00000000" w14:paraId="0000007C">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D">
            <w:pPr>
              <w:rPr>
                <w:rFonts w:ascii="Calibri" w:cs="Calibri" w:eastAsia="Calibri" w:hAnsi="Calibri"/>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083">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Date</w:t>
            </w:r>
          </w:p>
        </w:tc>
        <w:tc>
          <w:tcPr/>
          <w:p w:rsidR="00000000" w:rsidDel="00000000" w:rsidP="00000000" w:rsidRDefault="00000000" w:rsidRPr="00000000" w14:paraId="00000084">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What have I done?</w:t>
            </w:r>
          </w:p>
          <w:p w:rsidR="00000000" w:rsidDel="00000000" w:rsidP="00000000" w:rsidRDefault="00000000" w:rsidRPr="00000000" w14:paraId="00000085">
            <w:pPr>
              <w:rPr>
                <w:rFonts w:ascii="Calibri" w:cs="Calibri" w:eastAsia="Calibri" w:hAnsi="Calibri"/>
                <w:sz w:val="24"/>
                <w:szCs w:val="24"/>
              </w:rPr>
            </w:pPr>
            <w:r w:rsidDel="00000000" w:rsidR="00000000" w:rsidRPr="00000000">
              <w:rPr>
                <w:rtl w:val="0"/>
              </w:rPr>
            </w:r>
          </w:p>
        </w:tc>
        <w:tc>
          <w:tcPr/>
          <w:p w:rsidR="00000000" w:rsidDel="00000000" w:rsidP="00000000" w:rsidRDefault="00000000" w:rsidRPr="00000000" w14:paraId="00000086">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Why have I done it?</w:t>
            </w:r>
          </w:p>
        </w:tc>
        <w:tc>
          <w:tcPr/>
          <w:p w:rsidR="00000000" w:rsidDel="00000000" w:rsidP="00000000" w:rsidRDefault="00000000" w:rsidRPr="00000000" w14:paraId="00000087">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What have I learnt</w:t>
            </w:r>
          </w:p>
        </w:tc>
        <w:tc>
          <w:tcPr/>
          <w:p w:rsidR="00000000" w:rsidDel="00000000" w:rsidP="00000000" w:rsidRDefault="00000000" w:rsidRPr="00000000" w14:paraId="00000088">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How have/will I use this?</w:t>
            </w:r>
          </w:p>
        </w:tc>
        <w:tc>
          <w:tcPr/>
          <w:p w:rsidR="00000000" w:rsidDel="00000000" w:rsidP="00000000" w:rsidRDefault="00000000" w:rsidRPr="00000000" w14:paraId="00000089">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Completion/ Review dates</w:t>
            </w:r>
          </w:p>
        </w:tc>
      </w:tr>
      <w:tr>
        <w:trPr>
          <w:cantSplit w:val="0"/>
          <w:trHeight w:val="2426.71875" w:hRule="atLeast"/>
          <w:tblHeader w:val="0"/>
        </w:trPr>
        <w:tc>
          <w:tcPr/>
          <w:p w:rsidR="00000000" w:rsidDel="00000000" w:rsidP="00000000" w:rsidRDefault="00000000" w:rsidRPr="00000000" w14:paraId="0000008A">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01/02/2023</w:t>
            </w:r>
          </w:p>
        </w:tc>
        <w:tc>
          <w:tcPr/>
          <w:p w:rsidR="00000000" w:rsidDel="00000000" w:rsidP="00000000" w:rsidRDefault="00000000" w:rsidRPr="00000000" w14:paraId="0000008B">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ILM Level 5</w:t>
            </w:r>
          </w:p>
        </w:tc>
        <w:tc>
          <w:tcPr/>
          <w:p w:rsidR="00000000" w:rsidDel="00000000" w:rsidP="00000000" w:rsidRDefault="00000000" w:rsidRPr="00000000" w14:paraId="0000008C">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CPD</w:t>
            </w:r>
          </w:p>
        </w:tc>
        <w:tc>
          <w:tcPr/>
          <w:p w:rsidR="00000000" w:rsidDel="00000000" w:rsidP="00000000" w:rsidRDefault="00000000" w:rsidRPr="00000000" w14:paraId="0000008D">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Managing Improvement, Making a Financial Case, Understanding the Organisational Environment,  Managing and Implementing Change in the Workplace.</w:t>
            </w:r>
          </w:p>
          <w:p w:rsidR="00000000" w:rsidDel="00000000" w:rsidP="00000000" w:rsidRDefault="00000000" w:rsidRPr="00000000" w14:paraId="0000008E">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F">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0">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1">
            <w:pPr>
              <w:rPr>
                <w:rFonts w:ascii="Calibri" w:cs="Calibri" w:eastAsia="Calibri" w:hAnsi="Calibri"/>
                <w:sz w:val="24"/>
                <w:szCs w:val="24"/>
              </w:rPr>
            </w:pPr>
            <w:r w:rsidDel="00000000" w:rsidR="00000000" w:rsidRPr="00000000">
              <w:rPr>
                <w:rtl w:val="0"/>
              </w:rPr>
            </w:r>
          </w:p>
        </w:tc>
        <w:tc>
          <w:tcPr/>
          <w:p w:rsidR="00000000" w:rsidDel="00000000" w:rsidP="00000000" w:rsidRDefault="00000000" w:rsidRPr="00000000" w14:paraId="00000092">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Some confirmation of correct change management processes already being used within my working practices. Much is repetition of previous courses, under and postgrad degrees. </w:t>
            </w:r>
          </w:p>
        </w:tc>
        <w:tc>
          <w:tcPr/>
          <w:p w:rsidR="00000000" w:rsidDel="00000000" w:rsidP="00000000" w:rsidRDefault="00000000" w:rsidRPr="00000000" w14:paraId="00000093">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On-going monthly review. 04/07/2024 withdrawn.</w:t>
            </w:r>
          </w:p>
        </w:tc>
      </w:tr>
      <w:tr>
        <w:trPr>
          <w:cantSplit w:val="0"/>
          <w:trHeight w:val="2426.71875" w:hRule="atLeast"/>
          <w:tblHeader w:val="0"/>
        </w:trPr>
        <w:tc>
          <w:tcPr>
            <w:gridSpan w:val="6"/>
          </w:tcPr>
          <w:p w:rsidR="00000000" w:rsidDel="00000000" w:rsidP="00000000" w:rsidRDefault="00000000" w:rsidRPr="00000000" w14:paraId="00000094">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Reflection:</w:t>
            </w:r>
          </w:p>
          <w:p w:rsidR="00000000" w:rsidDel="00000000" w:rsidP="00000000" w:rsidRDefault="00000000" w:rsidRPr="00000000" w14:paraId="00000095">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 enrolled on the ILM Level 5 qualification following encouragement from senior leaders as part of my CPD. Although I initially had reservations, having previously covered similar content through earlier study and practical experience, I approached it with an open mind. However, I quickly realised the programme required significantly more time and energy than anticipated, alongside an already demanding workload which included writing over half of the new WorkSkills units and working with a high caseload of schools.</w:t>
            </w:r>
          </w:p>
          <w:p w:rsidR="00000000" w:rsidDel="00000000" w:rsidP="00000000" w:rsidRDefault="00000000" w:rsidRPr="00000000" w14:paraId="00000096">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pressure negatively affected my wellbeing and stress levels, prompting me to reflect on the sustainability and relevance of my development choices. At one point, I saw a practice nurse and fainted in her office, my blood pressure was also in stage II hypertension. After discussion with my line manager, I made the decision to withdraw. This was not taken lightly, but it demonstrated increased self-awareness and professional judgement regarding workload management and personal limits. I also did not feel the course matched my preferred learning style, it was focussed on one on one sessions, and I prefer classroom based environments where learning can take place based on peers' experiences.</w:t>
            </w:r>
          </w:p>
          <w:p w:rsidR="00000000" w:rsidDel="00000000" w:rsidP="00000000" w:rsidRDefault="00000000" w:rsidRPr="00000000" w14:paraId="00000097">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Importantly, this experience clarified what meaningful development looks like for me. I recognised that learning must align with my long-term career goals and provide challenge and motivation. Sadly, I felt the course offered very little of either and I was disengaged. The experience strengthened my plan to pursue a pathway, outside of education, in HR and people practice, where my interests and strengths are better suited. It also reinforced the importance of prioritising wellbeing and career planning when undertaking CPD.</w:t>
            </w:r>
          </w:p>
          <w:p w:rsidR="00000000" w:rsidDel="00000000" w:rsidP="00000000" w:rsidRDefault="00000000" w:rsidRPr="00000000" w14:paraId="00000098">
            <w:pPr>
              <w:rPr>
                <w:rFonts w:ascii="Calibri" w:cs="Calibri" w:eastAsia="Calibri" w:hAnsi="Calibri"/>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09E">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24/01/2025</w:t>
            </w:r>
          </w:p>
        </w:tc>
        <w:tc>
          <w:tcPr/>
          <w:p w:rsidR="00000000" w:rsidDel="00000000" w:rsidP="00000000" w:rsidRDefault="00000000" w:rsidRPr="00000000" w14:paraId="0000009F">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Negotiation</w:t>
            </w:r>
          </w:p>
        </w:tc>
        <w:tc>
          <w:tcPr/>
          <w:p w:rsidR="00000000" w:rsidDel="00000000" w:rsidP="00000000" w:rsidRDefault="00000000" w:rsidRPr="00000000" w14:paraId="000000A0">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CPD</w:t>
            </w:r>
          </w:p>
        </w:tc>
        <w:tc>
          <w:tcPr/>
          <w:p w:rsidR="00000000" w:rsidDel="00000000" w:rsidP="00000000" w:rsidRDefault="00000000" w:rsidRPr="00000000" w14:paraId="000000A1">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Tools for negotiating,  </w:t>
            </w:r>
          </w:p>
          <w:p w:rsidR="00000000" w:rsidDel="00000000" w:rsidP="00000000" w:rsidRDefault="00000000" w:rsidRPr="00000000" w14:paraId="000000A2">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Different types of negotiations, </w:t>
            </w:r>
          </w:p>
          <w:p w:rsidR="00000000" w:rsidDel="00000000" w:rsidP="00000000" w:rsidRDefault="00000000" w:rsidRPr="00000000" w14:paraId="000000A3">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Understand the differences between interests and positions and how these differences can change a negotiation, </w:t>
            </w:r>
          </w:p>
          <w:p w:rsidR="00000000" w:rsidDel="00000000" w:rsidP="00000000" w:rsidRDefault="00000000" w:rsidRPr="00000000" w14:paraId="000000A4">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Strategies for fair negotiations, </w:t>
            </w:r>
          </w:p>
          <w:p w:rsidR="00000000" w:rsidDel="00000000" w:rsidP="00000000" w:rsidRDefault="00000000" w:rsidRPr="00000000" w14:paraId="000000A5">
            <w:pPr>
              <w:rPr>
                <w:rFonts w:ascii="Calibri" w:cs="Calibri" w:eastAsia="Calibri" w:hAnsi="Calibri"/>
                <w:color w:val="272424"/>
                <w:sz w:val="24"/>
                <w:szCs w:val="24"/>
              </w:rPr>
            </w:pPr>
            <w:r w:rsidDel="00000000" w:rsidR="00000000" w:rsidRPr="00000000">
              <w:rPr>
                <w:rFonts w:ascii="Calibri" w:cs="Calibri" w:eastAsia="Calibri" w:hAnsi="Calibri"/>
                <w:sz w:val="24"/>
                <w:szCs w:val="24"/>
                <w:rtl w:val="0"/>
              </w:rPr>
              <w:t xml:space="preserve">Adding dimensions as a way of resolving seemingly unsurmountable negotiations.</w:t>
            </w:r>
            <w:r w:rsidDel="00000000" w:rsidR="00000000" w:rsidRPr="00000000">
              <w:rPr>
                <w:rtl w:val="0"/>
              </w:rPr>
            </w:r>
          </w:p>
        </w:tc>
        <w:tc>
          <w:tcPr/>
          <w:p w:rsidR="00000000" w:rsidDel="00000000" w:rsidP="00000000" w:rsidRDefault="00000000" w:rsidRPr="00000000" w14:paraId="000000A6">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Daily working practices when undertaking negotiation and influencing team members with workbook styles (particularly for WorkSKills) and when trying to negotiate better outcomes for registrations with school and enhancing our offerings there. </w:t>
            </w:r>
          </w:p>
        </w:tc>
        <w:tc>
          <w:tcPr/>
          <w:p w:rsidR="00000000" w:rsidDel="00000000" w:rsidP="00000000" w:rsidRDefault="00000000" w:rsidRPr="00000000" w14:paraId="000000A7">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24/01/2025</w:t>
            </w:r>
          </w:p>
        </w:tc>
      </w:tr>
      <w:tr>
        <w:trPr>
          <w:cantSplit w:val="0"/>
          <w:trHeight w:val="220" w:hRule="atLeast"/>
          <w:tblHeader w:val="0"/>
        </w:trPr>
        <w:tc>
          <w:tcPr>
            <w:gridSpan w:val="6"/>
          </w:tcPr>
          <w:p w:rsidR="00000000" w:rsidDel="00000000" w:rsidP="00000000" w:rsidRDefault="00000000" w:rsidRPr="00000000" w14:paraId="000000A8">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Reflection:</w:t>
            </w:r>
          </w:p>
          <w:p w:rsidR="00000000" w:rsidDel="00000000" w:rsidP="00000000" w:rsidRDefault="00000000" w:rsidRPr="00000000" w14:paraId="000000A9">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 completed Negotiation training to strengthen my ability to influence outcomes with schools and internal colleagues, like when discussing question designs and layouts. The course looked at practical tools for negotiating, the difference between interests and positions, different types of negotiation approaches, strategies for achieving fair outcomes, and techniques such as “adding dimensions” to resolve situations.</w:t>
            </w:r>
          </w:p>
          <w:p w:rsidR="00000000" w:rsidDel="00000000" w:rsidP="00000000" w:rsidRDefault="00000000" w:rsidRPr="00000000" w14:paraId="000000AA">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One of the most impactful learning points was understanding the difference between stated positions and underlying interests. Previously, I would often focus on the surface level  request (for example, resistance to quality requirements or pushback on timely registrations). The training encouraged me to explore what sat behind that resistance; workload pressures, fear of scrutiny, finances or misunderstanding of standards. This has changed my behaviour; I now approach negotiations more collaboratively and with greater curiosity and ask questions far more.</w:t>
            </w:r>
          </w:p>
          <w:p w:rsidR="00000000" w:rsidDel="00000000" w:rsidP="00000000" w:rsidRDefault="00000000" w:rsidRPr="00000000" w14:paraId="000000AB">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practice, this has improved my performance when working with schools, particularly where there is tension between quality and commercial pressures. By reframing discussions around shared outcomes (learner success, reputation, sustainability) I have been able to achieve more constructive agreements without compromising standards.</w:t>
            </w:r>
          </w:p>
          <w:p w:rsidR="00000000" w:rsidDel="00000000" w:rsidP="00000000" w:rsidRDefault="00000000" w:rsidRPr="00000000" w14:paraId="000000AC">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training has increased my confidence in managing difficult conversations and strengthened my ability to influence others, both personally and professionally. I will continue to refine these skills. The next course will be on assertiveness, which develops upon this one.</w:t>
            </w:r>
          </w:p>
        </w:tc>
      </w:tr>
    </w:tbl>
    <w:p w:rsidR="00000000" w:rsidDel="00000000" w:rsidP="00000000" w:rsidRDefault="00000000" w:rsidRPr="00000000" w14:paraId="000000B2">
      <w:pPr>
        <w:spacing w:after="200" w:line="276"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B3">
      <w:pPr>
        <w:spacing w:after="200" w:line="276"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B4">
      <w:pPr>
        <w:spacing w:after="200" w:line="276"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B5">
      <w:pPr>
        <w:spacing w:after="200" w:line="276"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B6">
      <w:pPr>
        <w:spacing w:after="200" w:line="276"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B7">
      <w:pPr>
        <w:spacing w:after="200" w:line="276"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B8">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B9">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Bibliography</w:t>
      </w:r>
    </w:p>
    <w:p w:rsidR="00000000" w:rsidDel="00000000" w:rsidP="00000000" w:rsidRDefault="00000000" w:rsidRPr="00000000" w14:paraId="000000B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6" w:lineRule="auto"/>
        <w:ind w:left="0" w:right="0" w:firstLine="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ACAS (2024). </w:t>
      </w:r>
      <w:r w:rsidDel="00000000" w:rsidR="00000000" w:rsidRPr="00000000">
        <w:rPr>
          <w:rFonts w:ascii="Calibri" w:cs="Calibri" w:eastAsia="Calibri" w:hAnsi="Calibri"/>
          <w:sz w:val="24"/>
          <w:szCs w:val="24"/>
          <w:rtl w:val="0"/>
        </w:rPr>
        <w:t xml:space="preserve">The Law on Whistleblowing at work: Whistleblowing at Work</w:t>
      </w:r>
      <w:r w:rsidDel="00000000" w:rsidR="00000000" w:rsidRPr="00000000">
        <w:rPr>
          <w:rFonts w:ascii="Calibri" w:cs="Calibri" w:eastAsia="Calibri" w:hAnsi="Calibri"/>
          <w:sz w:val="24"/>
          <w:szCs w:val="24"/>
          <w:rtl w:val="0"/>
        </w:rPr>
        <w:t xml:space="preserve">. [online] Acas. Available at: </w:t>
      </w:r>
      <w:hyperlink r:id="rId10">
        <w:r w:rsidDel="00000000" w:rsidR="00000000" w:rsidRPr="00000000">
          <w:rPr>
            <w:rFonts w:ascii="Calibri" w:cs="Calibri" w:eastAsia="Calibri" w:hAnsi="Calibri"/>
            <w:color w:val="1155cc"/>
            <w:sz w:val="24"/>
            <w:szCs w:val="24"/>
            <w:u w:val="single"/>
            <w:rtl w:val="0"/>
          </w:rPr>
          <w:t xml:space="preserve">https://www.acas.org.uk/whistleblowing-at-work</w:t>
        </w:r>
      </w:hyperlink>
      <w:r w:rsidDel="00000000" w:rsidR="00000000" w:rsidRPr="00000000">
        <w:rPr>
          <w:rFonts w:ascii="Calibri" w:cs="Calibri" w:eastAsia="Calibri" w:hAnsi="Calibri"/>
          <w:sz w:val="24"/>
          <w:szCs w:val="24"/>
          <w:rtl w:val="0"/>
        </w:rPr>
        <w:t xml:space="preserve"> (Accessed on 20/03/2026)</w:t>
      </w:r>
    </w:p>
    <w:p w:rsidR="00000000" w:rsidDel="00000000" w:rsidP="00000000" w:rsidRDefault="00000000" w:rsidRPr="00000000" w14:paraId="000000BB">
      <w:pPr>
        <w:spacing w:after="240" w:before="240" w:lineRule="auto"/>
        <w:ind w:left="0" w:firstLine="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Agrawal, A. (2025) </w:t>
      </w:r>
      <w:r w:rsidDel="00000000" w:rsidR="00000000" w:rsidRPr="00000000">
        <w:rPr>
          <w:rFonts w:ascii="Calibri" w:cs="Calibri" w:eastAsia="Calibri" w:hAnsi="Calibri"/>
          <w:i w:val="1"/>
          <w:iCs w:val="1"/>
          <w:sz w:val="24"/>
          <w:szCs w:val="24"/>
          <w:rtl w:val="0"/>
        </w:rPr>
        <w:t xml:space="preserve">Global C-Suite Ai Indicator | Workday, C-Suite Global AI Indicator Report: AI Is the Ultimate Level-Up</w:t>
      </w:r>
      <w:r w:rsidDel="00000000" w:rsidR="00000000" w:rsidRPr="00000000">
        <w:rPr>
          <w:rFonts w:ascii="Calibri" w:cs="Calibri" w:eastAsia="Calibri" w:hAnsi="Calibri"/>
          <w:sz w:val="24"/>
          <w:szCs w:val="24"/>
          <w:rtl w:val="0"/>
        </w:rPr>
        <w:t xml:space="preserve">. Available at: </w:t>
      </w:r>
      <w:hyperlink r:id="rId11">
        <w:r w:rsidDel="00000000" w:rsidR="00000000" w:rsidRPr="00000000">
          <w:rPr>
            <w:rFonts w:ascii="Calibri" w:cs="Calibri" w:eastAsia="Calibri" w:hAnsi="Calibri"/>
            <w:color w:val="1155cc"/>
            <w:sz w:val="24"/>
            <w:szCs w:val="24"/>
            <w:u w:val="single"/>
            <w:rtl w:val="0"/>
          </w:rPr>
          <w:t xml:space="preserve">https://forms.workday.com/en-us/reports/indicator-to-the-digital-future-with-ai-and-ml-sngl/form.html</w:t>
        </w:r>
      </w:hyperlink>
      <w:r w:rsidDel="00000000" w:rsidR="00000000" w:rsidRPr="00000000">
        <w:rPr>
          <w:rFonts w:ascii="Calibri" w:cs="Calibri" w:eastAsia="Calibri" w:hAnsi="Calibri"/>
          <w:sz w:val="24"/>
          <w:szCs w:val="24"/>
          <w:rtl w:val="0"/>
        </w:rPr>
        <w:t xml:space="preserve">  (Accessed on 08/03/2026)</w:t>
      </w:r>
    </w:p>
    <w:p w:rsidR="00000000" w:rsidDel="00000000" w:rsidP="00000000" w:rsidRDefault="00000000" w:rsidRPr="00000000" w14:paraId="000000BC">
      <w:pPr>
        <w:spacing w:after="240" w:before="240" w:lineRule="auto"/>
        <w:ind w:left="0" w:firstLine="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Armstrong, M. and Taylor, S. (2023) Armstrong’s handbook of human resource management practice. 16th ed. London: Kogan Page.</w:t>
      </w:r>
    </w:p>
    <w:p w:rsidR="00000000" w:rsidDel="00000000" w:rsidP="00000000" w:rsidRDefault="00000000" w:rsidRPr="00000000" w14:paraId="000000BD">
      <w:pPr>
        <w:spacing w:after="240" w:before="240" w:lineRule="auto"/>
        <w:ind w:left="0" w:firstLine="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Arnold, D.G., Beauchamp, T.L. and Bowie, N.E. (2020) Ethical Theory and Business. 10th ed. New York: Cambridge University Press.</w:t>
      </w:r>
    </w:p>
    <w:p w:rsidR="00000000" w:rsidDel="00000000" w:rsidP="00000000" w:rsidRDefault="00000000" w:rsidRPr="00000000" w14:paraId="000000BE">
      <w:pPr>
        <w:spacing w:after="240" w:before="240" w:lineRule="auto"/>
        <w:ind w:left="0" w:firstLine="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Baby, Neenet &amp; Francis, Vipin &amp; Francis, Dilna. (2024). Leveraging the SCARF Model For Employee Engagement: An In-Depth Analysis With Special Reference To Government Organisations. Available at: </w:t>
      </w:r>
      <w:hyperlink r:id="rId12">
        <w:r w:rsidDel="00000000" w:rsidR="00000000" w:rsidRPr="00000000">
          <w:rPr>
            <w:rFonts w:ascii="Calibri" w:cs="Calibri" w:eastAsia="Calibri" w:hAnsi="Calibri"/>
            <w:color w:val="1155cc"/>
            <w:sz w:val="24"/>
            <w:szCs w:val="24"/>
            <w:u w:val="single"/>
            <w:rtl w:val="0"/>
          </w:rPr>
          <w:t xml:space="preserve">https://www.researchgate.net/publication/381553987_Leveraging_the_SCARF_Model_For_Employee_Engagement_An_In-Depth_Analysis_With_Special_Reference_To_Government_Organisations</w:t>
        </w:r>
      </w:hyperlink>
      <w:r w:rsidDel="00000000" w:rsidR="00000000" w:rsidRPr="00000000">
        <w:rPr>
          <w:rFonts w:ascii="Calibri" w:cs="Calibri" w:eastAsia="Calibri" w:hAnsi="Calibri"/>
          <w:sz w:val="24"/>
          <w:szCs w:val="24"/>
          <w:rtl w:val="0"/>
        </w:rPr>
        <w:t xml:space="preserve"> (Accessed on 08/03/2026)</w:t>
      </w:r>
    </w:p>
    <w:p w:rsidR="00000000" w:rsidDel="00000000" w:rsidP="00000000" w:rsidRDefault="00000000" w:rsidRPr="00000000" w14:paraId="000000BF">
      <w:pPr>
        <w:spacing w:after="240" w:before="240" w:lineRule="auto"/>
        <w:ind w:left="0" w:firstLine="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Bellet, C., De Neve, J.-E. and Ward, G. (2019). Does Employee Happiness </w:t>
      </w:r>
      <w:r w:rsidDel="00000000" w:rsidR="00000000" w:rsidRPr="00000000">
        <w:rPr>
          <w:rFonts w:ascii="Calibri" w:cs="Calibri" w:eastAsia="Calibri" w:hAnsi="Calibri"/>
          <w:sz w:val="24"/>
          <w:szCs w:val="24"/>
          <w:rtl w:val="0"/>
        </w:rPr>
        <w:t xml:space="preserve">have</w:t>
      </w:r>
      <w:r w:rsidDel="00000000" w:rsidR="00000000" w:rsidRPr="00000000">
        <w:rPr>
          <w:rFonts w:ascii="Calibri" w:cs="Calibri" w:eastAsia="Calibri" w:hAnsi="Calibri"/>
          <w:sz w:val="24"/>
          <w:szCs w:val="24"/>
          <w:rtl w:val="0"/>
        </w:rPr>
        <w:t xml:space="preserve"> an Impact on Productivity? [online] papers.ssrn.com. Available at: </w:t>
      </w:r>
      <w:hyperlink r:id="rId13">
        <w:r w:rsidDel="00000000" w:rsidR="00000000" w:rsidRPr="00000000">
          <w:rPr>
            <w:rFonts w:ascii="Calibri" w:cs="Calibri" w:eastAsia="Calibri" w:hAnsi="Calibri"/>
            <w:color w:val="1155cc"/>
            <w:sz w:val="24"/>
            <w:szCs w:val="24"/>
            <w:u w:val="single"/>
            <w:rtl w:val="0"/>
          </w:rPr>
          <w:t xml:space="preserve">https://papers.ssrn.com/sol3/papers.cfm?abstract_id=3470734</w:t>
        </w:r>
      </w:hyperlink>
      <w:r w:rsidDel="00000000" w:rsidR="00000000" w:rsidRPr="00000000">
        <w:rPr>
          <w:rFonts w:ascii="Calibri" w:cs="Calibri" w:eastAsia="Calibri" w:hAnsi="Calibri"/>
          <w:sz w:val="24"/>
          <w:szCs w:val="24"/>
          <w:rtl w:val="0"/>
        </w:rPr>
        <w:t xml:space="preserve"> (Accessed on 16/03/2026).</w:t>
      </w:r>
    </w:p>
    <w:p w:rsidR="00000000" w:rsidDel="00000000" w:rsidP="00000000" w:rsidRDefault="00000000" w:rsidRPr="00000000" w14:paraId="000000C0">
      <w:pPr>
        <w:spacing w:after="240" w:before="240" w:lineRule="auto"/>
        <w:ind w:left="0" w:firstLine="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Cheatle, D. (2019). How to support your team’s Learning and Development – on a tight budget. [online] Charliehr.com. Available at: </w:t>
      </w:r>
      <w:hyperlink r:id="rId14">
        <w:r w:rsidDel="00000000" w:rsidR="00000000" w:rsidRPr="00000000">
          <w:rPr>
            <w:rFonts w:ascii="Calibri" w:cs="Calibri" w:eastAsia="Calibri" w:hAnsi="Calibri"/>
            <w:color w:val="1155cc"/>
            <w:sz w:val="24"/>
            <w:szCs w:val="24"/>
            <w:u w:val="single"/>
            <w:rtl w:val="0"/>
          </w:rPr>
          <w:t xml:space="preserve">https://www.charliehr.com/blog/article/how-to-support-your-teams-learning-and-develoment-on-a-tight-budget</w:t>
        </w:r>
      </w:hyperlink>
      <w:r w:rsidDel="00000000" w:rsidR="00000000" w:rsidRPr="00000000">
        <w:rPr>
          <w:rFonts w:ascii="Calibri" w:cs="Calibri" w:eastAsia="Calibri" w:hAnsi="Calibri"/>
          <w:sz w:val="24"/>
          <w:szCs w:val="24"/>
          <w:rtl w:val="0"/>
        </w:rPr>
        <w:t xml:space="preserve">  (Accessed on 20/03/2026).</w:t>
      </w:r>
    </w:p>
    <w:p w:rsidR="00000000" w:rsidDel="00000000" w:rsidP="00000000" w:rsidRDefault="00000000" w:rsidRPr="00000000" w14:paraId="000000C1">
      <w:pPr>
        <w:spacing w:after="240" w:before="240" w:lineRule="auto"/>
        <w:ind w:left="0" w:firstLine="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CIPD (2018). CIPD | Unconscious bias. [online] CIPD. Available at: </w:t>
      </w:r>
      <w:hyperlink r:id="rId15">
        <w:r w:rsidDel="00000000" w:rsidR="00000000" w:rsidRPr="00000000">
          <w:rPr>
            <w:rFonts w:ascii="Calibri" w:cs="Calibri" w:eastAsia="Calibri" w:hAnsi="Calibri"/>
            <w:color w:val="1155cc"/>
            <w:sz w:val="24"/>
            <w:szCs w:val="24"/>
            <w:u w:val="single"/>
            <w:rtl w:val="0"/>
          </w:rPr>
          <w:t xml:space="preserve">https://www.cipd.org/uk/knowledge/podcasts/unconscious-bias/</w:t>
        </w:r>
      </w:hyperlink>
      <w:r w:rsidDel="00000000" w:rsidR="00000000" w:rsidRPr="00000000">
        <w:rPr>
          <w:rFonts w:ascii="Calibri" w:cs="Calibri" w:eastAsia="Calibri" w:hAnsi="Calibri"/>
          <w:sz w:val="24"/>
          <w:szCs w:val="24"/>
          <w:rtl w:val="0"/>
        </w:rPr>
        <w:t xml:space="preserve"> ‌(Accessed on 08/03/2026)</w:t>
      </w:r>
    </w:p>
    <w:p w:rsidR="00000000" w:rsidDel="00000000" w:rsidP="00000000" w:rsidRDefault="00000000" w:rsidRPr="00000000" w14:paraId="000000C2">
      <w:pPr>
        <w:spacing w:after="240" w:before="240" w:lineRule="auto"/>
        <w:ind w:left="0" w:firstLine="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CIPD. (n.d.). CIPD | How to write a persuasive business report. [online] Available at: </w:t>
      </w:r>
      <w:hyperlink r:id="rId16">
        <w:r w:rsidDel="00000000" w:rsidR="00000000" w:rsidRPr="00000000">
          <w:rPr>
            <w:rFonts w:ascii="Calibri" w:cs="Calibri" w:eastAsia="Calibri" w:hAnsi="Calibri"/>
            <w:color w:val="1155cc"/>
            <w:sz w:val="24"/>
            <w:szCs w:val="24"/>
            <w:u w:val="single"/>
            <w:rtl w:val="0"/>
          </w:rPr>
          <w:t xml:space="preserve">https://www.cipd.org/uk/learning/support-for-students/currently-studying/business-report-writing/</w:t>
        </w:r>
      </w:hyperlink>
      <w:r w:rsidDel="00000000" w:rsidR="00000000" w:rsidRPr="00000000">
        <w:rPr>
          <w:rFonts w:ascii="Calibri" w:cs="Calibri" w:eastAsia="Calibri" w:hAnsi="Calibri"/>
          <w:sz w:val="24"/>
          <w:szCs w:val="24"/>
          <w:rtl w:val="0"/>
        </w:rPr>
        <w:t xml:space="preserve">  ‌(Accessed on 22/03/2026)</w:t>
      </w:r>
    </w:p>
    <w:p w:rsidR="00000000" w:rsidDel="00000000" w:rsidP="00000000" w:rsidRDefault="00000000" w:rsidRPr="00000000" w14:paraId="000000C3">
      <w:pPr>
        <w:spacing w:after="240" w:before="240" w:lineRule="auto"/>
        <w:ind w:left="0" w:firstLine="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CIPD (2023). CIPD | Code of Conduct and Ethics. [online] CIPD. Available at: </w:t>
      </w:r>
      <w:hyperlink r:id="rId17">
        <w:r w:rsidDel="00000000" w:rsidR="00000000" w:rsidRPr="00000000">
          <w:rPr>
            <w:rFonts w:ascii="Calibri" w:cs="Calibri" w:eastAsia="Calibri" w:hAnsi="Calibri"/>
            <w:color w:val="1155cc"/>
            <w:sz w:val="24"/>
            <w:szCs w:val="24"/>
            <w:u w:val="single"/>
            <w:rtl w:val="0"/>
          </w:rPr>
          <w:t xml:space="preserve">https://www.cipd.org/uk/membership/professional-standards/code-of-conduct</w:t>
        </w:r>
      </w:hyperlink>
      <w:r w:rsidDel="00000000" w:rsidR="00000000" w:rsidRPr="00000000">
        <w:rPr>
          <w:rFonts w:ascii="Calibri" w:cs="Calibri" w:eastAsia="Calibri" w:hAnsi="Calibri"/>
          <w:sz w:val="24"/>
          <w:szCs w:val="24"/>
          <w:rtl w:val="0"/>
        </w:rPr>
        <w:t xml:space="preserve"> ‌(Accessed on 08/03/2026)</w:t>
      </w:r>
    </w:p>
    <w:p w:rsidR="00000000" w:rsidDel="00000000" w:rsidP="00000000" w:rsidRDefault="00000000" w:rsidRPr="00000000" w14:paraId="000000C4">
      <w:pPr>
        <w:spacing w:after="240" w:before="240" w:lineRule="auto"/>
        <w:ind w:left="0" w:firstLine="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CIPD (2024). How to Use the Profession Map. [online] CIPD. Available at: </w:t>
      </w:r>
      <w:hyperlink r:id="rId18">
        <w:r w:rsidDel="00000000" w:rsidR="00000000" w:rsidRPr="00000000">
          <w:rPr>
            <w:rFonts w:ascii="Calibri" w:cs="Calibri" w:eastAsia="Calibri" w:hAnsi="Calibri"/>
            <w:color w:val="1155cc"/>
            <w:sz w:val="24"/>
            <w:szCs w:val="24"/>
            <w:u w:val="single"/>
            <w:rtl w:val="0"/>
          </w:rPr>
          <w:t xml:space="preserve">https://www.cipd.org/uk/the-people-profession/the-profession-map/how-it-works/</w:t>
        </w:r>
      </w:hyperlink>
      <w:r w:rsidDel="00000000" w:rsidR="00000000" w:rsidRPr="00000000">
        <w:rPr>
          <w:rFonts w:ascii="Calibri" w:cs="Calibri" w:eastAsia="Calibri" w:hAnsi="Calibri"/>
          <w:sz w:val="24"/>
          <w:szCs w:val="24"/>
          <w:rtl w:val="0"/>
        </w:rPr>
        <w:t xml:space="preserve"> (Accessed on 07/03/2026).</w:t>
      </w:r>
    </w:p>
    <w:p w:rsidR="00000000" w:rsidDel="00000000" w:rsidP="00000000" w:rsidRDefault="00000000" w:rsidRPr="00000000" w14:paraId="000000C5">
      <w:pPr>
        <w:spacing w:after="240" w:before="240" w:lineRule="auto"/>
        <w:ind w:left="0" w:firstLine="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CIPD. (2024b). CIPD | Ethics at work: an employer’s guide. [online] Available at: </w:t>
      </w:r>
      <w:hyperlink r:id="rId19">
        <w:r w:rsidDel="00000000" w:rsidR="00000000" w:rsidRPr="00000000">
          <w:rPr>
            <w:rFonts w:ascii="Calibri" w:cs="Calibri" w:eastAsia="Calibri" w:hAnsi="Calibri"/>
            <w:color w:val="1155cc"/>
            <w:sz w:val="24"/>
            <w:szCs w:val="24"/>
            <w:u w:val="single"/>
            <w:rtl w:val="0"/>
          </w:rPr>
          <w:t xml:space="preserve">https://www.cipd.org/uk/knowledge/guides/ethics-work-guide/#conclusion</w:t>
        </w:r>
      </w:hyperlink>
      <w:r w:rsidDel="00000000" w:rsidR="00000000" w:rsidRPr="00000000">
        <w:rPr>
          <w:rFonts w:ascii="Calibri" w:cs="Calibri" w:eastAsia="Calibri" w:hAnsi="Calibri"/>
          <w:sz w:val="24"/>
          <w:szCs w:val="24"/>
          <w:rtl w:val="0"/>
        </w:rPr>
        <w:t xml:space="preserve"> (Accessed on 22/03/2026)</w:t>
      </w:r>
    </w:p>
    <w:p w:rsidR="00000000" w:rsidDel="00000000" w:rsidP="00000000" w:rsidRDefault="00000000" w:rsidRPr="00000000" w14:paraId="000000C6">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CIPD (2025)</w:t>
      </w:r>
      <w:r w:rsidDel="00000000" w:rsidR="00000000" w:rsidRPr="00000000">
        <w:rPr>
          <w:rFonts w:ascii="Calibri" w:cs="Calibri" w:eastAsia="Calibri" w:hAnsi="Calibri"/>
          <w:i w:val="1"/>
          <w:iCs w:val="1"/>
          <w:sz w:val="24"/>
          <w:szCs w:val="24"/>
          <w:rtl w:val="0"/>
        </w:rPr>
        <w:t xml:space="preserve"> Analysis | Evolution of the </w:t>
      </w:r>
      <w:r w:rsidDel="00000000" w:rsidR="00000000" w:rsidRPr="00000000">
        <w:rPr>
          <w:rFonts w:ascii="Calibri" w:cs="Calibri" w:eastAsia="Calibri" w:hAnsi="Calibri"/>
          <w:i w:val="1"/>
          <w:iCs w:val="1"/>
          <w:sz w:val="24"/>
          <w:szCs w:val="24"/>
          <w:rtl w:val="0"/>
        </w:rPr>
        <w:t xml:space="preserve">people profession</w:t>
      </w:r>
      <w:r w:rsidDel="00000000" w:rsidR="00000000" w:rsidRPr="00000000">
        <w:rPr>
          <w:rFonts w:ascii="Calibri" w:cs="Calibri" w:eastAsia="Calibri" w:hAnsi="Calibri"/>
          <w:sz w:val="24"/>
          <w:szCs w:val="24"/>
          <w:rtl w:val="0"/>
        </w:rPr>
        <w:t xml:space="preserve">.  Available at: </w:t>
      </w:r>
      <w:hyperlink r:id="rId20">
        <w:r w:rsidDel="00000000" w:rsidR="00000000" w:rsidRPr="00000000">
          <w:rPr>
            <w:rFonts w:ascii="Calibri" w:cs="Calibri" w:eastAsia="Calibri" w:hAnsi="Calibri"/>
            <w:color w:val="1155cc"/>
            <w:sz w:val="24"/>
            <w:szCs w:val="24"/>
            <w:u w:val="single"/>
            <w:rtl w:val="0"/>
          </w:rPr>
          <w:t xml:space="preserve">https://www.cipd.org/en/views-and-insights/thought-leadership/insight/evolution-people-profession/</w:t>
        </w:r>
      </w:hyperlink>
      <w:r w:rsidDel="00000000" w:rsidR="00000000" w:rsidRPr="00000000">
        <w:rPr>
          <w:rFonts w:ascii="Calibri" w:cs="Calibri" w:eastAsia="Calibri" w:hAnsi="Calibri"/>
          <w:sz w:val="24"/>
          <w:szCs w:val="24"/>
          <w:rtl w:val="0"/>
        </w:rPr>
        <w:t xml:space="preserve"> (Accessed on 08/03/2026)</w:t>
      </w:r>
    </w:p>
    <w:p w:rsidR="00000000" w:rsidDel="00000000" w:rsidP="00000000" w:rsidRDefault="00000000" w:rsidRPr="00000000" w14:paraId="000000C7">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C8">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CIPD (2025b) AI in focus:</w:t>
      </w:r>
      <w:r w:rsidDel="00000000" w:rsidR="00000000" w:rsidRPr="00000000">
        <w:rPr>
          <w:rFonts w:ascii="Calibri" w:cs="Calibri" w:eastAsia="Calibri" w:hAnsi="Calibri"/>
          <w:i w:val="1"/>
          <w:iCs w:val="1"/>
          <w:sz w:val="24"/>
          <w:szCs w:val="24"/>
          <w:rtl w:val="0"/>
        </w:rPr>
        <w:t xml:space="preserve"> Role of people professionals, regulation and the CIPD</w:t>
      </w:r>
      <w:r w:rsidDel="00000000" w:rsidR="00000000" w:rsidRPr="00000000">
        <w:rPr>
          <w:rFonts w:ascii="Calibri" w:cs="Calibri" w:eastAsia="Calibri" w:hAnsi="Calibri"/>
          <w:sz w:val="24"/>
          <w:szCs w:val="24"/>
          <w:rtl w:val="0"/>
        </w:rPr>
        <w:t xml:space="preserve">. Available at: </w:t>
      </w:r>
      <w:hyperlink r:id="rId21">
        <w:r w:rsidDel="00000000" w:rsidR="00000000" w:rsidRPr="00000000">
          <w:rPr>
            <w:rFonts w:ascii="Calibri" w:cs="Calibri" w:eastAsia="Calibri" w:hAnsi="Calibri"/>
            <w:color w:val="1155cc"/>
            <w:sz w:val="24"/>
            <w:szCs w:val="24"/>
            <w:u w:val="single"/>
            <w:rtl w:val="0"/>
          </w:rPr>
          <w:t xml:space="preserve">https://www.cipd.org/en/views-and-insights/thought-leadership/insight/ai-people-professionals-cipd/</w:t>
        </w:r>
      </w:hyperlink>
      <w:r w:rsidDel="00000000" w:rsidR="00000000" w:rsidRPr="00000000">
        <w:rPr>
          <w:rFonts w:ascii="Calibri" w:cs="Calibri" w:eastAsia="Calibri" w:hAnsi="Calibri"/>
          <w:sz w:val="24"/>
          <w:szCs w:val="24"/>
          <w:rtl w:val="0"/>
        </w:rPr>
        <w:t xml:space="preserve"> (Accessed 08/03/2026)</w:t>
      </w:r>
    </w:p>
    <w:p w:rsidR="00000000" w:rsidDel="00000000" w:rsidP="00000000" w:rsidRDefault="00000000" w:rsidRPr="00000000" w14:paraId="000000C9">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CA">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CIPD (2025c). </w:t>
      </w:r>
      <w:r w:rsidDel="00000000" w:rsidR="00000000" w:rsidRPr="00000000">
        <w:rPr>
          <w:rFonts w:ascii="Calibri" w:cs="Calibri" w:eastAsia="Calibri" w:hAnsi="Calibri"/>
          <w:sz w:val="24"/>
          <w:szCs w:val="24"/>
          <w:rtl w:val="0"/>
        </w:rPr>
        <w:t xml:space="preserve">Employee Voice</w:t>
      </w:r>
      <w:r w:rsidDel="00000000" w:rsidR="00000000" w:rsidRPr="00000000">
        <w:rPr>
          <w:rFonts w:ascii="Calibri" w:cs="Calibri" w:eastAsia="Calibri" w:hAnsi="Calibri"/>
          <w:sz w:val="24"/>
          <w:szCs w:val="24"/>
          <w:rtl w:val="0"/>
        </w:rPr>
        <w:t xml:space="preserve">. CIPD. Available at: h</w:t>
      </w:r>
      <w:hyperlink r:id="rId22">
        <w:r w:rsidDel="00000000" w:rsidR="00000000" w:rsidRPr="00000000">
          <w:rPr>
            <w:rFonts w:ascii="Calibri" w:cs="Calibri" w:eastAsia="Calibri" w:hAnsi="Calibri"/>
            <w:color w:val="1155cc"/>
            <w:sz w:val="24"/>
            <w:szCs w:val="24"/>
            <w:u w:val="single"/>
            <w:rtl w:val="0"/>
          </w:rPr>
          <w:t xml:space="preserve">ttps://www.cipd.org/uk/knowledge/factsheets/voice-factsheet/</w:t>
        </w:r>
      </w:hyperlink>
      <w:r w:rsidDel="00000000" w:rsidR="00000000" w:rsidRPr="00000000">
        <w:rPr>
          <w:rFonts w:ascii="Calibri" w:cs="Calibri" w:eastAsia="Calibri" w:hAnsi="Calibri"/>
          <w:sz w:val="24"/>
          <w:szCs w:val="24"/>
          <w:rtl w:val="0"/>
        </w:rPr>
        <w:t xml:space="preserve"> (Accessed 18/03/2026)</w:t>
      </w:r>
    </w:p>
    <w:p w:rsidR="00000000" w:rsidDel="00000000" w:rsidP="00000000" w:rsidRDefault="00000000" w:rsidRPr="00000000" w14:paraId="000000CB">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CC">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CIPD (2025d). CIPD | The Profession Map / Professional values and purpose / Principles-led. [online] CIPD. Available at: </w:t>
      </w:r>
      <w:hyperlink r:id="rId23">
        <w:r w:rsidDel="00000000" w:rsidR="00000000" w:rsidRPr="00000000">
          <w:rPr>
            <w:rFonts w:ascii="Calibri" w:cs="Calibri" w:eastAsia="Calibri" w:hAnsi="Calibri"/>
            <w:color w:val="1155cc"/>
            <w:sz w:val="24"/>
            <w:szCs w:val="24"/>
            <w:u w:val="single"/>
            <w:rtl w:val="0"/>
          </w:rPr>
          <w:t xml:space="preserve">https://www.cipd.org/en/the-people-profession/the-profession-map/explore-the-profession-map/professional-values-purpose/principles-led</w:t>
        </w:r>
      </w:hyperlink>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sz w:val="24"/>
          <w:szCs w:val="24"/>
          <w:rtl w:val="0"/>
        </w:rPr>
        <w:t xml:space="preserve">(Accessed on 01/02/2026)</w:t>
      </w:r>
    </w:p>
    <w:p w:rsidR="00000000" w:rsidDel="00000000" w:rsidP="00000000" w:rsidRDefault="00000000" w:rsidRPr="00000000" w14:paraId="000000CD">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CE">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CIPD (2025e). CIPD | Preparing your organisation for AI use. [online] CIPD. Available at: </w:t>
      </w:r>
      <w:hyperlink r:id="rId24">
        <w:r w:rsidDel="00000000" w:rsidR="00000000" w:rsidRPr="00000000">
          <w:rPr>
            <w:rFonts w:ascii="Calibri" w:cs="Calibri" w:eastAsia="Calibri" w:hAnsi="Calibri"/>
            <w:color w:val="1155cc"/>
            <w:sz w:val="24"/>
            <w:szCs w:val="24"/>
            <w:u w:val="single"/>
            <w:rtl w:val="0"/>
          </w:rPr>
          <w:t xml:space="preserve">https://www.cipd.org/en/knowledge/guides/preparing-organisation-ai-use</w:t>
        </w:r>
      </w:hyperlink>
      <w:r w:rsidDel="00000000" w:rsidR="00000000" w:rsidRPr="00000000">
        <w:rPr>
          <w:rFonts w:ascii="Calibri" w:cs="Calibri" w:eastAsia="Calibri" w:hAnsi="Calibri"/>
          <w:sz w:val="24"/>
          <w:szCs w:val="24"/>
          <w:rtl w:val="0"/>
        </w:rPr>
        <w:t xml:space="preserve"> (Accessed on 13/03/2026)</w:t>
      </w:r>
    </w:p>
    <w:p w:rsidR="00000000" w:rsidDel="00000000" w:rsidP="00000000" w:rsidRDefault="00000000" w:rsidRPr="00000000" w14:paraId="000000CF">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Collins English Dictionary (2026) ‘Professional’, Collins English Dictionary. HarperCollins Publishers. Available at: </w:t>
      </w:r>
      <w:hyperlink r:id="rId25">
        <w:r w:rsidDel="00000000" w:rsidR="00000000" w:rsidRPr="00000000">
          <w:rPr>
            <w:rFonts w:ascii="Calibri" w:cs="Calibri" w:eastAsia="Calibri" w:hAnsi="Calibri"/>
            <w:color w:val="1155cc"/>
            <w:sz w:val="24"/>
            <w:szCs w:val="24"/>
            <w:u w:val="single"/>
            <w:rtl w:val="0"/>
          </w:rPr>
          <w:t xml:space="preserve">https://www.collinsdictionary.com/dictionary/english/professional</w:t>
        </w:r>
      </w:hyperlink>
      <w:r w:rsidDel="00000000" w:rsidR="00000000" w:rsidRPr="00000000">
        <w:rPr>
          <w:rFonts w:ascii="Calibri" w:cs="Calibri" w:eastAsia="Calibri" w:hAnsi="Calibri"/>
          <w:sz w:val="24"/>
          <w:szCs w:val="24"/>
          <w:rtl w:val="0"/>
        </w:rPr>
        <w:t xml:space="preserve">  (Accessed on 13/03/2026).</w:t>
      </w:r>
    </w:p>
    <w:p w:rsidR="00000000" w:rsidDel="00000000" w:rsidP="00000000" w:rsidRDefault="00000000" w:rsidRPr="00000000" w14:paraId="000000D0">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Communications.gov.uk. (2020). Ensuring Effective Stakeholder Engagement - GCS. [online] Available at: </w:t>
      </w:r>
      <w:hyperlink r:id="rId26">
        <w:r w:rsidDel="00000000" w:rsidR="00000000" w:rsidRPr="00000000">
          <w:rPr>
            <w:rFonts w:ascii="Calibri" w:cs="Calibri" w:eastAsia="Calibri" w:hAnsi="Calibri"/>
            <w:color w:val="1155cc"/>
            <w:sz w:val="24"/>
            <w:szCs w:val="24"/>
            <w:u w:val="single"/>
            <w:rtl w:val="0"/>
          </w:rPr>
          <w:t xml:space="preserve">https://www.communications.gov.uk/publications/ensuring-effective-stakeholder-engagement/</w:t>
        </w:r>
      </w:hyperlink>
      <w:r w:rsidDel="00000000" w:rsidR="00000000" w:rsidRPr="00000000">
        <w:rPr>
          <w:rFonts w:ascii="Calibri" w:cs="Calibri" w:eastAsia="Calibri" w:hAnsi="Calibri"/>
          <w:sz w:val="24"/>
          <w:szCs w:val="24"/>
          <w:rtl w:val="0"/>
        </w:rPr>
        <w:t xml:space="preserve"> (Accessed on 20/03/2026).</w:t>
      </w:r>
    </w:p>
    <w:p w:rsidR="00000000" w:rsidDel="00000000" w:rsidP="00000000" w:rsidRDefault="00000000" w:rsidRPr="00000000" w14:paraId="000000D1">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Dac Teoli, T., Daft, R.L. (2012) New Era of Management. 11th ed. S.L.: South-Western Cengage Learning. </w:t>
      </w:r>
    </w:p>
    <w:p w:rsidR="00000000" w:rsidDel="00000000" w:rsidP="00000000" w:rsidRDefault="00000000" w:rsidRPr="00000000" w14:paraId="000000D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Gibb, S. (2008). </w:t>
      </w:r>
      <w:r w:rsidDel="00000000" w:rsidR="00000000" w:rsidRPr="00000000">
        <w:rPr>
          <w:rFonts w:ascii="Calibri" w:cs="Calibri" w:eastAsia="Calibri" w:hAnsi="Calibri"/>
          <w:sz w:val="24"/>
          <w:szCs w:val="24"/>
          <w:rtl w:val="0"/>
        </w:rPr>
        <w:t xml:space="preserve">Human resource development : process, practices and perspectives. 2nd ed.</w:t>
      </w:r>
      <w:r w:rsidDel="00000000" w:rsidR="00000000" w:rsidRPr="00000000">
        <w:rPr>
          <w:rFonts w:ascii="Calibri" w:cs="Calibri" w:eastAsia="Calibri" w:hAnsi="Calibri"/>
          <w:sz w:val="24"/>
          <w:szCs w:val="24"/>
          <w:rtl w:val="0"/>
        </w:rPr>
        <w:t xml:space="preserve"> Hampshire: Palgrave.</w:t>
      </w:r>
    </w:p>
    <w:p w:rsidR="00000000" w:rsidDel="00000000" w:rsidP="00000000" w:rsidRDefault="00000000" w:rsidRPr="00000000" w14:paraId="000000D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D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Hannum, K. (2022). The power of respect - center for creative leadership. [online] Center for Creative Leadership. Available at: </w:t>
      </w:r>
      <w:hyperlink r:id="rId27">
        <w:r w:rsidDel="00000000" w:rsidR="00000000" w:rsidRPr="00000000">
          <w:rPr>
            <w:rFonts w:ascii="Calibri" w:cs="Calibri" w:eastAsia="Calibri" w:hAnsi="Calibri"/>
            <w:color w:val="1155cc"/>
            <w:sz w:val="24"/>
            <w:szCs w:val="24"/>
            <w:u w:val="single"/>
            <w:rtl w:val="0"/>
          </w:rPr>
          <w:t xml:space="preserve">https://www.ccl.org/articles/leading-effectively-articles/the-power-of-respect/</w:t>
        </w:r>
      </w:hyperlink>
      <w:r w:rsidDel="00000000" w:rsidR="00000000" w:rsidRPr="00000000">
        <w:rPr>
          <w:rFonts w:ascii="Calibri" w:cs="Calibri" w:eastAsia="Calibri" w:hAnsi="Calibri"/>
          <w:sz w:val="24"/>
          <w:szCs w:val="24"/>
          <w:rtl w:val="0"/>
        </w:rPr>
        <w:t xml:space="preserve"> (Accessed: 18/03/2026).</w:t>
      </w:r>
    </w:p>
    <w:p w:rsidR="00000000" w:rsidDel="00000000" w:rsidP="00000000" w:rsidRDefault="00000000" w:rsidRPr="00000000" w14:paraId="000000D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D6">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ICS Learn (2025). </w:t>
      </w:r>
      <w:r w:rsidDel="00000000" w:rsidR="00000000" w:rsidRPr="00000000">
        <w:rPr>
          <w:rFonts w:ascii="Calibri" w:cs="Calibri" w:eastAsia="Calibri" w:hAnsi="Calibri"/>
          <w:i w:val="1"/>
          <w:iCs w:val="1"/>
          <w:sz w:val="24"/>
          <w:szCs w:val="24"/>
          <w:rtl w:val="0"/>
        </w:rPr>
        <w:t xml:space="preserve">Keeping your HR skills relevant in 2025</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sz w:val="24"/>
          <w:szCs w:val="24"/>
          <w:rtl w:val="0"/>
        </w:rPr>
        <w:t xml:space="preserve">Available at:</w:t>
      </w:r>
      <w:hyperlink r:id="rId28">
        <w:r w:rsidDel="00000000" w:rsidR="00000000" w:rsidRPr="00000000">
          <w:rPr>
            <w:rFonts w:ascii="Calibri" w:cs="Calibri" w:eastAsia="Calibri" w:hAnsi="Calibri"/>
            <w:sz w:val="24"/>
            <w:szCs w:val="24"/>
            <w:rtl w:val="0"/>
          </w:rPr>
          <w:t xml:space="preserve"> </w:t>
        </w:r>
      </w:hyperlink>
      <w:hyperlink r:id="rId29">
        <w:r w:rsidDel="00000000" w:rsidR="00000000" w:rsidRPr="00000000">
          <w:rPr>
            <w:rFonts w:ascii="Calibri" w:cs="Calibri" w:eastAsia="Calibri" w:hAnsi="Calibri"/>
            <w:color w:val="1155cc"/>
            <w:sz w:val="24"/>
            <w:szCs w:val="24"/>
            <w:u w:val="single"/>
            <w:rtl w:val="0"/>
          </w:rPr>
          <w:t xml:space="preserve">https://www.icslearn.co.uk/media/d5ch35pe/keeping-your-hr-skills-relevant-in-2025.pdf</w:t>
        </w:r>
      </w:hyperlink>
      <w:r w:rsidDel="00000000" w:rsidR="00000000" w:rsidRPr="00000000">
        <w:rPr>
          <w:rFonts w:ascii="Calibri" w:cs="Calibri" w:eastAsia="Calibri" w:hAnsi="Calibri"/>
          <w:sz w:val="24"/>
          <w:szCs w:val="24"/>
          <w:rtl w:val="0"/>
        </w:rPr>
        <w:t xml:space="preserve"> (Accessed on 08/03/2026).</w:t>
      </w:r>
    </w:p>
    <w:p w:rsidR="00000000" w:rsidDel="00000000" w:rsidP="00000000" w:rsidRDefault="00000000" w:rsidRPr="00000000" w14:paraId="000000D7">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D8">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Lazear, E. (2004). The Peter Principle: A Theory of Decline. [online] Stanford Graduate School of Business. Available at: </w:t>
      </w:r>
      <w:hyperlink r:id="rId30">
        <w:r w:rsidDel="00000000" w:rsidR="00000000" w:rsidRPr="00000000">
          <w:rPr>
            <w:rFonts w:ascii="Calibri" w:cs="Calibri" w:eastAsia="Calibri" w:hAnsi="Calibri"/>
            <w:color w:val="1155cc"/>
            <w:sz w:val="24"/>
            <w:szCs w:val="24"/>
            <w:u w:val="single"/>
            <w:rtl w:val="0"/>
          </w:rPr>
          <w:t xml:space="preserve">https://www.gsb.stanford.edu/faculty-research/publications/peter-principle-theory-decline</w:t>
        </w:r>
      </w:hyperlink>
      <w:r w:rsidDel="00000000" w:rsidR="00000000" w:rsidRPr="00000000">
        <w:rPr>
          <w:rFonts w:ascii="Calibri" w:cs="Calibri" w:eastAsia="Calibri" w:hAnsi="Calibri"/>
          <w:sz w:val="24"/>
          <w:szCs w:val="24"/>
          <w:rtl w:val="0"/>
        </w:rPr>
        <w:t xml:space="preserve"> (Accessed on 20/03/2026)</w:t>
      </w:r>
    </w:p>
    <w:p w:rsidR="00000000" w:rsidDel="00000000" w:rsidP="00000000" w:rsidRDefault="00000000" w:rsidRPr="00000000" w14:paraId="000000D9">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DA">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Long, B., Ramsay, L. and Gupte, M. (2023). AI 101: What are the key data privacy risks and rewards for this new tech? Available at: </w:t>
      </w:r>
      <w:hyperlink r:id="rId31">
        <w:r w:rsidDel="00000000" w:rsidR="00000000" w:rsidRPr="00000000">
          <w:rPr>
            <w:rFonts w:ascii="Calibri" w:cs="Calibri" w:eastAsia="Calibri" w:hAnsi="Calibri"/>
            <w:color w:val="1155cc"/>
            <w:sz w:val="24"/>
            <w:szCs w:val="24"/>
            <w:u w:val="single"/>
            <w:rtl w:val="0"/>
          </w:rPr>
          <w:t xml:space="preserve">https://www.lewissilkin.com/insights/2023/02/23/ai-101-what-are-the-key-data-privacy-risks-and-rewards-for-this-new-tech-102i8da</w:t>
        </w:r>
      </w:hyperlink>
      <w:r w:rsidDel="00000000" w:rsidR="00000000" w:rsidRPr="00000000">
        <w:rPr>
          <w:rFonts w:ascii="Calibri" w:cs="Calibri" w:eastAsia="Calibri" w:hAnsi="Calibri"/>
          <w:sz w:val="24"/>
          <w:szCs w:val="24"/>
          <w:rtl w:val="0"/>
        </w:rPr>
        <w:t xml:space="preserve"> (Accessed 22 Mar. 2026)</w:t>
      </w:r>
    </w:p>
    <w:p w:rsidR="00000000" w:rsidDel="00000000" w:rsidP="00000000" w:rsidRDefault="00000000" w:rsidRPr="00000000" w14:paraId="000000DB">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DC">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Minnaar, J. and De Morree, P. (2020) Corporate rebels: Make Work More Fun. Corporate Rebels Nederland B.V.</w:t>
      </w:r>
    </w:p>
    <w:p w:rsidR="00000000" w:rsidDel="00000000" w:rsidP="00000000" w:rsidRDefault="00000000" w:rsidRPr="00000000" w14:paraId="000000DD">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Pink, D.H. (2010). </w:t>
      </w:r>
      <w:r w:rsidDel="00000000" w:rsidR="00000000" w:rsidRPr="00000000">
        <w:rPr>
          <w:rFonts w:ascii="Calibri" w:cs="Calibri" w:eastAsia="Calibri" w:hAnsi="Calibri"/>
          <w:sz w:val="24"/>
          <w:szCs w:val="24"/>
          <w:rtl w:val="0"/>
        </w:rPr>
        <w:t xml:space="preserve">Drive: The surprising truth about what motivates us</w:t>
      </w:r>
      <w:r w:rsidDel="00000000" w:rsidR="00000000" w:rsidRPr="00000000">
        <w:rPr>
          <w:rFonts w:ascii="Calibri" w:cs="Calibri" w:eastAsia="Calibri" w:hAnsi="Calibri"/>
          <w:sz w:val="24"/>
          <w:szCs w:val="24"/>
          <w:rtl w:val="0"/>
        </w:rPr>
        <w:t xml:space="preserve">. Edinburgh: Canongate.</w:t>
      </w:r>
    </w:p>
    <w:p w:rsidR="00000000" w:rsidDel="00000000" w:rsidP="00000000" w:rsidRDefault="00000000" w:rsidRPr="00000000" w14:paraId="000000D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E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Singh, P. (2023). </w:t>
      </w:r>
      <w:r w:rsidDel="00000000" w:rsidR="00000000" w:rsidRPr="00000000">
        <w:rPr>
          <w:rFonts w:ascii="Calibri" w:cs="Calibri" w:eastAsia="Calibri" w:hAnsi="Calibri"/>
          <w:sz w:val="24"/>
          <w:szCs w:val="24"/>
          <w:rtl w:val="0"/>
        </w:rPr>
        <w:t xml:space="preserve">The Crucial Role of HR in Strategic Decision-Making</w:t>
      </w:r>
      <w:r w:rsidDel="00000000" w:rsidR="00000000" w:rsidRPr="00000000">
        <w:rPr>
          <w:rFonts w:ascii="Calibri" w:cs="Calibri" w:eastAsia="Calibri" w:hAnsi="Calibri"/>
          <w:sz w:val="24"/>
          <w:szCs w:val="24"/>
          <w:rtl w:val="0"/>
        </w:rPr>
        <w:t xml:space="preserve">. [online] www.linkedin.com. Available at: </w:t>
      </w:r>
      <w:hyperlink r:id="rId32">
        <w:r w:rsidDel="00000000" w:rsidR="00000000" w:rsidRPr="00000000">
          <w:rPr>
            <w:rFonts w:ascii="Calibri" w:cs="Calibri" w:eastAsia="Calibri" w:hAnsi="Calibri"/>
            <w:color w:val="1155cc"/>
            <w:sz w:val="24"/>
            <w:szCs w:val="24"/>
            <w:u w:val="single"/>
            <w:rtl w:val="0"/>
          </w:rPr>
          <w:t xml:space="preserve">https://www.linkedin.com/pulse/crucial-role-hr-strategic-decision-making-priyanka-singh/</w:t>
        </w:r>
      </w:hyperlink>
      <w:r w:rsidDel="00000000" w:rsidR="00000000" w:rsidRPr="00000000">
        <w:rPr>
          <w:rFonts w:ascii="Calibri" w:cs="Calibri" w:eastAsia="Calibri" w:hAnsi="Calibri"/>
          <w:sz w:val="24"/>
          <w:szCs w:val="24"/>
          <w:rtl w:val="0"/>
        </w:rPr>
        <w:t xml:space="preserve"> (Accessed on 11/03/2026)</w:t>
      </w:r>
    </w:p>
    <w:p w:rsidR="00000000" w:rsidDel="00000000" w:rsidP="00000000" w:rsidRDefault="00000000" w:rsidRPr="00000000" w14:paraId="000000E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E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Taylor, S. (2025). Resourcing and talent management. 9th ed. London: Kogan Page Ltd.‌</w:t>
      </w:r>
    </w:p>
    <w:p w:rsidR="00000000" w:rsidDel="00000000" w:rsidP="00000000" w:rsidRDefault="00000000" w:rsidRPr="00000000" w14:paraId="000000E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E4">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‌Taylor, S. and Woodhams, C. (eds). (2022) Studying human resource management. 3rd ed. London: CIPD Kogan Page.</w:t>
      </w:r>
    </w:p>
    <w:p w:rsidR="00000000" w:rsidDel="00000000" w:rsidP="00000000" w:rsidRDefault="00000000" w:rsidRPr="00000000" w14:paraId="000000E5">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E6">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Waite, K., Beevers, K., Small, N., Tomlinson, K. and Hussain, S. (2021). People Practice : A Complete Guide. 1st ed. London, United Kingdom : Kogan Page</w:t>
      </w:r>
    </w:p>
    <w:p w:rsidR="00000000" w:rsidDel="00000000" w:rsidP="00000000" w:rsidRDefault="00000000" w:rsidRPr="00000000" w14:paraId="000000E7">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E8">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Urquhart, J. (2022). Employees Are Three Times More Engaged When They Feel Supported by Managers, Study Shows. [online] www.peoplemanagement.co.uk. Available at: </w:t>
      </w:r>
      <w:hyperlink r:id="rId33">
        <w:r w:rsidDel="00000000" w:rsidR="00000000" w:rsidRPr="00000000">
          <w:rPr>
            <w:rFonts w:ascii="Calibri" w:cs="Calibri" w:eastAsia="Calibri" w:hAnsi="Calibri"/>
            <w:color w:val="1155cc"/>
            <w:sz w:val="24"/>
            <w:szCs w:val="24"/>
            <w:u w:val="single"/>
            <w:rtl w:val="0"/>
          </w:rPr>
          <w:t xml:space="preserve">https://www.peoplemanagement.co.uk/article/1806097/employees-three-times-engaged-when-feel-supported-managers-study-shows</w:t>
        </w:r>
      </w:hyperlink>
      <w:r w:rsidDel="00000000" w:rsidR="00000000" w:rsidRPr="00000000">
        <w:rPr>
          <w:rFonts w:ascii="Calibri" w:cs="Calibri" w:eastAsia="Calibri" w:hAnsi="Calibri"/>
          <w:sz w:val="24"/>
          <w:szCs w:val="24"/>
          <w:rtl w:val="0"/>
        </w:rPr>
        <w:t xml:space="preserve"> (Accessed on 18/03/2026)</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cipd.org/en/views-and-insights/thought-leadership/insight/evolution-people-profession/" TargetMode="External"/><Relationship Id="rId22" Type="http://schemas.openxmlformats.org/officeDocument/2006/relationships/hyperlink" Target="https://www.cipd.org/uk/knowledge/factsheets/voice-factsheet/" TargetMode="External"/><Relationship Id="rId21" Type="http://schemas.openxmlformats.org/officeDocument/2006/relationships/hyperlink" Target="https://www.cipd.org/en/views-and-insights/thought-leadership/insight/ai-people-professionals-cipd/" TargetMode="External"/><Relationship Id="rId24" Type="http://schemas.openxmlformats.org/officeDocument/2006/relationships/hyperlink" Target="https://www.cipd.org/en/knowledge/guides/preparing-organisation-ai-use" TargetMode="External"/><Relationship Id="rId23" Type="http://schemas.openxmlformats.org/officeDocument/2006/relationships/hyperlink" Target="https://www.cipd.org/en/the-people-profession/the-profession-map/explore-the-profession-map/professional-values-purpose/principles-led"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26" Type="http://schemas.openxmlformats.org/officeDocument/2006/relationships/hyperlink" Target="https://www.communications.gov.uk/publications/ensuring-effective-stakeholder-engagement/" TargetMode="External"/><Relationship Id="rId25" Type="http://schemas.openxmlformats.org/officeDocument/2006/relationships/hyperlink" Target="https://www.collinsdictionary.com/dictionary/english/professional" TargetMode="External"/><Relationship Id="rId28" Type="http://schemas.openxmlformats.org/officeDocument/2006/relationships/hyperlink" Target="https://www.icslearn.co.uk/media/d5ch35pe/keeping-your-hr-skills-relevant-in-2025.pdf" TargetMode="External"/><Relationship Id="rId27" Type="http://schemas.openxmlformats.org/officeDocument/2006/relationships/hyperlink" Target="https://www.ccl.org/articles/leading-effectively-articles/the-power-of-respect/" TargetMode="External"/><Relationship Id="rId5" Type="http://schemas.openxmlformats.org/officeDocument/2006/relationships/styles" Target="styles.xml"/><Relationship Id="rId6" Type="http://schemas.openxmlformats.org/officeDocument/2006/relationships/hyperlink" Target="https://www.collinsdictionary.com/dictionary/english/jobs" TargetMode="External"/><Relationship Id="rId29" Type="http://schemas.openxmlformats.org/officeDocument/2006/relationships/hyperlink" Target="https://www.icslearn.co.uk/media/d5ch35pe/keeping-your-hr-skills-relevant-in-2025.pdf" TargetMode="External"/><Relationship Id="rId7" Type="http://schemas.openxmlformats.org/officeDocument/2006/relationships/hyperlink" Target="https://www.collinsdictionary.com/dictionary/english/advance" TargetMode="External"/><Relationship Id="rId8" Type="http://schemas.openxmlformats.org/officeDocument/2006/relationships/hyperlink" Target="https://www.collinsdictionary.com/dictionary/english/education" TargetMode="External"/><Relationship Id="rId31" Type="http://schemas.openxmlformats.org/officeDocument/2006/relationships/hyperlink" Target="https://www.lewissilkin.com/insights/2023/02/23/ai-101-what-are-the-key-data-privacy-risks-and-rewards-for-this-new-tech-102i8da" TargetMode="External"/><Relationship Id="rId30" Type="http://schemas.openxmlformats.org/officeDocument/2006/relationships/hyperlink" Target="https://www.gsb.stanford.edu/faculty-research/publications/peter-principle-theory-decline" TargetMode="External"/><Relationship Id="rId11" Type="http://schemas.openxmlformats.org/officeDocument/2006/relationships/hyperlink" Target="https://forms.workday.com/en-us/reports/indicator-to-the-digital-future-with-ai-and-ml-sngl/form.html" TargetMode="External"/><Relationship Id="rId33" Type="http://schemas.openxmlformats.org/officeDocument/2006/relationships/hyperlink" Target="https://www.peoplemanagement.co.uk/article/1806097/employees-three-times-engaged-when-feel-supported-managers-study-shows" TargetMode="External"/><Relationship Id="rId10" Type="http://schemas.openxmlformats.org/officeDocument/2006/relationships/hyperlink" Target="https://www.acas.org.uk/whistleblowing-at-work" TargetMode="External"/><Relationship Id="rId32" Type="http://schemas.openxmlformats.org/officeDocument/2006/relationships/hyperlink" Target="https://www.linkedin.com/pulse/crucial-role-hr-strategic-decision-making-priyanka-singh/" TargetMode="External"/><Relationship Id="rId13" Type="http://schemas.openxmlformats.org/officeDocument/2006/relationships/hyperlink" Target="https://papers.ssrn.com/sol3/papers.cfm?abstract_id=3470734" TargetMode="External"/><Relationship Id="rId12" Type="http://schemas.openxmlformats.org/officeDocument/2006/relationships/hyperlink" Target="https://www.researchgate.net/publication/381553987_Leveraging_the_SCARF_Model_For_Employee_Engagement_An_In-Depth_Analysis_With_Special_Reference_To_Government_Organisations" TargetMode="External"/><Relationship Id="rId15" Type="http://schemas.openxmlformats.org/officeDocument/2006/relationships/hyperlink" Target="https://www.cipd.org/uk/knowledge/podcasts/unconscious-bias/" TargetMode="External"/><Relationship Id="rId14" Type="http://schemas.openxmlformats.org/officeDocument/2006/relationships/hyperlink" Target="https://www.charliehr.com/blog/article/how-to-support-your-teams-learning-and-develoment-on-a-tight-budget" TargetMode="External"/><Relationship Id="rId17" Type="http://schemas.openxmlformats.org/officeDocument/2006/relationships/hyperlink" Target="https://www.cipd.org/uk/membership/professional-standards/code-of-conduct" TargetMode="External"/><Relationship Id="rId16" Type="http://schemas.openxmlformats.org/officeDocument/2006/relationships/hyperlink" Target="https://www.cipd.org/uk/learning/support-for-students/currently-studying/business-report-writing/" TargetMode="External"/><Relationship Id="rId19" Type="http://schemas.openxmlformats.org/officeDocument/2006/relationships/hyperlink" Target="https://www.cipd.org/uk/knowledge/guides/ethics-work-guide/#conclusion" TargetMode="External"/><Relationship Id="rId18" Type="http://schemas.openxmlformats.org/officeDocument/2006/relationships/hyperlink" Target="https://www.cipd.org/uk/the-people-profession/the-profession-map/how-it-wor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