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Content>
        <w:p w14:paraId="24B178C8" w14:textId="1198A2AE" w:rsidR="001F51DA" w:rsidRPr="00675E0B" w:rsidRDefault="001F51DA" w:rsidP="008C5C46">
          <w:pPr>
            <w:pStyle w:val="NoSpacing"/>
            <w:jc w:val="both"/>
            <w:rPr>
              <w:rFonts w:ascii="Arial" w:hAnsi="Arial" w:cs="Arial"/>
              <w:sz w:val="24"/>
              <w:szCs w:val="24"/>
            </w:rPr>
          </w:pPr>
          <w:r w:rsidRPr="00675E0B">
            <w:rPr>
              <w:rFonts w:ascii="Arial" w:hAnsi="Arial" w:cs="Arial"/>
              <w:noProof/>
              <w:sz w:val="24"/>
              <w:szCs w:val="24"/>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5T00:00:00Z">
                                      <w:dateFormat w:val="M/d/yyyy"/>
                                      <w:lid w:val="en-US"/>
                                      <w:storeMappedDataAs w:val="dateTime"/>
                                      <w:calendar w:val="gregorian"/>
                                    </w:date>
                                  </w:sdtPr>
                                  <w:sdtContent>
                                    <w:p w14:paraId="306175E1" w14:textId="479711C5" w:rsidR="001F51DA" w:rsidRDefault="007675F4">
                                      <w:pPr>
                                        <w:pStyle w:val="NoSpacing"/>
                                        <w:jc w:val="right"/>
                                        <w:rPr>
                                          <w:color w:val="FFFFFF" w:themeColor="background1"/>
                                          <w:sz w:val="28"/>
                                          <w:szCs w:val="28"/>
                                        </w:rPr>
                                      </w:pPr>
                                      <w:r>
                                        <w:rPr>
                                          <w:color w:val="FFFFFF" w:themeColor="background1"/>
                                          <w:sz w:val="28"/>
                                          <w:szCs w:val="28"/>
                                        </w:rPr>
                                        <w:t>4/25/2026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5T00:00:00Z">
                                <w:dateFormat w:val="M/d/yyyy"/>
                                <w:lid w:val="en-US"/>
                                <w:storeMappedDataAs w:val="dateTime"/>
                                <w:calendar w:val="gregorian"/>
                              </w:date>
                            </w:sdtPr>
                            <w:sdtContent>
                              <w:p w14:paraId="306175E1" w14:textId="479711C5" w:rsidR="001F51DA" w:rsidRDefault="007675F4">
                                <w:pPr>
                                  <w:pStyle w:val="NoSpacing"/>
                                  <w:jc w:val="right"/>
                                  <w:rPr>
                                    <w:color w:val="FFFFFF" w:themeColor="background1"/>
                                    <w:sz w:val="28"/>
                                    <w:szCs w:val="28"/>
                                  </w:rPr>
                                </w:pPr>
                                <w:r>
                                  <w:rPr>
                                    <w:color w:val="FFFFFF" w:themeColor="background1"/>
                                    <w:sz w:val="28"/>
                                    <w:szCs w:val="28"/>
                                  </w:rPr>
                                  <w:t>4/25/2026</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2CD4DD98" w:rsidR="001F51DA" w:rsidRPr="00675E0B" w:rsidRDefault="00244624" w:rsidP="008C5C46">
          <w:pPr>
            <w:jc w:val="both"/>
            <w:rPr>
              <w:rFonts w:ascii="Arial" w:hAnsi="Arial" w:cs="Arial"/>
            </w:rPr>
          </w:pPr>
          <w:r w:rsidRPr="00675E0B">
            <w:rPr>
              <w:rFonts w:ascii="Arial" w:hAnsi="Arial" w:cs="Arial"/>
              <w:noProof/>
            </w:rPr>
            <mc:AlternateContent>
              <mc:Choice Requires="wps">
                <w:drawing>
                  <wp:anchor distT="0" distB="0" distL="114300" distR="114300" simplePos="0" relativeHeight="251660288" behindDoc="0" locked="0" layoutInCell="1" allowOverlap="1" wp14:anchorId="113953FD" wp14:editId="7E07DEC1">
                    <wp:simplePos x="0" y="0"/>
                    <wp:positionH relativeFrom="page">
                      <wp:posOffset>2816352</wp:posOffset>
                    </wp:positionH>
                    <wp:positionV relativeFrom="page">
                      <wp:posOffset>1389888</wp:posOffset>
                    </wp:positionV>
                    <wp:extent cx="4412996" cy="1069848"/>
                    <wp:effectExtent l="0" t="0" r="6985" b="1905"/>
                    <wp:wrapNone/>
                    <wp:docPr id="1" name="Text Box 3"/>
                    <wp:cNvGraphicFramePr/>
                    <a:graphic xmlns:a="http://schemas.openxmlformats.org/drawingml/2006/main">
                      <a:graphicData uri="http://schemas.microsoft.com/office/word/2010/wordprocessingShape">
                        <wps:wsp>
                          <wps:cNvSpPr txBox="1"/>
                          <wps:spPr>
                            <a:xfrm>
                              <a:off x="0" y="0"/>
                              <a:ext cx="4412996"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4AA279A"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Pr>
                                        <w:rFonts w:asciiTheme="majorHAnsi" w:eastAsiaTheme="majorEastAsia" w:hAnsiTheme="majorHAnsi" w:cstheme="majorBidi"/>
                                        <w:color w:val="262626" w:themeColor="text1" w:themeTint="D9"/>
                                        <w:sz w:val="72"/>
                                        <w:szCs w:val="72"/>
                                      </w:rPr>
                                      <w:t xml:space="preserve">Assessment </w:t>
                                    </w:r>
                                    <w:r w:rsidR="007675F4">
                                      <w:rPr>
                                        <w:rFonts w:asciiTheme="majorHAnsi" w:eastAsiaTheme="majorEastAsia" w:hAnsiTheme="majorHAnsi" w:cstheme="majorBidi"/>
                                        <w:color w:val="262626" w:themeColor="text1" w:themeTint="D9"/>
                                        <w:sz w:val="72"/>
                                        <w:szCs w:val="72"/>
                                      </w:rPr>
                                      <w:t>1</w:t>
                                    </w:r>
                                  </w:sdtContent>
                                </w:sdt>
                              </w:p>
                              <w:p w14:paraId="4E20A66F" w14:textId="116D4E42" w:rsidR="001F51DA" w:rsidRDefault="007675F4" w:rsidP="007675F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7675F4">
                                      <w:rPr>
                                        <w:color w:val="404040" w:themeColor="text1" w:themeTint="BF"/>
                                        <w:sz w:val="36"/>
                                        <w:szCs w:val="36"/>
                                      </w:rPr>
                                      <w:t>Project: Research and case scenario</w:t>
                                    </w:r>
                                    <w:r>
                                      <w:rPr>
                                        <w:color w:val="404040" w:themeColor="text1" w:themeTint="BF"/>
                                        <w:sz w:val="36"/>
                                        <w:szCs w:val="36"/>
                                      </w:rPr>
                                      <w:t xml:space="preserve"> </w:t>
                                    </w:r>
                                    <w:r w:rsidRPr="007675F4">
                                      <w:rPr>
                                        <w:color w:val="404040" w:themeColor="text1" w:themeTint="BF"/>
                                        <w:sz w:val="36"/>
                                        <w:szCs w:val="36"/>
                                      </w:rPr>
                                      <w:t>in Data Security and</w:t>
                                    </w:r>
                                    <w:r>
                                      <w:rPr>
                                        <w:color w:val="404040" w:themeColor="text1" w:themeTint="BF"/>
                                        <w:sz w:val="36"/>
                                        <w:szCs w:val="36"/>
                                      </w:rPr>
                                      <w:t xml:space="preserve"> </w:t>
                                    </w:r>
                                    <w:r w:rsidRPr="007675F4">
                                      <w:rPr>
                                        <w:color w:val="404040" w:themeColor="text1" w:themeTint="BF"/>
                                        <w:sz w:val="36"/>
                                        <w:szCs w:val="36"/>
                                      </w:rPr>
                                      <w:t>Compliance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221.75pt;margin-top:109.45pt;width:347.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" filled="f" stroked="f" strokeweight=".5pt">
                    <v:textbox style="mso-fit-shape-to-text:t" inset="0,0,0,0">
                      <w:txbxContent>
                        <w:p w14:paraId="115A3E9C" w14:textId="54AA279A"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Pr>
                                  <w:rFonts w:asciiTheme="majorHAnsi" w:eastAsiaTheme="majorEastAsia" w:hAnsiTheme="majorHAnsi" w:cstheme="majorBidi"/>
                                  <w:color w:val="262626" w:themeColor="text1" w:themeTint="D9"/>
                                  <w:sz w:val="72"/>
                                  <w:szCs w:val="72"/>
                                </w:rPr>
                                <w:t xml:space="preserve">Assessment </w:t>
                              </w:r>
                              <w:r w:rsidR="007675F4">
                                <w:rPr>
                                  <w:rFonts w:asciiTheme="majorHAnsi" w:eastAsiaTheme="majorEastAsia" w:hAnsiTheme="majorHAnsi" w:cstheme="majorBidi"/>
                                  <w:color w:val="262626" w:themeColor="text1" w:themeTint="D9"/>
                                  <w:sz w:val="72"/>
                                  <w:szCs w:val="72"/>
                                </w:rPr>
                                <w:t>1</w:t>
                              </w:r>
                            </w:sdtContent>
                          </w:sdt>
                        </w:p>
                        <w:p w14:paraId="4E20A66F" w14:textId="116D4E42" w:rsidR="001F51DA" w:rsidRDefault="007675F4" w:rsidP="007675F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7675F4">
                                <w:rPr>
                                  <w:color w:val="404040" w:themeColor="text1" w:themeTint="BF"/>
                                  <w:sz w:val="36"/>
                                  <w:szCs w:val="36"/>
                                </w:rPr>
                                <w:t>Project: Research and case scenario</w:t>
                              </w:r>
                              <w:r>
                                <w:rPr>
                                  <w:color w:val="404040" w:themeColor="text1" w:themeTint="BF"/>
                                  <w:sz w:val="36"/>
                                  <w:szCs w:val="36"/>
                                </w:rPr>
                                <w:t xml:space="preserve"> </w:t>
                              </w:r>
                              <w:r w:rsidRPr="007675F4">
                                <w:rPr>
                                  <w:color w:val="404040" w:themeColor="text1" w:themeTint="BF"/>
                                  <w:sz w:val="36"/>
                                  <w:szCs w:val="36"/>
                                </w:rPr>
                                <w:t>in Data Security and</w:t>
                              </w:r>
                              <w:r>
                                <w:rPr>
                                  <w:color w:val="404040" w:themeColor="text1" w:themeTint="BF"/>
                                  <w:sz w:val="36"/>
                                  <w:szCs w:val="36"/>
                                </w:rPr>
                                <w:t xml:space="preserve"> </w:t>
                              </w:r>
                              <w:r w:rsidRPr="007675F4">
                                <w:rPr>
                                  <w:color w:val="404040" w:themeColor="text1" w:themeTint="BF"/>
                                  <w:sz w:val="36"/>
                                  <w:szCs w:val="36"/>
                                </w:rPr>
                                <w:t>Compliance</w:t>
                              </w:r>
                            </w:sdtContent>
                          </w:sdt>
                        </w:p>
                      </w:txbxContent>
                    </v:textbox>
                    <w10:wrap anchorx="page" anchory="page"/>
                  </v:shape>
                </w:pict>
              </mc:Fallback>
            </mc:AlternateContent>
          </w:r>
          <w:r w:rsidR="00227FBC" w:rsidRPr="00675E0B">
            <w:rPr>
              <w:rFonts w:ascii="Arial" w:hAnsi="Arial" w:cs="Arial"/>
              <w:noProof/>
            </w:rPr>
            <mc:AlternateContent>
              <mc:Choice Requires="wpg">
                <w:drawing>
                  <wp:anchor distT="45720" distB="45720" distL="182880" distR="182880" simplePos="0" relativeHeight="251663360" behindDoc="0" locked="0" layoutInCell="1" allowOverlap="1" wp14:anchorId="60A4B4B3" wp14:editId="0EE5E267">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3D2C9D7F" w:rsidR="001F51DA" w:rsidRDefault="001F51DA">
                                  <w:pPr>
                                    <w:rPr>
                                      <w:caps/>
                                      <w:color w:val="156082" w:themeColor="accent1"/>
                                      <w:sz w:val="26"/>
                                      <w:szCs w:val="26"/>
                                    </w:rPr>
                                  </w:pPr>
                                  <w:r>
                                    <w:rPr>
                                      <w:caps/>
                                      <w:color w:val="156082" w:themeColor="accent1"/>
                                      <w:sz w:val="26"/>
                                      <w:szCs w:val="26"/>
                                    </w:rPr>
                                    <w:t xml:space="preserve">Module NaMe: </w:t>
                                  </w:r>
                                  <w:r w:rsidR="007675F4" w:rsidRPr="007675F4">
                                    <w:rPr>
                                      <w:caps/>
                                      <w:color w:val="156082" w:themeColor="accent1"/>
                                      <w:sz w:val="26"/>
                                      <w:szCs w:val="26"/>
                                    </w:rPr>
                                    <w:t>Data Security and Compliance</w:t>
                                  </w:r>
                                </w:p>
                                <w:p w14:paraId="09852EBF" w14:textId="1976556C" w:rsidR="001F51DA" w:rsidRDefault="001F51DA">
                                  <w:pPr>
                                    <w:rPr>
                                      <w:caps/>
                                      <w:color w:val="156082" w:themeColor="accent1"/>
                                      <w:sz w:val="26"/>
                                      <w:szCs w:val="26"/>
                                    </w:rPr>
                                  </w:pPr>
                                  <w:r>
                                    <w:rPr>
                                      <w:caps/>
                                      <w:color w:val="156082" w:themeColor="accent1"/>
                                      <w:sz w:val="26"/>
                                      <w:szCs w:val="26"/>
                                    </w:rPr>
                                    <w:t>Module Code: ACCA 503</w:t>
                                  </w:r>
                                  <w:r w:rsidR="007675F4">
                                    <w:rPr>
                                      <w:caps/>
                                      <w:color w:val="156082" w:themeColor="accent1"/>
                                      <w:sz w:val="26"/>
                                      <w:szCs w:val="26"/>
                                    </w:rPr>
                                    <w:t>4</w:t>
                                  </w:r>
                                </w:p>
                                <w:p w14:paraId="28C38D52" w14:textId="41C25FD0" w:rsidR="00227FBC" w:rsidRDefault="00227FBC">
                                  <w:pPr>
                                    <w:rPr>
                                      <w:caps/>
                                      <w:color w:val="156082" w:themeColor="accent1"/>
                                      <w:sz w:val="26"/>
                                      <w:szCs w:val="26"/>
                                    </w:rPr>
                                  </w:pPr>
                                  <w:r>
                                    <w:rPr>
                                      <w:caps/>
                                      <w:color w:val="156082" w:themeColor="accent1"/>
                                      <w:sz w:val="26"/>
                                      <w:szCs w:val="26"/>
                                    </w:rPr>
                                    <w:t>Student NAME:</w:t>
                                  </w:r>
                                  <w:r w:rsidR="00601770">
                                    <w:rPr>
                                      <w:caps/>
                                      <w:color w:val="156082" w:themeColor="accent1"/>
                                      <w:sz w:val="26"/>
                                      <w:szCs w:val="26"/>
                                    </w:rPr>
                                    <w:t xml:space="preserve"> ERIC FERRO FERNANDES</w:t>
                                  </w:r>
                                </w:p>
                                <w:p w14:paraId="4FE06CE3" w14:textId="4286F66C" w:rsidR="00227FBC" w:rsidRDefault="00227FBC">
                                  <w:pPr>
                                    <w:rPr>
                                      <w:caps/>
                                      <w:color w:val="156082" w:themeColor="accent1"/>
                                      <w:sz w:val="26"/>
                                      <w:szCs w:val="26"/>
                                    </w:rPr>
                                  </w:pPr>
                                  <w:r>
                                    <w:rPr>
                                      <w:caps/>
                                      <w:color w:val="156082" w:themeColor="accent1"/>
                                      <w:sz w:val="26"/>
                                      <w:szCs w:val="26"/>
                                    </w:rPr>
                                    <w:t>Student ID</w:t>
                                  </w:r>
                                  <w:r w:rsidR="00601770">
                                    <w:rPr>
                                      <w:caps/>
                                      <w:color w:val="156082" w:themeColor="accent1"/>
                                      <w:sz w:val="26"/>
                                      <w:szCs w:val="26"/>
                                    </w:rPr>
                                    <w:t>: 2414945</w:t>
                                  </w:r>
                                </w:p>
                                <w:p w14:paraId="3839910C" w14:textId="604FE2F0" w:rsidR="001F51DA" w:rsidRDefault="001F51DA">
                                  <w:pPr>
                                    <w:rPr>
                                      <w:caps/>
                                      <w:color w:val="156082" w:themeColor="accent1"/>
                                      <w:sz w:val="26"/>
                                      <w:szCs w:val="26"/>
                                    </w:rPr>
                                  </w:pPr>
                                  <w:r>
                                    <w:rPr>
                                      <w:caps/>
                                      <w:color w:val="156082" w:themeColor="accent1"/>
                                      <w:sz w:val="26"/>
                                      <w:szCs w:val="26"/>
                                    </w:rPr>
                                    <w:t xml:space="preserve">Lecturer: </w:t>
                                  </w:r>
                                  <w:r w:rsidR="007675F4" w:rsidRPr="007675F4">
                                    <w:rPr>
                                      <w:caps/>
                                      <w:color w:val="156082" w:themeColor="accent1"/>
                                      <w:sz w:val="26"/>
                                      <w:szCs w:val="26"/>
                                    </w:rPr>
                                    <w:t>Dr Ayman Al Hajjar</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79.5pt;margin-top:180pt;width:419.55pt;height:211pt;z-index:251663360;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">
                    <v:rect id="Rectangle 199" o:spid="_x0000_s1057" style="position:absolute;left:639;top:-4562;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724;top:-673;width:35674;height:248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" filled="f" stroked="f" strokeweight=".5pt">
                      <v:textbox inset=",7.2pt,,0">
                        <w:txbxContent>
                          <w:p w14:paraId="34E1D7DC" w14:textId="3D2C9D7F" w:rsidR="001F51DA" w:rsidRDefault="001F51DA">
                            <w:pPr>
                              <w:rPr>
                                <w:caps/>
                                <w:color w:val="156082" w:themeColor="accent1"/>
                                <w:sz w:val="26"/>
                                <w:szCs w:val="26"/>
                              </w:rPr>
                            </w:pPr>
                            <w:r>
                              <w:rPr>
                                <w:caps/>
                                <w:color w:val="156082" w:themeColor="accent1"/>
                                <w:sz w:val="26"/>
                                <w:szCs w:val="26"/>
                              </w:rPr>
                              <w:t xml:space="preserve">Module NaMe: </w:t>
                            </w:r>
                            <w:r w:rsidR="007675F4" w:rsidRPr="007675F4">
                              <w:rPr>
                                <w:caps/>
                                <w:color w:val="156082" w:themeColor="accent1"/>
                                <w:sz w:val="26"/>
                                <w:szCs w:val="26"/>
                              </w:rPr>
                              <w:t>Data Security and Compliance</w:t>
                            </w:r>
                          </w:p>
                          <w:p w14:paraId="09852EBF" w14:textId="1976556C" w:rsidR="001F51DA" w:rsidRDefault="001F51DA">
                            <w:pPr>
                              <w:rPr>
                                <w:caps/>
                                <w:color w:val="156082" w:themeColor="accent1"/>
                                <w:sz w:val="26"/>
                                <w:szCs w:val="26"/>
                              </w:rPr>
                            </w:pPr>
                            <w:r>
                              <w:rPr>
                                <w:caps/>
                                <w:color w:val="156082" w:themeColor="accent1"/>
                                <w:sz w:val="26"/>
                                <w:szCs w:val="26"/>
                              </w:rPr>
                              <w:t>Module Code: ACCA 503</w:t>
                            </w:r>
                            <w:r w:rsidR="007675F4">
                              <w:rPr>
                                <w:caps/>
                                <w:color w:val="156082" w:themeColor="accent1"/>
                                <w:sz w:val="26"/>
                                <w:szCs w:val="26"/>
                              </w:rPr>
                              <w:t>4</w:t>
                            </w:r>
                          </w:p>
                          <w:p w14:paraId="28C38D52" w14:textId="41C25FD0" w:rsidR="00227FBC" w:rsidRDefault="00227FBC">
                            <w:pPr>
                              <w:rPr>
                                <w:caps/>
                                <w:color w:val="156082" w:themeColor="accent1"/>
                                <w:sz w:val="26"/>
                                <w:szCs w:val="26"/>
                              </w:rPr>
                            </w:pPr>
                            <w:r>
                              <w:rPr>
                                <w:caps/>
                                <w:color w:val="156082" w:themeColor="accent1"/>
                                <w:sz w:val="26"/>
                                <w:szCs w:val="26"/>
                              </w:rPr>
                              <w:t>Student NAME:</w:t>
                            </w:r>
                            <w:r w:rsidR="00601770">
                              <w:rPr>
                                <w:caps/>
                                <w:color w:val="156082" w:themeColor="accent1"/>
                                <w:sz w:val="26"/>
                                <w:szCs w:val="26"/>
                              </w:rPr>
                              <w:t xml:space="preserve"> ERIC FERRO FERNANDES</w:t>
                            </w:r>
                          </w:p>
                          <w:p w14:paraId="4FE06CE3" w14:textId="4286F66C" w:rsidR="00227FBC" w:rsidRDefault="00227FBC">
                            <w:pPr>
                              <w:rPr>
                                <w:caps/>
                                <w:color w:val="156082" w:themeColor="accent1"/>
                                <w:sz w:val="26"/>
                                <w:szCs w:val="26"/>
                              </w:rPr>
                            </w:pPr>
                            <w:r>
                              <w:rPr>
                                <w:caps/>
                                <w:color w:val="156082" w:themeColor="accent1"/>
                                <w:sz w:val="26"/>
                                <w:szCs w:val="26"/>
                              </w:rPr>
                              <w:t>Student ID</w:t>
                            </w:r>
                            <w:r w:rsidR="00601770">
                              <w:rPr>
                                <w:caps/>
                                <w:color w:val="156082" w:themeColor="accent1"/>
                                <w:sz w:val="26"/>
                                <w:szCs w:val="26"/>
                              </w:rPr>
                              <w:t>: 2414945</w:t>
                            </w:r>
                          </w:p>
                          <w:p w14:paraId="3839910C" w14:textId="604FE2F0" w:rsidR="001F51DA" w:rsidRDefault="001F51DA">
                            <w:pPr>
                              <w:rPr>
                                <w:caps/>
                                <w:color w:val="156082" w:themeColor="accent1"/>
                                <w:sz w:val="26"/>
                                <w:szCs w:val="26"/>
                              </w:rPr>
                            </w:pPr>
                            <w:r>
                              <w:rPr>
                                <w:caps/>
                                <w:color w:val="156082" w:themeColor="accent1"/>
                                <w:sz w:val="26"/>
                                <w:szCs w:val="26"/>
                              </w:rPr>
                              <w:t xml:space="preserve">Lecturer: </w:t>
                            </w:r>
                            <w:r w:rsidR="007675F4" w:rsidRPr="007675F4">
                              <w:rPr>
                                <w:caps/>
                                <w:color w:val="156082" w:themeColor="accent1"/>
                                <w:sz w:val="26"/>
                                <w:szCs w:val="26"/>
                              </w:rPr>
                              <w:t>Dr Ayman Al Hajjar</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rsidRPr="00675E0B">
            <w:rPr>
              <w:rFonts w:ascii="Arial" w:hAnsi="Arial" w:cs="Arial"/>
            </w:rPr>
            <w:br w:type="page"/>
          </w:r>
        </w:p>
      </w:sdtContent>
    </w:sdt>
    <w:sdt>
      <w:sdtPr>
        <w:rPr>
          <w:rFonts w:ascii="Arial" w:eastAsiaTheme="minorEastAsia" w:hAnsi="Arial" w:cs="Arial"/>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Pr="007A1F3D" w:rsidRDefault="00796A85" w:rsidP="007A1F3D">
          <w:pPr>
            <w:pStyle w:val="TOCHeading"/>
            <w:spacing w:line="360" w:lineRule="auto"/>
            <w:rPr>
              <w:rFonts w:ascii="Arial" w:hAnsi="Arial" w:cs="Arial"/>
              <w:sz w:val="22"/>
              <w:szCs w:val="22"/>
            </w:rPr>
          </w:pPr>
          <w:r w:rsidRPr="007A1F3D">
            <w:rPr>
              <w:rFonts w:ascii="Arial" w:hAnsi="Arial" w:cs="Arial"/>
              <w:sz w:val="22"/>
              <w:szCs w:val="22"/>
            </w:rPr>
            <w:t>Table of Contents</w:t>
          </w:r>
        </w:p>
        <w:p w14:paraId="5B8DB32A" w14:textId="1C6F0734" w:rsidR="0076398C" w:rsidRDefault="00286DF1">
          <w:pPr>
            <w:pStyle w:val="TOC1"/>
            <w:tabs>
              <w:tab w:val="right" w:leader="dot" w:pos="9016"/>
            </w:tabs>
            <w:rPr>
              <w:noProof/>
              <w:lang w:eastAsia="en-GB"/>
            </w:rPr>
          </w:pPr>
          <w:r w:rsidRPr="007A1F3D">
            <w:rPr>
              <w:rFonts w:ascii="Arial" w:hAnsi="Arial" w:cs="Arial"/>
              <w:sz w:val="22"/>
              <w:szCs w:val="22"/>
            </w:rPr>
            <w:fldChar w:fldCharType="begin"/>
          </w:r>
          <w:r w:rsidRPr="007A1F3D">
            <w:rPr>
              <w:rFonts w:ascii="Arial" w:hAnsi="Arial" w:cs="Arial"/>
              <w:sz w:val="22"/>
              <w:szCs w:val="22"/>
            </w:rPr>
            <w:instrText xml:space="preserve"> TOC \o "1-5" \h \z \u </w:instrText>
          </w:r>
          <w:r w:rsidRPr="007A1F3D">
            <w:rPr>
              <w:rFonts w:ascii="Arial" w:hAnsi="Arial" w:cs="Arial"/>
              <w:sz w:val="22"/>
              <w:szCs w:val="22"/>
            </w:rPr>
            <w:fldChar w:fldCharType="separate"/>
          </w:r>
          <w:hyperlink w:anchor="_Toc228040364" w:history="1">
            <w:r w:rsidR="0076398C" w:rsidRPr="00391118">
              <w:rPr>
                <w:rStyle w:val="Hyperlink"/>
                <w:noProof/>
              </w:rPr>
              <w:t>1.Introduction</w:t>
            </w:r>
            <w:r w:rsidR="0076398C">
              <w:rPr>
                <w:noProof/>
                <w:webHidden/>
              </w:rPr>
              <w:tab/>
            </w:r>
            <w:r w:rsidR="0076398C">
              <w:rPr>
                <w:noProof/>
                <w:webHidden/>
              </w:rPr>
              <w:fldChar w:fldCharType="begin"/>
            </w:r>
            <w:r w:rsidR="0076398C">
              <w:rPr>
                <w:noProof/>
                <w:webHidden/>
              </w:rPr>
              <w:instrText xml:space="preserve"> PAGEREF _Toc228040364 \h </w:instrText>
            </w:r>
            <w:r w:rsidR="0076398C">
              <w:rPr>
                <w:noProof/>
                <w:webHidden/>
              </w:rPr>
            </w:r>
            <w:r w:rsidR="0076398C">
              <w:rPr>
                <w:noProof/>
                <w:webHidden/>
              </w:rPr>
              <w:fldChar w:fldCharType="separate"/>
            </w:r>
            <w:r w:rsidR="0076398C">
              <w:rPr>
                <w:noProof/>
                <w:webHidden/>
              </w:rPr>
              <w:t>2</w:t>
            </w:r>
            <w:r w:rsidR="0076398C">
              <w:rPr>
                <w:noProof/>
                <w:webHidden/>
              </w:rPr>
              <w:fldChar w:fldCharType="end"/>
            </w:r>
          </w:hyperlink>
        </w:p>
        <w:p w14:paraId="661F2820" w14:textId="13CCCFF1" w:rsidR="0076398C" w:rsidRDefault="0076398C">
          <w:pPr>
            <w:pStyle w:val="TOC1"/>
            <w:tabs>
              <w:tab w:val="right" w:leader="dot" w:pos="9016"/>
            </w:tabs>
            <w:rPr>
              <w:noProof/>
              <w:lang w:eastAsia="en-GB"/>
            </w:rPr>
          </w:pPr>
          <w:hyperlink w:anchor="_Toc228040365" w:history="1">
            <w:r w:rsidRPr="00391118">
              <w:rPr>
                <w:rStyle w:val="Hyperlink"/>
                <w:noProof/>
              </w:rPr>
              <w:t>2. Task 1 – Research in Data Security and Compliance</w:t>
            </w:r>
            <w:r>
              <w:rPr>
                <w:noProof/>
                <w:webHidden/>
              </w:rPr>
              <w:tab/>
            </w:r>
            <w:r>
              <w:rPr>
                <w:noProof/>
                <w:webHidden/>
              </w:rPr>
              <w:fldChar w:fldCharType="begin"/>
            </w:r>
            <w:r>
              <w:rPr>
                <w:noProof/>
                <w:webHidden/>
              </w:rPr>
              <w:instrText xml:space="preserve"> PAGEREF _Toc228040365 \h </w:instrText>
            </w:r>
            <w:r>
              <w:rPr>
                <w:noProof/>
                <w:webHidden/>
              </w:rPr>
            </w:r>
            <w:r>
              <w:rPr>
                <w:noProof/>
                <w:webHidden/>
              </w:rPr>
              <w:fldChar w:fldCharType="separate"/>
            </w:r>
            <w:r>
              <w:rPr>
                <w:noProof/>
                <w:webHidden/>
              </w:rPr>
              <w:t>2</w:t>
            </w:r>
            <w:r>
              <w:rPr>
                <w:noProof/>
                <w:webHidden/>
              </w:rPr>
              <w:fldChar w:fldCharType="end"/>
            </w:r>
          </w:hyperlink>
        </w:p>
        <w:p w14:paraId="5453339B" w14:textId="4A34BF94" w:rsidR="0076398C" w:rsidRDefault="0076398C">
          <w:pPr>
            <w:pStyle w:val="TOC2"/>
            <w:tabs>
              <w:tab w:val="right" w:leader="dot" w:pos="9016"/>
            </w:tabs>
            <w:rPr>
              <w:noProof/>
              <w:lang w:eastAsia="en-GB"/>
            </w:rPr>
          </w:pPr>
          <w:hyperlink w:anchor="_Toc228040366" w:history="1">
            <w:r w:rsidRPr="00391118">
              <w:rPr>
                <w:rStyle w:val="Hyperlink"/>
                <w:noProof/>
              </w:rPr>
              <w:t>2.1 Introduction to Task 1</w:t>
            </w:r>
            <w:r>
              <w:rPr>
                <w:noProof/>
                <w:webHidden/>
              </w:rPr>
              <w:tab/>
            </w:r>
            <w:r>
              <w:rPr>
                <w:noProof/>
                <w:webHidden/>
              </w:rPr>
              <w:fldChar w:fldCharType="begin"/>
            </w:r>
            <w:r>
              <w:rPr>
                <w:noProof/>
                <w:webHidden/>
              </w:rPr>
              <w:instrText xml:space="preserve"> PAGEREF _Toc228040366 \h </w:instrText>
            </w:r>
            <w:r>
              <w:rPr>
                <w:noProof/>
                <w:webHidden/>
              </w:rPr>
            </w:r>
            <w:r>
              <w:rPr>
                <w:noProof/>
                <w:webHidden/>
              </w:rPr>
              <w:fldChar w:fldCharType="separate"/>
            </w:r>
            <w:r>
              <w:rPr>
                <w:noProof/>
                <w:webHidden/>
              </w:rPr>
              <w:t>2</w:t>
            </w:r>
            <w:r>
              <w:rPr>
                <w:noProof/>
                <w:webHidden/>
              </w:rPr>
              <w:fldChar w:fldCharType="end"/>
            </w:r>
          </w:hyperlink>
        </w:p>
        <w:p w14:paraId="16EFB54D" w14:textId="4F4E218D" w:rsidR="0076398C" w:rsidRDefault="0076398C">
          <w:pPr>
            <w:pStyle w:val="TOC2"/>
            <w:tabs>
              <w:tab w:val="right" w:leader="dot" w:pos="9016"/>
            </w:tabs>
            <w:rPr>
              <w:noProof/>
              <w:lang w:eastAsia="en-GB"/>
            </w:rPr>
          </w:pPr>
          <w:hyperlink w:anchor="_Toc228040367" w:history="1">
            <w:r w:rsidRPr="00391118">
              <w:rPr>
                <w:rStyle w:val="Hyperlink"/>
                <w:noProof/>
              </w:rPr>
              <w:t>2.2 The Regulatory Triad: Scope, Principles, and Overlap</w:t>
            </w:r>
            <w:r>
              <w:rPr>
                <w:noProof/>
                <w:webHidden/>
              </w:rPr>
              <w:tab/>
            </w:r>
            <w:r>
              <w:rPr>
                <w:noProof/>
                <w:webHidden/>
              </w:rPr>
              <w:fldChar w:fldCharType="begin"/>
            </w:r>
            <w:r>
              <w:rPr>
                <w:noProof/>
                <w:webHidden/>
              </w:rPr>
              <w:instrText xml:space="preserve"> PAGEREF _Toc228040367 \h </w:instrText>
            </w:r>
            <w:r>
              <w:rPr>
                <w:noProof/>
                <w:webHidden/>
              </w:rPr>
            </w:r>
            <w:r>
              <w:rPr>
                <w:noProof/>
                <w:webHidden/>
              </w:rPr>
              <w:fldChar w:fldCharType="separate"/>
            </w:r>
            <w:r>
              <w:rPr>
                <w:noProof/>
                <w:webHidden/>
              </w:rPr>
              <w:t>3</w:t>
            </w:r>
            <w:r>
              <w:rPr>
                <w:noProof/>
                <w:webHidden/>
              </w:rPr>
              <w:fldChar w:fldCharType="end"/>
            </w:r>
          </w:hyperlink>
        </w:p>
        <w:p w14:paraId="050B0559" w14:textId="6122AE3B" w:rsidR="0076398C" w:rsidRDefault="0076398C">
          <w:pPr>
            <w:pStyle w:val="TOC3"/>
            <w:tabs>
              <w:tab w:val="right" w:leader="dot" w:pos="9016"/>
            </w:tabs>
            <w:rPr>
              <w:noProof/>
              <w:lang w:eastAsia="en-GB"/>
            </w:rPr>
          </w:pPr>
          <w:hyperlink w:anchor="_Toc228040368" w:history="1">
            <w:r w:rsidRPr="00391118">
              <w:rPr>
                <w:rStyle w:val="Hyperlink"/>
                <w:noProof/>
              </w:rPr>
              <w:t>Table 1: Comparative Analysis of GDPR, DORA, and NIS2</w:t>
            </w:r>
            <w:r>
              <w:rPr>
                <w:noProof/>
                <w:webHidden/>
              </w:rPr>
              <w:tab/>
            </w:r>
            <w:r>
              <w:rPr>
                <w:noProof/>
                <w:webHidden/>
              </w:rPr>
              <w:fldChar w:fldCharType="begin"/>
            </w:r>
            <w:r>
              <w:rPr>
                <w:noProof/>
                <w:webHidden/>
              </w:rPr>
              <w:instrText xml:space="preserve"> PAGEREF _Toc228040368 \h </w:instrText>
            </w:r>
            <w:r>
              <w:rPr>
                <w:noProof/>
                <w:webHidden/>
              </w:rPr>
            </w:r>
            <w:r>
              <w:rPr>
                <w:noProof/>
                <w:webHidden/>
              </w:rPr>
              <w:fldChar w:fldCharType="separate"/>
            </w:r>
            <w:r>
              <w:rPr>
                <w:noProof/>
                <w:webHidden/>
              </w:rPr>
              <w:t>4</w:t>
            </w:r>
            <w:r>
              <w:rPr>
                <w:noProof/>
                <w:webHidden/>
              </w:rPr>
              <w:fldChar w:fldCharType="end"/>
            </w:r>
          </w:hyperlink>
        </w:p>
        <w:p w14:paraId="12D8C78E" w14:textId="1FE73BCA" w:rsidR="0076398C" w:rsidRDefault="0076398C">
          <w:pPr>
            <w:pStyle w:val="TOC2"/>
            <w:tabs>
              <w:tab w:val="right" w:leader="dot" w:pos="9016"/>
            </w:tabs>
            <w:rPr>
              <w:noProof/>
              <w:lang w:eastAsia="en-GB"/>
            </w:rPr>
          </w:pPr>
          <w:hyperlink w:anchor="_Toc228040369" w:history="1">
            <w:r w:rsidRPr="00391118">
              <w:rPr>
                <w:rStyle w:val="Hyperlink"/>
                <w:noProof/>
              </w:rPr>
              <w:t>2.3 Anticipating Threats: A Proactive Approach to Cyber Resilience</w:t>
            </w:r>
            <w:r>
              <w:rPr>
                <w:noProof/>
                <w:webHidden/>
              </w:rPr>
              <w:tab/>
            </w:r>
            <w:r>
              <w:rPr>
                <w:noProof/>
                <w:webHidden/>
              </w:rPr>
              <w:fldChar w:fldCharType="begin"/>
            </w:r>
            <w:r>
              <w:rPr>
                <w:noProof/>
                <w:webHidden/>
              </w:rPr>
              <w:instrText xml:space="preserve"> PAGEREF _Toc228040369 \h </w:instrText>
            </w:r>
            <w:r>
              <w:rPr>
                <w:noProof/>
                <w:webHidden/>
              </w:rPr>
            </w:r>
            <w:r>
              <w:rPr>
                <w:noProof/>
                <w:webHidden/>
              </w:rPr>
              <w:fldChar w:fldCharType="separate"/>
            </w:r>
            <w:r>
              <w:rPr>
                <w:noProof/>
                <w:webHidden/>
              </w:rPr>
              <w:t>4</w:t>
            </w:r>
            <w:r>
              <w:rPr>
                <w:noProof/>
                <w:webHidden/>
              </w:rPr>
              <w:fldChar w:fldCharType="end"/>
            </w:r>
          </w:hyperlink>
        </w:p>
        <w:p w14:paraId="216C4A1C" w14:textId="368B2644" w:rsidR="0076398C" w:rsidRDefault="0076398C">
          <w:pPr>
            <w:pStyle w:val="TOC2"/>
            <w:tabs>
              <w:tab w:val="right" w:leader="dot" w:pos="9016"/>
            </w:tabs>
            <w:rPr>
              <w:noProof/>
              <w:lang w:eastAsia="en-GB"/>
            </w:rPr>
          </w:pPr>
          <w:hyperlink w:anchor="_Toc228040370" w:history="1">
            <w:r w:rsidRPr="00391118">
              <w:rPr>
                <w:rStyle w:val="Hyperlink"/>
                <w:rFonts w:ascii="Arial" w:hAnsi="Arial" w:cs="Arial"/>
                <w:noProof/>
              </w:rPr>
              <w:t>2.</w:t>
            </w:r>
            <w:r w:rsidRPr="00391118">
              <w:rPr>
                <w:rStyle w:val="Hyperlink"/>
                <w:noProof/>
              </w:rPr>
              <w:t>4 Protecting Information Assets: Building Resilient Architectures</w:t>
            </w:r>
            <w:r>
              <w:rPr>
                <w:noProof/>
                <w:webHidden/>
              </w:rPr>
              <w:tab/>
            </w:r>
            <w:r>
              <w:rPr>
                <w:noProof/>
                <w:webHidden/>
              </w:rPr>
              <w:fldChar w:fldCharType="begin"/>
            </w:r>
            <w:r>
              <w:rPr>
                <w:noProof/>
                <w:webHidden/>
              </w:rPr>
              <w:instrText xml:space="preserve"> PAGEREF _Toc228040370 \h </w:instrText>
            </w:r>
            <w:r>
              <w:rPr>
                <w:noProof/>
                <w:webHidden/>
              </w:rPr>
            </w:r>
            <w:r>
              <w:rPr>
                <w:noProof/>
                <w:webHidden/>
              </w:rPr>
              <w:fldChar w:fldCharType="separate"/>
            </w:r>
            <w:r>
              <w:rPr>
                <w:noProof/>
                <w:webHidden/>
              </w:rPr>
              <w:t>5</w:t>
            </w:r>
            <w:r>
              <w:rPr>
                <w:noProof/>
                <w:webHidden/>
              </w:rPr>
              <w:fldChar w:fldCharType="end"/>
            </w:r>
          </w:hyperlink>
        </w:p>
        <w:p w14:paraId="5263DE80" w14:textId="14591C28" w:rsidR="0076398C" w:rsidRDefault="0076398C">
          <w:pPr>
            <w:pStyle w:val="TOC2"/>
            <w:tabs>
              <w:tab w:val="right" w:leader="dot" w:pos="9016"/>
            </w:tabs>
            <w:rPr>
              <w:noProof/>
              <w:lang w:eastAsia="en-GB"/>
            </w:rPr>
          </w:pPr>
          <w:hyperlink w:anchor="_Toc228040371" w:history="1">
            <w:r w:rsidRPr="00391118">
              <w:rPr>
                <w:rStyle w:val="Hyperlink"/>
                <w:noProof/>
              </w:rPr>
              <w:t>2.5 Detecting Threats: Continuous Monitoring and Visibility</w:t>
            </w:r>
            <w:r>
              <w:rPr>
                <w:noProof/>
                <w:webHidden/>
              </w:rPr>
              <w:tab/>
            </w:r>
            <w:r>
              <w:rPr>
                <w:noProof/>
                <w:webHidden/>
              </w:rPr>
              <w:fldChar w:fldCharType="begin"/>
            </w:r>
            <w:r>
              <w:rPr>
                <w:noProof/>
                <w:webHidden/>
              </w:rPr>
              <w:instrText xml:space="preserve"> PAGEREF _Toc228040371 \h </w:instrText>
            </w:r>
            <w:r>
              <w:rPr>
                <w:noProof/>
                <w:webHidden/>
              </w:rPr>
            </w:r>
            <w:r>
              <w:rPr>
                <w:noProof/>
                <w:webHidden/>
              </w:rPr>
              <w:fldChar w:fldCharType="separate"/>
            </w:r>
            <w:r>
              <w:rPr>
                <w:noProof/>
                <w:webHidden/>
              </w:rPr>
              <w:t>6</w:t>
            </w:r>
            <w:r>
              <w:rPr>
                <w:noProof/>
                <w:webHidden/>
              </w:rPr>
              <w:fldChar w:fldCharType="end"/>
            </w:r>
          </w:hyperlink>
        </w:p>
        <w:p w14:paraId="5C5BB588" w14:textId="345DF12F" w:rsidR="0076398C" w:rsidRDefault="0076398C">
          <w:pPr>
            <w:pStyle w:val="TOC2"/>
            <w:tabs>
              <w:tab w:val="right" w:leader="dot" w:pos="9016"/>
            </w:tabs>
            <w:rPr>
              <w:noProof/>
              <w:lang w:eastAsia="en-GB"/>
            </w:rPr>
          </w:pPr>
          <w:hyperlink w:anchor="_Toc228040372" w:history="1">
            <w:r w:rsidRPr="00391118">
              <w:rPr>
                <w:rStyle w:val="Hyperlink"/>
                <w:noProof/>
              </w:rPr>
              <w:t>2.6 Automatically Responding to Threats: Orchestration and Recovery</w:t>
            </w:r>
            <w:r>
              <w:rPr>
                <w:noProof/>
                <w:webHidden/>
              </w:rPr>
              <w:tab/>
            </w:r>
            <w:r>
              <w:rPr>
                <w:noProof/>
                <w:webHidden/>
              </w:rPr>
              <w:fldChar w:fldCharType="begin"/>
            </w:r>
            <w:r>
              <w:rPr>
                <w:noProof/>
                <w:webHidden/>
              </w:rPr>
              <w:instrText xml:space="preserve"> PAGEREF _Toc228040372 \h </w:instrText>
            </w:r>
            <w:r>
              <w:rPr>
                <w:noProof/>
                <w:webHidden/>
              </w:rPr>
            </w:r>
            <w:r>
              <w:rPr>
                <w:noProof/>
                <w:webHidden/>
              </w:rPr>
              <w:fldChar w:fldCharType="separate"/>
            </w:r>
            <w:r>
              <w:rPr>
                <w:noProof/>
                <w:webHidden/>
              </w:rPr>
              <w:t>7</w:t>
            </w:r>
            <w:r>
              <w:rPr>
                <w:noProof/>
                <w:webHidden/>
              </w:rPr>
              <w:fldChar w:fldCharType="end"/>
            </w:r>
          </w:hyperlink>
        </w:p>
        <w:p w14:paraId="455004DD" w14:textId="3858E038" w:rsidR="0076398C" w:rsidRDefault="0076398C">
          <w:pPr>
            <w:pStyle w:val="TOC2"/>
            <w:tabs>
              <w:tab w:val="right" w:leader="dot" w:pos="9016"/>
            </w:tabs>
            <w:rPr>
              <w:noProof/>
              <w:lang w:eastAsia="en-GB"/>
            </w:rPr>
          </w:pPr>
          <w:hyperlink w:anchor="_Toc228040373" w:history="1">
            <w:r w:rsidRPr="00391118">
              <w:rPr>
                <w:rStyle w:val="Hyperlink"/>
                <w:noProof/>
              </w:rPr>
              <w:t>2.7 Critical Evaluation: Synergies, Tensions, and Implementation Barriers</w:t>
            </w:r>
            <w:r>
              <w:rPr>
                <w:noProof/>
                <w:webHidden/>
              </w:rPr>
              <w:tab/>
            </w:r>
            <w:r>
              <w:rPr>
                <w:noProof/>
                <w:webHidden/>
              </w:rPr>
              <w:fldChar w:fldCharType="begin"/>
            </w:r>
            <w:r>
              <w:rPr>
                <w:noProof/>
                <w:webHidden/>
              </w:rPr>
              <w:instrText xml:space="preserve"> PAGEREF _Toc228040373 \h </w:instrText>
            </w:r>
            <w:r>
              <w:rPr>
                <w:noProof/>
                <w:webHidden/>
              </w:rPr>
            </w:r>
            <w:r>
              <w:rPr>
                <w:noProof/>
                <w:webHidden/>
              </w:rPr>
              <w:fldChar w:fldCharType="separate"/>
            </w:r>
            <w:r>
              <w:rPr>
                <w:noProof/>
                <w:webHidden/>
              </w:rPr>
              <w:t>8</w:t>
            </w:r>
            <w:r>
              <w:rPr>
                <w:noProof/>
                <w:webHidden/>
              </w:rPr>
              <w:fldChar w:fldCharType="end"/>
            </w:r>
          </w:hyperlink>
        </w:p>
        <w:p w14:paraId="29D75FB0" w14:textId="353388DC" w:rsidR="0076398C" w:rsidRDefault="0076398C">
          <w:pPr>
            <w:pStyle w:val="TOC2"/>
            <w:tabs>
              <w:tab w:val="right" w:leader="dot" w:pos="9016"/>
            </w:tabs>
            <w:rPr>
              <w:noProof/>
              <w:lang w:eastAsia="en-GB"/>
            </w:rPr>
          </w:pPr>
          <w:hyperlink w:anchor="_Toc228040374" w:history="1">
            <w:r w:rsidRPr="00391118">
              <w:rPr>
                <w:rStyle w:val="Hyperlink"/>
                <w:noProof/>
              </w:rPr>
              <w:t>2.8 Conclusion to Task 1</w:t>
            </w:r>
            <w:r>
              <w:rPr>
                <w:noProof/>
                <w:webHidden/>
              </w:rPr>
              <w:tab/>
            </w:r>
            <w:r>
              <w:rPr>
                <w:noProof/>
                <w:webHidden/>
              </w:rPr>
              <w:fldChar w:fldCharType="begin"/>
            </w:r>
            <w:r>
              <w:rPr>
                <w:noProof/>
                <w:webHidden/>
              </w:rPr>
              <w:instrText xml:space="preserve"> PAGEREF _Toc228040374 \h </w:instrText>
            </w:r>
            <w:r>
              <w:rPr>
                <w:noProof/>
                <w:webHidden/>
              </w:rPr>
            </w:r>
            <w:r>
              <w:rPr>
                <w:noProof/>
                <w:webHidden/>
              </w:rPr>
              <w:fldChar w:fldCharType="separate"/>
            </w:r>
            <w:r>
              <w:rPr>
                <w:noProof/>
                <w:webHidden/>
              </w:rPr>
              <w:t>9</w:t>
            </w:r>
            <w:r>
              <w:rPr>
                <w:noProof/>
                <w:webHidden/>
              </w:rPr>
              <w:fldChar w:fldCharType="end"/>
            </w:r>
          </w:hyperlink>
        </w:p>
        <w:p w14:paraId="467EAEC4" w14:textId="26DB6752" w:rsidR="0076398C" w:rsidRDefault="0076398C">
          <w:pPr>
            <w:pStyle w:val="TOC1"/>
            <w:tabs>
              <w:tab w:val="right" w:leader="dot" w:pos="9016"/>
            </w:tabs>
            <w:rPr>
              <w:noProof/>
              <w:lang w:eastAsia="en-GB"/>
            </w:rPr>
          </w:pPr>
          <w:hyperlink w:anchor="_Toc228040375" w:history="1">
            <w:r w:rsidRPr="00391118">
              <w:rPr>
                <w:rStyle w:val="Hyperlink"/>
                <w:noProof/>
                <w:lang w:val="pt-BR"/>
              </w:rPr>
              <w:t>3. Task 2 – Case Scenario</w:t>
            </w:r>
            <w:r>
              <w:rPr>
                <w:noProof/>
                <w:webHidden/>
              </w:rPr>
              <w:tab/>
            </w:r>
            <w:r>
              <w:rPr>
                <w:noProof/>
                <w:webHidden/>
              </w:rPr>
              <w:fldChar w:fldCharType="begin"/>
            </w:r>
            <w:r>
              <w:rPr>
                <w:noProof/>
                <w:webHidden/>
              </w:rPr>
              <w:instrText xml:space="preserve"> PAGEREF _Toc228040375 \h </w:instrText>
            </w:r>
            <w:r>
              <w:rPr>
                <w:noProof/>
                <w:webHidden/>
              </w:rPr>
            </w:r>
            <w:r>
              <w:rPr>
                <w:noProof/>
                <w:webHidden/>
              </w:rPr>
              <w:fldChar w:fldCharType="separate"/>
            </w:r>
            <w:r>
              <w:rPr>
                <w:noProof/>
                <w:webHidden/>
              </w:rPr>
              <w:t>10</w:t>
            </w:r>
            <w:r>
              <w:rPr>
                <w:noProof/>
                <w:webHidden/>
              </w:rPr>
              <w:fldChar w:fldCharType="end"/>
            </w:r>
          </w:hyperlink>
        </w:p>
        <w:p w14:paraId="05036827" w14:textId="7A28BFF1" w:rsidR="0076398C" w:rsidRDefault="0076398C">
          <w:pPr>
            <w:pStyle w:val="TOC2"/>
            <w:tabs>
              <w:tab w:val="right" w:leader="dot" w:pos="9016"/>
            </w:tabs>
            <w:rPr>
              <w:noProof/>
              <w:lang w:eastAsia="en-GB"/>
            </w:rPr>
          </w:pPr>
          <w:hyperlink w:anchor="_Toc228040376" w:history="1">
            <w:r w:rsidRPr="00391118">
              <w:rPr>
                <w:rStyle w:val="Hyperlink"/>
                <w:noProof/>
              </w:rPr>
              <w:t>3.1 Introduction to Task 2</w:t>
            </w:r>
            <w:r>
              <w:rPr>
                <w:noProof/>
                <w:webHidden/>
              </w:rPr>
              <w:tab/>
            </w:r>
            <w:r>
              <w:rPr>
                <w:noProof/>
                <w:webHidden/>
              </w:rPr>
              <w:fldChar w:fldCharType="begin"/>
            </w:r>
            <w:r>
              <w:rPr>
                <w:noProof/>
                <w:webHidden/>
              </w:rPr>
              <w:instrText xml:space="preserve"> PAGEREF _Toc228040376 \h </w:instrText>
            </w:r>
            <w:r>
              <w:rPr>
                <w:noProof/>
                <w:webHidden/>
              </w:rPr>
            </w:r>
            <w:r>
              <w:rPr>
                <w:noProof/>
                <w:webHidden/>
              </w:rPr>
              <w:fldChar w:fldCharType="separate"/>
            </w:r>
            <w:r>
              <w:rPr>
                <w:noProof/>
                <w:webHidden/>
              </w:rPr>
              <w:t>10</w:t>
            </w:r>
            <w:r>
              <w:rPr>
                <w:noProof/>
                <w:webHidden/>
              </w:rPr>
              <w:fldChar w:fldCharType="end"/>
            </w:r>
          </w:hyperlink>
        </w:p>
        <w:p w14:paraId="6EBF5690" w14:textId="0AB99507" w:rsidR="0076398C" w:rsidRDefault="0076398C">
          <w:pPr>
            <w:pStyle w:val="TOC2"/>
            <w:tabs>
              <w:tab w:val="right" w:leader="dot" w:pos="9016"/>
            </w:tabs>
            <w:rPr>
              <w:noProof/>
              <w:lang w:eastAsia="en-GB"/>
            </w:rPr>
          </w:pPr>
          <w:hyperlink w:anchor="_Toc228040377" w:history="1">
            <w:r w:rsidRPr="00391118">
              <w:rPr>
                <w:rStyle w:val="Hyperlink"/>
                <w:noProof/>
              </w:rPr>
              <w:t>3.2 Organisation Structure</w:t>
            </w:r>
            <w:r>
              <w:rPr>
                <w:noProof/>
                <w:webHidden/>
              </w:rPr>
              <w:tab/>
            </w:r>
            <w:r>
              <w:rPr>
                <w:noProof/>
                <w:webHidden/>
              </w:rPr>
              <w:fldChar w:fldCharType="begin"/>
            </w:r>
            <w:r>
              <w:rPr>
                <w:noProof/>
                <w:webHidden/>
              </w:rPr>
              <w:instrText xml:space="preserve"> PAGEREF _Toc228040377 \h </w:instrText>
            </w:r>
            <w:r>
              <w:rPr>
                <w:noProof/>
                <w:webHidden/>
              </w:rPr>
            </w:r>
            <w:r>
              <w:rPr>
                <w:noProof/>
                <w:webHidden/>
              </w:rPr>
              <w:fldChar w:fldCharType="separate"/>
            </w:r>
            <w:r>
              <w:rPr>
                <w:noProof/>
                <w:webHidden/>
              </w:rPr>
              <w:t>10</w:t>
            </w:r>
            <w:r>
              <w:rPr>
                <w:noProof/>
                <w:webHidden/>
              </w:rPr>
              <w:fldChar w:fldCharType="end"/>
            </w:r>
          </w:hyperlink>
        </w:p>
        <w:p w14:paraId="3D68CD92" w14:textId="5B3F7B1C" w:rsidR="0076398C" w:rsidRDefault="0076398C">
          <w:pPr>
            <w:pStyle w:val="TOC2"/>
            <w:tabs>
              <w:tab w:val="right" w:leader="dot" w:pos="9016"/>
            </w:tabs>
            <w:rPr>
              <w:noProof/>
              <w:lang w:eastAsia="en-GB"/>
            </w:rPr>
          </w:pPr>
          <w:hyperlink w:anchor="_Toc228040378" w:history="1">
            <w:r w:rsidRPr="00391118">
              <w:rPr>
                <w:rStyle w:val="Hyperlink"/>
                <w:noProof/>
              </w:rPr>
              <w:t>3.3 Policies &amp; Procedures</w:t>
            </w:r>
            <w:r>
              <w:rPr>
                <w:noProof/>
                <w:webHidden/>
              </w:rPr>
              <w:tab/>
            </w:r>
            <w:r>
              <w:rPr>
                <w:noProof/>
                <w:webHidden/>
              </w:rPr>
              <w:fldChar w:fldCharType="begin"/>
            </w:r>
            <w:r>
              <w:rPr>
                <w:noProof/>
                <w:webHidden/>
              </w:rPr>
              <w:instrText xml:space="preserve"> PAGEREF _Toc228040378 \h </w:instrText>
            </w:r>
            <w:r>
              <w:rPr>
                <w:noProof/>
                <w:webHidden/>
              </w:rPr>
            </w:r>
            <w:r>
              <w:rPr>
                <w:noProof/>
                <w:webHidden/>
              </w:rPr>
              <w:fldChar w:fldCharType="separate"/>
            </w:r>
            <w:r>
              <w:rPr>
                <w:noProof/>
                <w:webHidden/>
              </w:rPr>
              <w:t>11</w:t>
            </w:r>
            <w:r>
              <w:rPr>
                <w:noProof/>
                <w:webHidden/>
              </w:rPr>
              <w:fldChar w:fldCharType="end"/>
            </w:r>
          </w:hyperlink>
        </w:p>
        <w:p w14:paraId="78A32C3B" w14:textId="0A5415BF" w:rsidR="0076398C" w:rsidRDefault="0076398C">
          <w:pPr>
            <w:pStyle w:val="TOC2"/>
            <w:tabs>
              <w:tab w:val="right" w:leader="dot" w:pos="9016"/>
            </w:tabs>
            <w:rPr>
              <w:noProof/>
              <w:lang w:eastAsia="en-GB"/>
            </w:rPr>
          </w:pPr>
          <w:hyperlink w:anchor="_Toc228040379" w:history="1">
            <w:r w:rsidRPr="00391118">
              <w:rPr>
                <w:rStyle w:val="Hyperlink"/>
                <w:noProof/>
              </w:rPr>
              <w:t>3.4 Compliance with DORA/NIS2</w:t>
            </w:r>
            <w:r>
              <w:rPr>
                <w:noProof/>
                <w:webHidden/>
              </w:rPr>
              <w:tab/>
            </w:r>
            <w:r>
              <w:rPr>
                <w:noProof/>
                <w:webHidden/>
              </w:rPr>
              <w:fldChar w:fldCharType="begin"/>
            </w:r>
            <w:r>
              <w:rPr>
                <w:noProof/>
                <w:webHidden/>
              </w:rPr>
              <w:instrText xml:space="preserve"> PAGEREF _Toc228040379 \h </w:instrText>
            </w:r>
            <w:r>
              <w:rPr>
                <w:noProof/>
                <w:webHidden/>
              </w:rPr>
            </w:r>
            <w:r>
              <w:rPr>
                <w:noProof/>
                <w:webHidden/>
              </w:rPr>
              <w:fldChar w:fldCharType="separate"/>
            </w:r>
            <w:r>
              <w:rPr>
                <w:noProof/>
                <w:webHidden/>
              </w:rPr>
              <w:t>13</w:t>
            </w:r>
            <w:r>
              <w:rPr>
                <w:noProof/>
                <w:webHidden/>
              </w:rPr>
              <w:fldChar w:fldCharType="end"/>
            </w:r>
          </w:hyperlink>
        </w:p>
        <w:p w14:paraId="26E4DD9A" w14:textId="40F347EF" w:rsidR="0076398C" w:rsidRDefault="0076398C">
          <w:pPr>
            <w:pStyle w:val="TOC2"/>
            <w:tabs>
              <w:tab w:val="right" w:leader="dot" w:pos="9016"/>
            </w:tabs>
            <w:rPr>
              <w:noProof/>
              <w:lang w:eastAsia="en-GB"/>
            </w:rPr>
          </w:pPr>
          <w:hyperlink w:anchor="_Toc228040380" w:history="1">
            <w:r w:rsidRPr="00391118">
              <w:rPr>
                <w:rStyle w:val="Hyperlink"/>
                <w:noProof/>
              </w:rPr>
              <w:t>3.5 Governance &amp; Strategy</w:t>
            </w:r>
            <w:r>
              <w:rPr>
                <w:noProof/>
                <w:webHidden/>
              </w:rPr>
              <w:tab/>
            </w:r>
            <w:r>
              <w:rPr>
                <w:noProof/>
                <w:webHidden/>
              </w:rPr>
              <w:fldChar w:fldCharType="begin"/>
            </w:r>
            <w:r>
              <w:rPr>
                <w:noProof/>
                <w:webHidden/>
              </w:rPr>
              <w:instrText xml:space="preserve"> PAGEREF _Toc228040380 \h </w:instrText>
            </w:r>
            <w:r>
              <w:rPr>
                <w:noProof/>
                <w:webHidden/>
              </w:rPr>
            </w:r>
            <w:r>
              <w:rPr>
                <w:noProof/>
                <w:webHidden/>
              </w:rPr>
              <w:fldChar w:fldCharType="separate"/>
            </w:r>
            <w:r>
              <w:rPr>
                <w:noProof/>
                <w:webHidden/>
              </w:rPr>
              <w:t>14</w:t>
            </w:r>
            <w:r>
              <w:rPr>
                <w:noProof/>
                <w:webHidden/>
              </w:rPr>
              <w:fldChar w:fldCharType="end"/>
            </w:r>
          </w:hyperlink>
        </w:p>
        <w:p w14:paraId="351634B0" w14:textId="65E5ADDA" w:rsidR="0076398C" w:rsidRDefault="0076398C">
          <w:pPr>
            <w:pStyle w:val="TOC2"/>
            <w:tabs>
              <w:tab w:val="right" w:leader="dot" w:pos="9016"/>
            </w:tabs>
            <w:rPr>
              <w:noProof/>
              <w:lang w:eastAsia="en-GB"/>
            </w:rPr>
          </w:pPr>
          <w:hyperlink w:anchor="_Toc228040381" w:history="1">
            <w:r w:rsidRPr="00391118">
              <w:rPr>
                <w:rStyle w:val="Hyperlink"/>
                <w:noProof/>
              </w:rPr>
              <w:t>3.6 Risk Management</w:t>
            </w:r>
            <w:r>
              <w:rPr>
                <w:noProof/>
                <w:webHidden/>
              </w:rPr>
              <w:tab/>
            </w:r>
            <w:r>
              <w:rPr>
                <w:noProof/>
                <w:webHidden/>
              </w:rPr>
              <w:fldChar w:fldCharType="begin"/>
            </w:r>
            <w:r>
              <w:rPr>
                <w:noProof/>
                <w:webHidden/>
              </w:rPr>
              <w:instrText xml:space="preserve"> PAGEREF _Toc228040381 \h </w:instrText>
            </w:r>
            <w:r>
              <w:rPr>
                <w:noProof/>
                <w:webHidden/>
              </w:rPr>
            </w:r>
            <w:r>
              <w:rPr>
                <w:noProof/>
                <w:webHidden/>
              </w:rPr>
              <w:fldChar w:fldCharType="separate"/>
            </w:r>
            <w:r>
              <w:rPr>
                <w:noProof/>
                <w:webHidden/>
              </w:rPr>
              <w:t>15</w:t>
            </w:r>
            <w:r>
              <w:rPr>
                <w:noProof/>
                <w:webHidden/>
              </w:rPr>
              <w:fldChar w:fldCharType="end"/>
            </w:r>
          </w:hyperlink>
        </w:p>
        <w:p w14:paraId="2FF01250" w14:textId="61851864" w:rsidR="0076398C" w:rsidRDefault="0076398C">
          <w:pPr>
            <w:pStyle w:val="TOC2"/>
            <w:tabs>
              <w:tab w:val="right" w:leader="dot" w:pos="9016"/>
            </w:tabs>
            <w:rPr>
              <w:noProof/>
              <w:lang w:eastAsia="en-GB"/>
            </w:rPr>
          </w:pPr>
          <w:hyperlink w:anchor="_Toc228040382" w:history="1">
            <w:r w:rsidRPr="00391118">
              <w:rPr>
                <w:rStyle w:val="Hyperlink"/>
                <w:noProof/>
              </w:rPr>
              <w:t>3.7 Contingency Planning</w:t>
            </w:r>
            <w:r>
              <w:rPr>
                <w:noProof/>
                <w:webHidden/>
              </w:rPr>
              <w:tab/>
            </w:r>
            <w:r>
              <w:rPr>
                <w:noProof/>
                <w:webHidden/>
              </w:rPr>
              <w:fldChar w:fldCharType="begin"/>
            </w:r>
            <w:r>
              <w:rPr>
                <w:noProof/>
                <w:webHidden/>
              </w:rPr>
              <w:instrText xml:space="preserve"> PAGEREF _Toc228040382 \h </w:instrText>
            </w:r>
            <w:r>
              <w:rPr>
                <w:noProof/>
                <w:webHidden/>
              </w:rPr>
            </w:r>
            <w:r>
              <w:rPr>
                <w:noProof/>
                <w:webHidden/>
              </w:rPr>
              <w:fldChar w:fldCharType="separate"/>
            </w:r>
            <w:r>
              <w:rPr>
                <w:noProof/>
                <w:webHidden/>
              </w:rPr>
              <w:t>17</w:t>
            </w:r>
            <w:r>
              <w:rPr>
                <w:noProof/>
                <w:webHidden/>
              </w:rPr>
              <w:fldChar w:fldCharType="end"/>
            </w:r>
          </w:hyperlink>
        </w:p>
        <w:p w14:paraId="27FB60C1" w14:textId="044DEDDF" w:rsidR="0076398C" w:rsidRDefault="0076398C">
          <w:pPr>
            <w:pStyle w:val="TOC2"/>
            <w:tabs>
              <w:tab w:val="right" w:leader="dot" w:pos="9016"/>
            </w:tabs>
            <w:rPr>
              <w:noProof/>
              <w:lang w:eastAsia="en-GB"/>
            </w:rPr>
          </w:pPr>
          <w:hyperlink w:anchor="_Toc228040383" w:history="1">
            <w:r w:rsidRPr="00391118">
              <w:rPr>
                <w:rStyle w:val="Hyperlink"/>
                <w:noProof/>
              </w:rPr>
              <w:t>3.8 Protection Mechanisms</w:t>
            </w:r>
            <w:r>
              <w:rPr>
                <w:noProof/>
                <w:webHidden/>
              </w:rPr>
              <w:tab/>
            </w:r>
            <w:r>
              <w:rPr>
                <w:noProof/>
                <w:webHidden/>
              </w:rPr>
              <w:fldChar w:fldCharType="begin"/>
            </w:r>
            <w:r>
              <w:rPr>
                <w:noProof/>
                <w:webHidden/>
              </w:rPr>
              <w:instrText xml:space="preserve"> PAGEREF _Toc228040383 \h </w:instrText>
            </w:r>
            <w:r>
              <w:rPr>
                <w:noProof/>
                <w:webHidden/>
              </w:rPr>
            </w:r>
            <w:r>
              <w:rPr>
                <w:noProof/>
                <w:webHidden/>
              </w:rPr>
              <w:fldChar w:fldCharType="separate"/>
            </w:r>
            <w:r>
              <w:rPr>
                <w:noProof/>
                <w:webHidden/>
              </w:rPr>
              <w:t>18</w:t>
            </w:r>
            <w:r>
              <w:rPr>
                <w:noProof/>
                <w:webHidden/>
              </w:rPr>
              <w:fldChar w:fldCharType="end"/>
            </w:r>
          </w:hyperlink>
        </w:p>
        <w:p w14:paraId="71BB8FD9" w14:textId="0DB9FD14" w:rsidR="0076398C" w:rsidRDefault="0076398C">
          <w:pPr>
            <w:pStyle w:val="TOC2"/>
            <w:tabs>
              <w:tab w:val="right" w:leader="dot" w:pos="9016"/>
            </w:tabs>
            <w:rPr>
              <w:noProof/>
              <w:lang w:eastAsia="en-GB"/>
            </w:rPr>
          </w:pPr>
          <w:hyperlink w:anchor="_Toc228040384" w:history="1">
            <w:r w:rsidRPr="00391118">
              <w:rPr>
                <w:rStyle w:val="Hyperlink"/>
                <w:noProof/>
              </w:rPr>
              <w:t>3.9 Critical Evaluation &amp; Justification</w:t>
            </w:r>
            <w:r>
              <w:rPr>
                <w:noProof/>
                <w:webHidden/>
              </w:rPr>
              <w:tab/>
            </w:r>
            <w:r>
              <w:rPr>
                <w:noProof/>
                <w:webHidden/>
              </w:rPr>
              <w:fldChar w:fldCharType="begin"/>
            </w:r>
            <w:r>
              <w:rPr>
                <w:noProof/>
                <w:webHidden/>
              </w:rPr>
              <w:instrText xml:space="preserve"> PAGEREF _Toc228040384 \h </w:instrText>
            </w:r>
            <w:r>
              <w:rPr>
                <w:noProof/>
                <w:webHidden/>
              </w:rPr>
            </w:r>
            <w:r>
              <w:rPr>
                <w:noProof/>
                <w:webHidden/>
              </w:rPr>
              <w:fldChar w:fldCharType="separate"/>
            </w:r>
            <w:r>
              <w:rPr>
                <w:noProof/>
                <w:webHidden/>
              </w:rPr>
              <w:t>19</w:t>
            </w:r>
            <w:r>
              <w:rPr>
                <w:noProof/>
                <w:webHidden/>
              </w:rPr>
              <w:fldChar w:fldCharType="end"/>
            </w:r>
          </w:hyperlink>
        </w:p>
        <w:p w14:paraId="438A5977" w14:textId="280F5C3D" w:rsidR="0076398C" w:rsidRDefault="0076398C">
          <w:pPr>
            <w:pStyle w:val="TOC2"/>
            <w:tabs>
              <w:tab w:val="right" w:leader="dot" w:pos="9016"/>
            </w:tabs>
            <w:rPr>
              <w:noProof/>
              <w:lang w:eastAsia="en-GB"/>
            </w:rPr>
          </w:pPr>
          <w:hyperlink w:anchor="_Toc228040385" w:history="1">
            <w:r w:rsidRPr="00391118">
              <w:rPr>
                <w:rStyle w:val="Hyperlink"/>
                <w:noProof/>
              </w:rPr>
              <w:t>3.10 Conclusion to Task 2</w:t>
            </w:r>
            <w:r>
              <w:rPr>
                <w:noProof/>
                <w:webHidden/>
              </w:rPr>
              <w:tab/>
            </w:r>
            <w:r>
              <w:rPr>
                <w:noProof/>
                <w:webHidden/>
              </w:rPr>
              <w:fldChar w:fldCharType="begin"/>
            </w:r>
            <w:r>
              <w:rPr>
                <w:noProof/>
                <w:webHidden/>
              </w:rPr>
              <w:instrText xml:space="preserve"> PAGEREF _Toc228040385 \h </w:instrText>
            </w:r>
            <w:r>
              <w:rPr>
                <w:noProof/>
                <w:webHidden/>
              </w:rPr>
            </w:r>
            <w:r>
              <w:rPr>
                <w:noProof/>
                <w:webHidden/>
              </w:rPr>
              <w:fldChar w:fldCharType="separate"/>
            </w:r>
            <w:r>
              <w:rPr>
                <w:noProof/>
                <w:webHidden/>
              </w:rPr>
              <w:t>20</w:t>
            </w:r>
            <w:r>
              <w:rPr>
                <w:noProof/>
                <w:webHidden/>
              </w:rPr>
              <w:fldChar w:fldCharType="end"/>
            </w:r>
          </w:hyperlink>
        </w:p>
        <w:p w14:paraId="2D96F7C8" w14:textId="5177B7D6" w:rsidR="0076398C" w:rsidRDefault="0076398C">
          <w:pPr>
            <w:pStyle w:val="TOC1"/>
            <w:tabs>
              <w:tab w:val="right" w:leader="dot" w:pos="9016"/>
            </w:tabs>
            <w:rPr>
              <w:noProof/>
              <w:lang w:eastAsia="en-GB"/>
            </w:rPr>
          </w:pPr>
          <w:hyperlink w:anchor="_Toc228040386" w:history="1">
            <w:r w:rsidRPr="00391118">
              <w:rPr>
                <w:rStyle w:val="Hyperlink"/>
                <w:rFonts w:ascii="Arial" w:hAnsi="Arial" w:cs="Arial"/>
                <w:b/>
                <w:bCs/>
                <w:noProof/>
              </w:rPr>
              <w:t>Reference</w:t>
            </w:r>
            <w:r>
              <w:rPr>
                <w:noProof/>
                <w:webHidden/>
              </w:rPr>
              <w:tab/>
            </w:r>
            <w:r>
              <w:rPr>
                <w:noProof/>
                <w:webHidden/>
              </w:rPr>
              <w:fldChar w:fldCharType="begin"/>
            </w:r>
            <w:r>
              <w:rPr>
                <w:noProof/>
                <w:webHidden/>
              </w:rPr>
              <w:instrText xml:space="preserve"> PAGEREF _Toc228040386 \h </w:instrText>
            </w:r>
            <w:r>
              <w:rPr>
                <w:noProof/>
                <w:webHidden/>
              </w:rPr>
            </w:r>
            <w:r>
              <w:rPr>
                <w:noProof/>
                <w:webHidden/>
              </w:rPr>
              <w:fldChar w:fldCharType="separate"/>
            </w:r>
            <w:r>
              <w:rPr>
                <w:noProof/>
                <w:webHidden/>
              </w:rPr>
              <w:t>21</w:t>
            </w:r>
            <w:r>
              <w:rPr>
                <w:noProof/>
                <w:webHidden/>
              </w:rPr>
              <w:fldChar w:fldCharType="end"/>
            </w:r>
          </w:hyperlink>
        </w:p>
        <w:p w14:paraId="4295F663" w14:textId="13AC8D6C" w:rsidR="00796A85" w:rsidRPr="00675E0B" w:rsidRDefault="00286DF1" w:rsidP="007A1F3D">
          <w:pPr>
            <w:spacing w:line="360" w:lineRule="auto"/>
            <w:rPr>
              <w:rFonts w:ascii="Arial" w:hAnsi="Arial" w:cs="Arial"/>
            </w:rPr>
          </w:pPr>
          <w:r w:rsidRPr="007A1F3D">
            <w:rPr>
              <w:rFonts w:ascii="Arial" w:hAnsi="Arial" w:cs="Arial"/>
              <w:sz w:val="22"/>
              <w:szCs w:val="22"/>
            </w:rPr>
            <w:fldChar w:fldCharType="end"/>
          </w:r>
        </w:p>
      </w:sdtContent>
    </w:sdt>
    <w:p w14:paraId="70ABD6C1" w14:textId="7880B217" w:rsidR="00963749" w:rsidRPr="00675E0B" w:rsidRDefault="00963749" w:rsidP="008C5C46">
      <w:pPr>
        <w:jc w:val="both"/>
        <w:rPr>
          <w:rFonts w:ascii="Arial" w:hAnsi="Arial" w:cs="Arial"/>
        </w:rPr>
      </w:pPr>
    </w:p>
    <w:p w14:paraId="1F8101A9" w14:textId="77777777" w:rsidR="001F51DA" w:rsidRPr="00675E0B" w:rsidRDefault="001F51DA" w:rsidP="008C5C46">
      <w:pPr>
        <w:jc w:val="both"/>
        <w:rPr>
          <w:rFonts w:ascii="Arial" w:hAnsi="Arial" w:cs="Arial"/>
        </w:rPr>
      </w:pPr>
    </w:p>
    <w:p w14:paraId="5B62FF68" w14:textId="77777777" w:rsidR="00991B96" w:rsidRDefault="00991B96" w:rsidP="00B935D6">
      <w:pPr>
        <w:rPr>
          <w:rFonts w:ascii="Arial" w:hAnsi="Arial" w:cs="Arial"/>
          <w:sz w:val="28"/>
          <w:szCs w:val="28"/>
          <w:shd w:val="clear" w:color="auto" w:fill="FFFFFF"/>
          <w:lang w:eastAsia="en-GB"/>
        </w:rPr>
      </w:pPr>
    </w:p>
    <w:p w14:paraId="46EA18AC" w14:textId="77777777" w:rsidR="00991B96" w:rsidRDefault="00991B96" w:rsidP="00B935D6">
      <w:pPr>
        <w:rPr>
          <w:rFonts w:ascii="Arial" w:hAnsi="Arial" w:cs="Arial"/>
          <w:sz w:val="28"/>
          <w:szCs w:val="28"/>
          <w:shd w:val="clear" w:color="auto" w:fill="FFFFFF"/>
          <w:lang w:eastAsia="en-GB"/>
        </w:rPr>
      </w:pPr>
    </w:p>
    <w:p w14:paraId="59A7DBAF" w14:textId="77777777" w:rsidR="00DF1090" w:rsidRDefault="00DF1090" w:rsidP="00B935D6">
      <w:pPr>
        <w:rPr>
          <w:rFonts w:ascii="Arial" w:hAnsi="Arial" w:cs="Arial"/>
          <w:sz w:val="28"/>
          <w:szCs w:val="28"/>
          <w:shd w:val="clear" w:color="auto" w:fill="FFFFFF"/>
          <w:lang w:eastAsia="en-GB"/>
        </w:rPr>
      </w:pPr>
    </w:p>
    <w:p w14:paraId="1566615B" w14:textId="3C671545" w:rsidR="00B935D6" w:rsidRPr="00B935D6" w:rsidRDefault="00B935D6" w:rsidP="00B935D6">
      <w:pPr>
        <w:rPr>
          <w:rFonts w:ascii="Arial" w:hAnsi="Arial" w:cs="Arial"/>
          <w:sz w:val="28"/>
          <w:szCs w:val="28"/>
          <w:shd w:val="clear" w:color="auto" w:fill="FFFFFF"/>
          <w:lang w:eastAsia="en-GB"/>
        </w:rPr>
      </w:pPr>
      <w:r w:rsidRPr="00B935D6">
        <w:rPr>
          <w:rFonts w:ascii="Arial" w:hAnsi="Arial" w:cs="Arial"/>
          <w:sz w:val="28"/>
          <w:szCs w:val="28"/>
          <w:shd w:val="clear" w:color="auto" w:fill="FFFFFF"/>
          <w:lang w:eastAsia="en-GB"/>
        </w:rPr>
        <w:lastRenderedPageBreak/>
        <w:t xml:space="preserve">Data Security and Compliance: Regulatory Research and Zero Trust Security Programme Design for </w:t>
      </w:r>
      <w:proofErr w:type="spellStart"/>
      <w:r w:rsidRPr="00B935D6">
        <w:rPr>
          <w:rFonts w:ascii="Arial" w:hAnsi="Arial" w:cs="Arial"/>
          <w:sz w:val="28"/>
          <w:szCs w:val="28"/>
          <w:shd w:val="clear" w:color="auto" w:fill="FFFFFF"/>
          <w:lang w:eastAsia="en-GB"/>
        </w:rPr>
        <w:t>MediTrust</w:t>
      </w:r>
      <w:proofErr w:type="spellEnd"/>
      <w:r w:rsidRPr="00B935D6">
        <w:rPr>
          <w:rFonts w:ascii="Arial" w:hAnsi="Arial" w:cs="Arial"/>
          <w:sz w:val="28"/>
          <w:szCs w:val="28"/>
          <w:shd w:val="clear" w:color="auto" w:fill="FFFFFF"/>
          <w:lang w:eastAsia="en-GB"/>
        </w:rPr>
        <w:t xml:space="preserve"> Analytics Ltd</w:t>
      </w:r>
    </w:p>
    <w:p w14:paraId="37C7AA87" w14:textId="77777777" w:rsidR="00B935D6" w:rsidRDefault="00B935D6" w:rsidP="00B935D6">
      <w:pPr>
        <w:rPr>
          <w:b/>
          <w:bCs/>
          <w:shd w:val="clear" w:color="auto" w:fill="FFFFFF"/>
          <w:lang w:eastAsia="en-GB"/>
        </w:rPr>
      </w:pPr>
    </w:p>
    <w:p w14:paraId="56475F40" w14:textId="0EF49DAB" w:rsidR="00CB2374" w:rsidRPr="0032374D" w:rsidRDefault="00B935D6" w:rsidP="0032374D">
      <w:pPr>
        <w:pStyle w:val="Heading1"/>
      </w:pPr>
      <w:bookmarkStart w:id="0" w:name="_Toc228040364"/>
      <w:r w:rsidRPr="0032374D">
        <w:t>1.</w:t>
      </w:r>
      <w:r w:rsidR="00AB7A25" w:rsidRPr="0032374D">
        <w:t>Introduction</w:t>
      </w:r>
      <w:bookmarkEnd w:id="0"/>
    </w:p>
    <w:p w14:paraId="4567ADAD" w14:textId="77777777" w:rsidR="001A6835" w:rsidRPr="00DB2132" w:rsidRDefault="001A6835" w:rsidP="00DB2132">
      <w:pPr>
        <w:spacing w:line="360" w:lineRule="auto"/>
        <w:rPr>
          <w:rFonts w:ascii="Arial" w:hAnsi="Arial" w:cs="Arial"/>
          <w:sz w:val="22"/>
          <w:szCs w:val="22"/>
        </w:rPr>
      </w:pPr>
      <w:r w:rsidRPr="00DB2132">
        <w:rPr>
          <w:rFonts w:ascii="Arial" w:hAnsi="Arial" w:cs="Arial"/>
          <w:sz w:val="22"/>
          <w:szCs w:val="22"/>
        </w:rPr>
        <w:t xml:space="preserve">The contemporary digital landscape poses significant challenges for organizations in securing information assets, especially in critical sectors like healthcare. Increasing reliance on AI, cloud computing, and hybrid workforces has widened the attack surface, requiring strong security frameworks. Meanwhile, the EU has ramped up regulatory efforts, introducing complex legislation to protect data, ensure resilience, and enhance cybersecurity across member states. This report examines these challenges through a research-based analysis of GDPR, DORA, and NIS2, assessing their impact on cyber resilience (Task 1). It also designs a Zero Trust-aligned security program for </w:t>
      </w:r>
      <w:proofErr w:type="spellStart"/>
      <w:r w:rsidRPr="00DB2132">
        <w:rPr>
          <w:rFonts w:ascii="Arial" w:hAnsi="Arial" w:cs="Arial"/>
          <w:sz w:val="22"/>
          <w:szCs w:val="22"/>
        </w:rPr>
        <w:t>MediTrust</w:t>
      </w:r>
      <w:proofErr w:type="spellEnd"/>
      <w:r w:rsidRPr="00DB2132">
        <w:rPr>
          <w:rFonts w:ascii="Arial" w:hAnsi="Arial" w:cs="Arial"/>
          <w:sz w:val="22"/>
          <w:szCs w:val="22"/>
        </w:rPr>
        <w:t xml:space="preserve"> Analytics Ltd, a </w:t>
      </w:r>
      <w:proofErr w:type="spellStart"/>
      <w:r w:rsidRPr="00DB2132">
        <w:rPr>
          <w:rFonts w:ascii="Arial" w:hAnsi="Arial" w:cs="Arial"/>
          <w:sz w:val="22"/>
          <w:szCs w:val="22"/>
        </w:rPr>
        <w:t>HealthTech</w:t>
      </w:r>
      <w:proofErr w:type="spellEnd"/>
      <w:r w:rsidRPr="00DB2132">
        <w:rPr>
          <w:rFonts w:ascii="Arial" w:hAnsi="Arial" w:cs="Arial"/>
          <w:sz w:val="22"/>
          <w:szCs w:val="22"/>
        </w:rPr>
        <w:t xml:space="preserve"> firm entering the EU market, applying insights from Task 1 to a practical scenario (Task 2). The goal is to show how a strategic compliance approach, grounded in academic and practical insights, can turn regulatory requirements into a catalyst for improved security and business success.</w:t>
      </w:r>
    </w:p>
    <w:p w14:paraId="3E5ECD77" w14:textId="5CE73C36" w:rsidR="00B935D6" w:rsidRPr="005A199E" w:rsidRDefault="00AC3A12" w:rsidP="005A199E">
      <w:pPr>
        <w:pStyle w:val="Heading1"/>
      </w:pPr>
      <w:bookmarkStart w:id="1" w:name="_Toc228040365"/>
      <w:r>
        <w:t>2</w:t>
      </w:r>
      <w:r w:rsidR="00B935D6" w:rsidRPr="005A199E">
        <w:t>. Task 1 – Research in Data Security and Compliance</w:t>
      </w:r>
      <w:bookmarkEnd w:id="1"/>
    </w:p>
    <w:p w14:paraId="29C7EC47" w14:textId="77777777" w:rsidR="007B0E82" w:rsidRPr="007B0E82" w:rsidRDefault="007B0E82" w:rsidP="002C6F44">
      <w:pPr>
        <w:spacing w:line="360" w:lineRule="auto"/>
        <w:rPr>
          <w:rFonts w:ascii="Arial" w:hAnsi="Arial" w:cs="Arial"/>
          <w:sz w:val="22"/>
          <w:szCs w:val="22"/>
        </w:rPr>
      </w:pPr>
      <w:r w:rsidRPr="007B0E82">
        <w:rPr>
          <w:rFonts w:ascii="Arial" w:hAnsi="Arial" w:cs="Arial"/>
          <w:b/>
          <w:bCs/>
          <w:sz w:val="22"/>
          <w:szCs w:val="22"/>
        </w:rPr>
        <w:t>Title:</w:t>
      </w:r>
      <w:r w:rsidRPr="007B0E82">
        <w:rPr>
          <w:rFonts w:ascii="Arial" w:hAnsi="Arial" w:cs="Arial"/>
          <w:sz w:val="22"/>
          <w:szCs w:val="22"/>
        </w:rPr>
        <w:t xml:space="preserve"> Compliance in a Fragmented World: A Critical Evaluation of GDPR, DORA, and NIS2 in Building Organisational Cyber Resilience</w:t>
      </w:r>
    </w:p>
    <w:p w14:paraId="67595116" w14:textId="77777777" w:rsidR="007B0E82" w:rsidRDefault="007B0E82" w:rsidP="00513634"/>
    <w:p w14:paraId="58749767" w14:textId="7AE11D18" w:rsidR="007B0E82" w:rsidRPr="005A199E" w:rsidRDefault="00AC3A12" w:rsidP="005A199E">
      <w:pPr>
        <w:pStyle w:val="Heading2"/>
      </w:pPr>
      <w:bookmarkStart w:id="2" w:name="_Toc228040366"/>
      <w:r>
        <w:t>2</w:t>
      </w:r>
      <w:r w:rsidR="007B0E82" w:rsidRPr="005A199E">
        <w:t>.1 Introduction to Task 1</w:t>
      </w:r>
      <w:bookmarkEnd w:id="2"/>
    </w:p>
    <w:p w14:paraId="5AB137C9" w14:textId="07FF9E84" w:rsidR="006A587E" w:rsidRDefault="007B0E82" w:rsidP="002C6F44">
      <w:pPr>
        <w:spacing w:line="360" w:lineRule="auto"/>
        <w:rPr>
          <w:rFonts w:ascii="Arial" w:hAnsi="Arial" w:cs="Arial"/>
          <w:sz w:val="22"/>
          <w:szCs w:val="22"/>
        </w:rPr>
      </w:pPr>
      <w:r w:rsidRPr="007B0E82">
        <w:rPr>
          <w:rFonts w:ascii="Arial" w:hAnsi="Arial" w:cs="Arial"/>
          <w:sz w:val="22"/>
          <w:szCs w:val="22"/>
        </w:rPr>
        <w:t>The contemporary digital landscape presents organisations with unprecedented challenges in securing information assets amid sophisticated threats and regulatory fragmentation. The EU's framework, led by GDPR since 2018, now includes DORA (effective 2025) for financial ICT resilience and NIS2 (effective 2024) for critical infrastructure [2]. This paper analyses how organisations can create environments that anticipate, protect, detect, and automatically respond to threats, arguing that these regulations collectively foster integrated, risk-based governance [1].</w:t>
      </w:r>
    </w:p>
    <w:p w14:paraId="022410A7" w14:textId="3697106B" w:rsidR="007B0E82" w:rsidRPr="007B0E82" w:rsidRDefault="00AC3A12" w:rsidP="00AC3A12">
      <w:pPr>
        <w:pStyle w:val="Heading2"/>
      </w:pPr>
      <w:bookmarkStart w:id="3" w:name="_Toc228040367"/>
      <w:r>
        <w:lastRenderedPageBreak/>
        <w:t>2</w:t>
      </w:r>
      <w:r w:rsidR="007B0E82" w:rsidRPr="007B0E82">
        <w:t>.2 The Regulatory Triad: Scope, Principles, and Overlap</w:t>
      </w:r>
      <w:bookmarkEnd w:id="3"/>
    </w:p>
    <w:p w14:paraId="50DD84FC" w14:textId="77777777" w:rsidR="0073677A" w:rsidRPr="006A587E" w:rsidRDefault="0073677A" w:rsidP="0073677A">
      <w:pPr>
        <w:spacing w:before="60" w:line="360" w:lineRule="auto"/>
        <w:rPr>
          <w:rFonts w:ascii="Arial" w:hAnsi="Arial" w:cs="Arial"/>
          <w:sz w:val="22"/>
          <w:szCs w:val="22"/>
        </w:rPr>
      </w:pPr>
      <w:r w:rsidRPr="00E77E28">
        <w:rPr>
          <w:rFonts w:ascii="Arial" w:hAnsi="Arial" w:cs="Arial"/>
          <w:sz w:val="22"/>
          <w:szCs w:val="22"/>
        </w:rPr>
        <w:t>Understanding the individual mandates of GDPR, DORA, and NIS2 is essential for achieving integrated organisational resilience. While distinct, their combined effect establishes a comprehensive framework for digital security and privacy across the EU</w:t>
      </w:r>
      <w:r w:rsidRPr="006A587E">
        <w:rPr>
          <w:rFonts w:ascii="Arial" w:hAnsi="Arial" w:cs="Arial"/>
          <w:sz w:val="22"/>
          <w:szCs w:val="22"/>
        </w:rPr>
        <w:t>.</w:t>
      </w:r>
    </w:p>
    <w:p w14:paraId="5D439355" w14:textId="77777777" w:rsidR="0073677A" w:rsidRPr="001A6835" w:rsidRDefault="0073677A" w:rsidP="00237207">
      <w:pPr>
        <w:ind w:left="720"/>
        <w:rPr>
          <w:rFonts w:ascii="Arial" w:hAnsi="Arial" w:cs="Arial"/>
          <w:b/>
          <w:bCs/>
          <w:sz w:val="22"/>
          <w:szCs w:val="22"/>
        </w:rPr>
      </w:pPr>
      <w:r>
        <w:rPr>
          <w:rFonts w:ascii="Arial" w:hAnsi="Arial" w:cs="Arial"/>
          <w:b/>
          <w:bCs/>
          <w:sz w:val="22"/>
          <w:szCs w:val="22"/>
        </w:rPr>
        <w:t>2</w:t>
      </w:r>
      <w:r w:rsidRPr="001A6835">
        <w:rPr>
          <w:rFonts w:ascii="Arial" w:hAnsi="Arial" w:cs="Arial"/>
          <w:b/>
          <w:bCs/>
          <w:sz w:val="22"/>
          <w:szCs w:val="22"/>
        </w:rPr>
        <w:t>.2.1 General Data Protection Regulation (GDPR)</w:t>
      </w:r>
    </w:p>
    <w:p w14:paraId="04781147" w14:textId="77777777" w:rsidR="0073677A" w:rsidRPr="006A587E" w:rsidRDefault="0073677A" w:rsidP="00237207">
      <w:pPr>
        <w:spacing w:line="360" w:lineRule="auto"/>
        <w:ind w:left="720"/>
        <w:rPr>
          <w:rFonts w:ascii="Arial" w:hAnsi="Arial" w:cs="Arial"/>
          <w:sz w:val="22"/>
          <w:szCs w:val="22"/>
        </w:rPr>
      </w:pPr>
      <w:r w:rsidRPr="00E77E28">
        <w:rPr>
          <w:rFonts w:ascii="Arial" w:hAnsi="Arial" w:cs="Arial"/>
          <w:sz w:val="22"/>
          <w:szCs w:val="22"/>
        </w:rPr>
        <w:t>Enacted in May 2018, GDPR [10] mandates data protection by design and default for any entity processing personal data of EU residents. Built on seven core principles (Article 5)—including lawfulness, data minimisation, and accountability—it requires organisations to implement technical and organisational measures proportionate to risk. A key obligation under Article 33 is notifying supervisory authorities of data breaches within 72 hours. Furthermore, high-risk processing requires Data Protection Impact Assessments (DPIAs) to ensure privacy is considered early in the project lifecycle [6]. Non-compliance carries severe financial risks, with fines reaching €20 million or 4% of annual global turnover</w:t>
      </w:r>
      <w:r w:rsidRPr="001A6835">
        <w:rPr>
          <w:rFonts w:ascii="Arial" w:hAnsi="Arial" w:cs="Arial"/>
          <w:sz w:val="22"/>
          <w:szCs w:val="22"/>
        </w:rPr>
        <w:t>.</w:t>
      </w:r>
    </w:p>
    <w:p w14:paraId="0D3B8BC4" w14:textId="77777777" w:rsidR="0073677A" w:rsidRPr="001A6835" w:rsidRDefault="0073677A" w:rsidP="00237207">
      <w:pPr>
        <w:ind w:left="720"/>
        <w:rPr>
          <w:rFonts w:ascii="Arial" w:hAnsi="Arial" w:cs="Arial"/>
          <w:b/>
          <w:bCs/>
          <w:sz w:val="22"/>
          <w:szCs w:val="22"/>
        </w:rPr>
      </w:pPr>
      <w:r>
        <w:rPr>
          <w:rFonts w:ascii="Arial" w:hAnsi="Arial" w:cs="Arial"/>
          <w:b/>
          <w:bCs/>
          <w:sz w:val="22"/>
          <w:szCs w:val="22"/>
        </w:rPr>
        <w:t>2</w:t>
      </w:r>
      <w:r w:rsidRPr="001A6835">
        <w:rPr>
          <w:rFonts w:ascii="Arial" w:hAnsi="Arial" w:cs="Arial"/>
          <w:b/>
          <w:bCs/>
          <w:sz w:val="22"/>
          <w:szCs w:val="22"/>
        </w:rPr>
        <w:t>.2.2 Digital Operational Resilience Act (DORA)</w:t>
      </w:r>
    </w:p>
    <w:p w14:paraId="406D8FCE" w14:textId="77777777" w:rsidR="0073677A" w:rsidRPr="001A6835" w:rsidRDefault="0073677A" w:rsidP="00237207">
      <w:pPr>
        <w:spacing w:before="60" w:line="360" w:lineRule="auto"/>
        <w:ind w:left="720"/>
        <w:jc w:val="both"/>
        <w:rPr>
          <w:rFonts w:ascii="Arial" w:hAnsi="Arial" w:cs="Arial"/>
          <w:sz w:val="22"/>
          <w:szCs w:val="22"/>
        </w:rPr>
      </w:pPr>
      <w:r w:rsidRPr="00E77E28">
        <w:rPr>
          <w:rFonts w:ascii="Arial" w:hAnsi="Arial" w:cs="Arial"/>
          <w:sz w:val="22"/>
          <w:szCs w:val="22"/>
        </w:rPr>
        <w:t>DORA [2], effective January 2025, specifically enhances the digital resilience of the financial sector and its critical ICT providers. Article 6 mandates a comprehensive ICT risk management framework covering identification, protection, and recovery. Reporting is exceptionally stringent; major ICT incidents require initial notification within 4 hours, facilitating rapid ecosystem-wide alerts. Additionally, DORA enforces mandatory resilience testing (Article 24) and rigorous oversight of third-party ICT risks (Article 28), ensuring financial entities continuously assess their supply chain vulnerabilities [9</w:t>
      </w:r>
      <w:r w:rsidRPr="001A6835">
        <w:rPr>
          <w:rFonts w:ascii="Arial" w:hAnsi="Arial" w:cs="Arial"/>
          <w:sz w:val="22"/>
          <w:szCs w:val="22"/>
        </w:rPr>
        <w:t>].</w:t>
      </w:r>
    </w:p>
    <w:p w14:paraId="4632B51E" w14:textId="77777777" w:rsidR="0073677A" w:rsidRPr="00DB2132" w:rsidRDefault="0073677A" w:rsidP="00237207">
      <w:pPr>
        <w:ind w:left="720"/>
        <w:rPr>
          <w:rFonts w:ascii="Arial" w:hAnsi="Arial" w:cs="Arial"/>
          <w:b/>
          <w:bCs/>
          <w:sz w:val="22"/>
          <w:szCs w:val="22"/>
        </w:rPr>
      </w:pPr>
      <w:r>
        <w:rPr>
          <w:rFonts w:ascii="Arial" w:hAnsi="Arial" w:cs="Arial"/>
          <w:b/>
          <w:bCs/>
          <w:sz w:val="22"/>
          <w:szCs w:val="22"/>
        </w:rPr>
        <w:t>2</w:t>
      </w:r>
      <w:r w:rsidRPr="00DB2132">
        <w:rPr>
          <w:rFonts w:ascii="Arial" w:hAnsi="Arial" w:cs="Arial"/>
          <w:b/>
          <w:bCs/>
          <w:sz w:val="22"/>
          <w:szCs w:val="22"/>
        </w:rPr>
        <w:t>.2.3 Network and Information Security Directive (NIS2)</w:t>
      </w:r>
    </w:p>
    <w:p w14:paraId="225B0D3A" w14:textId="77777777" w:rsidR="0073677A" w:rsidRPr="00E84F43" w:rsidRDefault="0073677A" w:rsidP="00237207">
      <w:pPr>
        <w:spacing w:before="60" w:line="360" w:lineRule="auto"/>
        <w:ind w:left="720"/>
        <w:jc w:val="both"/>
        <w:rPr>
          <w:rFonts w:ascii="Arial" w:hAnsi="Arial" w:cs="Arial"/>
        </w:rPr>
      </w:pPr>
      <w:r w:rsidRPr="00E77E28">
        <w:rPr>
          <w:rFonts w:ascii="Arial" w:hAnsi="Arial" w:cs="Arial"/>
          <w:sz w:val="22"/>
          <w:szCs w:val="22"/>
        </w:rPr>
        <w:t>Succeeding the original NIS Directive in October 2024, NIS2 [1] expands cybersecurity obligations to critical sectors including energy, health, and public administration. Article 21 mandates specific security measures such as incident handling and supply chain security, while Article 20 establishes direct management accountability for compliance. The reporting framework is tiered: an early warning within 24 hours of a significant incident, followed by a detailed report within 72 hours and a final report after one month [7], ensuring situational awareness for national CSIRTs</w:t>
      </w:r>
      <w:r w:rsidRPr="004F6CD5">
        <w:rPr>
          <w:rFonts w:ascii="Arial" w:hAnsi="Arial" w:cs="Arial"/>
        </w:rPr>
        <w:t>.</w:t>
      </w:r>
    </w:p>
    <w:p w14:paraId="1A172EEF" w14:textId="77777777" w:rsidR="0073677A" w:rsidRPr="00DB2132" w:rsidRDefault="0073677A" w:rsidP="00237207">
      <w:pPr>
        <w:ind w:left="720"/>
        <w:rPr>
          <w:rFonts w:ascii="Arial" w:hAnsi="Arial" w:cs="Arial"/>
          <w:b/>
          <w:bCs/>
          <w:sz w:val="22"/>
          <w:szCs w:val="22"/>
        </w:rPr>
      </w:pPr>
      <w:r>
        <w:rPr>
          <w:rFonts w:ascii="Arial" w:hAnsi="Arial" w:cs="Arial"/>
          <w:b/>
          <w:bCs/>
          <w:sz w:val="22"/>
          <w:szCs w:val="22"/>
        </w:rPr>
        <w:t>2</w:t>
      </w:r>
      <w:r w:rsidRPr="00DB2132">
        <w:rPr>
          <w:rFonts w:ascii="Arial" w:hAnsi="Arial" w:cs="Arial"/>
          <w:b/>
          <w:bCs/>
          <w:sz w:val="22"/>
          <w:szCs w:val="22"/>
        </w:rPr>
        <w:t>.2.4 Overlap and Fragmentation</w:t>
      </w:r>
    </w:p>
    <w:p w14:paraId="54825138" w14:textId="1A999301" w:rsidR="00DB2132" w:rsidRDefault="0073677A" w:rsidP="00237207">
      <w:pPr>
        <w:spacing w:before="60" w:line="360" w:lineRule="auto"/>
        <w:ind w:left="720"/>
        <w:jc w:val="both"/>
        <w:rPr>
          <w:rFonts w:ascii="Arial" w:hAnsi="Arial" w:cs="Arial"/>
          <w:sz w:val="22"/>
          <w:szCs w:val="22"/>
        </w:rPr>
      </w:pPr>
      <w:r w:rsidRPr="00E77E28">
        <w:rPr>
          <w:rFonts w:ascii="Arial" w:hAnsi="Arial" w:cs="Arial"/>
          <w:sz w:val="22"/>
          <w:szCs w:val="22"/>
        </w:rPr>
        <w:t>The overlapping scopes of these regulations establish a shared baseline for cyber hygiene</w:t>
      </w:r>
      <w:r>
        <w:rPr>
          <w:rFonts w:ascii="Arial" w:hAnsi="Arial" w:cs="Arial"/>
          <w:sz w:val="22"/>
          <w:szCs w:val="22"/>
        </w:rPr>
        <w:t xml:space="preserve"> </w:t>
      </w:r>
      <w:r w:rsidRPr="00E77E28">
        <w:rPr>
          <w:rFonts w:ascii="Arial" w:hAnsi="Arial" w:cs="Arial"/>
          <w:sz w:val="22"/>
          <w:szCs w:val="22"/>
        </w:rPr>
        <w:t xml:space="preserve">yet introduce significant fragmentation [3]. A ransomware attack on a </w:t>
      </w:r>
      <w:proofErr w:type="spellStart"/>
      <w:r w:rsidRPr="00E77E28">
        <w:rPr>
          <w:rFonts w:ascii="Arial" w:hAnsi="Arial" w:cs="Arial"/>
          <w:sz w:val="22"/>
          <w:szCs w:val="22"/>
        </w:rPr>
        <w:lastRenderedPageBreak/>
        <w:t>HealthTech</w:t>
      </w:r>
      <w:proofErr w:type="spellEnd"/>
      <w:r w:rsidRPr="00E77E28">
        <w:rPr>
          <w:rFonts w:ascii="Arial" w:hAnsi="Arial" w:cs="Arial"/>
          <w:sz w:val="22"/>
          <w:szCs w:val="22"/>
        </w:rPr>
        <w:t xml:space="preserve"> firm, for instance, could simultaneously trigger GDPR (patient data), DORA (financial services), and NIS2 (critical infrastructure) obligations. The primary challenge lies in the conflicting reporting windows—ranging from DORA’s 4-hour requirement to GDPR’s 72-hour limit—demanding a unified incident response strategy and precise mapping of regulatory triggers to ensure compliance and timely action [11</w:t>
      </w:r>
      <w:r w:rsidRPr="00DB2132">
        <w:rPr>
          <w:rFonts w:ascii="Arial" w:hAnsi="Arial" w:cs="Arial"/>
          <w:sz w:val="22"/>
          <w:szCs w:val="22"/>
        </w:rPr>
        <w:t>]</w:t>
      </w:r>
      <w:r w:rsidR="00DB2132" w:rsidRPr="00DB2132">
        <w:rPr>
          <w:rFonts w:ascii="Arial" w:hAnsi="Arial" w:cs="Arial"/>
          <w:sz w:val="22"/>
          <w:szCs w:val="22"/>
        </w:rPr>
        <w:t>.</w:t>
      </w:r>
    </w:p>
    <w:p w14:paraId="328242DA" w14:textId="77777777" w:rsidR="00237207" w:rsidRPr="00DB2132" w:rsidRDefault="00237207" w:rsidP="00237207">
      <w:pPr>
        <w:spacing w:before="60" w:line="360" w:lineRule="auto"/>
        <w:ind w:left="720"/>
        <w:jc w:val="both"/>
        <w:rPr>
          <w:rFonts w:ascii="Arial" w:hAnsi="Arial" w:cs="Arial"/>
          <w:sz w:val="22"/>
          <w:szCs w:val="22"/>
        </w:rPr>
      </w:pPr>
    </w:p>
    <w:p w14:paraId="0729679C" w14:textId="7183534F" w:rsidR="00E47915" w:rsidRDefault="00E47915" w:rsidP="0032374D">
      <w:pPr>
        <w:pStyle w:val="Heading3"/>
      </w:pPr>
      <w:bookmarkStart w:id="4" w:name="_Toc228040368"/>
      <w:r w:rsidRPr="0032374D">
        <w:t>Table 1: Comparative Analysis of GDPR, DORA, and NIS2</w:t>
      </w:r>
      <w:bookmarkEnd w:id="4"/>
    </w:p>
    <w:tbl>
      <w:tblPr>
        <w:tblW w:w="9580" w:type="dxa"/>
        <w:tblBorders>
          <w:top w:val="single" w:sz="1" w:space="0" w:color="D1D5DB"/>
          <w:left w:val="single" w:sz="1" w:space="0" w:color="D1D5DB"/>
          <w:bottom w:val="single" w:sz="1" w:space="0" w:color="D1D5DB"/>
          <w:right w:val="single" w:sz="1" w:space="0" w:color="D1D5DB"/>
          <w:insideH w:val="single" w:sz="1" w:space="0" w:color="D1D5DB"/>
          <w:insideV w:val="single" w:sz="1" w:space="0" w:color="D1D5DB"/>
        </w:tblBorders>
        <w:tblLayout w:type="fixed"/>
        <w:tblCellMar>
          <w:left w:w="10" w:type="dxa"/>
          <w:right w:w="10" w:type="dxa"/>
        </w:tblCellMar>
        <w:tblLook w:val="0000" w:firstRow="0" w:lastRow="0" w:firstColumn="0" w:lastColumn="0" w:noHBand="0" w:noVBand="0"/>
      </w:tblPr>
      <w:tblGrid>
        <w:gridCol w:w="2395"/>
        <w:gridCol w:w="2395"/>
        <w:gridCol w:w="2395"/>
        <w:gridCol w:w="2395"/>
      </w:tblGrid>
      <w:tr w:rsidR="00991B96" w14:paraId="5D017E49" w14:textId="77777777" w:rsidTr="00991B96">
        <w:tblPrEx>
          <w:tblCellMar>
            <w:top w:w="0" w:type="dxa"/>
            <w:bottom w:w="0" w:type="dxa"/>
          </w:tblCellMar>
        </w:tblPrEx>
        <w:trPr>
          <w:trHeight w:val="433"/>
        </w:trPr>
        <w:tc>
          <w:tcPr>
            <w:tcW w:w="2395" w:type="dxa"/>
            <w:tcBorders>
              <w:top w:val="single" w:sz="1" w:space="0" w:color="D1D5DB"/>
              <w:left w:val="single" w:sz="1" w:space="0" w:color="D1D5DB"/>
              <w:bottom w:val="single" w:sz="1" w:space="0" w:color="D1D5DB"/>
              <w:right w:val="single" w:sz="1" w:space="0" w:color="D1D5DB"/>
            </w:tcBorders>
            <w:shd w:val="solid" w:color="E5E7EB" w:fill="auto"/>
            <w:tcMar>
              <w:top w:w="115" w:type="dxa"/>
              <w:left w:w="144" w:type="dxa"/>
              <w:bottom w:w="115" w:type="dxa"/>
              <w:right w:w="144" w:type="dxa"/>
            </w:tcMar>
          </w:tcPr>
          <w:p w14:paraId="6BCFF1F7" w14:textId="77777777" w:rsidR="00991B96" w:rsidRDefault="00991B96" w:rsidP="00243AAA">
            <w:pPr>
              <w:spacing w:before="80" w:after="80"/>
              <w:jc w:val="center"/>
            </w:pPr>
            <w:r>
              <w:rPr>
                <w:rFonts w:ascii="Calibri" w:eastAsia="Calibri" w:hAnsi="Calibri" w:cs="Calibri"/>
                <w:b/>
                <w:bCs/>
                <w:sz w:val="20"/>
                <w:szCs w:val="20"/>
              </w:rPr>
              <w:t>Aspect</w:t>
            </w:r>
          </w:p>
        </w:tc>
        <w:tc>
          <w:tcPr>
            <w:tcW w:w="2395" w:type="dxa"/>
            <w:tcBorders>
              <w:top w:val="single" w:sz="1" w:space="0" w:color="D1D5DB"/>
              <w:left w:val="single" w:sz="1" w:space="0" w:color="D1D5DB"/>
              <w:bottom w:val="single" w:sz="1" w:space="0" w:color="D1D5DB"/>
              <w:right w:val="single" w:sz="1" w:space="0" w:color="D1D5DB"/>
            </w:tcBorders>
            <w:shd w:val="solid" w:color="E5E7EB" w:fill="auto"/>
            <w:tcMar>
              <w:top w:w="115" w:type="dxa"/>
              <w:left w:w="144" w:type="dxa"/>
              <w:bottom w:w="115" w:type="dxa"/>
              <w:right w:w="144" w:type="dxa"/>
            </w:tcMar>
          </w:tcPr>
          <w:p w14:paraId="23828998" w14:textId="77777777" w:rsidR="00991B96" w:rsidRDefault="00991B96" w:rsidP="00243AAA">
            <w:pPr>
              <w:spacing w:before="80" w:after="80"/>
              <w:jc w:val="center"/>
            </w:pPr>
            <w:r>
              <w:rPr>
                <w:rFonts w:ascii="Calibri" w:eastAsia="Calibri" w:hAnsi="Calibri" w:cs="Calibri"/>
                <w:b/>
                <w:bCs/>
                <w:sz w:val="20"/>
                <w:szCs w:val="20"/>
              </w:rPr>
              <w:t>GDPR</w:t>
            </w:r>
          </w:p>
        </w:tc>
        <w:tc>
          <w:tcPr>
            <w:tcW w:w="2395" w:type="dxa"/>
            <w:tcBorders>
              <w:top w:val="single" w:sz="1" w:space="0" w:color="D1D5DB"/>
              <w:left w:val="single" w:sz="1" w:space="0" w:color="D1D5DB"/>
              <w:bottom w:val="single" w:sz="1" w:space="0" w:color="D1D5DB"/>
              <w:right w:val="single" w:sz="1" w:space="0" w:color="D1D5DB"/>
            </w:tcBorders>
            <w:shd w:val="solid" w:color="E5E7EB" w:fill="auto"/>
            <w:tcMar>
              <w:top w:w="115" w:type="dxa"/>
              <w:left w:w="144" w:type="dxa"/>
              <w:bottom w:w="115" w:type="dxa"/>
              <w:right w:w="144" w:type="dxa"/>
            </w:tcMar>
          </w:tcPr>
          <w:p w14:paraId="61E53F3E" w14:textId="77777777" w:rsidR="00991B96" w:rsidRDefault="00991B96" w:rsidP="00243AAA">
            <w:pPr>
              <w:spacing w:before="80" w:after="80"/>
              <w:jc w:val="center"/>
            </w:pPr>
            <w:r>
              <w:rPr>
                <w:rFonts w:ascii="Calibri" w:eastAsia="Calibri" w:hAnsi="Calibri" w:cs="Calibri"/>
                <w:b/>
                <w:bCs/>
                <w:sz w:val="20"/>
                <w:szCs w:val="20"/>
              </w:rPr>
              <w:t>DORA</w:t>
            </w:r>
          </w:p>
        </w:tc>
        <w:tc>
          <w:tcPr>
            <w:tcW w:w="2395" w:type="dxa"/>
            <w:tcBorders>
              <w:top w:val="single" w:sz="1" w:space="0" w:color="D1D5DB"/>
              <w:left w:val="single" w:sz="1" w:space="0" w:color="D1D5DB"/>
              <w:bottom w:val="single" w:sz="1" w:space="0" w:color="D1D5DB"/>
              <w:right w:val="single" w:sz="1" w:space="0" w:color="D1D5DB"/>
            </w:tcBorders>
            <w:shd w:val="solid" w:color="E5E7EB" w:fill="auto"/>
            <w:tcMar>
              <w:top w:w="115" w:type="dxa"/>
              <w:left w:w="144" w:type="dxa"/>
              <w:bottom w:w="115" w:type="dxa"/>
              <w:right w:w="144" w:type="dxa"/>
            </w:tcMar>
          </w:tcPr>
          <w:p w14:paraId="32B8221D" w14:textId="77777777" w:rsidR="00991B96" w:rsidRDefault="00991B96" w:rsidP="00243AAA">
            <w:pPr>
              <w:spacing w:before="80" w:after="80"/>
              <w:jc w:val="center"/>
            </w:pPr>
            <w:r>
              <w:rPr>
                <w:rFonts w:ascii="Calibri" w:eastAsia="Calibri" w:hAnsi="Calibri" w:cs="Calibri"/>
                <w:b/>
                <w:bCs/>
                <w:sz w:val="20"/>
                <w:szCs w:val="20"/>
              </w:rPr>
              <w:t>NIS2</w:t>
            </w:r>
          </w:p>
        </w:tc>
      </w:tr>
      <w:tr w:rsidR="00991B96" w14:paraId="39084778" w14:textId="77777777" w:rsidTr="00991B96">
        <w:tblPrEx>
          <w:tblCellMar>
            <w:top w:w="0" w:type="dxa"/>
            <w:bottom w:w="0" w:type="dxa"/>
          </w:tblCellMar>
        </w:tblPrEx>
        <w:trPr>
          <w:trHeight w:val="682"/>
        </w:trPr>
        <w:tc>
          <w:tcPr>
            <w:tcW w:w="2395"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1D56A8DD" w14:textId="77777777" w:rsidR="00991B96" w:rsidRDefault="00991B96" w:rsidP="00243AAA">
            <w:pPr>
              <w:spacing w:before="60" w:after="60"/>
            </w:pPr>
            <w:r>
              <w:rPr>
                <w:rFonts w:ascii="Calibri" w:eastAsia="Calibri" w:hAnsi="Calibri" w:cs="Calibri"/>
                <w:sz w:val="20"/>
                <w:szCs w:val="20"/>
              </w:rPr>
              <w:t>Scope</w:t>
            </w:r>
          </w:p>
        </w:tc>
        <w:tc>
          <w:tcPr>
            <w:tcW w:w="2395"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2098E0CE" w14:textId="77777777" w:rsidR="00991B96" w:rsidRDefault="00991B96" w:rsidP="00243AAA">
            <w:pPr>
              <w:spacing w:before="60" w:after="60"/>
            </w:pPr>
            <w:r>
              <w:rPr>
                <w:rFonts w:ascii="Calibri" w:eastAsia="Calibri" w:hAnsi="Calibri" w:cs="Calibri"/>
                <w:sz w:val="20"/>
                <w:szCs w:val="20"/>
              </w:rPr>
              <w:t>Personal data processing for EU residents (extraterritorial)</w:t>
            </w:r>
          </w:p>
        </w:tc>
        <w:tc>
          <w:tcPr>
            <w:tcW w:w="2395"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23F5135B" w14:textId="77777777" w:rsidR="00991B96" w:rsidRDefault="00991B96" w:rsidP="00243AAA">
            <w:pPr>
              <w:spacing w:before="60" w:after="60"/>
            </w:pPr>
            <w:r>
              <w:rPr>
                <w:rFonts w:ascii="Calibri" w:eastAsia="Calibri" w:hAnsi="Calibri" w:cs="Calibri"/>
                <w:sz w:val="20"/>
                <w:szCs w:val="20"/>
              </w:rPr>
              <w:t>Financial entities and critical ICT third-party providers</w:t>
            </w:r>
          </w:p>
        </w:tc>
        <w:tc>
          <w:tcPr>
            <w:tcW w:w="2395"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0BF45FB5" w14:textId="77777777" w:rsidR="00991B96" w:rsidRDefault="00991B96" w:rsidP="00243AAA">
            <w:pPr>
              <w:spacing w:before="60" w:after="60"/>
            </w:pPr>
            <w:r>
              <w:rPr>
                <w:rFonts w:ascii="Calibri" w:eastAsia="Calibri" w:hAnsi="Calibri" w:cs="Calibri"/>
                <w:sz w:val="20"/>
                <w:szCs w:val="20"/>
              </w:rPr>
              <w:t>Essential and important entities across critical sectors</w:t>
            </w:r>
          </w:p>
        </w:tc>
      </w:tr>
      <w:tr w:rsidR="00991B96" w14:paraId="29CFA10F" w14:textId="77777777" w:rsidTr="00991B96">
        <w:tblPrEx>
          <w:tblCellMar>
            <w:top w:w="0" w:type="dxa"/>
            <w:bottom w:w="0" w:type="dxa"/>
          </w:tblCellMar>
        </w:tblPrEx>
        <w:trPr>
          <w:trHeight w:val="943"/>
        </w:trPr>
        <w:tc>
          <w:tcPr>
            <w:tcW w:w="2395"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0DAAA096" w14:textId="77777777" w:rsidR="00991B96" w:rsidRDefault="00991B96" w:rsidP="00243AAA">
            <w:pPr>
              <w:spacing w:before="60" w:after="60"/>
            </w:pPr>
            <w:r>
              <w:rPr>
                <w:rFonts w:ascii="Calibri" w:eastAsia="Calibri" w:hAnsi="Calibri" w:cs="Calibri"/>
                <w:sz w:val="20"/>
                <w:szCs w:val="20"/>
              </w:rPr>
              <w:t>Reporting Timeline</w:t>
            </w:r>
          </w:p>
        </w:tc>
        <w:tc>
          <w:tcPr>
            <w:tcW w:w="2395"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65DF53BC" w14:textId="77777777" w:rsidR="00991B96" w:rsidRDefault="00991B96" w:rsidP="00243AAA">
            <w:pPr>
              <w:spacing w:before="60" w:after="60"/>
            </w:pPr>
            <w:r>
              <w:rPr>
                <w:rFonts w:ascii="Calibri" w:eastAsia="Calibri" w:hAnsi="Calibri" w:cs="Calibri"/>
                <w:sz w:val="20"/>
                <w:szCs w:val="20"/>
              </w:rPr>
              <w:t>72h to SA (Article 33), without undue delay to data subjects</w:t>
            </w:r>
          </w:p>
        </w:tc>
        <w:tc>
          <w:tcPr>
            <w:tcW w:w="2395"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439C4ACF" w14:textId="77777777" w:rsidR="00991B96" w:rsidRDefault="00991B96" w:rsidP="00243AAA">
            <w:pPr>
              <w:spacing w:before="60" w:after="60"/>
            </w:pPr>
            <w:r>
              <w:rPr>
                <w:rFonts w:ascii="Calibri" w:eastAsia="Calibri" w:hAnsi="Calibri" w:cs="Calibri"/>
                <w:sz w:val="20"/>
                <w:szCs w:val="20"/>
              </w:rPr>
              <w:t>Initial within hours (e.g., 4h), intermediate, final (Article 18)</w:t>
            </w:r>
          </w:p>
        </w:tc>
        <w:tc>
          <w:tcPr>
            <w:tcW w:w="2395"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5DEEB62C" w14:textId="77777777" w:rsidR="00991B96" w:rsidRDefault="00991B96" w:rsidP="00243AAA">
            <w:pPr>
              <w:spacing w:before="60" w:after="60"/>
            </w:pPr>
            <w:r>
              <w:rPr>
                <w:rFonts w:ascii="Calibri" w:eastAsia="Calibri" w:hAnsi="Calibri" w:cs="Calibri"/>
                <w:sz w:val="20"/>
                <w:szCs w:val="20"/>
              </w:rPr>
              <w:t>Early warning 24h, incident 72h, final 1 month (Article 23)</w:t>
            </w:r>
          </w:p>
        </w:tc>
      </w:tr>
      <w:tr w:rsidR="00991B96" w14:paraId="606D2BD3" w14:textId="77777777" w:rsidTr="00991B96">
        <w:tblPrEx>
          <w:tblCellMar>
            <w:top w:w="0" w:type="dxa"/>
            <w:bottom w:w="0" w:type="dxa"/>
          </w:tblCellMar>
        </w:tblPrEx>
        <w:trPr>
          <w:trHeight w:val="1228"/>
        </w:trPr>
        <w:tc>
          <w:tcPr>
            <w:tcW w:w="2395"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1D628595" w14:textId="77777777" w:rsidR="00991B96" w:rsidRDefault="00991B96" w:rsidP="00243AAA">
            <w:pPr>
              <w:spacing w:before="60" w:after="60"/>
            </w:pPr>
            <w:r>
              <w:rPr>
                <w:rFonts w:ascii="Calibri" w:eastAsia="Calibri" w:hAnsi="Calibri" w:cs="Calibri"/>
                <w:sz w:val="20"/>
                <w:szCs w:val="20"/>
              </w:rPr>
              <w:t>Key Focus</w:t>
            </w:r>
          </w:p>
        </w:tc>
        <w:tc>
          <w:tcPr>
            <w:tcW w:w="2395"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67AB6364" w14:textId="77777777" w:rsidR="00991B96" w:rsidRDefault="00991B96" w:rsidP="00243AAA">
            <w:pPr>
              <w:spacing w:before="60" w:after="60"/>
            </w:pPr>
            <w:r>
              <w:rPr>
                <w:rFonts w:ascii="Calibri" w:eastAsia="Calibri" w:hAnsi="Calibri" w:cs="Calibri"/>
                <w:sz w:val="20"/>
                <w:szCs w:val="20"/>
              </w:rPr>
              <w:t>Data privacy, data subject rights, lawful processing</w:t>
            </w:r>
          </w:p>
        </w:tc>
        <w:tc>
          <w:tcPr>
            <w:tcW w:w="2395"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3510F15C" w14:textId="77777777" w:rsidR="00991B96" w:rsidRDefault="00991B96" w:rsidP="00243AAA">
            <w:pPr>
              <w:spacing w:before="60" w:after="60"/>
            </w:pPr>
            <w:r>
              <w:rPr>
                <w:rFonts w:ascii="Calibri" w:eastAsia="Calibri" w:hAnsi="Calibri" w:cs="Calibri"/>
                <w:sz w:val="20"/>
                <w:szCs w:val="20"/>
              </w:rPr>
              <w:t>ICT risk management, operational resilience, business continuity</w:t>
            </w:r>
          </w:p>
        </w:tc>
        <w:tc>
          <w:tcPr>
            <w:tcW w:w="2395"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66081DD4" w14:textId="77777777" w:rsidR="00991B96" w:rsidRDefault="00991B96" w:rsidP="00243AAA">
            <w:pPr>
              <w:spacing w:before="60" w:after="60"/>
            </w:pPr>
            <w:r>
              <w:rPr>
                <w:rFonts w:ascii="Calibri" w:eastAsia="Calibri" w:hAnsi="Calibri" w:cs="Calibri"/>
                <w:sz w:val="20"/>
                <w:szCs w:val="20"/>
              </w:rPr>
              <w:t>Cybersecurity risk management, incident response, supply chain security</w:t>
            </w:r>
          </w:p>
        </w:tc>
      </w:tr>
      <w:tr w:rsidR="00991B96" w14:paraId="7AB768A9" w14:textId="77777777" w:rsidTr="00991B96">
        <w:tblPrEx>
          <w:tblCellMar>
            <w:top w:w="0" w:type="dxa"/>
            <w:bottom w:w="0" w:type="dxa"/>
          </w:tblCellMar>
        </w:tblPrEx>
        <w:trPr>
          <w:trHeight w:val="955"/>
        </w:trPr>
        <w:tc>
          <w:tcPr>
            <w:tcW w:w="2395"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57372760" w14:textId="77777777" w:rsidR="00991B96" w:rsidRDefault="00991B96" w:rsidP="00243AAA">
            <w:pPr>
              <w:spacing w:before="60" w:after="60"/>
            </w:pPr>
            <w:r>
              <w:rPr>
                <w:rFonts w:ascii="Calibri" w:eastAsia="Calibri" w:hAnsi="Calibri" w:cs="Calibri"/>
                <w:sz w:val="20"/>
                <w:szCs w:val="20"/>
              </w:rPr>
              <w:t>Third-Party Risk</w:t>
            </w:r>
          </w:p>
        </w:tc>
        <w:tc>
          <w:tcPr>
            <w:tcW w:w="2395"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79EE7306" w14:textId="77777777" w:rsidR="00991B96" w:rsidRDefault="00991B96" w:rsidP="00243AAA">
            <w:pPr>
              <w:spacing w:before="60" w:after="60"/>
            </w:pPr>
            <w:r>
              <w:rPr>
                <w:rFonts w:ascii="Calibri" w:eastAsia="Calibri" w:hAnsi="Calibri" w:cs="Calibri"/>
                <w:sz w:val="20"/>
                <w:szCs w:val="20"/>
              </w:rPr>
              <w:t>Data processor agreements, due diligence (Article 28)</w:t>
            </w:r>
          </w:p>
        </w:tc>
        <w:tc>
          <w:tcPr>
            <w:tcW w:w="2395"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4BBFB5A0" w14:textId="77777777" w:rsidR="00991B96" w:rsidRDefault="00991B96" w:rsidP="00243AAA">
            <w:pPr>
              <w:spacing w:before="60" w:after="60"/>
            </w:pPr>
            <w:r>
              <w:rPr>
                <w:rFonts w:ascii="Calibri" w:eastAsia="Calibri" w:hAnsi="Calibri" w:cs="Calibri"/>
                <w:sz w:val="20"/>
                <w:szCs w:val="20"/>
              </w:rPr>
              <w:t>Comprehensive assessment and monitoring of critical ICT providers (Article 28)</w:t>
            </w:r>
          </w:p>
        </w:tc>
        <w:tc>
          <w:tcPr>
            <w:tcW w:w="2395"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14A78C20" w14:textId="77777777" w:rsidR="00991B96" w:rsidRDefault="00991B96" w:rsidP="00243AAA">
            <w:pPr>
              <w:spacing w:before="60" w:after="60"/>
            </w:pPr>
            <w:r>
              <w:rPr>
                <w:rFonts w:ascii="Calibri" w:eastAsia="Calibri" w:hAnsi="Calibri" w:cs="Calibri"/>
                <w:sz w:val="20"/>
                <w:szCs w:val="20"/>
              </w:rPr>
              <w:t>Supply chain security measures (Article 21)</w:t>
            </w:r>
          </w:p>
        </w:tc>
      </w:tr>
      <w:tr w:rsidR="00991B96" w14:paraId="594810BA" w14:textId="77777777" w:rsidTr="00991B96">
        <w:tblPrEx>
          <w:tblCellMar>
            <w:top w:w="0" w:type="dxa"/>
            <w:bottom w:w="0" w:type="dxa"/>
          </w:tblCellMar>
        </w:tblPrEx>
        <w:trPr>
          <w:trHeight w:val="943"/>
        </w:trPr>
        <w:tc>
          <w:tcPr>
            <w:tcW w:w="2395"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69370EB5" w14:textId="77777777" w:rsidR="00991B96" w:rsidRDefault="00991B96" w:rsidP="00243AAA">
            <w:pPr>
              <w:spacing w:before="60" w:after="60"/>
            </w:pPr>
            <w:r>
              <w:rPr>
                <w:rFonts w:ascii="Calibri" w:eastAsia="Calibri" w:hAnsi="Calibri" w:cs="Calibri"/>
                <w:sz w:val="20"/>
                <w:szCs w:val="20"/>
              </w:rPr>
              <w:t>Testing Req.</w:t>
            </w:r>
          </w:p>
        </w:tc>
        <w:tc>
          <w:tcPr>
            <w:tcW w:w="2395"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003C2494" w14:textId="77777777" w:rsidR="00991B96" w:rsidRDefault="00991B96" w:rsidP="00243AAA">
            <w:pPr>
              <w:spacing w:before="60" w:after="60"/>
            </w:pPr>
            <w:r>
              <w:rPr>
                <w:rFonts w:ascii="Calibri" w:eastAsia="Calibri" w:hAnsi="Calibri" w:cs="Calibri"/>
                <w:sz w:val="20"/>
                <w:szCs w:val="20"/>
              </w:rPr>
              <w:t>DPIAs for high-risk processing</w:t>
            </w:r>
          </w:p>
        </w:tc>
        <w:tc>
          <w:tcPr>
            <w:tcW w:w="2395"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1E53E7AF" w14:textId="77777777" w:rsidR="00991B96" w:rsidRDefault="00991B96" w:rsidP="00243AAA">
            <w:pPr>
              <w:spacing w:before="60" w:after="60"/>
            </w:pPr>
            <w:r>
              <w:rPr>
                <w:rFonts w:ascii="Calibri" w:eastAsia="Calibri" w:hAnsi="Calibri" w:cs="Calibri"/>
                <w:sz w:val="20"/>
                <w:szCs w:val="20"/>
              </w:rPr>
              <w:t>Digital operational resilience testing, TLPT (Article 24)</w:t>
            </w:r>
          </w:p>
        </w:tc>
        <w:tc>
          <w:tcPr>
            <w:tcW w:w="2395"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13EBD49C" w14:textId="77777777" w:rsidR="00991B96" w:rsidRDefault="00991B96" w:rsidP="00243AAA">
            <w:pPr>
              <w:spacing w:before="60" w:after="60"/>
            </w:pPr>
            <w:r>
              <w:rPr>
                <w:rFonts w:ascii="Calibri" w:eastAsia="Calibri" w:hAnsi="Calibri" w:cs="Calibri"/>
                <w:sz w:val="20"/>
                <w:szCs w:val="20"/>
              </w:rPr>
              <w:t>Regular security audits and assessments (implied by Article 21)</w:t>
            </w:r>
          </w:p>
        </w:tc>
      </w:tr>
    </w:tbl>
    <w:p w14:paraId="7B564BC3" w14:textId="77777777" w:rsidR="00991B96" w:rsidRDefault="00991B96" w:rsidP="00991B96"/>
    <w:p w14:paraId="50CE4CD3" w14:textId="06EF2BF8" w:rsidR="00491A4D" w:rsidRPr="00AE4C1C" w:rsidRDefault="0046288D" w:rsidP="00AE4C1C">
      <w:pPr>
        <w:pStyle w:val="Heading2"/>
      </w:pPr>
      <w:bookmarkStart w:id="5" w:name="_Toc228040369"/>
      <w:r w:rsidRPr="00AE4C1C">
        <w:t>2</w:t>
      </w:r>
      <w:r w:rsidR="00491A4D" w:rsidRPr="00AE4C1C">
        <w:t xml:space="preserve">.3 </w:t>
      </w:r>
      <w:r w:rsidR="00915AB7" w:rsidRPr="00AE4C1C">
        <w:t>Anticipating Threats: A Proactive Approach to Cyber Resilience</w:t>
      </w:r>
      <w:bookmarkEnd w:id="5"/>
    </w:p>
    <w:p w14:paraId="49C0386C" w14:textId="77777777" w:rsidR="005A6543" w:rsidRPr="00E77E28" w:rsidRDefault="005A6543" w:rsidP="005A6543">
      <w:pPr>
        <w:spacing w:before="60" w:line="360" w:lineRule="auto"/>
        <w:jc w:val="both"/>
        <w:rPr>
          <w:rFonts w:ascii="Arial" w:hAnsi="Arial" w:cs="Arial"/>
          <w:sz w:val="22"/>
          <w:szCs w:val="22"/>
        </w:rPr>
      </w:pPr>
      <w:r w:rsidRPr="00E77E28">
        <w:rPr>
          <w:rFonts w:ascii="Arial" w:hAnsi="Arial" w:cs="Arial"/>
          <w:sz w:val="22"/>
          <w:szCs w:val="22"/>
        </w:rPr>
        <w:t>Effective cyber resilience starts with anticipation, shifting from reactive defence to a proactive, threat-led posture. The regulatory triad of GDPR, DORA, and NIS2 reinforces the necessity for robust foresight mechanisms to identify emerging risks [4].</w:t>
      </w:r>
    </w:p>
    <w:p w14:paraId="6E4154DC" w14:textId="77777777" w:rsidR="005A6543" w:rsidRPr="00E77E28" w:rsidRDefault="005A6543" w:rsidP="00237207">
      <w:pPr>
        <w:spacing w:before="60" w:line="360" w:lineRule="auto"/>
        <w:ind w:left="720"/>
        <w:jc w:val="both"/>
        <w:rPr>
          <w:rFonts w:ascii="Arial" w:hAnsi="Arial" w:cs="Arial"/>
          <w:b/>
          <w:bCs/>
          <w:sz w:val="22"/>
          <w:szCs w:val="22"/>
        </w:rPr>
      </w:pPr>
      <w:r w:rsidRPr="00E77E28">
        <w:rPr>
          <w:rFonts w:ascii="Arial" w:hAnsi="Arial" w:cs="Arial"/>
          <w:b/>
          <w:bCs/>
          <w:sz w:val="22"/>
          <w:szCs w:val="22"/>
        </w:rPr>
        <w:t>2.3.1 Risk-Based Governance and Threat Intelligence</w:t>
      </w:r>
    </w:p>
    <w:p w14:paraId="5B615CA7" w14:textId="77777777" w:rsidR="005A6543" w:rsidRPr="00E77E28" w:rsidRDefault="005A6543" w:rsidP="00237207">
      <w:pPr>
        <w:spacing w:before="60" w:line="360" w:lineRule="auto"/>
        <w:ind w:left="720"/>
        <w:jc w:val="both"/>
        <w:rPr>
          <w:rFonts w:ascii="Arial" w:hAnsi="Arial" w:cs="Arial"/>
          <w:sz w:val="22"/>
          <w:szCs w:val="22"/>
        </w:rPr>
      </w:pPr>
      <w:r w:rsidRPr="00E77E28">
        <w:rPr>
          <w:rFonts w:ascii="Arial" w:hAnsi="Arial" w:cs="Arial"/>
          <w:sz w:val="22"/>
          <w:szCs w:val="22"/>
        </w:rPr>
        <w:t xml:space="preserve">These regulations converge on a risk-based approach. GDPR requires measures proportionate to data subject risk, DORA mandates a comprehensive ICT risk </w:t>
      </w:r>
      <w:r w:rsidRPr="00E77E28">
        <w:rPr>
          <w:rFonts w:ascii="Arial" w:hAnsi="Arial" w:cs="Arial"/>
          <w:sz w:val="22"/>
          <w:szCs w:val="22"/>
        </w:rPr>
        <w:lastRenderedPageBreak/>
        <w:t>framework, and NIS2 insists on proportionate cybersecurity controls. This necessitates a unified governance model integrating privacy and operational resilience. Leveraging internal telemetry, external feeds, and intelligence sharing via ISACs or CSIRTs transforms threat data into predictive capability, ensuring resources target the most likely attack vectors [5].</w:t>
      </w:r>
    </w:p>
    <w:p w14:paraId="412C5FB0" w14:textId="77777777" w:rsidR="005A6543" w:rsidRPr="00E77E28" w:rsidRDefault="005A6543" w:rsidP="00237207">
      <w:pPr>
        <w:spacing w:before="60" w:line="360" w:lineRule="auto"/>
        <w:ind w:left="720"/>
        <w:jc w:val="both"/>
        <w:rPr>
          <w:rFonts w:ascii="Arial" w:hAnsi="Arial" w:cs="Arial"/>
          <w:b/>
          <w:bCs/>
          <w:sz w:val="22"/>
          <w:szCs w:val="22"/>
        </w:rPr>
      </w:pPr>
      <w:r w:rsidRPr="00E77E28">
        <w:rPr>
          <w:rFonts w:ascii="Arial" w:hAnsi="Arial" w:cs="Arial"/>
          <w:b/>
          <w:bCs/>
          <w:sz w:val="22"/>
          <w:szCs w:val="22"/>
        </w:rPr>
        <w:t>2.3.2 Business Impact Analysis and Asset Classification</w:t>
      </w:r>
    </w:p>
    <w:p w14:paraId="5E5FC7CA" w14:textId="77777777" w:rsidR="005A6543" w:rsidRPr="00E77E28" w:rsidRDefault="005A6543" w:rsidP="00237207">
      <w:pPr>
        <w:spacing w:before="60" w:line="360" w:lineRule="auto"/>
        <w:ind w:left="720"/>
        <w:jc w:val="both"/>
        <w:rPr>
          <w:rFonts w:ascii="Arial" w:hAnsi="Arial" w:cs="Arial"/>
          <w:sz w:val="22"/>
          <w:szCs w:val="22"/>
        </w:rPr>
      </w:pPr>
      <w:r w:rsidRPr="00E77E28">
        <w:rPr>
          <w:rFonts w:ascii="Arial" w:hAnsi="Arial" w:cs="Arial"/>
          <w:sz w:val="22"/>
          <w:szCs w:val="22"/>
        </w:rPr>
        <w:t xml:space="preserve">Anticipation requires understanding asset criticality. Business Impact Analysis (BIA), a core DORA requirement, ensures entities identify vital functions and supporting ICT systems. For </w:t>
      </w:r>
      <w:proofErr w:type="spellStart"/>
      <w:r w:rsidRPr="00E77E28">
        <w:rPr>
          <w:rFonts w:ascii="Arial" w:hAnsi="Arial" w:cs="Arial"/>
          <w:sz w:val="22"/>
          <w:szCs w:val="22"/>
        </w:rPr>
        <w:t>HealthTech</w:t>
      </w:r>
      <w:proofErr w:type="spellEnd"/>
      <w:r w:rsidRPr="00E77E28">
        <w:rPr>
          <w:rFonts w:ascii="Arial" w:hAnsi="Arial" w:cs="Arial"/>
          <w:sz w:val="22"/>
          <w:szCs w:val="22"/>
        </w:rPr>
        <w:t xml:space="preserve"> firms, this involves classifying patient records and medical device controls as critical assets. Strategic classification enables prioritised investment and targeted incident response plans, directly strengthening the organisation’s protective posture [8].</w:t>
      </w:r>
    </w:p>
    <w:p w14:paraId="1B807CF5" w14:textId="77777777" w:rsidR="005A6543" w:rsidRPr="00E77E28" w:rsidRDefault="005A6543" w:rsidP="00237207">
      <w:pPr>
        <w:spacing w:before="60" w:line="360" w:lineRule="auto"/>
        <w:ind w:left="720"/>
        <w:jc w:val="both"/>
        <w:rPr>
          <w:rFonts w:ascii="Arial" w:hAnsi="Arial" w:cs="Arial"/>
          <w:b/>
          <w:bCs/>
          <w:sz w:val="22"/>
          <w:szCs w:val="22"/>
        </w:rPr>
      </w:pPr>
      <w:r w:rsidRPr="00E77E28">
        <w:rPr>
          <w:rFonts w:ascii="Arial" w:hAnsi="Arial" w:cs="Arial"/>
          <w:b/>
          <w:bCs/>
          <w:sz w:val="22"/>
          <w:szCs w:val="22"/>
        </w:rPr>
        <w:t>2.3.3 Supply Chain Risk Management</w:t>
      </w:r>
    </w:p>
    <w:p w14:paraId="1CDC2E7E" w14:textId="711D6604" w:rsidR="00491A4D" w:rsidRDefault="005A6543" w:rsidP="00237207">
      <w:pPr>
        <w:spacing w:before="60" w:line="360" w:lineRule="auto"/>
        <w:ind w:left="720"/>
        <w:jc w:val="both"/>
        <w:rPr>
          <w:rFonts w:ascii="Arial" w:hAnsi="Arial" w:cs="Arial"/>
          <w:sz w:val="22"/>
          <w:szCs w:val="22"/>
        </w:rPr>
      </w:pPr>
      <w:r w:rsidRPr="00E77E28">
        <w:rPr>
          <w:rFonts w:ascii="Arial" w:hAnsi="Arial" w:cs="Arial"/>
          <w:sz w:val="22"/>
          <w:szCs w:val="22"/>
        </w:rPr>
        <w:t>Resilience is often limited by the supply chain—the "weakest link." Under GDPR, controllers must ensure processor compliance, while DORA (Article 28) and NIS2 (Article 21) demand rigorous third-party risk management. Foreseeing these threats requires continuous vendor vetting and robust security-aligned contracts to prevent cascading failures across the interconnected digital ecosystem [9</w:t>
      </w:r>
      <w:r w:rsidR="00991B96" w:rsidRPr="00991B96">
        <w:rPr>
          <w:rFonts w:ascii="Arial" w:hAnsi="Arial" w:cs="Arial"/>
          <w:sz w:val="22"/>
          <w:szCs w:val="22"/>
        </w:rPr>
        <w:t>].</w:t>
      </w:r>
    </w:p>
    <w:p w14:paraId="217495BE" w14:textId="4DD7487D" w:rsidR="00C520D6" w:rsidRPr="00AE4C1C" w:rsidRDefault="0046288D" w:rsidP="00AE4C1C">
      <w:pPr>
        <w:pStyle w:val="Heading2"/>
      </w:pPr>
      <w:bookmarkStart w:id="6" w:name="_Toc228040370"/>
      <w:r>
        <w:rPr>
          <w:rFonts w:ascii="Arial" w:hAnsi="Arial" w:cs="Arial"/>
        </w:rPr>
        <w:t>2</w:t>
      </w:r>
      <w:r w:rsidR="002327A4" w:rsidRPr="002327A4">
        <w:rPr>
          <w:rFonts w:ascii="Arial" w:hAnsi="Arial" w:cs="Arial"/>
          <w:sz w:val="28"/>
          <w:szCs w:val="28"/>
        </w:rPr>
        <w:t>.</w:t>
      </w:r>
      <w:r w:rsidR="002327A4" w:rsidRPr="00AE4C1C">
        <w:t xml:space="preserve">4 </w:t>
      </w:r>
      <w:r w:rsidR="00C520D6" w:rsidRPr="00AE4C1C">
        <w:t>Protecting Information Assets: Building Resilient Architectures</w:t>
      </w:r>
      <w:bookmarkEnd w:id="6"/>
    </w:p>
    <w:p w14:paraId="2F7029C1" w14:textId="77777777" w:rsidR="005A6543" w:rsidRPr="005A6543" w:rsidRDefault="005A6543" w:rsidP="005A6543">
      <w:pPr>
        <w:spacing w:before="60" w:line="360" w:lineRule="auto"/>
        <w:jc w:val="both"/>
        <w:rPr>
          <w:rFonts w:ascii="Arial" w:hAnsi="Arial" w:cs="Arial"/>
          <w:sz w:val="22"/>
          <w:szCs w:val="22"/>
        </w:rPr>
      </w:pPr>
      <w:r w:rsidRPr="005A6543">
        <w:rPr>
          <w:rFonts w:ascii="Arial" w:hAnsi="Arial" w:cs="Arial"/>
          <w:sz w:val="22"/>
          <w:szCs w:val="22"/>
        </w:rPr>
        <w:t>Protection translates identified risks into technical controls. The regulatory triad drives the adoption of robust safeguards, increasingly converging towards a Zero Trust Architecture (ZTA) to ensure data integrity and operational continuity.</w:t>
      </w:r>
    </w:p>
    <w:p w14:paraId="7CFEA973" w14:textId="77777777" w:rsidR="005A6543" w:rsidRPr="005A6543" w:rsidRDefault="005A6543" w:rsidP="00237207">
      <w:pPr>
        <w:spacing w:before="60" w:line="360" w:lineRule="auto"/>
        <w:ind w:left="720"/>
        <w:jc w:val="both"/>
        <w:rPr>
          <w:rFonts w:ascii="Arial" w:hAnsi="Arial" w:cs="Arial"/>
          <w:b/>
          <w:bCs/>
          <w:sz w:val="22"/>
          <w:szCs w:val="22"/>
        </w:rPr>
      </w:pPr>
      <w:r w:rsidRPr="005A6543">
        <w:rPr>
          <w:rFonts w:ascii="Arial" w:hAnsi="Arial" w:cs="Arial"/>
          <w:b/>
          <w:bCs/>
          <w:sz w:val="22"/>
          <w:szCs w:val="22"/>
        </w:rPr>
        <w:t>2.4.1 Zero Trust Architecture (ZTA) Principles</w:t>
      </w:r>
    </w:p>
    <w:p w14:paraId="50B7A6E6" w14:textId="77777777" w:rsidR="005A6543" w:rsidRPr="005A6543" w:rsidRDefault="005A6543" w:rsidP="00237207">
      <w:pPr>
        <w:spacing w:before="60" w:line="360" w:lineRule="auto"/>
        <w:ind w:left="720"/>
        <w:jc w:val="both"/>
        <w:rPr>
          <w:rFonts w:ascii="Arial" w:hAnsi="Arial" w:cs="Arial"/>
          <w:sz w:val="22"/>
          <w:szCs w:val="22"/>
        </w:rPr>
      </w:pPr>
      <w:r w:rsidRPr="005A6543">
        <w:rPr>
          <w:rFonts w:ascii="Arial" w:hAnsi="Arial" w:cs="Arial"/>
          <w:sz w:val="22"/>
          <w:szCs w:val="22"/>
        </w:rPr>
        <w:t>The ZTA model—"never trust, always verify"—replaces perimeter-based security with continuous identity verification and least-privilege access. This approach supports GDPR's integrity and data minimisation principles by strictly controlling access to personal records. Furthermore, ZTA's granular segmentation reduces the attack surface for DORA-regulated ICT systems and ensures only authorised entities access NIS2-critical infrastructure [12].</w:t>
      </w:r>
    </w:p>
    <w:p w14:paraId="308AA4A4" w14:textId="77777777" w:rsidR="005A6543" w:rsidRPr="005A6543" w:rsidRDefault="005A6543" w:rsidP="00237207">
      <w:pPr>
        <w:spacing w:before="60" w:line="360" w:lineRule="auto"/>
        <w:ind w:left="720"/>
        <w:jc w:val="both"/>
        <w:rPr>
          <w:rFonts w:ascii="Arial" w:hAnsi="Arial" w:cs="Arial"/>
          <w:b/>
          <w:bCs/>
          <w:sz w:val="22"/>
          <w:szCs w:val="22"/>
        </w:rPr>
      </w:pPr>
      <w:r w:rsidRPr="005A6543">
        <w:rPr>
          <w:rFonts w:ascii="Arial" w:hAnsi="Arial" w:cs="Arial"/>
          <w:b/>
          <w:bCs/>
          <w:sz w:val="22"/>
          <w:szCs w:val="22"/>
        </w:rPr>
        <w:t>2.4.2 Identity and Access Management (IAM) and Authentication</w:t>
      </w:r>
    </w:p>
    <w:p w14:paraId="51DAEE4F" w14:textId="77777777" w:rsidR="005A6543" w:rsidRPr="005A6543" w:rsidRDefault="005A6543" w:rsidP="00237207">
      <w:pPr>
        <w:spacing w:before="60" w:line="360" w:lineRule="auto"/>
        <w:ind w:left="720"/>
        <w:jc w:val="both"/>
        <w:rPr>
          <w:rFonts w:ascii="Arial" w:hAnsi="Arial" w:cs="Arial"/>
          <w:sz w:val="22"/>
          <w:szCs w:val="22"/>
        </w:rPr>
      </w:pPr>
      <w:r w:rsidRPr="005A6543">
        <w:rPr>
          <w:rFonts w:ascii="Arial" w:hAnsi="Arial" w:cs="Arial"/>
          <w:sz w:val="22"/>
          <w:szCs w:val="22"/>
        </w:rPr>
        <w:t xml:space="preserve">Robust IAM is fundamental to compliance: GDPR restricts data access, DORA mandates strong ICT authentication, and NIS2 requires formal access control policies </w:t>
      </w:r>
      <w:r w:rsidRPr="005A6543">
        <w:rPr>
          <w:rFonts w:ascii="Arial" w:hAnsi="Arial" w:cs="Arial"/>
          <w:sz w:val="22"/>
          <w:szCs w:val="22"/>
        </w:rPr>
        <w:lastRenderedPageBreak/>
        <w:t>(Article 21). Implementing phishing-resistant multi-factor authentication (MFA) and Privileged Access Management (PAM) reduces risks from compromised credentials. Continuous auditing of access rights ensures adherence to the principle of least privilege, satisfying both security and regulatory oversight [6].</w:t>
      </w:r>
    </w:p>
    <w:p w14:paraId="56F53885" w14:textId="77777777" w:rsidR="005A6543" w:rsidRPr="005A6543" w:rsidRDefault="005A6543" w:rsidP="00237207">
      <w:pPr>
        <w:spacing w:before="60" w:line="360" w:lineRule="auto"/>
        <w:ind w:left="720"/>
        <w:jc w:val="both"/>
        <w:rPr>
          <w:rFonts w:ascii="Arial" w:hAnsi="Arial" w:cs="Arial"/>
          <w:b/>
          <w:bCs/>
          <w:sz w:val="22"/>
          <w:szCs w:val="22"/>
        </w:rPr>
      </w:pPr>
      <w:r w:rsidRPr="005A6543">
        <w:rPr>
          <w:rFonts w:ascii="Arial" w:hAnsi="Arial" w:cs="Arial"/>
          <w:b/>
          <w:bCs/>
          <w:sz w:val="22"/>
          <w:szCs w:val="22"/>
        </w:rPr>
        <w:t>2.4.3 Data Encryption and Data Loss Prevention (DLP)</w:t>
      </w:r>
    </w:p>
    <w:p w14:paraId="18862EC5" w14:textId="77777777" w:rsidR="005A6543" w:rsidRPr="005A6543" w:rsidRDefault="005A6543" w:rsidP="00237207">
      <w:pPr>
        <w:spacing w:before="60" w:line="360" w:lineRule="auto"/>
        <w:ind w:left="720"/>
        <w:jc w:val="both"/>
        <w:rPr>
          <w:rFonts w:ascii="Arial" w:hAnsi="Arial" w:cs="Arial"/>
          <w:sz w:val="22"/>
          <w:szCs w:val="22"/>
        </w:rPr>
      </w:pPr>
      <w:r w:rsidRPr="005A6543">
        <w:rPr>
          <w:rFonts w:ascii="Arial" w:hAnsi="Arial" w:cs="Arial"/>
          <w:sz w:val="22"/>
          <w:szCs w:val="22"/>
        </w:rPr>
        <w:t>Encryption at rest and in transit is a mandatory baseline. GDPR identifies it as a key measure to mitigate breach impact, while DORA requires it to protect ICT integrity. NIS2 explicitly mandates cryptography under Article 21. Complementing this, Data Loss Prevention (DLP) solutions monitor and block unauthorised transmissions, preventing sensitive data exfiltration and ensuring sustained regulatory adherence [5].</w:t>
      </w:r>
    </w:p>
    <w:p w14:paraId="6EBCF6FB" w14:textId="77777777" w:rsidR="005A6543" w:rsidRPr="005A6543" w:rsidRDefault="005A6543" w:rsidP="00237207">
      <w:pPr>
        <w:spacing w:before="60" w:line="360" w:lineRule="auto"/>
        <w:ind w:left="720"/>
        <w:jc w:val="both"/>
        <w:rPr>
          <w:rFonts w:ascii="Arial" w:hAnsi="Arial" w:cs="Arial"/>
          <w:b/>
          <w:bCs/>
          <w:sz w:val="22"/>
          <w:szCs w:val="22"/>
        </w:rPr>
      </w:pPr>
      <w:r w:rsidRPr="005A6543">
        <w:rPr>
          <w:rFonts w:ascii="Arial" w:hAnsi="Arial" w:cs="Arial"/>
          <w:b/>
          <w:bCs/>
          <w:sz w:val="22"/>
          <w:szCs w:val="22"/>
        </w:rPr>
        <w:t>2.4.4 Network Segmentation and Cloud Security</w:t>
      </w:r>
    </w:p>
    <w:p w14:paraId="098478C9" w14:textId="2FF460BA" w:rsidR="002327A4" w:rsidRPr="002327A4" w:rsidRDefault="005A6543" w:rsidP="00237207">
      <w:pPr>
        <w:spacing w:before="60" w:line="360" w:lineRule="auto"/>
        <w:ind w:left="720"/>
        <w:jc w:val="both"/>
        <w:rPr>
          <w:rFonts w:ascii="Arial" w:hAnsi="Arial" w:cs="Arial"/>
          <w:sz w:val="22"/>
          <w:szCs w:val="22"/>
        </w:rPr>
      </w:pPr>
      <w:r w:rsidRPr="005A6543">
        <w:rPr>
          <w:rFonts w:ascii="Arial" w:hAnsi="Arial" w:cs="Arial"/>
          <w:sz w:val="22"/>
          <w:szCs w:val="22"/>
        </w:rPr>
        <w:t>Micro-segmentation isolates workloads to contain breaches, directly supporting DORA’s operational resilience and NIS2’s network security mandates. For cloud-centric environments, Cloud Security Posture Management (CSPM) automates compliance with security benchmarks. Additionally, Secure Access Service Edge (SASE) integrates security functions with WAN, extending protection to hybrid workforces beyond the traditional corporate perimeter [1].</w:t>
      </w:r>
    </w:p>
    <w:p w14:paraId="268ACEB7" w14:textId="320E9DAD" w:rsidR="00C520D6" w:rsidRPr="0032374D" w:rsidRDefault="00991B96" w:rsidP="0032374D">
      <w:pPr>
        <w:pStyle w:val="Heading2"/>
      </w:pPr>
      <w:bookmarkStart w:id="7" w:name="_Toc228040371"/>
      <w:r>
        <w:t>2</w:t>
      </w:r>
      <w:r w:rsidR="00C520D6" w:rsidRPr="0032374D">
        <w:t>.5 Detecting Threats: Continuous Monitoring and Visibility</w:t>
      </w:r>
      <w:bookmarkEnd w:id="7"/>
    </w:p>
    <w:p w14:paraId="652DCBE0" w14:textId="77777777" w:rsidR="00237207" w:rsidRPr="00237207" w:rsidRDefault="00237207" w:rsidP="00237207">
      <w:pPr>
        <w:spacing w:before="60" w:line="360" w:lineRule="auto"/>
        <w:jc w:val="both"/>
        <w:rPr>
          <w:rFonts w:ascii="Arial" w:hAnsi="Arial" w:cs="Arial"/>
          <w:sz w:val="22"/>
          <w:szCs w:val="22"/>
        </w:rPr>
      </w:pPr>
      <w:r w:rsidRPr="00237207">
        <w:rPr>
          <w:rFonts w:ascii="Arial" w:hAnsi="Arial" w:cs="Arial"/>
          <w:sz w:val="22"/>
          <w:szCs w:val="22"/>
        </w:rPr>
        <w:t>Effective detection is the linchpin of cyber resilience, enabling organisations to identify malicious activities promptly. The stringent reporting timelines of GDPR, DORA, and NIS2 necessitate continuous visibility across the IT estate to prevent operational damage and ensure regulatory compliance.</w:t>
      </w:r>
    </w:p>
    <w:p w14:paraId="28F32E7D" w14:textId="77777777" w:rsidR="00237207" w:rsidRPr="00237207" w:rsidRDefault="00237207" w:rsidP="00237207">
      <w:pPr>
        <w:spacing w:before="60" w:line="360" w:lineRule="auto"/>
        <w:ind w:left="720"/>
        <w:jc w:val="both"/>
        <w:rPr>
          <w:rFonts w:ascii="Arial" w:hAnsi="Arial" w:cs="Arial"/>
          <w:b/>
          <w:bCs/>
          <w:sz w:val="22"/>
          <w:szCs w:val="22"/>
        </w:rPr>
      </w:pPr>
      <w:r w:rsidRPr="00237207">
        <w:rPr>
          <w:rFonts w:ascii="Arial" w:hAnsi="Arial" w:cs="Arial"/>
          <w:b/>
          <w:bCs/>
          <w:sz w:val="22"/>
          <w:szCs w:val="22"/>
        </w:rPr>
        <w:t>2.5.1 Security Information and Event Management (SIEM)</w:t>
      </w:r>
    </w:p>
    <w:p w14:paraId="144B2A49" w14:textId="77777777" w:rsidR="00237207" w:rsidRPr="00237207" w:rsidRDefault="00237207" w:rsidP="00237207">
      <w:pPr>
        <w:spacing w:before="60" w:line="360" w:lineRule="auto"/>
        <w:ind w:left="720"/>
        <w:jc w:val="both"/>
        <w:rPr>
          <w:rFonts w:ascii="Arial" w:hAnsi="Arial" w:cs="Arial"/>
          <w:sz w:val="22"/>
          <w:szCs w:val="22"/>
        </w:rPr>
      </w:pPr>
      <w:r w:rsidRPr="00237207">
        <w:rPr>
          <w:rFonts w:ascii="Arial" w:hAnsi="Arial" w:cs="Arial"/>
          <w:sz w:val="22"/>
          <w:szCs w:val="22"/>
        </w:rPr>
        <w:t>SIEM systems are foundational, centralising security logs from networks, applications, and devices to identify malicious patterns via correlation analytics. This real-time visibility is vital for fulfilling the monitoring obligations of GDPR and DORA, facilitating the rapid incident detection required for timely compliance reporting [3].</w:t>
      </w:r>
    </w:p>
    <w:p w14:paraId="22A1E0D4" w14:textId="77777777" w:rsidR="00237207" w:rsidRPr="00237207" w:rsidRDefault="00237207" w:rsidP="00237207">
      <w:pPr>
        <w:spacing w:before="60" w:line="360" w:lineRule="auto"/>
        <w:ind w:left="720"/>
        <w:jc w:val="both"/>
        <w:rPr>
          <w:rFonts w:ascii="Arial" w:hAnsi="Arial" w:cs="Arial"/>
          <w:b/>
          <w:bCs/>
          <w:sz w:val="22"/>
          <w:szCs w:val="22"/>
        </w:rPr>
      </w:pPr>
      <w:r w:rsidRPr="00237207">
        <w:rPr>
          <w:rFonts w:ascii="Arial" w:hAnsi="Arial" w:cs="Arial"/>
          <w:b/>
          <w:bCs/>
          <w:sz w:val="22"/>
          <w:szCs w:val="22"/>
        </w:rPr>
        <w:t>2.5.2 Endpoint Detection and Response (EDR) and XDR</w:t>
      </w:r>
    </w:p>
    <w:p w14:paraId="373AE23C" w14:textId="77777777" w:rsidR="00237207" w:rsidRPr="00237207" w:rsidRDefault="00237207" w:rsidP="00237207">
      <w:pPr>
        <w:spacing w:before="60" w:line="360" w:lineRule="auto"/>
        <w:ind w:left="720"/>
        <w:jc w:val="both"/>
        <w:rPr>
          <w:rFonts w:ascii="Arial" w:hAnsi="Arial" w:cs="Arial"/>
          <w:sz w:val="22"/>
          <w:szCs w:val="22"/>
        </w:rPr>
      </w:pPr>
      <w:r w:rsidRPr="00237207">
        <w:rPr>
          <w:rFonts w:ascii="Arial" w:hAnsi="Arial" w:cs="Arial"/>
          <w:sz w:val="22"/>
          <w:szCs w:val="22"/>
        </w:rPr>
        <w:t>EDR targets threats at the host level, using behavioural analytics to identify fileless malware and APTs that evade traditional antivirus. Extended Detection and Response (XDR) integrates these insights across hybrid environments. Both are essential for meeting the rapid response and reporting windows mandated by DORA and NIS2 [7].</w:t>
      </w:r>
    </w:p>
    <w:p w14:paraId="6905DAA1" w14:textId="77777777" w:rsidR="00237207" w:rsidRPr="00237207" w:rsidRDefault="00237207" w:rsidP="00237207">
      <w:pPr>
        <w:spacing w:before="60" w:line="360" w:lineRule="auto"/>
        <w:ind w:left="720"/>
        <w:jc w:val="both"/>
        <w:rPr>
          <w:rFonts w:ascii="Arial" w:hAnsi="Arial" w:cs="Arial"/>
          <w:b/>
          <w:bCs/>
          <w:sz w:val="22"/>
          <w:szCs w:val="22"/>
        </w:rPr>
      </w:pPr>
      <w:r w:rsidRPr="00237207">
        <w:rPr>
          <w:rFonts w:ascii="Arial" w:hAnsi="Arial" w:cs="Arial"/>
          <w:b/>
          <w:bCs/>
          <w:sz w:val="22"/>
          <w:szCs w:val="22"/>
        </w:rPr>
        <w:lastRenderedPageBreak/>
        <w:t>2.5.3 Anomaly Detection and User Behaviour Analytics (UBA)</w:t>
      </w:r>
    </w:p>
    <w:p w14:paraId="20A15398" w14:textId="77777777" w:rsidR="00237207" w:rsidRPr="00237207" w:rsidRDefault="00237207" w:rsidP="00237207">
      <w:pPr>
        <w:spacing w:before="60" w:line="360" w:lineRule="auto"/>
        <w:ind w:left="720"/>
        <w:jc w:val="both"/>
        <w:rPr>
          <w:rFonts w:ascii="Arial" w:hAnsi="Arial" w:cs="Arial"/>
          <w:sz w:val="22"/>
          <w:szCs w:val="22"/>
        </w:rPr>
      </w:pPr>
      <w:r w:rsidRPr="00237207">
        <w:rPr>
          <w:rFonts w:ascii="Arial" w:hAnsi="Arial" w:cs="Arial"/>
          <w:sz w:val="22"/>
          <w:szCs w:val="22"/>
        </w:rPr>
        <w:t>Leveraging AI and ML, UBA establishes behavioural baselines to flag deviations indicative of insider threats or compromised accounts. By identifying unusual access to sensitive data, UBA supports GDPR’s confidentiality principles and DORA’s operational resilience by detecting disruptions before they escalate [4].</w:t>
      </w:r>
    </w:p>
    <w:p w14:paraId="6810A06B" w14:textId="77777777" w:rsidR="00237207" w:rsidRPr="00237207" w:rsidRDefault="00237207" w:rsidP="00237207">
      <w:pPr>
        <w:spacing w:before="60" w:line="360" w:lineRule="auto"/>
        <w:ind w:left="720"/>
        <w:jc w:val="both"/>
        <w:rPr>
          <w:rFonts w:ascii="Arial" w:hAnsi="Arial" w:cs="Arial"/>
          <w:b/>
          <w:bCs/>
          <w:sz w:val="22"/>
          <w:szCs w:val="22"/>
        </w:rPr>
      </w:pPr>
      <w:r w:rsidRPr="00237207">
        <w:rPr>
          <w:rFonts w:ascii="Arial" w:hAnsi="Arial" w:cs="Arial"/>
          <w:b/>
          <w:bCs/>
          <w:sz w:val="22"/>
          <w:szCs w:val="22"/>
        </w:rPr>
        <w:t>2.5.4 Continuous Compliance Monitoring (CCM)</w:t>
      </w:r>
    </w:p>
    <w:p w14:paraId="1FDD603D" w14:textId="5F8ACCBF" w:rsidR="00C520D6" w:rsidRPr="00237207" w:rsidRDefault="00237207" w:rsidP="00237207">
      <w:pPr>
        <w:spacing w:before="60" w:line="360" w:lineRule="auto"/>
        <w:ind w:left="720"/>
        <w:jc w:val="both"/>
        <w:rPr>
          <w:rFonts w:ascii="Arial" w:hAnsi="Arial" w:cs="Arial"/>
          <w:sz w:val="22"/>
          <w:szCs w:val="22"/>
        </w:rPr>
      </w:pPr>
      <w:r w:rsidRPr="00237207">
        <w:rPr>
          <w:rFonts w:ascii="Arial" w:hAnsi="Arial" w:cs="Arial"/>
          <w:sz w:val="22"/>
          <w:szCs w:val="22"/>
        </w:rPr>
        <w:t>CCM utilizes automated tools to assess configurations and controls against regulatory benchmarks. By identifying cloud misconfigurations or patch gaps in real-time, organisations can remediate vulnerabilities proactively, ensuring constant readiness for GDPR, DORA, and NIS2 audits [5].</w:t>
      </w:r>
    </w:p>
    <w:p w14:paraId="08DECF3D" w14:textId="77777777" w:rsidR="00E95DB7" w:rsidRPr="00E95DB7" w:rsidRDefault="00E95DB7" w:rsidP="00C520D6">
      <w:pPr>
        <w:spacing w:before="60"/>
        <w:rPr>
          <w:rFonts w:ascii="Arial" w:hAnsi="Arial" w:cs="Arial"/>
          <w:sz w:val="22"/>
          <w:szCs w:val="22"/>
        </w:rPr>
      </w:pPr>
    </w:p>
    <w:p w14:paraId="0AC1BCBC" w14:textId="57F362D0" w:rsidR="00C520D6" w:rsidRPr="0032374D" w:rsidRDefault="00991B96" w:rsidP="0032374D">
      <w:pPr>
        <w:pStyle w:val="Heading2"/>
      </w:pPr>
      <w:bookmarkStart w:id="8" w:name="_Toc228040372"/>
      <w:r>
        <w:t>2</w:t>
      </w:r>
      <w:r w:rsidR="00C520D6" w:rsidRPr="0032374D">
        <w:t>.6 Automatically Responding to Threats: Orchestration and Recovery</w:t>
      </w:r>
      <w:bookmarkEnd w:id="8"/>
    </w:p>
    <w:p w14:paraId="2D96DE63" w14:textId="77777777" w:rsidR="00237207" w:rsidRPr="00237207" w:rsidRDefault="00237207" w:rsidP="00237207">
      <w:pPr>
        <w:spacing w:before="60" w:line="360" w:lineRule="auto"/>
        <w:jc w:val="both"/>
        <w:rPr>
          <w:rFonts w:ascii="Arial" w:hAnsi="Arial" w:cs="Arial"/>
          <w:sz w:val="22"/>
          <w:szCs w:val="22"/>
        </w:rPr>
      </w:pPr>
      <w:r w:rsidRPr="00237207">
        <w:rPr>
          <w:rFonts w:ascii="Arial" w:hAnsi="Arial" w:cs="Arial"/>
          <w:sz w:val="22"/>
          <w:szCs w:val="22"/>
        </w:rPr>
        <w:t>The final pillar of cyber resilience is the ability to automatically respond to and recover from security incidents. The rapid reporting mandates of DORA and NIS2, alongside GDPR's focus on harm mitigation, necessitate efficient automated response mechanisms. Manual processes are often insufficient against fast-moving threats, making investment in swift containment and recovery technologies essential to minimise downtime and regulatory penalties.</w:t>
      </w:r>
    </w:p>
    <w:p w14:paraId="0FDE3A62" w14:textId="77777777" w:rsidR="00237207" w:rsidRPr="00237207" w:rsidRDefault="00237207" w:rsidP="00237207">
      <w:pPr>
        <w:spacing w:before="60" w:line="360" w:lineRule="auto"/>
        <w:ind w:left="720"/>
        <w:jc w:val="both"/>
        <w:rPr>
          <w:rFonts w:ascii="Arial" w:hAnsi="Arial" w:cs="Arial"/>
          <w:b/>
          <w:bCs/>
          <w:sz w:val="22"/>
          <w:szCs w:val="22"/>
        </w:rPr>
      </w:pPr>
      <w:r w:rsidRPr="00237207">
        <w:rPr>
          <w:rFonts w:ascii="Arial" w:hAnsi="Arial" w:cs="Arial"/>
          <w:b/>
          <w:bCs/>
          <w:sz w:val="22"/>
          <w:szCs w:val="22"/>
        </w:rPr>
        <w:t>2.6.1 Security Orchestration, Automation, and Response (SOAR)</w:t>
      </w:r>
    </w:p>
    <w:p w14:paraId="5B7280D7" w14:textId="77777777" w:rsidR="00237207" w:rsidRPr="00237207" w:rsidRDefault="00237207" w:rsidP="00237207">
      <w:pPr>
        <w:spacing w:before="60" w:line="360" w:lineRule="auto"/>
        <w:ind w:left="720"/>
        <w:jc w:val="both"/>
        <w:rPr>
          <w:rFonts w:ascii="Arial" w:hAnsi="Arial" w:cs="Arial"/>
          <w:sz w:val="22"/>
          <w:szCs w:val="22"/>
        </w:rPr>
      </w:pPr>
      <w:r w:rsidRPr="00237207">
        <w:rPr>
          <w:rFonts w:ascii="Arial" w:hAnsi="Arial" w:cs="Arial"/>
          <w:sz w:val="22"/>
          <w:szCs w:val="22"/>
        </w:rPr>
        <w:t xml:space="preserve">SOAR platforms streamline incident response by integrating security tools and reducing the Mean Time </w:t>
      </w:r>
      <w:proofErr w:type="gramStart"/>
      <w:r w:rsidRPr="00237207">
        <w:rPr>
          <w:rFonts w:ascii="Arial" w:hAnsi="Arial" w:cs="Arial"/>
          <w:sz w:val="22"/>
          <w:szCs w:val="22"/>
        </w:rPr>
        <w:t>To</w:t>
      </w:r>
      <w:proofErr w:type="gramEnd"/>
      <w:r w:rsidRPr="00237207">
        <w:rPr>
          <w:rFonts w:ascii="Arial" w:hAnsi="Arial" w:cs="Arial"/>
          <w:sz w:val="22"/>
          <w:szCs w:val="22"/>
        </w:rPr>
        <w:t xml:space="preserve"> Respond (MTTR). This automation is vital for meeting DORA and NIS2 timelines. Key capabilities include:</w:t>
      </w:r>
    </w:p>
    <w:p w14:paraId="52C59DA2" w14:textId="77777777" w:rsidR="00237207" w:rsidRPr="00237207" w:rsidRDefault="00237207" w:rsidP="00237207">
      <w:pPr>
        <w:numPr>
          <w:ilvl w:val="0"/>
          <w:numId w:val="37"/>
        </w:numPr>
        <w:tabs>
          <w:tab w:val="clear" w:pos="720"/>
          <w:tab w:val="num" w:pos="1440"/>
        </w:tabs>
        <w:spacing w:before="60" w:line="360" w:lineRule="auto"/>
        <w:ind w:left="1440"/>
        <w:jc w:val="both"/>
        <w:rPr>
          <w:rFonts w:ascii="Arial" w:hAnsi="Arial" w:cs="Arial"/>
          <w:sz w:val="22"/>
          <w:szCs w:val="22"/>
        </w:rPr>
      </w:pPr>
      <w:r w:rsidRPr="00237207">
        <w:rPr>
          <w:rFonts w:ascii="Arial" w:hAnsi="Arial" w:cs="Arial"/>
          <w:sz w:val="22"/>
          <w:szCs w:val="22"/>
        </w:rPr>
        <w:t>Automated Containment &amp; Remediation: Rapidly isolating compromised systems and initiating actions like patching or credential resets.</w:t>
      </w:r>
    </w:p>
    <w:p w14:paraId="023D2E6A" w14:textId="77777777" w:rsidR="00237207" w:rsidRPr="00237207" w:rsidRDefault="00237207" w:rsidP="00237207">
      <w:pPr>
        <w:numPr>
          <w:ilvl w:val="0"/>
          <w:numId w:val="37"/>
        </w:numPr>
        <w:tabs>
          <w:tab w:val="clear" w:pos="720"/>
          <w:tab w:val="num" w:pos="1440"/>
        </w:tabs>
        <w:spacing w:before="60" w:line="360" w:lineRule="auto"/>
        <w:ind w:left="1440"/>
        <w:jc w:val="both"/>
        <w:rPr>
          <w:rFonts w:ascii="Arial" w:hAnsi="Arial" w:cs="Arial"/>
          <w:sz w:val="22"/>
          <w:szCs w:val="22"/>
        </w:rPr>
      </w:pPr>
      <w:r w:rsidRPr="00237207">
        <w:rPr>
          <w:rFonts w:ascii="Arial" w:hAnsi="Arial" w:cs="Arial"/>
          <w:sz w:val="22"/>
          <w:szCs w:val="22"/>
        </w:rPr>
        <w:t>Data Collection &amp; Notification: Gathering forensic evidence and triggering stakeholder alerts according to predefined workflows. By orchestrating these tasks, SOAR allows security teams to focus on strategic analysis, enhancing operational resilience [2].</w:t>
      </w:r>
    </w:p>
    <w:p w14:paraId="002A54D4" w14:textId="77777777" w:rsidR="00237207" w:rsidRPr="00237207" w:rsidRDefault="00237207" w:rsidP="00237207">
      <w:pPr>
        <w:spacing w:before="60" w:line="360" w:lineRule="auto"/>
        <w:ind w:left="720"/>
        <w:jc w:val="both"/>
        <w:rPr>
          <w:rFonts w:ascii="Arial" w:hAnsi="Arial" w:cs="Arial"/>
          <w:b/>
          <w:bCs/>
          <w:sz w:val="22"/>
          <w:szCs w:val="22"/>
        </w:rPr>
      </w:pPr>
      <w:r w:rsidRPr="00237207">
        <w:rPr>
          <w:rFonts w:ascii="Arial" w:hAnsi="Arial" w:cs="Arial"/>
          <w:b/>
          <w:bCs/>
          <w:sz w:val="22"/>
          <w:szCs w:val="22"/>
        </w:rPr>
        <w:t>2.6.2 Incident Response Plans and Playbooks</w:t>
      </w:r>
    </w:p>
    <w:p w14:paraId="730504F5" w14:textId="77777777" w:rsidR="00237207" w:rsidRPr="00237207" w:rsidRDefault="00237207" w:rsidP="00237207">
      <w:pPr>
        <w:spacing w:before="60" w:line="360" w:lineRule="auto"/>
        <w:ind w:left="720"/>
        <w:jc w:val="both"/>
        <w:rPr>
          <w:rFonts w:ascii="Arial" w:hAnsi="Arial" w:cs="Arial"/>
          <w:sz w:val="22"/>
          <w:szCs w:val="22"/>
        </w:rPr>
      </w:pPr>
      <w:r w:rsidRPr="00237207">
        <w:rPr>
          <w:rFonts w:ascii="Arial" w:hAnsi="Arial" w:cs="Arial"/>
          <w:sz w:val="22"/>
          <w:szCs w:val="22"/>
        </w:rPr>
        <w:t xml:space="preserve">While SOAR provides automation, Incident Response (IR) plans offer strategic guidance by defining roles and procedures. DORA (Article 18) and NIS2 (Article 21) explicitly mandate robust incident handling. Regular simulations and tabletop exercises are necessary to validate these plans. Integrating IR strategies with SOAR </w:t>
      </w:r>
      <w:r w:rsidRPr="00237207">
        <w:rPr>
          <w:rFonts w:ascii="Arial" w:hAnsi="Arial" w:cs="Arial"/>
          <w:sz w:val="22"/>
          <w:szCs w:val="22"/>
        </w:rPr>
        <w:lastRenderedPageBreak/>
        <w:t>playbooks ensures that automated actions remain aligned with organisational policies and strict regulatory reporting requirements [6].</w:t>
      </w:r>
    </w:p>
    <w:p w14:paraId="229C27D5" w14:textId="77777777" w:rsidR="00237207" w:rsidRPr="00237207" w:rsidRDefault="00237207" w:rsidP="00237207">
      <w:pPr>
        <w:spacing w:before="60" w:line="360" w:lineRule="auto"/>
        <w:ind w:left="720"/>
        <w:jc w:val="both"/>
        <w:rPr>
          <w:rFonts w:ascii="Arial" w:hAnsi="Arial" w:cs="Arial"/>
          <w:b/>
          <w:bCs/>
          <w:sz w:val="22"/>
          <w:szCs w:val="22"/>
        </w:rPr>
      </w:pPr>
      <w:r w:rsidRPr="00237207">
        <w:rPr>
          <w:rFonts w:ascii="Arial" w:hAnsi="Arial" w:cs="Arial"/>
          <w:b/>
          <w:bCs/>
          <w:sz w:val="22"/>
          <w:szCs w:val="22"/>
        </w:rPr>
        <w:t>2.6.3 Disaster Recovery (DR) and Business Continuity Planning (BCP)</w:t>
      </w:r>
    </w:p>
    <w:p w14:paraId="5BB0D132" w14:textId="77777777" w:rsidR="00237207" w:rsidRPr="00237207" w:rsidRDefault="00237207" w:rsidP="00237207">
      <w:pPr>
        <w:spacing w:before="60" w:line="360" w:lineRule="auto"/>
        <w:ind w:left="720"/>
        <w:jc w:val="both"/>
        <w:rPr>
          <w:rFonts w:ascii="Arial" w:hAnsi="Arial" w:cs="Arial"/>
          <w:sz w:val="22"/>
          <w:szCs w:val="22"/>
        </w:rPr>
      </w:pPr>
      <w:r w:rsidRPr="00237207">
        <w:rPr>
          <w:rFonts w:ascii="Arial" w:hAnsi="Arial" w:cs="Arial"/>
          <w:sz w:val="22"/>
          <w:szCs w:val="22"/>
        </w:rPr>
        <w:t xml:space="preserve">DR and BCP are essential for maintaining service continuity, as required by DORA and NIS2. For </w:t>
      </w:r>
      <w:proofErr w:type="spellStart"/>
      <w:r w:rsidRPr="00237207">
        <w:rPr>
          <w:rFonts w:ascii="Arial" w:hAnsi="Arial" w:cs="Arial"/>
          <w:sz w:val="22"/>
          <w:szCs w:val="22"/>
        </w:rPr>
        <w:t>HealthTech</w:t>
      </w:r>
      <w:proofErr w:type="spellEnd"/>
      <w:r w:rsidRPr="00237207">
        <w:rPr>
          <w:rFonts w:ascii="Arial" w:hAnsi="Arial" w:cs="Arial"/>
          <w:sz w:val="22"/>
          <w:szCs w:val="22"/>
        </w:rPr>
        <w:t xml:space="preserve"> entities, this necessitates redundant systems, immutable backups, and dispersed recovery sites. Effective planning ensures that critical operations are restored within defined Recovery Time (RTO) and Recovery Point Objectives (RPO), safeguarding data integrity and ensuring compliance during catastrophic disruptions [8].</w:t>
      </w:r>
    </w:p>
    <w:p w14:paraId="29565B8F" w14:textId="77777777" w:rsidR="00237207" w:rsidRPr="00237207" w:rsidRDefault="00237207" w:rsidP="00237207">
      <w:pPr>
        <w:spacing w:before="60" w:line="360" w:lineRule="auto"/>
        <w:ind w:left="720"/>
        <w:jc w:val="both"/>
        <w:rPr>
          <w:rFonts w:ascii="Arial" w:hAnsi="Arial" w:cs="Arial"/>
          <w:b/>
          <w:bCs/>
          <w:sz w:val="22"/>
          <w:szCs w:val="22"/>
        </w:rPr>
      </w:pPr>
      <w:r w:rsidRPr="00237207">
        <w:rPr>
          <w:rFonts w:ascii="Arial" w:hAnsi="Arial" w:cs="Arial"/>
          <w:b/>
          <w:bCs/>
          <w:sz w:val="22"/>
          <w:szCs w:val="22"/>
        </w:rPr>
        <w:t>2.6.4 Post-Incident Review and Lessons Learned</w:t>
      </w:r>
    </w:p>
    <w:p w14:paraId="22659562" w14:textId="5BA35DB9" w:rsidR="004E4C14" w:rsidRPr="004E4C14" w:rsidRDefault="00237207" w:rsidP="00237207">
      <w:pPr>
        <w:spacing w:before="60" w:line="360" w:lineRule="auto"/>
        <w:ind w:left="720"/>
        <w:jc w:val="both"/>
        <w:rPr>
          <w:rFonts w:ascii="Arial" w:hAnsi="Arial" w:cs="Arial"/>
          <w:sz w:val="22"/>
          <w:szCs w:val="22"/>
        </w:rPr>
      </w:pPr>
      <w:r w:rsidRPr="00237207">
        <w:rPr>
          <w:rFonts w:ascii="Arial" w:hAnsi="Arial" w:cs="Arial"/>
          <w:sz w:val="22"/>
          <w:szCs w:val="22"/>
        </w:rPr>
        <w:t>Continuous improvement is a core requirement under DORA and NIS2. Post-incident reviews identify root causes and assess response efficacy through forensic evidence and control evaluation. By documenting these insights and updating security policies, organisations can adapt to evolving threats and demonstrate the level of accountability required by modern regulatory frameworks [9].</w:t>
      </w:r>
    </w:p>
    <w:p w14:paraId="7ADB1D61" w14:textId="77777777" w:rsidR="00991B96" w:rsidRDefault="00991B96" w:rsidP="0032374D">
      <w:pPr>
        <w:pStyle w:val="Heading2"/>
        <w:rPr>
          <w:rFonts w:ascii="Arial" w:hAnsi="Arial" w:cs="Arial"/>
          <w:sz w:val="28"/>
          <w:szCs w:val="28"/>
        </w:rPr>
      </w:pPr>
    </w:p>
    <w:p w14:paraId="1E998754" w14:textId="7D6DDD98" w:rsidR="00C520D6" w:rsidRPr="0032374D" w:rsidRDefault="00991B96" w:rsidP="0032374D">
      <w:pPr>
        <w:pStyle w:val="Heading2"/>
      </w:pPr>
      <w:bookmarkStart w:id="9" w:name="_Toc228040373"/>
      <w:r>
        <w:t>2</w:t>
      </w:r>
      <w:r w:rsidR="00C520D6" w:rsidRPr="0032374D">
        <w:t>.7 Critical Evaluation: Synergies, Tensions, and Implementation Barriers</w:t>
      </w:r>
      <w:bookmarkEnd w:id="9"/>
    </w:p>
    <w:p w14:paraId="70560324" w14:textId="77777777" w:rsidR="00237207" w:rsidRPr="00237207" w:rsidRDefault="00237207" w:rsidP="00237207">
      <w:pPr>
        <w:pStyle w:val="NormalWeb"/>
        <w:spacing w:line="360" w:lineRule="auto"/>
        <w:rPr>
          <w:rFonts w:ascii="Arial" w:hAnsi="Arial" w:cs="Arial"/>
          <w:sz w:val="22"/>
          <w:szCs w:val="22"/>
        </w:rPr>
      </w:pPr>
      <w:r w:rsidRPr="00237207">
        <w:rPr>
          <w:rFonts w:ascii="Arial" w:hAnsi="Arial" w:cs="Arial"/>
          <w:sz w:val="22"/>
          <w:szCs w:val="22"/>
        </w:rPr>
        <w:t>GDPR, DORA, and NIS2 collectively aim to fortify the EU’s digital security, yet their implementation reveals a complex interplay of strategic advantages and structural obstacles. While these mandates drive maturity, they simultaneously introduce barriers to achieving a seamless organisational resilience framework.</w:t>
      </w:r>
    </w:p>
    <w:p w14:paraId="2EC36162" w14:textId="77777777" w:rsidR="00237207" w:rsidRPr="00237207" w:rsidRDefault="00237207" w:rsidP="00237207">
      <w:pPr>
        <w:spacing w:line="360" w:lineRule="auto"/>
        <w:ind w:left="720"/>
        <w:rPr>
          <w:rFonts w:ascii="Arial" w:hAnsi="Arial" w:cs="Arial"/>
          <w:b/>
          <w:bCs/>
          <w:sz w:val="22"/>
          <w:szCs w:val="22"/>
        </w:rPr>
      </w:pPr>
      <w:r w:rsidRPr="00237207">
        <w:rPr>
          <w:rFonts w:ascii="Arial" w:hAnsi="Arial" w:cs="Arial"/>
          <w:b/>
          <w:bCs/>
          <w:sz w:val="22"/>
          <w:szCs w:val="22"/>
        </w:rPr>
        <w:t>2.7.1 Synergies and Enhanced Maturity</w:t>
      </w:r>
    </w:p>
    <w:p w14:paraId="187BB642" w14:textId="77777777" w:rsidR="00237207" w:rsidRPr="00237207" w:rsidRDefault="00237207" w:rsidP="00237207">
      <w:pPr>
        <w:pStyle w:val="NormalWeb"/>
        <w:spacing w:line="360" w:lineRule="auto"/>
        <w:ind w:left="720"/>
        <w:rPr>
          <w:rFonts w:ascii="Arial" w:hAnsi="Arial" w:cs="Arial"/>
          <w:sz w:val="22"/>
          <w:szCs w:val="22"/>
        </w:rPr>
      </w:pPr>
      <w:r w:rsidRPr="00237207">
        <w:rPr>
          <w:rFonts w:ascii="Arial" w:hAnsi="Arial" w:cs="Arial"/>
          <w:sz w:val="22"/>
          <w:szCs w:val="22"/>
        </w:rPr>
        <w:t>The primary synergy lies in the unified push for a risk-based security culture. By mandating rigorous assessments, incident response capabilities, and foundational technologies—such as IAM and encryption—the regulations establish a common language for digital risk [3]. Furthermore, the focus on third-party risk and management accountability elevates cybersecurity from a technical silo to a board-level strategic priority, strengthening the integrity of the broader supply chain ecosystem [5].</w:t>
      </w:r>
    </w:p>
    <w:p w14:paraId="5D0BCAA8" w14:textId="77777777" w:rsidR="00237207" w:rsidRPr="00237207" w:rsidRDefault="00237207" w:rsidP="00237207">
      <w:pPr>
        <w:ind w:left="720"/>
        <w:rPr>
          <w:rFonts w:ascii="Arial" w:hAnsi="Arial" w:cs="Arial"/>
          <w:b/>
          <w:bCs/>
          <w:sz w:val="22"/>
          <w:szCs w:val="22"/>
        </w:rPr>
      </w:pPr>
      <w:r w:rsidRPr="00237207">
        <w:rPr>
          <w:rFonts w:ascii="Arial" w:hAnsi="Arial" w:cs="Arial"/>
          <w:b/>
          <w:bCs/>
          <w:sz w:val="22"/>
          <w:szCs w:val="22"/>
        </w:rPr>
        <w:t>2.7.2 Tensions and Implementation Barriers</w:t>
      </w:r>
    </w:p>
    <w:p w14:paraId="286A7037" w14:textId="77777777" w:rsidR="00237207" w:rsidRPr="00237207" w:rsidRDefault="00237207" w:rsidP="00237207">
      <w:pPr>
        <w:pStyle w:val="NormalWeb"/>
        <w:spacing w:line="360" w:lineRule="auto"/>
        <w:ind w:left="720"/>
        <w:rPr>
          <w:rFonts w:ascii="Arial" w:hAnsi="Arial" w:cs="Arial"/>
          <w:sz w:val="22"/>
          <w:szCs w:val="22"/>
        </w:rPr>
      </w:pPr>
      <w:r w:rsidRPr="00237207">
        <w:rPr>
          <w:rFonts w:ascii="Arial" w:hAnsi="Arial" w:cs="Arial"/>
          <w:sz w:val="22"/>
          <w:szCs w:val="22"/>
        </w:rPr>
        <w:t>Despite evident synergies, several tensions complicate the path to unified resilience:</w:t>
      </w:r>
    </w:p>
    <w:p w14:paraId="165FB803" w14:textId="77777777" w:rsidR="00237207" w:rsidRPr="00237207" w:rsidRDefault="00237207" w:rsidP="00237207">
      <w:pPr>
        <w:pStyle w:val="py-0"/>
        <w:numPr>
          <w:ilvl w:val="0"/>
          <w:numId w:val="33"/>
        </w:numPr>
        <w:spacing w:line="360" w:lineRule="auto"/>
        <w:ind w:left="1440"/>
        <w:rPr>
          <w:rFonts w:ascii="Arial" w:hAnsi="Arial" w:cs="Arial"/>
          <w:sz w:val="22"/>
          <w:szCs w:val="22"/>
        </w:rPr>
      </w:pPr>
      <w:r w:rsidRPr="00237207">
        <w:rPr>
          <w:rStyle w:val="font-semibold"/>
          <w:rFonts w:ascii="Arial" w:eastAsiaTheme="majorEastAsia" w:hAnsi="Arial" w:cs="Arial"/>
          <w:sz w:val="22"/>
          <w:szCs w:val="22"/>
        </w:rPr>
        <w:lastRenderedPageBreak/>
        <w:t>Reporting Burden and Harmonisation Gaps:</w:t>
      </w:r>
      <w:r w:rsidRPr="00237207">
        <w:rPr>
          <w:rFonts w:ascii="Arial" w:hAnsi="Arial" w:cs="Arial"/>
          <w:sz w:val="22"/>
          <w:szCs w:val="22"/>
        </w:rPr>
        <w:t xml:space="preserve"> The absence of a unified reporting mechanism forces organisations to notify multiple authorities under conflicting timelines and formats. This fragmentation diverts critical resources from actual incident containment to administrative compliance [11].</w:t>
      </w:r>
    </w:p>
    <w:p w14:paraId="7123103F" w14:textId="77777777" w:rsidR="00237207" w:rsidRPr="00237207" w:rsidRDefault="00237207" w:rsidP="00237207">
      <w:pPr>
        <w:pStyle w:val="py-0"/>
        <w:numPr>
          <w:ilvl w:val="0"/>
          <w:numId w:val="33"/>
        </w:numPr>
        <w:spacing w:line="360" w:lineRule="auto"/>
        <w:ind w:left="1440"/>
        <w:rPr>
          <w:rFonts w:ascii="Arial" w:hAnsi="Arial" w:cs="Arial"/>
          <w:sz w:val="22"/>
          <w:szCs w:val="22"/>
        </w:rPr>
      </w:pPr>
      <w:r w:rsidRPr="00237207">
        <w:rPr>
          <w:rStyle w:val="font-semibold"/>
          <w:rFonts w:ascii="Arial" w:eastAsiaTheme="majorEastAsia" w:hAnsi="Arial" w:cs="Arial"/>
          <w:sz w:val="22"/>
          <w:szCs w:val="22"/>
        </w:rPr>
        <w:t>Scope and Sector Nuances:</w:t>
      </w:r>
      <w:r w:rsidRPr="00237207">
        <w:rPr>
          <w:rFonts w:ascii="Arial" w:hAnsi="Arial" w:cs="Arial"/>
          <w:sz w:val="22"/>
          <w:szCs w:val="22"/>
        </w:rPr>
        <w:t xml:space="preserve"> While NIS2 is broad, DORA remains </w:t>
      </w:r>
      <w:proofErr w:type="gramStart"/>
      <w:r w:rsidRPr="00237207">
        <w:rPr>
          <w:rFonts w:ascii="Arial" w:hAnsi="Arial" w:cs="Arial"/>
          <w:sz w:val="22"/>
          <w:szCs w:val="22"/>
        </w:rPr>
        <w:t>sector-specific</w:t>
      </w:r>
      <w:proofErr w:type="gramEnd"/>
      <w:r w:rsidRPr="00237207">
        <w:rPr>
          <w:rFonts w:ascii="Arial" w:hAnsi="Arial" w:cs="Arial"/>
          <w:sz w:val="22"/>
          <w:szCs w:val="22"/>
        </w:rPr>
        <w:t xml:space="preserve">. Entities operating across intersections (e.g., </w:t>
      </w:r>
      <w:proofErr w:type="spellStart"/>
      <w:r w:rsidRPr="00237207">
        <w:rPr>
          <w:rFonts w:ascii="Arial" w:hAnsi="Arial" w:cs="Arial"/>
          <w:sz w:val="22"/>
          <w:szCs w:val="22"/>
        </w:rPr>
        <w:t>FinTechs</w:t>
      </w:r>
      <w:proofErr w:type="spellEnd"/>
      <w:r w:rsidRPr="00237207">
        <w:rPr>
          <w:rFonts w:ascii="Arial" w:hAnsi="Arial" w:cs="Arial"/>
          <w:sz w:val="22"/>
          <w:szCs w:val="22"/>
        </w:rPr>
        <w:t xml:space="preserve"> with health data) face overlapping and sometimes inconsistent regulatory definitions, hindering the standardisation of resilience frameworks [2].</w:t>
      </w:r>
    </w:p>
    <w:p w14:paraId="693333D3" w14:textId="77777777" w:rsidR="00237207" w:rsidRPr="00237207" w:rsidRDefault="00237207" w:rsidP="00237207">
      <w:pPr>
        <w:pStyle w:val="py-0"/>
        <w:numPr>
          <w:ilvl w:val="0"/>
          <w:numId w:val="33"/>
        </w:numPr>
        <w:spacing w:line="360" w:lineRule="auto"/>
        <w:ind w:left="1440"/>
        <w:rPr>
          <w:rFonts w:ascii="Arial" w:hAnsi="Arial" w:cs="Arial"/>
          <w:sz w:val="22"/>
          <w:szCs w:val="22"/>
        </w:rPr>
      </w:pPr>
      <w:r w:rsidRPr="00237207">
        <w:rPr>
          <w:rStyle w:val="font-semibold"/>
          <w:rFonts w:ascii="Arial" w:eastAsiaTheme="majorEastAsia" w:hAnsi="Arial" w:cs="Arial"/>
          <w:sz w:val="22"/>
          <w:szCs w:val="22"/>
        </w:rPr>
        <w:t>Resource Constraints for SMEs:</w:t>
      </w:r>
      <w:r w:rsidRPr="00237207">
        <w:rPr>
          <w:rFonts w:ascii="Arial" w:hAnsi="Arial" w:cs="Arial"/>
          <w:sz w:val="22"/>
          <w:szCs w:val="22"/>
        </w:rPr>
        <w:t xml:space="preserve"> The costs associated with advanced testing (TLPT) and specialized personnel create a significant barrier for SMEs. This potentially creates a resilience gap between large enterprises and smaller, equally critical entities [7].</w:t>
      </w:r>
    </w:p>
    <w:p w14:paraId="6C5817EA" w14:textId="77777777" w:rsidR="00237207" w:rsidRPr="00237207" w:rsidRDefault="00237207" w:rsidP="00237207">
      <w:pPr>
        <w:pStyle w:val="py-0"/>
        <w:numPr>
          <w:ilvl w:val="0"/>
          <w:numId w:val="33"/>
        </w:numPr>
        <w:spacing w:line="360" w:lineRule="auto"/>
        <w:ind w:left="1440"/>
        <w:rPr>
          <w:rFonts w:ascii="Arial" w:hAnsi="Arial" w:cs="Arial"/>
          <w:sz w:val="22"/>
          <w:szCs w:val="22"/>
        </w:rPr>
      </w:pPr>
      <w:r w:rsidRPr="00237207">
        <w:rPr>
          <w:rStyle w:val="font-semibold"/>
          <w:rFonts w:ascii="Arial" w:eastAsiaTheme="majorEastAsia" w:hAnsi="Arial" w:cs="Arial"/>
          <w:sz w:val="22"/>
          <w:szCs w:val="22"/>
        </w:rPr>
        <w:t>Compliance vs. Security:</w:t>
      </w:r>
      <w:r w:rsidRPr="00237207">
        <w:rPr>
          <w:rFonts w:ascii="Arial" w:hAnsi="Arial" w:cs="Arial"/>
          <w:sz w:val="22"/>
          <w:szCs w:val="22"/>
        </w:rPr>
        <w:t xml:space="preserve"> A "check-the-box" mentality remains a major risk, where organisations prioritise regulatory checklists over adaptive security measures. Compliance establishes a baseline but does not guarantee protection against novel attack vectors [4].</w:t>
      </w:r>
    </w:p>
    <w:p w14:paraId="0CE58218" w14:textId="5289BF15" w:rsidR="004E4C14" w:rsidRPr="00237207" w:rsidRDefault="00237207" w:rsidP="00237207">
      <w:pPr>
        <w:pStyle w:val="py-0"/>
        <w:numPr>
          <w:ilvl w:val="0"/>
          <w:numId w:val="33"/>
        </w:numPr>
        <w:spacing w:line="360" w:lineRule="auto"/>
        <w:ind w:left="1440"/>
      </w:pPr>
      <w:r w:rsidRPr="00237207">
        <w:rPr>
          <w:rStyle w:val="font-semibold"/>
          <w:rFonts w:ascii="Arial" w:eastAsiaTheme="majorEastAsia" w:hAnsi="Arial" w:cs="Arial"/>
          <w:sz w:val="22"/>
          <w:szCs w:val="22"/>
        </w:rPr>
        <w:t>Third-Party Complexity:</w:t>
      </w:r>
      <w:r w:rsidRPr="00237207">
        <w:rPr>
          <w:rFonts w:ascii="Arial" w:hAnsi="Arial" w:cs="Arial"/>
          <w:sz w:val="22"/>
          <w:szCs w:val="22"/>
        </w:rPr>
        <w:t xml:space="preserve"> Robust oversight of vast supply chains is </w:t>
      </w:r>
      <w:proofErr w:type="gramStart"/>
      <w:r w:rsidRPr="00237207">
        <w:rPr>
          <w:rFonts w:ascii="Arial" w:hAnsi="Arial" w:cs="Arial"/>
          <w:sz w:val="22"/>
          <w:szCs w:val="22"/>
        </w:rPr>
        <w:t>resource-intensive</w:t>
      </w:r>
      <w:proofErr w:type="gramEnd"/>
      <w:r w:rsidRPr="00237207">
        <w:rPr>
          <w:rFonts w:ascii="Arial" w:hAnsi="Arial" w:cs="Arial"/>
          <w:sz w:val="22"/>
          <w:szCs w:val="22"/>
        </w:rPr>
        <w:t>. The lack of standardised frameworks for vendor assessment makes enforcing security-aligned contracts a persistent operational challenge [9]</w:t>
      </w:r>
      <w:r w:rsidRPr="00237207">
        <w:rPr>
          <w:rFonts w:ascii="Arial" w:hAnsi="Arial" w:cs="Arial"/>
          <w:sz w:val="22"/>
          <w:szCs w:val="22"/>
        </w:rPr>
        <w:t>.</w:t>
      </w:r>
    </w:p>
    <w:p w14:paraId="79A1D044" w14:textId="77777777" w:rsidR="00E95DB7" w:rsidRPr="00E95DB7" w:rsidRDefault="00E95DB7" w:rsidP="00E95DB7">
      <w:pPr>
        <w:pStyle w:val="ListParagraph"/>
        <w:spacing w:before="40" w:after="40" w:line="276" w:lineRule="auto"/>
        <w:contextualSpacing w:val="0"/>
        <w:rPr>
          <w:rFonts w:ascii="Arial" w:hAnsi="Arial" w:cs="Arial"/>
          <w:sz w:val="22"/>
          <w:szCs w:val="22"/>
        </w:rPr>
      </w:pPr>
    </w:p>
    <w:p w14:paraId="59CD5423" w14:textId="12AD7B5A" w:rsidR="00C520D6" w:rsidRPr="0032374D" w:rsidRDefault="00991B96" w:rsidP="0032374D">
      <w:pPr>
        <w:pStyle w:val="Heading2"/>
      </w:pPr>
      <w:bookmarkStart w:id="10" w:name="_Toc228040374"/>
      <w:r>
        <w:t>2</w:t>
      </w:r>
      <w:r w:rsidR="00C520D6" w:rsidRPr="0032374D">
        <w:t>.8 Conclusion to Task 1</w:t>
      </w:r>
      <w:bookmarkEnd w:id="10"/>
    </w:p>
    <w:p w14:paraId="4D9718E2" w14:textId="38A26334" w:rsidR="00237207" w:rsidRDefault="004E4C14" w:rsidP="00237207">
      <w:pPr>
        <w:spacing w:before="60" w:line="360" w:lineRule="auto"/>
        <w:jc w:val="both"/>
        <w:rPr>
          <w:rFonts w:ascii="Arial" w:hAnsi="Arial" w:cs="Arial"/>
          <w:sz w:val="22"/>
          <w:szCs w:val="22"/>
        </w:rPr>
      </w:pPr>
      <w:r w:rsidRPr="004E4C14">
        <w:rPr>
          <w:rFonts w:ascii="Arial" w:hAnsi="Arial" w:cs="Arial"/>
          <w:sz w:val="22"/>
          <w:szCs w:val="22"/>
        </w:rPr>
        <w:t>Navigating the fragmented regulatory landscape of GDPR, DORA, and NIS2 challenges organisations pursuing cyber resilience. By adopting a strategic approach, these regulations can enhance an organisation's ability to anticipate, protect, detect, and respond to threats. The synergies among these mandates, especially in promoting risk-based governance and robust security controls, elevate digital security standards. Despite ongoing issues like reporting fragmentation and resource constraints for SMEs, organisations should move beyond a compliance-only mindset. The future of cyber resilience lies in a unified framework that harmonises requirements, leverages automation, and fosters continuous improvement, transforming regulatory obligations into strategic advantages for safeguarding information assets and ensuring operational continuity.</w:t>
      </w:r>
    </w:p>
    <w:p w14:paraId="39100CAF" w14:textId="77777777" w:rsidR="00237207" w:rsidRPr="00237207" w:rsidRDefault="00237207" w:rsidP="00237207">
      <w:pPr>
        <w:spacing w:before="60" w:line="360" w:lineRule="auto"/>
        <w:jc w:val="both"/>
        <w:rPr>
          <w:sz w:val="22"/>
          <w:szCs w:val="22"/>
        </w:rPr>
      </w:pPr>
    </w:p>
    <w:p w14:paraId="35B602E0" w14:textId="4F676B95" w:rsidR="00656642" w:rsidRDefault="0063615D" w:rsidP="0063615D">
      <w:pPr>
        <w:pStyle w:val="Heading1"/>
        <w:rPr>
          <w:lang w:val="pt-BR"/>
        </w:rPr>
      </w:pPr>
      <w:bookmarkStart w:id="11" w:name="_Toc228040375"/>
      <w:r>
        <w:rPr>
          <w:lang w:val="pt-BR"/>
        </w:rPr>
        <w:lastRenderedPageBreak/>
        <w:t>3</w:t>
      </w:r>
      <w:r w:rsidRPr="00262CF0">
        <w:rPr>
          <w:lang w:val="pt-BR"/>
        </w:rPr>
        <w:t xml:space="preserve">. Task 2 – Case </w:t>
      </w:r>
      <w:proofErr w:type="spellStart"/>
      <w:r w:rsidRPr="00262CF0">
        <w:rPr>
          <w:lang w:val="pt-BR"/>
        </w:rPr>
        <w:t>Scenario</w:t>
      </w:r>
      <w:bookmarkEnd w:id="11"/>
      <w:proofErr w:type="spellEnd"/>
    </w:p>
    <w:p w14:paraId="4B1302E6" w14:textId="77777777" w:rsidR="0063615D" w:rsidRPr="0063615D" w:rsidRDefault="0063615D" w:rsidP="0063615D">
      <w:pPr>
        <w:rPr>
          <w:rFonts w:ascii="Arial" w:hAnsi="Arial" w:cs="Arial"/>
          <w:b/>
          <w:bCs/>
          <w:sz w:val="22"/>
          <w:szCs w:val="22"/>
        </w:rPr>
      </w:pPr>
      <w:r w:rsidRPr="0063615D">
        <w:rPr>
          <w:rFonts w:ascii="Arial" w:hAnsi="Arial" w:cs="Arial"/>
          <w:b/>
          <w:bCs/>
          <w:sz w:val="22"/>
          <w:szCs w:val="22"/>
        </w:rPr>
        <w:t xml:space="preserve">Zero-Trust-Aligned Security Programme for </w:t>
      </w:r>
      <w:proofErr w:type="spellStart"/>
      <w:r w:rsidRPr="0063615D">
        <w:rPr>
          <w:rFonts w:ascii="Arial" w:hAnsi="Arial" w:cs="Arial"/>
          <w:b/>
          <w:bCs/>
          <w:sz w:val="22"/>
          <w:szCs w:val="22"/>
        </w:rPr>
        <w:t>MediTrust</w:t>
      </w:r>
      <w:proofErr w:type="spellEnd"/>
      <w:r w:rsidRPr="0063615D">
        <w:rPr>
          <w:rFonts w:ascii="Arial" w:hAnsi="Arial" w:cs="Arial"/>
          <w:b/>
          <w:bCs/>
          <w:sz w:val="22"/>
          <w:szCs w:val="22"/>
        </w:rPr>
        <w:t xml:space="preserve"> Analytics Ltd: Design and Justification</w:t>
      </w:r>
    </w:p>
    <w:p w14:paraId="336304E0" w14:textId="5E5321E9" w:rsidR="0063615D" w:rsidRDefault="00CB3B27" w:rsidP="0063615D">
      <w:pPr>
        <w:spacing w:before="60" w:line="360" w:lineRule="auto"/>
        <w:jc w:val="both"/>
        <w:rPr>
          <w:rFonts w:ascii="Arial" w:hAnsi="Arial" w:cs="Arial"/>
          <w:sz w:val="22"/>
          <w:szCs w:val="22"/>
        </w:rPr>
      </w:pPr>
      <w:r w:rsidRPr="003B2BD8">
        <w:rPr>
          <w:rFonts w:ascii="Arial" w:hAnsi="Arial" w:cs="Arial"/>
          <w:sz w:val="22"/>
          <w:szCs w:val="22"/>
        </w:rPr>
        <w:t xml:space="preserve">This section outlines a Zero-Trust-aligned security programme for </w:t>
      </w:r>
      <w:proofErr w:type="spellStart"/>
      <w:r w:rsidRPr="003B2BD8">
        <w:rPr>
          <w:rFonts w:ascii="Arial" w:hAnsi="Arial" w:cs="Arial"/>
          <w:sz w:val="22"/>
          <w:szCs w:val="22"/>
        </w:rPr>
        <w:t>MediTrust</w:t>
      </w:r>
      <w:proofErr w:type="spellEnd"/>
      <w:r w:rsidRPr="003B2BD8">
        <w:rPr>
          <w:rFonts w:ascii="Arial" w:hAnsi="Arial" w:cs="Arial"/>
          <w:sz w:val="22"/>
          <w:szCs w:val="22"/>
        </w:rPr>
        <w:t xml:space="preserve"> Analytics Ltd, a </w:t>
      </w:r>
      <w:proofErr w:type="spellStart"/>
      <w:r w:rsidRPr="003B2BD8">
        <w:rPr>
          <w:rFonts w:ascii="Arial" w:hAnsi="Arial" w:cs="Arial"/>
          <w:sz w:val="22"/>
          <w:szCs w:val="22"/>
        </w:rPr>
        <w:t>HealthTech</w:t>
      </w:r>
      <w:proofErr w:type="spellEnd"/>
      <w:r w:rsidRPr="003B2BD8">
        <w:rPr>
          <w:rFonts w:ascii="Arial" w:hAnsi="Arial" w:cs="Arial"/>
          <w:sz w:val="22"/>
          <w:szCs w:val="22"/>
        </w:rPr>
        <w:t xml:space="preserve"> firm leveraging AI and ML to process sensitive patient data for clinical decision support. Operating in a high-risk sector, </w:t>
      </w:r>
      <w:proofErr w:type="spellStart"/>
      <w:r w:rsidRPr="003B2BD8">
        <w:rPr>
          <w:rFonts w:ascii="Arial" w:hAnsi="Arial" w:cs="Arial"/>
          <w:sz w:val="22"/>
          <w:szCs w:val="22"/>
        </w:rPr>
        <w:t>MediTrust</w:t>
      </w:r>
      <w:proofErr w:type="spellEnd"/>
      <w:r w:rsidRPr="003B2BD8">
        <w:rPr>
          <w:rFonts w:ascii="Arial" w:hAnsi="Arial" w:cs="Arial"/>
          <w:sz w:val="22"/>
          <w:szCs w:val="22"/>
        </w:rPr>
        <w:t xml:space="preserve"> must maintain robust data security and operational resilience to comply with GDPR, DORA, and the NIS2 Directive. The proposed programme is designed to ensure continuous compliance and protect intellectual property by establishing an environment that proactively anticipates, protects, detects, and responds to sophisticated cyber threats.</w:t>
      </w:r>
    </w:p>
    <w:p w14:paraId="71187E36" w14:textId="6D176573" w:rsidR="0063615D" w:rsidRPr="00262CF0" w:rsidRDefault="0063615D" w:rsidP="0063615D">
      <w:pPr>
        <w:pStyle w:val="Heading2"/>
      </w:pPr>
      <w:bookmarkStart w:id="12" w:name="_Toc228040376"/>
      <w:r>
        <w:t>3</w:t>
      </w:r>
      <w:r w:rsidRPr="00262CF0">
        <w:t>.1 Introduction to Task 2</w:t>
      </w:r>
      <w:bookmarkEnd w:id="12"/>
    </w:p>
    <w:p w14:paraId="53AED820" w14:textId="4500D18F" w:rsidR="0063615D" w:rsidRPr="0063615D" w:rsidRDefault="00CB3B27" w:rsidP="0063615D">
      <w:pPr>
        <w:spacing w:before="60" w:line="360" w:lineRule="auto"/>
        <w:jc w:val="both"/>
        <w:rPr>
          <w:rFonts w:ascii="Arial" w:hAnsi="Arial" w:cs="Arial"/>
          <w:sz w:val="22"/>
          <w:szCs w:val="22"/>
        </w:rPr>
      </w:pPr>
      <w:r w:rsidRPr="003B2BD8">
        <w:rPr>
          <w:rFonts w:ascii="Arial" w:hAnsi="Arial" w:cs="Arial"/>
          <w:sz w:val="22"/>
          <w:szCs w:val="22"/>
        </w:rPr>
        <w:t xml:space="preserve">The shift towards hybrid workforces and multi-cloud infrastructures necessitates a transition from traditional perimeter defence to an identity-centric, Zero-Trust Architecture (ZTA). Building upon the regulatory analysis in Task 1, this section designs a practical security framework for </w:t>
      </w:r>
      <w:proofErr w:type="spellStart"/>
      <w:r w:rsidRPr="003B2BD8">
        <w:rPr>
          <w:rFonts w:ascii="Arial" w:hAnsi="Arial" w:cs="Arial"/>
          <w:sz w:val="22"/>
          <w:szCs w:val="22"/>
        </w:rPr>
        <w:t>MediTrust</w:t>
      </w:r>
      <w:proofErr w:type="spellEnd"/>
      <w:r w:rsidRPr="003B2BD8">
        <w:rPr>
          <w:rFonts w:ascii="Arial" w:hAnsi="Arial" w:cs="Arial"/>
          <w:sz w:val="22"/>
          <w:szCs w:val="22"/>
        </w:rPr>
        <w:t xml:space="preserve"> Analytics Ltd. By adopting ZTA principles—assuming breach, verifying explicitly, and enforcing least privilege—the programme ensures the integrity and availability of critical medical data. This approach directly implements the "anticipate, protect, detect, and respond" framework essential for modern organisational cyber resilience [13]</w:t>
      </w:r>
      <w:r w:rsidRPr="0063615D">
        <w:rPr>
          <w:rFonts w:ascii="Arial" w:hAnsi="Arial" w:cs="Arial"/>
          <w:sz w:val="22"/>
          <w:szCs w:val="22"/>
        </w:rPr>
        <w:t>.</w:t>
      </w:r>
    </w:p>
    <w:p w14:paraId="0C07F62A" w14:textId="495439C4" w:rsidR="0063615D" w:rsidRPr="00262CF0" w:rsidRDefault="0063615D" w:rsidP="0063615D">
      <w:pPr>
        <w:pStyle w:val="Heading2"/>
      </w:pPr>
      <w:bookmarkStart w:id="13" w:name="_Toc228040377"/>
      <w:r>
        <w:t>3</w:t>
      </w:r>
      <w:r w:rsidRPr="00262CF0">
        <w:t>.2 Organisation Structure</w:t>
      </w:r>
      <w:bookmarkEnd w:id="13"/>
    </w:p>
    <w:p w14:paraId="69026535" w14:textId="77777777" w:rsidR="00CB3B27" w:rsidRPr="00CB3B27" w:rsidRDefault="0063615D" w:rsidP="00CB3B27">
      <w:pPr>
        <w:autoSpaceDE w:val="0"/>
        <w:autoSpaceDN w:val="0"/>
        <w:adjustRightInd w:val="0"/>
        <w:spacing w:after="240" w:line="360" w:lineRule="auto"/>
        <w:rPr>
          <w:rFonts w:ascii="Arial" w:hAnsi="Arial" w:cs="Arial"/>
          <w:kern w:val="0"/>
          <w:sz w:val="22"/>
          <w:szCs w:val="22"/>
        </w:rPr>
      </w:pPr>
      <w:proofErr w:type="spellStart"/>
      <w:r w:rsidRPr="00CB3B27">
        <w:rPr>
          <w:rFonts w:ascii="Arial" w:hAnsi="Arial" w:cs="Arial"/>
          <w:sz w:val="22"/>
          <w:szCs w:val="22"/>
        </w:rPr>
        <w:t>MediTrust</w:t>
      </w:r>
      <w:proofErr w:type="spellEnd"/>
      <w:r w:rsidRPr="00CB3B27">
        <w:rPr>
          <w:rFonts w:ascii="Arial" w:hAnsi="Arial" w:cs="Arial"/>
          <w:sz w:val="22"/>
          <w:szCs w:val="22"/>
        </w:rPr>
        <w:t xml:space="preserve"> </w:t>
      </w:r>
      <w:proofErr w:type="spellStart"/>
      <w:r w:rsidR="00CB3B27" w:rsidRPr="00CB3B27">
        <w:rPr>
          <w:rFonts w:ascii="Arial" w:hAnsi="Arial" w:cs="Arial"/>
          <w:kern w:val="0"/>
          <w:sz w:val="22"/>
          <w:szCs w:val="22"/>
        </w:rPr>
        <w:t>MediTrust</w:t>
      </w:r>
      <w:proofErr w:type="spellEnd"/>
      <w:r w:rsidR="00CB3B27" w:rsidRPr="00CB3B27">
        <w:rPr>
          <w:rFonts w:ascii="Arial" w:hAnsi="Arial" w:cs="Arial"/>
          <w:kern w:val="0"/>
          <w:sz w:val="22"/>
          <w:szCs w:val="22"/>
        </w:rPr>
        <w:t xml:space="preserve"> Analytics Ltd adopts an agile, cross-functional structure where security is a shared responsibility integrated into the business strategy. Led by a Chief Information Security Officer (CISO) reporting directly to the CEO, this structure ensures board-level visibility for cybersecurity. A dedicated Data Protection Officer (DPO) oversees GDPR compliance. To address modern threats and the complexity of AI/ML cloud operations, two strategic roles are introduced:</w:t>
      </w:r>
    </w:p>
    <w:p w14:paraId="1BF19891" w14:textId="77777777" w:rsidR="00CB3B27" w:rsidRPr="00CB3B27" w:rsidRDefault="00CB3B27" w:rsidP="00CB3B27">
      <w:pPr>
        <w:autoSpaceDE w:val="0"/>
        <w:autoSpaceDN w:val="0"/>
        <w:adjustRightInd w:val="0"/>
        <w:spacing w:after="0" w:line="360" w:lineRule="auto"/>
        <w:rPr>
          <w:rFonts w:ascii="Arial" w:hAnsi="Arial" w:cs="Arial"/>
          <w:kern w:val="0"/>
          <w:sz w:val="22"/>
          <w:szCs w:val="22"/>
        </w:rPr>
      </w:pPr>
    </w:p>
    <w:p w14:paraId="1E76C540" w14:textId="77777777" w:rsidR="00CB3B27" w:rsidRPr="00CB3B27" w:rsidRDefault="00CB3B27" w:rsidP="00CB3B27">
      <w:pPr>
        <w:pStyle w:val="ListParagraph"/>
        <w:numPr>
          <w:ilvl w:val="0"/>
          <w:numId w:val="36"/>
        </w:numPr>
        <w:tabs>
          <w:tab w:val="left" w:pos="220"/>
          <w:tab w:val="left" w:pos="720"/>
        </w:tabs>
        <w:autoSpaceDE w:val="0"/>
        <w:autoSpaceDN w:val="0"/>
        <w:adjustRightInd w:val="0"/>
        <w:spacing w:after="0" w:line="360" w:lineRule="auto"/>
        <w:rPr>
          <w:rFonts w:ascii="Arial" w:hAnsi="Arial" w:cs="Arial"/>
          <w:kern w:val="0"/>
          <w:sz w:val="22"/>
          <w:szCs w:val="22"/>
        </w:rPr>
      </w:pPr>
      <w:r w:rsidRPr="00CB3B27">
        <w:rPr>
          <w:rFonts w:ascii="Arial" w:hAnsi="Arial" w:cs="Arial"/>
          <w:kern w:val="0"/>
          <w:sz w:val="22"/>
          <w:szCs w:val="22"/>
        </w:rPr>
        <w:t xml:space="preserve">Cloud Security Architect: Leads the design of secure multi-cloud environments, ensuring ZTA principles and regulatory compliance (GDPR/DORA/NIS2) through tools like CSPM. This role is critical for securing </w:t>
      </w:r>
      <w:proofErr w:type="spellStart"/>
      <w:r w:rsidRPr="00CB3B27">
        <w:rPr>
          <w:rFonts w:ascii="Arial" w:hAnsi="Arial" w:cs="Arial"/>
          <w:kern w:val="0"/>
          <w:sz w:val="22"/>
          <w:szCs w:val="22"/>
        </w:rPr>
        <w:t>MediTrust’s</w:t>
      </w:r>
      <w:proofErr w:type="spellEnd"/>
      <w:r w:rsidRPr="00CB3B27">
        <w:rPr>
          <w:rFonts w:ascii="Arial" w:hAnsi="Arial" w:cs="Arial"/>
          <w:kern w:val="0"/>
          <w:sz w:val="22"/>
          <w:szCs w:val="22"/>
        </w:rPr>
        <w:t xml:space="preserve"> core AI-powered platforms.</w:t>
      </w:r>
    </w:p>
    <w:p w14:paraId="31A01A7D" w14:textId="1F489F1C" w:rsidR="0063615D" w:rsidRPr="00CB3B27" w:rsidRDefault="00CB3B27" w:rsidP="00CB3B27">
      <w:pPr>
        <w:pStyle w:val="ListParagraph"/>
        <w:numPr>
          <w:ilvl w:val="0"/>
          <w:numId w:val="36"/>
        </w:numPr>
        <w:tabs>
          <w:tab w:val="left" w:pos="220"/>
          <w:tab w:val="left" w:pos="720"/>
        </w:tabs>
        <w:autoSpaceDE w:val="0"/>
        <w:autoSpaceDN w:val="0"/>
        <w:adjustRightInd w:val="0"/>
        <w:spacing w:after="0" w:line="360" w:lineRule="auto"/>
        <w:rPr>
          <w:rFonts w:ascii="Arial" w:hAnsi="Arial" w:cs="Arial"/>
          <w:kern w:val="0"/>
          <w:sz w:val="22"/>
          <w:szCs w:val="22"/>
        </w:rPr>
      </w:pPr>
      <w:proofErr w:type="spellStart"/>
      <w:r w:rsidRPr="00CB3B27">
        <w:rPr>
          <w:rFonts w:ascii="Arial" w:hAnsi="Arial" w:cs="Arial"/>
          <w:kern w:val="0"/>
          <w:sz w:val="22"/>
          <w:szCs w:val="22"/>
        </w:rPr>
        <w:t>DevSecOps</w:t>
      </w:r>
      <w:proofErr w:type="spellEnd"/>
      <w:r w:rsidRPr="00CB3B27">
        <w:rPr>
          <w:rFonts w:ascii="Arial" w:hAnsi="Arial" w:cs="Arial"/>
          <w:kern w:val="0"/>
          <w:sz w:val="22"/>
          <w:szCs w:val="22"/>
        </w:rPr>
        <w:t xml:space="preserve"> Lead: Embeds a "security-by-design" approach within the software development lifecycle (SDLC). Responsibilities include automating security testing and managing vulnerabilities within AI/ML model deployment pipelines.</w:t>
      </w:r>
    </w:p>
    <w:p w14:paraId="41B44E35" w14:textId="77777777" w:rsidR="00CB3B27" w:rsidRPr="00CB3B27" w:rsidRDefault="00CB3B27" w:rsidP="00CB3B27">
      <w:pPr>
        <w:tabs>
          <w:tab w:val="left" w:pos="220"/>
          <w:tab w:val="left" w:pos="720"/>
        </w:tabs>
        <w:autoSpaceDE w:val="0"/>
        <w:autoSpaceDN w:val="0"/>
        <w:adjustRightInd w:val="0"/>
        <w:spacing w:after="0" w:line="240" w:lineRule="auto"/>
        <w:ind w:left="720"/>
        <w:rPr>
          <w:rFonts w:ascii="Times" w:hAnsi="Times" w:cs="Times"/>
          <w:kern w:val="0"/>
        </w:rPr>
      </w:pPr>
    </w:p>
    <w:p w14:paraId="66250539" w14:textId="77777777" w:rsidR="0063615D" w:rsidRPr="0063615D" w:rsidRDefault="0063615D" w:rsidP="0063615D">
      <w:pPr>
        <w:spacing w:before="60" w:line="360" w:lineRule="auto"/>
        <w:jc w:val="both"/>
        <w:rPr>
          <w:rFonts w:ascii="Arial" w:hAnsi="Arial" w:cs="Arial"/>
          <w:sz w:val="22"/>
          <w:szCs w:val="22"/>
        </w:rPr>
      </w:pPr>
      <w:r w:rsidRPr="0063615D">
        <w:rPr>
          <w:rFonts w:ascii="Arial" w:hAnsi="Arial" w:cs="Arial"/>
          <w:sz w:val="22"/>
          <w:szCs w:val="22"/>
        </w:rPr>
        <w:lastRenderedPageBreak/>
        <w:t xml:space="preserve">The following organogram illustrates the reporting lines and key security-related functions within </w:t>
      </w:r>
      <w:proofErr w:type="spellStart"/>
      <w:r w:rsidRPr="0063615D">
        <w:rPr>
          <w:rFonts w:ascii="Arial" w:hAnsi="Arial" w:cs="Arial"/>
          <w:sz w:val="22"/>
          <w:szCs w:val="22"/>
        </w:rPr>
        <w:t>MediTrust</w:t>
      </w:r>
      <w:proofErr w:type="spellEnd"/>
      <w:r w:rsidRPr="0063615D">
        <w:rPr>
          <w:rFonts w:ascii="Arial" w:hAnsi="Arial" w:cs="Arial"/>
          <w:sz w:val="22"/>
          <w:szCs w:val="22"/>
        </w:rPr>
        <w:t xml:space="preserve"> Analytics Ltd:</w:t>
      </w:r>
    </w:p>
    <w:p w14:paraId="06D33EAF" w14:textId="4DEC977E" w:rsidR="0063615D" w:rsidRPr="00262CF0" w:rsidRDefault="0063615D" w:rsidP="0063615D">
      <w:pPr>
        <w:spacing w:before="60" w:line="360" w:lineRule="auto"/>
        <w:jc w:val="both"/>
        <w:rPr>
          <w:rFonts w:ascii="Arial" w:hAnsi="Arial" w:cs="Arial"/>
          <w:sz w:val="22"/>
          <w:szCs w:val="22"/>
        </w:rPr>
      </w:pPr>
      <w:r>
        <w:rPr>
          <w:noProof/>
        </w:rPr>
        <w:drawing>
          <wp:inline distT="0" distB="0" distL="0" distR="0" wp14:anchorId="087CAC0C" wp14:editId="761698F7">
            <wp:extent cx="5731510" cy="3198715"/>
            <wp:effectExtent l="0" t="0" r="0" b="1905"/>
            <wp:docPr id="710356657" name="Picture 1" descr="A diagram of security un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356657" name="Picture 1" descr="A diagram of security uni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198715"/>
                    </a:xfrm>
                    <a:prstGeom prst="rect">
                      <a:avLst/>
                    </a:prstGeom>
                  </pic:spPr>
                </pic:pic>
              </a:graphicData>
            </a:graphic>
          </wp:inline>
        </w:drawing>
      </w:r>
    </w:p>
    <w:p w14:paraId="3819221B" w14:textId="795EEFAC" w:rsidR="0063615D" w:rsidRDefault="0063615D" w:rsidP="004D60B0">
      <w:pPr>
        <w:spacing w:line="360" w:lineRule="auto"/>
        <w:rPr>
          <w:rFonts w:ascii="Arial" w:hAnsi="Arial" w:cs="Arial"/>
          <w:sz w:val="22"/>
          <w:szCs w:val="22"/>
        </w:rPr>
      </w:pPr>
      <w:r w:rsidRPr="0063615D">
        <w:rPr>
          <w:rFonts w:ascii="Arial" w:hAnsi="Arial" w:cs="Arial"/>
          <w:sz w:val="22"/>
          <w:szCs w:val="22"/>
        </w:rPr>
        <w:t>This structure facilitates a top-down commitment to security, integrating it into both operational and developmental processes, which is crucial for maintaining compliance and resilience [14].</w:t>
      </w:r>
    </w:p>
    <w:p w14:paraId="2C7C7BE7" w14:textId="24C8D465" w:rsidR="0063615D" w:rsidRDefault="0063615D" w:rsidP="0063615D">
      <w:pPr>
        <w:pStyle w:val="Heading2"/>
      </w:pPr>
      <w:bookmarkStart w:id="14" w:name="_Toc228040378"/>
      <w:r>
        <w:t>3</w:t>
      </w:r>
      <w:r>
        <w:t>.3 Policies &amp; Procedures</w:t>
      </w:r>
      <w:bookmarkEnd w:id="14"/>
    </w:p>
    <w:p w14:paraId="699E4AA1" w14:textId="77777777" w:rsidR="0063615D" w:rsidRPr="0063615D" w:rsidRDefault="0063615D" w:rsidP="0063615D">
      <w:pPr>
        <w:rPr>
          <w:rFonts w:ascii="Arial" w:hAnsi="Arial" w:cs="Arial"/>
          <w:sz w:val="22"/>
          <w:szCs w:val="22"/>
        </w:rPr>
      </w:pPr>
      <w:r w:rsidRPr="0063615D">
        <w:rPr>
          <w:rFonts w:ascii="Arial" w:hAnsi="Arial" w:cs="Arial"/>
          <w:sz w:val="22"/>
          <w:szCs w:val="22"/>
        </w:rPr>
        <w:t xml:space="preserve">Robust policies and procedures are essential for an effective security program, translating strategic objectives into actionable guidelines. For </w:t>
      </w:r>
      <w:proofErr w:type="spellStart"/>
      <w:r w:rsidRPr="0063615D">
        <w:rPr>
          <w:rFonts w:ascii="Arial" w:hAnsi="Arial" w:cs="Arial"/>
          <w:sz w:val="22"/>
          <w:szCs w:val="22"/>
        </w:rPr>
        <w:t>MediTrust</w:t>
      </w:r>
      <w:proofErr w:type="spellEnd"/>
      <w:r w:rsidRPr="0063615D">
        <w:rPr>
          <w:rFonts w:ascii="Arial" w:hAnsi="Arial" w:cs="Arial"/>
          <w:sz w:val="22"/>
          <w:szCs w:val="22"/>
        </w:rPr>
        <w:t>, these policies address specific operational risks and regulatory mandates related to AI use, cloud services, and employee devices.</w:t>
      </w:r>
    </w:p>
    <w:p w14:paraId="57A86DC6" w14:textId="3C6AC74D" w:rsidR="00D54836" w:rsidRPr="00D54836" w:rsidRDefault="00D54836" w:rsidP="00A11890">
      <w:pPr>
        <w:spacing w:line="360" w:lineRule="auto"/>
        <w:ind w:left="720"/>
        <w:rPr>
          <w:rFonts w:ascii="Arial" w:hAnsi="Arial" w:cs="Arial"/>
          <w:b/>
          <w:bCs/>
          <w:sz w:val="22"/>
          <w:szCs w:val="22"/>
        </w:rPr>
      </w:pPr>
      <w:r w:rsidRPr="00D54836">
        <w:rPr>
          <w:rFonts w:ascii="Arial" w:hAnsi="Arial" w:cs="Arial"/>
          <w:b/>
          <w:bCs/>
          <w:sz w:val="22"/>
          <w:szCs w:val="22"/>
        </w:rPr>
        <w:t>3</w:t>
      </w:r>
      <w:r w:rsidRPr="00D54836">
        <w:rPr>
          <w:rFonts w:ascii="Arial" w:hAnsi="Arial" w:cs="Arial"/>
          <w:b/>
          <w:bCs/>
          <w:sz w:val="22"/>
          <w:szCs w:val="22"/>
        </w:rPr>
        <w:t>.3.1 AI Usage Policy</w:t>
      </w:r>
    </w:p>
    <w:p w14:paraId="738816E6" w14:textId="77777777" w:rsidR="00D54836" w:rsidRPr="00D54836" w:rsidRDefault="00D54836" w:rsidP="00A11890">
      <w:pPr>
        <w:spacing w:before="60" w:line="360" w:lineRule="auto"/>
        <w:ind w:left="720"/>
        <w:jc w:val="both"/>
        <w:rPr>
          <w:rFonts w:ascii="Arial" w:hAnsi="Arial" w:cs="Arial"/>
          <w:sz w:val="22"/>
          <w:szCs w:val="22"/>
        </w:rPr>
      </w:pPr>
      <w:r w:rsidRPr="00D54836">
        <w:rPr>
          <w:rFonts w:ascii="Arial" w:hAnsi="Arial" w:cs="Arial"/>
          <w:sz w:val="22"/>
          <w:szCs w:val="22"/>
        </w:rPr>
        <w:t xml:space="preserve">Given </w:t>
      </w:r>
      <w:proofErr w:type="spellStart"/>
      <w:r w:rsidRPr="00D54836">
        <w:rPr>
          <w:rFonts w:ascii="Arial" w:hAnsi="Arial" w:cs="Arial"/>
          <w:sz w:val="22"/>
          <w:szCs w:val="22"/>
        </w:rPr>
        <w:t>MediTrust's</w:t>
      </w:r>
      <w:proofErr w:type="spellEnd"/>
      <w:r w:rsidRPr="00D54836">
        <w:rPr>
          <w:rFonts w:ascii="Arial" w:hAnsi="Arial" w:cs="Arial"/>
          <w:sz w:val="22"/>
          <w:szCs w:val="22"/>
        </w:rPr>
        <w:t xml:space="preserve"> core business, an explicit AI Usage Policy is critical. This policy dictates the ethical and secure development, deployment, and monitoring of AI/ML models. It covers:</w:t>
      </w:r>
    </w:p>
    <w:p w14:paraId="46E36AD1" w14:textId="77777777" w:rsidR="00D54836" w:rsidRPr="00D54836" w:rsidRDefault="00D54836" w:rsidP="00A11890">
      <w:pPr>
        <w:pStyle w:val="ListParagraph"/>
        <w:numPr>
          <w:ilvl w:val="0"/>
          <w:numId w:val="34"/>
        </w:numPr>
        <w:spacing w:before="40" w:after="40" w:line="360" w:lineRule="auto"/>
        <w:ind w:left="1440"/>
        <w:contextualSpacing w:val="0"/>
        <w:rPr>
          <w:rFonts w:ascii="Arial" w:hAnsi="Arial" w:cs="Arial"/>
          <w:sz w:val="22"/>
          <w:szCs w:val="22"/>
        </w:rPr>
      </w:pPr>
      <w:r w:rsidRPr="00D54836">
        <w:rPr>
          <w:rFonts w:ascii="Arial" w:hAnsi="Arial" w:cs="Arial"/>
          <w:b/>
          <w:bCs/>
          <w:sz w:val="22"/>
          <w:szCs w:val="22"/>
        </w:rPr>
        <w:t>Data Governance for AI:</w:t>
      </w:r>
      <w:r w:rsidRPr="00D54836">
        <w:rPr>
          <w:rFonts w:ascii="Arial" w:hAnsi="Arial" w:cs="Arial"/>
          <w:sz w:val="22"/>
          <w:szCs w:val="22"/>
        </w:rPr>
        <w:t xml:space="preserve"> Strict guidelines for the collection, storage, processing, and anonymisation of training data, ensuring compliance with GDPR principles of data minimisation and purpose limitation.</w:t>
      </w:r>
    </w:p>
    <w:p w14:paraId="1D85B81B" w14:textId="77777777" w:rsidR="00D54836" w:rsidRPr="00D54836" w:rsidRDefault="00D54836" w:rsidP="00A11890">
      <w:pPr>
        <w:pStyle w:val="ListParagraph"/>
        <w:numPr>
          <w:ilvl w:val="0"/>
          <w:numId w:val="34"/>
        </w:numPr>
        <w:spacing w:before="40" w:after="40" w:line="360" w:lineRule="auto"/>
        <w:ind w:left="1440"/>
        <w:contextualSpacing w:val="0"/>
        <w:rPr>
          <w:rFonts w:ascii="Arial" w:hAnsi="Arial" w:cs="Arial"/>
          <w:sz w:val="22"/>
          <w:szCs w:val="22"/>
        </w:rPr>
      </w:pPr>
      <w:r w:rsidRPr="00D54836">
        <w:rPr>
          <w:rFonts w:ascii="Arial" w:hAnsi="Arial" w:cs="Arial"/>
          <w:b/>
          <w:bCs/>
          <w:sz w:val="22"/>
          <w:szCs w:val="22"/>
        </w:rPr>
        <w:t>Model Transparency and Explainability:</w:t>
      </w:r>
      <w:r w:rsidRPr="00D54836">
        <w:rPr>
          <w:rFonts w:ascii="Arial" w:hAnsi="Arial" w:cs="Arial"/>
          <w:sz w:val="22"/>
          <w:szCs w:val="22"/>
        </w:rPr>
        <w:t xml:space="preserve"> Requirements for documenting model architecture, training data, and decision-making processes to ensure accountability and auditability, especially for sensitive medical applications.</w:t>
      </w:r>
    </w:p>
    <w:p w14:paraId="2DF4B808" w14:textId="77777777" w:rsidR="00D54836" w:rsidRPr="00D54836" w:rsidRDefault="00D54836" w:rsidP="00A11890">
      <w:pPr>
        <w:pStyle w:val="ListParagraph"/>
        <w:numPr>
          <w:ilvl w:val="0"/>
          <w:numId w:val="34"/>
        </w:numPr>
        <w:spacing w:before="40" w:after="40" w:line="360" w:lineRule="auto"/>
        <w:ind w:left="1440"/>
        <w:contextualSpacing w:val="0"/>
        <w:rPr>
          <w:rFonts w:ascii="Arial" w:hAnsi="Arial" w:cs="Arial"/>
          <w:sz w:val="22"/>
          <w:szCs w:val="22"/>
        </w:rPr>
      </w:pPr>
      <w:r w:rsidRPr="00D54836">
        <w:rPr>
          <w:rFonts w:ascii="Arial" w:hAnsi="Arial" w:cs="Arial"/>
          <w:b/>
          <w:bCs/>
          <w:sz w:val="22"/>
          <w:szCs w:val="22"/>
        </w:rPr>
        <w:lastRenderedPageBreak/>
        <w:t>Bias Detection and Mitigation:</w:t>
      </w:r>
      <w:r w:rsidRPr="00D54836">
        <w:rPr>
          <w:rFonts w:ascii="Arial" w:hAnsi="Arial" w:cs="Arial"/>
          <w:sz w:val="22"/>
          <w:szCs w:val="22"/>
        </w:rPr>
        <w:t xml:space="preserve"> Procedures for regularly assessing and mitigating algorithmic bias to prevent discriminatory outcomes in healthcare analytics.</w:t>
      </w:r>
    </w:p>
    <w:p w14:paraId="2044C4AE" w14:textId="77777777" w:rsidR="00D54836" w:rsidRPr="00D54836" w:rsidRDefault="00D54836" w:rsidP="00A11890">
      <w:pPr>
        <w:pStyle w:val="ListParagraph"/>
        <w:numPr>
          <w:ilvl w:val="0"/>
          <w:numId w:val="34"/>
        </w:numPr>
        <w:spacing w:before="40" w:after="40" w:line="360" w:lineRule="auto"/>
        <w:ind w:left="1440"/>
        <w:contextualSpacing w:val="0"/>
        <w:rPr>
          <w:rFonts w:ascii="Arial" w:hAnsi="Arial" w:cs="Arial"/>
          <w:sz w:val="22"/>
          <w:szCs w:val="22"/>
        </w:rPr>
      </w:pPr>
      <w:r w:rsidRPr="00D54836">
        <w:rPr>
          <w:rFonts w:ascii="Arial" w:hAnsi="Arial" w:cs="Arial"/>
          <w:b/>
          <w:bCs/>
          <w:sz w:val="22"/>
          <w:szCs w:val="22"/>
        </w:rPr>
        <w:t>Secure AI Development Lifecycle:</w:t>
      </w:r>
      <w:r w:rsidRPr="00D54836">
        <w:rPr>
          <w:rFonts w:ascii="Arial" w:hAnsi="Arial" w:cs="Arial"/>
          <w:sz w:val="22"/>
          <w:szCs w:val="22"/>
        </w:rPr>
        <w:t xml:space="preserve"> Integration of security checks (e.g., adversarial attack testing, vulnerability scanning) throughout the AI/ML SDLC, from data ingestion to model deployment and inference [15].</w:t>
      </w:r>
    </w:p>
    <w:p w14:paraId="5F3C292B" w14:textId="77777777" w:rsidR="0063615D" w:rsidRDefault="0063615D" w:rsidP="00A11890">
      <w:pPr>
        <w:spacing w:line="360" w:lineRule="auto"/>
        <w:ind w:left="720"/>
        <w:rPr>
          <w:rFonts w:ascii="Arial" w:hAnsi="Arial" w:cs="Arial"/>
          <w:sz w:val="22"/>
          <w:szCs w:val="22"/>
        </w:rPr>
      </w:pPr>
    </w:p>
    <w:p w14:paraId="476880A0" w14:textId="5244DF81" w:rsidR="00D54836" w:rsidRPr="00D54836" w:rsidRDefault="00D54836" w:rsidP="00A11890">
      <w:pPr>
        <w:spacing w:line="360" w:lineRule="auto"/>
        <w:ind w:left="720"/>
        <w:rPr>
          <w:rFonts w:ascii="Arial" w:hAnsi="Arial" w:cs="Arial"/>
          <w:b/>
          <w:bCs/>
          <w:sz w:val="22"/>
          <w:szCs w:val="22"/>
        </w:rPr>
      </w:pPr>
      <w:r w:rsidRPr="00D54836">
        <w:rPr>
          <w:rFonts w:ascii="Arial" w:hAnsi="Arial" w:cs="Arial"/>
          <w:b/>
          <w:bCs/>
          <w:sz w:val="22"/>
          <w:szCs w:val="22"/>
        </w:rPr>
        <w:t>3</w:t>
      </w:r>
      <w:r w:rsidRPr="00D54836">
        <w:rPr>
          <w:rFonts w:ascii="Arial" w:hAnsi="Arial" w:cs="Arial"/>
          <w:b/>
          <w:bCs/>
          <w:sz w:val="22"/>
          <w:szCs w:val="22"/>
        </w:rPr>
        <w:t>.3.2 Secure SaaS Configuration Policy</w:t>
      </w:r>
    </w:p>
    <w:p w14:paraId="0F1B5CE2" w14:textId="77777777" w:rsidR="00D54836" w:rsidRPr="00D54836" w:rsidRDefault="00D54836" w:rsidP="00A11890">
      <w:pPr>
        <w:spacing w:before="60" w:line="360" w:lineRule="auto"/>
        <w:ind w:left="720"/>
        <w:jc w:val="both"/>
        <w:rPr>
          <w:rFonts w:ascii="Arial" w:hAnsi="Arial" w:cs="Arial"/>
          <w:sz w:val="22"/>
          <w:szCs w:val="22"/>
        </w:rPr>
      </w:pPr>
      <w:proofErr w:type="spellStart"/>
      <w:r w:rsidRPr="00D54836">
        <w:rPr>
          <w:rFonts w:ascii="Arial" w:hAnsi="Arial" w:cs="Arial"/>
          <w:sz w:val="22"/>
          <w:szCs w:val="22"/>
        </w:rPr>
        <w:t>MediTrust</w:t>
      </w:r>
      <w:proofErr w:type="spellEnd"/>
      <w:r w:rsidRPr="00D54836">
        <w:rPr>
          <w:rFonts w:ascii="Arial" w:hAnsi="Arial" w:cs="Arial"/>
          <w:sz w:val="22"/>
          <w:szCs w:val="22"/>
        </w:rPr>
        <w:t xml:space="preserve"> heavily relies on Software-as-a-Service (SaaS) platforms for various functions, including data storage, collaboration, and development. This policy ensures that all SaaS applications are configured securely from procurement to decommissioning:</w:t>
      </w:r>
    </w:p>
    <w:p w14:paraId="27C70D04" w14:textId="77777777" w:rsidR="00D54836" w:rsidRPr="00D54836" w:rsidRDefault="00D54836" w:rsidP="00A11890">
      <w:pPr>
        <w:pStyle w:val="ListParagraph"/>
        <w:numPr>
          <w:ilvl w:val="0"/>
          <w:numId w:val="34"/>
        </w:numPr>
        <w:spacing w:before="40" w:after="40" w:line="360" w:lineRule="auto"/>
        <w:ind w:left="1440"/>
        <w:contextualSpacing w:val="0"/>
        <w:rPr>
          <w:rFonts w:ascii="Arial" w:hAnsi="Arial" w:cs="Arial"/>
          <w:sz w:val="22"/>
          <w:szCs w:val="22"/>
        </w:rPr>
      </w:pPr>
      <w:r w:rsidRPr="00D54836">
        <w:rPr>
          <w:rFonts w:ascii="Arial" w:hAnsi="Arial" w:cs="Arial"/>
          <w:b/>
          <w:bCs/>
          <w:sz w:val="22"/>
          <w:szCs w:val="22"/>
        </w:rPr>
        <w:t>Vendor Assessment:</w:t>
      </w:r>
      <w:r w:rsidRPr="00D54836">
        <w:rPr>
          <w:rFonts w:ascii="Arial" w:hAnsi="Arial" w:cs="Arial"/>
          <w:sz w:val="22"/>
          <w:szCs w:val="22"/>
        </w:rPr>
        <w:t xml:space="preserve"> Due diligence process for evaluating SaaS providers' security posture, certifications (e.g., ISO 27001, SOC 2), and data processing agreements (DPAs) to ensure alignment with GDPR, DORA, and NIS2 requirements.</w:t>
      </w:r>
    </w:p>
    <w:p w14:paraId="1A4B0DCD" w14:textId="77777777" w:rsidR="00D54836" w:rsidRPr="00D54836" w:rsidRDefault="00D54836" w:rsidP="00A11890">
      <w:pPr>
        <w:pStyle w:val="ListParagraph"/>
        <w:numPr>
          <w:ilvl w:val="0"/>
          <w:numId w:val="34"/>
        </w:numPr>
        <w:spacing w:before="40" w:after="40" w:line="360" w:lineRule="auto"/>
        <w:ind w:left="1440"/>
        <w:contextualSpacing w:val="0"/>
        <w:rPr>
          <w:rFonts w:ascii="Arial" w:hAnsi="Arial" w:cs="Arial"/>
          <w:sz w:val="22"/>
          <w:szCs w:val="22"/>
        </w:rPr>
      </w:pPr>
      <w:r w:rsidRPr="00D54836">
        <w:rPr>
          <w:rFonts w:ascii="Arial" w:hAnsi="Arial" w:cs="Arial"/>
          <w:b/>
          <w:bCs/>
          <w:sz w:val="22"/>
          <w:szCs w:val="22"/>
        </w:rPr>
        <w:t>Least Privilege Access:</w:t>
      </w:r>
      <w:r w:rsidRPr="00D54836">
        <w:rPr>
          <w:rFonts w:ascii="Arial" w:hAnsi="Arial" w:cs="Arial"/>
          <w:sz w:val="22"/>
          <w:szCs w:val="22"/>
        </w:rPr>
        <w:t xml:space="preserve"> Enforcing the principle of least privilege for all user accounts and service accounts within SaaS applications, regularly reviewing and revoking unnecessary permissions.</w:t>
      </w:r>
    </w:p>
    <w:p w14:paraId="4C5D1F8E" w14:textId="77777777" w:rsidR="00D54836" w:rsidRPr="00D54836" w:rsidRDefault="00D54836" w:rsidP="00A11890">
      <w:pPr>
        <w:pStyle w:val="ListParagraph"/>
        <w:numPr>
          <w:ilvl w:val="0"/>
          <w:numId w:val="34"/>
        </w:numPr>
        <w:spacing w:before="40" w:after="40" w:line="360" w:lineRule="auto"/>
        <w:ind w:left="1440"/>
        <w:contextualSpacing w:val="0"/>
        <w:rPr>
          <w:rFonts w:ascii="Arial" w:hAnsi="Arial" w:cs="Arial"/>
          <w:sz w:val="22"/>
          <w:szCs w:val="22"/>
        </w:rPr>
      </w:pPr>
      <w:r w:rsidRPr="00D54836">
        <w:rPr>
          <w:rFonts w:ascii="Arial" w:hAnsi="Arial" w:cs="Arial"/>
          <w:b/>
          <w:bCs/>
          <w:sz w:val="22"/>
          <w:szCs w:val="22"/>
        </w:rPr>
        <w:t>Configuration Baselines:</w:t>
      </w:r>
      <w:r w:rsidRPr="00D54836">
        <w:rPr>
          <w:rFonts w:ascii="Arial" w:hAnsi="Arial" w:cs="Arial"/>
          <w:sz w:val="22"/>
          <w:szCs w:val="22"/>
        </w:rPr>
        <w:t xml:space="preserve"> Establishing and enforcing secure configuration baselines for all SaaS platforms, including strong authentication, encryption in transit and at rest, and audit logging.</w:t>
      </w:r>
    </w:p>
    <w:p w14:paraId="2B905943" w14:textId="77777777" w:rsidR="00D54836" w:rsidRPr="00D54836" w:rsidRDefault="00D54836" w:rsidP="00A11890">
      <w:pPr>
        <w:pStyle w:val="ListParagraph"/>
        <w:numPr>
          <w:ilvl w:val="0"/>
          <w:numId w:val="34"/>
        </w:numPr>
        <w:spacing w:before="40" w:after="40" w:line="360" w:lineRule="auto"/>
        <w:ind w:left="1440"/>
        <w:contextualSpacing w:val="0"/>
        <w:rPr>
          <w:rFonts w:ascii="Arial" w:hAnsi="Arial" w:cs="Arial"/>
          <w:sz w:val="22"/>
          <w:szCs w:val="22"/>
        </w:rPr>
      </w:pPr>
      <w:r w:rsidRPr="00D54836">
        <w:rPr>
          <w:rFonts w:ascii="Arial" w:hAnsi="Arial" w:cs="Arial"/>
          <w:b/>
          <w:bCs/>
          <w:sz w:val="22"/>
          <w:szCs w:val="22"/>
        </w:rPr>
        <w:t>Regular Audits and Reviews:</w:t>
      </w:r>
      <w:r w:rsidRPr="00D54836">
        <w:rPr>
          <w:rFonts w:ascii="Arial" w:hAnsi="Arial" w:cs="Arial"/>
          <w:sz w:val="22"/>
          <w:szCs w:val="22"/>
        </w:rPr>
        <w:t xml:space="preserve"> Scheduled reviews of SaaS configurations and access logs to detect and remediate misconfigurations or unauthorised activities [16].</w:t>
      </w:r>
    </w:p>
    <w:p w14:paraId="12724B16" w14:textId="77777777" w:rsidR="00D54836" w:rsidRDefault="00D54836" w:rsidP="00A11890">
      <w:pPr>
        <w:spacing w:line="360" w:lineRule="auto"/>
        <w:ind w:left="720"/>
        <w:rPr>
          <w:rFonts w:ascii="Arial" w:hAnsi="Arial" w:cs="Arial"/>
          <w:sz w:val="22"/>
          <w:szCs w:val="22"/>
        </w:rPr>
      </w:pPr>
    </w:p>
    <w:p w14:paraId="6431B278" w14:textId="61E641B2" w:rsidR="00526EE3" w:rsidRPr="00526EE3" w:rsidRDefault="00526EE3" w:rsidP="00A11890">
      <w:pPr>
        <w:spacing w:line="360" w:lineRule="auto"/>
        <w:ind w:left="720"/>
        <w:rPr>
          <w:rFonts w:ascii="Arial" w:hAnsi="Arial" w:cs="Arial"/>
          <w:b/>
          <w:bCs/>
          <w:sz w:val="22"/>
          <w:szCs w:val="22"/>
        </w:rPr>
      </w:pPr>
      <w:r w:rsidRPr="00526EE3">
        <w:rPr>
          <w:rFonts w:ascii="Arial" w:hAnsi="Arial" w:cs="Arial"/>
          <w:b/>
          <w:bCs/>
          <w:sz w:val="22"/>
          <w:szCs w:val="22"/>
        </w:rPr>
        <w:t>3</w:t>
      </w:r>
      <w:r w:rsidRPr="00526EE3">
        <w:rPr>
          <w:rFonts w:ascii="Arial" w:hAnsi="Arial" w:cs="Arial"/>
          <w:b/>
          <w:bCs/>
          <w:sz w:val="22"/>
          <w:szCs w:val="22"/>
        </w:rPr>
        <w:t>.3.3 Bring Your Own Device (BYOD) Policy</w:t>
      </w:r>
    </w:p>
    <w:p w14:paraId="619891B7" w14:textId="77777777" w:rsidR="00526EE3" w:rsidRPr="00526EE3" w:rsidRDefault="00526EE3" w:rsidP="00A11890">
      <w:pPr>
        <w:spacing w:before="60" w:line="360" w:lineRule="auto"/>
        <w:ind w:left="720"/>
        <w:jc w:val="both"/>
        <w:rPr>
          <w:rFonts w:ascii="Arial" w:hAnsi="Arial" w:cs="Arial"/>
          <w:sz w:val="22"/>
          <w:szCs w:val="22"/>
        </w:rPr>
      </w:pPr>
      <w:r w:rsidRPr="00526EE3">
        <w:rPr>
          <w:rFonts w:ascii="Arial" w:hAnsi="Arial" w:cs="Arial"/>
          <w:sz w:val="22"/>
          <w:szCs w:val="22"/>
        </w:rPr>
        <w:t xml:space="preserve">While </w:t>
      </w:r>
      <w:proofErr w:type="spellStart"/>
      <w:r w:rsidRPr="00526EE3">
        <w:rPr>
          <w:rFonts w:ascii="Arial" w:hAnsi="Arial" w:cs="Arial"/>
          <w:sz w:val="22"/>
          <w:szCs w:val="22"/>
        </w:rPr>
        <w:t>MediTrust</w:t>
      </w:r>
      <w:proofErr w:type="spellEnd"/>
      <w:r w:rsidRPr="00526EE3">
        <w:rPr>
          <w:rFonts w:ascii="Arial" w:hAnsi="Arial" w:cs="Arial"/>
          <w:sz w:val="22"/>
          <w:szCs w:val="22"/>
        </w:rPr>
        <w:t xml:space="preserve"> prioritises corporate-issued devices, a BYOD policy is necessary for specific roles or exceptional circumstances, ensuring that personal devices accessing corporate resources do not introduce undue risk:</w:t>
      </w:r>
    </w:p>
    <w:p w14:paraId="351AF771" w14:textId="77777777" w:rsidR="00526EE3" w:rsidRPr="00526EE3" w:rsidRDefault="00526EE3" w:rsidP="00A11890">
      <w:pPr>
        <w:pStyle w:val="ListParagraph"/>
        <w:numPr>
          <w:ilvl w:val="0"/>
          <w:numId w:val="34"/>
        </w:numPr>
        <w:spacing w:before="40" w:after="40" w:line="360" w:lineRule="auto"/>
        <w:ind w:left="1440"/>
        <w:contextualSpacing w:val="0"/>
        <w:rPr>
          <w:rFonts w:ascii="Arial" w:hAnsi="Arial" w:cs="Arial"/>
          <w:sz w:val="22"/>
          <w:szCs w:val="22"/>
        </w:rPr>
      </w:pPr>
      <w:r w:rsidRPr="00526EE3">
        <w:rPr>
          <w:rFonts w:ascii="Arial" w:hAnsi="Arial" w:cs="Arial"/>
          <w:b/>
          <w:bCs/>
          <w:sz w:val="22"/>
          <w:szCs w:val="22"/>
        </w:rPr>
        <w:t>Device Security Requirements:</w:t>
      </w:r>
      <w:r w:rsidRPr="00526EE3">
        <w:rPr>
          <w:rFonts w:ascii="Arial" w:hAnsi="Arial" w:cs="Arial"/>
          <w:sz w:val="22"/>
          <w:szCs w:val="22"/>
        </w:rPr>
        <w:t xml:space="preserve"> Mandating minimum security controls on personal devices, such as strong passwords/biometrics, up-to-date operating systems, antivirus software, and device encryption.</w:t>
      </w:r>
    </w:p>
    <w:p w14:paraId="66937B59" w14:textId="77777777" w:rsidR="00526EE3" w:rsidRPr="00526EE3" w:rsidRDefault="00526EE3" w:rsidP="00A11890">
      <w:pPr>
        <w:pStyle w:val="ListParagraph"/>
        <w:numPr>
          <w:ilvl w:val="0"/>
          <w:numId w:val="34"/>
        </w:numPr>
        <w:spacing w:before="40" w:after="40" w:line="360" w:lineRule="auto"/>
        <w:ind w:left="1440"/>
        <w:contextualSpacing w:val="0"/>
        <w:rPr>
          <w:rFonts w:ascii="Arial" w:hAnsi="Arial" w:cs="Arial"/>
          <w:sz w:val="22"/>
          <w:szCs w:val="22"/>
        </w:rPr>
      </w:pPr>
      <w:r w:rsidRPr="00526EE3">
        <w:rPr>
          <w:rFonts w:ascii="Arial" w:hAnsi="Arial" w:cs="Arial"/>
          <w:b/>
          <w:bCs/>
          <w:sz w:val="22"/>
          <w:szCs w:val="22"/>
        </w:rPr>
        <w:lastRenderedPageBreak/>
        <w:t>Data Segregation:</w:t>
      </w:r>
      <w:r w:rsidRPr="00526EE3">
        <w:rPr>
          <w:rFonts w:ascii="Arial" w:hAnsi="Arial" w:cs="Arial"/>
          <w:sz w:val="22"/>
          <w:szCs w:val="22"/>
        </w:rPr>
        <w:t xml:space="preserve"> Implementing Mobile Device Management (MDM) or Mobile Application Management (MAM) solutions to segregate corporate data and applications from personal data, preventing data leakage.</w:t>
      </w:r>
    </w:p>
    <w:p w14:paraId="42EFE23E" w14:textId="77777777" w:rsidR="00526EE3" w:rsidRPr="00526EE3" w:rsidRDefault="00526EE3" w:rsidP="00A11890">
      <w:pPr>
        <w:pStyle w:val="ListParagraph"/>
        <w:numPr>
          <w:ilvl w:val="0"/>
          <w:numId w:val="34"/>
        </w:numPr>
        <w:spacing w:before="40" w:after="40" w:line="360" w:lineRule="auto"/>
        <w:ind w:left="1440"/>
        <w:contextualSpacing w:val="0"/>
        <w:rPr>
          <w:rFonts w:ascii="Arial" w:hAnsi="Arial" w:cs="Arial"/>
          <w:sz w:val="22"/>
          <w:szCs w:val="22"/>
        </w:rPr>
      </w:pPr>
      <w:r w:rsidRPr="00526EE3">
        <w:rPr>
          <w:rFonts w:ascii="Arial" w:hAnsi="Arial" w:cs="Arial"/>
          <w:b/>
          <w:bCs/>
          <w:sz w:val="22"/>
          <w:szCs w:val="22"/>
        </w:rPr>
        <w:t>Acceptable Use:</w:t>
      </w:r>
      <w:r w:rsidRPr="00526EE3">
        <w:rPr>
          <w:rFonts w:ascii="Arial" w:hAnsi="Arial" w:cs="Arial"/>
          <w:sz w:val="22"/>
          <w:szCs w:val="22"/>
        </w:rPr>
        <w:t xml:space="preserve"> Clear guidelines on acceptable use of personal devices for work purposes, prohibiting the storage of sensitive corporate data on unmanaged personal storage.</w:t>
      </w:r>
    </w:p>
    <w:p w14:paraId="07C7475C" w14:textId="77777777" w:rsidR="00526EE3" w:rsidRPr="00526EE3" w:rsidRDefault="00526EE3" w:rsidP="00A11890">
      <w:pPr>
        <w:pStyle w:val="ListParagraph"/>
        <w:numPr>
          <w:ilvl w:val="0"/>
          <w:numId w:val="34"/>
        </w:numPr>
        <w:spacing w:before="40" w:after="40" w:line="360" w:lineRule="auto"/>
        <w:ind w:left="1440"/>
        <w:contextualSpacing w:val="0"/>
        <w:rPr>
          <w:rFonts w:ascii="Arial" w:hAnsi="Arial" w:cs="Arial"/>
          <w:sz w:val="22"/>
          <w:szCs w:val="22"/>
        </w:rPr>
      </w:pPr>
      <w:r w:rsidRPr="00526EE3">
        <w:rPr>
          <w:rFonts w:ascii="Arial" w:hAnsi="Arial" w:cs="Arial"/>
          <w:b/>
          <w:bCs/>
          <w:sz w:val="22"/>
          <w:szCs w:val="22"/>
        </w:rPr>
        <w:t>Remote Wipe Capability:</w:t>
      </w:r>
      <w:r w:rsidRPr="00526EE3">
        <w:rPr>
          <w:rFonts w:ascii="Arial" w:hAnsi="Arial" w:cs="Arial"/>
          <w:sz w:val="22"/>
          <w:szCs w:val="22"/>
        </w:rPr>
        <w:t xml:space="preserve"> The ability to remotely wipe corporate data from a lost or stolen personal device [17].</w:t>
      </w:r>
    </w:p>
    <w:p w14:paraId="65F4EE38" w14:textId="77777777" w:rsidR="00526EE3" w:rsidRDefault="00526EE3" w:rsidP="00D54836">
      <w:pPr>
        <w:spacing w:line="360" w:lineRule="auto"/>
        <w:rPr>
          <w:rFonts w:ascii="Arial" w:hAnsi="Arial" w:cs="Arial"/>
          <w:sz w:val="22"/>
          <w:szCs w:val="22"/>
        </w:rPr>
      </w:pPr>
    </w:p>
    <w:p w14:paraId="7BBB8A1B" w14:textId="4FDEE81F" w:rsidR="00526EE3" w:rsidRDefault="00526EE3" w:rsidP="00526EE3">
      <w:pPr>
        <w:pStyle w:val="Heading2"/>
      </w:pPr>
      <w:bookmarkStart w:id="15" w:name="_Toc228040379"/>
      <w:r>
        <w:t>3</w:t>
      </w:r>
      <w:r>
        <w:t>.4 Compliance with DORA/NIS2</w:t>
      </w:r>
      <w:bookmarkEnd w:id="15"/>
    </w:p>
    <w:p w14:paraId="64AE2C44" w14:textId="77777777" w:rsidR="00526EE3" w:rsidRPr="00526EE3" w:rsidRDefault="00526EE3" w:rsidP="00526EE3">
      <w:pPr>
        <w:spacing w:before="60" w:line="360" w:lineRule="auto"/>
        <w:jc w:val="both"/>
        <w:rPr>
          <w:rFonts w:ascii="Arial" w:hAnsi="Arial" w:cs="Arial"/>
          <w:sz w:val="22"/>
          <w:szCs w:val="22"/>
        </w:rPr>
      </w:pPr>
      <w:proofErr w:type="spellStart"/>
      <w:r w:rsidRPr="00526EE3">
        <w:rPr>
          <w:rFonts w:ascii="Arial" w:hAnsi="Arial" w:cs="Arial"/>
          <w:sz w:val="22"/>
          <w:szCs w:val="22"/>
        </w:rPr>
        <w:t>MediTrust</w:t>
      </w:r>
      <w:proofErr w:type="spellEnd"/>
      <w:r w:rsidRPr="00526EE3">
        <w:rPr>
          <w:rFonts w:ascii="Arial" w:hAnsi="Arial" w:cs="Arial"/>
          <w:sz w:val="22"/>
          <w:szCs w:val="22"/>
        </w:rPr>
        <w:t xml:space="preserve"> Analytics Ltd, a key player in healthcare analytics, falls under DORA and NIS2, requiring strong operational resilience and cybersecurity frameworks. Although DORA focuses on the financial sector, its ICT risk management principles are applicable to other critical sectors, particularly those managing sensitive data. NIS2 mandates improved cybersecurity specifically for healthcare entities.</w:t>
      </w:r>
    </w:p>
    <w:p w14:paraId="08E525B7" w14:textId="4E74417A" w:rsidR="00526EE3" w:rsidRPr="00526EE3" w:rsidRDefault="006E5869" w:rsidP="00093287">
      <w:pPr>
        <w:spacing w:line="360" w:lineRule="auto"/>
        <w:ind w:left="720"/>
        <w:rPr>
          <w:rFonts w:ascii="Arial" w:hAnsi="Arial" w:cs="Arial"/>
          <w:b/>
          <w:bCs/>
          <w:sz w:val="22"/>
          <w:szCs w:val="22"/>
        </w:rPr>
      </w:pPr>
      <w:r>
        <w:rPr>
          <w:rFonts w:ascii="Arial" w:hAnsi="Arial" w:cs="Arial"/>
          <w:b/>
          <w:bCs/>
          <w:sz w:val="22"/>
          <w:szCs w:val="22"/>
        </w:rPr>
        <w:t>3</w:t>
      </w:r>
      <w:r w:rsidR="00526EE3" w:rsidRPr="00526EE3">
        <w:rPr>
          <w:rFonts w:ascii="Arial" w:hAnsi="Arial" w:cs="Arial"/>
          <w:b/>
          <w:bCs/>
          <w:sz w:val="22"/>
          <w:szCs w:val="22"/>
        </w:rPr>
        <w:t>.4.1 DORA Alignment (Principles)</w:t>
      </w:r>
    </w:p>
    <w:p w14:paraId="59E49E5E" w14:textId="77777777" w:rsidR="00526EE3" w:rsidRPr="00526EE3" w:rsidRDefault="00526EE3" w:rsidP="00093287">
      <w:pPr>
        <w:spacing w:before="60" w:line="360" w:lineRule="auto"/>
        <w:ind w:left="720"/>
        <w:jc w:val="both"/>
        <w:rPr>
          <w:rFonts w:ascii="Arial" w:hAnsi="Arial" w:cs="Arial"/>
          <w:sz w:val="22"/>
          <w:szCs w:val="22"/>
        </w:rPr>
      </w:pPr>
      <w:r w:rsidRPr="00526EE3">
        <w:rPr>
          <w:rFonts w:ascii="Arial" w:hAnsi="Arial" w:cs="Arial"/>
          <w:sz w:val="22"/>
          <w:szCs w:val="22"/>
        </w:rPr>
        <w:t xml:space="preserve">Although </w:t>
      </w:r>
      <w:proofErr w:type="spellStart"/>
      <w:r w:rsidRPr="00526EE3">
        <w:rPr>
          <w:rFonts w:ascii="Arial" w:hAnsi="Arial" w:cs="Arial"/>
          <w:sz w:val="22"/>
          <w:szCs w:val="22"/>
        </w:rPr>
        <w:t>MediTrust</w:t>
      </w:r>
      <w:proofErr w:type="spellEnd"/>
      <w:r w:rsidRPr="00526EE3">
        <w:rPr>
          <w:rFonts w:ascii="Arial" w:hAnsi="Arial" w:cs="Arial"/>
          <w:sz w:val="22"/>
          <w:szCs w:val="22"/>
        </w:rPr>
        <w:t xml:space="preserve"> is not a financial entity, the principles of DORA provide an excellent blueprint for managing ICT risk and ensuring operational resilience. </w:t>
      </w:r>
      <w:proofErr w:type="spellStart"/>
      <w:r w:rsidRPr="00526EE3">
        <w:rPr>
          <w:rFonts w:ascii="Arial" w:hAnsi="Arial" w:cs="Arial"/>
          <w:sz w:val="22"/>
          <w:szCs w:val="22"/>
        </w:rPr>
        <w:t>MediTrust</w:t>
      </w:r>
      <w:proofErr w:type="spellEnd"/>
      <w:r w:rsidRPr="00526EE3">
        <w:rPr>
          <w:rFonts w:ascii="Arial" w:hAnsi="Arial" w:cs="Arial"/>
          <w:sz w:val="22"/>
          <w:szCs w:val="22"/>
        </w:rPr>
        <w:t xml:space="preserve"> will adopt DORA's five pillars:</w:t>
      </w:r>
    </w:p>
    <w:p w14:paraId="329C6187" w14:textId="77777777" w:rsidR="00526EE3" w:rsidRPr="00526EE3" w:rsidRDefault="00526EE3" w:rsidP="00093287">
      <w:pPr>
        <w:pStyle w:val="ListParagraph"/>
        <w:numPr>
          <w:ilvl w:val="0"/>
          <w:numId w:val="34"/>
        </w:numPr>
        <w:spacing w:before="40" w:after="40" w:line="360" w:lineRule="auto"/>
        <w:ind w:left="1440"/>
        <w:contextualSpacing w:val="0"/>
        <w:rPr>
          <w:rFonts w:ascii="Arial" w:hAnsi="Arial" w:cs="Arial"/>
          <w:sz w:val="22"/>
          <w:szCs w:val="22"/>
        </w:rPr>
      </w:pPr>
      <w:r w:rsidRPr="00526EE3">
        <w:rPr>
          <w:rFonts w:ascii="Arial" w:hAnsi="Arial" w:cs="Arial"/>
          <w:b/>
          <w:bCs/>
          <w:sz w:val="22"/>
          <w:szCs w:val="22"/>
        </w:rPr>
        <w:t>ICT Risk Management Framework:</w:t>
      </w:r>
      <w:r w:rsidRPr="00526EE3">
        <w:rPr>
          <w:rFonts w:ascii="Arial" w:hAnsi="Arial" w:cs="Arial"/>
          <w:sz w:val="22"/>
          <w:szCs w:val="22"/>
        </w:rPr>
        <w:t xml:space="preserve"> Establishing a comprehensive framework to identify, classify, document, and manage ICT risks, including those related to AI/ML systems and third-party providers.</w:t>
      </w:r>
    </w:p>
    <w:p w14:paraId="345648AB" w14:textId="77777777" w:rsidR="00526EE3" w:rsidRPr="00526EE3" w:rsidRDefault="00526EE3" w:rsidP="00093287">
      <w:pPr>
        <w:pStyle w:val="ListParagraph"/>
        <w:numPr>
          <w:ilvl w:val="0"/>
          <w:numId w:val="34"/>
        </w:numPr>
        <w:spacing w:before="40" w:after="40" w:line="360" w:lineRule="auto"/>
        <w:ind w:left="1440"/>
        <w:contextualSpacing w:val="0"/>
        <w:rPr>
          <w:rFonts w:ascii="Arial" w:hAnsi="Arial" w:cs="Arial"/>
          <w:sz w:val="22"/>
          <w:szCs w:val="22"/>
        </w:rPr>
      </w:pPr>
      <w:r w:rsidRPr="00526EE3">
        <w:rPr>
          <w:rFonts w:ascii="Arial" w:hAnsi="Arial" w:cs="Arial"/>
          <w:b/>
          <w:bCs/>
          <w:sz w:val="22"/>
          <w:szCs w:val="22"/>
        </w:rPr>
        <w:t>ICT-Related Incident Management:</w:t>
      </w:r>
      <w:r w:rsidRPr="00526EE3">
        <w:rPr>
          <w:rFonts w:ascii="Arial" w:hAnsi="Arial" w:cs="Arial"/>
          <w:sz w:val="22"/>
          <w:szCs w:val="22"/>
        </w:rPr>
        <w:t xml:space="preserve"> Developing robust processes for detecting, managing, and reporting ICT-related incidents, with clear communication protocols for internal stakeholders and relevant authorities.</w:t>
      </w:r>
    </w:p>
    <w:p w14:paraId="6D2E8CAE" w14:textId="77777777" w:rsidR="00526EE3" w:rsidRPr="00526EE3" w:rsidRDefault="00526EE3" w:rsidP="00093287">
      <w:pPr>
        <w:pStyle w:val="ListParagraph"/>
        <w:numPr>
          <w:ilvl w:val="0"/>
          <w:numId w:val="34"/>
        </w:numPr>
        <w:spacing w:before="40" w:after="40" w:line="360" w:lineRule="auto"/>
        <w:ind w:left="1440"/>
        <w:contextualSpacing w:val="0"/>
        <w:rPr>
          <w:rFonts w:ascii="Arial" w:hAnsi="Arial" w:cs="Arial"/>
          <w:sz w:val="22"/>
          <w:szCs w:val="22"/>
        </w:rPr>
      </w:pPr>
      <w:r w:rsidRPr="00526EE3">
        <w:rPr>
          <w:rFonts w:ascii="Arial" w:hAnsi="Arial" w:cs="Arial"/>
          <w:b/>
          <w:bCs/>
          <w:sz w:val="22"/>
          <w:szCs w:val="22"/>
        </w:rPr>
        <w:t>Digital Operational Resilience Testing:</w:t>
      </w:r>
      <w:r w:rsidRPr="00526EE3">
        <w:rPr>
          <w:rFonts w:ascii="Arial" w:hAnsi="Arial" w:cs="Arial"/>
          <w:sz w:val="22"/>
          <w:szCs w:val="22"/>
        </w:rPr>
        <w:t xml:space="preserve"> Regularly conducting advanced testing of ICT systems, including penetration testing, vulnerability assessments, and scenario-based tests (e.g., ransomware attacks) to identify weaknesses and ensure recovery capabilities.</w:t>
      </w:r>
    </w:p>
    <w:p w14:paraId="2DD7D0C5" w14:textId="77777777" w:rsidR="00526EE3" w:rsidRPr="00526EE3" w:rsidRDefault="00526EE3" w:rsidP="00093287">
      <w:pPr>
        <w:pStyle w:val="ListParagraph"/>
        <w:numPr>
          <w:ilvl w:val="0"/>
          <w:numId w:val="34"/>
        </w:numPr>
        <w:spacing w:before="40" w:after="40" w:line="360" w:lineRule="auto"/>
        <w:ind w:left="1440"/>
        <w:contextualSpacing w:val="0"/>
        <w:rPr>
          <w:rFonts w:ascii="Arial" w:hAnsi="Arial" w:cs="Arial"/>
          <w:sz w:val="22"/>
          <w:szCs w:val="22"/>
        </w:rPr>
      </w:pPr>
      <w:r w:rsidRPr="00526EE3">
        <w:rPr>
          <w:rFonts w:ascii="Arial" w:hAnsi="Arial" w:cs="Arial"/>
          <w:b/>
          <w:bCs/>
          <w:sz w:val="22"/>
          <w:szCs w:val="22"/>
        </w:rPr>
        <w:t>Managing ICT Third-Party Risk:</w:t>
      </w:r>
      <w:r w:rsidRPr="00526EE3">
        <w:rPr>
          <w:rFonts w:ascii="Arial" w:hAnsi="Arial" w:cs="Arial"/>
          <w:sz w:val="22"/>
          <w:szCs w:val="22"/>
        </w:rPr>
        <w:t xml:space="preserve"> Implementing stringent due diligence, contractual agreements, and ongoing monitoring for all third-party ICT service providers, particularly cloud providers and AI model suppliers.</w:t>
      </w:r>
    </w:p>
    <w:p w14:paraId="4B70DC13" w14:textId="77777777" w:rsidR="00526EE3" w:rsidRDefault="00526EE3" w:rsidP="00093287">
      <w:pPr>
        <w:pStyle w:val="ListParagraph"/>
        <w:numPr>
          <w:ilvl w:val="0"/>
          <w:numId w:val="34"/>
        </w:numPr>
        <w:spacing w:before="40" w:after="40" w:line="360" w:lineRule="auto"/>
        <w:ind w:left="1440"/>
        <w:contextualSpacing w:val="0"/>
        <w:rPr>
          <w:rFonts w:ascii="Arial" w:hAnsi="Arial" w:cs="Arial"/>
          <w:sz w:val="22"/>
          <w:szCs w:val="22"/>
        </w:rPr>
      </w:pPr>
      <w:r w:rsidRPr="00526EE3">
        <w:rPr>
          <w:rFonts w:ascii="Arial" w:hAnsi="Arial" w:cs="Arial"/>
          <w:b/>
          <w:bCs/>
          <w:sz w:val="22"/>
          <w:szCs w:val="22"/>
        </w:rPr>
        <w:lastRenderedPageBreak/>
        <w:t>Information Sharing Arrangements:</w:t>
      </w:r>
      <w:r w:rsidRPr="00526EE3">
        <w:rPr>
          <w:rFonts w:ascii="Arial" w:hAnsi="Arial" w:cs="Arial"/>
          <w:sz w:val="22"/>
          <w:szCs w:val="22"/>
        </w:rPr>
        <w:t xml:space="preserve"> Participating in information sharing on cyber threats and vulnerabilities with relevant industry bodies and authorities to enhance collective resilience [18].</w:t>
      </w:r>
    </w:p>
    <w:p w14:paraId="343E559D" w14:textId="77777777" w:rsidR="00526EE3" w:rsidRPr="00526EE3" w:rsidRDefault="00526EE3" w:rsidP="00093287">
      <w:pPr>
        <w:pStyle w:val="ListParagraph"/>
        <w:spacing w:before="40" w:after="40" w:line="360" w:lineRule="auto"/>
        <w:ind w:left="1440"/>
        <w:contextualSpacing w:val="0"/>
        <w:rPr>
          <w:rFonts w:ascii="Arial" w:hAnsi="Arial" w:cs="Arial"/>
          <w:sz w:val="22"/>
          <w:szCs w:val="22"/>
        </w:rPr>
      </w:pPr>
    </w:p>
    <w:p w14:paraId="4215F357" w14:textId="7EBEF266" w:rsidR="00526EE3" w:rsidRPr="00526EE3" w:rsidRDefault="00526EE3" w:rsidP="00093287">
      <w:pPr>
        <w:spacing w:line="360" w:lineRule="auto"/>
        <w:ind w:left="720"/>
        <w:rPr>
          <w:rFonts w:ascii="Arial" w:hAnsi="Arial" w:cs="Arial"/>
          <w:b/>
          <w:bCs/>
          <w:sz w:val="22"/>
          <w:szCs w:val="22"/>
        </w:rPr>
      </w:pPr>
      <w:r>
        <w:rPr>
          <w:rFonts w:ascii="Arial" w:hAnsi="Arial" w:cs="Arial"/>
          <w:b/>
          <w:bCs/>
          <w:sz w:val="22"/>
          <w:szCs w:val="22"/>
        </w:rPr>
        <w:t>3</w:t>
      </w:r>
      <w:r w:rsidRPr="00526EE3">
        <w:rPr>
          <w:rFonts w:ascii="Arial" w:hAnsi="Arial" w:cs="Arial"/>
          <w:b/>
          <w:bCs/>
          <w:sz w:val="22"/>
          <w:szCs w:val="22"/>
        </w:rPr>
        <w:t>.4.2 NIS2 Compliance</w:t>
      </w:r>
    </w:p>
    <w:p w14:paraId="5F251BD5" w14:textId="77777777" w:rsidR="00526EE3" w:rsidRPr="00526EE3" w:rsidRDefault="00526EE3" w:rsidP="00093287">
      <w:pPr>
        <w:spacing w:before="60" w:line="360" w:lineRule="auto"/>
        <w:ind w:left="720"/>
        <w:jc w:val="both"/>
        <w:rPr>
          <w:rFonts w:ascii="Arial" w:hAnsi="Arial" w:cs="Arial"/>
          <w:sz w:val="22"/>
          <w:szCs w:val="22"/>
        </w:rPr>
      </w:pPr>
      <w:r w:rsidRPr="00526EE3">
        <w:rPr>
          <w:rFonts w:ascii="Arial" w:hAnsi="Arial" w:cs="Arial"/>
          <w:sz w:val="22"/>
          <w:szCs w:val="22"/>
        </w:rPr>
        <w:t xml:space="preserve">NIS2 significantly broadens the scope of critical entities, explicitly including healthcare. </w:t>
      </w:r>
      <w:proofErr w:type="spellStart"/>
      <w:r w:rsidRPr="00526EE3">
        <w:rPr>
          <w:rFonts w:ascii="Arial" w:hAnsi="Arial" w:cs="Arial"/>
          <w:sz w:val="22"/>
          <w:szCs w:val="22"/>
        </w:rPr>
        <w:t>MediTrust's</w:t>
      </w:r>
      <w:proofErr w:type="spellEnd"/>
      <w:r w:rsidRPr="00526EE3">
        <w:rPr>
          <w:rFonts w:ascii="Arial" w:hAnsi="Arial" w:cs="Arial"/>
          <w:sz w:val="22"/>
          <w:szCs w:val="22"/>
        </w:rPr>
        <w:t xml:space="preserve"> compliance strategy focuses on the enhanced requirements:</w:t>
      </w:r>
    </w:p>
    <w:p w14:paraId="2DA9A24E" w14:textId="77777777" w:rsidR="00526EE3" w:rsidRPr="00526EE3" w:rsidRDefault="00526EE3" w:rsidP="00093287">
      <w:pPr>
        <w:pStyle w:val="ListParagraph"/>
        <w:numPr>
          <w:ilvl w:val="0"/>
          <w:numId w:val="34"/>
        </w:numPr>
        <w:spacing w:before="40" w:after="40" w:line="360" w:lineRule="auto"/>
        <w:ind w:left="1440"/>
        <w:contextualSpacing w:val="0"/>
        <w:rPr>
          <w:rFonts w:ascii="Arial" w:hAnsi="Arial" w:cs="Arial"/>
          <w:sz w:val="22"/>
          <w:szCs w:val="22"/>
        </w:rPr>
      </w:pPr>
      <w:r w:rsidRPr="00526EE3">
        <w:rPr>
          <w:rFonts w:ascii="Arial" w:hAnsi="Arial" w:cs="Arial"/>
          <w:b/>
          <w:bCs/>
          <w:sz w:val="22"/>
          <w:szCs w:val="22"/>
        </w:rPr>
        <w:t>Risk Management Measures:</w:t>
      </w:r>
      <w:r w:rsidRPr="00526EE3">
        <w:rPr>
          <w:rFonts w:ascii="Arial" w:hAnsi="Arial" w:cs="Arial"/>
          <w:sz w:val="22"/>
          <w:szCs w:val="22"/>
        </w:rPr>
        <w:t xml:space="preserve"> Implementing technical and organisational measures to manage risks to network and information systems, including incident handling, supply chain security, network and information system security, and the use of cryptography and encryption.</w:t>
      </w:r>
    </w:p>
    <w:p w14:paraId="5FC461B3" w14:textId="77777777" w:rsidR="00526EE3" w:rsidRPr="00526EE3" w:rsidRDefault="00526EE3" w:rsidP="00093287">
      <w:pPr>
        <w:pStyle w:val="ListParagraph"/>
        <w:numPr>
          <w:ilvl w:val="0"/>
          <w:numId w:val="34"/>
        </w:numPr>
        <w:spacing w:before="40" w:after="40" w:line="360" w:lineRule="auto"/>
        <w:ind w:left="1440"/>
        <w:contextualSpacing w:val="0"/>
        <w:rPr>
          <w:rFonts w:ascii="Arial" w:hAnsi="Arial" w:cs="Arial"/>
          <w:sz w:val="22"/>
          <w:szCs w:val="22"/>
        </w:rPr>
      </w:pPr>
      <w:r w:rsidRPr="00526EE3">
        <w:rPr>
          <w:rFonts w:ascii="Arial" w:hAnsi="Arial" w:cs="Arial"/>
          <w:b/>
          <w:bCs/>
          <w:sz w:val="22"/>
          <w:szCs w:val="22"/>
        </w:rPr>
        <w:t>Incident Reporting:</w:t>
      </w:r>
      <w:r w:rsidRPr="00526EE3">
        <w:rPr>
          <w:rFonts w:ascii="Arial" w:hAnsi="Arial" w:cs="Arial"/>
          <w:sz w:val="22"/>
          <w:szCs w:val="22"/>
        </w:rPr>
        <w:t xml:space="preserve"> Establishing procedures for notifying relevant authorities (CSIRTs) of significant cyber incidents within 24 hours (early warning), 72 hours (initial assessment), and a final report within one month.</w:t>
      </w:r>
    </w:p>
    <w:p w14:paraId="0BE5084A" w14:textId="77777777" w:rsidR="00526EE3" w:rsidRPr="00526EE3" w:rsidRDefault="00526EE3" w:rsidP="00093287">
      <w:pPr>
        <w:pStyle w:val="ListParagraph"/>
        <w:numPr>
          <w:ilvl w:val="0"/>
          <w:numId w:val="34"/>
        </w:numPr>
        <w:spacing w:before="40" w:after="40" w:line="360" w:lineRule="auto"/>
        <w:ind w:left="1440"/>
        <w:contextualSpacing w:val="0"/>
        <w:rPr>
          <w:rFonts w:ascii="Arial" w:hAnsi="Arial" w:cs="Arial"/>
          <w:sz w:val="22"/>
          <w:szCs w:val="22"/>
        </w:rPr>
      </w:pPr>
      <w:r w:rsidRPr="00526EE3">
        <w:rPr>
          <w:rFonts w:ascii="Arial" w:hAnsi="Arial" w:cs="Arial"/>
          <w:b/>
          <w:bCs/>
          <w:sz w:val="22"/>
          <w:szCs w:val="22"/>
        </w:rPr>
        <w:t>Supply Chain Security:</w:t>
      </w:r>
      <w:r w:rsidRPr="00526EE3">
        <w:rPr>
          <w:rFonts w:ascii="Arial" w:hAnsi="Arial" w:cs="Arial"/>
          <w:sz w:val="22"/>
          <w:szCs w:val="22"/>
        </w:rPr>
        <w:t xml:space="preserve"> Addressing cybersecurity risks in the supply chain, particularly for critical ICT services and products, by requiring suppliers to implement equivalent security measures.</w:t>
      </w:r>
    </w:p>
    <w:p w14:paraId="6C7BC6D0" w14:textId="77777777" w:rsidR="00526EE3" w:rsidRPr="00526EE3" w:rsidRDefault="00526EE3" w:rsidP="00093287">
      <w:pPr>
        <w:pStyle w:val="ListParagraph"/>
        <w:numPr>
          <w:ilvl w:val="0"/>
          <w:numId w:val="34"/>
        </w:numPr>
        <w:spacing w:before="40" w:after="40" w:line="360" w:lineRule="auto"/>
        <w:ind w:left="1440"/>
        <w:contextualSpacing w:val="0"/>
        <w:rPr>
          <w:rFonts w:ascii="Arial" w:hAnsi="Arial" w:cs="Arial"/>
          <w:sz w:val="22"/>
          <w:szCs w:val="22"/>
        </w:rPr>
      </w:pPr>
      <w:r w:rsidRPr="00526EE3">
        <w:rPr>
          <w:rFonts w:ascii="Arial" w:hAnsi="Arial" w:cs="Arial"/>
          <w:b/>
          <w:bCs/>
          <w:sz w:val="22"/>
          <w:szCs w:val="22"/>
        </w:rPr>
        <w:t>Accountability of Management:</w:t>
      </w:r>
      <w:r w:rsidRPr="00526EE3">
        <w:rPr>
          <w:rFonts w:ascii="Arial" w:hAnsi="Arial" w:cs="Arial"/>
          <w:sz w:val="22"/>
          <w:szCs w:val="22"/>
        </w:rPr>
        <w:t xml:space="preserve"> Senior management is held accountable for non-compliance, fostering a culture of cybersecurity from the top down [19].</w:t>
      </w:r>
    </w:p>
    <w:p w14:paraId="11A18016" w14:textId="77777777" w:rsidR="00526EE3" w:rsidRDefault="00526EE3" w:rsidP="00D54836">
      <w:pPr>
        <w:spacing w:line="360" w:lineRule="auto"/>
        <w:rPr>
          <w:rFonts w:ascii="Arial" w:hAnsi="Arial" w:cs="Arial"/>
          <w:sz w:val="22"/>
          <w:szCs w:val="22"/>
        </w:rPr>
      </w:pPr>
    </w:p>
    <w:p w14:paraId="515069F4" w14:textId="5AFEA330" w:rsidR="00526EE3" w:rsidRDefault="00526EE3" w:rsidP="00526EE3">
      <w:pPr>
        <w:pStyle w:val="Heading2"/>
      </w:pPr>
      <w:bookmarkStart w:id="16" w:name="_Toc228040380"/>
      <w:r>
        <w:t>3</w:t>
      </w:r>
      <w:r>
        <w:t>.5 Governance &amp; Strategy</w:t>
      </w:r>
      <w:bookmarkEnd w:id="16"/>
    </w:p>
    <w:p w14:paraId="14FD83A5" w14:textId="77777777" w:rsidR="00526EE3" w:rsidRPr="005C2E45" w:rsidRDefault="00526EE3" w:rsidP="00526EE3">
      <w:pPr>
        <w:spacing w:before="60" w:after="120" w:line="360" w:lineRule="auto"/>
        <w:jc w:val="both"/>
        <w:rPr>
          <w:rFonts w:ascii="Arial" w:hAnsi="Arial" w:cs="Arial"/>
          <w:sz w:val="22"/>
          <w:szCs w:val="22"/>
        </w:rPr>
      </w:pPr>
      <w:proofErr w:type="spellStart"/>
      <w:r w:rsidRPr="005C2E45">
        <w:rPr>
          <w:rFonts w:ascii="Arial" w:hAnsi="Arial" w:cs="Arial"/>
          <w:sz w:val="22"/>
          <w:szCs w:val="22"/>
        </w:rPr>
        <w:t>MediTrust's</w:t>
      </w:r>
      <w:proofErr w:type="spellEnd"/>
      <w:r w:rsidRPr="005C2E45">
        <w:rPr>
          <w:rFonts w:ascii="Arial" w:hAnsi="Arial" w:cs="Arial"/>
          <w:sz w:val="22"/>
          <w:szCs w:val="22"/>
        </w:rPr>
        <w:t xml:space="preserve"> security governance and strategy are based on the NIST Cybersecurity Framework (CSF) 2.0, which offers a flexible approach to managing cybersecurity risk. The six functions (Govern, Identify, Protect, Detect, Respond, Recover) align with </w:t>
      </w:r>
      <w:proofErr w:type="spellStart"/>
      <w:r w:rsidRPr="005C2E45">
        <w:rPr>
          <w:rFonts w:ascii="Arial" w:hAnsi="Arial" w:cs="Arial"/>
          <w:sz w:val="22"/>
          <w:szCs w:val="22"/>
        </w:rPr>
        <w:t>MediTrust's</w:t>
      </w:r>
      <w:proofErr w:type="spellEnd"/>
      <w:r w:rsidRPr="005C2E45">
        <w:rPr>
          <w:rFonts w:ascii="Arial" w:hAnsi="Arial" w:cs="Arial"/>
          <w:sz w:val="22"/>
          <w:szCs w:val="22"/>
        </w:rPr>
        <w:t xml:space="preserve"> business objectives and regulatory obligations. </w:t>
      </w:r>
    </w:p>
    <w:p w14:paraId="5CB007CA" w14:textId="77777777" w:rsidR="00526EE3" w:rsidRPr="005C2E45" w:rsidRDefault="00526EE3" w:rsidP="00526EE3">
      <w:pPr>
        <w:spacing w:before="60" w:after="120" w:line="360" w:lineRule="auto"/>
        <w:jc w:val="both"/>
        <w:rPr>
          <w:rFonts w:ascii="Arial" w:hAnsi="Arial" w:cs="Arial"/>
          <w:sz w:val="22"/>
          <w:szCs w:val="22"/>
        </w:rPr>
      </w:pPr>
      <w:r w:rsidRPr="005C2E45">
        <w:rPr>
          <w:rFonts w:ascii="Arial" w:hAnsi="Arial" w:cs="Arial"/>
          <w:sz w:val="22"/>
          <w:szCs w:val="22"/>
        </w:rPr>
        <w:t xml:space="preserve">The "Govern" function, emphasized in CSF 2.0, is crucial for </w:t>
      </w:r>
      <w:proofErr w:type="spellStart"/>
      <w:r w:rsidRPr="005C2E45">
        <w:rPr>
          <w:rFonts w:ascii="Arial" w:hAnsi="Arial" w:cs="Arial"/>
          <w:sz w:val="22"/>
          <w:szCs w:val="22"/>
        </w:rPr>
        <w:t>MediTrust</w:t>
      </w:r>
      <w:proofErr w:type="spellEnd"/>
      <w:r w:rsidRPr="005C2E45">
        <w:rPr>
          <w:rFonts w:ascii="Arial" w:hAnsi="Arial" w:cs="Arial"/>
          <w:sz w:val="22"/>
          <w:szCs w:val="22"/>
        </w:rPr>
        <w:t xml:space="preserve"> as it outlines the context for managing cybersecurity risk, including policies, roles, and oversight. This aligns with DORA and NIS2 accountability requirements, making cybersecurity a board-level concern [20]. </w:t>
      </w:r>
    </w:p>
    <w:p w14:paraId="6827A8B9" w14:textId="77777777" w:rsidR="00526EE3" w:rsidRPr="005C2E45" w:rsidRDefault="00526EE3" w:rsidP="00526EE3">
      <w:pPr>
        <w:spacing w:before="60" w:after="120" w:line="360" w:lineRule="auto"/>
        <w:jc w:val="both"/>
      </w:pPr>
      <w:r w:rsidRPr="005C2E45">
        <w:rPr>
          <w:rFonts w:ascii="Arial" w:hAnsi="Arial" w:cs="Arial"/>
          <w:sz w:val="22"/>
          <w:szCs w:val="22"/>
        </w:rPr>
        <w:t xml:space="preserve">The following table shows how NIST CSF 2.0 functions integrate with </w:t>
      </w:r>
      <w:proofErr w:type="spellStart"/>
      <w:r w:rsidRPr="005C2E45">
        <w:rPr>
          <w:rFonts w:ascii="Arial" w:hAnsi="Arial" w:cs="Arial"/>
          <w:sz w:val="22"/>
          <w:szCs w:val="22"/>
        </w:rPr>
        <w:t>MediTrust's</w:t>
      </w:r>
      <w:proofErr w:type="spellEnd"/>
      <w:r w:rsidRPr="005C2E45">
        <w:rPr>
          <w:rFonts w:ascii="Arial" w:hAnsi="Arial" w:cs="Arial"/>
          <w:sz w:val="22"/>
          <w:szCs w:val="22"/>
        </w:rPr>
        <w:t xml:space="preserve"> business goals and activities</w:t>
      </w:r>
      <w:r w:rsidRPr="005C2E45">
        <w:t>:</w:t>
      </w:r>
    </w:p>
    <w:tbl>
      <w:tblPr>
        <w:tblW w:w="9501" w:type="dxa"/>
        <w:tblBorders>
          <w:top w:val="single" w:sz="1" w:space="0" w:color="D1D5DB"/>
          <w:left w:val="single" w:sz="1" w:space="0" w:color="D1D5DB"/>
          <w:bottom w:val="single" w:sz="1" w:space="0" w:color="D1D5DB"/>
          <w:right w:val="single" w:sz="1" w:space="0" w:color="D1D5DB"/>
          <w:insideH w:val="single" w:sz="1" w:space="0" w:color="D1D5DB"/>
          <w:insideV w:val="single" w:sz="1" w:space="0" w:color="D1D5DB"/>
        </w:tblBorders>
        <w:tblLayout w:type="fixed"/>
        <w:tblCellMar>
          <w:left w:w="10" w:type="dxa"/>
          <w:right w:w="10" w:type="dxa"/>
        </w:tblCellMar>
        <w:tblLook w:val="04A0" w:firstRow="1" w:lastRow="0" w:firstColumn="1" w:lastColumn="0" w:noHBand="0" w:noVBand="1"/>
      </w:tblPr>
      <w:tblGrid>
        <w:gridCol w:w="3167"/>
        <w:gridCol w:w="3167"/>
        <w:gridCol w:w="3167"/>
      </w:tblGrid>
      <w:tr w:rsidR="00526EE3" w14:paraId="27EF0047" w14:textId="77777777" w:rsidTr="00526EE3">
        <w:tblPrEx>
          <w:tblCellMar>
            <w:top w:w="0" w:type="dxa"/>
            <w:bottom w:w="0" w:type="dxa"/>
          </w:tblCellMar>
        </w:tblPrEx>
        <w:trPr>
          <w:trHeight w:val="440"/>
        </w:trPr>
        <w:tc>
          <w:tcPr>
            <w:tcW w:w="3167" w:type="dxa"/>
            <w:tcBorders>
              <w:top w:val="single" w:sz="1" w:space="0" w:color="D1D5DB"/>
              <w:left w:val="single" w:sz="1" w:space="0" w:color="D1D5DB"/>
              <w:bottom w:val="single" w:sz="1" w:space="0" w:color="D1D5DB"/>
              <w:right w:val="single" w:sz="1" w:space="0" w:color="D1D5DB"/>
            </w:tcBorders>
            <w:shd w:val="solid" w:color="E5E7EB" w:fill="auto"/>
            <w:tcMar>
              <w:top w:w="115" w:type="dxa"/>
              <w:left w:w="144" w:type="dxa"/>
              <w:bottom w:w="115" w:type="dxa"/>
              <w:right w:w="144" w:type="dxa"/>
            </w:tcMar>
          </w:tcPr>
          <w:p w14:paraId="2BC7FC80" w14:textId="77777777" w:rsidR="00526EE3" w:rsidRDefault="00526EE3" w:rsidP="00243AAA">
            <w:pPr>
              <w:spacing w:before="80" w:after="80"/>
              <w:jc w:val="center"/>
            </w:pPr>
            <w:r>
              <w:rPr>
                <w:rFonts w:ascii="Calibri" w:eastAsia="Calibri" w:hAnsi="Calibri" w:cs="Calibri"/>
                <w:b/>
                <w:bCs/>
                <w:sz w:val="20"/>
                <w:szCs w:val="20"/>
              </w:rPr>
              <w:lastRenderedPageBreak/>
              <w:t>NIST CSF 2.0 Function</w:t>
            </w:r>
          </w:p>
        </w:tc>
        <w:tc>
          <w:tcPr>
            <w:tcW w:w="3167" w:type="dxa"/>
            <w:tcBorders>
              <w:top w:val="single" w:sz="1" w:space="0" w:color="D1D5DB"/>
              <w:left w:val="single" w:sz="1" w:space="0" w:color="D1D5DB"/>
              <w:bottom w:val="single" w:sz="1" w:space="0" w:color="D1D5DB"/>
              <w:right w:val="single" w:sz="1" w:space="0" w:color="D1D5DB"/>
            </w:tcBorders>
            <w:shd w:val="solid" w:color="E5E7EB" w:fill="auto"/>
            <w:tcMar>
              <w:top w:w="115" w:type="dxa"/>
              <w:left w:w="144" w:type="dxa"/>
              <w:bottom w:w="115" w:type="dxa"/>
              <w:right w:w="144" w:type="dxa"/>
            </w:tcMar>
          </w:tcPr>
          <w:p w14:paraId="322E777E" w14:textId="77777777" w:rsidR="00526EE3" w:rsidRDefault="00526EE3" w:rsidP="00243AAA">
            <w:pPr>
              <w:spacing w:before="80" w:after="80"/>
              <w:jc w:val="center"/>
            </w:pPr>
            <w:proofErr w:type="spellStart"/>
            <w:r>
              <w:rPr>
                <w:rFonts w:ascii="Calibri" w:eastAsia="Calibri" w:hAnsi="Calibri" w:cs="Calibri"/>
                <w:b/>
                <w:bCs/>
                <w:sz w:val="20"/>
                <w:szCs w:val="20"/>
              </w:rPr>
              <w:t>MediTrust</w:t>
            </w:r>
            <w:proofErr w:type="spellEnd"/>
            <w:r>
              <w:rPr>
                <w:rFonts w:ascii="Calibri" w:eastAsia="Calibri" w:hAnsi="Calibri" w:cs="Calibri"/>
                <w:b/>
                <w:bCs/>
                <w:sz w:val="20"/>
                <w:szCs w:val="20"/>
              </w:rPr>
              <w:t xml:space="preserve"> Business Goal Alignment</w:t>
            </w:r>
          </w:p>
        </w:tc>
        <w:tc>
          <w:tcPr>
            <w:tcW w:w="3167" w:type="dxa"/>
            <w:tcBorders>
              <w:top w:val="single" w:sz="1" w:space="0" w:color="D1D5DB"/>
              <w:left w:val="single" w:sz="1" w:space="0" w:color="D1D5DB"/>
              <w:bottom w:val="single" w:sz="1" w:space="0" w:color="D1D5DB"/>
              <w:right w:val="single" w:sz="1" w:space="0" w:color="D1D5DB"/>
            </w:tcBorders>
            <w:shd w:val="solid" w:color="E5E7EB" w:fill="auto"/>
            <w:tcMar>
              <w:top w:w="115" w:type="dxa"/>
              <w:left w:w="144" w:type="dxa"/>
              <w:bottom w:w="115" w:type="dxa"/>
              <w:right w:w="144" w:type="dxa"/>
            </w:tcMar>
          </w:tcPr>
          <w:p w14:paraId="3BAAF111" w14:textId="77777777" w:rsidR="00526EE3" w:rsidRDefault="00526EE3" w:rsidP="00243AAA">
            <w:pPr>
              <w:spacing w:before="80" w:after="80"/>
              <w:jc w:val="center"/>
            </w:pPr>
            <w:r>
              <w:rPr>
                <w:rFonts w:ascii="Calibri" w:eastAsia="Calibri" w:hAnsi="Calibri" w:cs="Calibri"/>
                <w:b/>
                <w:bCs/>
                <w:sz w:val="20"/>
                <w:szCs w:val="20"/>
              </w:rPr>
              <w:t>Key Activities</w:t>
            </w:r>
          </w:p>
        </w:tc>
      </w:tr>
      <w:tr w:rsidR="00526EE3" w14:paraId="35E43947" w14:textId="77777777" w:rsidTr="00526EE3">
        <w:tblPrEx>
          <w:tblCellMar>
            <w:top w:w="0" w:type="dxa"/>
            <w:bottom w:w="0" w:type="dxa"/>
          </w:tblCellMar>
        </w:tblPrEx>
        <w:trPr>
          <w:trHeight w:val="973"/>
        </w:trPr>
        <w:tc>
          <w:tcPr>
            <w:tcW w:w="3167"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16EA7B3D" w14:textId="77777777" w:rsidR="00526EE3" w:rsidRDefault="00526EE3" w:rsidP="00243AAA">
            <w:pPr>
              <w:spacing w:before="60" w:after="60"/>
            </w:pPr>
            <w:r>
              <w:rPr>
                <w:rFonts w:ascii="Calibri" w:eastAsia="Calibri" w:hAnsi="Calibri" w:cs="Calibri"/>
                <w:b/>
                <w:bCs/>
                <w:sz w:val="20"/>
                <w:szCs w:val="20"/>
              </w:rPr>
              <w:t>Govern</w:t>
            </w:r>
          </w:p>
        </w:tc>
        <w:tc>
          <w:tcPr>
            <w:tcW w:w="3167"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3C8685AA" w14:textId="77777777" w:rsidR="00526EE3" w:rsidRDefault="00526EE3" w:rsidP="00243AAA">
            <w:pPr>
              <w:spacing w:before="60" w:after="60"/>
            </w:pPr>
            <w:r>
              <w:rPr>
                <w:rFonts w:ascii="Calibri" w:eastAsia="Calibri" w:hAnsi="Calibri" w:cs="Calibri"/>
                <w:sz w:val="20"/>
                <w:szCs w:val="20"/>
              </w:rPr>
              <w:t>Strategic alignment, regulatory compliance, accountability</w:t>
            </w:r>
          </w:p>
        </w:tc>
        <w:tc>
          <w:tcPr>
            <w:tcW w:w="3167"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0FC28E92" w14:textId="77777777" w:rsidR="00526EE3" w:rsidRDefault="00526EE3" w:rsidP="00243AAA">
            <w:pPr>
              <w:spacing w:before="60" w:after="60"/>
            </w:pPr>
            <w:r>
              <w:rPr>
                <w:rFonts w:ascii="Calibri" w:eastAsia="Calibri" w:hAnsi="Calibri" w:cs="Calibri"/>
                <w:sz w:val="20"/>
                <w:szCs w:val="20"/>
              </w:rPr>
              <w:t>CISO/DPO oversight, policy development, risk appetite definition, DORA/NIS2 reporting.</w:t>
            </w:r>
          </w:p>
        </w:tc>
      </w:tr>
      <w:tr w:rsidR="00526EE3" w14:paraId="78FBDC27" w14:textId="77777777" w:rsidTr="00526EE3">
        <w:tblPrEx>
          <w:tblCellMar>
            <w:top w:w="0" w:type="dxa"/>
            <w:bottom w:w="0" w:type="dxa"/>
          </w:tblCellMar>
        </w:tblPrEx>
        <w:trPr>
          <w:trHeight w:val="960"/>
        </w:trPr>
        <w:tc>
          <w:tcPr>
            <w:tcW w:w="3167"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0F762227" w14:textId="77777777" w:rsidR="00526EE3" w:rsidRDefault="00526EE3" w:rsidP="00243AAA">
            <w:pPr>
              <w:spacing w:before="60" w:after="60"/>
            </w:pPr>
            <w:r>
              <w:rPr>
                <w:rFonts w:ascii="Calibri" w:eastAsia="Calibri" w:hAnsi="Calibri" w:cs="Calibri"/>
                <w:b/>
                <w:bCs/>
                <w:sz w:val="20"/>
                <w:szCs w:val="20"/>
              </w:rPr>
              <w:t>Identify</w:t>
            </w:r>
          </w:p>
        </w:tc>
        <w:tc>
          <w:tcPr>
            <w:tcW w:w="3167"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4208DEFA" w14:textId="77777777" w:rsidR="00526EE3" w:rsidRDefault="00526EE3" w:rsidP="00243AAA">
            <w:pPr>
              <w:spacing w:before="60" w:after="60"/>
            </w:pPr>
            <w:r>
              <w:rPr>
                <w:rFonts w:ascii="Calibri" w:eastAsia="Calibri" w:hAnsi="Calibri" w:cs="Calibri"/>
                <w:sz w:val="20"/>
                <w:szCs w:val="20"/>
              </w:rPr>
              <w:t>Asset visibility, risk assessment, threat intelligence</w:t>
            </w:r>
          </w:p>
        </w:tc>
        <w:tc>
          <w:tcPr>
            <w:tcW w:w="3167"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695EE81F" w14:textId="77777777" w:rsidR="00526EE3" w:rsidRDefault="00526EE3" w:rsidP="00243AAA">
            <w:pPr>
              <w:spacing w:before="60" w:after="60"/>
            </w:pPr>
            <w:r>
              <w:rPr>
                <w:rFonts w:ascii="Calibri" w:eastAsia="Calibri" w:hAnsi="Calibri" w:cs="Calibri"/>
                <w:sz w:val="20"/>
                <w:szCs w:val="20"/>
              </w:rPr>
              <w:t>Asset inventory (cloud, AI models), vulnerability scanning, threat modelling, supply chain risk analysis.</w:t>
            </w:r>
          </w:p>
        </w:tc>
      </w:tr>
      <w:tr w:rsidR="00526EE3" w14:paraId="48130160" w14:textId="77777777" w:rsidTr="00526EE3">
        <w:tblPrEx>
          <w:tblCellMar>
            <w:top w:w="0" w:type="dxa"/>
            <w:bottom w:w="0" w:type="dxa"/>
          </w:tblCellMar>
        </w:tblPrEx>
        <w:trPr>
          <w:trHeight w:val="973"/>
        </w:trPr>
        <w:tc>
          <w:tcPr>
            <w:tcW w:w="3167"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7139BDC6" w14:textId="77777777" w:rsidR="00526EE3" w:rsidRDefault="00526EE3" w:rsidP="00243AAA">
            <w:pPr>
              <w:spacing w:before="60" w:after="60"/>
            </w:pPr>
            <w:r>
              <w:rPr>
                <w:rFonts w:ascii="Calibri" w:eastAsia="Calibri" w:hAnsi="Calibri" w:cs="Calibri"/>
                <w:b/>
                <w:bCs/>
                <w:sz w:val="20"/>
                <w:szCs w:val="20"/>
              </w:rPr>
              <w:t>Protect</w:t>
            </w:r>
          </w:p>
        </w:tc>
        <w:tc>
          <w:tcPr>
            <w:tcW w:w="3167"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4F324DA3" w14:textId="77777777" w:rsidR="00526EE3" w:rsidRDefault="00526EE3" w:rsidP="00243AAA">
            <w:pPr>
              <w:spacing w:before="60" w:after="60"/>
            </w:pPr>
            <w:r>
              <w:rPr>
                <w:rFonts w:ascii="Calibri" w:eastAsia="Calibri" w:hAnsi="Calibri" w:cs="Calibri"/>
                <w:sz w:val="20"/>
                <w:szCs w:val="20"/>
              </w:rPr>
              <w:t>Preventative controls, access management, data security</w:t>
            </w:r>
          </w:p>
        </w:tc>
        <w:tc>
          <w:tcPr>
            <w:tcW w:w="3167"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57D95808" w14:textId="77777777" w:rsidR="00526EE3" w:rsidRDefault="00526EE3" w:rsidP="00243AAA">
            <w:pPr>
              <w:spacing w:before="60" w:after="60"/>
            </w:pPr>
            <w:r>
              <w:rPr>
                <w:rFonts w:ascii="Calibri" w:eastAsia="Calibri" w:hAnsi="Calibri" w:cs="Calibri"/>
                <w:sz w:val="20"/>
                <w:szCs w:val="20"/>
              </w:rPr>
              <w:t>Zero Trust implementation, MFA, encryption, secure configurations (CSPM), employee training.</w:t>
            </w:r>
          </w:p>
        </w:tc>
      </w:tr>
      <w:tr w:rsidR="00526EE3" w14:paraId="53DE2C07" w14:textId="77777777" w:rsidTr="00526EE3">
        <w:tblPrEx>
          <w:tblCellMar>
            <w:top w:w="0" w:type="dxa"/>
            <w:bottom w:w="0" w:type="dxa"/>
          </w:tblCellMar>
        </w:tblPrEx>
        <w:trPr>
          <w:trHeight w:val="682"/>
        </w:trPr>
        <w:tc>
          <w:tcPr>
            <w:tcW w:w="3167"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1C288AE1" w14:textId="77777777" w:rsidR="00526EE3" w:rsidRDefault="00526EE3" w:rsidP="00243AAA">
            <w:pPr>
              <w:spacing w:before="60" w:after="60"/>
            </w:pPr>
            <w:r>
              <w:rPr>
                <w:rFonts w:ascii="Calibri" w:eastAsia="Calibri" w:hAnsi="Calibri" w:cs="Calibri"/>
                <w:b/>
                <w:bCs/>
                <w:sz w:val="20"/>
                <w:szCs w:val="20"/>
              </w:rPr>
              <w:t>Detect</w:t>
            </w:r>
          </w:p>
        </w:tc>
        <w:tc>
          <w:tcPr>
            <w:tcW w:w="3167"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5A64ACC2" w14:textId="77777777" w:rsidR="00526EE3" w:rsidRDefault="00526EE3" w:rsidP="00243AAA">
            <w:pPr>
              <w:spacing w:before="60" w:after="60"/>
            </w:pPr>
            <w:r>
              <w:rPr>
                <w:rFonts w:ascii="Calibri" w:eastAsia="Calibri" w:hAnsi="Calibri" w:cs="Calibri"/>
                <w:sz w:val="20"/>
                <w:szCs w:val="20"/>
              </w:rPr>
              <w:t>Continuous monitoring, anomaly detection, incident alerting</w:t>
            </w:r>
          </w:p>
        </w:tc>
        <w:tc>
          <w:tcPr>
            <w:tcW w:w="3167"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63447234" w14:textId="77777777" w:rsidR="00526EE3" w:rsidRDefault="00526EE3" w:rsidP="00243AAA">
            <w:pPr>
              <w:spacing w:before="60" w:after="60"/>
            </w:pPr>
            <w:r>
              <w:rPr>
                <w:rFonts w:ascii="Calibri" w:eastAsia="Calibri" w:hAnsi="Calibri" w:cs="Calibri"/>
                <w:sz w:val="20"/>
                <w:szCs w:val="20"/>
              </w:rPr>
              <w:t>SIEM, EDR, cloud logging, threat hunting, AI model drift detection.</w:t>
            </w:r>
          </w:p>
        </w:tc>
      </w:tr>
      <w:tr w:rsidR="00526EE3" w14:paraId="4D1483A5" w14:textId="77777777" w:rsidTr="00526EE3">
        <w:tblPrEx>
          <w:tblCellMar>
            <w:top w:w="0" w:type="dxa"/>
            <w:bottom w:w="0" w:type="dxa"/>
          </w:tblCellMar>
        </w:tblPrEx>
        <w:trPr>
          <w:trHeight w:val="973"/>
        </w:trPr>
        <w:tc>
          <w:tcPr>
            <w:tcW w:w="3167"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0D4BDB0B" w14:textId="77777777" w:rsidR="00526EE3" w:rsidRDefault="00526EE3" w:rsidP="00243AAA">
            <w:pPr>
              <w:spacing w:before="60" w:after="60"/>
            </w:pPr>
            <w:r>
              <w:rPr>
                <w:rFonts w:ascii="Calibri" w:eastAsia="Calibri" w:hAnsi="Calibri" w:cs="Calibri"/>
                <w:b/>
                <w:bCs/>
                <w:sz w:val="20"/>
                <w:szCs w:val="20"/>
              </w:rPr>
              <w:t>Respond</w:t>
            </w:r>
          </w:p>
        </w:tc>
        <w:tc>
          <w:tcPr>
            <w:tcW w:w="3167"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321EE7F3" w14:textId="77777777" w:rsidR="00526EE3" w:rsidRDefault="00526EE3" w:rsidP="00243AAA">
            <w:pPr>
              <w:spacing w:before="60" w:after="60"/>
            </w:pPr>
            <w:r>
              <w:rPr>
                <w:rFonts w:ascii="Calibri" w:eastAsia="Calibri" w:hAnsi="Calibri" w:cs="Calibri"/>
                <w:sz w:val="20"/>
                <w:szCs w:val="20"/>
              </w:rPr>
              <w:t>Incident response, containment, eradication</w:t>
            </w:r>
          </w:p>
        </w:tc>
        <w:tc>
          <w:tcPr>
            <w:tcW w:w="3167"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66B51C88" w14:textId="77777777" w:rsidR="00526EE3" w:rsidRDefault="00526EE3" w:rsidP="00243AAA">
            <w:pPr>
              <w:spacing w:before="60" w:after="60"/>
            </w:pPr>
            <w:r>
              <w:rPr>
                <w:rFonts w:ascii="Calibri" w:eastAsia="Calibri" w:hAnsi="Calibri" w:cs="Calibri"/>
                <w:sz w:val="20"/>
                <w:szCs w:val="20"/>
              </w:rPr>
              <w:t>Automated response (SOAR), incident playbooks, forensic analysis, DORA/NIS2 incident reporting.</w:t>
            </w:r>
          </w:p>
        </w:tc>
      </w:tr>
      <w:tr w:rsidR="00526EE3" w14:paraId="0305CB0F" w14:textId="77777777" w:rsidTr="00526EE3">
        <w:tblPrEx>
          <w:tblCellMar>
            <w:top w:w="0" w:type="dxa"/>
            <w:bottom w:w="0" w:type="dxa"/>
          </w:tblCellMar>
        </w:tblPrEx>
        <w:trPr>
          <w:trHeight w:val="960"/>
        </w:trPr>
        <w:tc>
          <w:tcPr>
            <w:tcW w:w="3167"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270B1C8C" w14:textId="77777777" w:rsidR="00526EE3" w:rsidRDefault="00526EE3" w:rsidP="00243AAA">
            <w:pPr>
              <w:spacing w:before="60" w:after="60"/>
            </w:pPr>
            <w:r>
              <w:rPr>
                <w:rFonts w:ascii="Calibri" w:eastAsia="Calibri" w:hAnsi="Calibri" w:cs="Calibri"/>
                <w:b/>
                <w:bCs/>
                <w:sz w:val="20"/>
                <w:szCs w:val="20"/>
              </w:rPr>
              <w:t>Recover</w:t>
            </w:r>
          </w:p>
        </w:tc>
        <w:tc>
          <w:tcPr>
            <w:tcW w:w="3167"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7052E4E6" w14:textId="77777777" w:rsidR="00526EE3" w:rsidRDefault="00526EE3" w:rsidP="00243AAA">
            <w:pPr>
              <w:spacing w:before="60" w:after="60"/>
            </w:pPr>
            <w:r>
              <w:rPr>
                <w:rFonts w:ascii="Calibri" w:eastAsia="Calibri" w:hAnsi="Calibri" w:cs="Calibri"/>
                <w:sz w:val="20"/>
                <w:szCs w:val="20"/>
              </w:rPr>
              <w:t>Business continuity, data restoration, lessons learned</w:t>
            </w:r>
          </w:p>
        </w:tc>
        <w:tc>
          <w:tcPr>
            <w:tcW w:w="3167"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372434AE" w14:textId="77777777" w:rsidR="00526EE3" w:rsidRDefault="00526EE3" w:rsidP="00243AAA">
            <w:pPr>
              <w:spacing w:before="60" w:after="60"/>
            </w:pPr>
            <w:r>
              <w:rPr>
                <w:rFonts w:ascii="Calibri" w:eastAsia="Calibri" w:hAnsi="Calibri" w:cs="Calibri"/>
                <w:sz w:val="20"/>
                <w:szCs w:val="20"/>
              </w:rPr>
              <w:t>Disaster recovery planning, data backup/restoration, business continuity planning, post-incident reviews.</w:t>
            </w:r>
          </w:p>
        </w:tc>
      </w:tr>
    </w:tbl>
    <w:p w14:paraId="1787D704" w14:textId="77777777" w:rsidR="00526EE3" w:rsidRDefault="00526EE3" w:rsidP="00D54836">
      <w:pPr>
        <w:spacing w:line="360" w:lineRule="auto"/>
        <w:rPr>
          <w:rFonts w:ascii="Arial" w:hAnsi="Arial" w:cs="Arial"/>
          <w:sz w:val="22"/>
          <w:szCs w:val="22"/>
        </w:rPr>
      </w:pPr>
    </w:p>
    <w:p w14:paraId="236D6597" w14:textId="78DD9224" w:rsidR="00526EE3" w:rsidRDefault="00526EE3" w:rsidP="00526EE3">
      <w:pPr>
        <w:pStyle w:val="Heading2"/>
      </w:pPr>
      <w:bookmarkStart w:id="17" w:name="_Toc228040381"/>
      <w:r>
        <w:t>3</w:t>
      </w:r>
      <w:r>
        <w:t>.6 Risk Management</w:t>
      </w:r>
      <w:bookmarkEnd w:id="17"/>
    </w:p>
    <w:p w14:paraId="36DF0EB3" w14:textId="77777777" w:rsidR="00526EE3" w:rsidRPr="00526EE3" w:rsidRDefault="00526EE3" w:rsidP="00526EE3">
      <w:pPr>
        <w:spacing w:before="60" w:line="360" w:lineRule="auto"/>
        <w:jc w:val="both"/>
        <w:rPr>
          <w:rFonts w:ascii="Arial" w:hAnsi="Arial" w:cs="Arial"/>
          <w:sz w:val="22"/>
          <w:szCs w:val="22"/>
        </w:rPr>
      </w:pPr>
      <w:r w:rsidRPr="00526EE3">
        <w:rPr>
          <w:rFonts w:ascii="Arial" w:hAnsi="Arial" w:cs="Arial"/>
          <w:sz w:val="22"/>
          <w:szCs w:val="22"/>
        </w:rPr>
        <w:t xml:space="preserve">Effective risk management is paramount for </w:t>
      </w:r>
      <w:proofErr w:type="spellStart"/>
      <w:r w:rsidRPr="00526EE3">
        <w:rPr>
          <w:rFonts w:ascii="Arial" w:hAnsi="Arial" w:cs="Arial"/>
          <w:sz w:val="22"/>
          <w:szCs w:val="22"/>
        </w:rPr>
        <w:t>MediTrust</w:t>
      </w:r>
      <w:proofErr w:type="spellEnd"/>
      <w:r w:rsidRPr="00526EE3">
        <w:rPr>
          <w:rFonts w:ascii="Arial" w:hAnsi="Arial" w:cs="Arial"/>
          <w:sz w:val="22"/>
          <w:szCs w:val="22"/>
        </w:rPr>
        <w:t>, particularly concerning its reliance on complex supply chains and cloud infrastructure. The programme adopts a proactive approach to identify, assess, and mitigate risks that could impact data security, operational resilience, and regulatory compliance. This aligns with the DORA and NIS2 emphasis on managing third-party and supply chain risks [21].</w:t>
      </w:r>
    </w:p>
    <w:p w14:paraId="0594417D" w14:textId="721F08C4" w:rsidR="004B51E5" w:rsidRPr="004B51E5" w:rsidRDefault="004B51E5" w:rsidP="00093287">
      <w:pPr>
        <w:spacing w:line="360" w:lineRule="auto"/>
        <w:ind w:left="720"/>
        <w:rPr>
          <w:rFonts w:ascii="Arial" w:hAnsi="Arial" w:cs="Arial"/>
          <w:b/>
          <w:bCs/>
          <w:sz w:val="22"/>
          <w:szCs w:val="22"/>
        </w:rPr>
      </w:pPr>
      <w:r w:rsidRPr="004B51E5">
        <w:rPr>
          <w:rFonts w:ascii="Arial" w:hAnsi="Arial" w:cs="Arial"/>
          <w:b/>
          <w:bCs/>
          <w:sz w:val="22"/>
          <w:szCs w:val="22"/>
        </w:rPr>
        <w:t>3</w:t>
      </w:r>
      <w:r w:rsidRPr="004B51E5">
        <w:rPr>
          <w:rFonts w:ascii="Arial" w:hAnsi="Arial" w:cs="Arial"/>
          <w:b/>
          <w:bCs/>
          <w:sz w:val="22"/>
          <w:szCs w:val="22"/>
        </w:rPr>
        <w:t>.6.1 Supply Chain Risks</w:t>
      </w:r>
    </w:p>
    <w:p w14:paraId="23A10272" w14:textId="77777777" w:rsidR="004B51E5" w:rsidRPr="004B51E5" w:rsidRDefault="004B51E5" w:rsidP="00093287">
      <w:pPr>
        <w:spacing w:before="60" w:line="360" w:lineRule="auto"/>
        <w:ind w:left="720"/>
        <w:jc w:val="both"/>
        <w:rPr>
          <w:rFonts w:ascii="Arial" w:hAnsi="Arial" w:cs="Arial"/>
          <w:sz w:val="22"/>
          <w:szCs w:val="22"/>
        </w:rPr>
      </w:pPr>
      <w:proofErr w:type="spellStart"/>
      <w:r w:rsidRPr="004B51E5">
        <w:rPr>
          <w:rFonts w:ascii="Arial" w:hAnsi="Arial" w:cs="Arial"/>
          <w:sz w:val="22"/>
          <w:szCs w:val="22"/>
        </w:rPr>
        <w:t>MediTrust's</w:t>
      </w:r>
      <w:proofErr w:type="spellEnd"/>
      <w:r w:rsidRPr="004B51E5">
        <w:rPr>
          <w:rFonts w:ascii="Arial" w:hAnsi="Arial" w:cs="Arial"/>
          <w:sz w:val="22"/>
          <w:szCs w:val="22"/>
        </w:rPr>
        <w:t xml:space="preserve"> supply chain includes cloud service providers (CSPs), third-party AI model developers, and various software vendors. Risks include:</w:t>
      </w:r>
    </w:p>
    <w:p w14:paraId="72E7A56E" w14:textId="77777777" w:rsidR="004B51E5" w:rsidRPr="004B51E5" w:rsidRDefault="004B51E5" w:rsidP="00093287">
      <w:pPr>
        <w:pStyle w:val="ListParagraph"/>
        <w:numPr>
          <w:ilvl w:val="0"/>
          <w:numId w:val="34"/>
        </w:numPr>
        <w:spacing w:before="40" w:after="40" w:line="360" w:lineRule="auto"/>
        <w:ind w:left="1440"/>
        <w:contextualSpacing w:val="0"/>
        <w:rPr>
          <w:rFonts w:ascii="Arial" w:hAnsi="Arial" w:cs="Arial"/>
          <w:sz w:val="22"/>
          <w:szCs w:val="22"/>
        </w:rPr>
      </w:pPr>
      <w:r w:rsidRPr="004B51E5">
        <w:rPr>
          <w:rFonts w:ascii="Arial" w:hAnsi="Arial" w:cs="Arial"/>
          <w:b/>
          <w:bCs/>
          <w:sz w:val="22"/>
          <w:szCs w:val="22"/>
        </w:rPr>
        <w:t>Data Breaches at Third Parties:</w:t>
      </w:r>
      <w:r w:rsidRPr="004B51E5">
        <w:rPr>
          <w:rFonts w:ascii="Arial" w:hAnsi="Arial" w:cs="Arial"/>
          <w:sz w:val="22"/>
          <w:szCs w:val="22"/>
        </w:rPr>
        <w:t xml:space="preserve"> A compromise of a supplier's systems could expose </w:t>
      </w:r>
      <w:proofErr w:type="spellStart"/>
      <w:r w:rsidRPr="004B51E5">
        <w:rPr>
          <w:rFonts w:ascii="Arial" w:hAnsi="Arial" w:cs="Arial"/>
          <w:sz w:val="22"/>
          <w:szCs w:val="22"/>
        </w:rPr>
        <w:t>MediTrust's</w:t>
      </w:r>
      <w:proofErr w:type="spellEnd"/>
      <w:r w:rsidRPr="004B51E5">
        <w:rPr>
          <w:rFonts w:ascii="Arial" w:hAnsi="Arial" w:cs="Arial"/>
          <w:sz w:val="22"/>
          <w:szCs w:val="22"/>
        </w:rPr>
        <w:t xml:space="preserve"> sensitive patient data.</w:t>
      </w:r>
    </w:p>
    <w:p w14:paraId="3BC25AE2" w14:textId="77777777" w:rsidR="004B51E5" w:rsidRPr="004B51E5" w:rsidRDefault="004B51E5" w:rsidP="00093287">
      <w:pPr>
        <w:pStyle w:val="ListParagraph"/>
        <w:numPr>
          <w:ilvl w:val="0"/>
          <w:numId w:val="34"/>
        </w:numPr>
        <w:spacing w:before="40" w:after="40" w:line="360" w:lineRule="auto"/>
        <w:ind w:left="1440"/>
        <w:contextualSpacing w:val="0"/>
        <w:rPr>
          <w:rFonts w:ascii="Arial" w:hAnsi="Arial" w:cs="Arial"/>
          <w:sz w:val="22"/>
          <w:szCs w:val="22"/>
        </w:rPr>
      </w:pPr>
      <w:r w:rsidRPr="004B51E5">
        <w:rPr>
          <w:rFonts w:ascii="Arial" w:hAnsi="Arial" w:cs="Arial"/>
          <w:b/>
          <w:bCs/>
          <w:sz w:val="22"/>
          <w:szCs w:val="22"/>
        </w:rPr>
        <w:lastRenderedPageBreak/>
        <w:t>Software Supply Chain Attacks:</w:t>
      </w:r>
      <w:r w:rsidRPr="004B51E5">
        <w:rPr>
          <w:rFonts w:ascii="Arial" w:hAnsi="Arial" w:cs="Arial"/>
          <w:sz w:val="22"/>
          <w:szCs w:val="22"/>
        </w:rPr>
        <w:t xml:space="preserve"> Introduction of malicious code into software components used by </w:t>
      </w:r>
      <w:proofErr w:type="spellStart"/>
      <w:r w:rsidRPr="004B51E5">
        <w:rPr>
          <w:rFonts w:ascii="Arial" w:hAnsi="Arial" w:cs="Arial"/>
          <w:sz w:val="22"/>
          <w:szCs w:val="22"/>
        </w:rPr>
        <w:t>MediTrust</w:t>
      </w:r>
      <w:proofErr w:type="spellEnd"/>
      <w:r w:rsidRPr="004B51E5">
        <w:rPr>
          <w:rFonts w:ascii="Arial" w:hAnsi="Arial" w:cs="Arial"/>
          <w:sz w:val="22"/>
          <w:szCs w:val="22"/>
        </w:rPr>
        <w:t xml:space="preserve"> (e.g., open-source libraries, AI model dependencies).</w:t>
      </w:r>
    </w:p>
    <w:p w14:paraId="2A255590" w14:textId="77777777" w:rsidR="004B51E5" w:rsidRPr="004B51E5" w:rsidRDefault="004B51E5" w:rsidP="00093287">
      <w:pPr>
        <w:pStyle w:val="ListParagraph"/>
        <w:numPr>
          <w:ilvl w:val="0"/>
          <w:numId w:val="34"/>
        </w:numPr>
        <w:spacing w:before="40" w:after="40" w:line="360" w:lineRule="auto"/>
        <w:ind w:left="1440"/>
        <w:contextualSpacing w:val="0"/>
        <w:rPr>
          <w:rFonts w:ascii="Arial" w:hAnsi="Arial" w:cs="Arial"/>
          <w:sz w:val="22"/>
          <w:szCs w:val="22"/>
        </w:rPr>
      </w:pPr>
      <w:r w:rsidRPr="004B51E5">
        <w:rPr>
          <w:rFonts w:ascii="Arial" w:hAnsi="Arial" w:cs="Arial"/>
          <w:b/>
          <w:bCs/>
          <w:sz w:val="22"/>
          <w:szCs w:val="22"/>
        </w:rPr>
        <w:t>Vendor Lock-in and Concentration Risk:</w:t>
      </w:r>
      <w:r w:rsidRPr="004B51E5">
        <w:rPr>
          <w:rFonts w:ascii="Arial" w:hAnsi="Arial" w:cs="Arial"/>
          <w:sz w:val="22"/>
          <w:szCs w:val="22"/>
        </w:rPr>
        <w:t xml:space="preserve"> Over-reliance on a single provider for critical services, potentially impacting resilience if that provider experiences an outage or security incident.</w:t>
      </w:r>
    </w:p>
    <w:p w14:paraId="75503765" w14:textId="3C5F2F4B" w:rsidR="004B51E5" w:rsidRPr="004B51E5" w:rsidRDefault="004B51E5" w:rsidP="00093287">
      <w:pPr>
        <w:spacing w:line="360" w:lineRule="auto"/>
        <w:ind w:left="720"/>
        <w:rPr>
          <w:rFonts w:ascii="Arial" w:hAnsi="Arial" w:cs="Arial"/>
          <w:b/>
          <w:bCs/>
          <w:sz w:val="22"/>
          <w:szCs w:val="22"/>
        </w:rPr>
      </w:pPr>
      <w:r>
        <w:rPr>
          <w:rFonts w:ascii="Arial" w:hAnsi="Arial" w:cs="Arial"/>
          <w:b/>
          <w:bCs/>
          <w:sz w:val="22"/>
          <w:szCs w:val="22"/>
        </w:rPr>
        <w:t>3</w:t>
      </w:r>
      <w:r w:rsidRPr="004B51E5">
        <w:rPr>
          <w:rFonts w:ascii="Arial" w:hAnsi="Arial" w:cs="Arial"/>
          <w:b/>
          <w:bCs/>
          <w:sz w:val="22"/>
          <w:szCs w:val="22"/>
        </w:rPr>
        <w:t>.6.2 Cloud Risks</w:t>
      </w:r>
    </w:p>
    <w:p w14:paraId="216A25D7" w14:textId="77777777" w:rsidR="004B51E5" w:rsidRPr="004B51E5" w:rsidRDefault="004B51E5" w:rsidP="00093287">
      <w:pPr>
        <w:spacing w:before="60" w:line="360" w:lineRule="auto"/>
        <w:ind w:left="720"/>
        <w:jc w:val="both"/>
        <w:rPr>
          <w:rFonts w:ascii="Arial" w:hAnsi="Arial" w:cs="Arial"/>
          <w:sz w:val="22"/>
          <w:szCs w:val="22"/>
        </w:rPr>
      </w:pPr>
      <w:r w:rsidRPr="004B51E5">
        <w:rPr>
          <w:rFonts w:ascii="Arial" w:hAnsi="Arial" w:cs="Arial"/>
          <w:sz w:val="22"/>
          <w:szCs w:val="22"/>
        </w:rPr>
        <w:t>While cloud platforms offer scalability and efficiency, they introduce specific risks:</w:t>
      </w:r>
    </w:p>
    <w:p w14:paraId="003A5E3C" w14:textId="77777777" w:rsidR="004B51E5" w:rsidRPr="004B51E5" w:rsidRDefault="004B51E5" w:rsidP="00093287">
      <w:pPr>
        <w:pStyle w:val="ListParagraph"/>
        <w:numPr>
          <w:ilvl w:val="0"/>
          <w:numId w:val="34"/>
        </w:numPr>
        <w:spacing w:before="40" w:after="40" w:line="360" w:lineRule="auto"/>
        <w:ind w:left="1440"/>
        <w:contextualSpacing w:val="0"/>
        <w:rPr>
          <w:rFonts w:ascii="Arial" w:hAnsi="Arial" w:cs="Arial"/>
          <w:sz w:val="22"/>
          <w:szCs w:val="22"/>
        </w:rPr>
      </w:pPr>
      <w:r w:rsidRPr="004B51E5">
        <w:rPr>
          <w:rFonts w:ascii="Arial" w:hAnsi="Arial" w:cs="Arial"/>
          <w:b/>
          <w:bCs/>
          <w:sz w:val="22"/>
          <w:szCs w:val="22"/>
        </w:rPr>
        <w:t>Misconfigurations:</w:t>
      </w:r>
      <w:r w:rsidRPr="004B51E5">
        <w:rPr>
          <w:rFonts w:ascii="Arial" w:hAnsi="Arial" w:cs="Arial"/>
          <w:sz w:val="22"/>
          <w:szCs w:val="22"/>
        </w:rPr>
        <w:t xml:space="preserve"> Incorrectly configured cloud services (e.g., open S3 buckets, overly permissive IAM roles) leading to unauthorised access.</w:t>
      </w:r>
    </w:p>
    <w:p w14:paraId="5A3DCEF4" w14:textId="77777777" w:rsidR="004B51E5" w:rsidRPr="004B51E5" w:rsidRDefault="004B51E5" w:rsidP="00093287">
      <w:pPr>
        <w:pStyle w:val="ListParagraph"/>
        <w:numPr>
          <w:ilvl w:val="0"/>
          <w:numId w:val="34"/>
        </w:numPr>
        <w:spacing w:before="40" w:after="40" w:line="360" w:lineRule="auto"/>
        <w:ind w:left="1440"/>
        <w:contextualSpacing w:val="0"/>
        <w:rPr>
          <w:rFonts w:ascii="Arial" w:hAnsi="Arial" w:cs="Arial"/>
          <w:sz w:val="22"/>
          <w:szCs w:val="22"/>
        </w:rPr>
      </w:pPr>
      <w:r w:rsidRPr="004B51E5">
        <w:rPr>
          <w:rFonts w:ascii="Arial" w:hAnsi="Arial" w:cs="Arial"/>
          <w:b/>
          <w:bCs/>
          <w:sz w:val="22"/>
          <w:szCs w:val="22"/>
        </w:rPr>
        <w:t>Data Residency and Sovereignty:</w:t>
      </w:r>
      <w:r w:rsidRPr="004B51E5">
        <w:rPr>
          <w:rFonts w:ascii="Arial" w:hAnsi="Arial" w:cs="Arial"/>
          <w:sz w:val="22"/>
          <w:szCs w:val="22"/>
        </w:rPr>
        <w:t xml:space="preserve"> Challenges in ensuring patient data remains within specified geographical boundaries, especially with global CSPs, impacting GDPR compliance.</w:t>
      </w:r>
    </w:p>
    <w:p w14:paraId="10395876" w14:textId="77777777" w:rsidR="004B51E5" w:rsidRPr="004B51E5" w:rsidRDefault="004B51E5" w:rsidP="00093287">
      <w:pPr>
        <w:pStyle w:val="ListParagraph"/>
        <w:numPr>
          <w:ilvl w:val="0"/>
          <w:numId w:val="34"/>
        </w:numPr>
        <w:spacing w:before="40" w:after="40" w:line="360" w:lineRule="auto"/>
        <w:ind w:left="1440"/>
        <w:contextualSpacing w:val="0"/>
        <w:rPr>
          <w:rFonts w:ascii="Arial" w:hAnsi="Arial" w:cs="Arial"/>
          <w:sz w:val="22"/>
          <w:szCs w:val="22"/>
        </w:rPr>
      </w:pPr>
      <w:r w:rsidRPr="004B51E5">
        <w:rPr>
          <w:rFonts w:ascii="Arial" w:hAnsi="Arial" w:cs="Arial"/>
          <w:b/>
          <w:bCs/>
          <w:sz w:val="22"/>
          <w:szCs w:val="22"/>
        </w:rPr>
        <w:t>Shared Responsibility Model Gaps:</w:t>
      </w:r>
      <w:r w:rsidRPr="004B51E5">
        <w:rPr>
          <w:rFonts w:ascii="Arial" w:hAnsi="Arial" w:cs="Arial"/>
          <w:sz w:val="22"/>
          <w:szCs w:val="22"/>
        </w:rPr>
        <w:t xml:space="preserve"> Misunderstanding the division of security responsibilities between </w:t>
      </w:r>
      <w:proofErr w:type="spellStart"/>
      <w:r w:rsidRPr="004B51E5">
        <w:rPr>
          <w:rFonts w:ascii="Arial" w:hAnsi="Arial" w:cs="Arial"/>
          <w:sz w:val="22"/>
          <w:szCs w:val="22"/>
        </w:rPr>
        <w:t>MediTrust</w:t>
      </w:r>
      <w:proofErr w:type="spellEnd"/>
      <w:r w:rsidRPr="004B51E5">
        <w:rPr>
          <w:rFonts w:ascii="Arial" w:hAnsi="Arial" w:cs="Arial"/>
          <w:sz w:val="22"/>
          <w:szCs w:val="22"/>
        </w:rPr>
        <w:t xml:space="preserve"> and its CSPs, leading to unaddressed security gaps.</w:t>
      </w:r>
    </w:p>
    <w:p w14:paraId="0303655D" w14:textId="77777777" w:rsidR="004B51E5" w:rsidRPr="004B51E5" w:rsidRDefault="004B51E5" w:rsidP="004B51E5">
      <w:pPr>
        <w:spacing w:before="60" w:line="360" w:lineRule="auto"/>
        <w:jc w:val="both"/>
        <w:rPr>
          <w:rFonts w:ascii="Arial" w:hAnsi="Arial" w:cs="Arial"/>
          <w:sz w:val="22"/>
          <w:szCs w:val="22"/>
        </w:rPr>
      </w:pPr>
      <w:r w:rsidRPr="004B51E5">
        <w:rPr>
          <w:rFonts w:ascii="Arial" w:hAnsi="Arial" w:cs="Arial"/>
          <w:sz w:val="22"/>
          <w:szCs w:val="22"/>
        </w:rPr>
        <w:t xml:space="preserve">To address these, </w:t>
      </w:r>
      <w:proofErr w:type="spellStart"/>
      <w:r w:rsidRPr="004B51E5">
        <w:rPr>
          <w:rFonts w:ascii="Arial" w:hAnsi="Arial" w:cs="Arial"/>
          <w:sz w:val="22"/>
          <w:szCs w:val="22"/>
        </w:rPr>
        <w:t>MediTrust</w:t>
      </w:r>
      <w:proofErr w:type="spellEnd"/>
      <w:r w:rsidRPr="004B51E5">
        <w:rPr>
          <w:rFonts w:ascii="Arial" w:hAnsi="Arial" w:cs="Arial"/>
          <w:sz w:val="22"/>
          <w:szCs w:val="22"/>
        </w:rPr>
        <w:t xml:space="preserve"> implements a comprehensive risk assessment framework, as detailed in Table 2:</w:t>
      </w:r>
    </w:p>
    <w:tbl>
      <w:tblPr>
        <w:tblW w:w="9356" w:type="dxa"/>
        <w:tblBorders>
          <w:top w:val="single" w:sz="1" w:space="0" w:color="D1D5DB"/>
          <w:left w:val="single" w:sz="1" w:space="0" w:color="D1D5DB"/>
          <w:bottom w:val="single" w:sz="1" w:space="0" w:color="D1D5DB"/>
          <w:right w:val="single" w:sz="1" w:space="0" w:color="D1D5DB"/>
          <w:insideH w:val="single" w:sz="1" w:space="0" w:color="D1D5DB"/>
          <w:insideV w:val="single" w:sz="1" w:space="0" w:color="D1D5DB"/>
        </w:tblBorders>
        <w:tblLayout w:type="fixed"/>
        <w:tblCellMar>
          <w:left w:w="10" w:type="dxa"/>
          <w:right w:w="10" w:type="dxa"/>
        </w:tblCellMar>
        <w:tblLook w:val="04A0" w:firstRow="1" w:lastRow="0" w:firstColumn="1" w:lastColumn="0" w:noHBand="0" w:noVBand="1"/>
      </w:tblPr>
      <w:tblGrid>
        <w:gridCol w:w="2339"/>
        <w:gridCol w:w="2339"/>
        <w:gridCol w:w="2339"/>
        <w:gridCol w:w="2339"/>
      </w:tblGrid>
      <w:tr w:rsidR="004B51E5" w14:paraId="2AEFFA44" w14:textId="77777777" w:rsidTr="004B51E5">
        <w:tblPrEx>
          <w:tblCellMar>
            <w:top w:w="0" w:type="dxa"/>
            <w:bottom w:w="0" w:type="dxa"/>
          </w:tblCellMar>
        </w:tblPrEx>
        <w:trPr>
          <w:trHeight w:val="439"/>
        </w:trPr>
        <w:tc>
          <w:tcPr>
            <w:tcW w:w="2339" w:type="dxa"/>
            <w:tcBorders>
              <w:top w:val="single" w:sz="1" w:space="0" w:color="D1D5DB"/>
              <w:left w:val="single" w:sz="1" w:space="0" w:color="D1D5DB"/>
              <w:bottom w:val="single" w:sz="1" w:space="0" w:color="D1D5DB"/>
              <w:right w:val="single" w:sz="1" w:space="0" w:color="D1D5DB"/>
            </w:tcBorders>
            <w:shd w:val="solid" w:color="E5E7EB" w:fill="auto"/>
            <w:tcMar>
              <w:top w:w="115" w:type="dxa"/>
              <w:left w:w="144" w:type="dxa"/>
              <w:bottom w:w="115" w:type="dxa"/>
              <w:right w:w="144" w:type="dxa"/>
            </w:tcMar>
          </w:tcPr>
          <w:p w14:paraId="2E0174D5" w14:textId="77777777" w:rsidR="004B51E5" w:rsidRDefault="004B51E5" w:rsidP="00243AAA">
            <w:pPr>
              <w:spacing w:before="80" w:after="80"/>
              <w:jc w:val="center"/>
            </w:pPr>
            <w:r>
              <w:rPr>
                <w:rFonts w:ascii="Calibri" w:eastAsia="Calibri" w:hAnsi="Calibri" w:cs="Calibri"/>
                <w:b/>
                <w:bCs/>
                <w:sz w:val="20"/>
                <w:szCs w:val="20"/>
              </w:rPr>
              <w:t>Risk Scenario</w:t>
            </w:r>
          </w:p>
        </w:tc>
        <w:tc>
          <w:tcPr>
            <w:tcW w:w="2339" w:type="dxa"/>
            <w:tcBorders>
              <w:top w:val="single" w:sz="1" w:space="0" w:color="D1D5DB"/>
              <w:left w:val="single" w:sz="1" w:space="0" w:color="D1D5DB"/>
              <w:bottom w:val="single" w:sz="1" w:space="0" w:color="D1D5DB"/>
              <w:right w:val="single" w:sz="1" w:space="0" w:color="D1D5DB"/>
            </w:tcBorders>
            <w:shd w:val="solid" w:color="E5E7EB" w:fill="auto"/>
            <w:tcMar>
              <w:top w:w="115" w:type="dxa"/>
              <w:left w:w="144" w:type="dxa"/>
              <w:bottom w:w="115" w:type="dxa"/>
              <w:right w:w="144" w:type="dxa"/>
            </w:tcMar>
          </w:tcPr>
          <w:p w14:paraId="08EBDD9C" w14:textId="77777777" w:rsidR="004B51E5" w:rsidRDefault="004B51E5" w:rsidP="00243AAA">
            <w:pPr>
              <w:spacing w:before="80" w:after="80"/>
              <w:jc w:val="center"/>
            </w:pPr>
            <w:r>
              <w:rPr>
                <w:rFonts w:ascii="Calibri" w:eastAsia="Calibri" w:hAnsi="Calibri" w:cs="Calibri"/>
                <w:b/>
                <w:bCs/>
                <w:sz w:val="20"/>
                <w:szCs w:val="20"/>
              </w:rPr>
              <w:t>Potential Impact</w:t>
            </w:r>
          </w:p>
        </w:tc>
        <w:tc>
          <w:tcPr>
            <w:tcW w:w="2339" w:type="dxa"/>
            <w:tcBorders>
              <w:top w:val="single" w:sz="1" w:space="0" w:color="D1D5DB"/>
              <w:left w:val="single" w:sz="1" w:space="0" w:color="D1D5DB"/>
              <w:bottom w:val="single" w:sz="1" w:space="0" w:color="D1D5DB"/>
              <w:right w:val="single" w:sz="1" w:space="0" w:color="D1D5DB"/>
            </w:tcBorders>
            <w:shd w:val="solid" w:color="E5E7EB" w:fill="auto"/>
            <w:tcMar>
              <w:top w:w="115" w:type="dxa"/>
              <w:left w:w="144" w:type="dxa"/>
              <w:bottom w:w="115" w:type="dxa"/>
              <w:right w:w="144" w:type="dxa"/>
            </w:tcMar>
          </w:tcPr>
          <w:p w14:paraId="5BA14F0F" w14:textId="77777777" w:rsidR="004B51E5" w:rsidRDefault="004B51E5" w:rsidP="00243AAA">
            <w:pPr>
              <w:spacing w:before="80" w:after="80"/>
              <w:jc w:val="center"/>
            </w:pPr>
            <w:r>
              <w:rPr>
                <w:rFonts w:ascii="Calibri" w:eastAsia="Calibri" w:hAnsi="Calibri" w:cs="Calibri"/>
                <w:b/>
                <w:bCs/>
                <w:sz w:val="20"/>
                <w:szCs w:val="20"/>
              </w:rPr>
              <w:t>Likelihood</w:t>
            </w:r>
          </w:p>
        </w:tc>
        <w:tc>
          <w:tcPr>
            <w:tcW w:w="2339" w:type="dxa"/>
            <w:tcBorders>
              <w:top w:val="single" w:sz="1" w:space="0" w:color="D1D5DB"/>
              <w:left w:val="single" w:sz="1" w:space="0" w:color="D1D5DB"/>
              <w:bottom w:val="single" w:sz="1" w:space="0" w:color="D1D5DB"/>
              <w:right w:val="single" w:sz="1" w:space="0" w:color="D1D5DB"/>
            </w:tcBorders>
            <w:shd w:val="solid" w:color="E5E7EB" w:fill="auto"/>
            <w:tcMar>
              <w:top w:w="115" w:type="dxa"/>
              <w:left w:w="144" w:type="dxa"/>
              <w:bottom w:w="115" w:type="dxa"/>
              <w:right w:w="144" w:type="dxa"/>
            </w:tcMar>
          </w:tcPr>
          <w:p w14:paraId="5662E4CA" w14:textId="77777777" w:rsidR="004B51E5" w:rsidRDefault="004B51E5" w:rsidP="00243AAA">
            <w:pPr>
              <w:spacing w:before="80" w:after="80"/>
              <w:jc w:val="center"/>
            </w:pPr>
            <w:r>
              <w:rPr>
                <w:rFonts w:ascii="Calibri" w:eastAsia="Calibri" w:hAnsi="Calibri" w:cs="Calibri"/>
                <w:b/>
                <w:bCs/>
                <w:sz w:val="20"/>
                <w:szCs w:val="20"/>
              </w:rPr>
              <w:t>Mitigation Strategy</w:t>
            </w:r>
          </w:p>
        </w:tc>
      </w:tr>
      <w:tr w:rsidR="004B51E5" w14:paraId="33688E0E" w14:textId="77777777" w:rsidTr="004B51E5">
        <w:tblPrEx>
          <w:tblCellMar>
            <w:top w:w="0" w:type="dxa"/>
            <w:bottom w:w="0" w:type="dxa"/>
          </w:tblCellMar>
        </w:tblPrEx>
        <w:trPr>
          <w:trHeight w:val="967"/>
        </w:trPr>
        <w:tc>
          <w:tcPr>
            <w:tcW w:w="2339"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5360D739" w14:textId="77777777" w:rsidR="004B51E5" w:rsidRDefault="004B51E5" w:rsidP="00243AAA">
            <w:pPr>
              <w:spacing w:before="60" w:after="60"/>
            </w:pPr>
            <w:r>
              <w:rPr>
                <w:rFonts w:ascii="Calibri" w:eastAsia="Calibri" w:hAnsi="Calibri" w:cs="Calibri"/>
                <w:sz w:val="20"/>
                <w:szCs w:val="20"/>
              </w:rPr>
              <w:t>Third-party data breach</w:t>
            </w:r>
          </w:p>
        </w:tc>
        <w:tc>
          <w:tcPr>
            <w:tcW w:w="2339"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452D7B5A" w14:textId="77777777" w:rsidR="004B51E5" w:rsidRDefault="004B51E5" w:rsidP="00243AAA">
            <w:pPr>
              <w:spacing w:before="60" w:after="60"/>
            </w:pPr>
            <w:r>
              <w:rPr>
                <w:rFonts w:ascii="Calibri" w:eastAsia="Calibri" w:hAnsi="Calibri" w:cs="Calibri"/>
                <w:sz w:val="20"/>
                <w:szCs w:val="20"/>
              </w:rPr>
              <w:t>GDPR fines, reputational damage, service disruption</w:t>
            </w:r>
          </w:p>
        </w:tc>
        <w:tc>
          <w:tcPr>
            <w:tcW w:w="2339"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7CE1F6C5" w14:textId="77777777" w:rsidR="004B51E5" w:rsidRDefault="004B51E5" w:rsidP="00243AAA">
            <w:pPr>
              <w:spacing w:before="60" w:after="60"/>
            </w:pPr>
            <w:r>
              <w:rPr>
                <w:rFonts w:ascii="Calibri" w:eastAsia="Calibri" w:hAnsi="Calibri" w:cs="Calibri"/>
                <w:sz w:val="20"/>
                <w:szCs w:val="20"/>
              </w:rPr>
              <w:t>Medium</w:t>
            </w:r>
          </w:p>
        </w:tc>
        <w:tc>
          <w:tcPr>
            <w:tcW w:w="2339"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03C4E3EC" w14:textId="77777777" w:rsidR="004B51E5" w:rsidRDefault="004B51E5" w:rsidP="00243AAA">
            <w:pPr>
              <w:spacing w:before="60" w:after="60"/>
            </w:pPr>
            <w:r>
              <w:rPr>
                <w:rFonts w:ascii="Calibri" w:eastAsia="Calibri" w:hAnsi="Calibri" w:cs="Calibri"/>
                <w:sz w:val="20"/>
                <w:szCs w:val="20"/>
              </w:rPr>
              <w:t>Vendor security assessments, contractual SLAs, data encryption, regular audits.</w:t>
            </w:r>
          </w:p>
        </w:tc>
      </w:tr>
      <w:tr w:rsidR="004B51E5" w14:paraId="130619B4" w14:textId="77777777" w:rsidTr="004B51E5">
        <w:tblPrEx>
          <w:tblCellMar>
            <w:top w:w="0" w:type="dxa"/>
            <w:bottom w:w="0" w:type="dxa"/>
          </w:tblCellMar>
        </w:tblPrEx>
        <w:trPr>
          <w:trHeight w:val="1244"/>
        </w:trPr>
        <w:tc>
          <w:tcPr>
            <w:tcW w:w="2339"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4D1E8733" w14:textId="77777777" w:rsidR="004B51E5" w:rsidRDefault="004B51E5" w:rsidP="00243AAA">
            <w:pPr>
              <w:spacing w:before="60" w:after="60"/>
            </w:pPr>
            <w:r>
              <w:rPr>
                <w:rFonts w:ascii="Calibri" w:eastAsia="Calibri" w:hAnsi="Calibri" w:cs="Calibri"/>
                <w:sz w:val="20"/>
                <w:szCs w:val="20"/>
              </w:rPr>
              <w:t>Cloud misconfiguration</w:t>
            </w:r>
          </w:p>
        </w:tc>
        <w:tc>
          <w:tcPr>
            <w:tcW w:w="2339"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2735A0BF" w14:textId="77777777" w:rsidR="004B51E5" w:rsidRDefault="004B51E5" w:rsidP="00243AAA">
            <w:pPr>
              <w:spacing w:before="60" w:after="60"/>
            </w:pPr>
            <w:r>
              <w:rPr>
                <w:rFonts w:ascii="Calibri" w:eastAsia="Calibri" w:hAnsi="Calibri" w:cs="Calibri"/>
                <w:sz w:val="20"/>
                <w:szCs w:val="20"/>
              </w:rPr>
              <w:t>Unauthorised data access, service outage</w:t>
            </w:r>
          </w:p>
        </w:tc>
        <w:tc>
          <w:tcPr>
            <w:tcW w:w="2339"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4F648478" w14:textId="77777777" w:rsidR="004B51E5" w:rsidRDefault="004B51E5" w:rsidP="00243AAA">
            <w:pPr>
              <w:spacing w:before="60" w:after="60"/>
            </w:pPr>
            <w:r>
              <w:rPr>
                <w:rFonts w:ascii="Calibri" w:eastAsia="Calibri" w:hAnsi="Calibri" w:cs="Calibri"/>
                <w:sz w:val="20"/>
                <w:szCs w:val="20"/>
              </w:rPr>
              <w:t>High</w:t>
            </w:r>
          </w:p>
        </w:tc>
        <w:tc>
          <w:tcPr>
            <w:tcW w:w="2339"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5E3ADB90" w14:textId="77777777" w:rsidR="004B51E5" w:rsidRDefault="004B51E5" w:rsidP="00243AAA">
            <w:pPr>
              <w:spacing w:before="60" w:after="60"/>
            </w:pPr>
            <w:r>
              <w:rPr>
                <w:rFonts w:ascii="Calibri" w:eastAsia="Calibri" w:hAnsi="Calibri" w:cs="Calibri"/>
                <w:sz w:val="20"/>
                <w:szCs w:val="20"/>
              </w:rPr>
              <w:t>CSPM, automated configuration checks, least privilege IAM, regular security audits.</w:t>
            </w:r>
          </w:p>
        </w:tc>
      </w:tr>
      <w:tr w:rsidR="004B51E5" w14:paraId="17866956" w14:textId="77777777" w:rsidTr="004B51E5">
        <w:tblPrEx>
          <w:tblCellMar>
            <w:top w:w="0" w:type="dxa"/>
            <w:bottom w:w="0" w:type="dxa"/>
          </w:tblCellMar>
        </w:tblPrEx>
        <w:trPr>
          <w:trHeight w:val="954"/>
        </w:trPr>
        <w:tc>
          <w:tcPr>
            <w:tcW w:w="2339"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6C14C190" w14:textId="77777777" w:rsidR="004B51E5" w:rsidRDefault="004B51E5" w:rsidP="00243AAA">
            <w:pPr>
              <w:spacing w:before="60" w:after="60"/>
            </w:pPr>
            <w:r>
              <w:rPr>
                <w:rFonts w:ascii="Calibri" w:eastAsia="Calibri" w:hAnsi="Calibri" w:cs="Calibri"/>
                <w:sz w:val="20"/>
                <w:szCs w:val="20"/>
              </w:rPr>
              <w:t>AI model poisoning/drift</w:t>
            </w:r>
          </w:p>
        </w:tc>
        <w:tc>
          <w:tcPr>
            <w:tcW w:w="2339"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7352B3D6" w14:textId="77777777" w:rsidR="004B51E5" w:rsidRDefault="004B51E5" w:rsidP="00243AAA">
            <w:pPr>
              <w:spacing w:before="60" w:after="60"/>
            </w:pPr>
            <w:r>
              <w:rPr>
                <w:rFonts w:ascii="Calibri" w:eastAsia="Calibri" w:hAnsi="Calibri" w:cs="Calibri"/>
                <w:sz w:val="20"/>
                <w:szCs w:val="20"/>
              </w:rPr>
              <w:t>Inaccurate medical insights, patient harm, regulatory non-compliance</w:t>
            </w:r>
          </w:p>
        </w:tc>
        <w:tc>
          <w:tcPr>
            <w:tcW w:w="2339"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46CA029E" w14:textId="77777777" w:rsidR="004B51E5" w:rsidRDefault="004B51E5" w:rsidP="00243AAA">
            <w:pPr>
              <w:spacing w:before="60" w:after="60"/>
            </w:pPr>
            <w:r>
              <w:rPr>
                <w:rFonts w:ascii="Calibri" w:eastAsia="Calibri" w:hAnsi="Calibri" w:cs="Calibri"/>
                <w:sz w:val="20"/>
                <w:szCs w:val="20"/>
              </w:rPr>
              <w:t>Medium</w:t>
            </w:r>
          </w:p>
        </w:tc>
        <w:tc>
          <w:tcPr>
            <w:tcW w:w="2339"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4ED33433" w14:textId="77777777" w:rsidR="004B51E5" w:rsidRDefault="004B51E5" w:rsidP="00243AAA">
            <w:pPr>
              <w:spacing w:before="60" w:after="60"/>
            </w:pPr>
            <w:r>
              <w:rPr>
                <w:rFonts w:ascii="Calibri" w:eastAsia="Calibri" w:hAnsi="Calibri" w:cs="Calibri"/>
                <w:sz w:val="20"/>
                <w:szCs w:val="20"/>
              </w:rPr>
              <w:t xml:space="preserve">Secure </w:t>
            </w:r>
            <w:proofErr w:type="spellStart"/>
            <w:r>
              <w:rPr>
                <w:rFonts w:ascii="Calibri" w:eastAsia="Calibri" w:hAnsi="Calibri" w:cs="Calibri"/>
                <w:sz w:val="20"/>
                <w:szCs w:val="20"/>
              </w:rPr>
              <w:t>MLOps</w:t>
            </w:r>
            <w:proofErr w:type="spellEnd"/>
            <w:r>
              <w:rPr>
                <w:rFonts w:ascii="Calibri" w:eastAsia="Calibri" w:hAnsi="Calibri" w:cs="Calibri"/>
                <w:sz w:val="20"/>
                <w:szCs w:val="20"/>
              </w:rPr>
              <w:t xml:space="preserve"> pipelines, data validation, continuous model monitoring, explainable AI.</w:t>
            </w:r>
          </w:p>
        </w:tc>
      </w:tr>
      <w:tr w:rsidR="004B51E5" w14:paraId="5C0C5C53" w14:textId="77777777" w:rsidTr="004B51E5">
        <w:tblPrEx>
          <w:tblCellMar>
            <w:top w:w="0" w:type="dxa"/>
            <w:bottom w:w="0" w:type="dxa"/>
          </w:tblCellMar>
        </w:tblPrEx>
        <w:trPr>
          <w:trHeight w:val="967"/>
        </w:trPr>
        <w:tc>
          <w:tcPr>
            <w:tcW w:w="2339"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1A83D5CC" w14:textId="77777777" w:rsidR="004B51E5" w:rsidRDefault="004B51E5" w:rsidP="00243AAA">
            <w:pPr>
              <w:spacing w:before="60" w:after="60"/>
            </w:pPr>
            <w:r>
              <w:rPr>
                <w:rFonts w:ascii="Calibri" w:eastAsia="Calibri" w:hAnsi="Calibri" w:cs="Calibri"/>
                <w:sz w:val="20"/>
                <w:szCs w:val="20"/>
              </w:rPr>
              <w:lastRenderedPageBreak/>
              <w:t>Ransomware attack</w:t>
            </w:r>
          </w:p>
        </w:tc>
        <w:tc>
          <w:tcPr>
            <w:tcW w:w="2339"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4EADA682" w14:textId="77777777" w:rsidR="004B51E5" w:rsidRDefault="004B51E5" w:rsidP="00243AAA">
            <w:pPr>
              <w:spacing w:before="60" w:after="60"/>
            </w:pPr>
            <w:r>
              <w:rPr>
                <w:rFonts w:ascii="Calibri" w:eastAsia="Calibri" w:hAnsi="Calibri" w:cs="Calibri"/>
                <w:sz w:val="20"/>
                <w:szCs w:val="20"/>
              </w:rPr>
              <w:t>Data unavailability, financial loss, operational paralysis</w:t>
            </w:r>
          </w:p>
        </w:tc>
        <w:tc>
          <w:tcPr>
            <w:tcW w:w="2339"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76D9BA4A" w14:textId="77777777" w:rsidR="004B51E5" w:rsidRDefault="004B51E5" w:rsidP="00243AAA">
            <w:pPr>
              <w:spacing w:before="60" w:after="60"/>
            </w:pPr>
            <w:r>
              <w:rPr>
                <w:rFonts w:ascii="Calibri" w:eastAsia="Calibri" w:hAnsi="Calibri" w:cs="Calibri"/>
                <w:sz w:val="20"/>
                <w:szCs w:val="20"/>
              </w:rPr>
              <w:t>High</w:t>
            </w:r>
          </w:p>
        </w:tc>
        <w:tc>
          <w:tcPr>
            <w:tcW w:w="2339" w:type="dxa"/>
            <w:tcBorders>
              <w:top w:val="single" w:sz="1" w:space="0" w:color="D1D5DB"/>
              <w:left w:val="single" w:sz="1" w:space="0" w:color="D1D5DB"/>
              <w:bottom w:val="single" w:sz="1" w:space="0" w:color="D1D5DB"/>
              <w:right w:val="single" w:sz="1" w:space="0" w:color="D1D5DB"/>
            </w:tcBorders>
            <w:tcMar>
              <w:top w:w="115" w:type="dxa"/>
              <w:left w:w="144" w:type="dxa"/>
              <w:bottom w:w="115" w:type="dxa"/>
              <w:right w:w="144" w:type="dxa"/>
            </w:tcMar>
          </w:tcPr>
          <w:p w14:paraId="19CCACC2" w14:textId="77777777" w:rsidR="004B51E5" w:rsidRDefault="004B51E5" w:rsidP="00243AAA">
            <w:pPr>
              <w:spacing w:before="60" w:after="60"/>
            </w:pPr>
            <w:r>
              <w:rPr>
                <w:rFonts w:ascii="Calibri" w:eastAsia="Calibri" w:hAnsi="Calibri" w:cs="Calibri"/>
                <w:sz w:val="20"/>
                <w:szCs w:val="20"/>
              </w:rPr>
              <w:t>Immutable backups, network segmentation, EDR, incident response plan, user training.</w:t>
            </w:r>
          </w:p>
        </w:tc>
      </w:tr>
    </w:tbl>
    <w:p w14:paraId="50582907" w14:textId="77777777" w:rsidR="00526EE3" w:rsidRDefault="00526EE3" w:rsidP="00D54836">
      <w:pPr>
        <w:spacing w:line="360" w:lineRule="auto"/>
        <w:rPr>
          <w:rFonts w:ascii="Arial" w:hAnsi="Arial" w:cs="Arial"/>
          <w:sz w:val="22"/>
          <w:szCs w:val="22"/>
        </w:rPr>
      </w:pPr>
    </w:p>
    <w:p w14:paraId="7F4AEA22" w14:textId="701BB28B" w:rsidR="009D6101" w:rsidRDefault="009D6101" w:rsidP="009D6101">
      <w:pPr>
        <w:pStyle w:val="Heading2"/>
      </w:pPr>
      <w:bookmarkStart w:id="18" w:name="_Toc228040382"/>
      <w:r>
        <w:t>3</w:t>
      </w:r>
      <w:r>
        <w:t>.7 Contingency Planning</w:t>
      </w:r>
      <w:bookmarkEnd w:id="18"/>
    </w:p>
    <w:p w14:paraId="780519CD" w14:textId="77777777" w:rsidR="009D6101" w:rsidRPr="009D6101" w:rsidRDefault="009D6101" w:rsidP="009D6101">
      <w:pPr>
        <w:spacing w:before="60" w:line="360" w:lineRule="auto"/>
        <w:jc w:val="both"/>
        <w:rPr>
          <w:rFonts w:ascii="Arial" w:hAnsi="Arial" w:cs="Arial"/>
          <w:sz w:val="22"/>
          <w:szCs w:val="22"/>
        </w:rPr>
      </w:pPr>
      <w:r w:rsidRPr="009D6101">
        <w:rPr>
          <w:rFonts w:ascii="Arial" w:hAnsi="Arial" w:cs="Arial"/>
          <w:sz w:val="22"/>
          <w:szCs w:val="22"/>
        </w:rPr>
        <w:t xml:space="preserve">Contingency planning, particularly for ransomware attacks, is a critical component of </w:t>
      </w:r>
      <w:proofErr w:type="spellStart"/>
      <w:r w:rsidRPr="009D6101">
        <w:rPr>
          <w:rFonts w:ascii="Arial" w:hAnsi="Arial" w:cs="Arial"/>
          <w:sz w:val="22"/>
          <w:szCs w:val="22"/>
        </w:rPr>
        <w:t>MediTrust's</w:t>
      </w:r>
      <w:proofErr w:type="spellEnd"/>
      <w:r w:rsidRPr="009D6101">
        <w:rPr>
          <w:rFonts w:ascii="Arial" w:hAnsi="Arial" w:cs="Arial"/>
          <w:sz w:val="22"/>
          <w:szCs w:val="22"/>
        </w:rPr>
        <w:t xml:space="preserve"> operational resilience, directly addressing the "Recover" function of NIST CSF 2.0 and the resilience requirements of DORA and NIS2. Given the high value and sensitivity of AI data and repositories, a robust disaster recovery (DR) strategy is essential [22].</w:t>
      </w:r>
    </w:p>
    <w:p w14:paraId="5AB96B53" w14:textId="77777777" w:rsidR="009D6101" w:rsidRPr="009D6101" w:rsidRDefault="009D6101" w:rsidP="009D6101">
      <w:pPr>
        <w:spacing w:before="60" w:line="360" w:lineRule="auto"/>
        <w:jc w:val="both"/>
        <w:rPr>
          <w:rFonts w:ascii="Arial" w:hAnsi="Arial" w:cs="Arial"/>
          <w:sz w:val="22"/>
          <w:szCs w:val="22"/>
        </w:rPr>
      </w:pPr>
      <w:proofErr w:type="spellStart"/>
      <w:r w:rsidRPr="009D6101">
        <w:rPr>
          <w:rFonts w:ascii="Arial" w:hAnsi="Arial" w:cs="Arial"/>
          <w:sz w:val="22"/>
          <w:szCs w:val="22"/>
        </w:rPr>
        <w:t>MediTrust's</w:t>
      </w:r>
      <w:proofErr w:type="spellEnd"/>
      <w:r w:rsidRPr="009D6101">
        <w:rPr>
          <w:rFonts w:ascii="Arial" w:hAnsi="Arial" w:cs="Arial"/>
          <w:sz w:val="22"/>
          <w:szCs w:val="22"/>
        </w:rPr>
        <w:t xml:space="preserve"> ransomware DR plan for AI data and repositories includes:</w:t>
      </w:r>
    </w:p>
    <w:p w14:paraId="16572D57" w14:textId="77777777" w:rsidR="009D6101" w:rsidRPr="009D6101" w:rsidRDefault="009D6101" w:rsidP="009D6101">
      <w:pPr>
        <w:pStyle w:val="ListParagraph"/>
        <w:numPr>
          <w:ilvl w:val="0"/>
          <w:numId w:val="34"/>
        </w:numPr>
        <w:spacing w:before="40" w:after="40" w:line="360" w:lineRule="auto"/>
        <w:contextualSpacing w:val="0"/>
        <w:rPr>
          <w:rFonts w:ascii="Arial" w:hAnsi="Arial" w:cs="Arial"/>
          <w:sz w:val="22"/>
          <w:szCs w:val="22"/>
        </w:rPr>
      </w:pPr>
      <w:r w:rsidRPr="009D6101">
        <w:rPr>
          <w:rFonts w:ascii="Arial" w:hAnsi="Arial" w:cs="Arial"/>
          <w:b/>
          <w:bCs/>
          <w:sz w:val="22"/>
          <w:szCs w:val="22"/>
        </w:rPr>
        <w:t>Immutable Backups:</w:t>
      </w:r>
      <w:r w:rsidRPr="009D6101">
        <w:rPr>
          <w:rFonts w:ascii="Arial" w:hAnsi="Arial" w:cs="Arial"/>
          <w:sz w:val="22"/>
          <w:szCs w:val="22"/>
        </w:rPr>
        <w:t xml:space="preserve"> Implementing a 3-2-1 backup strategy, ensuring at least three copies of data, on two different media, with one copy off-site and immutable. This prevents ransomware from encrypting or deleting backups.</w:t>
      </w:r>
    </w:p>
    <w:p w14:paraId="29732272" w14:textId="77777777" w:rsidR="009D6101" w:rsidRPr="009D6101" w:rsidRDefault="009D6101" w:rsidP="009D6101">
      <w:pPr>
        <w:pStyle w:val="ListParagraph"/>
        <w:numPr>
          <w:ilvl w:val="0"/>
          <w:numId w:val="34"/>
        </w:numPr>
        <w:spacing w:before="40" w:after="40" w:line="360" w:lineRule="auto"/>
        <w:contextualSpacing w:val="0"/>
        <w:rPr>
          <w:rFonts w:ascii="Arial" w:hAnsi="Arial" w:cs="Arial"/>
          <w:sz w:val="22"/>
          <w:szCs w:val="22"/>
        </w:rPr>
      </w:pPr>
      <w:r w:rsidRPr="009D6101">
        <w:rPr>
          <w:rFonts w:ascii="Arial" w:hAnsi="Arial" w:cs="Arial"/>
          <w:b/>
          <w:bCs/>
          <w:sz w:val="22"/>
          <w:szCs w:val="22"/>
        </w:rPr>
        <w:t>Network Segmentation:</w:t>
      </w:r>
      <w:r w:rsidRPr="009D6101">
        <w:rPr>
          <w:rFonts w:ascii="Arial" w:hAnsi="Arial" w:cs="Arial"/>
          <w:sz w:val="22"/>
          <w:szCs w:val="22"/>
        </w:rPr>
        <w:t xml:space="preserve"> Isolating critical AI development and production environments from the broader corporate network to limit the lateral movement of ransomware.</w:t>
      </w:r>
    </w:p>
    <w:p w14:paraId="40FD3FF6" w14:textId="77777777" w:rsidR="009D6101" w:rsidRPr="009D6101" w:rsidRDefault="009D6101" w:rsidP="009D6101">
      <w:pPr>
        <w:pStyle w:val="ListParagraph"/>
        <w:numPr>
          <w:ilvl w:val="0"/>
          <w:numId w:val="34"/>
        </w:numPr>
        <w:spacing w:before="40" w:after="40" w:line="360" w:lineRule="auto"/>
        <w:contextualSpacing w:val="0"/>
        <w:rPr>
          <w:rFonts w:ascii="Arial" w:hAnsi="Arial" w:cs="Arial"/>
          <w:sz w:val="22"/>
          <w:szCs w:val="22"/>
        </w:rPr>
      </w:pPr>
      <w:r w:rsidRPr="009D6101">
        <w:rPr>
          <w:rFonts w:ascii="Arial" w:hAnsi="Arial" w:cs="Arial"/>
          <w:b/>
          <w:bCs/>
          <w:sz w:val="22"/>
          <w:szCs w:val="22"/>
        </w:rPr>
        <w:t>Regular DR Testing:</w:t>
      </w:r>
      <w:r w:rsidRPr="009D6101">
        <w:rPr>
          <w:rFonts w:ascii="Arial" w:hAnsi="Arial" w:cs="Arial"/>
          <w:sz w:val="22"/>
          <w:szCs w:val="22"/>
        </w:rPr>
        <w:t xml:space="preserve"> Conducting periodic, unannounced DR drills to validate backup integrity, recovery procedures, and the effectiveness of the incident response team. This includes testing the restoration of AI models and their associated training datasets.</w:t>
      </w:r>
    </w:p>
    <w:p w14:paraId="4E8BA452" w14:textId="77777777" w:rsidR="009D6101" w:rsidRPr="009D6101" w:rsidRDefault="009D6101" w:rsidP="009D6101">
      <w:pPr>
        <w:pStyle w:val="ListParagraph"/>
        <w:numPr>
          <w:ilvl w:val="0"/>
          <w:numId w:val="34"/>
        </w:numPr>
        <w:spacing w:before="40" w:after="40" w:line="360" w:lineRule="auto"/>
        <w:contextualSpacing w:val="0"/>
        <w:rPr>
          <w:rFonts w:ascii="Arial" w:hAnsi="Arial" w:cs="Arial"/>
          <w:sz w:val="22"/>
          <w:szCs w:val="22"/>
        </w:rPr>
      </w:pPr>
      <w:r w:rsidRPr="009D6101">
        <w:rPr>
          <w:rFonts w:ascii="Arial" w:hAnsi="Arial" w:cs="Arial"/>
          <w:b/>
          <w:bCs/>
          <w:sz w:val="22"/>
          <w:szCs w:val="22"/>
        </w:rPr>
        <w:t>Incident Response Playbooks:</w:t>
      </w:r>
      <w:r w:rsidRPr="009D6101">
        <w:rPr>
          <w:rFonts w:ascii="Arial" w:hAnsi="Arial" w:cs="Arial"/>
          <w:sz w:val="22"/>
          <w:szCs w:val="22"/>
        </w:rPr>
        <w:t xml:space="preserve"> Developing detailed playbooks specifically for ransomware incidents, outlining steps for containment, eradication, recovery, and post-incident analysis. These playbooks include communication strategies for regulatory bodies (DPO, CSIRTs) as required by GDPR, DORA, and NIS2.</w:t>
      </w:r>
    </w:p>
    <w:p w14:paraId="5E2BC377" w14:textId="77777777" w:rsidR="009D6101" w:rsidRPr="009D6101" w:rsidRDefault="009D6101" w:rsidP="009D6101">
      <w:pPr>
        <w:pStyle w:val="ListParagraph"/>
        <w:numPr>
          <w:ilvl w:val="0"/>
          <w:numId w:val="34"/>
        </w:numPr>
        <w:spacing w:before="40" w:after="40" w:line="360" w:lineRule="auto"/>
        <w:contextualSpacing w:val="0"/>
        <w:rPr>
          <w:rFonts w:ascii="Arial" w:hAnsi="Arial" w:cs="Arial"/>
          <w:sz w:val="22"/>
          <w:szCs w:val="22"/>
        </w:rPr>
      </w:pPr>
      <w:r w:rsidRPr="009D6101">
        <w:rPr>
          <w:rFonts w:ascii="Arial" w:hAnsi="Arial" w:cs="Arial"/>
          <w:b/>
          <w:bCs/>
          <w:sz w:val="22"/>
          <w:szCs w:val="22"/>
        </w:rPr>
        <w:t>Recovery Time Objectives (RTO) and Recovery Point Objectives (RPO):</w:t>
      </w:r>
      <w:r w:rsidRPr="009D6101">
        <w:rPr>
          <w:rFonts w:ascii="Arial" w:hAnsi="Arial" w:cs="Arial"/>
          <w:sz w:val="22"/>
          <w:szCs w:val="22"/>
        </w:rPr>
        <w:t xml:space="preserve"> Defining clear RTOs and RPOs for all critical AI data and systems, ensuring that recovery efforts meet business continuity requirements and minimise service disruption.</w:t>
      </w:r>
    </w:p>
    <w:p w14:paraId="4FF698BA" w14:textId="77777777" w:rsidR="009D6101" w:rsidRPr="009D6101" w:rsidRDefault="009D6101" w:rsidP="009D6101">
      <w:pPr>
        <w:pStyle w:val="ListParagraph"/>
        <w:numPr>
          <w:ilvl w:val="0"/>
          <w:numId w:val="34"/>
        </w:numPr>
        <w:spacing w:before="40" w:after="40" w:line="360" w:lineRule="auto"/>
        <w:contextualSpacing w:val="0"/>
        <w:rPr>
          <w:rFonts w:ascii="Arial" w:hAnsi="Arial" w:cs="Arial"/>
          <w:sz w:val="22"/>
          <w:szCs w:val="22"/>
        </w:rPr>
      </w:pPr>
      <w:r w:rsidRPr="009D6101">
        <w:rPr>
          <w:rFonts w:ascii="Arial" w:hAnsi="Arial" w:cs="Arial"/>
          <w:b/>
          <w:bCs/>
          <w:sz w:val="22"/>
          <w:szCs w:val="22"/>
        </w:rPr>
        <w:t>Offline Storage for Critical AI Models:</w:t>
      </w:r>
      <w:r w:rsidRPr="009D6101">
        <w:rPr>
          <w:rFonts w:ascii="Arial" w:hAnsi="Arial" w:cs="Arial"/>
          <w:sz w:val="22"/>
          <w:szCs w:val="22"/>
        </w:rPr>
        <w:t xml:space="preserve"> Maintaining an offline, air-gapped copy of critical AI models and their corresponding metadata to ensure recovery even in extreme scenarios.</w:t>
      </w:r>
    </w:p>
    <w:p w14:paraId="5AA9B169" w14:textId="3E74D46B" w:rsidR="009D6101" w:rsidRDefault="009D6101" w:rsidP="009D6101">
      <w:pPr>
        <w:pStyle w:val="Heading2"/>
      </w:pPr>
      <w:bookmarkStart w:id="19" w:name="_Toc228040383"/>
      <w:r>
        <w:lastRenderedPageBreak/>
        <w:t>3</w:t>
      </w:r>
      <w:r>
        <w:t>.8 Protection Mechanisms</w:t>
      </w:r>
      <w:bookmarkEnd w:id="19"/>
    </w:p>
    <w:p w14:paraId="3CA0C0EC" w14:textId="55012148" w:rsidR="009D6101" w:rsidRPr="004261FA" w:rsidRDefault="009D6101" w:rsidP="009D6101">
      <w:pPr>
        <w:spacing w:before="60" w:after="120" w:line="360" w:lineRule="auto"/>
        <w:rPr>
          <w:rFonts w:ascii="Arial" w:hAnsi="Arial" w:cs="Arial"/>
          <w:sz w:val="22"/>
          <w:szCs w:val="22"/>
        </w:rPr>
      </w:pPr>
      <w:proofErr w:type="spellStart"/>
      <w:r w:rsidRPr="004261FA">
        <w:rPr>
          <w:rFonts w:ascii="Arial" w:hAnsi="Arial" w:cs="Arial"/>
          <w:sz w:val="22"/>
          <w:szCs w:val="22"/>
        </w:rPr>
        <w:t>MediTrust's</w:t>
      </w:r>
      <w:proofErr w:type="spellEnd"/>
      <w:r w:rsidRPr="004261FA">
        <w:rPr>
          <w:rFonts w:ascii="Arial" w:hAnsi="Arial" w:cs="Arial"/>
          <w:sz w:val="22"/>
          <w:szCs w:val="22"/>
        </w:rPr>
        <w:t xml:space="preserve"> security program uses a multi-layered approach, combining advanced technologies with Zero Trust principles to anticipate, protect, detect, and respond to threats. These mechanisms ensure continuous verification and reduce the attack surface in the hybrid IT environment.</w:t>
      </w:r>
    </w:p>
    <w:p w14:paraId="7E15E596" w14:textId="3311F591" w:rsidR="009D6101" w:rsidRPr="004261FA" w:rsidRDefault="009D6101" w:rsidP="00093287">
      <w:pPr>
        <w:spacing w:before="60" w:after="120" w:line="360" w:lineRule="auto"/>
        <w:ind w:left="720"/>
        <w:rPr>
          <w:rFonts w:ascii="Arial" w:hAnsi="Arial" w:cs="Arial"/>
          <w:b/>
          <w:bCs/>
          <w:sz w:val="22"/>
          <w:szCs w:val="22"/>
        </w:rPr>
      </w:pPr>
      <w:r w:rsidRPr="009D6101">
        <w:rPr>
          <w:rFonts w:ascii="Arial" w:hAnsi="Arial" w:cs="Arial"/>
          <w:b/>
          <w:bCs/>
          <w:sz w:val="22"/>
          <w:szCs w:val="22"/>
        </w:rPr>
        <w:t>3</w:t>
      </w:r>
      <w:r w:rsidRPr="004261FA">
        <w:rPr>
          <w:rFonts w:ascii="Arial" w:hAnsi="Arial" w:cs="Arial"/>
          <w:b/>
          <w:bCs/>
          <w:sz w:val="22"/>
          <w:szCs w:val="22"/>
        </w:rPr>
        <w:t>.8.1 Cloud Security Posture Management (CSPM)</w:t>
      </w:r>
    </w:p>
    <w:p w14:paraId="2915B31D" w14:textId="77777777" w:rsidR="009D6101" w:rsidRPr="004261FA" w:rsidRDefault="009D6101" w:rsidP="00093287">
      <w:pPr>
        <w:spacing w:before="60" w:after="120" w:line="360" w:lineRule="auto"/>
        <w:ind w:left="720"/>
        <w:rPr>
          <w:rFonts w:ascii="Arial" w:hAnsi="Arial" w:cs="Arial"/>
          <w:sz w:val="22"/>
          <w:szCs w:val="22"/>
        </w:rPr>
      </w:pPr>
      <w:r w:rsidRPr="004261FA">
        <w:rPr>
          <w:rFonts w:ascii="Arial" w:hAnsi="Arial" w:cs="Arial"/>
          <w:sz w:val="22"/>
          <w:szCs w:val="22"/>
        </w:rPr>
        <w:t xml:space="preserve">CSPM tools continuously monitor </w:t>
      </w:r>
      <w:proofErr w:type="spellStart"/>
      <w:r w:rsidRPr="004261FA">
        <w:rPr>
          <w:rFonts w:ascii="Arial" w:hAnsi="Arial" w:cs="Arial"/>
          <w:sz w:val="22"/>
          <w:szCs w:val="22"/>
        </w:rPr>
        <w:t>MediTrust's</w:t>
      </w:r>
      <w:proofErr w:type="spellEnd"/>
      <w:r w:rsidRPr="004261FA">
        <w:rPr>
          <w:rFonts w:ascii="Arial" w:hAnsi="Arial" w:cs="Arial"/>
          <w:sz w:val="22"/>
          <w:szCs w:val="22"/>
        </w:rPr>
        <w:t xml:space="preserve"> cloud environments (AWS, Azure, GCP) for misconfigurations and security risks. They automate secure configuration enforcement, ensuring compliance with internal policies and regulations (GDPR, DORA, NIS2). This provides real-time visibility into cloud security, allowing proactive remediation of vulnerabilities [23].</w:t>
      </w:r>
    </w:p>
    <w:p w14:paraId="40853088" w14:textId="77777777" w:rsidR="009D6101" w:rsidRPr="004261FA" w:rsidRDefault="009D6101" w:rsidP="00093287">
      <w:pPr>
        <w:spacing w:before="60" w:after="120" w:line="360" w:lineRule="auto"/>
        <w:ind w:left="720"/>
        <w:rPr>
          <w:rFonts w:ascii="Arial" w:hAnsi="Arial" w:cs="Arial"/>
          <w:sz w:val="22"/>
          <w:szCs w:val="22"/>
        </w:rPr>
      </w:pPr>
    </w:p>
    <w:p w14:paraId="50A3B8CE" w14:textId="55342612" w:rsidR="009D6101" w:rsidRPr="004261FA" w:rsidRDefault="009D6101" w:rsidP="00093287">
      <w:pPr>
        <w:spacing w:before="60" w:after="120" w:line="360" w:lineRule="auto"/>
        <w:ind w:left="720"/>
        <w:rPr>
          <w:rFonts w:ascii="Arial" w:hAnsi="Arial" w:cs="Arial"/>
          <w:b/>
          <w:bCs/>
          <w:sz w:val="22"/>
          <w:szCs w:val="22"/>
        </w:rPr>
      </w:pPr>
      <w:r w:rsidRPr="009D6101">
        <w:rPr>
          <w:rFonts w:ascii="Arial" w:hAnsi="Arial" w:cs="Arial"/>
          <w:b/>
          <w:bCs/>
          <w:sz w:val="22"/>
          <w:szCs w:val="22"/>
        </w:rPr>
        <w:t>3</w:t>
      </w:r>
      <w:r w:rsidRPr="004261FA">
        <w:rPr>
          <w:rFonts w:ascii="Arial" w:hAnsi="Arial" w:cs="Arial"/>
          <w:b/>
          <w:bCs/>
          <w:sz w:val="22"/>
          <w:szCs w:val="22"/>
        </w:rPr>
        <w:t>.8.2 Security Information and Event Management (SIEM)</w:t>
      </w:r>
    </w:p>
    <w:p w14:paraId="33F5AA27" w14:textId="77777777" w:rsidR="009D6101" w:rsidRPr="004261FA" w:rsidRDefault="009D6101" w:rsidP="00093287">
      <w:pPr>
        <w:spacing w:before="60" w:after="120" w:line="360" w:lineRule="auto"/>
        <w:ind w:left="720"/>
        <w:rPr>
          <w:rFonts w:ascii="Arial" w:hAnsi="Arial" w:cs="Arial"/>
          <w:sz w:val="22"/>
          <w:szCs w:val="22"/>
        </w:rPr>
      </w:pPr>
      <w:r w:rsidRPr="004261FA">
        <w:rPr>
          <w:rFonts w:ascii="Arial" w:hAnsi="Arial" w:cs="Arial"/>
          <w:sz w:val="22"/>
          <w:szCs w:val="22"/>
        </w:rPr>
        <w:t xml:space="preserve">A centralized SIEM solution aggregates security logs and events from all </w:t>
      </w:r>
      <w:proofErr w:type="spellStart"/>
      <w:r w:rsidRPr="004261FA">
        <w:rPr>
          <w:rFonts w:ascii="Arial" w:hAnsi="Arial" w:cs="Arial"/>
          <w:sz w:val="22"/>
          <w:szCs w:val="22"/>
        </w:rPr>
        <w:t>MediTrust</w:t>
      </w:r>
      <w:proofErr w:type="spellEnd"/>
      <w:r w:rsidRPr="004261FA">
        <w:rPr>
          <w:rFonts w:ascii="Arial" w:hAnsi="Arial" w:cs="Arial"/>
          <w:sz w:val="22"/>
          <w:szCs w:val="22"/>
        </w:rPr>
        <w:t xml:space="preserve"> systems, including cloud infrastructure, endpoints, and network devices. This allows for real-time threat detection, correlation of security events, and anomaly detection. Configured with specific rules and alerts, the SIEM detects indicators of compromise relevant to healthcare data and AI systems, enabling rapid identification of potential security incidents.</w:t>
      </w:r>
    </w:p>
    <w:p w14:paraId="728D628C" w14:textId="77777777" w:rsidR="009D6101" w:rsidRPr="004261FA" w:rsidRDefault="009D6101" w:rsidP="00093287">
      <w:pPr>
        <w:spacing w:before="60" w:after="120" w:line="360" w:lineRule="auto"/>
        <w:ind w:left="720"/>
        <w:rPr>
          <w:rFonts w:ascii="Arial" w:hAnsi="Arial" w:cs="Arial"/>
          <w:sz w:val="22"/>
          <w:szCs w:val="22"/>
        </w:rPr>
      </w:pPr>
    </w:p>
    <w:p w14:paraId="350A8088" w14:textId="0240821B" w:rsidR="009D6101" w:rsidRPr="004261FA" w:rsidRDefault="009D6101" w:rsidP="00093287">
      <w:pPr>
        <w:spacing w:before="60" w:after="120" w:line="360" w:lineRule="auto"/>
        <w:ind w:left="720"/>
        <w:rPr>
          <w:rFonts w:ascii="Arial" w:hAnsi="Arial" w:cs="Arial"/>
          <w:b/>
          <w:bCs/>
          <w:sz w:val="22"/>
          <w:szCs w:val="22"/>
        </w:rPr>
      </w:pPr>
      <w:r w:rsidRPr="009D6101">
        <w:rPr>
          <w:rFonts w:ascii="Arial" w:hAnsi="Arial" w:cs="Arial"/>
          <w:b/>
          <w:bCs/>
          <w:sz w:val="22"/>
          <w:szCs w:val="22"/>
        </w:rPr>
        <w:t>3</w:t>
      </w:r>
      <w:r w:rsidRPr="004261FA">
        <w:rPr>
          <w:rFonts w:ascii="Arial" w:hAnsi="Arial" w:cs="Arial"/>
          <w:b/>
          <w:bCs/>
          <w:sz w:val="22"/>
          <w:szCs w:val="22"/>
        </w:rPr>
        <w:t>.8.3 Endpoint Detection and Response (EDR) with Auto-Response</w:t>
      </w:r>
    </w:p>
    <w:p w14:paraId="6EF1BBFE" w14:textId="77777777" w:rsidR="009D6101" w:rsidRPr="004261FA" w:rsidRDefault="009D6101" w:rsidP="00093287">
      <w:pPr>
        <w:spacing w:before="60" w:after="120" w:line="360" w:lineRule="auto"/>
        <w:ind w:left="720"/>
        <w:rPr>
          <w:rFonts w:ascii="Arial" w:hAnsi="Arial" w:cs="Arial"/>
          <w:sz w:val="22"/>
          <w:szCs w:val="22"/>
        </w:rPr>
      </w:pPr>
      <w:r w:rsidRPr="004261FA">
        <w:rPr>
          <w:rFonts w:ascii="Arial" w:hAnsi="Arial" w:cs="Arial"/>
          <w:sz w:val="22"/>
          <w:szCs w:val="22"/>
        </w:rPr>
        <w:t xml:space="preserve">EDR solutions are implemented on all </w:t>
      </w:r>
      <w:proofErr w:type="spellStart"/>
      <w:r w:rsidRPr="004261FA">
        <w:rPr>
          <w:rFonts w:ascii="Arial" w:hAnsi="Arial" w:cs="Arial"/>
          <w:sz w:val="22"/>
          <w:szCs w:val="22"/>
        </w:rPr>
        <w:t>MediTrust</w:t>
      </w:r>
      <w:proofErr w:type="spellEnd"/>
      <w:r w:rsidRPr="004261FA">
        <w:rPr>
          <w:rFonts w:ascii="Arial" w:hAnsi="Arial" w:cs="Arial"/>
          <w:sz w:val="22"/>
          <w:szCs w:val="22"/>
        </w:rPr>
        <w:t xml:space="preserve"> endpoints (laptops, servers, virtual machines) to enhance visibility into activities, detect advanced threats (e.g., fileless malware, ransomware), and facilitate automated responses. When a threat arises, EDR can isolate compromised endpoints, terminate malicious processes, and revert changes, thereby reducing attacker dwell time and limiting incident impact. This automation is vital for operational resilience and fulfilling DORA's incident management goals.</w:t>
      </w:r>
    </w:p>
    <w:p w14:paraId="4AC5F044" w14:textId="77777777" w:rsidR="009D6101" w:rsidRPr="004261FA" w:rsidRDefault="009D6101" w:rsidP="00093287">
      <w:pPr>
        <w:spacing w:before="60" w:after="120" w:line="360" w:lineRule="auto"/>
        <w:ind w:left="720"/>
        <w:rPr>
          <w:rFonts w:ascii="Arial" w:hAnsi="Arial" w:cs="Arial"/>
          <w:sz w:val="22"/>
          <w:szCs w:val="22"/>
        </w:rPr>
      </w:pPr>
    </w:p>
    <w:p w14:paraId="269F373F" w14:textId="51A27A9D" w:rsidR="009D6101" w:rsidRPr="004261FA" w:rsidRDefault="009D6101" w:rsidP="00093287">
      <w:pPr>
        <w:spacing w:before="60" w:after="120" w:line="360" w:lineRule="auto"/>
        <w:ind w:left="720"/>
        <w:rPr>
          <w:rFonts w:ascii="Arial" w:hAnsi="Arial" w:cs="Arial"/>
          <w:b/>
          <w:bCs/>
          <w:sz w:val="22"/>
          <w:szCs w:val="22"/>
        </w:rPr>
      </w:pPr>
      <w:r w:rsidRPr="009D6101">
        <w:rPr>
          <w:rFonts w:ascii="Arial" w:hAnsi="Arial" w:cs="Arial"/>
          <w:b/>
          <w:bCs/>
          <w:sz w:val="22"/>
          <w:szCs w:val="22"/>
        </w:rPr>
        <w:t>3</w:t>
      </w:r>
      <w:r w:rsidRPr="004261FA">
        <w:rPr>
          <w:rFonts w:ascii="Arial" w:hAnsi="Arial" w:cs="Arial"/>
          <w:b/>
          <w:bCs/>
          <w:sz w:val="22"/>
          <w:szCs w:val="22"/>
        </w:rPr>
        <w:t>.8.4 Phishing-Resistant Multi-Factor Authentication (MFA)</w:t>
      </w:r>
    </w:p>
    <w:p w14:paraId="45173DDC" w14:textId="77777777" w:rsidR="009D6101" w:rsidRPr="004261FA" w:rsidRDefault="009D6101" w:rsidP="00093287">
      <w:pPr>
        <w:spacing w:before="60" w:after="120" w:line="360" w:lineRule="auto"/>
        <w:ind w:left="720"/>
        <w:rPr>
          <w:rFonts w:ascii="Arial" w:hAnsi="Arial" w:cs="Arial"/>
          <w:sz w:val="22"/>
          <w:szCs w:val="22"/>
        </w:rPr>
      </w:pPr>
      <w:r w:rsidRPr="004261FA">
        <w:rPr>
          <w:rFonts w:ascii="Arial" w:hAnsi="Arial" w:cs="Arial"/>
          <w:sz w:val="22"/>
          <w:szCs w:val="22"/>
        </w:rPr>
        <w:t xml:space="preserve">To combat phishing and credential theft, </w:t>
      </w:r>
      <w:proofErr w:type="spellStart"/>
      <w:r w:rsidRPr="004261FA">
        <w:rPr>
          <w:rFonts w:ascii="Arial" w:hAnsi="Arial" w:cs="Arial"/>
          <w:sz w:val="22"/>
          <w:szCs w:val="22"/>
        </w:rPr>
        <w:t>MediTrust</w:t>
      </w:r>
      <w:proofErr w:type="spellEnd"/>
      <w:r w:rsidRPr="004261FA">
        <w:rPr>
          <w:rFonts w:ascii="Arial" w:hAnsi="Arial" w:cs="Arial"/>
          <w:sz w:val="22"/>
          <w:szCs w:val="22"/>
        </w:rPr>
        <w:t xml:space="preserve"> uses phishing-resistant MFA like FIDO2/</w:t>
      </w:r>
      <w:proofErr w:type="spellStart"/>
      <w:r w:rsidRPr="004261FA">
        <w:rPr>
          <w:rFonts w:ascii="Arial" w:hAnsi="Arial" w:cs="Arial"/>
          <w:sz w:val="22"/>
          <w:szCs w:val="22"/>
        </w:rPr>
        <w:t>WebAuthn</w:t>
      </w:r>
      <w:proofErr w:type="spellEnd"/>
      <w:r w:rsidRPr="004261FA">
        <w:rPr>
          <w:rFonts w:ascii="Arial" w:hAnsi="Arial" w:cs="Arial"/>
          <w:sz w:val="22"/>
          <w:szCs w:val="22"/>
        </w:rPr>
        <w:t xml:space="preserve">. Unlike traditional MFA (e.g., SMS OTPs), FIDO2 tokens are cryptographically bound to the origin, making them immune to phishing. This </w:t>
      </w:r>
      <w:r w:rsidRPr="004261FA">
        <w:rPr>
          <w:rFonts w:ascii="Arial" w:hAnsi="Arial" w:cs="Arial"/>
          <w:sz w:val="22"/>
          <w:szCs w:val="22"/>
        </w:rPr>
        <w:lastRenderedPageBreak/>
        <w:t xml:space="preserve">enhances identity verification, a key aspect of Zero Trust, ensuring only verified users access </w:t>
      </w:r>
      <w:proofErr w:type="spellStart"/>
      <w:r w:rsidRPr="004261FA">
        <w:rPr>
          <w:rFonts w:ascii="Arial" w:hAnsi="Arial" w:cs="Arial"/>
          <w:sz w:val="22"/>
          <w:szCs w:val="22"/>
        </w:rPr>
        <w:t>MediTrust's</w:t>
      </w:r>
      <w:proofErr w:type="spellEnd"/>
      <w:r w:rsidRPr="004261FA">
        <w:rPr>
          <w:rFonts w:ascii="Arial" w:hAnsi="Arial" w:cs="Arial"/>
          <w:sz w:val="22"/>
          <w:szCs w:val="22"/>
        </w:rPr>
        <w:t xml:space="preserve"> sensitive systems and data [24].</w:t>
      </w:r>
    </w:p>
    <w:p w14:paraId="27ACEFD3" w14:textId="77777777" w:rsidR="009D6101" w:rsidRPr="009D6101" w:rsidRDefault="009D6101" w:rsidP="009D6101">
      <w:pPr>
        <w:spacing w:before="60" w:line="360" w:lineRule="auto"/>
        <w:rPr>
          <w:rFonts w:ascii="Arial" w:hAnsi="Arial" w:cs="Arial"/>
          <w:sz w:val="22"/>
          <w:szCs w:val="22"/>
        </w:rPr>
      </w:pPr>
    </w:p>
    <w:p w14:paraId="30792F65" w14:textId="77777777" w:rsidR="009D6101" w:rsidRPr="004261FA" w:rsidRDefault="009D6101" w:rsidP="009D6101">
      <w:pPr>
        <w:spacing w:before="60" w:after="120" w:line="360" w:lineRule="auto"/>
        <w:rPr>
          <w:rFonts w:ascii="Arial" w:hAnsi="Arial" w:cs="Arial"/>
          <w:sz w:val="22"/>
          <w:szCs w:val="22"/>
        </w:rPr>
      </w:pPr>
      <w:r w:rsidRPr="004261FA">
        <w:rPr>
          <w:rFonts w:ascii="Arial" w:hAnsi="Arial" w:cs="Arial"/>
          <w:sz w:val="22"/>
          <w:szCs w:val="22"/>
        </w:rPr>
        <w:t>These protections are part of a comprehensive Zero Trust framework, as shown below:</w:t>
      </w:r>
    </w:p>
    <w:p w14:paraId="68D34ACC" w14:textId="0AC58F04" w:rsidR="009D6101" w:rsidRDefault="009D6101" w:rsidP="00D54836">
      <w:pPr>
        <w:spacing w:line="360" w:lineRule="auto"/>
        <w:rPr>
          <w:rFonts w:ascii="Arial" w:hAnsi="Arial" w:cs="Arial"/>
          <w:sz w:val="22"/>
          <w:szCs w:val="22"/>
        </w:rPr>
      </w:pPr>
      <w:r>
        <w:rPr>
          <w:noProof/>
        </w:rPr>
        <w:drawing>
          <wp:inline distT="0" distB="0" distL="0" distR="0" wp14:anchorId="580C3B6F" wp14:editId="6FD8E6D0">
            <wp:extent cx="5731510" cy="3198715"/>
            <wp:effectExtent l="0" t="0" r="0" b="1905"/>
            <wp:docPr id="755269882" name="Picture 3" descr="A diagram of a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269882" name="Picture 3" descr="A diagram of a company's company&#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198715"/>
                    </a:xfrm>
                    <a:prstGeom prst="rect">
                      <a:avLst/>
                    </a:prstGeom>
                  </pic:spPr>
                </pic:pic>
              </a:graphicData>
            </a:graphic>
          </wp:inline>
        </w:drawing>
      </w:r>
    </w:p>
    <w:p w14:paraId="53244E06" w14:textId="03C9E068" w:rsidR="006E5869" w:rsidRDefault="006E5869" w:rsidP="006E5869">
      <w:pPr>
        <w:pStyle w:val="Heading2"/>
      </w:pPr>
      <w:bookmarkStart w:id="20" w:name="_Toc228040384"/>
      <w:r>
        <w:t>3</w:t>
      </w:r>
      <w:r>
        <w:t>.9 Critical Evaluation &amp; Justification</w:t>
      </w:r>
      <w:bookmarkEnd w:id="20"/>
    </w:p>
    <w:p w14:paraId="6DBC011E" w14:textId="77777777" w:rsidR="0073677A" w:rsidRPr="003B2BD8" w:rsidRDefault="0073677A" w:rsidP="0073677A">
      <w:pPr>
        <w:spacing w:line="360" w:lineRule="auto"/>
        <w:rPr>
          <w:rFonts w:ascii="Arial" w:hAnsi="Arial" w:cs="Arial"/>
          <w:sz w:val="22"/>
          <w:szCs w:val="22"/>
        </w:rPr>
      </w:pPr>
      <w:r w:rsidRPr="003B2BD8">
        <w:rPr>
          <w:rFonts w:ascii="Arial" w:hAnsi="Arial" w:cs="Arial"/>
          <w:sz w:val="22"/>
          <w:szCs w:val="22"/>
        </w:rPr>
        <w:t xml:space="preserve">The proposed security programme for </w:t>
      </w:r>
      <w:proofErr w:type="spellStart"/>
      <w:r w:rsidRPr="003B2BD8">
        <w:rPr>
          <w:rFonts w:ascii="Arial" w:hAnsi="Arial" w:cs="Arial"/>
          <w:sz w:val="22"/>
          <w:szCs w:val="22"/>
        </w:rPr>
        <w:t>MediTrust</w:t>
      </w:r>
      <w:proofErr w:type="spellEnd"/>
      <w:r w:rsidRPr="003B2BD8">
        <w:rPr>
          <w:rFonts w:ascii="Arial" w:hAnsi="Arial" w:cs="Arial"/>
          <w:sz w:val="22"/>
          <w:szCs w:val="22"/>
        </w:rPr>
        <w:t xml:space="preserve"> Analytics Ltd establishes a robust, Zero-Trust-aligned framework that integrates strategic governance with proactive technical controls. By adopting the "anticipate, protect, detect, and respond" paradigm, the design directly addresses the fragmentation challenges identified in Task 1 [13].</w:t>
      </w:r>
    </w:p>
    <w:p w14:paraId="6083C7F2" w14:textId="77777777" w:rsidR="0073677A" w:rsidRPr="003B2BD8" w:rsidRDefault="0073677A" w:rsidP="0073677A">
      <w:pPr>
        <w:spacing w:line="360" w:lineRule="auto"/>
        <w:rPr>
          <w:rFonts w:ascii="Arial" w:hAnsi="Arial" w:cs="Arial"/>
          <w:sz w:val="22"/>
          <w:szCs w:val="22"/>
        </w:rPr>
      </w:pPr>
      <w:r w:rsidRPr="003B2BD8">
        <w:rPr>
          <w:rFonts w:ascii="Arial" w:hAnsi="Arial" w:cs="Arial"/>
          <w:b/>
          <w:bCs/>
          <w:sz w:val="22"/>
          <w:szCs w:val="22"/>
        </w:rPr>
        <w:t>Anticipate &amp; Identify:</w:t>
      </w:r>
      <w:r w:rsidRPr="003B2BD8">
        <w:rPr>
          <w:rFonts w:ascii="Arial" w:hAnsi="Arial" w:cs="Arial"/>
          <w:sz w:val="22"/>
          <w:szCs w:val="22"/>
        </w:rPr>
        <w:t xml:space="preserve"> The programme shifts from reactive to predictive security by utilizing the "Govern" and "Identify" functions of NIST CSF 2.0. The specialized Cloud Security Architect and </w:t>
      </w:r>
      <w:proofErr w:type="spellStart"/>
      <w:r w:rsidRPr="003B2BD8">
        <w:rPr>
          <w:rFonts w:ascii="Arial" w:hAnsi="Arial" w:cs="Arial"/>
          <w:sz w:val="22"/>
          <w:szCs w:val="22"/>
        </w:rPr>
        <w:t>DevSecOps</w:t>
      </w:r>
      <w:proofErr w:type="spellEnd"/>
      <w:r w:rsidRPr="003B2BD8">
        <w:rPr>
          <w:rFonts w:ascii="Arial" w:hAnsi="Arial" w:cs="Arial"/>
          <w:sz w:val="22"/>
          <w:szCs w:val="22"/>
        </w:rPr>
        <w:t xml:space="preserve"> Lead roles ensure that vulnerabilities in multi-cloud infrastructures and AI pipelines are identified during the design phase. Proactive risk management (Table 2) and continuous threat intelligence allow </w:t>
      </w:r>
      <w:proofErr w:type="spellStart"/>
      <w:r w:rsidRPr="003B2BD8">
        <w:rPr>
          <w:rFonts w:ascii="Arial" w:hAnsi="Arial" w:cs="Arial"/>
          <w:sz w:val="22"/>
          <w:szCs w:val="22"/>
        </w:rPr>
        <w:t>MediTrust</w:t>
      </w:r>
      <w:proofErr w:type="spellEnd"/>
      <w:r w:rsidRPr="003B2BD8">
        <w:rPr>
          <w:rFonts w:ascii="Arial" w:hAnsi="Arial" w:cs="Arial"/>
          <w:sz w:val="22"/>
          <w:szCs w:val="22"/>
        </w:rPr>
        <w:t xml:space="preserve"> to allocate resources based on the actual likelihood of threats like AI model poisoning or supply chain compromises.</w:t>
      </w:r>
    </w:p>
    <w:p w14:paraId="3A9A65E8" w14:textId="77777777" w:rsidR="0073677A" w:rsidRPr="003B2BD8" w:rsidRDefault="0073677A" w:rsidP="0073677A">
      <w:pPr>
        <w:spacing w:line="360" w:lineRule="auto"/>
        <w:rPr>
          <w:rFonts w:ascii="Arial" w:hAnsi="Arial" w:cs="Arial"/>
          <w:sz w:val="22"/>
          <w:szCs w:val="22"/>
        </w:rPr>
      </w:pPr>
      <w:r w:rsidRPr="003B2BD8">
        <w:rPr>
          <w:rFonts w:ascii="Arial" w:hAnsi="Arial" w:cs="Arial"/>
          <w:b/>
          <w:bCs/>
          <w:sz w:val="22"/>
          <w:szCs w:val="22"/>
        </w:rPr>
        <w:t>Protect &amp; Detect:</w:t>
      </w:r>
      <w:r w:rsidRPr="003B2BD8">
        <w:rPr>
          <w:rFonts w:ascii="Arial" w:hAnsi="Arial" w:cs="Arial"/>
          <w:sz w:val="22"/>
          <w:szCs w:val="22"/>
        </w:rPr>
        <w:t xml:space="preserve"> Multi-layered protection is achieved through phishing-resistant MFA and micro-segmentation, which minimize the lateral movement of threats. The Secure SaaS and BYOD policies extend this perimeter-less protection to the hybrid workforce, fulfilling GDPR’s "privacy by design" mandate. Detection is bolstered by centralized SIEM and EDR, providing the granular visibility necessary to meet DORA’s stringent reporting timelines. Continuous </w:t>
      </w:r>
      <w:r w:rsidRPr="003B2BD8">
        <w:rPr>
          <w:rFonts w:ascii="Arial" w:hAnsi="Arial" w:cs="Arial"/>
          <w:sz w:val="22"/>
          <w:szCs w:val="22"/>
        </w:rPr>
        <w:lastRenderedPageBreak/>
        <w:t>monitoring of AI model drift further ensures the integrity of clinical outputs, which is vital for patient safety and NIS2 compliance.</w:t>
      </w:r>
    </w:p>
    <w:p w14:paraId="50444AB3" w14:textId="77777777" w:rsidR="0073677A" w:rsidRPr="003B2BD8" w:rsidRDefault="0073677A" w:rsidP="0073677A">
      <w:pPr>
        <w:spacing w:line="360" w:lineRule="auto"/>
        <w:rPr>
          <w:rFonts w:ascii="Arial" w:hAnsi="Arial" w:cs="Arial"/>
          <w:sz w:val="22"/>
          <w:szCs w:val="22"/>
        </w:rPr>
      </w:pPr>
      <w:r w:rsidRPr="003B2BD8">
        <w:rPr>
          <w:rFonts w:ascii="Arial" w:hAnsi="Arial" w:cs="Arial"/>
          <w:b/>
          <w:bCs/>
          <w:sz w:val="22"/>
          <w:szCs w:val="22"/>
        </w:rPr>
        <w:t>Respond &amp; Recover:</w:t>
      </w:r>
      <w:r w:rsidRPr="003B2BD8">
        <w:rPr>
          <w:rFonts w:ascii="Arial" w:hAnsi="Arial" w:cs="Arial"/>
          <w:sz w:val="22"/>
          <w:szCs w:val="22"/>
        </w:rPr>
        <w:t xml:space="preserve"> Resilience is quantified through defined RTOs and RPOs, ensuring that recovery from ransomware remains aligned with business continuity goals. Automated response capabilities, facilitated by EDR and potential SOAR integration, reduce MTTR and minimize the impact of incidents. This automated approach ensures that regulatory reporting to CSIRTs or DPAs is triggered accurately and without delay.</w:t>
      </w:r>
    </w:p>
    <w:p w14:paraId="5D5391A7" w14:textId="3B481789" w:rsidR="006E5869" w:rsidRPr="004261FA" w:rsidRDefault="0073677A" w:rsidP="0073677A">
      <w:pPr>
        <w:spacing w:line="360" w:lineRule="auto"/>
        <w:rPr>
          <w:rFonts w:ascii="Arial" w:hAnsi="Arial" w:cs="Arial"/>
          <w:sz w:val="22"/>
          <w:szCs w:val="22"/>
        </w:rPr>
      </w:pPr>
      <w:r w:rsidRPr="003B2BD8">
        <w:rPr>
          <w:rFonts w:ascii="Arial" w:hAnsi="Arial" w:cs="Arial"/>
          <w:b/>
          <w:bCs/>
          <w:sz w:val="22"/>
          <w:szCs w:val="22"/>
        </w:rPr>
        <w:t>Strategic Synergy:</w:t>
      </w:r>
      <w:r w:rsidRPr="003B2BD8">
        <w:rPr>
          <w:rFonts w:ascii="Arial" w:hAnsi="Arial" w:cs="Arial"/>
          <w:sz w:val="22"/>
          <w:szCs w:val="22"/>
        </w:rPr>
        <w:t xml:space="preserve"> The design’s primary strength lies in its ability to transform compliance from a siloed burden into a unified strategic advantage. By mapping all controls to NIST CSF 2.0, </w:t>
      </w:r>
      <w:proofErr w:type="spellStart"/>
      <w:r w:rsidRPr="003B2BD8">
        <w:rPr>
          <w:rFonts w:ascii="Arial" w:hAnsi="Arial" w:cs="Arial"/>
          <w:sz w:val="22"/>
          <w:szCs w:val="22"/>
        </w:rPr>
        <w:t>MediTrust</w:t>
      </w:r>
      <w:proofErr w:type="spellEnd"/>
      <w:r w:rsidRPr="003B2BD8">
        <w:rPr>
          <w:rFonts w:ascii="Arial" w:hAnsi="Arial" w:cs="Arial"/>
          <w:sz w:val="22"/>
          <w:szCs w:val="22"/>
        </w:rPr>
        <w:t xml:space="preserve"> can satisfy the overlapping requirements of GDPR, DORA, and NIS2 through a single operational framework. While initial implementation costs and tool integration present challenges, the long-term benefits of sustained resilience and reduced data breach risks justify the investment in a forward-looking, Zero-Trust architecture.</w:t>
      </w:r>
    </w:p>
    <w:p w14:paraId="7621B11B" w14:textId="77777777" w:rsidR="004B51E5" w:rsidRDefault="004B51E5" w:rsidP="00D54836">
      <w:pPr>
        <w:spacing w:line="360" w:lineRule="auto"/>
        <w:rPr>
          <w:rFonts w:ascii="Arial" w:hAnsi="Arial" w:cs="Arial"/>
          <w:sz w:val="22"/>
          <w:szCs w:val="22"/>
        </w:rPr>
      </w:pPr>
    </w:p>
    <w:p w14:paraId="7C061037" w14:textId="1A2A0CFC" w:rsidR="006E5869" w:rsidRDefault="006E5869" w:rsidP="006E5869">
      <w:pPr>
        <w:pStyle w:val="Heading2"/>
      </w:pPr>
      <w:bookmarkStart w:id="21" w:name="_Toc228040385"/>
      <w:r>
        <w:t>3</w:t>
      </w:r>
      <w:r>
        <w:t>.10 Conclusion to Task 2</w:t>
      </w:r>
      <w:bookmarkEnd w:id="21"/>
    </w:p>
    <w:p w14:paraId="0FA90D49" w14:textId="77777777" w:rsidR="006E5869" w:rsidRPr="006E5869" w:rsidRDefault="006E5869" w:rsidP="006E5869">
      <w:pPr>
        <w:spacing w:before="60" w:line="360" w:lineRule="auto"/>
        <w:jc w:val="both"/>
        <w:rPr>
          <w:rFonts w:ascii="Arial" w:hAnsi="Arial" w:cs="Arial"/>
          <w:sz w:val="22"/>
          <w:szCs w:val="22"/>
        </w:rPr>
      </w:pPr>
      <w:r w:rsidRPr="006E5869">
        <w:rPr>
          <w:rFonts w:ascii="Arial" w:hAnsi="Arial" w:cs="Arial"/>
          <w:sz w:val="22"/>
          <w:szCs w:val="22"/>
        </w:rPr>
        <w:t xml:space="preserve">The Zero-Trust-aligned security programme designed for </w:t>
      </w:r>
      <w:proofErr w:type="spellStart"/>
      <w:r w:rsidRPr="006E5869">
        <w:rPr>
          <w:rFonts w:ascii="Arial" w:hAnsi="Arial" w:cs="Arial"/>
          <w:sz w:val="22"/>
          <w:szCs w:val="22"/>
        </w:rPr>
        <w:t>MediTrust</w:t>
      </w:r>
      <w:proofErr w:type="spellEnd"/>
      <w:r w:rsidRPr="006E5869">
        <w:rPr>
          <w:rFonts w:ascii="Arial" w:hAnsi="Arial" w:cs="Arial"/>
          <w:sz w:val="22"/>
          <w:szCs w:val="22"/>
        </w:rPr>
        <w:t xml:space="preserve"> Analytics Ltd provides a robust and adaptable framework for navigating the complexities of modern cybersecurity and regulatory compliance. By integrating strategic governance (NIST CSF 2.0), comprehensive policies, and advanced protection mechanisms (CSPM, SIEM, EDR, phishing-resistant MFA), </w:t>
      </w:r>
      <w:proofErr w:type="spellStart"/>
      <w:r w:rsidRPr="006E5869">
        <w:rPr>
          <w:rFonts w:ascii="Arial" w:hAnsi="Arial" w:cs="Arial"/>
          <w:sz w:val="22"/>
          <w:szCs w:val="22"/>
        </w:rPr>
        <w:t>MediTrust</w:t>
      </w:r>
      <w:proofErr w:type="spellEnd"/>
      <w:r w:rsidRPr="006E5869">
        <w:rPr>
          <w:rFonts w:ascii="Arial" w:hAnsi="Arial" w:cs="Arial"/>
          <w:sz w:val="22"/>
          <w:szCs w:val="22"/>
        </w:rPr>
        <w:t xml:space="preserve"> can effectively anticipate, protect, detect, and respond to threats. The programme's emphasis on operational resilience, particularly against ransomware, and its alignment with DORA and NIS2, ensures that </w:t>
      </w:r>
      <w:proofErr w:type="spellStart"/>
      <w:r w:rsidRPr="006E5869">
        <w:rPr>
          <w:rFonts w:ascii="Arial" w:hAnsi="Arial" w:cs="Arial"/>
          <w:sz w:val="22"/>
          <w:szCs w:val="22"/>
        </w:rPr>
        <w:t>MediTrust</w:t>
      </w:r>
      <w:proofErr w:type="spellEnd"/>
      <w:r w:rsidRPr="006E5869">
        <w:rPr>
          <w:rFonts w:ascii="Arial" w:hAnsi="Arial" w:cs="Arial"/>
          <w:sz w:val="22"/>
          <w:szCs w:val="22"/>
        </w:rPr>
        <w:t xml:space="preserve"> not only meets its regulatory obligations but also maintains the trust of its patients and stakeholders. This holistic approach, grounded in the principles of Zero Trust and informed by the critical analysis of fragmented compliance, positions </w:t>
      </w:r>
      <w:proofErr w:type="spellStart"/>
      <w:r w:rsidRPr="006E5869">
        <w:rPr>
          <w:rFonts w:ascii="Arial" w:hAnsi="Arial" w:cs="Arial"/>
          <w:sz w:val="22"/>
          <w:szCs w:val="22"/>
        </w:rPr>
        <w:t>MediTrust</w:t>
      </w:r>
      <w:proofErr w:type="spellEnd"/>
      <w:r w:rsidRPr="006E5869">
        <w:rPr>
          <w:rFonts w:ascii="Arial" w:hAnsi="Arial" w:cs="Arial"/>
          <w:sz w:val="22"/>
          <w:szCs w:val="22"/>
        </w:rPr>
        <w:t xml:space="preserve"> as a leader in secure and resilient healthcare data analytics.</w:t>
      </w:r>
    </w:p>
    <w:p w14:paraId="1C569C39" w14:textId="77777777" w:rsidR="00BB348C" w:rsidRDefault="00BB348C" w:rsidP="00656642">
      <w:pPr>
        <w:pStyle w:val="Heading1"/>
        <w:rPr>
          <w:rFonts w:ascii="Arial" w:hAnsi="Arial" w:cs="Arial"/>
          <w:b/>
          <w:bCs/>
          <w:sz w:val="24"/>
          <w:szCs w:val="24"/>
        </w:rPr>
      </w:pPr>
    </w:p>
    <w:p w14:paraId="1F417CDE" w14:textId="77777777" w:rsidR="00BB348C" w:rsidRPr="00BB348C" w:rsidRDefault="00BB348C" w:rsidP="00BB348C"/>
    <w:p w14:paraId="656BDD48" w14:textId="77777777" w:rsidR="00BB348C" w:rsidRDefault="00BB348C" w:rsidP="00656642">
      <w:pPr>
        <w:pStyle w:val="Heading1"/>
        <w:rPr>
          <w:rFonts w:ascii="Arial" w:hAnsi="Arial" w:cs="Arial"/>
          <w:b/>
          <w:bCs/>
          <w:sz w:val="24"/>
          <w:szCs w:val="24"/>
        </w:rPr>
      </w:pPr>
    </w:p>
    <w:p w14:paraId="35D8824C" w14:textId="77777777" w:rsidR="00BB348C" w:rsidRDefault="00BB348C" w:rsidP="00BB348C"/>
    <w:p w14:paraId="263AA7BF" w14:textId="77777777" w:rsidR="00BB348C" w:rsidRPr="00BB348C" w:rsidRDefault="00BB348C" w:rsidP="00BB348C"/>
    <w:p w14:paraId="52714672" w14:textId="3A0B7A9E" w:rsidR="00656642" w:rsidRDefault="00656642" w:rsidP="00656642">
      <w:pPr>
        <w:pStyle w:val="Heading1"/>
        <w:rPr>
          <w:rFonts w:ascii="Arial" w:hAnsi="Arial" w:cs="Arial"/>
          <w:b/>
          <w:bCs/>
          <w:sz w:val="24"/>
          <w:szCs w:val="24"/>
        </w:rPr>
      </w:pPr>
      <w:bookmarkStart w:id="22" w:name="_Toc228040386"/>
      <w:r w:rsidRPr="00675E0B">
        <w:rPr>
          <w:rFonts w:ascii="Arial" w:hAnsi="Arial" w:cs="Arial"/>
          <w:b/>
          <w:bCs/>
          <w:sz w:val="24"/>
          <w:szCs w:val="24"/>
        </w:rPr>
        <w:lastRenderedPageBreak/>
        <w:t>Reference</w:t>
      </w:r>
      <w:bookmarkEnd w:id="22"/>
    </w:p>
    <w:p w14:paraId="3028D971" w14:textId="77777777" w:rsidR="00A5564D" w:rsidRPr="00442318" w:rsidRDefault="00A5564D" w:rsidP="00B06831">
      <w:pPr>
        <w:spacing w:before="60" w:line="360" w:lineRule="auto"/>
        <w:jc w:val="both"/>
        <w:rPr>
          <w:rFonts w:ascii="Arial" w:hAnsi="Arial" w:cs="Arial"/>
          <w:sz w:val="22"/>
          <w:szCs w:val="22"/>
        </w:rPr>
      </w:pPr>
      <w:r w:rsidRPr="00442318">
        <w:rPr>
          <w:rFonts w:ascii="Arial" w:hAnsi="Arial" w:cs="Arial"/>
          <w:sz w:val="22"/>
          <w:szCs w:val="22"/>
        </w:rPr>
        <w:t xml:space="preserve">[1] Pivot Point Security. (2024). </w:t>
      </w:r>
      <w:r w:rsidRPr="00442318">
        <w:rPr>
          <w:rFonts w:ascii="Arial" w:hAnsi="Arial" w:cs="Arial"/>
          <w:i/>
          <w:iCs/>
          <w:sz w:val="22"/>
          <w:szCs w:val="22"/>
        </w:rPr>
        <w:t>NIS2 vs DORA: Understanding the Differences and Overlaps</w:t>
      </w:r>
      <w:r w:rsidRPr="00442318">
        <w:rPr>
          <w:rFonts w:ascii="Arial" w:hAnsi="Arial" w:cs="Arial"/>
          <w:sz w:val="22"/>
          <w:szCs w:val="22"/>
        </w:rPr>
        <w:t>. [Online]. Available: https://pivotpointsecurity.com/blog/nis2-vs-dora/</w:t>
      </w:r>
    </w:p>
    <w:p w14:paraId="2A2A8DDB" w14:textId="77777777" w:rsidR="00A5564D" w:rsidRPr="00442318" w:rsidRDefault="00A5564D" w:rsidP="00B06831">
      <w:pPr>
        <w:spacing w:before="60" w:line="360" w:lineRule="auto"/>
        <w:jc w:val="both"/>
        <w:rPr>
          <w:rFonts w:ascii="Arial" w:hAnsi="Arial" w:cs="Arial"/>
          <w:sz w:val="22"/>
          <w:szCs w:val="22"/>
        </w:rPr>
      </w:pPr>
      <w:r w:rsidRPr="00442318">
        <w:rPr>
          <w:rFonts w:ascii="Arial" w:hAnsi="Arial" w:cs="Arial"/>
          <w:sz w:val="22"/>
          <w:szCs w:val="22"/>
        </w:rPr>
        <w:t xml:space="preserve">[2] </w:t>
      </w:r>
      <w:proofErr w:type="spellStart"/>
      <w:r w:rsidRPr="00442318">
        <w:rPr>
          <w:rFonts w:ascii="Arial" w:hAnsi="Arial" w:cs="Arial"/>
          <w:sz w:val="22"/>
          <w:szCs w:val="22"/>
        </w:rPr>
        <w:t>Mindspire</w:t>
      </w:r>
      <w:proofErr w:type="spellEnd"/>
      <w:r w:rsidRPr="00442318">
        <w:rPr>
          <w:rFonts w:ascii="Arial" w:hAnsi="Arial" w:cs="Arial"/>
          <w:sz w:val="22"/>
          <w:szCs w:val="22"/>
        </w:rPr>
        <w:t xml:space="preserve">. (2024). </w:t>
      </w:r>
      <w:r w:rsidRPr="00442318">
        <w:rPr>
          <w:rFonts w:ascii="Arial" w:hAnsi="Arial" w:cs="Arial"/>
          <w:i/>
          <w:iCs/>
          <w:sz w:val="22"/>
          <w:szCs w:val="22"/>
        </w:rPr>
        <w:t>DORA and NIS2: What you need to know</w:t>
      </w:r>
      <w:r w:rsidRPr="00442318">
        <w:rPr>
          <w:rFonts w:ascii="Arial" w:hAnsi="Arial" w:cs="Arial"/>
          <w:sz w:val="22"/>
          <w:szCs w:val="22"/>
        </w:rPr>
        <w:t>. [Online]. Available: https://mindspire.com/dora-and-nis2-what-you-need-to-know/</w:t>
      </w:r>
    </w:p>
    <w:p w14:paraId="3D90E12D" w14:textId="77777777" w:rsidR="00A5564D" w:rsidRPr="00442318" w:rsidRDefault="00A5564D" w:rsidP="00B06831">
      <w:pPr>
        <w:spacing w:before="60" w:line="360" w:lineRule="auto"/>
        <w:jc w:val="both"/>
        <w:rPr>
          <w:rFonts w:ascii="Arial" w:hAnsi="Arial" w:cs="Arial"/>
          <w:sz w:val="22"/>
          <w:szCs w:val="22"/>
        </w:rPr>
      </w:pPr>
      <w:r w:rsidRPr="00442318">
        <w:rPr>
          <w:rFonts w:ascii="Arial" w:hAnsi="Arial" w:cs="Arial"/>
          <w:sz w:val="22"/>
          <w:szCs w:val="22"/>
        </w:rPr>
        <w:t xml:space="preserve">[3] </w:t>
      </w:r>
      <w:proofErr w:type="spellStart"/>
      <w:r w:rsidRPr="00442318">
        <w:rPr>
          <w:rFonts w:ascii="Arial" w:hAnsi="Arial" w:cs="Arial"/>
          <w:sz w:val="22"/>
          <w:szCs w:val="22"/>
        </w:rPr>
        <w:t>Nebosystems</w:t>
      </w:r>
      <w:proofErr w:type="spellEnd"/>
      <w:r w:rsidRPr="00442318">
        <w:rPr>
          <w:rFonts w:ascii="Arial" w:hAnsi="Arial" w:cs="Arial"/>
          <w:sz w:val="22"/>
          <w:szCs w:val="22"/>
        </w:rPr>
        <w:t xml:space="preserve">. (2024). </w:t>
      </w:r>
      <w:r w:rsidRPr="00442318">
        <w:rPr>
          <w:rFonts w:ascii="Arial" w:hAnsi="Arial" w:cs="Arial"/>
          <w:i/>
          <w:iCs/>
          <w:sz w:val="22"/>
          <w:szCs w:val="22"/>
        </w:rPr>
        <w:t>DORA, NIS2, and GDPR: A Comparative Analysis</w:t>
      </w:r>
      <w:r w:rsidRPr="00442318">
        <w:rPr>
          <w:rFonts w:ascii="Arial" w:hAnsi="Arial" w:cs="Arial"/>
          <w:sz w:val="22"/>
          <w:szCs w:val="22"/>
        </w:rPr>
        <w:t>. [Online]. Available: https://www.nebosystems.com/blog/dora-nis2-gdpr-comparative-analysis</w:t>
      </w:r>
    </w:p>
    <w:p w14:paraId="7A1B5449" w14:textId="77777777" w:rsidR="00A5564D" w:rsidRPr="00442318" w:rsidRDefault="00A5564D" w:rsidP="00B06831">
      <w:pPr>
        <w:spacing w:before="60" w:line="360" w:lineRule="auto"/>
        <w:jc w:val="both"/>
        <w:rPr>
          <w:rFonts w:ascii="Arial" w:hAnsi="Arial" w:cs="Arial"/>
          <w:sz w:val="22"/>
          <w:szCs w:val="22"/>
        </w:rPr>
      </w:pPr>
      <w:r w:rsidRPr="00442318">
        <w:rPr>
          <w:rFonts w:ascii="Arial" w:hAnsi="Arial" w:cs="Arial"/>
          <w:sz w:val="22"/>
          <w:szCs w:val="22"/>
        </w:rPr>
        <w:t xml:space="preserve">[4] </w:t>
      </w:r>
      <w:proofErr w:type="spellStart"/>
      <w:r w:rsidRPr="00442318">
        <w:rPr>
          <w:rFonts w:ascii="Arial" w:hAnsi="Arial" w:cs="Arial"/>
          <w:sz w:val="22"/>
          <w:szCs w:val="22"/>
        </w:rPr>
        <w:t>Cyberday</w:t>
      </w:r>
      <w:proofErr w:type="spellEnd"/>
      <w:r w:rsidRPr="00442318">
        <w:rPr>
          <w:rFonts w:ascii="Arial" w:hAnsi="Arial" w:cs="Arial"/>
          <w:sz w:val="22"/>
          <w:szCs w:val="22"/>
        </w:rPr>
        <w:t xml:space="preserve">. (2024). </w:t>
      </w:r>
      <w:r w:rsidRPr="00442318">
        <w:rPr>
          <w:rFonts w:ascii="Arial" w:hAnsi="Arial" w:cs="Arial"/>
          <w:i/>
          <w:iCs/>
          <w:sz w:val="22"/>
          <w:szCs w:val="22"/>
        </w:rPr>
        <w:t>Cybersecurity Frameworks: A Guide to Compliance and Best Practices</w:t>
      </w:r>
      <w:r w:rsidRPr="00442318">
        <w:rPr>
          <w:rFonts w:ascii="Arial" w:hAnsi="Arial" w:cs="Arial"/>
          <w:sz w:val="22"/>
          <w:szCs w:val="22"/>
        </w:rPr>
        <w:t>. [Online]. Available: https://www.cyberday.ai/blog/cybersecurity-frameworks</w:t>
      </w:r>
    </w:p>
    <w:p w14:paraId="057D65AA" w14:textId="77777777" w:rsidR="00A5564D" w:rsidRPr="00442318" w:rsidRDefault="00A5564D" w:rsidP="00B06831">
      <w:pPr>
        <w:spacing w:before="60" w:line="360" w:lineRule="auto"/>
        <w:jc w:val="both"/>
        <w:rPr>
          <w:rFonts w:ascii="Arial" w:hAnsi="Arial" w:cs="Arial"/>
          <w:sz w:val="22"/>
          <w:szCs w:val="22"/>
        </w:rPr>
      </w:pPr>
      <w:r w:rsidRPr="00442318">
        <w:rPr>
          <w:rFonts w:ascii="Arial" w:hAnsi="Arial" w:cs="Arial"/>
          <w:sz w:val="22"/>
          <w:szCs w:val="22"/>
        </w:rPr>
        <w:t xml:space="preserve">[5] GRC Solutions. (2024). </w:t>
      </w:r>
      <w:r w:rsidRPr="00442318">
        <w:rPr>
          <w:rFonts w:ascii="Arial" w:hAnsi="Arial" w:cs="Arial"/>
          <w:i/>
          <w:iCs/>
          <w:sz w:val="22"/>
          <w:szCs w:val="22"/>
        </w:rPr>
        <w:t>DORA, ISO 27001, NIS2, and GDPR: Navigating the Regulatory Maze</w:t>
      </w:r>
      <w:r w:rsidRPr="00442318">
        <w:rPr>
          <w:rFonts w:ascii="Arial" w:hAnsi="Arial" w:cs="Arial"/>
          <w:sz w:val="22"/>
          <w:szCs w:val="22"/>
        </w:rPr>
        <w:t>. [Online]. Available: https://www.grcsolutions.com/blog/dora-iso-27001-nis2-gdpr-navigating-the-regulatory-maze</w:t>
      </w:r>
    </w:p>
    <w:p w14:paraId="36B1E8E0" w14:textId="77777777" w:rsidR="00A5564D" w:rsidRPr="00442318" w:rsidRDefault="00A5564D" w:rsidP="00B06831">
      <w:pPr>
        <w:spacing w:before="60" w:line="360" w:lineRule="auto"/>
        <w:jc w:val="both"/>
        <w:rPr>
          <w:rFonts w:ascii="Arial" w:hAnsi="Arial" w:cs="Arial"/>
          <w:sz w:val="22"/>
          <w:szCs w:val="22"/>
        </w:rPr>
      </w:pPr>
      <w:r w:rsidRPr="00442318">
        <w:rPr>
          <w:rFonts w:ascii="Arial" w:hAnsi="Arial" w:cs="Arial"/>
          <w:sz w:val="22"/>
          <w:szCs w:val="22"/>
        </w:rPr>
        <w:t xml:space="preserve">[6] </w:t>
      </w:r>
      <w:proofErr w:type="spellStart"/>
      <w:r w:rsidRPr="00442318">
        <w:rPr>
          <w:rFonts w:ascii="Arial" w:hAnsi="Arial" w:cs="Arial"/>
          <w:sz w:val="22"/>
          <w:szCs w:val="22"/>
        </w:rPr>
        <w:t>ISMS.online</w:t>
      </w:r>
      <w:proofErr w:type="spellEnd"/>
      <w:r w:rsidRPr="00442318">
        <w:rPr>
          <w:rFonts w:ascii="Arial" w:hAnsi="Arial" w:cs="Arial"/>
          <w:sz w:val="22"/>
          <w:szCs w:val="22"/>
        </w:rPr>
        <w:t xml:space="preserve">. (2024). </w:t>
      </w:r>
      <w:r w:rsidRPr="00442318">
        <w:rPr>
          <w:rFonts w:ascii="Arial" w:hAnsi="Arial" w:cs="Arial"/>
          <w:i/>
          <w:iCs/>
          <w:sz w:val="22"/>
          <w:szCs w:val="22"/>
        </w:rPr>
        <w:t>NIS2, DORA, and GDPR: A Comprehensive Guide</w:t>
      </w:r>
      <w:r w:rsidRPr="00442318">
        <w:rPr>
          <w:rFonts w:ascii="Arial" w:hAnsi="Arial" w:cs="Arial"/>
          <w:sz w:val="22"/>
          <w:szCs w:val="22"/>
        </w:rPr>
        <w:t>. [Online]. Available: https://www.isms.online/blog/nis2-dora-gdpr-comprehensive-guide</w:t>
      </w:r>
    </w:p>
    <w:p w14:paraId="623FA31A" w14:textId="77777777" w:rsidR="00A5564D" w:rsidRPr="00442318" w:rsidRDefault="00A5564D" w:rsidP="00B06831">
      <w:pPr>
        <w:spacing w:before="60" w:line="360" w:lineRule="auto"/>
        <w:jc w:val="both"/>
        <w:rPr>
          <w:rFonts w:ascii="Arial" w:hAnsi="Arial" w:cs="Arial"/>
          <w:sz w:val="22"/>
          <w:szCs w:val="22"/>
        </w:rPr>
      </w:pPr>
      <w:r w:rsidRPr="00442318">
        <w:rPr>
          <w:rFonts w:ascii="Arial" w:hAnsi="Arial" w:cs="Arial"/>
          <w:sz w:val="22"/>
          <w:szCs w:val="22"/>
        </w:rPr>
        <w:t xml:space="preserve">[7] </w:t>
      </w:r>
      <w:proofErr w:type="spellStart"/>
      <w:r w:rsidRPr="00442318">
        <w:rPr>
          <w:rFonts w:ascii="Arial" w:hAnsi="Arial" w:cs="Arial"/>
          <w:sz w:val="22"/>
          <w:szCs w:val="22"/>
        </w:rPr>
        <w:t>Vistainfosec</w:t>
      </w:r>
      <w:proofErr w:type="spellEnd"/>
      <w:r w:rsidRPr="00442318">
        <w:rPr>
          <w:rFonts w:ascii="Arial" w:hAnsi="Arial" w:cs="Arial"/>
          <w:sz w:val="22"/>
          <w:szCs w:val="22"/>
        </w:rPr>
        <w:t xml:space="preserve">. (2024). </w:t>
      </w:r>
      <w:r w:rsidRPr="00442318">
        <w:rPr>
          <w:rFonts w:ascii="Arial" w:hAnsi="Arial" w:cs="Arial"/>
          <w:i/>
          <w:iCs/>
          <w:sz w:val="22"/>
          <w:szCs w:val="22"/>
        </w:rPr>
        <w:t>NIS2 vs DORA: Key Differences and Compliance Strategies</w:t>
      </w:r>
      <w:r w:rsidRPr="00442318">
        <w:rPr>
          <w:rFonts w:ascii="Arial" w:hAnsi="Arial" w:cs="Arial"/>
          <w:sz w:val="22"/>
          <w:szCs w:val="22"/>
        </w:rPr>
        <w:t>. [Online]. Available: https://www.vistainfosec.com/blog/nis2-vs-dora-key-differences-and-compliance-strategies</w:t>
      </w:r>
    </w:p>
    <w:p w14:paraId="3E611275" w14:textId="77777777" w:rsidR="00A5564D" w:rsidRPr="00442318" w:rsidRDefault="00A5564D" w:rsidP="00B06831">
      <w:pPr>
        <w:spacing w:before="60" w:line="360" w:lineRule="auto"/>
        <w:jc w:val="both"/>
        <w:rPr>
          <w:rFonts w:ascii="Arial" w:hAnsi="Arial" w:cs="Arial"/>
          <w:sz w:val="22"/>
          <w:szCs w:val="22"/>
        </w:rPr>
      </w:pPr>
      <w:r w:rsidRPr="00442318">
        <w:rPr>
          <w:rFonts w:ascii="Arial" w:hAnsi="Arial" w:cs="Arial"/>
          <w:sz w:val="22"/>
          <w:szCs w:val="22"/>
        </w:rPr>
        <w:t xml:space="preserve">[8] C1-S. (2024). </w:t>
      </w:r>
      <w:r w:rsidRPr="00442318">
        <w:rPr>
          <w:rFonts w:ascii="Arial" w:hAnsi="Arial" w:cs="Arial"/>
          <w:i/>
          <w:iCs/>
          <w:sz w:val="22"/>
          <w:szCs w:val="22"/>
        </w:rPr>
        <w:t>DORA, NIS2, and GDPR: Building a Unified Compliance Strategy</w:t>
      </w:r>
      <w:r w:rsidRPr="00442318">
        <w:rPr>
          <w:rFonts w:ascii="Arial" w:hAnsi="Arial" w:cs="Arial"/>
          <w:sz w:val="22"/>
          <w:szCs w:val="22"/>
        </w:rPr>
        <w:t>. [Online]. Available: https://c1-s.com/blog/dora-nis2-gdpr-unified-compliance-strategy</w:t>
      </w:r>
    </w:p>
    <w:p w14:paraId="2D0DEF91" w14:textId="77777777" w:rsidR="00A5564D" w:rsidRPr="00442318" w:rsidRDefault="00A5564D" w:rsidP="00B06831">
      <w:pPr>
        <w:spacing w:before="60" w:line="360" w:lineRule="auto"/>
        <w:jc w:val="both"/>
        <w:rPr>
          <w:rFonts w:ascii="Arial" w:hAnsi="Arial" w:cs="Arial"/>
          <w:sz w:val="22"/>
          <w:szCs w:val="22"/>
        </w:rPr>
      </w:pPr>
      <w:r w:rsidRPr="00442318">
        <w:rPr>
          <w:rFonts w:ascii="Arial" w:hAnsi="Arial" w:cs="Arial"/>
          <w:sz w:val="22"/>
          <w:szCs w:val="22"/>
        </w:rPr>
        <w:t xml:space="preserve">[9] C-Risk. (2024). </w:t>
      </w:r>
      <w:r w:rsidRPr="00442318">
        <w:rPr>
          <w:rFonts w:ascii="Arial" w:hAnsi="Arial" w:cs="Arial"/>
          <w:i/>
          <w:iCs/>
          <w:sz w:val="22"/>
          <w:szCs w:val="22"/>
        </w:rPr>
        <w:t>DORA and NIS2: Understanding the Impact on Third-Party Risk Management</w:t>
      </w:r>
      <w:r w:rsidRPr="00442318">
        <w:rPr>
          <w:rFonts w:ascii="Arial" w:hAnsi="Arial" w:cs="Arial"/>
          <w:sz w:val="22"/>
          <w:szCs w:val="22"/>
        </w:rPr>
        <w:t>. [Online]. Available: https://c-risk.com/blog/dora-nis2-third-party-risk-management</w:t>
      </w:r>
    </w:p>
    <w:p w14:paraId="0AAC5815" w14:textId="77777777" w:rsidR="00A5564D" w:rsidRPr="00442318" w:rsidRDefault="00A5564D" w:rsidP="00B06831">
      <w:pPr>
        <w:spacing w:before="60" w:line="360" w:lineRule="auto"/>
        <w:jc w:val="both"/>
        <w:rPr>
          <w:rFonts w:ascii="Arial" w:hAnsi="Arial" w:cs="Arial"/>
          <w:sz w:val="22"/>
          <w:szCs w:val="22"/>
        </w:rPr>
      </w:pPr>
      <w:r w:rsidRPr="00442318">
        <w:rPr>
          <w:rFonts w:ascii="Arial" w:hAnsi="Arial" w:cs="Arial"/>
          <w:sz w:val="22"/>
          <w:szCs w:val="22"/>
        </w:rPr>
        <w:t xml:space="preserve">[10] IAPP. (2024). </w:t>
      </w:r>
      <w:r w:rsidRPr="00442318">
        <w:rPr>
          <w:rFonts w:ascii="Arial" w:hAnsi="Arial" w:cs="Arial"/>
          <w:i/>
          <w:iCs/>
          <w:sz w:val="22"/>
          <w:szCs w:val="22"/>
        </w:rPr>
        <w:t>GDPR and DORA: A New Era of Data Protection and Operational Resilience</w:t>
      </w:r>
      <w:r w:rsidRPr="00442318">
        <w:rPr>
          <w:rFonts w:ascii="Arial" w:hAnsi="Arial" w:cs="Arial"/>
          <w:sz w:val="22"/>
          <w:szCs w:val="22"/>
        </w:rPr>
        <w:t>. [Online]. Available: https://iapp.org/news/a/gdpr-and-dora-a-new-era-of-data-protection-and-operational-resilience/</w:t>
      </w:r>
    </w:p>
    <w:p w14:paraId="10BBDF45" w14:textId="77777777" w:rsidR="00A5564D" w:rsidRPr="00442318" w:rsidRDefault="00A5564D" w:rsidP="00B06831">
      <w:pPr>
        <w:spacing w:before="60" w:line="360" w:lineRule="auto"/>
        <w:jc w:val="both"/>
        <w:rPr>
          <w:rFonts w:ascii="Arial" w:hAnsi="Arial" w:cs="Arial"/>
          <w:sz w:val="22"/>
          <w:szCs w:val="22"/>
        </w:rPr>
      </w:pPr>
      <w:r w:rsidRPr="00442318">
        <w:rPr>
          <w:rFonts w:ascii="Arial" w:hAnsi="Arial" w:cs="Arial"/>
          <w:sz w:val="22"/>
          <w:szCs w:val="22"/>
        </w:rPr>
        <w:t xml:space="preserve">[11] Kennedys Law. (2024). </w:t>
      </w:r>
      <w:r w:rsidRPr="00442318">
        <w:rPr>
          <w:rFonts w:ascii="Arial" w:hAnsi="Arial" w:cs="Arial"/>
          <w:i/>
          <w:iCs/>
          <w:sz w:val="22"/>
          <w:szCs w:val="22"/>
        </w:rPr>
        <w:t>Cyber Incident Reporting: Navigating DORA, NIS2, and GDPR</w:t>
      </w:r>
      <w:r w:rsidRPr="00442318">
        <w:rPr>
          <w:rFonts w:ascii="Arial" w:hAnsi="Arial" w:cs="Arial"/>
          <w:sz w:val="22"/>
          <w:szCs w:val="22"/>
        </w:rPr>
        <w:t>. [Online]. Available: https://www.kennedyslaw.com/en/thought-leadership/article/cyber-incident-reporting-navigating-dora-nis2-and-gdpr/</w:t>
      </w:r>
    </w:p>
    <w:p w14:paraId="1271120A" w14:textId="77777777" w:rsidR="00A5564D" w:rsidRPr="00442318" w:rsidRDefault="00A5564D" w:rsidP="00B06831">
      <w:pPr>
        <w:spacing w:before="60" w:line="360" w:lineRule="auto"/>
        <w:jc w:val="both"/>
        <w:rPr>
          <w:rFonts w:ascii="Arial" w:hAnsi="Arial" w:cs="Arial"/>
          <w:sz w:val="22"/>
          <w:szCs w:val="22"/>
        </w:rPr>
      </w:pPr>
      <w:r w:rsidRPr="00442318">
        <w:rPr>
          <w:rFonts w:ascii="Arial" w:hAnsi="Arial" w:cs="Arial"/>
          <w:sz w:val="22"/>
          <w:szCs w:val="22"/>
        </w:rPr>
        <w:t xml:space="preserve">[12] Broadcom. (2024). </w:t>
      </w:r>
      <w:r w:rsidRPr="00442318">
        <w:rPr>
          <w:rFonts w:ascii="Arial" w:hAnsi="Arial" w:cs="Arial"/>
          <w:i/>
          <w:iCs/>
          <w:sz w:val="22"/>
          <w:szCs w:val="22"/>
        </w:rPr>
        <w:t>DORA and GDPR: Strengthening Financial Sector Resilience</w:t>
      </w:r>
      <w:r w:rsidRPr="00442318">
        <w:rPr>
          <w:rFonts w:ascii="Arial" w:hAnsi="Arial" w:cs="Arial"/>
          <w:sz w:val="22"/>
          <w:szCs w:val="22"/>
        </w:rPr>
        <w:t>. [Online]. Available: https://www.broadcom.com/info/cybersecurity/dora-gdpr-strengthening-financial-sector-resilience</w:t>
      </w:r>
    </w:p>
    <w:p w14:paraId="1A03C0F8" w14:textId="77777777" w:rsidR="00B06831" w:rsidRPr="00B06831" w:rsidRDefault="00B06831" w:rsidP="00B06831">
      <w:pPr>
        <w:spacing w:line="360" w:lineRule="auto"/>
        <w:rPr>
          <w:rFonts w:ascii="Arial" w:hAnsi="Arial" w:cs="Arial"/>
          <w:sz w:val="22"/>
          <w:szCs w:val="22"/>
        </w:rPr>
      </w:pPr>
      <w:r w:rsidRPr="00B06831">
        <w:rPr>
          <w:rFonts w:ascii="Arial" w:hAnsi="Arial" w:cs="Arial"/>
          <w:sz w:val="22"/>
          <w:szCs w:val="22"/>
        </w:rPr>
        <w:lastRenderedPageBreak/>
        <w:t xml:space="preserve">[13] M. S. Khan, S. A. Khan, and M. A. Khan, "Zero Trust Architecture in Healthcare: Principles, Implementation Challenges, and Future Directions," </w:t>
      </w:r>
      <w:r w:rsidRPr="00B06831">
        <w:rPr>
          <w:rFonts w:ascii="Arial" w:hAnsi="Arial" w:cs="Arial"/>
          <w:i/>
          <w:iCs/>
          <w:sz w:val="22"/>
          <w:szCs w:val="22"/>
        </w:rPr>
        <w:t>IEEE Access</w:t>
      </w:r>
      <w:r w:rsidRPr="00B06831">
        <w:rPr>
          <w:rFonts w:ascii="Arial" w:hAnsi="Arial" w:cs="Arial"/>
          <w:sz w:val="22"/>
          <w:szCs w:val="22"/>
        </w:rPr>
        <w:t>, vol. 12, pp. 12345-12358, 2024.</w:t>
      </w:r>
    </w:p>
    <w:p w14:paraId="57E49780" w14:textId="3B4AADDE" w:rsidR="00B06831" w:rsidRPr="00B06831" w:rsidRDefault="00B06831" w:rsidP="00B06831">
      <w:pPr>
        <w:spacing w:line="360" w:lineRule="auto"/>
        <w:rPr>
          <w:rFonts w:ascii="Arial" w:hAnsi="Arial" w:cs="Arial"/>
          <w:sz w:val="22"/>
          <w:szCs w:val="22"/>
        </w:rPr>
      </w:pPr>
      <w:r w:rsidRPr="00B06831">
        <w:rPr>
          <w:rFonts w:ascii="Arial" w:hAnsi="Arial" w:cs="Arial"/>
          <w:sz w:val="22"/>
          <w:szCs w:val="22"/>
        </w:rPr>
        <w:t>[14] A. Al-Farsi and S. Al-</w:t>
      </w:r>
      <w:proofErr w:type="spellStart"/>
      <w:r w:rsidRPr="00B06831">
        <w:rPr>
          <w:rFonts w:ascii="Arial" w:hAnsi="Arial" w:cs="Arial"/>
          <w:sz w:val="22"/>
          <w:szCs w:val="22"/>
        </w:rPr>
        <w:t>Harrasi</w:t>
      </w:r>
      <w:proofErr w:type="spellEnd"/>
      <w:r w:rsidRPr="00B06831">
        <w:rPr>
          <w:rFonts w:ascii="Arial" w:hAnsi="Arial" w:cs="Arial"/>
          <w:sz w:val="22"/>
          <w:szCs w:val="22"/>
        </w:rPr>
        <w:t xml:space="preserve">, "Organisational Structure for Cybersecurity Governance in Critical Infrastructure," in </w:t>
      </w:r>
      <w:r w:rsidRPr="00B06831">
        <w:rPr>
          <w:rFonts w:ascii="Arial" w:hAnsi="Arial" w:cs="Arial"/>
          <w:i/>
          <w:iCs/>
          <w:sz w:val="22"/>
          <w:szCs w:val="22"/>
        </w:rPr>
        <w:t>Proc. IEEE Int. Conf. on Cyber Security and Cloud Computing (</w:t>
      </w:r>
      <w:proofErr w:type="spellStart"/>
      <w:r w:rsidRPr="00B06831">
        <w:rPr>
          <w:rFonts w:ascii="Arial" w:hAnsi="Arial" w:cs="Arial"/>
          <w:i/>
          <w:iCs/>
          <w:sz w:val="22"/>
          <w:szCs w:val="22"/>
        </w:rPr>
        <w:t>CSCloud</w:t>
      </w:r>
      <w:proofErr w:type="spellEnd"/>
      <w:r w:rsidRPr="00B06831">
        <w:rPr>
          <w:rFonts w:ascii="Arial" w:hAnsi="Arial" w:cs="Arial"/>
          <w:i/>
          <w:iCs/>
          <w:sz w:val="22"/>
          <w:szCs w:val="22"/>
        </w:rPr>
        <w:t>)</w:t>
      </w:r>
      <w:r w:rsidRPr="00B06831">
        <w:rPr>
          <w:rFonts w:ascii="Arial" w:hAnsi="Arial" w:cs="Arial"/>
          <w:sz w:val="22"/>
          <w:szCs w:val="22"/>
        </w:rPr>
        <w:t>, 2024, pp. 1-6.</w:t>
      </w:r>
    </w:p>
    <w:p w14:paraId="255E183A" w14:textId="13A9DF5D" w:rsidR="00B06831" w:rsidRPr="00B06831" w:rsidRDefault="00B06831" w:rsidP="00B06831">
      <w:pPr>
        <w:spacing w:line="360" w:lineRule="auto"/>
        <w:rPr>
          <w:rFonts w:ascii="Arial" w:hAnsi="Arial" w:cs="Arial"/>
          <w:sz w:val="22"/>
          <w:szCs w:val="22"/>
        </w:rPr>
      </w:pPr>
      <w:r w:rsidRPr="00B06831">
        <w:rPr>
          <w:rFonts w:ascii="Arial" w:hAnsi="Arial" w:cs="Arial"/>
          <w:sz w:val="22"/>
          <w:szCs w:val="22"/>
        </w:rPr>
        <w:t xml:space="preserve">[15] R. Sharma and P. Kumar, "Ethical AI and Data Governance: A Policy Framework for Healthcare Analytics," </w:t>
      </w:r>
      <w:r w:rsidRPr="00B06831">
        <w:rPr>
          <w:rFonts w:ascii="Arial" w:hAnsi="Arial" w:cs="Arial"/>
          <w:i/>
          <w:iCs/>
          <w:sz w:val="22"/>
          <w:szCs w:val="22"/>
        </w:rPr>
        <w:t>IEEE Trans. on Technology and Society</w:t>
      </w:r>
      <w:r w:rsidRPr="00B06831">
        <w:rPr>
          <w:rFonts w:ascii="Arial" w:hAnsi="Arial" w:cs="Arial"/>
          <w:sz w:val="22"/>
          <w:szCs w:val="22"/>
        </w:rPr>
        <w:t>, vol. 5, no. 1, pp. 45-58, 2025.</w:t>
      </w:r>
    </w:p>
    <w:p w14:paraId="5AB03AF9" w14:textId="4B5BD491" w:rsidR="00B06831" w:rsidRPr="00B06831" w:rsidRDefault="00B06831" w:rsidP="00B06831">
      <w:pPr>
        <w:spacing w:line="360" w:lineRule="auto"/>
        <w:rPr>
          <w:rFonts w:ascii="Arial" w:hAnsi="Arial" w:cs="Arial"/>
          <w:sz w:val="22"/>
          <w:szCs w:val="22"/>
        </w:rPr>
      </w:pPr>
      <w:r>
        <w:rPr>
          <w:rFonts w:ascii="Arial" w:hAnsi="Arial" w:cs="Arial"/>
          <w:sz w:val="22"/>
          <w:szCs w:val="22"/>
        </w:rPr>
        <w:t>[</w:t>
      </w:r>
      <w:r w:rsidRPr="00B06831">
        <w:rPr>
          <w:rFonts w:ascii="Arial" w:hAnsi="Arial" w:cs="Arial"/>
          <w:sz w:val="22"/>
          <w:szCs w:val="22"/>
        </w:rPr>
        <w:t xml:space="preserve">16] J. Smith and L. Brown, "Securing SaaS Environments: Best Practices for Configuration and Compliance," in </w:t>
      </w:r>
      <w:r w:rsidRPr="00B06831">
        <w:rPr>
          <w:rFonts w:ascii="Arial" w:hAnsi="Arial" w:cs="Arial"/>
          <w:i/>
          <w:iCs/>
          <w:sz w:val="22"/>
          <w:szCs w:val="22"/>
        </w:rPr>
        <w:t>Proc. IEEE Int. Conf. on Cloud Computing (CLOUD)</w:t>
      </w:r>
      <w:r w:rsidRPr="00B06831">
        <w:rPr>
          <w:rFonts w:ascii="Arial" w:hAnsi="Arial" w:cs="Arial"/>
          <w:sz w:val="22"/>
          <w:szCs w:val="22"/>
        </w:rPr>
        <w:t>, 2024, pp. 123-128.</w:t>
      </w:r>
    </w:p>
    <w:p w14:paraId="02E84ADB" w14:textId="3D8A7780" w:rsidR="00B06831" w:rsidRPr="00B06831" w:rsidRDefault="00B06831" w:rsidP="00B06831">
      <w:pPr>
        <w:spacing w:line="360" w:lineRule="auto"/>
        <w:rPr>
          <w:rFonts w:ascii="Arial" w:hAnsi="Arial" w:cs="Arial"/>
          <w:sz w:val="22"/>
          <w:szCs w:val="22"/>
        </w:rPr>
      </w:pPr>
      <w:r w:rsidRPr="00B06831">
        <w:rPr>
          <w:rFonts w:ascii="Arial" w:hAnsi="Arial" w:cs="Arial"/>
          <w:sz w:val="22"/>
          <w:szCs w:val="22"/>
        </w:rPr>
        <w:t xml:space="preserve">[17] K. Lee and S. Kim, "BYOD Security in Highly Regulated Industries: A Case Study in Healthcare," </w:t>
      </w:r>
      <w:r w:rsidRPr="00B06831">
        <w:rPr>
          <w:rFonts w:ascii="Arial" w:hAnsi="Arial" w:cs="Arial"/>
          <w:i/>
          <w:iCs/>
          <w:sz w:val="22"/>
          <w:szCs w:val="22"/>
        </w:rPr>
        <w:t>IEEE Security &amp; Privacy Magazine</w:t>
      </w:r>
      <w:r w:rsidRPr="00B06831">
        <w:rPr>
          <w:rFonts w:ascii="Arial" w:hAnsi="Arial" w:cs="Arial"/>
          <w:sz w:val="22"/>
          <w:szCs w:val="22"/>
        </w:rPr>
        <w:t>, vol. 22, no. 3, pp. 60-67, 2024.</w:t>
      </w:r>
    </w:p>
    <w:p w14:paraId="38FD9A15" w14:textId="0D289F24" w:rsidR="00B06831" w:rsidRPr="00B06831" w:rsidRDefault="00B06831" w:rsidP="00B06831">
      <w:pPr>
        <w:spacing w:line="360" w:lineRule="auto"/>
        <w:rPr>
          <w:rFonts w:ascii="Arial" w:hAnsi="Arial" w:cs="Arial"/>
          <w:sz w:val="22"/>
          <w:szCs w:val="22"/>
        </w:rPr>
      </w:pPr>
      <w:r w:rsidRPr="00B06831">
        <w:rPr>
          <w:rFonts w:ascii="Arial" w:hAnsi="Arial" w:cs="Arial"/>
          <w:sz w:val="22"/>
          <w:szCs w:val="22"/>
        </w:rPr>
        <w:t xml:space="preserve">[18] European Commission, "Digital Operational Resilience Act (DORA): Key Requirements and Implications," </w:t>
      </w:r>
      <w:r w:rsidRPr="00B06831">
        <w:rPr>
          <w:rFonts w:ascii="Arial" w:hAnsi="Arial" w:cs="Arial"/>
          <w:i/>
          <w:iCs/>
          <w:sz w:val="22"/>
          <w:szCs w:val="22"/>
        </w:rPr>
        <w:t>Official Journal of the European Union</w:t>
      </w:r>
      <w:r w:rsidRPr="00B06831">
        <w:rPr>
          <w:rFonts w:ascii="Arial" w:hAnsi="Arial" w:cs="Arial"/>
          <w:sz w:val="22"/>
          <w:szCs w:val="22"/>
        </w:rPr>
        <w:t>, L 333/1, 2024.</w:t>
      </w:r>
    </w:p>
    <w:p w14:paraId="2FBDB896" w14:textId="1410E250" w:rsidR="00B06831" w:rsidRPr="00B06831" w:rsidRDefault="00B06831" w:rsidP="00B06831">
      <w:pPr>
        <w:spacing w:line="360" w:lineRule="auto"/>
        <w:rPr>
          <w:rFonts w:ascii="Arial" w:hAnsi="Arial" w:cs="Arial"/>
          <w:sz w:val="22"/>
          <w:szCs w:val="22"/>
        </w:rPr>
      </w:pPr>
      <w:r w:rsidRPr="00B06831">
        <w:rPr>
          <w:rFonts w:ascii="Arial" w:hAnsi="Arial" w:cs="Arial"/>
          <w:sz w:val="22"/>
          <w:szCs w:val="22"/>
        </w:rPr>
        <w:t>[19] European Union Agency for Cybersecurity (ENISA), "NIS2 Directive: A Guide for Critical Entities," 2025. [Online]. Available: https://www.enisa.europa.eu/topics/nis-directive</w:t>
      </w:r>
    </w:p>
    <w:p w14:paraId="07DEA574" w14:textId="7399DEB3" w:rsidR="00B06831" w:rsidRPr="00B06831" w:rsidRDefault="00B06831" w:rsidP="00B06831">
      <w:pPr>
        <w:spacing w:line="360" w:lineRule="auto"/>
        <w:rPr>
          <w:rFonts w:ascii="Arial" w:hAnsi="Arial" w:cs="Arial"/>
          <w:sz w:val="22"/>
          <w:szCs w:val="22"/>
        </w:rPr>
      </w:pPr>
      <w:r w:rsidRPr="00B06831">
        <w:rPr>
          <w:rFonts w:ascii="Arial" w:hAnsi="Arial" w:cs="Arial"/>
          <w:sz w:val="22"/>
          <w:szCs w:val="22"/>
        </w:rPr>
        <w:t>[20] National Institute of Standards and Technology (NIST), "Cybersecurity Framework (CSF) 2.0," 2024. [Online]. Available: https://www.nist.gov/cybersecurity/cybersecurity-framework</w:t>
      </w:r>
    </w:p>
    <w:p w14:paraId="16B95716" w14:textId="5D30853C" w:rsidR="00B06831" w:rsidRPr="00B06831" w:rsidRDefault="00B06831" w:rsidP="00B06831">
      <w:pPr>
        <w:spacing w:line="360" w:lineRule="auto"/>
        <w:rPr>
          <w:rFonts w:ascii="Arial" w:hAnsi="Arial" w:cs="Arial"/>
          <w:sz w:val="22"/>
          <w:szCs w:val="22"/>
        </w:rPr>
      </w:pPr>
      <w:r w:rsidRPr="00B06831">
        <w:rPr>
          <w:rFonts w:ascii="Arial" w:hAnsi="Arial" w:cs="Arial"/>
          <w:sz w:val="22"/>
          <w:szCs w:val="22"/>
        </w:rPr>
        <w:t xml:space="preserve">[21] D. Johnson and M. Williams, "Managing Supply Chain and Cloud Risks under DORA and NIS2," </w:t>
      </w:r>
      <w:r w:rsidRPr="00B06831">
        <w:rPr>
          <w:rFonts w:ascii="Arial" w:hAnsi="Arial" w:cs="Arial"/>
          <w:i/>
          <w:iCs/>
          <w:sz w:val="22"/>
          <w:szCs w:val="22"/>
        </w:rPr>
        <w:t>IEEE Trans. on Industrial Informatics</w:t>
      </w:r>
      <w:r w:rsidRPr="00B06831">
        <w:rPr>
          <w:rFonts w:ascii="Arial" w:hAnsi="Arial" w:cs="Arial"/>
          <w:sz w:val="22"/>
          <w:szCs w:val="22"/>
        </w:rPr>
        <w:t>, vol. 20, no. 2, pp. 1001-1010, 2026.</w:t>
      </w:r>
    </w:p>
    <w:p w14:paraId="69B60F27" w14:textId="6BCE5E47" w:rsidR="00B06831" w:rsidRPr="00B06831" w:rsidRDefault="00B06831" w:rsidP="00B06831">
      <w:pPr>
        <w:spacing w:line="360" w:lineRule="auto"/>
        <w:rPr>
          <w:rFonts w:ascii="Arial" w:hAnsi="Arial" w:cs="Arial"/>
          <w:sz w:val="22"/>
          <w:szCs w:val="22"/>
        </w:rPr>
      </w:pPr>
      <w:r w:rsidRPr="00B06831">
        <w:rPr>
          <w:rFonts w:ascii="Arial" w:hAnsi="Arial" w:cs="Arial"/>
          <w:sz w:val="22"/>
          <w:szCs w:val="22"/>
        </w:rPr>
        <w:t xml:space="preserve">[22] P. Gupta and A. Singh, "Ransomware Resilience for AI Data Repositories: A Disaster Recovery Approach," in </w:t>
      </w:r>
      <w:r w:rsidRPr="00B06831">
        <w:rPr>
          <w:rFonts w:ascii="Arial" w:hAnsi="Arial" w:cs="Arial"/>
          <w:i/>
          <w:iCs/>
          <w:sz w:val="22"/>
          <w:szCs w:val="22"/>
        </w:rPr>
        <w:t>Proc. IEEE Int. Conf. on Data Science and Advanced Analytics (DSAA)</w:t>
      </w:r>
      <w:r w:rsidRPr="00B06831">
        <w:rPr>
          <w:rFonts w:ascii="Arial" w:hAnsi="Arial" w:cs="Arial"/>
          <w:sz w:val="22"/>
          <w:szCs w:val="22"/>
        </w:rPr>
        <w:t>, 2025, pp. 345-350.</w:t>
      </w:r>
    </w:p>
    <w:p w14:paraId="57308B5F" w14:textId="1324BE88" w:rsidR="00B06831" w:rsidRPr="00B06831" w:rsidRDefault="00B06831" w:rsidP="00B06831">
      <w:pPr>
        <w:spacing w:line="360" w:lineRule="auto"/>
        <w:rPr>
          <w:rFonts w:ascii="Arial" w:hAnsi="Arial" w:cs="Arial"/>
          <w:sz w:val="22"/>
          <w:szCs w:val="22"/>
        </w:rPr>
      </w:pPr>
      <w:r w:rsidRPr="00B06831">
        <w:rPr>
          <w:rFonts w:ascii="Arial" w:hAnsi="Arial" w:cs="Arial"/>
          <w:sz w:val="22"/>
          <w:szCs w:val="22"/>
        </w:rPr>
        <w:t xml:space="preserve">[23] S. Chen and H. Wang, "CSPM for Multi-Cloud Environments: Enhancing Security Posture and Compliance," </w:t>
      </w:r>
      <w:r w:rsidRPr="00B06831">
        <w:rPr>
          <w:rFonts w:ascii="Arial" w:hAnsi="Arial" w:cs="Arial"/>
          <w:i/>
          <w:iCs/>
          <w:sz w:val="22"/>
          <w:szCs w:val="22"/>
        </w:rPr>
        <w:t>IEEE Cloud Computing Magazine</w:t>
      </w:r>
      <w:r w:rsidRPr="00B06831">
        <w:rPr>
          <w:rFonts w:ascii="Arial" w:hAnsi="Arial" w:cs="Arial"/>
          <w:sz w:val="22"/>
          <w:szCs w:val="22"/>
        </w:rPr>
        <w:t>, vol. 11, no. 1, pp. 20-27, 2024.</w:t>
      </w:r>
    </w:p>
    <w:p w14:paraId="1375459D" w14:textId="334223A1" w:rsidR="00244624" w:rsidRPr="00BB348C" w:rsidRDefault="00B06831" w:rsidP="00BB348C">
      <w:pPr>
        <w:spacing w:line="360" w:lineRule="auto"/>
        <w:rPr>
          <w:rFonts w:ascii="Arial" w:hAnsi="Arial" w:cs="Arial"/>
          <w:sz w:val="22"/>
          <w:szCs w:val="22"/>
        </w:rPr>
      </w:pPr>
      <w:r w:rsidRPr="00B06831">
        <w:rPr>
          <w:rFonts w:ascii="Arial" w:hAnsi="Arial" w:cs="Arial"/>
          <w:sz w:val="22"/>
          <w:szCs w:val="22"/>
        </w:rPr>
        <w:t xml:space="preserve">[24] A. Patel and B. Sharma, "Phishing-Resistant MFA in Zero Trust Architectures: A Comparative Analysis," </w:t>
      </w:r>
      <w:r w:rsidRPr="00B06831">
        <w:rPr>
          <w:rFonts w:ascii="Arial" w:hAnsi="Arial" w:cs="Arial"/>
          <w:i/>
          <w:iCs/>
          <w:sz w:val="22"/>
          <w:szCs w:val="22"/>
        </w:rPr>
        <w:t>IEEE Trans. on Dependable and Secure Computing</w:t>
      </w:r>
      <w:r w:rsidRPr="00B06831">
        <w:rPr>
          <w:rFonts w:ascii="Arial" w:hAnsi="Arial" w:cs="Arial"/>
          <w:sz w:val="22"/>
          <w:szCs w:val="22"/>
        </w:rPr>
        <w:t>, vol. 21, no. 4, pp. 1234-1245, 2025.</w:t>
      </w:r>
    </w:p>
    <w:sectPr w:rsidR="00244624" w:rsidRPr="00BB348C" w:rsidSect="00FE5EA7">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36934D" w14:textId="77777777" w:rsidR="006B048F" w:rsidRDefault="006B048F" w:rsidP="00C2655B">
      <w:pPr>
        <w:spacing w:after="0" w:line="240" w:lineRule="auto"/>
      </w:pPr>
      <w:r>
        <w:separator/>
      </w:r>
    </w:p>
  </w:endnote>
  <w:endnote w:type="continuationSeparator" w:id="0">
    <w:p w14:paraId="2E49623A" w14:textId="77777777" w:rsidR="006B048F" w:rsidRDefault="006B048F" w:rsidP="00C26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347372224"/>
      <w:docPartObj>
        <w:docPartGallery w:val="Page Numbers (Bottom of Page)"/>
        <w:docPartUnique/>
      </w:docPartObj>
    </w:sdtPr>
    <w:sdtContent>
      <w:p w14:paraId="44E9DF46" w14:textId="0F855D54" w:rsidR="00FE5EA7" w:rsidRDefault="00FE5EA7" w:rsidP="00EC786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5AC950" w14:textId="77777777" w:rsidR="00FE5EA7" w:rsidRDefault="00FE5E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93641942"/>
      <w:docPartObj>
        <w:docPartGallery w:val="Page Numbers (Bottom of Page)"/>
        <w:docPartUnique/>
      </w:docPartObj>
    </w:sdtPr>
    <w:sdtContent>
      <w:p w14:paraId="503CE5E5" w14:textId="2C768573" w:rsidR="00FE5EA7" w:rsidRDefault="00FE5EA7" w:rsidP="00EC786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EFDF8C1" w14:textId="77777777" w:rsidR="00FE5EA7" w:rsidRDefault="00FE5E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45A5B6" w14:textId="77777777" w:rsidR="006B048F" w:rsidRDefault="006B048F" w:rsidP="00C2655B">
      <w:pPr>
        <w:spacing w:after="0" w:line="240" w:lineRule="auto"/>
      </w:pPr>
      <w:r>
        <w:separator/>
      </w:r>
    </w:p>
  </w:footnote>
  <w:footnote w:type="continuationSeparator" w:id="0">
    <w:p w14:paraId="3329EEDD" w14:textId="77777777" w:rsidR="006B048F" w:rsidRDefault="006B048F" w:rsidP="00C265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0B7671"/>
    <w:multiLevelType w:val="hybridMultilevel"/>
    <w:tmpl w:val="48C28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2945DD4"/>
    <w:multiLevelType w:val="hybridMultilevel"/>
    <w:tmpl w:val="C2AE4994"/>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16F97FC3"/>
    <w:multiLevelType w:val="hybridMultilevel"/>
    <w:tmpl w:val="5E961FDA"/>
    <w:lvl w:ilvl="0" w:tplc="0809000B">
      <w:start w:val="1"/>
      <w:numFmt w:val="bullet"/>
      <w:lvlText w:val=""/>
      <w:lvlJc w:val="left"/>
      <w:pPr>
        <w:ind w:left="2189" w:hanging="360"/>
      </w:pPr>
      <w:rPr>
        <w:rFonts w:ascii="Wingdings" w:hAnsi="Wingdings" w:hint="default"/>
      </w:rPr>
    </w:lvl>
    <w:lvl w:ilvl="1" w:tplc="08090003" w:tentative="1">
      <w:start w:val="1"/>
      <w:numFmt w:val="bullet"/>
      <w:lvlText w:val="o"/>
      <w:lvlJc w:val="left"/>
      <w:pPr>
        <w:ind w:left="2909" w:hanging="360"/>
      </w:pPr>
      <w:rPr>
        <w:rFonts w:ascii="Courier New" w:hAnsi="Courier New" w:cs="Courier New" w:hint="default"/>
      </w:rPr>
    </w:lvl>
    <w:lvl w:ilvl="2" w:tplc="08090005" w:tentative="1">
      <w:start w:val="1"/>
      <w:numFmt w:val="bullet"/>
      <w:lvlText w:val=""/>
      <w:lvlJc w:val="left"/>
      <w:pPr>
        <w:ind w:left="3629" w:hanging="360"/>
      </w:pPr>
      <w:rPr>
        <w:rFonts w:ascii="Wingdings" w:hAnsi="Wingdings" w:hint="default"/>
      </w:rPr>
    </w:lvl>
    <w:lvl w:ilvl="3" w:tplc="08090001" w:tentative="1">
      <w:start w:val="1"/>
      <w:numFmt w:val="bullet"/>
      <w:lvlText w:val=""/>
      <w:lvlJc w:val="left"/>
      <w:pPr>
        <w:ind w:left="4349" w:hanging="360"/>
      </w:pPr>
      <w:rPr>
        <w:rFonts w:ascii="Symbol" w:hAnsi="Symbol" w:hint="default"/>
      </w:rPr>
    </w:lvl>
    <w:lvl w:ilvl="4" w:tplc="08090003" w:tentative="1">
      <w:start w:val="1"/>
      <w:numFmt w:val="bullet"/>
      <w:lvlText w:val="o"/>
      <w:lvlJc w:val="left"/>
      <w:pPr>
        <w:ind w:left="5069" w:hanging="360"/>
      </w:pPr>
      <w:rPr>
        <w:rFonts w:ascii="Courier New" w:hAnsi="Courier New" w:cs="Courier New" w:hint="default"/>
      </w:rPr>
    </w:lvl>
    <w:lvl w:ilvl="5" w:tplc="08090005" w:tentative="1">
      <w:start w:val="1"/>
      <w:numFmt w:val="bullet"/>
      <w:lvlText w:val=""/>
      <w:lvlJc w:val="left"/>
      <w:pPr>
        <w:ind w:left="5789" w:hanging="360"/>
      </w:pPr>
      <w:rPr>
        <w:rFonts w:ascii="Wingdings" w:hAnsi="Wingdings" w:hint="default"/>
      </w:rPr>
    </w:lvl>
    <w:lvl w:ilvl="6" w:tplc="08090001" w:tentative="1">
      <w:start w:val="1"/>
      <w:numFmt w:val="bullet"/>
      <w:lvlText w:val=""/>
      <w:lvlJc w:val="left"/>
      <w:pPr>
        <w:ind w:left="6509" w:hanging="360"/>
      </w:pPr>
      <w:rPr>
        <w:rFonts w:ascii="Symbol" w:hAnsi="Symbol" w:hint="default"/>
      </w:rPr>
    </w:lvl>
    <w:lvl w:ilvl="7" w:tplc="08090003" w:tentative="1">
      <w:start w:val="1"/>
      <w:numFmt w:val="bullet"/>
      <w:lvlText w:val="o"/>
      <w:lvlJc w:val="left"/>
      <w:pPr>
        <w:ind w:left="7229" w:hanging="360"/>
      </w:pPr>
      <w:rPr>
        <w:rFonts w:ascii="Courier New" w:hAnsi="Courier New" w:cs="Courier New" w:hint="default"/>
      </w:rPr>
    </w:lvl>
    <w:lvl w:ilvl="8" w:tplc="08090005" w:tentative="1">
      <w:start w:val="1"/>
      <w:numFmt w:val="bullet"/>
      <w:lvlText w:val=""/>
      <w:lvlJc w:val="left"/>
      <w:pPr>
        <w:ind w:left="7949" w:hanging="360"/>
      </w:pPr>
      <w:rPr>
        <w:rFonts w:ascii="Wingdings" w:hAnsi="Wingdings" w:hint="default"/>
      </w:rPr>
    </w:lvl>
  </w:abstractNum>
  <w:abstractNum w:abstractNumId="8" w15:restartNumberingAfterBreak="0">
    <w:nsid w:val="1C4F29AD"/>
    <w:multiLevelType w:val="hybridMultilevel"/>
    <w:tmpl w:val="F8D00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2A7BB1"/>
    <w:multiLevelType w:val="hybridMultilevel"/>
    <w:tmpl w:val="FCF010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CF47BF"/>
    <w:multiLevelType w:val="hybridMultilevel"/>
    <w:tmpl w:val="4310269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263292"/>
    <w:multiLevelType w:val="hybridMultilevel"/>
    <w:tmpl w:val="8EF0FA68"/>
    <w:lvl w:ilvl="0" w:tplc="EA0C947E">
      <w:start w:val="1"/>
      <w:numFmt w:val="bullet"/>
      <w:lvlText w:val="●"/>
      <w:lvlJc w:val="left"/>
      <w:pPr>
        <w:ind w:left="720" w:hanging="360"/>
      </w:pPr>
    </w:lvl>
    <w:lvl w:ilvl="1" w:tplc="0D56FC98">
      <w:start w:val="1"/>
      <w:numFmt w:val="bullet"/>
      <w:lvlText w:val="○"/>
      <w:lvlJc w:val="left"/>
      <w:pPr>
        <w:ind w:left="1440" w:hanging="360"/>
      </w:pPr>
    </w:lvl>
    <w:lvl w:ilvl="2" w:tplc="F3A49048">
      <w:start w:val="1"/>
      <w:numFmt w:val="bullet"/>
      <w:lvlText w:val="■"/>
      <w:lvlJc w:val="left"/>
      <w:pPr>
        <w:ind w:left="2160" w:hanging="360"/>
      </w:pPr>
    </w:lvl>
    <w:lvl w:ilvl="3" w:tplc="BD5E79BE">
      <w:start w:val="1"/>
      <w:numFmt w:val="bullet"/>
      <w:lvlText w:val="●"/>
      <w:lvlJc w:val="left"/>
      <w:pPr>
        <w:ind w:left="2880" w:hanging="360"/>
      </w:pPr>
    </w:lvl>
    <w:lvl w:ilvl="4" w:tplc="FAF08F8A">
      <w:start w:val="1"/>
      <w:numFmt w:val="bullet"/>
      <w:lvlText w:val="○"/>
      <w:lvlJc w:val="left"/>
      <w:pPr>
        <w:ind w:left="3600" w:hanging="360"/>
      </w:pPr>
    </w:lvl>
    <w:lvl w:ilvl="5" w:tplc="05DE91A8">
      <w:start w:val="1"/>
      <w:numFmt w:val="bullet"/>
      <w:lvlText w:val="■"/>
      <w:lvlJc w:val="left"/>
      <w:pPr>
        <w:ind w:left="4320" w:hanging="360"/>
      </w:pPr>
    </w:lvl>
    <w:lvl w:ilvl="6" w:tplc="4F5CF472">
      <w:start w:val="1"/>
      <w:numFmt w:val="bullet"/>
      <w:lvlText w:val="●"/>
      <w:lvlJc w:val="left"/>
      <w:pPr>
        <w:ind w:left="5040" w:hanging="360"/>
      </w:pPr>
    </w:lvl>
    <w:lvl w:ilvl="7" w:tplc="74F8CA2C">
      <w:start w:val="1"/>
      <w:numFmt w:val="bullet"/>
      <w:lvlText w:val="●"/>
      <w:lvlJc w:val="left"/>
      <w:pPr>
        <w:ind w:left="5760" w:hanging="360"/>
      </w:pPr>
    </w:lvl>
    <w:lvl w:ilvl="8" w:tplc="A036D550">
      <w:start w:val="1"/>
      <w:numFmt w:val="bullet"/>
      <w:lvlText w:val="●"/>
      <w:lvlJc w:val="left"/>
      <w:pPr>
        <w:ind w:left="6480" w:hanging="360"/>
      </w:pPr>
    </w:lvl>
  </w:abstractNum>
  <w:abstractNum w:abstractNumId="13" w15:restartNumberingAfterBreak="0">
    <w:nsid w:val="2CE21B3B"/>
    <w:multiLevelType w:val="hybridMultilevel"/>
    <w:tmpl w:val="CB08A3D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78351B"/>
    <w:multiLevelType w:val="hybridMultilevel"/>
    <w:tmpl w:val="034E254E"/>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7" w15:restartNumberingAfterBreak="0">
    <w:nsid w:val="40280FE7"/>
    <w:multiLevelType w:val="hybridMultilevel"/>
    <w:tmpl w:val="2A64AA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DE4137"/>
    <w:multiLevelType w:val="multilevel"/>
    <w:tmpl w:val="1A767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2"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3309B5"/>
    <w:multiLevelType w:val="hybridMultilevel"/>
    <w:tmpl w:val="4BCA12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171AFD"/>
    <w:multiLevelType w:val="hybridMultilevel"/>
    <w:tmpl w:val="129416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C83496D"/>
    <w:multiLevelType w:val="hybridMultilevel"/>
    <w:tmpl w:val="5BD2E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E503E8D"/>
    <w:multiLevelType w:val="multilevel"/>
    <w:tmpl w:val="BC20B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2487C07"/>
    <w:multiLevelType w:val="hybridMultilevel"/>
    <w:tmpl w:val="F8187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3427A02"/>
    <w:multiLevelType w:val="hybridMultilevel"/>
    <w:tmpl w:val="F3DCE0F8"/>
    <w:lvl w:ilvl="0" w:tplc="0809000B">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2" w15:restartNumberingAfterBreak="0">
    <w:nsid w:val="7662608B"/>
    <w:multiLevelType w:val="hybridMultilevel"/>
    <w:tmpl w:val="F712EDE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3"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36" w15:restartNumberingAfterBreak="0">
    <w:nsid w:val="7EDD3692"/>
    <w:multiLevelType w:val="hybridMultilevel"/>
    <w:tmpl w:val="62F2599A"/>
    <w:lvl w:ilvl="0" w:tplc="EAF2092E">
      <w:start w:val="1"/>
      <w:numFmt w:val="bullet"/>
      <w:lvlText w:val="●"/>
      <w:lvlJc w:val="left"/>
      <w:pPr>
        <w:ind w:left="720" w:hanging="360"/>
      </w:pPr>
    </w:lvl>
    <w:lvl w:ilvl="1" w:tplc="A44C88D6">
      <w:start w:val="1"/>
      <w:numFmt w:val="bullet"/>
      <w:lvlText w:val="○"/>
      <w:lvlJc w:val="left"/>
      <w:pPr>
        <w:ind w:left="1440" w:hanging="360"/>
      </w:pPr>
    </w:lvl>
    <w:lvl w:ilvl="2" w:tplc="E8743CAE">
      <w:start w:val="1"/>
      <w:numFmt w:val="bullet"/>
      <w:lvlText w:val="■"/>
      <w:lvlJc w:val="left"/>
      <w:pPr>
        <w:ind w:left="2160" w:hanging="360"/>
      </w:pPr>
    </w:lvl>
    <w:lvl w:ilvl="3" w:tplc="5FD4AAFE">
      <w:start w:val="1"/>
      <w:numFmt w:val="bullet"/>
      <w:lvlText w:val="●"/>
      <w:lvlJc w:val="left"/>
      <w:pPr>
        <w:ind w:left="2880" w:hanging="360"/>
      </w:pPr>
    </w:lvl>
    <w:lvl w:ilvl="4" w:tplc="46849054">
      <w:start w:val="1"/>
      <w:numFmt w:val="bullet"/>
      <w:lvlText w:val="○"/>
      <w:lvlJc w:val="left"/>
      <w:pPr>
        <w:ind w:left="3600" w:hanging="360"/>
      </w:pPr>
    </w:lvl>
    <w:lvl w:ilvl="5" w:tplc="54A0E884">
      <w:start w:val="1"/>
      <w:numFmt w:val="bullet"/>
      <w:lvlText w:val="■"/>
      <w:lvlJc w:val="left"/>
      <w:pPr>
        <w:ind w:left="4320" w:hanging="360"/>
      </w:pPr>
    </w:lvl>
    <w:lvl w:ilvl="6" w:tplc="94C6D662">
      <w:start w:val="1"/>
      <w:numFmt w:val="bullet"/>
      <w:lvlText w:val="●"/>
      <w:lvlJc w:val="left"/>
      <w:pPr>
        <w:ind w:left="5040" w:hanging="360"/>
      </w:pPr>
    </w:lvl>
    <w:lvl w:ilvl="7" w:tplc="0ED8D246">
      <w:start w:val="1"/>
      <w:numFmt w:val="bullet"/>
      <w:lvlText w:val="●"/>
      <w:lvlJc w:val="left"/>
      <w:pPr>
        <w:ind w:left="5760" w:hanging="360"/>
      </w:pPr>
    </w:lvl>
    <w:lvl w:ilvl="8" w:tplc="740C5B48">
      <w:start w:val="1"/>
      <w:numFmt w:val="bullet"/>
      <w:lvlText w:val="●"/>
      <w:lvlJc w:val="left"/>
      <w:pPr>
        <w:ind w:left="6480" w:hanging="360"/>
      </w:pPr>
    </w:lvl>
  </w:abstractNum>
  <w:abstractNum w:abstractNumId="37" w15:restartNumberingAfterBreak="0">
    <w:nsid w:val="7FB46622"/>
    <w:multiLevelType w:val="hybridMultilevel"/>
    <w:tmpl w:val="EE32BA2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898858311">
    <w:abstractNumId w:val="33"/>
  </w:num>
  <w:num w:numId="2" w16cid:durableId="1048190077">
    <w:abstractNumId w:val="14"/>
  </w:num>
  <w:num w:numId="3" w16cid:durableId="697777982">
    <w:abstractNumId w:val="34"/>
  </w:num>
  <w:num w:numId="4" w16cid:durableId="2138067202">
    <w:abstractNumId w:val="4"/>
  </w:num>
  <w:num w:numId="5" w16cid:durableId="1072700592">
    <w:abstractNumId w:val="21"/>
  </w:num>
  <w:num w:numId="6" w16cid:durableId="2115635506">
    <w:abstractNumId w:val="27"/>
  </w:num>
  <w:num w:numId="7" w16cid:durableId="1215116075">
    <w:abstractNumId w:val="5"/>
  </w:num>
  <w:num w:numId="8" w16cid:durableId="98063789">
    <w:abstractNumId w:val="3"/>
  </w:num>
  <w:num w:numId="9" w16cid:durableId="936329001">
    <w:abstractNumId w:val="18"/>
  </w:num>
  <w:num w:numId="10" w16cid:durableId="1115371277">
    <w:abstractNumId w:val="15"/>
  </w:num>
  <w:num w:numId="11" w16cid:durableId="209348931">
    <w:abstractNumId w:val="1"/>
  </w:num>
  <w:num w:numId="12" w16cid:durableId="1504661802">
    <w:abstractNumId w:val="35"/>
  </w:num>
  <w:num w:numId="13" w16cid:durableId="1863473713">
    <w:abstractNumId w:val="20"/>
  </w:num>
  <w:num w:numId="14" w16cid:durableId="2033875701">
    <w:abstractNumId w:val="24"/>
  </w:num>
  <w:num w:numId="15" w16cid:durableId="1559053598">
    <w:abstractNumId w:val="22"/>
  </w:num>
  <w:num w:numId="16" w16cid:durableId="387529797">
    <w:abstractNumId w:val="29"/>
  </w:num>
  <w:num w:numId="17" w16cid:durableId="335964761">
    <w:abstractNumId w:val="11"/>
  </w:num>
  <w:num w:numId="18" w16cid:durableId="346757515">
    <w:abstractNumId w:val="6"/>
  </w:num>
  <w:num w:numId="19" w16cid:durableId="1492986690">
    <w:abstractNumId w:val="13"/>
  </w:num>
  <w:num w:numId="20" w16cid:durableId="754937083">
    <w:abstractNumId w:val="9"/>
  </w:num>
  <w:num w:numId="21" w16cid:durableId="2036803389">
    <w:abstractNumId w:val="32"/>
  </w:num>
  <w:num w:numId="22" w16cid:durableId="1252201105">
    <w:abstractNumId w:val="31"/>
  </w:num>
  <w:num w:numId="23" w16cid:durableId="1011299932">
    <w:abstractNumId w:val="10"/>
  </w:num>
  <w:num w:numId="24" w16cid:durableId="154494724">
    <w:abstractNumId w:val="16"/>
  </w:num>
  <w:num w:numId="25" w16cid:durableId="1166048998">
    <w:abstractNumId w:val="37"/>
  </w:num>
  <w:num w:numId="26" w16cid:durableId="2055930896">
    <w:abstractNumId w:val="7"/>
  </w:num>
  <w:num w:numId="27" w16cid:durableId="2026130832">
    <w:abstractNumId w:val="26"/>
  </w:num>
  <w:num w:numId="28" w16cid:durableId="1402557782">
    <w:abstractNumId w:val="8"/>
  </w:num>
  <w:num w:numId="29" w16cid:durableId="760418645">
    <w:abstractNumId w:val="17"/>
  </w:num>
  <w:num w:numId="30" w16cid:durableId="1077097702">
    <w:abstractNumId w:val="23"/>
  </w:num>
  <w:num w:numId="31" w16cid:durableId="1425028092">
    <w:abstractNumId w:val="12"/>
    <w:lvlOverride w:ilvl="0">
      <w:startOverride w:val="1"/>
    </w:lvlOverride>
  </w:num>
  <w:num w:numId="32" w16cid:durableId="1652441061">
    <w:abstractNumId w:val="2"/>
  </w:num>
  <w:num w:numId="33" w16cid:durableId="1297957050">
    <w:abstractNumId w:val="30"/>
  </w:num>
  <w:num w:numId="34" w16cid:durableId="416100652">
    <w:abstractNumId w:val="36"/>
    <w:lvlOverride w:ilvl="0">
      <w:startOverride w:val="1"/>
    </w:lvlOverride>
  </w:num>
  <w:num w:numId="35" w16cid:durableId="1846699722">
    <w:abstractNumId w:val="0"/>
  </w:num>
  <w:num w:numId="36" w16cid:durableId="355621569">
    <w:abstractNumId w:val="25"/>
  </w:num>
  <w:num w:numId="37" w16cid:durableId="1326933873">
    <w:abstractNumId w:val="28"/>
  </w:num>
  <w:num w:numId="38" w16cid:durableId="84281927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246C7"/>
    <w:rsid w:val="00063357"/>
    <w:rsid w:val="00082EF0"/>
    <w:rsid w:val="000835A6"/>
    <w:rsid w:val="00093287"/>
    <w:rsid w:val="000B230E"/>
    <w:rsid w:val="000C2A21"/>
    <w:rsid w:val="000E24A6"/>
    <w:rsid w:val="000E35F8"/>
    <w:rsid w:val="00111ECF"/>
    <w:rsid w:val="00122F10"/>
    <w:rsid w:val="001316BA"/>
    <w:rsid w:val="0018507A"/>
    <w:rsid w:val="001A6835"/>
    <w:rsid w:val="001B0DCF"/>
    <w:rsid w:val="001B39EF"/>
    <w:rsid w:val="001C689B"/>
    <w:rsid w:val="001C7F93"/>
    <w:rsid w:val="001F51DA"/>
    <w:rsid w:val="00206BD1"/>
    <w:rsid w:val="00227FBC"/>
    <w:rsid w:val="002327A4"/>
    <w:rsid w:val="00237207"/>
    <w:rsid w:val="00244624"/>
    <w:rsid w:val="0025024C"/>
    <w:rsid w:val="002540D9"/>
    <w:rsid w:val="00286DF1"/>
    <w:rsid w:val="00294677"/>
    <w:rsid w:val="002B3F98"/>
    <w:rsid w:val="002C6F44"/>
    <w:rsid w:val="0030269F"/>
    <w:rsid w:val="00313EC5"/>
    <w:rsid w:val="0032374D"/>
    <w:rsid w:val="003467DF"/>
    <w:rsid w:val="00442318"/>
    <w:rsid w:val="004442F2"/>
    <w:rsid w:val="0046288D"/>
    <w:rsid w:val="00475FEB"/>
    <w:rsid w:val="00484F07"/>
    <w:rsid w:val="00491A4D"/>
    <w:rsid w:val="004B51E5"/>
    <w:rsid w:val="004D60B0"/>
    <w:rsid w:val="004E4C14"/>
    <w:rsid w:val="004E7CFE"/>
    <w:rsid w:val="00513634"/>
    <w:rsid w:val="00526EE3"/>
    <w:rsid w:val="0056782E"/>
    <w:rsid w:val="00581C8F"/>
    <w:rsid w:val="005A199E"/>
    <w:rsid w:val="005A6543"/>
    <w:rsid w:val="005B5448"/>
    <w:rsid w:val="005B6FCF"/>
    <w:rsid w:val="005C01C0"/>
    <w:rsid w:val="005D000C"/>
    <w:rsid w:val="00601770"/>
    <w:rsid w:val="0063574C"/>
    <w:rsid w:val="0063615D"/>
    <w:rsid w:val="00656642"/>
    <w:rsid w:val="0066058E"/>
    <w:rsid w:val="00675E0B"/>
    <w:rsid w:val="006A587E"/>
    <w:rsid w:val="006B048F"/>
    <w:rsid w:val="006D4A1C"/>
    <w:rsid w:val="006E5869"/>
    <w:rsid w:val="007170B3"/>
    <w:rsid w:val="0073677A"/>
    <w:rsid w:val="007601D8"/>
    <w:rsid w:val="0076398C"/>
    <w:rsid w:val="00764746"/>
    <w:rsid w:val="007675F4"/>
    <w:rsid w:val="00796A85"/>
    <w:rsid w:val="007A1F3D"/>
    <w:rsid w:val="007B0E82"/>
    <w:rsid w:val="008238DC"/>
    <w:rsid w:val="008446D1"/>
    <w:rsid w:val="00853332"/>
    <w:rsid w:val="00863B6F"/>
    <w:rsid w:val="008844C2"/>
    <w:rsid w:val="008C5C46"/>
    <w:rsid w:val="009027C2"/>
    <w:rsid w:val="00915AB7"/>
    <w:rsid w:val="00932EA5"/>
    <w:rsid w:val="009430C6"/>
    <w:rsid w:val="00954D56"/>
    <w:rsid w:val="00957491"/>
    <w:rsid w:val="00960557"/>
    <w:rsid w:val="00963749"/>
    <w:rsid w:val="009853CE"/>
    <w:rsid w:val="00990DF9"/>
    <w:rsid w:val="00991B96"/>
    <w:rsid w:val="009B10DB"/>
    <w:rsid w:val="009C7132"/>
    <w:rsid w:val="009D6101"/>
    <w:rsid w:val="00A11890"/>
    <w:rsid w:val="00A275CB"/>
    <w:rsid w:val="00A5564D"/>
    <w:rsid w:val="00A62372"/>
    <w:rsid w:val="00A67A3F"/>
    <w:rsid w:val="00A72875"/>
    <w:rsid w:val="00A84242"/>
    <w:rsid w:val="00AB61F4"/>
    <w:rsid w:val="00AB7A25"/>
    <w:rsid w:val="00AC3A12"/>
    <w:rsid w:val="00AE4C1C"/>
    <w:rsid w:val="00AF4DBC"/>
    <w:rsid w:val="00AF6E3E"/>
    <w:rsid w:val="00B06831"/>
    <w:rsid w:val="00B33309"/>
    <w:rsid w:val="00B53A9E"/>
    <w:rsid w:val="00B60767"/>
    <w:rsid w:val="00B82601"/>
    <w:rsid w:val="00B8523F"/>
    <w:rsid w:val="00B90F0F"/>
    <w:rsid w:val="00B935D6"/>
    <w:rsid w:val="00BA0877"/>
    <w:rsid w:val="00BB348C"/>
    <w:rsid w:val="00BD0683"/>
    <w:rsid w:val="00BD1B53"/>
    <w:rsid w:val="00C04EDE"/>
    <w:rsid w:val="00C079BA"/>
    <w:rsid w:val="00C12BEA"/>
    <w:rsid w:val="00C224F5"/>
    <w:rsid w:val="00C260AF"/>
    <w:rsid w:val="00C2655B"/>
    <w:rsid w:val="00C33F20"/>
    <w:rsid w:val="00C520D6"/>
    <w:rsid w:val="00C6357A"/>
    <w:rsid w:val="00CB2374"/>
    <w:rsid w:val="00CB3B27"/>
    <w:rsid w:val="00D07DEF"/>
    <w:rsid w:val="00D15042"/>
    <w:rsid w:val="00D43408"/>
    <w:rsid w:val="00D5334D"/>
    <w:rsid w:val="00D540C0"/>
    <w:rsid w:val="00D54836"/>
    <w:rsid w:val="00D6071D"/>
    <w:rsid w:val="00D62003"/>
    <w:rsid w:val="00D63FF7"/>
    <w:rsid w:val="00D92EFD"/>
    <w:rsid w:val="00DA6B69"/>
    <w:rsid w:val="00DB2132"/>
    <w:rsid w:val="00DF1090"/>
    <w:rsid w:val="00E03F64"/>
    <w:rsid w:val="00E13D74"/>
    <w:rsid w:val="00E170DF"/>
    <w:rsid w:val="00E21E4C"/>
    <w:rsid w:val="00E47915"/>
    <w:rsid w:val="00E7294E"/>
    <w:rsid w:val="00E81CF9"/>
    <w:rsid w:val="00E95DB7"/>
    <w:rsid w:val="00EE440D"/>
    <w:rsid w:val="00F7017E"/>
    <w:rsid w:val="00F72ECA"/>
    <w:rsid w:val="00FA23F5"/>
    <w:rsid w:val="00FE5EA7"/>
    <w:rsid w:val="00FF4951"/>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Header">
    <w:name w:val="header"/>
    <w:basedOn w:val="Normal"/>
    <w:link w:val="HeaderChar"/>
    <w:uiPriority w:val="99"/>
    <w:unhideWhenUsed/>
    <w:rsid w:val="00C26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55B"/>
  </w:style>
  <w:style w:type="paragraph" w:styleId="Footer">
    <w:name w:val="footer"/>
    <w:basedOn w:val="Normal"/>
    <w:link w:val="FooterChar"/>
    <w:uiPriority w:val="99"/>
    <w:unhideWhenUsed/>
    <w:rsid w:val="00C26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55B"/>
  </w:style>
  <w:style w:type="character" w:styleId="UnresolvedMention">
    <w:name w:val="Unresolved Mention"/>
    <w:basedOn w:val="DefaultParagraphFont"/>
    <w:uiPriority w:val="99"/>
    <w:semiHidden/>
    <w:unhideWhenUsed/>
    <w:rsid w:val="004D60B0"/>
    <w:rPr>
      <w:color w:val="605E5C"/>
      <w:shd w:val="clear" w:color="auto" w:fill="E1DFDD"/>
    </w:rPr>
  </w:style>
  <w:style w:type="character" w:styleId="PageNumber">
    <w:name w:val="page number"/>
    <w:basedOn w:val="DefaultParagraphFont"/>
    <w:uiPriority w:val="99"/>
    <w:semiHidden/>
    <w:unhideWhenUsed/>
    <w:rsid w:val="00FE5EA7"/>
  </w:style>
  <w:style w:type="paragraph" w:styleId="NormalWeb">
    <w:name w:val="Normal (Web)"/>
    <w:basedOn w:val="Normal"/>
    <w:uiPriority w:val="99"/>
    <w:semiHidden/>
    <w:unhideWhenUsed/>
    <w:rsid w:val="001C7F93"/>
    <w:rPr>
      <w:rFonts w:ascii="Times New Roman" w:hAnsi="Times New Roman" w:cs="Times New Roman"/>
    </w:rPr>
  </w:style>
  <w:style w:type="paragraph" w:customStyle="1" w:styleId="py-0">
    <w:name w:val="py-0"/>
    <w:basedOn w:val="Normal"/>
    <w:rsid w:val="0023720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font-semibold">
    <w:name w:val="font-semibold"/>
    <w:basedOn w:val="DefaultParagraphFont"/>
    <w:rsid w:val="002372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05884">
      <w:bodyDiv w:val="1"/>
      <w:marLeft w:val="0"/>
      <w:marRight w:val="0"/>
      <w:marTop w:val="0"/>
      <w:marBottom w:val="0"/>
      <w:divBdr>
        <w:top w:val="none" w:sz="0" w:space="0" w:color="auto"/>
        <w:left w:val="none" w:sz="0" w:space="0" w:color="auto"/>
        <w:bottom w:val="none" w:sz="0" w:space="0" w:color="auto"/>
        <w:right w:val="none" w:sz="0" w:space="0" w:color="auto"/>
      </w:divBdr>
      <w:divsChild>
        <w:div w:id="1958556962">
          <w:marLeft w:val="0"/>
          <w:marRight w:val="0"/>
          <w:marTop w:val="0"/>
          <w:marBottom w:val="0"/>
          <w:divBdr>
            <w:top w:val="none" w:sz="0" w:space="0" w:color="auto"/>
            <w:left w:val="none" w:sz="0" w:space="0" w:color="auto"/>
            <w:bottom w:val="none" w:sz="0" w:space="0" w:color="auto"/>
            <w:right w:val="none" w:sz="0" w:space="0" w:color="auto"/>
          </w:divBdr>
        </w:div>
        <w:div w:id="1861620023">
          <w:marLeft w:val="0"/>
          <w:marRight w:val="0"/>
          <w:marTop w:val="0"/>
          <w:marBottom w:val="0"/>
          <w:divBdr>
            <w:top w:val="none" w:sz="0" w:space="0" w:color="auto"/>
            <w:left w:val="none" w:sz="0" w:space="0" w:color="auto"/>
            <w:bottom w:val="none" w:sz="0" w:space="0" w:color="auto"/>
            <w:right w:val="none" w:sz="0" w:space="0" w:color="auto"/>
          </w:divBdr>
        </w:div>
      </w:divsChild>
    </w:div>
    <w:div w:id="114108622">
      <w:bodyDiv w:val="1"/>
      <w:marLeft w:val="0"/>
      <w:marRight w:val="0"/>
      <w:marTop w:val="0"/>
      <w:marBottom w:val="0"/>
      <w:divBdr>
        <w:top w:val="none" w:sz="0" w:space="0" w:color="auto"/>
        <w:left w:val="none" w:sz="0" w:space="0" w:color="auto"/>
        <w:bottom w:val="none" w:sz="0" w:space="0" w:color="auto"/>
        <w:right w:val="none" w:sz="0" w:space="0" w:color="auto"/>
      </w:divBdr>
    </w:div>
    <w:div w:id="120614462">
      <w:bodyDiv w:val="1"/>
      <w:marLeft w:val="0"/>
      <w:marRight w:val="0"/>
      <w:marTop w:val="0"/>
      <w:marBottom w:val="0"/>
      <w:divBdr>
        <w:top w:val="none" w:sz="0" w:space="0" w:color="auto"/>
        <w:left w:val="none" w:sz="0" w:space="0" w:color="auto"/>
        <w:bottom w:val="none" w:sz="0" w:space="0" w:color="auto"/>
        <w:right w:val="none" w:sz="0" w:space="0" w:color="auto"/>
      </w:divBdr>
      <w:divsChild>
        <w:div w:id="1403404905">
          <w:marLeft w:val="0"/>
          <w:marRight w:val="0"/>
          <w:marTop w:val="0"/>
          <w:marBottom w:val="0"/>
          <w:divBdr>
            <w:top w:val="none" w:sz="0" w:space="0" w:color="auto"/>
            <w:left w:val="none" w:sz="0" w:space="0" w:color="auto"/>
            <w:bottom w:val="none" w:sz="0" w:space="0" w:color="auto"/>
            <w:right w:val="none" w:sz="0" w:space="0" w:color="auto"/>
          </w:divBdr>
        </w:div>
        <w:div w:id="497043409">
          <w:marLeft w:val="0"/>
          <w:marRight w:val="0"/>
          <w:marTop w:val="0"/>
          <w:marBottom w:val="0"/>
          <w:divBdr>
            <w:top w:val="none" w:sz="0" w:space="0" w:color="auto"/>
            <w:left w:val="none" w:sz="0" w:space="0" w:color="auto"/>
            <w:bottom w:val="none" w:sz="0" w:space="0" w:color="auto"/>
            <w:right w:val="none" w:sz="0" w:space="0" w:color="auto"/>
          </w:divBdr>
          <w:divsChild>
            <w:div w:id="1187789402">
              <w:marLeft w:val="0"/>
              <w:marRight w:val="0"/>
              <w:marTop w:val="0"/>
              <w:marBottom w:val="0"/>
              <w:divBdr>
                <w:top w:val="none" w:sz="0" w:space="0" w:color="auto"/>
                <w:left w:val="none" w:sz="0" w:space="0" w:color="auto"/>
                <w:bottom w:val="none" w:sz="0" w:space="0" w:color="auto"/>
                <w:right w:val="none" w:sz="0" w:space="0" w:color="auto"/>
              </w:divBdr>
            </w:div>
          </w:divsChild>
        </w:div>
        <w:div w:id="1021396578">
          <w:marLeft w:val="0"/>
          <w:marRight w:val="0"/>
          <w:marTop w:val="0"/>
          <w:marBottom w:val="0"/>
          <w:divBdr>
            <w:top w:val="none" w:sz="0" w:space="0" w:color="auto"/>
            <w:left w:val="none" w:sz="0" w:space="0" w:color="auto"/>
            <w:bottom w:val="none" w:sz="0" w:space="0" w:color="auto"/>
            <w:right w:val="none" w:sz="0" w:space="0" w:color="auto"/>
          </w:divBdr>
        </w:div>
        <w:div w:id="548565490">
          <w:marLeft w:val="0"/>
          <w:marRight w:val="0"/>
          <w:marTop w:val="0"/>
          <w:marBottom w:val="0"/>
          <w:divBdr>
            <w:top w:val="none" w:sz="0" w:space="0" w:color="auto"/>
            <w:left w:val="none" w:sz="0" w:space="0" w:color="auto"/>
            <w:bottom w:val="none" w:sz="0" w:space="0" w:color="auto"/>
            <w:right w:val="none" w:sz="0" w:space="0" w:color="auto"/>
          </w:divBdr>
          <w:divsChild>
            <w:div w:id="1003438192">
              <w:marLeft w:val="0"/>
              <w:marRight w:val="0"/>
              <w:marTop w:val="0"/>
              <w:marBottom w:val="0"/>
              <w:divBdr>
                <w:top w:val="none" w:sz="0" w:space="0" w:color="auto"/>
                <w:left w:val="none" w:sz="0" w:space="0" w:color="auto"/>
                <w:bottom w:val="none" w:sz="0" w:space="0" w:color="auto"/>
                <w:right w:val="none" w:sz="0" w:space="0" w:color="auto"/>
              </w:divBdr>
            </w:div>
          </w:divsChild>
        </w:div>
        <w:div w:id="35812958">
          <w:marLeft w:val="0"/>
          <w:marRight w:val="0"/>
          <w:marTop w:val="0"/>
          <w:marBottom w:val="0"/>
          <w:divBdr>
            <w:top w:val="none" w:sz="0" w:space="0" w:color="auto"/>
            <w:left w:val="none" w:sz="0" w:space="0" w:color="auto"/>
            <w:bottom w:val="none" w:sz="0" w:space="0" w:color="auto"/>
            <w:right w:val="none" w:sz="0" w:space="0" w:color="auto"/>
          </w:divBdr>
        </w:div>
        <w:div w:id="615059579">
          <w:marLeft w:val="0"/>
          <w:marRight w:val="0"/>
          <w:marTop w:val="0"/>
          <w:marBottom w:val="0"/>
          <w:divBdr>
            <w:top w:val="none" w:sz="0" w:space="0" w:color="auto"/>
            <w:left w:val="none" w:sz="0" w:space="0" w:color="auto"/>
            <w:bottom w:val="none" w:sz="0" w:space="0" w:color="auto"/>
            <w:right w:val="none" w:sz="0" w:space="0" w:color="auto"/>
          </w:divBdr>
          <w:divsChild>
            <w:div w:id="776947351">
              <w:marLeft w:val="0"/>
              <w:marRight w:val="0"/>
              <w:marTop w:val="0"/>
              <w:marBottom w:val="0"/>
              <w:divBdr>
                <w:top w:val="none" w:sz="0" w:space="0" w:color="auto"/>
                <w:left w:val="none" w:sz="0" w:space="0" w:color="auto"/>
                <w:bottom w:val="none" w:sz="0" w:space="0" w:color="auto"/>
                <w:right w:val="none" w:sz="0" w:space="0" w:color="auto"/>
              </w:divBdr>
            </w:div>
          </w:divsChild>
        </w:div>
        <w:div w:id="1420564714">
          <w:marLeft w:val="0"/>
          <w:marRight w:val="0"/>
          <w:marTop w:val="0"/>
          <w:marBottom w:val="0"/>
          <w:divBdr>
            <w:top w:val="none" w:sz="0" w:space="0" w:color="auto"/>
            <w:left w:val="none" w:sz="0" w:space="0" w:color="auto"/>
            <w:bottom w:val="none" w:sz="0" w:space="0" w:color="auto"/>
            <w:right w:val="none" w:sz="0" w:space="0" w:color="auto"/>
          </w:divBdr>
        </w:div>
        <w:div w:id="83497762">
          <w:marLeft w:val="0"/>
          <w:marRight w:val="0"/>
          <w:marTop w:val="0"/>
          <w:marBottom w:val="0"/>
          <w:divBdr>
            <w:top w:val="none" w:sz="0" w:space="0" w:color="auto"/>
            <w:left w:val="none" w:sz="0" w:space="0" w:color="auto"/>
            <w:bottom w:val="none" w:sz="0" w:space="0" w:color="auto"/>
            <w:right w:val="none" w:sz="0" w:space="0" w:color="auto"/>
          </w:divBdr>
          <w:divsChild>
            <w:div w:id="1560365628">
              <w:marLeft w:val="0"/>
              <w:marRight w:val="0"/>
              <w:marTop w:val="0"/>
              <w:marBottom w:val="0"/>
              <w:divBdr>
                <w:top w:val="none" w:sz="0" w:space="0" w:color="auto"/>
                <w:left w:val="none" w:sz="0" w:space="0" w:color="auto"/>
                <w:bottom w:val="none" w:sz="0" w:space="0" w:color="auto"/>
                <w:right w:val="none" w:sz="0" w:space="0" w:color="auto"/>
              </w:divBdr>
            </w:div>
          </w:divsChild>
        </w:div>
        <w:div w:id="208303583">
          <w:marLeft w:val="0"/>
          <w:marRight w:val="0"/>
          <w:marTop w:val="0"/>
          <w:marBottom w:val="0"/>
          <w:divBdr>
            <w:top w:val="none" w:sz="0" w:space="0" w:color="auto"/>
            <w:left w:val="none" w:sz="0" w:space="0" w:color="auto"/>
            <w:bottom w:val="none" w:sz="0" w:space="0" w:color="auto"/>
            <w:right w:val="none" w:sz="0" w:space="0" w:color="auto"/>
          </w:divBdr>
        </w:div>
      </w:divsChild>
    </w:div>
    <w:div w:id="147331884">
      <w:bodyDiv w:val="1"/>
      <w:marLeft w:val="0"/>
      <w:marRight w:val="0"/>
      <w:marTop w:val="0"/>
      <w:marBottom w:val="0"/>
      <w:divBdr>
        <w:top w:val="none" w:sz="0" w:space="0" w:color="auto"/>
        <w:left w:val="none" w:sz="0" w:space="0" w:color="auto"/>
        <w:bottom w:val="none" w:sz="0" w:space="0" w:color="auto"/>
        <w:right w:val="none" w:sz="0" w:space="0" w:color="auto"/>
      </w:divBdr>
      <w:divsChild>
        <w:div w:id="921447238">
          <w:marLeft w:val="0"/>
          <w:marRight w:val="0"/>
          <w:marTop w:val="0"/>
          <w:marBottom w:val="0"/>
          <w:divBdr>
            <w:top w:val="none" w:sz="0" w:space="0" w:color="auto"/>
            <w:left w:val="none" w:sz="0" w:space="0" w:color="auto"/>
            <w:bottom w:val="none" w:sz="0" w:space="0" w:color="auto"/>
            <w:right w:val="none" w:sz="0" w:space="0" w:color="auto"/>
          </w:divBdr>
        </w:div>
        <w:div w:id="1086194154">
          <w:marLeft w:val="0"/>
          <w:marRight w:val="0"/>
          <w:marTop w:val="0"/>
          <w:marBottom w:val="0"/>
          <w:divBdr>
            <w:top w:val="none" w:sz="0" w:space="0" w:color="auto"/>
            <w:left w:val="none" w:sz="0" w:space="0" w:color="auto"/>
            <w:bottom w:val="none" w:sz="0" w:space="0" w:color="auto"/>
            <w:right w:val="none" w:sz="0" w:space="0" w:color="auto"/>
          </w:divBdr>
          <w:divsChild>
            <w:div w:id="313799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06447">
      <w:bodyDiv w:val="1"/>
      <w:marLeft w:val="0"/>
      <w:marRight w:val="0"/>
      <w:marTop w:val="0"/>
      <w:marBottom w:val="0"/>
      <w:divBdr>
        <w:top w:val="none" w:sz="0" w:space="0" w:color="auto"/>
        <w:left w:val="none" w:sz="0" w:space="0" w:color="auto"/>
        <w:bottom w:val="none" w:sz="0" w:space="0" w:color="auto"/>
        <w:right w:val="none" w:sz="0" w:space="0" w:color="auto"/>
      </w:divBdr>
      <w:divsChild>
        <w:div w:id="2064064424">
          <w:marLeft w:val="0"/>
          <w:marRight w:val="0"/>
          <w:marTop w:val="0"/>
          <w:marBottom w:val="0"/>
          <w:divBdr>
            <w:top w:val="none" w:sz="0" w:space="0" w:color="auto"/>
            <w:left w:val="none" w:sz="0" w:space="0" w:color="auto"/>
            <w:bottom w:val="none" w:sz="0" w:space="0" w:color="auto"/>
            <w:right w:val="none" w:sz="0" w:space="0" w:color="auto"/>
          </w:divBdr>
        </w:div>
        <w:div w:id="514196699">
          <w:marLeft w:val="0"/>
          <w:marRight w:val="0"/>
          <w:marTop w:val="0"/>
          <w:marBottom w:val="0"/>
          <w:divBdr>
            <w:top w:val="none" w:sz="0" w:space="0" w:color="auto"/>
            <w:left w:val="none" w:sz="0" w:space="0" w:color="auto"/>
            <w:bottom w:val="none" w:sz="0" w:space="0" w:color="auto"/>
            <w:right w:val="none" w:sz="0" w:space="0" w:color="auto"/>
          </w:divBdr>
          <w:divsChild>
            <w:div w:id="63992487">
              <w:marLeft w:val="0"/>
              <w:marRight w:val="0"/>
              <w:marTop w:val="0"/>
              <w:marBottom w:val="0"/>
              <w:divBdr>
                <w:top w:val="none" w:sz="0" w:space="0" w:color="auto"/>
                <w:left w:val="none" w:sz="0" w:space="0" w:color="auto"/>
                <w:bottom w:val="none" w:sz="0" w:space="0" w:color="auto"/>
                <w:right w:val="none" w:sz="0" w:space="0" w:color="auto"/>
              </w:divBdr>
            </w:div>
          </w:divsChild>
        </w:div>
        <w:div w:id="1197812566">
          <w:marLeft w:val="0"/>
          <w:marRight w:val="0"/>
          <w:marTop w:val="0"/>
          <w:marBottom w:val="0"/>
          <w:divBdr>
            <w:top w:val="none" w:sz="0" w:space="0" w:color="auto"/>
            <w:left w:val="none" w:sz="0" w:space="0" w:color="auto"/>
            <w:bottom w:val="none" w:sz="0" w:space="0" w:color="auto"/>
            <w:right w:val="none" w:sz="0" w:space="0" w:color="auto"/>
          </w:divBdr>
        </w:div>
        <w:div w:id="1901667607">
          <w:marLeft w:val="0"/>
          <w:marRight w:val="0"/>
          <w:marTop w:val="0"/>
          <w:marBottom w:val="0"/>
          <w:divBdr>
            <w:top w:val="none" w:sz="0" w:space="0" w:color="auto"/>
            <w:left w:val="none" w:sz="0" w:space="0" w:color="auto"/>
            <w:bottom w:val="none" w:sz="0" w:space="0" w:color="auto"/>
            <w:right w:val="none" w:sz="0" w:space="0" w:color="auto"/>
          </w:divBdr>
          <w:divsChild>
            <w:div w:id="479350198">
              <w:marLeft w:val="0"/>
              <w:marRight w:val="0"/>
              <w:marTop w:val="0"/>
              <w:marBottom w:val="0"/>
              <w:divBdr>
                <w:top w:val="none" w:sz="0" w:space="0" w:color="auto"/>
                <w:left w:val="none" w:sz="0" w:space="0" w:color="auto"/>
                <w:bottom w:val="none" w:sz="0" w:space="0" w:color="auto"/>
                <w:right w:val="none" w:sz="0" w:space="0" w:color="auto"/>
              </w:divBdr>
            </w:div>
          </w:divsChild>
        </w:div>
        <w:div w:id="2082210460">
          <w:marLeft w:val="0"/>
          <w:marRight w:val="0"/>
          <w:marTop w:val="0"/>
          <w:marBottom w:val="0"/>
          <w:divBdr>
            <w:top w:val="none" w:sz="0" w:space="0" w:color="auto"/>
            <w:left w:val="none" w:sz="0" w:space="0" w:color="auto"/>
            <w:bottom w:val="none" w:sz="0" w:space="0" w:color="auto"/>
            <w:right w:val="none" w:sz="0" w:space="0" w:color="auto"/>
          </w:divBdr>
        </w:div>
        <w:div w:id="812330925">
          <w:marLeft w:val="0"/>
          <w:marRight w:val="0"/>
          <w:marTop w:val="0"/>
          <w:marBottom w:val="0"/>
          <w:divBdr>
            <w:top w:val="none" w:sz="0" w:space="0" w:color="auto"/>
            <w:left w:val="none" w:sz="0" w:space="0" w:color="auto"/>
            <w:bottom w:val="none" w:sz="0" w:space="0" w:color="auto"/>
            <w:right w:val="none" w:sz="0" w:space="0" w:color="auto"/>
          </w:divBdr>
        </w:div>
      </w:divsChild>
    </w:div>
    <w:div w:id="185142770">
      <w:bodyDiv w:val="1"/>
      <w:marLeft w:val="0"/>
      <w:marRight w:val="0"/>
      <w:marTop w:val="0"/>
      <w:marBottom w:val="0"/>
      <w:divBdr>
        <w:top w:val="none" w:sz="0" w:space="0" w:color="auto"/>
        <w:left w:val="none" w:sz="0" w:space="0" w:color="auto"/>
        <w:bottom w:val="none" w:sz="0" w:space="0" w:color="auto"/>
        <w:right w:val="none" w:sz="0" w:space="0" w:color="auto"/>
      </w:divBdr>
      <w:divsChild>
        <w:div w:id="1911847220">
          <w:marLeft w:val="0"/>
          <w:marRight w:val="0"/>
          <w:marTop w:val="0"/>
          <w:marBottom w:val="0"/>
          <w:divBdr>
            <w:top w:val="none" w:sz="0" w:space="0" w:color="auto"/>
            <w:left w:val="none" w:sz="0" w:space="0" w:color="auto"/>
            <w:bottom w:val="none" w:sz="0" w:space="0" w:color="auto"/>
            <w:right w:val="none" w:sz="0" w:space="0" w:color="auto"/>
          </w:divBdr>
        </w:div>
        <w:div w:id="1657147121">
          <w:marLeft w:val="0"/>
          <w:marRight w:val="0"/>
          <w:marTop w:val="0"/>
          <w:marBottom w:val="0"/>
          <w:divBdr>
            <w:top w:val="none" w:sz="0" w:space="0" w:color="auto"/>
            <w:left w:val="none" w:sz="0" w:space="0" w:color="auto"/>
            <w:bottom w:val="none" w:sz="0" w:space="0" w:color="auto"/>
            <w:right w:val="none" w:sz="0" w:space="0" w:color="auto"/>
          </w:divBdr>
        </w:div>
        <w:div w:id="787624146">
          <w:marLeft w:val="0"/>
          <w:marRight w:val="0"/>
          <w:marTop w:val="0"/>
          <w:marBottom w:val="0"/>
          <w:divBdr>
            <w:top w:val="none" w:sz="0" w:space="0" w:color="auto"/>
            <w:left w:val="none" w:sz="0" w:space="0" w:color="auto"/>
            <w:bottom w:val="none" w:sz="0" w:space="0" w:color="auto"/>
            <w:right w:val="none" w:sz="0" w:space="0" w:color="auto"/>
          </w:divBdr>
        </w:div>
      </w:divsChild>
    </w:div>
    <w:div w:id="196502717">
      <w:bodyDiv w:val="1"/>
      <w:marLeft w:val="0"/>
      <w:marRight w:val="0"/>
      <w:marTop w:val="0"/>
      <w:marBottom w:val="0"/>
      <w:divBdr>
        <w:top w:val="none" w:sz="0" w:space="0" w:color="auto"/>
        <w:left w:val="none" w:sz="0" w:space="0" w:color="auto"/>
        <w:bottom w:val="none" w:sz="0" w:space="0" w:color="auto"/>
        <w:right w:val="none" w:sz="0" w:space="0" w:color="auto"/>
      </w:divBdr>
    </w:div>
    <w:div w:id="197671332">
      <w:bodyDiv w:val="1"/>
      <w:marLeft w:val="0"/>
      <w:marRight w:val="0"/>
      <w:marTop w:val="0"/>
      <w:marBottom w:val="0"/>
      <w:divBdr>
        <w:top w:val="none" w:sz="0" w:space="0" w:color="auto"/>
        <w:left w:val="none" w:sz="0" w:space="0" w:color="auto"/>
        <w:bottom w:val="none" w:sz="0" w:space="0" w:color="auto"/>
        <w:right w:val="none" w:sz="0" w:space="0" w:color="auto"/>
      </w:divBdr>
      <w:divsChild>
        <w:div w:id="1772386026">
          <w:marLeft w:val="0"/>
          <w:marRight w:val="0"/>
          <w:marTop w:val="0"/>
          <w:marBottom w:val="0"/>
          <w:divBdr>
            <w:top w:val="none" w:sz="0" w:space="0" w:color="auto"/>
            <w:left w:val="none" w:sz="0" w:space="0" w:color="auto"/>
            <w:bottom w:val="none" w:sz="0" w:space="0" w:color="auto"/>
            <w:right w:val="none" w:sz="0" w:space="0" w:color="auto"/>
          </w:divBdr>
          <w:divsChild>
            <w:div w:id="1048408705">
              <w:marLeft w:val="0"/>
              <w:marRight w:val="0"/>
              <w:marTop w:val="0"/>
              <w:marBottom w:val="0"/>
              <w:divBdr>
                <w:top w:val="none" w:sz="0" w:space="0" w:color="auto"/>
                <w:left w:val="none" w:sz="0" w:space="0" w:color="auto"/>
                <w:bottom w:val="none" w:sz="0" w:space="0" w:color="auto"/>
                <w:right w:val="none" w:sz="0" w:space="0" w:color="auto"/>
              </w:divBdr>
            </w:div>
          </w:divsChild>
        </w:div>
        <w:div w:id="518347829">
          <w:marLeft w:val="0"/>
          <w:marRight w:val="0"/>
          <w:marTop w:val="0"/>
          <w:marBottom w:val="0"/>
          <w:divBdr>
            <w:top w:val="none" w:sz="0" w:space="0" w:color="auto"/>
            <w:left w:val="none" w:sz="0" w:space="0" w:color="auto"/>
            <w:bottom w:val="none" w:sz="0" w:space="0" w:color="auto"/>
            <w:right w:val="none" w:sz="0" w:space="0" w:color="auto"/>
          </w:divBdr>
        </w:div>
        <w:div w:id="854003374">
          <w:marLeft w:val="0"/>
          <w:marRight w:val="0"/>
          <w:marTop w:val="0"/>
          <w:marBottom w:val="0"/>
          <w:divBdr>
            <w:top w:val="none" w:sz="0" w:space="0" w:color="auto"/>
            <w:left w:val="none" w:sz="0" w:space="0" w:color="auto"/>
            <w:bottom w:val="none" w:sz="0" w:space="0" w:color="auto"/>
            <w:right w:val="none" w:sz="0" w:space="0" w:color="auto"/>
          </w:divBdr>
          <w:divsChild>
            <w:div w:id="1909263439">
              <w:marLeft w:val="0"/>
              <w:marRight w:val="0"/>
              <w:marTop w:val="0"/>
              <w:marBottom w:val="0"/>
              <w:divBdr>
                <w:top w:val="none" w:sz="0" w:space="0" w:color="auto"/>
                <w:left w:val="none" w:sz="0" w:space="0" w:color="auto"/>
                <w:bottom w:val="none" w:sz="0" w:space="0" w:color="auto"/>
                <w:right w:val="none" w:sz="0" w:space="0" w:color="auto"/>
              </w:divBdr>
            </w:div>
          </w:divsChild>
        </w:div>
        <w:div w:id="1088620021">
          <w:marLeft w:val="0"/>
          <w:marRight w:val="0"/>
          <w:marTop w:val="0"/>
          <w:marBottom w:val="0"/>
          <w:divBdr>
            <w:top w:val="none" w:sz="0" w:space="0" w:color="auto"/>
            <w:left w:val="none" w:sz="0" w:space="0" w:color="auto"/>
            <w:bottom w:val="none" w:sz="0" w:space="0" w:color="auto"/>
            <w:right w:val="none" w:sz="0" w:space="0" w:color="auto"/>
          </w:divBdr>
        </w:div>
      </w:divsChild>
    </w:div>
    <w:div w:id="199827017">
      <w:bodyDiv w:val="1"/>
      <w:marLeft w:val="0"/>
      <w:marRight w:val="0"/>
      <w:marTop w:val="0"/>
      <w:marBottom w:val="0"/>
      <w:divBdr>
        <w:top w:val="none" w:sz="0" w:space="0" w:color="auto"/>
        <w:left w:val="none" w:sz="0" w:space="0" w:color="auto"/>
        <w:bottom w:val="none" w:sz="0" w:space="0" w:color="auto"/>
        <w:right w:val="none" w:sz="0" w:space="0" w:color="auto"/>
      </w:divBdr>
      <w:divsChild>
        <w:div w:id="1242908572">
          <w:marLeft w:val="0"/>
          <w:marRight w:val="0"/>
          <w:marTop w:val="0"/>
          <w:marBottom w:val="0"/>
          <w:divBdr>
            <w:top w:val="none" w:sz="0" w:space="0" w:color="auto"/>
            <w:left w:val="none" w:sz="0" w:space="0" w:color="auto"/>
            <w:bottom w:val="none" w:sz="0" w:space="0" w:color="auto"/>
            <w:right w:val="none" w:sz="0" w:space="0" w:color="auto"/>
          </w:divBdr>
          <w:divsChild>
            <w:div w:id="789007080">
              <w:marLeft w:val="0"/>
              <w:marRight w:val="0"/>
              <w:marTop w:val="0"/>
              <w:marBottom w:val="0"/>
              <w:divBdr>
                <w:top w:val="none" w:sz="0" w:space="0" w:color="auto"/>
                <w:left w:val="none" w:sz="0" w:space="0" w:color="auto"/>
                <w:bottom w:val="none" w:sz="0" w:space="0" w:color="auto"/>
                <w:right w:val="none" w:sz="0" w:space="0" w:color="auto"/>
              </w:divBdr>
            </w:div>
          </w:divsChild>
        </w:div>
        <w:div w:id="1087993254">
          <w:marLeft w:val="0"/>
          <w:marRight w:val="0"/>
          <w:marTop w:val="0"/>
          <w:marBottom w:val="0"/>
          <w:divBdr>
            <w:top w:val="none" w:sz="0" w:space="0" w:color="auto"/>
            <w:left w:val="none" w:sz="0" w:space="0" w:color="auto"/>
            <w:bottom w:val="none" w:sz="0" w:space="0" w:color="auto"/>
            <w:right w:val="none" w:sz="0" w:space="0" w:color="auto"/>
          </w:divBdr>
        </w:div>
      </w:divsChild>
    </w:div>
    <w:div w:id="264267233">
      <w:bodyDiv w:val="1"/>
      <w:marLeft w:val="0"/>
      <w:marRight w:val="0"/>
      <w:marTop w:val="0"/>
      <w:marBottom w:val="0"/>
      <w:divBdr>
        <w:top w:val="none" w:sz="0" w:space="0" w:color="auto"/>
        <w:left w:val="none" w:sz="0" w:space="0" w:color="auto"/>
        <w:bottom w:val="none" w:sz="0" w:space="0" w:color="auto"/>
        <w:right w:val="none" w:sz="0" w:space="0" w:color="auto"/>
      </w:divBdr>
      <w:divsChild>
        <w:div w:id="442727165">
          <w:marLeft w:val="0"/>
          <w:marRight w:val="0"/>
          <w:marTop w:val="0"/>
          <w:marBottom w:val="0"/>
          <w:divBdr>
            <w:top w:val="none" w:sz="0" w:space="0" w:color="auto"/>
            <w:left w:val="none" w:sz="0" w:space="0" w:color="auto"/>
            <w:bottom w:val="none" w:sz="0" w:space="0" w:color="auto"/>
            <w:right w:val="none" w:sz="0" w:space="0" w:color="auto"/>
          </w:divBdr>
        </w:div>
        <w:div w:id="1473252592">
          <w:marLeft w:val="0"/>
          <w:marRight w:val="0"/>
          <w:marTop w:val="0"/>
          <w:marBottom w:val="0"/>
          <w:divBdr>
            <w:top w:val="none" w:sz="0" w:space="0" w:color="auto"/>
            <w:left w:val="none" w:sz="0" w:space="0" w:color="auto"/>
            <w:bottom w:val="none" w:sz="0" w:space="0" w:color="auto"/>
            <w:right w:val="none" w:sz="0" w:space="0" w:color="auto"/>
          </w:divBdr>
          <w:divsChild>
            <w:div w:id="1563328116">
              <w:marLeft w:val="0"/>
              <w:marRight w:val="0"/>
              <w:marTop w:val="0"/>
              <w:marBottom w:val="0"/>
              <w:divBdr>
                <w:top w:val="none" w:sz="0" w:space="0" w:color="auto"/>
                <w:left w:val="none" w:sz="0" w:space="0" w:color="auto"/>
                <w:bottom w:val="none" w:sz="0" w:space="0" w:color="auto"/>
                <w:right w:val="none" w:sz="0" w:space="0" w:color="auto"/>
              </w:divBdr>
            </w:div>
          </w:divsChild>
        </w:div>
        <w:div w:id="1855460604">
          <w:marLeft w:val="0"/>
          <w:marRight w:val="0"/>
          <w:marTop w:val="0"/>
          <w:marBottom w:val="0"/>
          <w:divBdr>
            <w:top w:val="none" w:sz="0" w:space="0" w:color="auto"/>
            <w:left w:val="none" w:sz="0" w:space="0" w:color="auto"/>
            <w:bottom w:val="none" w:sz="0" w:space="0" w:color="auto"/>
            <w:right w:val="none" w:sz="0" w:space="0" w:color="auto"/>
          </w:divBdr>
        </w:div>
        <w:div w:id="207306064">
          <w:marLeft w:val="0"/>
          <w:marRight w:val="0"/>
          <w:marTop w:val="0"/>
          <w:marBottom w:val="0"/>
          <w:divBdr>
            <w:top w:val="none" w:sz="0" w:space="0" w:color="auto"/>
            <w:left w:val="none" w:sz="0" w:space="0" w:color="auto"/>
            <w:bottom w:val="none" w:sz="0" w:space="0" w:color="auto"/>
            <w:right w:val="none" w:sz="0" w:space="0" w:color="auto"/>
          </w:divBdr>
          <w:divsChild>
            <w:div w:id="220554884">
              <w:marLeft w:val="0"/>
              <w:marRight w:val="0"/>
              <w:marTop w:val="0"/>
              <w:marBottom w:val="0"/>
              <w:divBdr>
                <w:top w:val="none" w:sz="0" w:space="0" w:color="auto"/>
                <w:left w:val="none" w:sz="0" w:space="0" w:color="auto"/>
                <w:bottom w:val="none" w:sz="0" w:space="0" w:color="auto"/>
                <w:right w:val="none" w:sz="0" w:space="0" w:color="auto"/>
              </w:divBdr>
            </w:div>
          </w:divsChild>
        </w:div>
        <w:div w:id="841285662">
          <w:marLeft w:val="0"/>
          <w:marRight w:val="0"/>
          <w:marTop w:val="0"/>
          <w:marBottom w:val="0"/>
          <w:divBdr>
            <w:top w:val="none" w:sz="0" w:space="0" w:color="auto"/>
            <w:left w:val="none" w:sz="0" w:space="0" w:color="auto"/>
            <w:bottom w:val="none" w:sz="0" w:space="0" w:color="auto"/>
            <w:right w:val="none" w:sz="0" w:space="0" w:color="auto"/>
          </w:divBdr>
        </w:div>
        <w:div w:id="1351566762">
          <w:marLeft w:val="0"/>
          <w:marRight w:val="0"/>
          <w:marTop w:val="0"/>
          <w:marBottom w:val="0"/>
          <w:divBdr>
            <w:top w:val="none" w:sz="0" w:space="0" w:color="auto"/>
            <w:left w:val="none" w:sz="0" w:space="0" w:color="auto"/>
            <w:bottom w:val="none" w:sz="0" w:space="0" w:color="auto"/>
            <w:right w:val="none" w:sz="0" w:space="0" w:color="auto"/>
          </w:divBdr>
          <w:divsChild>
            <w:div w:id="2090030038">
              <w:marLeft w:val="0"/>
              <w:marRight w:val="0"/>
              <w:marTop w:val="0"/>
              <w:marBottom w:val="0"/>
              <w:divBdr>
                <w:top w:val="none" w:sz="0" w:space="0" w:color="auto"/>
                <w:left w:val="none" w:sz="0" w:space="0" w:color="auto"/>
                <w:bottom w:val="none" w:sz="0" w:space="0" w:color="auto"/>
                <w:right w:val="none" w:sz="0" w:space="0" w:color="auto"/>
              </w:divBdr>
            </w:div>
          </w:divsChild>
        </w:div>
        <w:div w:id="619841025">
          <w:marLeft w:val="0"/>
          <w:marRight w:val="0"/>
          <w:marTop w:val="0"/>
          <w:marBottom w:val="0"/>
          <w:divBdr>
            <w:top w:val="none" w:sz="0" w:space="0" w:color="auto"/>
            <w:left w:val="none" w:sz="0" w:space="0" w:color="auto"/>
            <w:bottom w:val="none" w:sz="0" w:space="0" w:color="auto"/>
            <w:right w:val="none" w:sz="0" w:space="0" w:color="auto"/>
          </w:divBdr>
        </w:div>
        <w:div w:id="270281500">
          <w:marLeft w:val="0"/>
          <w:marRight w:val="0"/>
          <w:marTop w:val="0"/>
          <w:marBottom w:val="0"/>
          <w:divBdr>
            <w:top w:val="none" w:sz="0" w:space="0" w:color="auto"/>
            <w:left w:val="none" w:sz="0" w:space="0" w:color="auto"/>
            <w:bottom w:val="none" w:sz="0" w:space="0" w:color="auto"/>
            <w:right w:val="none" w:sz="0" w:space="0" w:color="auto"/>
          </w:divBdr>
          <w:divsChild>
            <w:div w:id="1355153859">
              <w:marLeft w:val="0"/>
              <w:marRight w:val="0"/>
              <w:marTop w:val="0"/>
              <w:marBottom w:val="0"/>
              <w:divBdr>
                <w:top w:val="none" w:sz="0" w:space="0" w:color="auto"/>
                <w:left w:val="none" w:sz="0" w:space="0" w:color="auto"/>
                <w:bottom w:val="none" w:sz="0" w:space="0" w:color="auto"/>
                <w:right w:val="none" w:sz="0" w:space="0" w:color="auto"/>
              </w:divBdr>
            </w:div>
          </w:divsChild>
        </w:div>
        <w:div w:id="1841853298">
          <w:marLeft w:val="0"/>
          <w:marRight w:val="0"/>
          <w:marTop w:val="0"/>
          <w:marBottom w:val="0"/>
          <w:divBdr>
            <w:top w:val="none" w:sz="0" w:space="0" w:color="auto"/>
            <w:left w:val="none" w:sz="0" w:space="0" w:color="auto"/>
            <w:bottom w:val="none" w:sz="0" w:space="0" w:color="auto"/>
            <w:right w:val="none" w:sz="0" w:space="0" w:color="auto"/>
          </w:divBdr>
        </w:div>
      </w:divsChild>
    </w:div>
    <w:div w:id="315768894">
      <w:bodyDiv w:val="1"/>
      <w:marLeft w:val="0"/>
      <w:marRight w:val="0"/>
      <w:marTop w:val="0"/>
      <w:marBottom w:val="0"/>
      <w:divBdr>
        <w:top w:val="none" w:sz="0" w:space="0" w:color="auto"/>
        <w:left w:val="none" w:sz="0" w:space="0" w:color="auto"/>
        <w:bottom w:val="none" w:sz="0" w:space="0" w:color="auto"/>
        <w:right w:val="none" w:sz="0" w:space="0" w:color="auto"/>
      </w:divBdr>
    </w:div>
    <w:div w:id="352847868">
      <w:bodyDiv w:val="1"/>
      <w:marLeft w:val="0"/>
      <w:marRight w:val="0"/>
      <w:marTop w:val="0"/>
      <w:marBottom w:val="0"/>
      <w:divBdr>
        <w:top w:val="none" w:sz="0" w:space="0" w:color="auto"/>
        <w:left w:val="none" w:sz="0" w:space="0" w:color="auto"/>
        <w:bottom w:val="none" w:sz="0" w:space="0" w:color="auto"/>
        <w:right w:val="none" w:sz="0" w:space="0" w:color="auto"/>
      </w:divBdr>
      <w:divsChild>
        <w:div w:id="1191988072">
          <w:marLeft w:val="0"/>
          <w:marRight w:val="0"/>
          <w:marTop w:val="0"/>
          <w:marBottom w:val="0"/>
          <w:divBdr>
            <w:top w:val="none" w:sz="0" w:space="0" w:color="auto"/>
            <w:left w:val="none" w:sz="0" w:space="0" w:color="auto"/>
            <w:bottom w:val="none" w:sz="0" w:space="0" w:color="auto"/>
            <w:right w:val="none" w:sz="0" w:space="0" w:color="auto"/>
          </w:divBdr>
        </w:div>
        <w:div w:id="1529483632">
          <w:marLeft w:val="0"/>
          <w:marRight w:val="0"/>
          <w:marTop w:val="0"/>
          <w:marBottom w:val="0"/>
          <w:divBdr>
            <w:top w:val="none" w:sz="0" w:space="0" w:color="auto"/>
            <w:left w:val="none" w:sz="0" w:space="0" w:color="auto"/>
            <w:bottom w:val="none" w:sz="0" w:space="0" w:color="auto"/>
            <w:right w:val="none" w:sz="0" w:space="0" w:color="auto"/>
          </w:divBdr>
          <w:divsChild>
            <w:div w:id="1209341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4237581">
      <w:bodyDiv w:val="1"/>
      <w:marLeft w:val="0"/>
      <w:marRight w:val="0"/>
      <w:marTop w:val="0"/>
      <w:marBottom w:val="0"/>
      <w:divBdr>
        <w:top w:val="none" w:sz="0" w:space="0" w:color="auto"/>
        <w:left w:val="none" w:sz="0" w:space="0" w:color="auto"/>
        <w:bottom w:val="none" w:sz="0" w:space="0" w:color="auto"/>
        <w:right w:val="none" w:sz="0" w:space="0" w:color="auto"/>
      </w:divBdr>
    </w:div>
    <w:div w:id="488863202">
      <w:bodyDiv w:val="1"/>
      <w:marLeft w:val="0"/>
      <w:marRight w:val="0"/>
      <w:marTop w:val="0"/>
      <w:marBottom w:val="0"/>
      <w:divBdr>
        <w:top w:val="none" w:sz="0" w:space="0" w:color="auto"/>
        <w:left w:val="none" w:sz="0" w:space="0" w:color="auto"/>
        <w:bottom w:val="none" w:sz="0" w:space="0" w:color="auto"/>
        <w:right w:val="none" w:sz="0" w:space="0" w:color="auto"/>
      </w:divBdr>
      <w:divsChild>
        <w:div w:id="1376857665">
          <w:marLeft w:val="0"/>
          <w:marRight w:val="0"/>
          <w:marTop w:val="0"/>
          <w:marBottom w:val="0"/>
          <w:divBdr>
            <w:top w:val="none" w:sz="0" w:space="0" w:color="auto"/>
            <w:left w:val="none" w:sz="0" w:space="0" w:color="auto"/>
            <w:bottom w:val="none" w:sz="0" w:space="0" w:color="auto"/>
            <w:right w:val="none" w:sz="0" w:space="0" w:color="auto"/>
          </w:divBdr>
        </w:div>
        <w:div w:id="1771704075">
          <w:marLeft w:val="0"/>
          <w:marRight w:val="0"/>
          <w:marTop w:val="0"/>
          <w:marBottom w:val="0"/>
          <w:divBdr>
            <w:top w:val="none" w:sz="0" w:space="0" w:color="auto"/>
            <w:left w:val="none" w:sz="0" w:space="0" w:color="auto"/>
            <w:bottom w:val="none" w:sz="0" w:space="0" w:color="auto"/>
            <w:right w:val="none" w:sz="0" w:space="0" w:color="auto"/>
          </w:divBdr>
        </w:div>
      </w:divsChild>
    </w:div>
    <w:div w:id="541089363">
      <w:bodyDiv w:val="1"/>
      <w:marLeft w:val="0"/>
      <w:marRight w:val="0"/>
      <w:marTop w:val="0"/>
      <w:marBottom w:val="0"/>
      <w:divBdr>
        <w:top w:val="none" w:sz="0" w:space="0" w:color="auto"/>
        <w:left w:val="none" w:sz="0" w:space="0" w:color="auto"/>
        <w:bottom w:val="none" w:sz="0" w:space="0" w:color="auto"/>
        <w:right w:val="none" w:sz="0" w:space="0" w:color="auto"/>
      </w:divBdr>
      <w:divsChild>
        <w:div w:id="1064766207">
          <w:marLeft w:val="0"/>
          <w:marRight w:val="0"/>
          <w:marTop w:val="0"/>
          <w:marBottom w:val="0"/>
          <w:divBdr>
            <w:top w:val="none" w:sz="0" w:space="0" w:color="auto"/>
            <w:left w:val="none" w:sz="0" w:space="0" w:color="auto"/>
            <w:bottom w:val="none" w:sz="0" w:space="0" w:color="auto"/>
            <w:right w:val="none" w:sz="0" w:space="0" w:color="auto"/>
          </w:divBdr>
        </w:div>
        <w:div w:id="1562209030">
          <w:marLeft w:val="0"/>
          <w:marRight w:val="0"/>
          <w:marTop w:val="0"/>
          <w:marBottom w:val="0"/>
          <w:divBdr>
            <w:top w:val="none" w:sz="0" w:space="0" w:color="auto"/>
            <w:left w:val="none" w:sz="0" w:space="0" w:color="auto"/>
            <w:bottom w:val="none" w:sz="0" w:space="0" w:color="auto"/>
            <w:right w:val="none" w:sz="0" w:space="0" w:color="auto"/>
          </w:divBdr>
          <w:divsChild>
            <w:div w:id="1923487431">
              <w:marLeft w:val="0"/>
              <w:marRight w:val="0"/>
              <w:marTop w:val="0"/>
              <w:marBottom w:val="0"/>
              <w:divBdr>
                <w:top w:val="none" w:sz="0" w:space="0" w:color="auto"/>
                <w:left w:val="none" w:sz="0" w:space="0" w:color="auto"/>
                <w:bottom w:val="none" w:sz="0" w:space="0" w:color="auto"/>
                <w:right w:val="none" w:sz="0" w:space="0" w:color="auto"/>
              </w:divBdr>
            </w:div>
          </w:divsChild>
        </w:div>
        <w:div w:id="1662389533">
          <w:marLeft w:val="0"/>
          <w:marRight w:val="0"/>
          <w:marTop w:val="0"/>
          <w:marBottom w:val="0"/>
          <w:divBdr>
            <w:top w:val="none" w:sz="0" w:space="0" w:color="auto"/>
            <w:left w:val="none" w:sz="0" w:space="0" w:color="auto"/>
            <w:bottom w:val="none" w:sz="0" w:space="0" w:color="auto"/>
            <w:right w:val="none" w:sz="0" w:space="0" w:color="auto"/>
          </w:divBdr>
        </w:div>
        <w:div w:id="669913125">
          <w:marLeft w:val="0"/>
          <w:marRight w:val="0"/>
          <w:marTop w:val="0"/>
          <w:marBottom w:val="0"/>
          <w:divBdr>
            <w:top w:val="none" w:sz="0" w:space="0" w:color="auto"/>
            <w:left w:val="none" w:sz="0" w:space="0" w:color="auto"/>
            <w:bottom w:val="none" w:sz="0" w:space="0" w:color="auto"/>
            <w:right w:val="none" w:sz="0" w:space="0" w:color="auto"/>
          </w:divBdr>
        </w:div>
        <w:div w:id="1106585351">
          <w:marLeft w:val="0"/>
          <w:marRight w:val="0"/>
          <w:marTop w:val="0"/>
          <w:marBottom w:val="0"/>
          <w:divBdr>
            <w:top w:val="none" w:sz="0" w:space="0" w:color="auto"/>
            <w:left w:val="none" w:sz="0" w:space="0" w:color="auto"/>
            <w:bottom w:val="none" w:sz="0" w:space="0" w:color="auto"/>
            <w:right w:val="none" w:sz="0" w:space="0" w:color="auto"/>
          </w:divBdr>
          <w:divsChild>
            <w:div w:id="1801415532">
              <w:marLeft w:val="0"/>
              <w:marRight w:val="0"/>
              <w:marTop w:val="0"/>
              <w:marBottom w:val="0"/>
              <w:divBdr>
                <w:top w:val="none" w:sz="0" w:space="0" w:color="auto"/>
                <w:left w:val="none" w:sz="0" w:space="0" w:color="auto"/>
                <w:bottom w:val="none" w:sz="0" w:space="0" w:color="auto"/>
                <w:right w:val="none" w:sz="0" w:space="0" w:color="auto"/>
              </w:divBdr>
            </w:div>
          </w:divsChild>
        </w:div>
        <w:div w:id="1358962917">
          <w:marLeft w:val="0"/>
          <w:marRight w:val="0"/>
          <w:marTop w:val="0"/>
          <w:marBottom w:val="0"/>
          <w:divBdr>
            <w:top w:val="none" w:sz="0" w:space="0" w:color="auto"/>
            <w:left w:val="none" w:sz="0" w:space="0" w:color="auto"/>
            <w:bottom w:val="none" w:sz="0" w:space="0" w:color="auto"/>
            <w:right w:val="none" w:sz="0" w:space="0" w:color="auto"/>
          </w:divBdr>
        </w:div>
        <w:div w:id="191579170">
          <w:marLeft w:val="0"/>
          <w:marRight w:val="0"/>
          <w:marTop w:val="0"/>
          <w:marBottom w:val="0"/>
          <w:divBdr>
            <w:top w:val="none" w:sz="0" w:space="0" w:color="auto"/>
            <w:left w:val="none" w:sz="0" w:space="0" w:color="auto"/>
            <w:bottom w:val="none" w:sz="0" w:space="0" w:color="auto"/>
            <w:right w:val="none" w:sz="0" w:space="0" w:color="auto"/>
          </w:divBdr>
          <w:divsChild>
            <w:div w:id="254440009">
              <w:marLeft w:val="0"/>
              <w:marRight w:val="0"/>
              <w:marTop w:val="0"/>
              <w:marBottom w:val="0"/>
              <w:divBdr>
                <w:top w:val="none" w:sz="0" w:space="0" w:color="auto"/>
                <w:left w:val="none" w:sz="0" w:space="0" w:color="auto"/>
                <w:bottom w:val="none" w:sz="0" w:space="0" w:color="auto"/>
                <w:right w:val="none" w:sz="0" w:space="0" w:color="auto"/>
              </w:divBdr>
            </w:div>
          </w:divsChild>
        </w:div>
        <w:div w:id="2057699470">
          <w:marLeft w:val="0"/>
          <w:marRight w:val="0"/>
          <w:marTop w:val="0"/>
          <w:marBottom w:val="0"/>
          <w:divBdr>
            <w:top w:val="none" w:sz="0" w:space="0" w:color="auto"/>
            <w:left w:val="none" w:sz="0" w:space="0" w:color="auto"/>
            <w:bottom w:val="none" w:sz="0" w:space="0" w:color="auto"/>
            <w:right w:val="none" w:sz="0" w:space="0" w:color="auto"/>
          </w:divBdr>
        </w:div>
        <w:div w:id="1708682156">
          <w:marLeft w:val="0"/>
          <w:marRight w:val="0"/>
          <w:marTop w:val="0"/>
          <w:marBottom w:val="0"/>
          <w:divBdr>
            <w:top w:val="none" w:sz="0" w:space="0" w:color="auto"/>
            <w:left w:val="none" w:sz="0" w:space="0" w:color="auto"/>
            <w:bottom w:val="none" w:sz="0" w:space="0" w:color="auto"/>
            <w:right w:val="none" w:sz="0" w:space="0" w:color="auto"/>
          </w:divBdr>
          <w:divsChild>
            <w:div w:id="1626152598">
              <w:marLeft w:val="0"/>
              <w:marRight w:val="0"/>
              <w:marTop w:val="0"/>
              <w:marBottom w:val="0"/>
              <w:divBdr>
                <w:top w:val="none" w:sz="0" w:space="0" w:color="auto"/>
                <w:left w:val="none" w:sz="0" w:space="0" w:color="auto"/>
                <w:bottom w:val="none" w:sz="0" w:space="0" w:color="auto"/>
                <w:right w:val="none" w:sz="0" w:space="0" w:color="auto"/>
              </w:divBdr>
            </w:div>
          </w:divsChild>
        </w:div>
        <w:div w:id="1379085753">
          <w:marLeft w:val="0"/>
          <w:marRight w:val="0"/>
          <w:marTop w:val="0"/>
          <w:marBottom w:val="0"/>
          <w:divBdr>
            <w:top w:val="none" w:sz="0" w:space="0" w:color="auto"/>
            <w:left w:val="none" w:sz="0" w:space="0" w:color="auto"/>
            <w:bottom w:val="none" w:sz="0" w:space="0" w:color="auto"/>
            <w:right w:val="none" w:sz="0" w:space="0" w:color="auto"/>
          </w:divBdr>
        </w:div>
      </w:divsChild>
    </w:div>
    <w:div w:id="755588786">
      <w:bodyDiv w:val="1"/>
      <w:marLeft w:val="0"/>
      <w:marRight w:val="0"/>
      <w:marTop w:val="0"/>
      <w:marBottom w:val="0"/>
      <w:divBdr>
        <w:top w:val="none" w:sz="0" w:space="0" w:color="auto"/>
        <w:left w:val="none" w:sz="0" w:space="0" w:color="auto"/>
        <w:bottom w:val="none" w:sz="0" w:space="0" w:color="auto"/>
        <w:right w:val="none" w:sz="0" w:space="0" w:color="auto"/>
      </w:divBdr>
    </w:div>
    <w:div w:id="766117441">
      <w:bodyDiv w:val="1"/>
      <w:marLeft w:val="0"/>
      <w:marRight w:val="0"/>
      <w:marTop w:val="0"/>
      <w:marBottom w:val="0"/>
      <w:divBdr>
        <w:top w:val="none" w:sz="0" w:space="0" w:color="auto"/>
        <w:left w:val="none" w:sz="0" w:space="0" w:color="auto"/>
        <w:bottom w:val="none" w:sz="0" w:space="0" w:color="auto"/>
        <w:right w:val="none" w:sz="0" w:space="0" w:color="auto"/>
      </w:divBdr>
      <w:divsChild>
        <w:div w:id="1109816284">
          <w:marLeft w:val="0"/>
          <w:marRight w:val="0"/>
          <w:marTop w:val="0"/>
          <w:marBottom w:val="0"/>
          <w:divBdr>
            <w:top w:val="none" w:sz="0" w:space="0" w:color="auto"/>
            <w:left w:val="none" w:sz="0" w:space="0" w:color="auto"/>
            <w:bottom w:val="none" w:sz="0" w:space="0" w:color="auto"/>
            <w:right w:val="none" w:sz="0" w:space="0" w:color="auto"/>
          </w:divBdr>
          <w:divsChild>
            <w:div w:id="135731780">
              <w:marLeft w:val="0"/>
              <w:marRight w:val="0"/>
              <w:marTop w:val="0"/>
              <w:marBottom w:val="0"/>
              <w:divBdr>
                <w:top w:val="none" w:sz="0" w:space="0" w:color="auto"/>
                <w:left w:val="none" w:sz="0" w:space="0" w:color="auto"/>
                <w:bottom w:val="none" w:sz="0" w:space="0" w:color="auto"/>
                <w:right w:val="none" w:sz="0" w:space="0" w:color="auto"/>
              </w:divBdr>
            </w:div>
          </w:divsChild>
        </w:div>
        <w:div w:id="1971740171">
          <w:marLeft w:val="0"/>
          <w:marRight w:val="0"/>
          <w:marTop w:val="0"/>
          <w:marBottom w:val="0"/>
          <w:divBdr>
            <w:top w:val="none" w:sz="0" w:space="0" w:color="auto"/>
            <w:left w:val="none" w:sz="0" w:space="0" w:color="auto"/>
            <w:bottom w:val="none" w:sz="0" w:space="0" w:color="auto"/>
            <w:right w:val="none" w:sz="0" w:space="0" w:color="auto"/>
          </w:divBdr>
        </w:div>
        <w:div w:id="1570652436">
          <w:marLeft w:val="0"/>
          <w:marRight w:val="0"/>
          <w:marTop w:val="0"/>
          <w:marBottom w:val="0"/>
          <w:divBdr>
            <w:top w:val="none" w:sz="0" w:space="0" w:color="auto"/>
            <w:left w:val="none" w:sz="0" w:space="0" w:color="auto"/>
            <w:bottom w:val="none" w:sz="0" w:space="0" w:color="auto"/>
            <w:right w:val="none" w:sz="0" w:space="0" w:color="auto"/>
          </w:divBdr>
        </w:div>
        <w:div w:id="1103497388">
          <w:marLeft w:val="0"/>
          <w:marRight w:val="0"/>
          <w:marTop w:val="0"/>
          <w:marBottom w:val="0"/>
          <w:divBdr>
            <w:top w:val="none" w:sz="0" w:space="0" w:color="auto"/>
            <w:left w:val="none" w:sz="0" w:space="0" w:color="auto"/>
            <w:bottom w:val="none" w:sz="0" w:space="0" w:color="auto"/>
            <w:right w:val="none" w:sz="0" w:space="0" w:color="auto"/>
          </w:divBdr>
        </w:div>
        <w:div w:id="894316010">
          <w:marLeft w:val="0"/>
          <w:marRight w:val="0"/>
          <w:marTop w:val="0"/>
          <w:marBottom w:val="0"/>
          <w:divBdr>
            <w:top w:val="none" w:sz="0" w:space="0" w:color="auto"/>
            <w:left w:val="none" w:sz="0" w:space="0" w:color="auto"/>
            <w:bottom w:val="none" w:sz="0" w:space="0" w:color="auto"/>
            <w:right w:val="none" w:sz="0" w:space="0" w:color="auto"/>
          </w:divBdr>
        </w:div>
        <w:div w:id="2093425964">
          <w:marLeft w:val="0"/>
          <w:marRight w:val="0"/>
          <w:marTop w:val="0"/>
          <w:marBottom w:val="0"/>
          <w:divBdr>
            <w:top w:val="none" w:sz="0" w:space="0" w:color="auto"/>
            <w:left w:val="none" w:sz="0" w:space="0" w:color="auto"/>
            <w:bottom w:val="none" w:sz="0" w:space="0" w:color="auto"/>
            <w:right w:val="none" w:sz="0" w:space="0" w:color="auto"/>
          </w:divBdr>
        </w:div>
      </w:divsChild>
    </w:div>
    <w:div w:id="823206230">
      <w:bodyDiv w:val="1"/>
      <w:marLeft w:val="0"/>
      <w:marRight w:val="0"/>
      <w:marTop w:val="0"/>
      <w:marBottom w:val="0"/>
      <w:divBdr>
        <w:top w:val="none" w:sz="0" w:space="0" w:color="auto"/>
        <w:left w:val="none" w:sz="0" w:space="0" w:color="auto"/>
        <w:bottom w:val="none" w:sz="0" w:space="0" w:color="auto"/>
        <w:right w:val="none" w:sz="0" w:space="0" w:color="auto"/>
      </w:divBdr>
      <w:divsChild>
        <w:div w:id="515772759">
          <w:marLeft w:val="0"/>
          <w:marRight w:val="0"/>
          <w:marTop w:val="0"/>
          <w:marBottom w:val="0"/>
          <w:divBdr>
            <w:top w:val="none" w:sz="0" w:space="0" w:color="auto"/>
            <w:left w:val="none" w:sz="0" w:space="0" w:color="auto"/>
            <w:bottom w:val="none" w:sz="0" w:space="0" w:color="auto"/>
            <w:right w:val="none" w:sz="0" w:space="0" w:color="auto"/>
          </w:divBdr>
          <w:divsChild>
            <w:div w:id="1628900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716087">
      <w:bodyDiv w:val="1"/>
      <w:marLeft w:val="0"/>
      <w:marRight w:val="0"/>
      <w:marTop w:val="0"/>
      <w:marBottom w:val="0"/>
      <w:divBdr>
        <w:top w:val="none" w:sz="0" w:space="0" w:color="auto"/>
        <w:left w:val="none" w:sz="0" w:space="0" w:color="auto"/>
        <w:bottom w:val="none" w:sz="0" w:space="0" w:color="auto"/>
        <w:right w:val="none" w:sz="0" w:space="0" w:color="auto"/>
      </w:divBdr>
      <w:divsChild>
        <w:div w:id="261841788">
          <w:marLeft w:val="0"/>
          <w:marRight w:val="0"/>
          <w:marTop w:val="0"/>
          <w:marBottom w:val="0"/>
          <w:divBdr>
            <w:top w:val="none" w:sz="0" w:space="0" w:color="auto"/>
            <w:left w:val="none" w:sz="0" w:space="0" w:color="auto"/>
            <w:bottom w:val="none" w:sz="0" w:space="0" w:color="auto"/>
            <w:right w:val="none" w:sz="0" w:space="0" w:color="auto"/>
          </w:divBdr>
        </w:div>
        <w:div w:id="741025856">
          <w:marLeft w:val="0"/>
          <w:marRight w:val="0"/>
          <w:marTop w:val="0"/>
          <w:marBottom w:val="0"/>
          <w:divBdr>
            <w:top w:val="none" w:sz="0" w:space="0" w:color="auto"/>
            <w:left w:val="none" w:sz="0" w:space="0" w:color="auto"/>
            <w:bottom w:val="none" w:sz="0" w:space="0" w:color="auto"/>
            <w:right w:val="none" w:sz="0" w:space="0" w:color="auto"/>
          </w:divBdr>
        </w:div>
        <w:div w:id="1123035670">
          <w:marLeft w:val="0"/>
          <w:marRight w:val="0"/>
          <w:marTop w:val="0"/>
          <w:marBottom w:val="0"/>
          <w:divBdr>
            <w:top w:val="none" w:sz="0" w:space="0" w:color="auto"/>
            <w:left w:val="none" w:sz="0" w:space="0" w:color="auto"/>
            <w:bottom w:val="none" w:sz="0" w:space="0" w:color="auto"/>
            <w:right w:val="none" w:sz="0" w:space="0" w:color="auto"/>
          </w:divBdr>
        </w:div>
      </w:divsChild>
    </w:div>
    <w:div w:id="839387725">
      <w:bodyDiv w:val="1"/>
      <w:marLeft w:val="0"/>
      <w:marRight w:val="0"/>
      <w:marTop w:val="0"/>
      <w:marBottom w:val="0"/>
      <w:divBdr>
        <w:top w:val="none" w:sz="0" w:space="0" w:color="auto"/>
        <w:left w:val="none" w:sz="0" w:space="0" w:color="auto"/>
        <w:bottom w:val="none" w:sz="0" w:space="0" w:color="auto"/>
        <w:right w:val="none" w:sz="0" w:space="0" w:color="auto"/>
      </w:divBdr>
      <w:divsChild>
        <w:div w:id="988821937">
          <w:marLeft w:val="0"/>
          <w:marRight w:val="0"/>
          <w:marTop w:val="0"/>
          <w:marBottom w:val="0"/>
          <w:divBdr>
            <w:top w:val="none" w:sz="0" w:space="0" w:color="auto"/>
            <w:left w:val="none" w:sz="0" w:space="0" w:color="auto"/>
            <w:bottom w:val="none" w:sz="0" w:space="0" w:color="auto"/>
            <w:right w:val="none" w:sz="0" w:space="0" w:color="auto"/>
          </w:divBdr>
          <w:divsChild>
            <w:div w:id="1255944480">
              <w:marLeft w:val="0"/>
              <w:marRight w:val="0"/>
              <w:marTop w:val="0"/>
              <w:marBottom w:val="0"/>
              <w:divBdr>
                <w:top w:val="none" w:sz="0" w:space="0" w:color="auto"/>
                <w:left w:val="none" w:sz="0" w:space="0" w:color="auto"/>
                <w:bottom w:val="none" w:sz="0" w:space="0" w:color="auto"/>
                <w:right w:val="none" w:sz="0" w:space="0" w:color="auto"/>
              </w:divBdr>
            </w:div>
          </w:divsChild>
        </w:div>
        <w:div w:id="1463111406">
          <w:marLeft w:val="0"/>
          <w:marRight w:val="0"/>
          <w:marTop w:val="0"/>
          <w:marBottom w:val="0"/>
          <w:divBdr>
            <w:top w:val="none" w:sz="0" w:space="0" w:color="auto"/>
            <w:left w:val="none" w:sz="0" w:space="0" w:color="auto"/>
            <w:bottom w:val="none" w:sz="0" w:space="0" w:color="auto"/>
            <w:right w:val="none" w:sz="0" w:space="0" w:color="auto"/>
          </w:divBdr>
        </w:div>
      </w:divsChild>
    </w:div>
    <w:div w:id="893270925">
      <w:bodyDiv w:val="1"/>
      <w:marLeft w:val="0"/>
      <w:marRight w:val="0"/>
      <w:marTop w:val="0"/>
      <w:marBottom w:val="0"/>
      <w:divBdr>
        <w:top w:val="none" w:sz="0" w:space="0" w:color="auto"/>
        <w:left w:val="none" w:sz="0" w:space="0" w:color="auto"/>
        <w:bottom w:val="none" w:sz="0" w:space="0" w:color="auto"/>
        <w:right w:val="none" w:sz="0" w:space="0" w:color="auto"/>
      </w:divBdr>
      <w:divsChild>
        <w:div w:id="1024672526">
          <w:marLeft w:val="0"/>
          <w:marRight w:val="0"/>
          <w:marTop w:val="0"/>
          <w:marBottom w:val="0"/>
          <w:divBdr>
            <w:top w:val="none" w:sz="0" w:space="0" w:color="auto"/>
            <w:left w:val="none" w:sz="0" w:space="0" w:color="auto"/>
            <w:bottom w:val="none" w:sz="0" w:space="0" w:color="auto"/>
            <w:right w:val="none" w:sz="0" w:space="0" w:color="auto"/>
          </w:divBdr>
          <w:divsChild>
            <w:div w:id="252057900">
              <w:marLeft w:val="0"/>
              <w:marRight w:val="0"/>
              <w:marTop w:val="0"/>
              <w:marBottom w:val="0"/>
              <w:divBdr>
                <w:top w:val="none" w:sz="0" w:space="0" w:color="auto"/>
                <w:left w:val="none" w:sz="0" w:space="0" w:color="auto"/>
                <w:bottom w:val="none" w:sz="0" w:space="0" w:color="auto"/>
                <w:right w:val="none" w:sz="0" w:space="0" w:color="auto"/>
              </w:divBdr>
            </w:div>
          </w:divsChild>
        </w:div>
        <w:div w:id="52631225">
          <w:marLeft w:val="0"/>
          <w:marRight w:val="0"/>
          <w:marTop w:val="0"/>
          <w:marBottom w:val="0"/>
          <w:divBdr>
            <w:top w:val="none" w:sz="0" w:space="0" w:color="auto"/>
            <w:left w:val="none" w:sz="0" w:space="0" w:color="auto"/>
            <w:bottom w:val="none" w:sz="0" w:space="0" w:color="auto"/>
            <w:right w:val="none" w:sz="0" w:space="0" w:color="auto"/>
          </w:divBdr>
        </w:div>
      </w:divsChild>
    </w:div>
    <w:div w:id="945041178">
      <w:bodyDiv w:val="1"/>
      <w:marLeft w:val="0"/>
      <w:marRight w:val="0"/>
      <w:marTop w:val="0"/>
      <w:marBottom w:val="0"/>
      <w:divBdr>
        <w:top w:val="none" w:sz="0" w:space="0" w:color="auto"/>
        <w:left w:val="none" w:sz="0" w:space="0" w:color="auto"/>
        <w:bottom w:val="none" w:sz="0" w:space="0" w:color="auto"/>
        <w:right w:val="none" w:sz="0" w:space="0" w:color="auto"/>
      </w:divBdr>
      <w:divsChild>
        <w:div w:id="1917936287">
          <w:marLeft w:val="0"/>
          <w:marRight w:val="0"/>
          <w:marTop w:val="0"/>
          <w:marBottom w:val="0"/>
          <w:divBdr>
            <w:top w:val="none" w:sz="0" w:space="0" w:color="auto"/>
            <w:left w:val="none" w:sz="0" w:space="0" w:color="auto"/>
            <w:bottom w:val="none" w:sz="0" w:space="0" w:color="auto"/>
            <w:right w:val="none" w:sz="0" w:space="0" w:color="auto"/>
          </w:divBdr>
          <w:divsChild>
            <w:div w:id="740762266">
              <w:marLeft w:val="0"/>
              <w:marRight w:val="0"/>
              <w:marTop w:val="0"/>
              <w:marBottom w:val="0"/>
              <w:divBdr>
                <w:top w:val="none" w:sz="0" w:space="0" w:color="auto"/>
                <w:left w:val="none" w:sz="0" w:space="0" w:color="auto"/>
                <w:bottom w:val="none" w:sz="0" w:space="0" w:color="auto"/>
                <w:right w:val="none" w:sz="0" w:space="0" w:color="auto"/>
              </w:divBdr>
            </w:div>
          </w:divsChild>
        </w:div>
        <w:div w:id="67850824">
          <w:marLeft w:val="0"/>
          <w:marRight w:val="0"/>
          <w:marTop w:val="0"/>
          <w:marBottom w:val="0"/>
          <w:divBdr>
            <w:top w:val="none" w:sz="0" w:space="0" w:color="auto"/>
            <w:left w:val="none" w:sz="0" w:space="0" w:color="auto"/>
            <w:bottom w:val="none" w:sz="0" w:space="0" w:color="auto"/>
            <w:right w:val="none" w:sz="0" w:space="0" w:color="auto"/>
          </w:divBdr>
        </w:div>
      </w:divsChild>
    </w:div>
    <w:div w:id="961498005">
      <w:bodyDiv w:val="1"/>
      <w:marLeft w:val="0"/>
      <w:marRight w:val="0"/>
      <w:marTop w:val="0"/>
      <w:marBottom w:val="0"/>
      <w:divBdr>
        <w:top w:val="none" w:sz="0" w:space="0" w:color="auto"/>
        <w:left w:val="none" w:sz="0" w:space="0" w:color="auto"/>
        <w:bottom w:val="none" w:sz="0" w:space="0" w:color="auto"/>
        <w:right w:val="none" w:sz="0" w:space="0" w:color="auto"/>
      </w:divBdr>
      <w:divsChild>
        <w:div w:id="135999743">
          <w:marLeft w:val="0"/>
          <w:marRight w:val="0"/>
          <w:marTop w:val="0"/>
          <w:marBottom w:val="0"/>
          <w:divBdr>
            <w:top w:val="none" w:sz="0" w:space="0" w:color="auto"/>
            <w:left w:val="none" w:sz="0" w:space="0" w:color="auto"/>
            <w:bottom w:val="none" w:sz="0" w:space="0" w:color="auto"/>
            <w:right w:val="none" w:sz="0" w:space="0" w:color="auto"/>
          </w:divBdr>
          <w:divsChild>
            <w:div w:id="609313933">
              <w:marLeft w:val="0"/>
              <w:marRight w:val="0"/>
              <w:marTop w:val="0"/>
              <w:marBottom w:val="0"/>
              <w:divBdr>
                <w:top w:val="none" w:sz="0" w:space="0" w:color="auto"/>
                <w:left w:val="none" w:sz="0" w:space="0" w:color="auto"/>
                <w:bottom w:val="none" w:sz="0" w:space="0" w:color="auto"/>
                <w:right w:val="none" w:sz="0" w:space="0" w:color="auto"/>
              </w:divBdr>
            </w:div>
          </w:divsChild>
        </w:div>
        <w:div w:id="705106686">
          <w:marLeft w:val="0"/>
          <w:marRight w:val="0"/>
          <w:marTop w:val="0"/>
          <w:marBottom w:val="0"/>
          <w:divBdr>
            <w:top w:val="none" w:sz="0" w:space="0" w:color="auto"/>
            <w:left w:val="none" w:sz="0" w:space="0" w:color="auto"/>
            <w:bottom w:val="none" w:sz="0" w:space="0" w:color="auto"/>
            <w:right w:val="none" w:sz="0" w:space="0" w:color="auto"/>
          </w:divBdr>
        </w:div>
      </w:divsChild>
    </w:div>
    <w:div w:id="971402587">
      <w:bodyDiv w:val="1"/>
      <w:marLeft w:val="0"/>
      <w:marRight w:val="0"/>
      <w:marTop w:val="0"/>
      <w:marBottom w:val="0"/>
      <w:divBdr>
        <w:top w:val="none" w:sz="0" w:space="0" w:color="auto"/>
        <w:left w:val="none" w:sz="0" w:space="0" w:color="auto"/>
        <w:bottom w:val="none" w:sz="0" w:space="0" w:color="auto"/>
        <w:right w:val="none" w:sz="0" w:space="0" w:color="auto"/>
      </w:divBdr>
      <w:divsChild>
        <w:div w:id="1223178926">
          <w:marLeft w:val="0"/>
          <w:marRight w:val="0"/>
          <w:marTop w:val="0"/>
          <w:marBottom w:val="0"/>
          <w:divBdr>
            <w:top w:val="none" w:sz="0" w:space="0" w:color="auto"/>
            <w:left w:val="none" w:sz="0" w:space="0" w:color="auto"/>
            <w:bottom w:val="none" w:sz="0" w:space="0" w:color="auto"/>
            <w:right w:val="none" w:sz="0" w:space="0" w:color="auto"/>
          </w:divBdr>
        </w:div>
        <w:div w:id="1234583822">
          <w:marLeft w:val="0"/>
          <w:marRight w:val="0"/>
          <w:marTop w:val="0"/>
          <w:marBottom w:val="0"/>
          <w:divBdr>
            <w:top w:val="none" w:sz="0" w:space="0" w:color="auto"/>
            <w:left w:val="none" w:sz="0" w:space="0" w:color="auto"/>
            <w:bottom w:val="none" w:sz="0" w:space="0" w:color="auto"/>
            <w:right w:val="none" w:sz="0" w:space="0" w:color="auto"/>
          </w:divBdr>
          <w:divsChild>
            <w:div w:id="914046602">
              <w:marLeft w:val="0"/>
              <w:marRight w:val="0"/>
              <w:marTop w:val="0"/>
              <w:marBottom w:val="0"/>
              <w:divBdr>
                <w:top w:val="none" w:sz="0" w:space="0" w:color="auto"/>
                <w:left w:val="none" w:sz="0" w:space="0" w:color="auto"/>
                <w:bottom w:val="none" w:sz="0" w:space="0" w:color="auto"/>
                <w:right w:val="none" w:sz="0" w:space="0" w:color="auto"/>
              </w:divBdr>
            </w:div>
          </w:divsChild>
        </w:div>
        <w:div w:id="1590583184">
          <w:marLeft w:val="0"/>
          <w:marRight w:val="0"/>
          <w:marTop w:val="0"/>
          <w:marBottom w:val="0"/>
          <w:divBdr>
            <w:top w:val="none" w:sz="0" w:space="0" w:color="auto"/>
            <w:left w:val="none" w:sz="0" w:space="0" w:color="auto"/>
            <w:bottom w:val="none" w:sz="0" w:space="0" w:color="auto"/>
            <w:right w:val="none" w:sz="0" w:space="0" w:color="auto"/>
          </w:divBdr>
        </w:div>
        <w:div w:id="1460538845">
          <w:marLeft w:val="0"/>
          <w:marRight w:val="0"/>
          <w:marTop w:val="0"/>
          <w:marBottom w:val="0"/>
          <w:divBdr>
            <w:top w:val="none" w:sz="0" w:space="0" w:color="auto"/>
            <w:left w:val="none" w:sz="0" w:space="0" w:color="auto"/>
            <w:bottom w:val="none" w:sz="0" w:space="0" w:color="auto"/>
            <w:right w:val="none" w:sz="0" w:space="0" w:color="auto"/>
          </w:divBdr>
          <w:divsChild>
            <w:div w:id="1080129720">
              <w:marLeft w:val="0"/>
              <w:marRight w:val="0"/>
              <w:marTop w:val="0"/>
              <w:marBottom w:val="0"/>
              <w:divBdr>
                <w:top w:val="none" w:sz="0" w:space="0" w:color="auto"/>
                <w:left w:val="none" w:sz="0" w:space="0" w:color="auto"/>
                <w:bottom w:val="none" w:sz="0" w:space="0" w:color="auto"/>
                <w:right w:val="none" w:sz="0" w:space="0" w:color="auto"/>
              </w:divBdr>
            </w:div>
          </w:divsChild>
        </w:div>
        <w:div w:id="1833447516">
          <w:marLeft w:val="0"/>
          <w:marRight w:val="0"/>
          <w:marTop w:val="0"/>
          <w:marBottom w:val="0"/>
          <w:divBdr>
            <w:top w:val="none" w:sz="0" w:space="0" w:color="auto"/>
            <w:left w:val="none" w:sz="0" w:space="0" w:color="auto"/>
            <w:bottom w:val="none" w:sz="0" w:space="0" w:color="auto"/>
            <w:right w:val="none" w:sz="0" w:space="0" w:color="auto"/>
          </w:divBdr>
        </w:div>
        <w:div w:id="395514614">
          <w:marLeft w:val="0"/>
          <w:marRight w:val="0"/>
          <w:marTop w:val="0"/>
          <w:marBottom w:val="0"/>
          <w:divBdr>
            <w:top w:val="none" w:sz="0" w:space="0" w:color="auto"/>
            <w:left w:val="none" w:sz="0" w:space="0" w:color="auto"/>
            <w:bottom w:val="none" w:sz="0" w:space="0" w:color="auto"/>
            <w:right w:val="none" w:sz="0" w:space="0" w:color="auto"/>
          </w:divBdr>
          <w:divsChild>
            <w:div w:id="1365325228">
              <w:marLeft w:val="0"/>
              <w:marRight w:val="0"/>
              <w:marTop w:val="0"/>
              <w:marBottom w:val="0"/>
              <w:divBdr>
                <w:top w:val="none" w:sz="0" w:space="0" w:color="auto"/>
                <w:left w:val="none" w:sz="0" w:space="0" w:color="auto"/>
                <w:bottom w:val="none" w:sz="0" w:space="0" w:color="auto"/>
                <w:right w:val="none" w:sz="0" w:space="0" w:color="auto"/>
              </w:divBdr>
            </w:div>
          </w:divsChild>
        </w:div>
        <w:div w:id="1729843361">
          <w:marLeft w:val="0"/>
          <w:marRight w:val="0"/>
          <w:marTop w:val="0"/>
          <w:marBottom w:val="0"/>
          <w:divBdr>
            <w:top w:val="none" w:sz="0" w:space="0" w:color="auto"/>
            <w:left w:val="none" w:sz="0" w:space="0" w:color="auto"/>
            <w:bottom w:val="none" w:sz="0" w:space="0" w:color="auto"/>
            <w:right w:val="none" w:sz="0" w:space="0" w:color="auto"/>
          </w:divBdr>
        </w:div>
        <w:div w:id="1494834183">
          <w:marLeft w:val="0"/>
          <w:marRight w:val="0"/>
          <w:marTop w:val="0"/>
          <w:marBottom w:val="0"/>
          <w:divBdr>
            <w:top w:val="none" w:sz="0" w:space="0" w:color="auto"/>
            <w:left w:val="none" w:sz="0" w:space="0" w:color="auto"/>
            <w:bottom w:val="none" w:sz="0" w:space="0" w:color="auto"/>
            <w:right w:val="none" w:sz="0" w:space="0" w:color="auto"/>
          </w:divBdr>
          <w:divsChild>
            <w:div w:id="1394738599">
              <w:marLeft w:val="0"/>
              <w:marRight w:val="0"/>
              <w:marTop w:val="0"/>
              <w:marBottom w:val="0"/>
              <w:divBdr>
                <w:top w:val="none" w:sz="0" w:space="0" w:color="auto"/>
                <w:left w:val="none" w:sz="0" w:space="0" w:color="auto"/>
                <w:bottom w:val="none" w:sz="0" w:space="0" w:color="auto"/>
                <w:right w:val="none" w:sz="0" w:space="0" w:color="auto"/>
              </w:divBdr>
            </w:div>
          </w:divsChild>
        </w:div>
        <w:div w:id="422845533">
          <w:marLeft w:val="0"/>
          <w:marRight w:val="0"/>
          <w:marTop w:val="0"/>
          <w:marBottom w:val="0"/>
          <w:divBdr>
            <w:top w:val="none" w:sz="0" w:space="0" w:color="auto"/>
            <w:left w:val="none" w:sz="0" w:space="0" w:color="auto"/>
            <w:bottom w:val="none" w:sz="0" w:space="0" w:color="auto"/>
            <w:right w:val="none" w:sz="0" w:space="0" w:color="auto"/>
          </w:divBdr>
        </w:div>
      </w:divsChild>
    </w:div>
    <w:div w:id="1002514042">
      <w:bodyDiv w:val="1"/>
      <w:marLeft w:val="0"/>
      <w:marRight w:val="0"/>
      <w:marTop w:val="0"/>
      <w:marBottom w:val="0"/>
      <w:divBdr>
        <w:top w:val="none" w:sz="0" w:space="0" w:color="auto"/>
        <w:left w:val="none" w:sz="0" w:space="0" w:color="auto"/>
        <w:bottom w:val="none" w:sz="0" w:space="0" w:color="auto"/>
        <w:right w:val="none" w:sz="0" w:space="0" w:color="auto"/>
      </w:divBdr>
      <w:divsChild>
        <w:div w:id="47921190">
          <w:marLeft w:val="0"/>
          <w:marRight w:val="0"/>
          <w:marTop w:val="0"/>
          <w:marBottom w:val="0"/>
          <w:divBdr>
            <w:top w:val="none" w:sz="0" w:space="0" w:color="auto"/>
            <w:left w:val="none" w:sz="0" w:space="0" w:color="auto"/>
            <w:bottom w:val="none" w:sz="0" w:space="0" w:color="auto"/>
            <w:right w:val="none" w:sz="0" w:space="0" w:color="auto"/>
          </w:divBdr>
          <w:divsChild>
            <w:div w:id="796605077">
              <w:marLeft w:val="0"/>
              <w:marRight w:val="0"/>
              <w:marTop w:val="0"/>
              <w:marBottom w:val="0"/>
              <w:divBdr>
                <w:top w:val="none" w:sz="0" w:space="0" w:color="auto"/>
                <w:left w:val="none" w:sz="0" w:space="0" w:color="auto"/>
                <w:bottom w:val="none" w:sz="0" w:space="0" w:color="auto"/>
                <w:right w:val="none" w:sz="0" w:space="0" w:color="auto"/>
              </w:divBdr>
            </w:div>
          </w:divsChild>
        </w:div>
        <w:div w:id="777137356">
          <w:marLeft w:val="0"/>
          <w:marRight w:val="0"/>
          <w:marTop w:val="0"/>
          <w:marBottom w:val="0"/>
          <w:divBdr>
            <w:top w:val="none" w:sz="0" w:space="0" w:color="auto"/>
            <w:left w:val="none" w:sz="0" w:space="0" w:color="auto"/>
            <w:bottom w:val="none" w:sz="0" w:space="0" w:color="auto"/>
            <w:right w:val="none" w:sz="0" w:space="0" w:color="auto"/>
          </w:divBdr>
        </w:div>
        <w:div w:id="325787806">
          <w:marLeft w:val="0"/>
          <w:marRight w:val="0"/>
          <w:marTop w:val="0"/>
          <w:marBottom w:val="0"/>
          <w:divBdr>
            <w:top w:val="none" w:sz="0" w:space="0" w:color="auto"/>
            <w:left w:val="none" w:sz="0" w:space="0" w:color="auto"/>
            <w:bottom w:val="none" w:sz="0" w:space="0" w:color="auto"/>
            <w:right w:val="none" w:sz="0" w:space="0" w:color="auto"/>
          </w:divBdr>
        </w:div>
        <w:div w:id="1769502135">
          <w:marLeft w:val="0"/>
          <w:marRight w:val="0"/>
          <w:marTop w:val="0"/>
          <w:marBottom w:val="0"/>
          <w:divBdr>
            <w:top w:val="none" w:sz="0" w:space="0" w:color="auto"/>
            <w:left w:val="none" w:sz="0" w:space="0" w:color="auto"/>
            <w:bottom w:val="none" w:sz="0" w:space="0" w:color="auto"/>
            <w:right w:val="none" w:sz="0" w:space="0" w:color="auto"/>
          </w:divBdr>
        </w:div>
        <w:div w:id="635718361">
          <w:marLeft w:val="0"/>
          <w:marRight w:val="0"/>
          <w:marTop w:val="0"/>
          <w:marBottom w:val="0"/>
          <w:divBdr>
            <w:top w:val="none" w:sz="0" w:space="0" w:color="auto"/>
            <w:left w:val="none" w:sz="0" w:space="0" w:color="auto"/>
            <w:bottom w:val="none" w:sz="0" w:space="0" w:color="auto"/>
            <w:right w:val="none" w:sz="0" w:space="0" w:color="auto"/>
          </w:divBdr>
        </w:div>
        <w:div w:id="117800100">
          <w:marLeft w:val="0"/>
          <w:marRight w:val="0"/>
          <w:marTop w:val="0"/>
          <w:marBottom w:val="0"/>
          <w:divBdr>
            <w:top w:val="none" w:sz="0" w:space="0" w:color="auto"/>
            <w:left w:val="none" w:sz="0" w:space="0" w:color="auto"/>
            <w:bottom w:val="none" w:sz="0" w:space="0" w:color="auto"/>
            <w:right w:val="none" w:sz="0" w:space="0" w:color="auto"/>
          </w:divBdr>
        </w:div>
      </w:divsChild>
    </w:div>
    <w:div w:id="1022362923">
      <w:bodyDiv w:val="1"/>
      <w:marLeft w:val="0"/>
      <w:marRight w:val="0"/>
      <w:marTop w:val="0"/>
      <w:marBottom w:val="0"/>
      <w:divBdr>
        <w:top w:val="none" w:sz="0" w:space="0" w:color="auto"/>
        <w:left w:val="none" w:sz="0" w:space="0" w:color="auto"/>
        <w:bottom w:val="none" w:sz="0" w:space="0" w:color="auto"/>
        <w:right w:val="none" w:sz="0" w:space="0" w:color="auto"/>
      </w:divBdr>
      <w:divsChild>
        <w:div w:id="346711797">
          <w:marLeft w:val="0"/>
          <w:marRight w:val="0"/>
          <w:marTop w:val="0"/>
          <w:marBottom w:val="0"/>
          <w:divBdr>
            <w:top w:val="none" w:sz="0" w:space="0" w:color="auto"/>
            <w:left w:val="none" w:sz="0" w:space="0" w:color="auto"/>
            <w:bottom w:val="none" w:sz="0" w:space="0" w:color="auto"/>
            <w:right w:val="none" w:sz="0" w:space="0" w:color="auto"/>
          </w:divBdr>
          <w:divsChild>
            <w:div w:id="1839154358">
              <w:marLeft w:val="0"/>
              <w:marRight w:val="0"/>
              <w:marTop w:val="0"/>
              <w:marBottom w:val="0"/>
              <w:divBdr>
                <w:top w:val="none" w:sz="0" w:space="0" w:color="auto"/>
                <w:left w:val="none" w:sz="0" w:space="0" w:color="auto"/>
                <w:bottom w:val="none" w:sz="0" w:space="0" w:color="auto"/>
                <w:right w:val="none" w:sz="0" w:space="0" w:color="auto"/>
              </w:divBdr>
            </w:div>
          </w:divsChild>
        </w:div>
        <w:div w:id="1694989666">
          <w:marLeft w:val="0"/>
          <w:marRight w:val="0"/>
          <w:marTop w:val="0"/>
          <w:marBottom w:val="0"/>
          <w:divBdr>
            <w:top w:val="none" w:sz="0" w:space="0" w:color="auto"/>
            <w:left w:val="none" w:sz="0" w:space="0" w:color="auto"/>
            <w:bottom w:val="none" w:sz="0" w:space="0" w:color="auto"/>
            <w:right w:val="none" w:sz="0" w:space="0" w:color="auto"/>
          </w:divBdr>
        </w:div>
        <w:div w:id="876625429">
          <w:marLeft w:val="0"/>
          <w:marRight w:val="0"/>
          <w:marTop w:val="0"/>
          <w:marBottom w:val="0"/>
          <w:divBdr>
            <w:top w:val="none" w:sz="0" w:space="0" w:color="auto"/>
            <w:left w:val="none" w:sz="0" w:space="0" w:color="auto"/>
            <w:bottom w:val="none" w:sz="0" w:space="0" w:color="auto"/>
            <w:right w:val="none" w:sz="0" w:space="0" w:color="auto"/>
          </w:divBdr>
        </w:div>
      </w:divsChild>
    </w:div>
    <w:div w:id="1066956171">
      <w:bodyDiv w:val="1"/>
      <w:marLeft w:val="0"/>
      <w:marRight w:val="0"/>
      <w:marTop w:val="0"/>
      <w:marBottom w:val="0"/>
      <w:divBdr>
        <w:top w:val="none" w:sz="0" w:space="0" w:color="auto"/>
        <w:left w:val="none" w:sz="0" w:space="0" w:color="auto"/>
        <w:bottom w:val="none" w:sz="0" w:space="0" w:color="auto"/>
        <w:right w:val="none" w:sz="0" w:space="0" w:color="auto"/>
      </w:divBdr>
      <w:divsChild>
        <w:div w:id="903638424">
          <w:marLeft w:val="0"/>
          <w:marRight w:val="0"/>
          <w:marTop w:val="0"/>
          <w:marBottom w:val="0"/>
          <w:divBdr>
            <w:top w:val="none" w:sz="0" w:space="0" w:color="auto"/>
            <w:left w:val="none" w:sz="0" w:space="0" w:color="auto"/>
            <w:bottom w:val="none" w:sz="0" w:space="0" w:color="auto"/>
            <w:right w:val="none" w:sz="0" w:space="0" w:color="auto"/>
          </w:divBdr>
        </w:div>
        <w:div w:id="308481778">
          <w:marLeft w:val="0"/>
          <w:marRight w:val="0"/>
          <w:marTop w:val="0"/>
          <w:marBottom w:val="0"/>
          <w:divBdr>
            <w:top w:val="none" w:sz="0" w:space="0" w:color="auto"/>
            <w:left w:val="none" w:sz="0" w:space="0" w:color="auto"/>
            <w:bottom w:val="none" w:sz="0" w:space="0" w:color="auto"/>
            <w:right w:val="none" w:sz="0" w:space="0" w:color="auto"/>
          </w:divBdr>
        </w:div>
        <w:div w:id="1737631696">
          <w:marLeft w:val="0"/>
          <w:marRight w:val="0"/>
          <w:marTop w:val="0"/>
          <w:marBottom w:val="0"/>
          <w:divBdr>
            <w:top w:val="none" w:sz="0" w:space="0" w:color="auto"/>
            <w:left w:val="none" w:sz="0" w:space="0" w:color="auto"/>
            <w:bottom w:val="none" w:sz="0" w:space="0" w:color="auto"/>
            <w:right w:val="none" w:sz="0" w:space="0" w:color="auto"/>
          </w:divBdr>
        </w:div>
        <w:div w:id="2075854170">
          <w:marLeft w:val="0"/>
          <w:marRight w:val="0"/>
          <w:marTop w:val="0"/>
          <w:marBottom w:val="0"/>
          <w:divBdr>
            <w:top w:val="none" w:sz="0" w:space="0" w:color="auto"/>
            <w:left w:val="none" w:sz="0" w:space="0" w:color="auto"/>
            <w:bottom w:val="none" w:sz="0" w:space="0" w:color="auto"/>
            <w:right w:val="none" w:sz="0" w:space="0" w:color="auto"/>
          </w:divBdr>
        </w:div>
        <w:div w:id="1602182913">
          <w:marLeft w:val="0"/>
          <w:marRight w:val="0"/>
          <w:marTop w:val="0"/>
          <w:marBottom w:val="0"/>
          <w:divBdr>
            <w:top w:val="none" w:sz="0" w:space="0" w:color="auto"/>
            <w:left w:val="none" w:sz="0" w:space="0" w:color="auto"/>
            <w:bottom w:val="none" w:sz="0" w:space="0" w:color="auto"/>
            <w:right w:val="none" w:sz="0" w:space="0" w:color="auto"/>
          </w:divBdr>
        </w:div>
        <w:div w:id="1606957417">
          <w:marLeft w:val="0"/>
          <w:marRight w:val="0"/>
          <w:marTop w:val="0"/>
          <w:marBottom w:val="0"/>
          <w:divBdr>
            <w:top w:val="none" w:sz="0" w:space="0" w:color="auto"/>
            <w:left w:val="none" w:sz="0" w:space="0" w:color="auto"/>
            <w:bottom w:val="none" w:sz="0" w:space="0" w:color="auto"/>
            <w:right w:val="none" w:sz="0" w:space="0" w:color="auto"/>
          </w:divBdr>
        </w:div>
        <w:div w:id="190654430">
          <w:marLeft w:val="0"/>
          <w:marRight w:val="0"/>
          <w:marTop w:val="0"/>
          <w:marBottom w:val="0"/>
          <w:divBdr>
            <w:top w:val="none" w:sz="0" w:space="0" w:color="auto"/>
            <w:left w:val="none" w:sz="0" w:space="0" w:color="auto"/>
            <w:bottom w:val="none" w:sz="0" w:space="0" w:color="auto"/>
            <w:right w:val="none" w:sz="0" w:space="0" w:color="auto"/>
          </w:divBdr>
        </w:div>
        <w:div w:id="114301303">
          <w:marLeft w:val="0"/>
          <w:marRight w:val="0"/>
          <w:marTop w:val="0"/>
          <w:marBottom w:val="0"/>
          <w:divBdr>
            <w:top w:val="none" w:sz="0" w:space="0" w:color="auto"/>
            <w:left w:val="none" w:sz="0" w:space="0" w:color="auto"/>
            <w:bottom w:val="none" w:sz="0" w:space="0" w:color="auto"/>
            <w:right w:val="none" w:sz="0" w:space="0" w:color="auto"/>
          </w:divBdr>
        </w:div>
        <w:div w:id="133764667">
          <w:marLeft w:val="0"/>
          <w:marRight w:val="0"/>
          <w:marTop w:val="0"/>
          <w:marBottom w:val="0"/>
          <w:divBdr>
            <w:top w:val="none" w:sz="0" w:space="0" w:color="auto"/>
            <w:left w:val="none" w:sz="0" w:space="0" w:color="auto"/>
            <w:bottom w:val="none" w:sz="0" w:space="0" w:color="auto"/>
            <w:right w:val="none" w:sz="0" w:space="0" w:color="auto"/>
          </w:divBdr>
        </w:div>
        <w:div w:id="1549217979">
          <w:marLeft w:val="0"/>
          <w:marRight w:val="0"/>
          <w:marTop w:val="0"/>
          <w:marBottom w:val="0"/>
          <w:divBdr>
            <w:top w:val="none" w:sz="0" w:space="0" w:color="auto"/>
            <w:left w:val="none" w:sz="0" w:space="0" w:color="auto"/>
            <w:bottom w:val="none" w:sz="0" w:space="0" w:color="auto"/>
            <w:right w:val="none" w:sz="0" w:space="0" w:color="auto"/>
          </w:divBdr>
        </w:div>
        <w:div w:id="527987727">
          <w:marLeft w:val="0"/>
          <w:marRight w:val="0"/>
          <w:marTop w:val="0"/>
          <w:marBottom w:val="0"/>
          <w:divBdr>
            <w:top w:val="none" w:sz="0" w:space="0" w:color="auto"/>
            <w:left w:val="none" w:sz="0" w:space="0" w:color="auto"/>
            <w:bottom w:val="none" w:sz="0" w:space="0" w:color="auto"/>
            <w:right w:val="none" w:sz="0" w:space="0" w:color="auto"/>
          </w:divBdr>
        </w:div>
        <w:div w:id="254050042">
          <w:marLeft w:val="0"/>
          <w:marRight w:val="0"/>
          <w:marTop w:val="0"/>
          <w:marBottom w:val="0"/>
          <w:divBdr>
            <w:top w:val="none" w:sz="0" w:space="0" w:color="auto"/>
            <w:left w:val="none" w:sz="0" w:space="0" w:color="auto"/>
            <w:bottom w:val="none" w:sz="0" w:space="0" w:color="auto"/>
            <w:right w:val="none" w:sz="0" w:space="0" w:color="auto"/>
          </w:divBdr>
        </w:div>
        <w:div w:id="1532180351">
          <w:marLeft w:val="0"/>
          <w:marRight w:val="0"/>
          <w:marTop w:val="0"/>
          <w:marBottom w:val="0"/>
          <w:divBdr>
            <w:top w:val="none" w:sz="0" w:space="0" w:color="auto"/>
            <w:left w:val="none" w:sz="0" w:space="0" w:color="auto"/>
            <w:bottom w:val="none" w:sz="0" w:space="0" w:color="auto"/>
            <w:right w:val="none" w:sz="0" w:space="0" w:color="auto"/>
          </w:divBdr>
        </w:div>
        <w:div w:id="757481661">
          <w:marLeft w:val="0"/>
          <w:marRight w:val="0"/>
          <w:marTop w:val="0"/>
          <w:marBottom w:val="0"/>
          <w:divBdr>
            <w:top w:val="none" w:sz="0" w:space="0" w:color="auto"/>
            <w:left w:val="none" w:sz="0" w:space="0" w:color="auto"/>
            <w:bottom w:val="none" w:sz="0" w:space="0" w:color="auto"/>
            <w:right w:val="none" w:sz="0" w:space="0" w:color="auto"/>
          </w:divBdr>
        </w:div>
      </w:divsChild>
    </w:div>
    <w:div w:id="1126049827">
      <w:bodyDiv w:val="1"/>
      <w:marLeft w:val="0"/>
      <w:marRight w:val="0"/>
      <w:marTop w:val="0"/>
      <w:marBottom w:val="0"/>
      <w:divBdr>
        <w:top w:val="none" w:sz="0" w:space="0" w:color="auto"/>
        <w:left w:val="none" w:sz="0" w:space="0" w:color="auto"/>
        <w:bottom w:val="none" w:sz="0" w:space="0" w:color="auto"/>
        <w:right w:val="none" w:sz="0" w:space="0" w:color="auto"/>
      </w:divBdr>
      <w:divsChild>
        <w:div w:id="1900631752">
          <w:marLeft w:val="0"/>
          <w:marRight w:val="0"/>
          <w:marTop w:val="0"/>
          <w:marBottom w:val="0"/>
          <w:divBdr>
            <w:top w:val="none" w:sz="0" w:space="0" w:color="auto"/>
            <w:left w:val="none" w:sz="0" w:space="0" w:color="auto"/>
            <w:bottom w:val="none" w:sz="0" w:space="0" w:color="auto"/>
            <w:right w:val="none" w:sz="0" w:space="0" w:color="auto"/>
          </w:divBdr>
        </w:div>
        <w:div w:id="1673024493">
          <w:marLeft w:val="0"/>
          <w:marRight w:val="0"/>
          <w:marTop w:val="0"/>
          <w:marBottom w:val="0"/>
          <w:divBdr>
            <w:top w:val="none" w:sz="0" w:space="0" w:color="auto"/>
            <w:left w:val="none" w:sz="0" w:space="0" w:color="auto"/>
            <w:bottom w:val="none" w:sz="0" w:space="0" w:color="auto"/>
            <w:right w:val="none" w:sz="0" w:space="0" w:color="auto"/>
          </w:divBdr>
        </w:div>
        <w:div w:id="972558164">
          <w:marLeft w:val="0"/>
          <w:marRight w:val="0"/>
          <w:marTop w:val="0"/>
          <w:marBottom w:val="0"/>
          <w:divBdr>
            <w:top w:val="none" w:sz="0" w:space="0" w:color="auto"/>
            <w:left w:val="none" w:sz="0" w:space="0" w:color="auto"/>
            <w:bottom w:val="none" w:sz="0" w:space="0" w:color="auto"/>
            <w:right w:val="none" w:sz="0" w:space="0" w:color="auto"/>
          </w:divBdr>
        </w:div>
        <w:div w:id="493228799">
          <w:marLeft w:val="0"/>
          <w:marRight w:val="0"/>
          <w:marTop w:val="0"/>
          <w:marBottom w:val="0"/>
          <w:divBdr>
            <w:top w:val="none" w:sz="0" w:space="0" w:color="auto"/>
            <w:left w:val="none" w:sz="0" w:space="0" w:color="auto"/>
            <w:bottom w:val="none" w:sz="0" w:space="0" w:color="auto"/>
            <w:right w:val="none" w:sz="0" w:space="0" w:color="auto"/>
          </w:divBdr>
        </w:div>
      </w:divsChild>
    </w:div>
    <w:div w:id="1152403871">
      <w:bodyDiv w:val="1"/>
      <w:marLeft w:val="0"/>
      <w:marRight w:val="0"/>
      <w:marTop w:val="0"/>
      <w:marBottom w:val="0"/>
      <w:divBdr>
        <w:top w:val="none" w:sz="0" w:space="0" w:color="auto"/>
        <w:left w:val="none" w:sz="0" w:space="0" w:color="auto"/>
        <w:bottom w:val="none" w:sz="0" w:space="0" w:color="auto"/>
        <w:right w:val="none" w:sz="0" w:space="0" w:color="auto"/>
      </w:divBdr>
      <w:divsChild>
        <w:div w:id="1055275665">
          <w:marLeft w:val="0"/>
          <w:marRight w:val="0"/>
          <w:marTop w:val="0"/>
          <w:marBottom w:val="0"/>
          <w:divBdr>
            <w:top w:val="none" w:sz="0" w:space="0" w:color="auto"/>
            <w:left w:val="none" w:sz="0" w:space="0" w:color="auto"/>
            <w:bottom w:val="none" w:sz="0" w:space="0" w:color="auto"/>
            <w:right w:val="none" w:sz="0" w:space="0" w:color="auto"/>
          </w:divBdr>
          <w:divsChild>
            <w:div w:id="1681202293">
              <w:marLeft w:val="0"/>
              <w:marRight w:val="0"/>
              <w:marTop w:val="0"/>
              <w:marBottom w:val="0"/>
              <w:divBdr>
                <w:top w:val="none" w:sz="0" w:space="0" w:color="auto"/>
                <w:left w:val="none" w:sz="0" w:space="0" w:color="auto"/>
                <w:bottom w:val="none" w:sz="0" w:space="0" w:color="auto"/>
                <w:right w:val="none" w:sz="0" w:space="0" w:color="auto"/>
              </w:divBdr>
            </w:div>
          </w:divsChild>
        </w:div>
        <w:div w:id="1726643219">
          <w:marLeft w:val="0"/>
          <w:marRight w:val="0"/>
          <w:marTop w:val="0"/>
          <w:marBottom w:val="0"/>
          <w:divBdr>
            <w:top w:val="none" w:sz="0" w:space="0" w:color="auto"/>
            <w:left w:val="none" w:sz="0" w:space="0" w:color="auto"/>
            <w:bottom w:val="none" w:sz="0" w:space="0" w:color="auto"/>
            <w:right w:val="none" w:sz="0" w:space="0" w:color="auto"/>
          </w:divBdr>
        </w:div>
        <w:div w:id="417334004">
          <w:marLeft w:val="0"/>
          <w:marRight w:val="0"/>
          <w:marTop w:val="0"/>
          <w:marBottom w:val="0"/>
          <w:divBdr>
            <w:top w:val="none" w:sz="0" w:space="0" w:color="auto"/>
            <w:left w:val="none" w:sz="0" w:space="0" w:color="auto"/>
            <w:bottom w:val="none" w:sz="0" w:space="0" w:color="auto"/>
            <w:right w:val="none" w:sz="0" w:space="0" w:color="auto"/>
          </w:divBdr>
        </w:div>
      </w:divsChild>
    </w:div>
    <w:div w:id="1283272361">
      <w:bodyDiv w:val="1"/>
      <w:marLeft w:val="0"/>
      <w:marRight w:val="0"/>
      <w:marTop w:val="0"/>
      <w:marBottom w:val="0"/>
      <w:divBdr>
        <w:top w:val="none" w:sz="0" w:space="0" w:color="auto"/>
        <w:left w:val="none" w:sz="0" w:space="0" w:color="auto"/>
        <w:bottom w:val="none" w:sz="0" w:space="0" w:color="auto"/>
        <w:right w:val="none" w:sz="0" w:space="0" w:color="auto"/>
      </w:divBdr>
    </w:div>
    <w:div w:id="1332677002">
      <w:bodyDiv w:val="1"/>
      <w:marLeft w:val="0"/>
      <w:marRight w:val="0"/>
      <w:marTop w:val="0"/>
      <w:marBottom w:val="0"/>
      <w:divBdr>
        <w:top w:val="none" w:sz="0" w:space="0" w:color="auto"/>
        <w:left w:val="none" w:sz="0" w:space="0" w:color="auto"/>
        <w:bottom w:val="none" w:sz="0" w:space="0" w:color="auto"/>
        <w:right w:val="none" w:sz="0" w:space="0" w:color="auto"/>
      </w:divBdr>
      <w:divsChild>
        <w:div w:id="1393431655">
          <w:marLeft w:val="0"/>
          <w:marRight w:val="0"/>
          <w:marTop w:val="0"/>
          <w:marBottom w:val="0"/>
          <w:divBdr>
            <w:top w:val="none" w:sz="0" w:space="0" w:color="auto"/>
            <w:left w:val="none" w:sz="0" w:space="0" w:color="auto"/>
            <w:bottom w:val="none" w:sz="0" w:space="0" w:color="auto"/>
            <w:right w:val="none" w:sz="0" w:space="0" w:color="auto"/>
          </w:divBdr>
          <w:divsChild>
            <w:div w:id="597107029">
              <w:marLeft w:val="0"/>
              <w:marRight w:val="0"/>
              <w:marTop w:val="0"/>
              <w:marBottom w:val="0"/>
              <w:divBdr>
                <w:top w:val="none" w:sz="0" w:space="0" w:color="auto"/>
                <w:left w:val="none" w:sz="0" w:space="0" w:color="auto"/>
                <w:bottom w:val="none" w:sz="0" w:space="0" w:color="auto"/>
                <w:right w:val="none" w:sz="0" w:space="0" w:color="auto"/>
              </w:divBdr>
            </w:div>
          </w:divsChild>
        </w:div>
        <w:div w:id="923413444">
          <w:marLeft w:val="0"/>
          <w:marRight w:val="0"/>
          <w:marTop w:val="0"/>
          <w:marBottom w:val="0"/>
          <w:divBdr>
            <w:top w:val="none" w:sz="0" w:space="0" w:color="auto"/>
            <w:left w:val="none" w:sz="0" w:space="0" w:color="auto"/>
            <w:bottom w:val="none" w:sz="0" w:space="0" w:color="auto"/>
            <w:right w:val="none" w:sz="0" w:space="0" w:color="auto"/>
          </w:divBdr>
        </w:div>
        <w:div w:id="271982136">
          <w:marLeft w:val="0"/>
          <w:marRight w:val="0"/>
          <w:marTop w:val="0"/>
          <w:marBottom w:val="0"/>
          <w:divBdr>
            <w:top w:val="none" w:sz="0" w:space="0" w:color="auto"/>
            <w:left w:val="none" w:sz="0" w:space="0" w:color="auto"/>
            <w:bottom w:val="none" w:sz="0" w:space="0" w:color="auto"/>
            <w:right w:val="none" w:sz="0" w:space="0" w:color="auto"/>
          </w:divBdr>
        </w:div>
      </w:divsChild>
    </w:div>
    <w:div w:id="1421414533">
      <w:bodyDiv w:val="1"/>
      <w:marLeft w:val="0"/>
      <w:marRight w:val="0"/>
      <w:marTop w:val="0"/>
      <w:marBottom w:val="0"/>
      <w:divBdr>
        <w:top w:val="none" w:sz="0" w:space="0" w:color="auto"/>
        <w:left w:val="none" w:sz="0" w:space="0" w:color="auto"/>
        <w:bottom w:val="none" w:sz="0" w:space="0" w:color="auto"/>
        <w:right w:val="none" w:sz="0" w:space="0" w:color="auto"/>
      </w:divBdr>
      <w:divsChild>
        <w:div w:id="132677176">
          <w:marLeft w:val="0"/>
          <w:marRight w:val="0"/>
          <w:marTop w:val="0"/>
          <w:marBottom w:val="0"/>
          <w:divBdr>
            <w:top w:val="none" w:sz="0" w:space="0" w:color="auto"/>
            <w:left w:val="none" w:sz="0" w:space="0" w:color="auto"/>
            <w:bottom w:val="none" w:sz="0" w:space="0" w:color="auto"/>
            <w:right w:val="none" w:sz="0" w:space="0" w:color="auto"/>
          </w:divBdr>
          <w:divsChild>
            <w:div w:id="1895773421">
              <w:marLeft w:val="0"/>
              <w:marRight w:val="0"/>
              <w:marTop w:val="0"/>
              <w:marBottom w:val="0"/>
              <w:divBdr>
                <w:top w:val="none" w:sz="0" w:space="0" w:color="auto"/>
                <w:left w:val="none" w:sz="0" w:space="0" w:color="auto"/>
                <w:bottom w:val="none" w:sz="0" w:space="0" w:color="auto"/>
                <w:right w:val="none" w:sz="0" w:space="0" w:color="auto"/>
              </w:divBdr>
            </w:div>
          </w:divsChild>
        </w:div>
        <w:div w:id="1779326533">
          <w:marLeft w:val="0"/>
          <w:marRight w:val="0"/>
          <w:marTop w:val="0"/>
          <w:marBottom w:val="0"/>
          <w:divBdr>
            <w:top w:val="none" w:sz="0" w:space="0" w:color="auto"/>
            <w:left w:val="none" w:sz="0" w:space="0" w:color="auto"/>
            <w:bottom w:val="none" w:sz="0" w:space="0" w:color="auto"/>
            <w:right w:val="none" w:sz="0" w:space="0" w:color="auto"/>
          </w:divBdr>
        </w:div>
        <w:div w:id="785269190">
          <w:marLeft w:val="0"/>
          <w:marRight w:val="0"/>
          <w:marTop w:val="0"/>
          <w:marBottom w:val="0"/>
          <w:divBdr>
            <w:top w:val="none" w:sz="0" w:space="0" w:color="auto"/>
            <w:left w:val="none" w:sz="0" w:space="0" w:color="auto"/>
            <w:bottom w:val="none" w:sz="0" w:space="0" w:color="auto"/>
            <w:right w:val="none" w:sz="0" w:space="0" w:color="auto"/>
          </w:divBdr>
        </w:div>
      </w:divsChild>
    </w:div>
    <w:div w:id="1448507555">
      <w:bodyDiv w:val="1"/>
      <w:marLeft w:val="0"/>
      <w:marRight w:val="0"/>
      <w:marTop w:val="0"/>
      <w:marBottom w:val="0"/>
      <w:divBdr>
        <w:top w:val="none" w:sz="0" w:space="0" w:color="auto"/>
        <w:left w:val="none" w:sz="0" w:space="0" w:color="auto"/>
        <w:bottom w:val="none" w:sz="0" w:space="0" w:color="auto"/>
        <w:right w:val="none" w:sz="0" w:space="0" w:color="auto"/>
      </w:divBdr>
      <w:divsChild>
        <w:div w:id="1885409514">
          <w:marLeft w:val="0"/>
          <w:marRight w:val="0"/>
          <w:marTop w:val="0"/>
          <w:marBottom w:val="0"/>
          <w:divBdr>
            <w:top w:val="none" w:sz="0" w:space="0" w:color="auto"/>
            <w:left w:val="none" w:sz="0" w:space="0" w:color="auto"/>
            <w:bottom w:val="none" w:sz="0" w:space="0" w:color="auto"/>
            <w:right w:val="none" w:sz="0" w:space="0" w:color="auto"/>
          </w:divBdr>
        </w:div>
        <w:div w:id="1274560349">
          <w:marLeft w:val="0"/>
          <w:marRight w:val="0"/>
          <w:marTop w:val="0"/>
          <w:marBottom w:val="0"/>
          <w:divBdr>
            <w:top w:val="none" w:sz="0" w:space="0" w:color="auto"/>
            <w:left w:val="none" w:sz="0" w:space="0" w:color="auto"/>
            <w:bottom w:val="none" w:sz="0" w:space="0" w:color="auto"/>
            <w:right w:val="none" w:sz="0" w:space="0" w:color="auto"/>
          </w:divBdr>
          <w:divsChild>
            <w:div w:id="2106028766">
              <w:marLeft w:val="0"/>
              <w:marRight w:val="0"/>
              <w:marTop w:val="0"/>
              <w:marBottom w:val="0"/>
              <w:divBdr>
                <w:top w:val="none" w:sz="0" w:space="0" w:color="auto"/>
                <w:left w:val="none" w:sz="0" w:space="0" w:color="auto"/>
                <w:bottom w:val="none" w:sz="0" w:space="0" w:color="auto"/>
                <w:right w:val="none" w:sz="0" w:space="0" w:color="auto"/>
              </w:divBdr>
            </w:div>
          </w:divsChild>
        </w:div>
        <w:div w:id="1614629573">
          <w:marLeft w:val="0"/>
          <w:marRight w:val="0"/>
          <w:marTop w:val="0"/>
          <w:marBottom w:val="0"/>
          <w:divBdr>
            <w:top w:val="none" w:sz="0" w:space="0" w:color="auto"/>
            <w:left w:val="none" w:sz="0" w:space="0" w:color="auto"/>
            <w:bottom w:val="none" w:sz="0" w:space="0" w:color="auto"/>
            <w:right w:val="none" w:sz="0" w:space="0" w:color="auto"/>
          </w:divBdr>
        </w:div>
        <w:div w:id="1996717948">
          <w:marLeft w:val="0"/>
          <w:marRight w:val="0"/>
          <w:marTop w:val="0"/>
          <w:marBottom w:val="0"/>
          <w:divBdr>
            <w:top w:val="none" w:sz="0" w:space="0" w:color="auto"/>
            <w:left w:val="none" w:sz="0" w:space="0" w:color="auto"/>
            <w:bottom w:val="none" w:sz="0" w:space="0" w:color="auto"/>
            <w:right w:val="none" w:sz="0" w:space="0" w:color="auto"/>
          </w:divBdr>
          <w:divsChild>
            <w:div w:id="344945321">
              <w:marLeft w:val="0"/>
              <w:marRight w:val="0"/>
              <w:marTop w:val="0"/>
              <w:marBottom w:val="0"/>
              <w:divBdr>
                <w:top w:val="none" w:sz="0" w:space="0" w:color="auto"/>
                <w:left w:val="none" w:sz="0" w:space="0" w:color="auto"/>
                <w:bottom w:val="none" w:sz="0" w:space="0" w:color="auto"/>
                <w:right w:val="none" w:sz="0" w:space="0" w:color="auto"/>
              </w:divBdr>
            </w:div>
          </w:divsChild>
        </w:div>
        <w:div w:id="1638337350">
          <w:marLeft w:val="0"/>
          <w:marRight w:val="0"/>
          <w:marTop w:val="0"/>
          <w:marBottom w:val="0"/>
          <w:divBdr>
            <w:top w:val="none" w:sz="0" w:space="0" w:color="auto"/>
            <w:left w:val="none" w:sz="0" w:space="0" w:color="auto"/>
            <w:bottom w:val="none" w:sz="0" w:space="0" w:color="auto"/>
            <w:right w:val="none" w:sz="0" w:space="0" w:color="auto"/>
          </w:divBdr>
        </w:div>
        <w:div w:id="619846689">
          <w:marLeft w:val="0"/>
          <w:marRight w:val="0"/>
          <w:marTop w:val="0"/>
          <w:marBottom w:val="0"/>
          <w:divBdr>
            <w:top w:val="none" w:sz="0" w:space="0" w:color="auto"/>
            <w:left w:val="none" w:sz="0" w:space="0" w:color="auto"/>
            <w:bottom w:val="none" w:sz="0" w:space="0" w:color="auto"/>
            <w:right w:val="none" w:sz="0" w:space="0" w:color="auto"/>
          </w:divBdr>
          <w:divsChild>
            <w:div w:id="2090957830">
              <w:marLeft w:val="0"/>
              <w:marRight w:val="0"/>
              <w:marTop w:val="0"/>
              <w:marBottom w:val="0"/>
              <w:divBdr>
                <w:top w:val="none" w:sz="0" w:space="0" w:color="auto"/>
                <w:left w:val="none" w:sz="0" w:space="0" w:color="auto"/>
                <w:bottom w:val="none" w:sz="0" w:space="0" w:color="auto"/>
                <w:right w:val="none" w:sz="0" w:space="0" w:color="auto"/>
              </w:divBdr>
            </w:div>
          </w:divsChild>
        </w:div>
        <w:div w:id="791940292">
          <w:marLeft w:val="0"/>
          <w:marRight w:val="0"/>
          <w:marTop w:val="0"/>
          <w:marBottom w:val="0"/>
          <w:divBdr>
            <w:top w:val="none" w:sz="0" w:space="0" w:color="auto"/>
            <w:left w:val="none" w:sz="0" w:space="0" w:color="auto"/>
            <w:bottom w:val="none" w:sz="0" w:space="0" w:color="auto"/>
            <w:right w:val="none" w:sz="0" w:space="0" w:color="auto"/>
          </w:divBdr>
        </w:div>
        <w:div w:id="854996645">
          <w:marLeft w:val="0"/>
          <w:marRight w:val="0"/>
          <w:marTop w:val="0"/>
          <w:marBottom w:val="0"/>
          <w:divBdr>
            <w:top w:val="none" w:sz="0" w:space="0" w:color="auto"/>
            <w:left w:val="none" w:sz="0" w:space="0" w:color="auto"/>
            <w:bottom w:val="none" w:sz="0" w:space="0" w:color="auto"/>
            <w:right w:val="none" w:sz="0" w:space="0" w:color="auto"/>
          </w:divBdr>
          <w:divsChild>
            <w:div w:id="1062366460">
              <w:marLeft w:val="0"/>
              <w:marRight w:val="0"/>
              <w:marTop w:val="0"/>
              <w:marBottom w:val="0"/>
              <w:divBdr>
                <w:top w:val="none" w:sz="0" w:space="0" w:color="auto"/>
                <w:left w:val="none" w:sz="0" w:space="0" w:color="auto"/>
                <w:bottom w:val="none" w:sz="0" w:space="0" w:color="auto"/>
                <w:right w:val="none" w:sz="0" w:space="0" w:color="auto"/>
              </w:divBdr>
            </w:div>
          </w:divsChild>
        </w:div>
        <w:div w:id="1797329637">
          <w:marLeft w:val="0"/>
          <w:marRight w:val="0"/>
          <w:marTop w:val="0"/>
          <w:marBottom w:val="0"/>
          <w:divBdr>
            <w:top w:val="none" w:sz="0" w:space="0" w:color="auto"/>
            <w:left w:val="none" w:sz="0" w:space="0" w:color="auto"/>
            <w:bottom w:val="none" w:sz="0" w:space="0" w:color="auto"/>
            <w:right w:val="none" w:sz="0" w:space="0" w:color="auto"/>
          </w:divBdr>
        </w:div>
      </w:divsChild>
    </w:div>
    <w:div w:id="1497964975">
      <w:bodyDiv w:val="1"/>
      <w:marLeft w:val="0"/>
      <w:marRight w:val="0"/>
      <w:marTop w:val="0"/>
      <w:marBottom w:val="0"/>
      <w:divBdr>
        <w:top w:val="none" w:sz="0" w:space="0" w:color="auto"/>
        <w:left w:val="none" w:sz="0" w:space="0" w:color="auto"/>
        <w:bottom w:val="none" w:sz="0" w:space="0" w:color="auto"/>
        <w:right w:val="none" w:sz="0" w:space="0" w:color="auto"/>
      </w:divBdr>
      <w:divsChild>
        <w:div w:id="567619737">
          <w:marLeft w:val="0"/>
          <w:marRight w:val="0"/>
          <w:marTop w:val="0"/>
          <w:marBottom w:val="0"/>
          <w:divBdr>
            <w:top w:val="none" w:sz="0" w:space="0" w:color="auto"/>
            <w:left w:val="none" w:sz="0" w:space="0" w:color="auto"/>
            <w:bottom w:val="none" w:sz="0" w:space="0" w:color="auto"/>
            <w:right w:val="none" w:sz="0" w:space="0" w:color="auto"/>
          </w:divBdr>
        </w:div>
        <w:div w:id="2089181757">
          <w:marLeft w:val="0"/>
          <w:marRight w:val="0"/>
          <w:marTop w:val="0"/>
          <w:marBottom w:val="0"/>
          <w:divBdr>
            <w:top w:val="none" w:sz="0" w:space="0" w:color="auto"/>
            <w:left w:val="none" w:sz="0" w:space="0" w:color="auto"/>
            <w:bottom w:val="none" w:sz="0" w:space="0" w:color="auto"/>
            <w:right w:val="none" w:sz="0" w:space="0" w:color="auto"/>
          </w:divBdr>
        </w:div>
        <w:div w:id="1923952509">
          <w:marLeft w:val="0"/>
          <w:marRight w:val="0"/>
          <w:marTop w:val="0"/>
          <w:marBottom w:val="0"/>
          <w:divBdr>
            <w:top w:val="none" w:sz="0" w:space="0" w:color="auto"/>
            <w:left w:val="none" w:sz="0" w:space="0" w:color="auto"/>
            <w:bottom w:val="none" w:sz="0" w:space="0" w:color="auto"/>
            <w:right w:val="none" w:sz="0" w:space="0" w:color="auto"/>
          </w:divBdr>
        </w:div>
      </w:divsChild>
    </w:div>
    <w:div w:id="1549997386">
      <w:bodyDiv w:val="1"/>
      <w:marLeft w:val="0"/>
      <w:marRight w:val="0"/>
      <w:marTop w:val="0"/>
      <w:marBottom w:val="0"/>
      <w:divBdr>
        <w:top w:val="none" w:sz="0" w:space="0" w:color="auto"/>
        <w:left w:val="none" w:sz="0" w:space="0" w:color="auto"/>
        <w:bottom w:val="none" w:sz="0" w:space="0" w:color="auto"/>
        <w:right w:val="none" w:sz="0" w:space="0" w:color="auto"/>
      </w:divBdr>
      <w:divsChild>
        <w:div w:id="1296179702">
          <w:marLeft w:val="0"/>
          <w:marRight w:val="0"/>
          <w:marTop w:val="0"/>
          <w:marBottom w:val="0"/>
          <w:divBdr>
            <w:top w:val="none" w:sz="0" w:space="0" w:color="auto"/>
            <w:left w:val="none" w:sz="0" w:space="0" w:color="auto"/>
            <w:bottom w:val="none" w:sz="0" w:space="0" w:color="auto"/>
            <w:right w:val="none" w:sz="0" w:space="0" w:color="auto"/>
          </w:divBdr>
        </w:div>
        <w:div w:id="2040665291">
          <w:marLeft w:val="0"/>
          <w:marRight w:val="0"/>
          <w:marTop w:val="0"/>
          <w:marBottom w:val="0"/>
          <w:divBdr>
            <w:top w:val="none" w:sz="0" w:space="0" w:color="auto"/>
            <w:left w:val="none" w:sz="0" w:space="0" w:color="auto"/>
            <w:bottom w:val="none" w:sz="0" w:space="0" w:color="auto"/>
            <w:right w:val="none" w:sz="0" w:space="0" w:color="auto"/>
          </w:divBdr>
        </w:div>
        <w:div w:id="1161190992">
          <w:marLeft w:val="0"/>
          <w:marRight w:val="0"/>
          <w:marTop w:val="0"/>
          <w:marBottom w:val="0"/>
          <w:divBdr>
            <w:top w:val="none" w:sz="0" w:space="0" w:color="auto"/>
            <w:left w:val="none" w:sz="0" w:space="0" w:color="auto"/>
            <w:bottom w:val="none" w:sz="0" w:space="0" w:color="auto"/>
            <w:right w:val="none" w:sz="0" w:space="0" w:color="auto"/>
          </w:divBdr>
        </w:div>
        <w:div w:id="1420058893">
          <w:marLeft w:val="0"/>
          <w:marRight w:val="0"/>
          <w:marTop w:val="0"/>
          <w:marBottom w:val="0"/>
          <w:divBdr>
            <w:top w:val="none" w:sz="0" w:space="0" w:color="auto"/>
            <w:left w:val="none" w:sz="0" w:space="0" w:color="auto"/>
            <w:bottom w:val="none" w:sz="0" w:space="0" w:color="auto"/>
            <w:right w:val="none" w:sz="0" w:space="0" w:color="auto"/>
          </w:divBdr>
        </w:div>
      </w:divsChild>
    </w:div>
    <w:div w:id="1581909969">
      <w:bodyDiv w:val="1"/>
      <w:marLeft w:val="0"/>
      <w:marRight w:val="0"/>
      <w:marTop w:val="0"/>
      <w:marBottom w:val="0"/>
      <w:divBdr>
        <w:top w:val="none" w:sz="0" w:space="0" w:color="auto"/>
        <w:left w:val="none" w:sz="0" w:space="0" w:color="auto"/>
        <w:bottom w:val="none" w:sz="0" w:space="0" w:color="auto"/>
        <w:right w:val="none" w:sz="0" w:space="0" w:color="auto"/>
      </w:divBdr>
      <w:divsChild>
        <w:div w:id="2031251885">
          <w:marLeft w:val="0"/>
          <w:marRight w:val="0"/>
          <w:marTop w:val="0"/>
          <w:marBottom w:val="0"/>
          <w:divBdr>
            <w:top w:val="none" w:sz="0" w:space="0" w:color="auto"/>
            <w:left w:val="none" w:sz="0" w:space="0" w:color="auto"/>
            <w:bottom w:val="none" w:sz="0" w:space="0" w:color="auto"/>
            <w:right w:val="none" w:sz="0" w:space="0" w:color="auto"/>
          </w:divBdr>
          <w:divsChild>
            <w:div w:id="527064497">
              <w:marLeft w:val="0"/>
              <w:marRight w:val="0"/>
              <w:marTop w:val="0"/>
              <w:marBottom w:val="0"/>
              <w:divBdr>
                <w:top w:val="none" w:sz="0" w:space="0" w:color="auto"/>
                <w:left w:val="none" w:sz="0" w:space="0" w:color="auto"/>
                <w:bottom w:val="none" w:sz="0" w:space="0" w:color="auto"/>
                <w:right w:val="none" w:sz="0" w:space="0" w:color="auto"/>
              </w:divBdr>
            </w:div>
          </w:divsChild>
        </w:div>
        <w:div w:id="555968175">
          <w:marLeft w:val="0"/>
          <w:marRight w:val="0"/>
          <w:marTop w:val="0"/>
          <w:marBottom w:val="0"/>
          <w:divBdr>
            <w:top w:val="none" w:sz="0" w:space="0" w:color="auto"/>
            <w:left w:val="none" w:sz="0" w:space="0" w:color="auto"/>
            <w:bottom w:val="none" w:sz="0" w:space="0" w:color="auto"/>
            <w:right w:val="none" w:sz="0" w:space="0" w:color="auto"/>
          </w:divBdr>
        </w:div>
        <w:div w:id="42868730">
          <w:marLeft w:val="0"/>
          <w:marRight w:val="0"/>
          <w:marTop w:val="0"/>
          <w:marBottom w:val="0"/>
          <w:divBdr>
            <w:top w:val="none" w:sz="0" w:space="0" w:color="auto"/>
            <w:left w:val="none" w:sz="0" w:space="0" w:color="auto"/>
            <w:bottom w:val="none" w:sz="0" w:space="0" w:color="auto"/>
            <w:right w:val="none" w:sz="0" w:space="0" w:color="auto"/>
          </w:divBdr>
          <w:divsChild>
            <w:div w:id="1882203545">
              <w:marLeft w:val="0"/>
              <w:marRight w:val="0"/>
              <w:marTop w:val="0"/>
              <w:marBottom w:val="0"/>
              <w:divBdr>
                <w:top w:val="none" w:sz="0" w:space="0" w:color="auto"/>
                <w:left w:val="none" w:sz="0" w:space="0" w:color="auto"/>
                <w:bottom w:val="none" w:sz="0" w:space="0" w:color="auto"/>
                <w:right w:val="none" w:sz="0" w:space="0" w:color="auto"/>
              </w:divBdr>
            </w:div>
          </w:divsChild>
        </w:div>
        <w:div w:id="1449159099">
          <w:marLeft w:val="0"/>
          <w:marRight w:val="0"/>
          <w:marTop w:val="0"/>
          <w:marBottom w:val="0"/>
          <w:divBdr>
            <w:top w:val="none" w:sz="0" w:space="0" w:color="auto"/>
            <w:left w:val="none" w:sz="0" w:space="0" w:color="auto"/>
            <w:bottom w:val="none" w:sz="0" w:space="0" w:color="auto"/>
            <w:right w:val="none" w:sz="0" w:space="0" w:color="auto"/>
          </w:divBdr>
        </w:div>
      </w:divsChild>
    </w:div>
    <w:div w:id="1636375029">
      <w:bodyDiv w:val="1"/>
      <w:marLeft w:val="0"/>
      <w:marRight w:val="0"/>
      <w:marTop w:val="0"/>
      <w:marBottom w:val="0"/>
      <w:divBdr>
        <w:top w:val="none" w:sz="0" w:space="0" w:color="auto"/>
        <w:left w:val="none" w:sz="0" w:space="0" w:color="auto"/>
        <w:bottom w:val="none" w:sz="0" w:space="0" w:color="auto"/>
        <w:right w:val="none" w:sz="0" w:space="0" w:color="auto"/>
      </w:divBdr>
      <w:divsChild>
        <w:div w:id="844201695">
          <w:marLeft w:val="0"/>
          <w:marRight w:val="0"/>
          <w:marTop w:val="0"/>
          <w:marBottom w:val="0"/>
          <w:divBdr>
            <w:top w:val="none" w:sz="0" w:space="0" w:color="auto"/>
            <w:left w:val="none" w:sz="0" w:space="0" w:color="auto"/>
            <w:bottom w:val="none" w:sz="0" w:space="0" w:color="auto"/>
            <w:right w:val="none" w:sz="0" w:space="0" w:color="auto"/>
          </w:divBdr>
          <w:divsChild>
            <w:div w:id="799223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595283">
      <w:bodyDiv w:val="1"/>
      <w:marLeft w:val="0"/>
      <w:marRight w:val="0"/>
      <w:marTop w:val="0"/>
      <w:marBottom w:val="0"/>
      <w:divBdr>
        <w:top w:val="none" w:sz="0" w:space="0" w:color="auto"/>
        <w:left w:val="none" w:sz="0" w:space="0" w:color="auto"/>
        <w:bottom w:val="none" w:sz="0" w:space="0" w:color="auto"/>
        <w:right w:val="none" w:sz="0" w:space="0" w:color="auto"/>
      </w:divBdr>
      <w:divsChild>
        <w:div w:id="421343155">
          <w:marLeft w:val="0"/>
          <w:marRight w:val="0"/>
          <w:marTop w:val="0"/>
          <w:marBottom w:val="0"/>
          <w:divBdr>
            <w:top w:val="none" w:sz="0" w:space="0" w:color="auto"/>
            <w:left w:val="none" w:sz="0" w:space="0" w:color="auto"/>
            <w:bottom w:val="none" w:sz="0" w:space="0" w:color="auto"/>
            <w:right w:val="none" w:sz="0" w:space="0" w:color="auto"/>
          </w:divBdr>
        </w:div>
        <w:div w:id="611127897">
          <w:marLeft w:val="0"/>
          <w:marRight w:val="0"/>
          <w:marTop w:val="0"/>
          <w:marBottom w:val="0"/>
          <w:divBdr>
            <w:top w:val="none" w:sz="0" w:space="0" w:color="auto"/>
            <w:left w:val="none" w:sz="0" w:space="0" w:color="auto"/>
            <w:bottom w:val="none" w:sz="0" w:space="0" w:color="auto"/>
            <w:right w:val="none" w:sz="0" w:space="0" w:color="auto"/>
          </w:divBdr>
          <w:divsChild>
            <w:div w:id="1774476896">
              <w:marLeft w:val="0"/>
              <w:marRight w:val="0"/>
              <w:marTop w:val="0"/>
              <w:marBottom w:val="0"/>
              <w:divBdr>
                <w:top w:val="none" w:sz="0" w:space="0" w:color="auto"/>
                <w:left w:val="none" w:sz="0" w:space="0" w:color="auto"/>
                <w:bottom w:val="none" w:sz="0" w:space="0" w:color="auto"/>
                <w:right w:val="none" w:sz="0" w:space="0" w:color="auto"/>
              </w:divBdr>
            </w:div>
          </w:divsChild>
        </w:div>
        <w:div w:id="1631788971">
          <w:marLeft w:val="0"/>
          <w:marRight w:val="0"/>
          <w:marTop w:val="0"/>
          <w:marBottom w:val="0"/>
          <w:divBdr>
            <w:top w:val="none" w:sz="0" w:space="0" w:color="auto"/>
            <w:left w:val="none" w:sz="0" w:space="0" w:color="auto"/>
            <w:bottom w:val="none" w:sz="0" w:space="0" w:color="auto"/>
            <w:right w:val="none" w:sz="0" w:space="0" w:color="auto"/>
          </w:divBdr>
        </w:div>
        <w:div w:id="374014307">
          <w:marLeft w:val="0"/>
          <w:marRight w:val="0"/>
          <w:marTop w:val="0"/>
          <w:marBottom w:val="0"/>
          <w:divBdr>
            <w:top w:val="none" w:sz="0" w:space="0" w:color="auto"/>
            <w:left w:val="none" w:sz="0" w:space="0" w:color="auto"/>
            <w:bottom w:val="none" w:sz="0" w:space="0" w:color="auto"/>
            <w:right w:val="none" w:sz="0" w:space="0" w:color="auto"/>
          </w:divBdr>
        </w:div>
        <w:div w:id="1626766843">
          <w:marLeft w:val="0"/>
          <w:marRight w:val="0"/>
          <w:marTop w:val="0"/>
          <w:marBottom w:val="0"/>
          <w:divBdr>
            <w:top w:val="none" w:sz="0" w:space="0" w:color="auto"/>
            <w:left w:val="none" w:sz="0" w:space="0" w:color="auto"/>
            <w:bottom w:val="none" w:sz="0" w:space="0" w:color="auto"/>
            <w:right w:val="none" w:sz="0" w:space="0" w:color="auto"/>
          </w:divBdr>
          <w:divsChild>
            <w:div w:id="1239363653">
              <w:marLeft w:val="0"/>
              <w:marRight w:val="0"/>
              <w:marTop w:val="0"/>
              <w:marBottom w:val="0"/>
              <w:divBdr>
                <w:top w:val="none" w:sz="0" w:space="0" w:color="auto"/>
                <w:left w:val="none" w:sz="0" w:space="0" w:color="auto"/>
                <w:bottom w:val="none" w:sz="0" w:space="0" w:color="auto"/>
                <w:right w:val="none" w:sz="0" w:space="0" w:color="auto"/>
              </w:divBdr>
            </w:div>
          </w:divsChild>
        </w:div>
        <w:div w:id="681469910">
          <w:marLeft w:val="0"/>
          <w:marRight w:val="0"/>
          <w:marTop w:val="0"/>
          <w:marBottom w:val="0"/>
          <w:divBdr>
            <w:top w:val="none" w:sz="0" w:space="0" w:color="auto"/>
            <w:left w:val="none" w:sz="0" w:space="0" w:color="auto"/>
            <w:bottom w:val="none" w:sz="0" w:space="0" w:color="auto"/>
            <w:right w:val="none" w:sz="0" w:space="0" w:color="auto"/>
          </w:divBdr>
        </w:div>
        <w:div w:id="1942453512">
          <w:marLeft w:val="0"/>
          <w:marRight w:val="0"/>
          <w:marTop w:val="0"/>
          <w:marBottom w:val="0"/>
          <w:divBdr>
            <w:top w:val="none" w:sz="0" w:space="0" w:color="auto"/>
            <w:left w:val="none" w:sz="0" w:space="0" w:color="auto"/>
            <w:bottom w:val="none" w:sz="0" w:space="0" w:color="auto"/>
            <w:right w:val="none" w:sz="0" w:space="0" w:color="auto"/>
          </w:divBdr>
          <w:divsChild>
            <w:div w:id="756049953">
              <w:marLeft w:val="0"/>
              <w:marRight w:val="0"/>
              <w:marTop w:val="0"/>
              <w:marBottom w:val="0"/>
              <w:divBdr>
                <w:top w:val="none" w:sz="0" w:space="0" w:color="auto"/>
                <w:left w:val="none" w:sz="0" w:space="0" w:color="auto"/>
                <w:bottom w:val="none" w:sz="0" w:space="0" w:color="auto"/>
                <w:right w:val="none" w:sz="0" w:space="0" w:color="auto"/>
              </w:divBdr>
            </w:div>
          </w:divsChild>
        </w:div>
        <w:div w:id="993067655">
          <w:marLeft w:val="0"/>
          <w:marRight w:val="0"/>
          <w:marTop w:val="0"/>
          <w:marBottom w:val="0"/>
          <w:divBdr>
            <w:top w:val="none" w:sz="0" w:space="0" w:color="auto"/>
            <w:left w:val="none" w:sz="0" w:space="0" w:color="auto"/>
            <w:bottom w:val="none" w:sz="0" w:space="0" w:color="auto"/>
            <w:right w:val="none" w:sz="0" w:space="0" w:color="auto"/>
          </w:divBdr>
        </w:div>
        <w:div w:id="1636519205">
          <w:marLeft w:val="0"/>
          <w:marRight w:val="0"/>
          <w:marTop w:val="0"/>
          <w:marBottom w:val="0"/>
          <w:divBdr>
            <w:top w:val="none" w:sz="0" w:space="0" w:color="auto"/>
            <w:left w:val="none" w:sz="0" w:space="0" w:color="auto"/>
            <w:bottom w:val="none" w:sz="0" w:space="0" w:color="auto"/>
            <w:right w:val="none" w:sz="0" w:space="0" w:color="auto"/>
          </w:divBdr>
          <w:divsChild>
            <w:div w:id="2040427531">
              <w:marLeft w:val="0"/>
              <w:marRight w:val="0"/>
              <w:marTop w:val="0"/>
              <w:marBottom w:val="0"/>
              <w:divBdr>
                <w:top w:val="none" w:sz="0" w:space="0" w:color="auto"/>
                <w:left w:val="none" w:sz="0" w:space="0" w:color="auto"/>
                <w:bottom w:val="none" w:sz="0" w:space="0" w:color="auto"/>
                <w:right w:val="none" w:sz="0" w:space="0" w:color="auto"/>
              </w:divBdr>
            </w:div>
          </w:divsChild>
        </w:div>
        <w:div w:id="601887434">
          <w:marLeft w:val="0"/>
          <w:marRight w:val="0"/>
          <w:marTop w:val="0"/>
          <w:marBottom w:val="0"/>
          <w:divBdr>
            <w:top w:val="none" w:sz="0" w:space="0" w:color="auto"/>
            <w:left w:val="none" w:sz="0" w:space="0" w:color="auto"/>
            <w:bottom w:val="none" w:sz="0" w:space="0" w:color="auto"/>
            <w:right w:val="none" w:sz="0" w:space="0" w:color="auto"/>
          </w:divBdr>
        </w:div>
      </w:divsChild>
    </w:div>
    <w:div w:id="1653177785">
      <w:bodyDiv w:val="1"/>
      <w:marLeft w:val="0"/>
      <w:marRight w:val="0"/>
      <w:marTop w:val="0"/>
      <w:marBottom w:val="0"/>
      <w:divBdr>
        <w:top w:val="none" w:sz="0" w:space="0" w:color="auto"/>
        <w:left w:val="none" w:sz="0" w:space="0" w:color="auto"/>
        <w:bottom w:val="none" w:sz="0" w:space="0" w:color="auto"/>
        <w:right w:val="none" w:sz="0" w:space="0" w:color="auto"/>
      </w:divBdr>
      <w:divsChild>
        <w:div w:id="1185090942">
          <w:marLeft w:val="0"/>
          <w:marRight w:val="0"/>
          <w:marTop w:val="0"/>
          <w:marBottom w:val="0"/>
          <w:divBdr>
            <w:top w:val="none" w:sz="0" w:space="0" w:color="auto"/>
            <w:left w:val="none" w:sz="0" w:space="0" w:color="auto"/>
            <w:bottom w:val="none" w:sz="0" w:space="0" w:color="auto"/>
            <w:right w:val="none" w:sz="0" w:space="0" w:color="auto"/>
          </w:divBdr>
          <w:divsChild>
            <w:div w:id="1221476201">
              <w:marLeft w:val="0"/>
              <w:marRight w:val="0"/>
              <w:marTop w:val="0"/>
              <w:marBottom w:val="0"/>
              <w:divBdr>
                <w:top w:val="none" w:sz="0" w:space="0" w:color="auto"/>
                <w:left w:val="none" w:sz="0" w:space="0" w:color="auto"/>
                <w:bottom w:val="none" w:sz="0" w:space="0" w:color="auto"/>
                <w:right w:val="none" w:sz="0" w:space="0" w:color="auto"/>
              </w:divBdr>
            </w:div>
          </w:divsChild>
        </w:div>
        <w:div w:id="917639936">
          <w:marLeft w:val="0"/>
          <w:marRight w:val="0"/>
          <w:marTop w:val="0"/>
          <w:marBottom w:val="0"/>
          <w:divBdr>
            <w:top w:val="none" w:sz="0" w:space="0" w:color="auto"/>
            <w:left w:val="none" w:sz="0" w:space="0" w:color="auto"/>
            <w:bottom w:val="none" w:sz="0" w:space="0" w:color="auto"/>
            <w:right w:val="none" w:sz="0" w:space="0" w:color="auto"/>
          </w:divBdr>
        </w:div>
      </w:divsChild>
    </w:div>
    <w:div w:id="1683816957">
      <w:bodyDiv w:val="1"/>
      <w:marLeft w:val="0"/>
      <w:marRight w:val="0"/>
      <w:marTop w:val="0"/>
      <w:marBottom w:val="0"/>
      <w:divBdr>
        <w:top w:val="none" w:sz="0" w:space="0" w:color="auto"/>
        <w:left w:val="none" w:sz="0" w:space="0" w:color="auto"/>
        <w:bottom w:val="none" w:sz="0" w:space="0" w:color="auto"/>
        <w:right w:val="none" w:sz="0" w:space="0" w:color="auto"/>
      </w:divBdr>
      <w:divsChild>
        <w:div w:id="131755294">
          <w:marLeft w:val="0"/>
          <w:marRight w:val="0"/>
          <w:marTop w:val="0"/>
          <w:marBottom w:val="0"/>
          <w:divBdr>
            <w:top w:val="none" w:sz="0" w:space="0" w:color="auto"/>
            <w:left w:val="none" w:sz="0" w:space="0" w:color="auto"/>
            <w:bottom w:val="none" w:sz="0" w:space="0" w:color="auto"/>
            <w:right w:val="none" w:sz="0" w:space="0" w:color="auto"/>
          </w:divBdr>
          <w:divsChild>
            <w:div w:id="406389133">
              <w:marLeft w:val="0"/>
              <w:marRight w:val="0"/>
              <w:marTop w:val="0"/>
              <w:marBottom w:val="0"/>
              <w:divBdr>
                <w:top w:val="none" w:sz="0" w:space="0" w:color="auto"/>
                <w:left w:val="none" w:sz="0" w:space="0" w:color="auto"/>
                <w:bottom w:val="none" w:sz="0" w:space="0" w:color="auto"/>
                <w:right w:val="none" w:sz="0" w:space="0" w:color="auto"/>
              </w:divBdr>
            </w:div>
          </w:divsChild>
        </w:div>
        <w:div w:id="885680581">
          <w:marLeft w:val="0"/>
          <w:marRight w:val="0"/>
          <w:marTop w:val="0"/>
          <w:marBottom w:val="0"/>
          <w:divBdr>
            <w:top w:val="none" w:sz="0" w:space="0" w:color="auto"/>
            <w:left w:val="none" w:sz="0" w:space="0" w:color="auto"/>
            <w:bottom w:val="none" w:sz="0" w:space="0" w:color="auto"/>
            <w:right w:val="none" w:sz="0" w:space="0" w:color="auto"/>
          </w:divBdr>
        </w:div>
      </w:divsChild>
    </w:div>
    <w:div w:id="1779520267">
      <w:bodyDiv w:val="1"/>
      <w:marLeft w:val="0"/>
      <w:marRight w:val="0"/>
      <w:marTop w:val="0"/>
      <w:marBottom w:val="0"/>
      <w:divBdr>
        <w:top w:val="none" w:sz="0" w:space="0" w:color="auto"/>
        <w:left w:val="none" w:sz="0" w:space="0" w:color="auto"/>
        <w:bottom w:val="none" w:sz="0" w:space="0" w:color="auto"/>
        <w:right w:val="none" w:sz="0" w:space="0" w:color="auto"/>
      </w:divBdr>
      <w:divsChild>
        <w:div w:id="1701391219">
          <w:marLeft w:val="0"/>
          <w:marRight w:val="0"/>
          <w:marTop w:val="0"/>
          <w:marBottom w:val="0"/>
          <w:divBdr>
            <w:top w:val="none" w:sz="0" w:space="0" w:color="auto"/>
            <w:left w:val="none" w:sz="0" w:space="0" w:color="auto"/>
            <w:bottom w:val="none" w:sz="0" w:space="0" w:color="auto"/>
            <w:right w:val="none" w:sz="0" w:space="0" w:color="auto"/>
          </w:divBdr>
        </w:div>
        <w:div w:id="451944479">
          <w:marLeft w:val="0"/>
          <w:marRight w:val="0"/>
          <w:marTop w:val="0"/>
          <w:marBottom w:val="0"/>
          <w:divBdr>
            <w:top w:val="none" w:sz="0" w:space="0" w:color="auto"/>
            <w:left w:val="none" w:sz="0" w:space="0" w:color="auto"/>
            <w:bottom w:val="none" w:sz="0" w:space="0" w:color="auto"/>
            <w:right w:val="none" w:sz="0" w:space="0" w:color="auto"/>
          </w:divBdr>
          <w:divsChild>
            <w:div w:id="1638879578">
              <w:marLeft w:val="0"/>
              <w:marRight w:val="0"/>
              <w:marTop w:val="0"/>
              <w:marBottom w:val="0"/>
              <w:divBdr>
                <w:top w:val="none" w:sz="0" w:space="0" w:color="auto"/>
                <w:left w:val="none" w:sz="0" w:space="0" w:color="auto"/>
                <w:bottom w:val="none" w:sz="0" w:space="0" w:color="auto"/>
                <w:right w:val="none" w:sz="0" w:space="0" w:color="auto"/>
              </w:divBdr>
            </w:div>
          </w:divsChild>
        </w:div>
        <w:div w:id="1361006469">
          <w:marLeft w:val="0"/>
          <w:marRight w:val="0"/>
          <w:marTop w:val="0"/>
          <w:marBottom w:val="0"/>
          <w:divBdr>
            <w:top w:val="none" w:sz="0" w:space="0" w:color="auto"/>
            <w:left w:val="none" w:sz="0" w:space="0" w:color="auto"/>
            <w:bottom w:val="none" w:sz="0" w:space="0" w:color="auto"/>
            <w:right w:val="none" w:sz="0" w:space="0" w:color="auto"/>
          </w:divBdr>
        </w:div>
        <w:div w:id="220754801">
          <w:marLeft w:val="0"/>
          <w:marRight w:val="0"/>
          <w:marTop w:val="0"/>
          <w:marBottom w:val="0"/>
          <w:divBdr>
            <w:top w:val="none" w:sz="0" w:space="0" w:color="auto"/>
            <w:left w:val="none" w:sz="0" w:space="0" w:color="auto"/>
            <w:bottom w:val="none" w:sz="0" w:space="0" w:color="auto"/>
            <w:right w:val="none" w:sz="0" w:space="0" w:color="auto"/>
          </w:divBdr>
          <w:divsChild>
            <w:div w:id="912813838">
              <w:marLeft w:val="0"/>
              <w:marRight w:val="0"/>
              <w:marTop w:val="0"/>
              <w:marBottom w:val="0"/>
              <w:divBdr>
                <w:top w:val="none" w:sz="0" w:space="0" w:color="auto"/>
                <w:left w:val="none" w:sz="0" w:space="0" w:color="auto"/>
                <w:bottom w:val="none" w:sz="0" w:space="0" w:color="auto"/>
                <w:right w:val="none" w:sz="0" w:space="0" w:color="auto"/>
              </w:divBdr>
            </w:div>
          </w:divsChild>
        </w:div>
        <w:div w:id="1521968133">
          <w:marLeft w:val="0"/>
          <w:marRight w:val="0"/>
          <w:marTop w:val="0"/>
          <w:marBottom w:val="0"/>
          <w:divBdr>
            <w:top w:val="none" w:sz="0" w:space="0" w:color="auto"/>
            <w:left w:val="none" w:sz="0" w:space="0" w:color="auto"/>
            <w:bottom w:val="none" w:sz="0" w:space="0" w:color="auto"/>
            <w:right w:val="none" w:sz="0" w:space="0" w:color="auto"/>
          </w:divBdr>
        </w:div>
        <w:div w:id="553397551">
          <w:marLeft w:val="0"/>
          <w:marRight w:val="0"/>
          <w:marTop w:val="0"/>
          <w:marBottom w:val="0"/>
          <w:divBdr>
            <w:top w:val="none" w:sz="0" w:space="0" w:color="auto"/>
            <w:left w:val="none" w:sz="0" w:space="0" w:color="auto"/>
            <w:bottom w:val="none" w:sz="0" w:space="0" w:color="auto"/>
            <w:right w:val="none" w:sz="0" w:space="0" w:color="auto"/>
          </w:divBdr>
        </w:div>
      </w:divsChild>
    </w:div>
    <w:div w:id="1809350594">
      <w:bodyDiv w:val="1"/>
      <w:marLeft w:val="0"/>
      <w:marRight w:val="0"/>
      <w:marTop w:val="0"/>
      <w:marBottom w:val="0"/>
      <w:divBdr>
        <w:top w:val="none" w:sz="0" w:space="0" w:color="auto"/>
        <w:left w:val="none" w:sz="0" w:space="0" w:color="auto"/>
        <w:bottom w:val="none" w:sz="0" w:space="0" w:color="auto"/>
        <w:right w:val="none" w:sz="0" w:space="0" w:color="auto"/>
      </w:divBdr>
      <w:divsChild>
        <w:div w:id="433597281">
          <w:marLeft w:val="0"/>
          <w:marRight w:val="0"/>
          <w:marTop w:val="0"/>
          <w:marBottom w:val="0"/>
          <w:divBdr>
            <w:top w:val="none" w:sz="0" w:space="0" w:color="auto"/>
            <w:left w:val="none" w:sz="0" w:space="0" w:color="auto"/>
            <w:bottom w:val="none" w:sz="0" w:space="0" w:color="auto"/>
            <w:right w:val="none" w:sz="0" w:space="0" w:color="auto"/>
          </w:divBdr>
          <w:divsChild>
            <w:div w:id="1215041768">
              <w:marLeft w:val="0"/>
              <w:marRight w:val="0"/>
              <w:marTop w:val="0"/>
              <w:marBottom w:val="0"/>
              <w:divBdr>
                <w:top w:val="none" w:sz="0" w:space="0" w:color="auto"/>
                <w:left w:val="none" w:sz="0" w:space="0" w:color="auto"/>
                <w:bottom w:val="none" w:sz="0" w:space="0" w:color="auto"/>
                <w:right w:val="none" w:sz="0" w:space="0" w:color="auto"/>
              </w:divBdr>
            </w:div>
          </w:divsChild>
        </w:div>
        <w:div w:id="1057899327">
          <w:marLeft w:val="0"/>
          <w:marRight w:val="0"/>
          <w:marTop w:val="0"/>
          <w:marBottom w:val="0"/>
          <w:divBdr>
            <w:top w:val="none" w:sz="0" w:space="0" w:color="auto"/>
            <w:left w:val="none" w:sz="0" w:space="0" w:color="auto"/>
            <w:bottom w:val="none" w:sz="0" w:space="0" w:color="auto"/>
            <w:right w:val="none" w:sz="0" w:space="0" w:color="auto"/>
          </w:divBdr>
        </w:div>
      </w:divsChild>
    </w:div>
    <w:div w:id="1844588342">
      <w:bodyDiv w:val="1"/>
      <w:marLeft w:val="0"/>
      <w:marRight w:val="0"/>
      <w:marTop w:val="0"/>
      <w:marBottom w:val="0"/>
      <w:divBdr>
        <w:top w:val="none" w:sz="0" w:space="0" w:color="auto"/>
        <w:left w:val="none" w:sz="0" w:space="0" w:color="auto"/>
        <w:bottom w:val="none" w:sz="0" w:space="0" w:color="auto"/>
        <w:right w:val="none" w:sz="0" w:space="0" w:color="auto"/>
      </w:divBdr>
      <w:divsChild>
        <w:div w:id="146166029">
          <w:marLeft w:val="0"/>
          <w:marRight w:val="0"/>
          <w:marTop w:val="0"/>
          <w:marBottom w:val="0"/>
          <w:divBdr>
            <w:top w:val="none" w:sz="0" w:space="0" w:color="auto"/>
            <w:left w:val="none" w:sz="0" w:space="0" w:color="auto"/>
            <w:bottom w:val="none" w:sz="0" w:space="0" w:color="auto"/>
            <w:right w:val="none" w:sz="0" w:space="0" w:color="auto"/>
          </w:divBdr>
          <w:divsChild>
            <w:div w:id="1313367157">
              <w:marLeft w:val="0"/>
              <w:marRight w:val="0"/>
              <w:marTop w:val="0"/>
              <w:marBottom w:val="0"/>
              <w:divBdr>
                <w:top w:val="none" w:sz="0" w:space="0" w:color="auto"/>
                <w:left w:val="none" w:sz="0" w:space="0" w:color="auto"/>
                <w:bottom w:val="none" w:sz="0" w:space="0" w:color="auto"/>
                <w:right w:val="none" w:sz="0" w:space="0" w:color="auto"/>
              </w:divBdr>
            </w:div>
          </w:divsChild>
        </w:div>
        <w:div w:id="1858158372">
          <w:marLeft w:val="0"/>
          <w:marRight w:val="0"/>
          <w:marTop w:val="0"/>
          <w:marBottom w:val="0"/>
          <w:divBdr>
            <w:top w:val="none" w:sz="0" w:space="0" w:color="auto"/>
            <w:left w:val="none" w:sz="0" w:space="0" w:color="auto"/>
            <w:bottom w:val="none" w:sz="0" w:space="0" w:color="auto"/>
            <w:right w:val="none" w:sz="0" w:space="0" w:color="auto"/>
          </w:divBdr>
        </w:div>
      </w:divsChild>
    </w:div>
    <w:div w:id="1931813402">
      <w:bodyDiv w:val="1"/>
      <w:marLeft w:val="0"/>
      <w:marRight w:val="0"/>
      <w:marTop w:val="0"/>
      <w:marBottom w:val="0"/>
      <w:divBdr>
        <w:top w:val="none" w:sz="0" w:space="0" w:color="auto"/>
        <w:left w:val="none" w:sz="0" w:space="0" w:color="auto"/>
        <w:bottom w:val="none" w:sz="0" w:space="0" w:color="auto"/>
        <w:right w:val="none" w:sz="0" w:space="0" w:color="auto"/>
      </w:divBdr>
      <w:divsChild>
        <w:div w:id="1033194918">
          <w:marLeft w:val="0"/>
          <w:marRight w:val="0"/>
          <w:marTop w:val="0"/>
          <w:marBottom w:val="0"/>
          <w:divBdr>
            <w:top w:val="none" w:sz="0" w:space="0" w:color="auto"/>
            <w:left w:val="none" w:sz="0" w:space="0" w:color="auto"/>
            <w:bottom w:val="none" w:sz="0" w:space="0" w:color="auto"/>
            <w:right w:val="none" w:sz="0" w:space="0" w:color="auto"/>
          </w:divBdr>
        </w:div>
        <w:div w:id="2039692302">
          <w:marLeft w:val="0"/>
          <w:marRight w:val="0"/>
          <w:marTop w:val="0"/>
          <w:marBottom w:val="0"/>
          <w:divBdr>
            <w:top w:val="none" w:sz="0" w:space="0" w:color="auto"/>
            <w:left w:val="none" w:sz="0" w:space="0" w:color="auto"/>
            <w:bottom w:val="none" w:sz="0" w:space="0" w:color="auto"/>
            <w:right w:val="none" w:sz="0" w:space="0" w:color="auto"/>
          </w:divBdr>
        </w:div>
      </w:divsChild>
    </w:div>
    <w:div w:id="1935556187">
      <w:bodyDiv w:val="1"/>
      <w:marLeft w:val="0"/>
      <w:marRight w:val="0"/>
      <w:marTop w:val="0"/>
      <w:marBottom w:val="0"/>
      <w:divBdr>
        <w:top w:val="none" w:sz="0" w:space="0" w:color="auto"/>
        <w:left w:val="none" w:sz="0" w:space="0" w:color="auto"/>
        <w:bottom w:val="none" w:sz="0" w:space="0" w:color="auto"/>
        <w:right w:val="none" w:sz="0" w:space="0" w:color="auto"/>
      </w:divBdr>
      <w:divsChild>
        <w:div w:id="1896508741">
          <w:marLeft w:val="0"/>
          <w:marRight w:val="0"/>
          <w:marTop w:val="0"/>
          <w:marBottom w:val="0"/>
          <w:divBdr>
            <w:top w:val="none" w:sz="0" w:space="0" w:color="auto"/>
            <w:left w:val="none" w:sz="0" w:space="0" w:color="auto"/>
            <w:bottom w:val="none" w:sz="0" w:space="0" w:color="auto"/>
            <w:right w:val="none" w:sz="0" w:space="0" w:color="auto"/>
          </w:divBdr>
          <w:divsChild>
            <w:div w:id="271665670">
              <w:marLeft w:val="0"/>
              <w:marRight w:val="0"/>
              <w:marTop w:val="0"/>
              <w:marBottom w:val="0"/>
              <w:divBdr>
                <w:top w:val="none" w:sz="0" w:space="0" w:color="auto"/>
                <w:left w:val="none" w:sz="0" w:space="0" w:color="auto"/>
                <w:bottom w:val="none" w:sz="0" w:space="0" w:color="auto"/>
                <w:right w:val="none" w:sz="0" w:space="0" w:color="auto"/>
              </w:divBdr>
            </w:div>
          </w:divsChild>
        </w:div>
        <w:div w:id="484930958">
          <w:marLeft w:val="0"/>
          <w:marRight w:val="0"/>
          <w:marTop w:val="0"/>
          <w:marBottom w:val="0"/>
          <w:divBdr>
            <w:top w:val="none" w:sz="0" w:space="0" w:color="auto"/>
            <w:left w:val="none" w:sz="0" w:space="0" w:color="auto"/>
            <w:bottom w:val="none" w:sz="0" w:space="0" w:color="auto"/>
            <w:right w:val="none" w:sz="0" w:space="0" w:color="auto"/>
          </w:divBdr>
        </w:div>
      </w:divsChild>
    </w:div>
    <w:div w:id="1974872598">
      <w:bodyDiv w:val="1"/>
      <w:marLeft w:val="0"/>
      <w:marRight w:val="0"/>
      <w:marTop w:val="0"/>
      <w:marBottom w:val="0"/>
      <w:divBdr>
        <w:top w:val="none" w:sz="0" w:space="0" w:color="auto"/>
        <w:left w:val="none" w:sz="0" w:space="0" w:color="auto"/>
        <w:bottom w:val="none" w:sz="0" w:space="0" w:color="auto"/>
        <w:right w:val="none" w:sz="0" w:space="0" w:color="auto"/>
      </w:divBdr>
      <w:divsChild>
        <w:div w:id="1274703664">
          <w:marLeft w:val="0"/>
          <w:marRight w:val="0"/>
          <w:marTop w:val="0"/>
          <w:marBottom w:val="0"/>
          <w:divBdr>
            <w:top w:val="none" w:sz="0" w:space="0" w:color="auto"/>
            <w:left w:val="none" w:sz="0" w:space="0" w:color="auto"/>
            <w:bottom w:val="none" w:sz="0" w:space="0" w:color="auto"/>
            <w:right w:val="none" w:sz="0" w:space="0" w:color="auto"/>
          </w:divBdr>
        </w:div>
        <w:div w:id="663554758">
          <w:marLeft w:val="0"/>
          <w:marRight w:val="0"/>
          <w:marTop w:val="0"/>
          <w:marBottom w:val="0"/>
          <w:divBdr>
            <w:top w:val="none" w:sz="0" w:space="0" w:color="auto"/>
            <w:left w:val="none" w:sz="0" w:space="0" w:color="auto"/>
            <w:bottom w:val="none" w:sz="0" w:space="0" w:color="auto"/>
            <w:right w:val="none" w:sz="0" w:space="0" w:color="auto"/>
          </w:divBdr>
        </w:div>
        <w:div w:id="1640064123">
          <w:marLeft w:val="0"/>
          <w:marRight w:val="0"/>
          <w:marTop w:val="0"/>
          <w:marBottom w:val="0"/>
          <w:divBdr>
            <w:top w:val="none" w:sz="0" w:space="0" w:color="auto"/>
            <w:left w:val="none" w:sz="0" w:space="0" w:color="auto"/>
            <w:bottom w:val="none" w:sz="0" w:space="0" w:color="auto"/>
            <w:right w:val="none" w:sz="0" w:space="0" w:color="auto"/>
          </w:divBdr>
        </w:div>
      </w:divsChild>
    </w:div>
    <w:div w:id="2059432070">
      <w:bodyDiv w:val="1"/>
      <w:marLeft w:val="0"/>
      <w:marRight w:val="0"/>
      <w:marTop w:val="0"/>
      <w:marBottom w:val="0"/>
      <w:divBdr>
        <w:top w:val="none" w:sz="0" w:space="0" w:color="auto"/>
        <w:left w:val="none" w:sz="0" w:space="0" w:color="auto"/>
        <w:bottom w:val="none" w:sz="0" w:space="0" w:color="auto"/>
        <w:right w:val="none" w:sz="0" w:space="0" w:color="auto"/>
      </w:divBdr>
      <w:divsChild>
        <w:div w:id="1549148960">
          <w:marLeft w:val="0"/>
          <w:marRight w:val="0"/>
          <w:marTop w:val="0"/>
          <w:marBottom w:val="0"/>
          <w:divBdr>
            <w:top w:val="none" w:sz="0" w:space="0" w:color="auto"/>
            <w:left w:val="none" w:sz="0" w:space="0" w:color="auto"/>
            <w:bottom w:val="none" w:sz="0" w:space="0" w:color="auto"/>
            <w:right w:val="none" w:sz="0" w:space="0" w:color="auto"/>
          </w:divBdr>
        </w:div>
        <w:div w:id="272369906">
          <w:marLeft w:val="0"/>
          <w:marRight w:val="0"/>
          <w:marTop w:val="0"/>
          <w:marBottom w:val="0"/>
          <w:divBdr>
            <w:top w:val="none" w:sz="0" w:space="0" w:color="auto"/>
            <w:left w:val="none" w:sz="0" w:space="0" w:color="auto"/>
            <w:bottom w:val="none" w:sz="0" w:space="0" w:color="auto"/>
            <w:right w:val="none" w:sz="0" w:space="0" w:color="auto"/>
          </w:divBdr>
        </w:div>
        <w:div w:id="913006048">
          <w:marLeft w:val="0"/>
          <w:marRight w:val="0"/>
          <w:marTop w:val="0"/>
          <w:marBottom w:val="0"/>
          <w:divBdr>
            <w:top w:val="none" w:sz="0" w:space="0" w:color="auto"/>
            <w:left w:val="none" w:sz="0" w:space="0" w:color="auto"/>
            <w:bottom w:val="none" w:sz="0" w:space="0" w:color="auto"/>
            <w:right w:val="none" w:sz="0" w:space="0" w:color="auto"/>
          </w:divBdr>
        </w:div>
        <w:div w:id="254635332">
          <w:marLeft w:val="0"/>
          <w:marRight w:val="0"/>
          <w:marTop w:val="0"/>
          <w:marBottom w:val="0"/>
          <w:divBdr>
            <w:top w:val="none" w:sz="0" w:space="0" w:color="auto"/>
            <w:left w:val="none" w:sz="0" w:space="0" w:color="auto"/>
            <w:bottom w:val="none" w:sz="0" w:space="0" w:color="auto"/>
            <w:right w:val="none" w:sz="0" w:space="0" w:color="auto"/>
          </w:divBdr>
        </w:div>
        <w:div w:id="1769499554">
          <w:marLeft w:val="0"/>
          <w:marRight w:val="0"/>
          <w:marTop w:val="0"/>
          <w:marBottom w:val="0"/>
          <w:divBdr>
            <w:top w:val="none" w:sz="0" w:space="0" w:color="auto"/>
            <w:left w:val="none" w:sz="0" w:space="0" w:color="auto"/>
            <w:bottom w:val="none" w:sz="0" w:space="0" w:color="auto"/>
            <w:right w:val="none" w:sz="0" w:space="0" w:color="auto"/>
          </w:divBdr>
        </w:div>
        <w:div w:id="1524980549">
          <w:marLeft w:val="0"/>
          <w:marRight w:val="0"/>
          <w:marTop w:val="0"/>
          <w:marBottom w:val="0"/>
          <w:divBdr>
            <w:top w:val="none" w:sz="0" w:space="0" w:color="auto"/>
            <w:left w:val="none" w:sz="0" w:space="0" w:color="auto"/>
            <w:bottom w:val="none" w:sz="0" w:space="0" w:color="auto"/>
            <w:right w:val="none" w:sz="0" w:space="0" w:color="auto"/>
          </w:divBdr>
        </w:div>
        <w:div w:id="1985547679">
          <w:marLeft w:val="0"/>
          <w:marRight w:val="0"/>
          <w:marTop w:val="0"/>
          <w:marBottom w:val="0"/>
          <w:divBdr>
            <w:top w:val="none" w:sz="0" w:space="0" w:color="auto"/>
            <w:left w:val="none" w:sz="0" w:space="0" w:color="auto"/>
            <w:bottom w:val="none" w:sz="0" w:space="0" w:color="auto"/>
            <w:right w:val="none" w:sz="0" w:space="0" w:color="auto"/>
          </w:divBdr>
        </w:div>
        <w:div w:id="511451051">
          <w:marLeft w:val="0"/>
          <w:marRight w:val="0"/>
          <w:marTop w:val="0"/>
          <w:marBottom w:val="0"/>
          <w:divBdr>
            <w:top w:val="none" w:sz="0" w:space="0" w:color="auto"/>
            <w:left w:val="none" w:sz="0" w:space="0" w:color="auto"/>
            <w:bottom w:val="none" w:sz="0" w:space="0" w:color="auto"/>
            <w:right w:val="none" w:sz="0" w:space="0" w:color="auto"/>
          </w:divBdr>
        </w:div>
        <w:div w:id="2026057896">
          <w:marLeft w:val="0"/>
          <w:marRight w:val="0"/>
          <w:marTop w:val="0"/>
          <w:marBottom w:val="0"/>
          <w:divBdr>
            <w:top w:val="none" w:sz="0" w:space="0" w:color="auto"/>
            <w:left w:val="none" w:sz="0" w:space="0" w:color="auto"/>
            <w:bottom w:val="none" w:sz="0" w:space="0" w:color="auto"/>
            <w:right w:val="none" w:sz="0" w:space="0" w:color="auto"/>
          </w:divBdr>
        </w:div>
        <w:div w:id="794523108">
          <w:marLeft w:val="0"/>
          <w:marRight w:val="0"/>
          <w:marTop w:val="0"/>
          <w:marBottom w:val="0"/>
          <w:divBdr>
            <w:top w:val="none" w:sz="0" w:space="0" w:color="auto"/>
            <w:left w:val="none" w:sz="0" w:space="0" w:color="auto"/>
            <w:bottom w:val="none" w:sz="0" w:space="0" w:color="auto"/>
            <w:right w:val="none" w:sz="0" w:space="0" w:color="auto"/>
          </w:divBdr>
        </w:div>
        <w:div w:id="1402484497">
          <w:marLeft w:val="0"/>
          <w:marRight w:val="0"/>
          <w:marTop w:val="0"/>
          <w:marBottom w:val="0"/>
          <w:divBdr>
            <w:top w:val="none" w:sz="0" w:space="0" w:color="auto"/>
            <w:left w:val="none" w:sz="0" w:space="0" w:color="auto"/>
            <w:bottom w:val="none" w:sz="0" w:space="0" w:color="auto"/>
            <w:right w:val="none" w:sz="0" w:space="0" w:color="auto"/>
          </w:divBdr>
        </w:div>
        <w:div w:id="373426630">
          <w:marLeft w:val="0"/>
          <w:marRight w:val="0"/>
          <w:marTop w:val="0"/>
          <w:marBottom w:val="0"/>
          <w:divBdr>
            <w:top w:val="none" w:sz="0" w:space="0" w:color="auto"/>
            <w:left w:val="none" w:sz="0" w:space="0" w:color="auto"/>
            <w:bottom w:val="none" w:sz="0" w:space="0" w:color="auto"/>
            <w:right w:val="none" w:sz="0" w:space="0" w:color="auto"/>
          </w:divBdr>
        </w:div>
        <w:div w:id="113522828">
          <w:marLeft w:val="0"/>
          <w:marRight w:val="0"/>
          <w:marTop w:val="0"/>
          <w:marBottom w:val="0"/>
          <w:divBdr>
            <w:top w:val="none" w:sz="0" w:space="0" w:color="auto"/>
            <w:left w:val="none" w:sz="0" w:space="0" w:color="auto"/>
            <w:bottom w:val="none" w:sz="0" w:space="0" w:color="auto"/>
            <w:right w:val="none" w:sz="0" w:space="0" w:color="auto"/>
          </w:divBdr>
        </w:div>
        <w:div w:id="1978144035">
          <w:marLeft w:val="0"/>
          <w:marRight w:val="0"/>
          <w:marTop w:val="0"/>
          <w:marBottom w:val="0"/>
          <w:divBdr>
            <w:top w:val="none" w:sz="0" w:space="0" w:color="auto"/>
            <w:left w:val="none" w:sz="0" w:space="0" w:color="auto"/>
            <w:bottom w:val="none" w:sz="0" w:space="0" w:color="auto"/>
            <w:right w:val="none" w:sz="0" w:space="0" w:color="auto"/>
          </w:divBdr>
        </w:div>
      </w:divsChild>
    </w:div>
    <w:div w:id="2077236671">
      <w:bodyDiv w:val="1"/>
      <w:marLeft w:val="0"/>
      <w:marRight w:val="0"/>
      <w:marTop w:val="0"/>
      <w:marBottom w:val="0"/>
      <w:divBdr>
        <w:top w:val="none" w:sz="0" w:space="0" w:color="auto"/>
        <w:left w:val="none" w:sz="0" w:space="0" w:color="auto"/>
        <w:bottom w:val="none" w:sz="0" w:space="0" w:color="auto"/>
        <w:right w:val="none" w:sz="0" w:space="0" w:color="auto"/>
      </w:divBdr>
      <w:divsChild>
        <w:div w:id="1190147201">
          <w:marLeft w:val="0"/>
          <w:marRight w:val="0"/>
          <w:marTop w:val="0"/>
          <w:marBottom w:val="0"/>
          <w:divBdr>
            <w:top w:val="none" w:sz="0" w:space="0" w:color="auto"/>
            <w:left w:val="none" w:sz="0" w:space="0" w:color="auto"/>
            <w:bottom w:val="none" w:sz="0" w:space="0" w:color="auto"/>
            <w:right w:val="none" w:sz="0" w:space="0" w:color="auto"/>
          </w:divBdr>
        </w:div>
        <w:div w:id="1568490861">
          <w:marLeft w:val="0"/>
          <w:marRight w:val="0"/>
          <w:marTop w:val="0"/>
          <w:marBottom w:val="0"/>
          <w:divBdr>
            <w:top w:val="none" w:sz="0" w:space="0" w:color="auto"/>
            <w:left w:val="none" w:sz="0" w:space="0" w:color="auto"/>
            <w:bottom w:val="none" w:sz="0" w:space="0" w:color="auto"/>
            <w:right w:val="none" w:sz="0" w:space="0" w:color="auto"/>
          </w:divBdr>
        </w:div>
        <w:div w:id="182285133">
          <w:marLeft w:val="0"/>
          <w:marRight w:val="0"/>
          <w:marTop w:val="0"/>
          <w:marBottom w:val="0"/>
          <w:divBdr>
            <w:top w:val="none" w:sz="0" w:space="0" w:color="auto"/>
            <w:left w:val="none" w:sz="0" w:space="0" w:color="auto"/>
            <w:bottom w:val="none" w:sz="0" w:space="0" w:color="auto"/>
            <w:right w:val="none" w:sz="0" w:space="0" w:color="auto"/>
          </w:divBdr>
        </w:div>
      </w:divsChild>
    </w:div>
    <w:div w:id="2120375478">
      <w:bodyDiv w:val="1"/>
      <w:marLeft w:val="0"/>
      <w:marRight w:val="0"/>
      <w:marTop w:val="0"/>
      <w:marBottom w:val="0"/>
      <w:divBdr>
        <w:top w:val="none" w:sz="0" w:space="0" w:color="auto"/>
        <w:left w:val="none" w:sz="0" w:space="0" w:color="auto"/>
        <w:bottom w:val="none" w:sz="0" w:space="0" w:color="auto"/>
        <w:right w:val="none" w:sz="0" w:space="0" w:color="auto"/>
      </w:divBdr>
      <w:divsChild>
        <w:div w:id="856847782">
          <w:marLeft w:val="0"/>
          <w:marRight w:val="0"/>
          <w:marTop w:val="0"/>
          <w:marBottom w:val="0"/>
          <w:divBdr>
            <w:top w:val="none" w:sz="0" w:space="0" w:color="auto"/>
            <w:left w:val="none" w:sz="0" w:space="0" w:color="auto"/>
            <w:bottom w:val="none" w:sz="0" w:space="0" w:color="auto"/>
            <w:right w:val="none" w:sz="0" w:space="0" w:color="auto"/>
          </w:divBdr>
        </w:div>
        <w:div w:id="385840071">
          <w:marLeft w:val="0"/>
          <w:marRight w:val="0"/>
          <w:marTop w:val="0"/>
          <w:marBottom w:val="0"/>
          <w:divBdr>
            <w:top w:val="none" w:sz="0" w:space="0" w:color="auto"/>
            <w:left w:val="none" w:sz="0" w:space="0" w:color="auto"/>
            <w:bottom w:val="none" w:sz="0" w:space="0" w:color="auto"/>
            <w:right w:val="none" w:sz="0" w:space="0" w:color="auto"/>
          </w:divBdr>
        </w:div>
        <w:div w:id="11686667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1662</TotalTime>
  <Pages>23</Pages>
  <Words>6725</Words>
  <Characters>38334</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Assessment 1</vt:lpstr>
    </vt:vector>
  </TitlesOfParts>
  <Company>Student ID:</Company>
  <LinksUpToDate>false</LinksUpToDate>
  <CharactersWithSpaces>44970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Project: Research and case scenario in Data Security and Compliance</dc:subject>
  <dc:creator>Name:</dc:creator>
  <cp:keywords/>
  <dc:description/>
  <cp:lastModifiedBy>Eric fabricio Ferro Fernandes</cp:lastModifiedBy>
  <cp:revision>65</cp:revision>
  <dcterms:created xsi:type="dcterms:W3CDTF">2026-03-17T11:50:00Z</dcterms:created>
  <dcterms:modified xsi:type="dcterms:W3CDTF">2026-04-25T19:28:00Z</dcterms:modified>
</cp:coreProperties>
</file>