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FDF6F" w14:textId="77777777" w:rsidR="00BE776A" w:rsidRPr="004D45B3" w:rsidRDefault="0007681E">
      <w:pPr>
        <w:spacing w:after="158"/>
        <w:ind w:left="49"/>
        <w:jc w:val="center"/>
        <w:rPr>
          <w:color w:val="000000" w:themeColor="text1"/>
        </w:rPr>
      </w:pPr>
      <w:r w:rsidRPr="004D45B3">
        <w:rPr>
          <w:rFonts w:cs="Arial"/>
          <w:noProof/>
          <w:color w:val="000000" w:themeColor="text1"/>
          <w:lang w:val="en-US" w:eastAsia="en-US"/>
        </w:rPr>
        <w:drawing>
          <wp:inline distT="0" distB="0" distL="0" distR="0" wp14:anchorId="05CE88CD" wp14:editId="5F62C290">
            <wp:extent cx="1981203" cy="825502"/>
            <wp:effectExtent l="0" t="0" r="0" b="0"/>
            <wp:docPr id="1736102688"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981203" cy="825502"/>
                    </a:xfrm>
                    <a:prstGeom prst="rect">
                      <a:avLst/>
                    </a:prstGeom>
                    <a:noFill/>
                    <a:ln>
                      <a:noFill/>
                      <a:prstDash/>
                    </a:ln>
                  </pic:spPr>
                </pic:pic>
              </a:graphicData>
            </a:graphic>
          </wp:inline>
        </w:drawing>
      </w:r>
      <w:r w:rsidRPr="004D45B3">
        <w:rPr>
          <w:rFonts w:eastAsia="Calibri" w:cs="Arial"/>
          <w:color w:val="000000" w:themeColor="text1"/>
        </w:rPr>
        <w:t xml:space="preserve"> </w:t>
      </w:r>
    </w:p>
    <w:p w14:paraId="313B7FC4" w14:textId="77777777" w:rsidR="00BE776A" w:rsidRPr="004D45B3" w:rsidRDefault="0007681E">
      <w:pPr>
        <w:ind w:left="49"/>
        <w:jc w:val="center"/>
        <w:rPr>
          <w:color w:val="000000" w:themeColor="text1"/>
        </w:rPr>
      </w:pPr>
      <w:r w:rsidRPr="004D45B3">
        <w:rPr>
          <w:rFonts w:eastAsia="Calibri" w:cs="Arial"/>
          <w:color w:val="000000" w:themeColor="text1"/>
        </w:rPr>
        <w:t xml:space="preserve"> </w:t>
      </w:r>
    </w:p>
    <w:p w14:paraId="52A13EE5" w14:textId="77777777" w:rsidR="00BE776A" w:rsidRPr="004D45B3" w:rsidRDefault="0007681E">
      <w:pPr>
        <w:spacing w:after="287"/>
        <w:ind w:left="49"/>
        <w:jc w:val="center"/>
        <w:rPr>
          <w:color w:val="000000" w:themeColor="text1"/>
        </w:rPr>
      </w:pPr>
      <w:r w:rsidRPr="004D45B3">
        <w:rPr>
          <w:rFonts w:eastAsia="Calibri" w:cs="Arial"/>
          <w:color w:val="000000" w:themeColor="text1"/>
        </w:rPr>
        <w:t xml:space="preserve"> </w:t>
      </w:r>
    </w:p>
    <w:p w14:paraId="0EF6B5FB" w14:textId="062224AA" w:rsidR="00BE776A" w:rsidRPr="004D45B3" w:rsidRDefault="0007681E">
      <w:pPr>
        <w:spacing w:after="157"/>
        <w:ind w:left="89"/>
        <w:jc w:val="center"/>
        <w:rPr>
          <w:color w:val="000000" w:themeColor="text1"/>
        </w:rPr>
      </w:pPr>
      <w:r w:rsidRPr="004D45B3">
        <w:rPr>
          <w:rFonts w:cs="Arial"/>
          <w:color w:val="000000" w:themeColor="text1"/>
          <w:sz w:val="36"/>
        </w:rPr>
        <w:t xml:space="preserve"> </w:t>
      </w:r>
      <w:r w:rsidRPr="004D45B3">
        <w:rPr>
          <w:rFonts w:cs="Arial"/>
          <w:b/>
          <w:bCs/>
          <w:color w:val="000000" w:themeColor="text1"/>
          <w:sz w:val="32"/>
          <w:szCs w:val="32"/>
          <w:lang w:val="en-US"/>
        </w:rPr>
        <w:t>Exploring the Effectiveness of Culturally Competent Care in Reducing Health Inequalities among Ethnic Minority Communities in the UK: A Systematic Literature Review</w:t>
      </w:r>
    </w:p>
    <w:p w14:paraId="29B0090B" w14:textId="77777777" w:rsidR="00BE776A" w:rsidRPr="004D45B3" w:rsidRDefault="0007681E">
      <w:pPr>
        <w:spacing w:after="42"/>
        <w:ind w:left="89"/>
        <w:jc w:val="center"/>
        <w:rPr>
          <w:color w:val="000000" w:themeColor="text1"/>
        </w:rPr>
      </w:pPr>
      <w:r w:rsidRPr="004D45B3">
        <w:rPr>
          <w:rFonts w:cs="Arial"/>
          <w:color w:val="000000" w:themeColor="text1"/>
          <w:sz w:val="36"/>
        </w:rPr>
        <w:t xml:space="preserve"> </w:t>
      </w:r>
    </w:p>
    <w:p w14:paraId="6157C0F0" w14:textId="77777777" w:rsidR="00BE776A" w:rsidRPr="004D45B3" w:rsidRDefault="0007681E">
      <w:pPr>
        <w:spacing w:after="157"/>
        <w:ind w:left="2367" w:right="2358"/>
        <w:jc w:val="center"/>
        <w:rPr>
          <w:rFonts w:cs="Arial"/>
          <w:color w:val="000000" w:themeColor="text1"/>
        </w:rPr>
      </w:pPr>
      <w:r w:rsidRPr="004D45B3">
        <w:rPr>
          <w:rFonts w:cs="Arial"/>
          <w:color w:val="000000" w:themeColor="text1"/>
        </w:rPr>
        <w:t xml:space="preserve">by </w:t>
      </w:r>
    </w:p>
    <w:p w14:paraId="7E919E23" w14:textId="77777777" w:rsidR="00BE776A" w:rsidRPr="004D45B3" w:rsidRDefault="0007681E">
      <w:pPr>
        <w:spacing w:after="158"/>
        <w:ind w:left="59"/>
        <w:jc w:val="center"/>
        <w:rPr>
          <w:rFonts w:cs="Arial"/>
          <w:color w:val="000000" w:themeColor="text1"/>
        </w:rPr>
      </w:pPr>
      <w:r w:rsidRPr="004D45B3">
        <w:rPr>
          <w:rFonts w:cs="Arial"/>
          <w:color w:val="000000" w:themeColor="text1"/>
        </w:rPr>
        <w:t xml:space="preserve"> </w:t>
      </w:r>
    </w:p>
    <w:p w14:paraId="336C9495" w14:textId="77777777" w:rsidR="00BE776A" w:rsidRPr="004D45B3" w:rsidRDefault="0007681E">
      <w:pPr>
        <w:spacing w:after="157"/>
        <w:ind w:left="2367" w:right="2359"/>
        <w:jc w:val="center"/>
        <w:rPr>
          <w:color w:val="000000" w:themeColor="text1"/>
        </w:rPr>
      </w:pPr>
      <w:r w:rsidRPr="004D45B3">
        <w:rPr>
          <w:rFonts w:cs="Arial"/>
          <w:color w:val="000000" w:themeColor="text1"/>
        </w:rPr>
        <w:t>[</w:t>
      </w:r>
      <w:r w:rsidRPr="004D45B3">
        <w:rPr>
          <w:rFonts w:cs="Arial"/>
          <w:b/>
          <w:bCs/>
          <w:color w:val="000000" w:themeColor="text1"/>
        </w:rPr>
        <w:t>Prashant Hirjibhai Gajera</w:t>
      </w:r>
      <w:r w:rsidRPr="004D45B3">
        <w:rPr>
          <w:rFonts w:cs="Arial"/>
          <w:color w:val="000000" w:themeColor="text1"/>
        </w:rPr>
        <w:t xml:space="preserve">] </w:t>
      </w:r>
    </w:p>
    <w:p w14:paraId="678CF94F" w14:textId="77777777" w:rsidR="00BE776A" w:rsidRPr="004D45B3" w:rsidRDefault="0007681E">
      <w:pPr>
        <w:spacing w:after="158"/>
        <w:ind w:left="59"/>
        <w:jc w:val="center"/>
        <w:rPr>
          <w:rFonts w:cs="Arial"/>
          <w:color w:val="000000" w:themeColor="text1"/>
        </w:rPr>
      </w:pPr>
      <w:r w:rsidRPr="004D45B3">
        <w:rPr>
          <w:rFonts w:cs="Arial"/>
          <w:color w:val="000000" w:themeColor="text1"/>
        </w:rPr>
        <w:t xml:space="preserve"> </w:t>
      </w:r>
    </w:p>
    <w:p w14:paraId="26453C18" w14:textId="77777777" w:rsidR="00BE776A" w:rsidRPr="004D45B3" w:rsidRDefault="0007681E">
      <w:pPr>
        <w:spacing w:after="156"/>
        <w:ind w:left="59"/>
        <w:jc w:val="center"/>
        <w:rPr>
          <w:rFonts w:cs="Arial"/>
          <w:color w:val="000000" w:themeColor="text1"/>
        </w:rPr>
      </w:pPr>
      <w:r w:rsidRPr="004D45B3">
        <w:rPr>
          <w:rFonts w:cs="Arial"/>
          <w:color w:val="000000" w:themeColor="text1"/>
        </w:rPr>
        <w:t xml:space="preserve">  </w:t>
      </w:r>
    </w:p>
    <w:p w14:paraId="491F29E1" w14:textId="77777777" w:rsidR="00BE776A" w:rsidRPr="004D45B3" w:rsidRDefault="0007681E">
      <w:pPr>
        <w:spacing w:after="156"/>
        <w:ind w:left="59"/>
        <w:jc w:val="center"/>
        <w:rPr>
          <w:rFonts w:cs="Arial"/>
          <w:color w:val="000000" w:themeColor="text1"/>
          <w:szCs w:val="24"/>
        </w:rPr>
      </w:pPr>
      <w:r w:rsidRPr="004D45B3">
        <w:rPr>
          <w:rFonts w:cs="Arial"/>
          <w:color w:val="000000" w:themeColor="text1"/>
          <w:szCs w:val="24"/>
        </w:rPr>
        <w:t>A Dissertation submitted in partial fulfilment of the requirements for the degree of Master of Science in Public Health and Social Care in Practice</w:t>
      </w:r>
    </w:p>
    <w:p w14:paraId="4B966951" w14:textId="77777777" w:rsidR="00BE776A" w:rsidRPr="004D45B3" w:rsidRDefault="0007681E">
      <w:pPr>
        <w:spacing w:after="169"/>
        <w:jc w:val="center"/>
        <w:rPr>
          <w:rFonts w:cs="Arial"/>
          <w:b/>
          <w:bCs/>
          <w:color w:val="000000" w:themeColor="text1"/>
          <w:szCs w:val="24"/>
        </w:rPr>
      </w:pPr>
      <w:r w:rsidRPr="004D45B3">
        <w:rPr>
          <w:rFonts w:cs="Arial"/>
          <w:b/>
          <w:bCs/>
          <w:color w:val="000000" w:themeColor="text1"/>
          <w:szCs w:val="24"/>
        </w:rPr>
        <w:t>The Institute of Inner-City Learning</w:t>
      </w:r>
    </w:p>
    <w:p w14:paraId="64531454" w14:textId="77777777" w:rsidR="00BE776A" w:rsidRPr="004D45B3" w:rsidRDefault="0007681E">
      <w:pPr>
        <w:spacing w:after="169"/>
        <w:jc w:val="center"/>
        <w:rPr>
          <w:rFonts w:cs="Arial"/>
          <w:b/>
          <w:bCs/>
          <w:color w:val="000000" w:themeColor="text1"/>
          <w:szCs w:val="24"/>
        </w:rPr>
      </w:pPr>
      <w:r w:rsidRPr="004D45B3">
        <w:rPr>
          <w:rFonts w:cs="Arial"/>
          <w:b/>
          <w:bCs/>
          <w:color w:val="000000" w:themeColor="text1"/>
          <w:szCs w:val="24"/>
        </w:rPr>
        <w:t>University of Wales Trinity Saint David – London Campus</w:t>
      </w:r>
    </w:p>
    <w:p w14:paraId="623FB46E" w14:textId="77777777" w:rsidR="00BE776A" w:rsidRPr="004D45B3" w:rsidRDefault="00BE776A">
      <w:pPr>
        <w:spacing w:after="157"/>
        <w:ind w:left="2367" w:right="2357"/>
        <w:jc w:val="center"/>
        <w:rPr>
          <w:rFonts w:cs="Arial"/>
          <w:b/>
          <w:bCs/>
          <w:color w:val="000000" w:themeColor="text1"/>
          <w:szCs w:val="24"/>
        </w:rPr>
      </w:pPr>
    </w:p>
    <w:p w14:paraId="40F9B89A" w14:textId="77777777" w:rsidR="00BE776A" w:rsidRPr="004D45B3" w:rsidRDefault="00BE776A">
      <w:pPr>
        <w:spacing w:after="157"/>
        <w:ind w:left="2367" w:right="2357"/>
        <w:jc w:val="center"/>
        <w:rPr>
          <w:rFonts w:cs="Arial"/>
          <w:b/>
          <w:bCs/>
          <w:color w:val="000000" w:themeColor="text1"/>
          <w:szCs w:val="24"/>
        </w:rPr>
      </w:pPr>
    </w:p>
    <w:p w14:paraId="472BC137" w14:textId="77777777" w:rsidR="00BE776A" w:rsidRPr="004D45B3" w:rsidRDefault="0007681E">
      <w:pPr>
        <w:spacing w:after="157"/>
        <w:ind w:left="2367" w:right="2357"/>
        <w:jc w:val="center"/>
        <w:rPr>
          <w:rFonts w:cs="Arial"/>
          <w:b/>
          <w:bCs/>
          <w:color w:val="000000" w:themeColor="text1"/>
          <w:szCs w:val="24"/>
        </w:rPr>
      </w:pPr>
      <w:r w:rsidRPr="004D45B3">
        <w:rPr>
          <w:rFonts w:cs="Arial"/>
          <w:b/>
          <w:bCs/>
          <w:color w:val="000000" w:themeColor="text1"/>
          <w:szCs w:val="24"/>
        </w:rPr>
        <w:t xml:space="preserve">[September 2026] </w:t>
      </w:r>
    </w:p>
    <w:p w14:paraId="6F4DAD5B" w14:textId="77777777" w:rsidR="00634BD0" w:rsidRPr="004D45B3" w:rsidRDefault="00634BD0">
      <w:pPr>
        <w:suppressAutoHyphens w:val="0"/>
        <w:spacing w:line="276" w:lineRule="auto"/>
        <w:jc w:val="left"/>
        <w:rPr>
          <w:color w:val="000000" w:themeColor="text1"/>
        </w:rPr>
      </w:pPr>
      <w:r w:rsidRPr="004D45B3">
        <w:rPr>
          <w:color w:val="000000" w:themeColor="text1"/>
        </w:rPr>
        <w:br w:type="page"/>
      </w:r>
    </w:p>
    <w:p w14:paraId="3F68015C" w14:textId="62F86BD5" w:rsidR="00BE776A" w:rsidRPr="004D45B3" w:rsidRDefault="0007681E">
      <w:pPr>
        <w:spacing w:after="200" w:line="276" w:lineRule="auto"/>
        <w:rPr>
          <w:rFonts w:cs="Arial"/>
          <w:b/>
          <w:bCs/>
          <w:color w:val="000000" w:themeColor="text1"/>
          <w:szCs w:val="24"/>
          <w:lang w:val="hr-HR"/>
        </w:rPr>
      </w:pPr>
      <w:r w:rsidRPr="004D45B3">
        <w:rPr>
          <w:rFonts w:cs="Arial"/>
          <w:b/>
          <w:bCs/>
          <w:color w:val="000000" w:themeColor="text1"/>
          <w:szCs w:val="24"/>
          <w:lang w:val="hr-HR"/>
        </w:rPr>
        <w:t>DECLARATION</w:t>
      </w:r>
    </w:p>
    <w:p w14:paraId="14090429" w14:textId="77777777" w:rsidR="00BE776A" w:rsidRPr="004D45B3" w:rsidRDefault="00BE776A">
      <w:pPr>
        <w:spacing w:after="200" w:line="276" w:lineRule="auto"/>
        <w:rPr>
          <w:rFonts w:cs="Arial"/>
          <w:color w:val="000000" w:themeColor="text1"/>
          <w:szCs w:val="24"/>
          <w:lang w:val="hr-HR"/>
        </w:rPr>
      </w:pPr>
    </w:p>
    <w:p w14:paraId="38F1554A" w14:textId="77777777" w:rsidR="00BE776A" w:rsidRPr="004D45B3" w:rsidRDefault="0007681E">
      <w:pPr>
        <w:spacing w:after="200" w:line="276" w:lineRule="auto"/>
        <w:rPr>
          <w:color w:val="000000" w:themeColor="text1"/>
        </w:rPr>
      </w:pPr>
      <w:r w:rsidRPr="004D45B3">
        <w:rPr>
          <w:rFonts w:cs="Arial"/>
          <w:color w:val="000000" w:themeColor="text1"/>
          <w:sz w:val="22"/>
          <w:lang w:val="hr-HR"/>
        </w:rPr>
        <w:t xml:space="preserve">I, </w:t>
      </w:r>
      <w:r w:rsidRPr="004D45B3">
        <w:rPr>
          <w:rFonts w:cs="Arial"/>
          <w:b/>
          <w:bCs/>
          <w:color w:val="000000" w:themeColor="text1"/>
        </w:rPr>
        <w:t>Prashant Hirjibhai Gajera</w:t>
      </w:r>
      <w:r w:rsidRPr="004D45B3">
        <w:rPr>
          <w:rFonts w:cs="Arial"/>
          <w:color w:val="000000" w:themeColor="text1"/>
          <w:sz w:val="22"/>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1D61BACC" w14:textId="77777777" w:rsidR="00BE776A" w:rsidRPr="004D45B3" w:rsidRDefault="00BE776A">
      <w:pPr>
        <w:spacing w:after="200" w:line="276" w:lineRule="auto"/>
        <w:rPr>
          <w:rFonts w:cs="Arial"/>
          <w:color w:val="000000" w:themeColor="text1"/>
          <w:szCs w:val="24"/>
          <w:lang w:val="hr-HR"/>
        </w:rPr>
      </w:pPr>
    </w:p>
    <w:p w14:paraId="4947DF74" w14:textId="77777777" w:rsidR="00BE776A" w:rsidRPr="004D45B3" w:rsidRDefault="00BE776A">
      <w:pPr>
        <w:spacing w:after="200" w:line="276" w:lineRule="auto"/>
        <w:rPr>
          <w:rFonts w:cs="Arial"/>
          <w:color w:val="000000" w:themeColor="text1"/>
          <w:szCs w:val="24"/>
          <w:lang w:val="hr-HR"/>
        </w:rPr>
      </w:pPr>
    </w:p>
    <w:p w14:paraId="65543995" w14:textId="77777777" w:rsidR="00BE776A" w:rsidRPr="004D45B3" w:rsidRDefault="0007681E">
      <w:pPr>
        <w:spacing w:after="200" w:line="276" w:lineRule="auto"/>
        <w:rPr>
          <w:color w:val="000000" w:themeColor="text1"/>
        </w:rPr>
      </w:pPr>
      <w:r w:rsidRPr="004D45B3">
        <w:rPr>
          <w:rFonts w:cs="Arial"/>
          <w:color w:val="000000" w:themeColor="text1"/>
          <w:sz w:val="22"/>
          <w:lang w:val="hr-HR"/>
        </w:rPr>
        <w:t xml:space="preserve">Signed: </w:t>
      </w:r>
      <w:r w:rsidRPr="004D45B3">
        <w:rPr>
          <w:rFonts w:cs="Arial"/>
          <w:b/>
          <w:bCs/>
          <w:color w:val="000000" w:themeColor="text1"/>
        </w:rPr>
        <w:t>Prashant Hirjibhai Gajera</w:t>
      </w:r>
    </w:p>
    <w:p w14:paraId="6B31FE2A" w14:textId="77777777" w:rsidR="00BE776A" w:rsidRPr="004D45B3" w:rsidRDefault="00BE776A">
      <w:pPr>
        <w:spacing w:after="200" w:line="276" w:lineRule="auto"/>
        <w:rPr>
          <w:rFonts w:cs="Arial"/>
          <w:color w:val="000000" w:themeColor="text1"/>
          <w:sz w:val="22"/>
          <w:lang w:val="hr-HR"/>
        </w:rPr>
      </w:pPr>
    </w:p>
    <w:p w14:paraId="77F086D1" w14:textId="33D6CDE7" w:rsidR="00BE776A" w:rsidRPr="004D45B3" w:rsidRDefault="0007681E">
      <w:pPr>
        <w:spacing w:after="200" w:line="276" w:lineRule="auto"/>
        <w:rPr>
          <w:rFonts w:cs="Arial"/>
          <w:color w:val="000000" w:themeColor="text1"/>
          <w:sz w:val="22"/>
          <w:lang w:val="hr-HR"/>
        </w:rPr>
      </w:pPr>
      <w:r w:rsidRPr="004D45B3">
        <w:rPr>
          <w:rFonts w:cs="Arial"/>
          <w:color w:val="000000" w:themeColor="text1"/>
          <w:sz w:val="22"/>
          <w:lang w:val="hr-HR"/>
        </w:rPr>
        <w:t>Date: 2</w:t>
      </w:r>
      <w:r w:rsidR="00575497">
        <w:rPr>
          <w:rFonts w:cs="Arial"/>
          <w:color w:val="000000" w:themeColor="text1"/>
          <w:sz w:val="22"/>
          <w:lang w:val="hr-HR"/>
        </w:rPr>
        <w:t>5/</w:t>
      </w:r>
      <w:r w:rsidRPr="004D45B3">
        <w:rPr>
          <w:rFonts w:cs="Arial"/>
          <w:color w:val="000000" w:themeColor="text1"/>
          <w:sz w:val="22"/>
          <w:lang w:val="hr-HR"/>
        </w:rPr>
        <w:t>09/2026</w:t>
      </w:r>
    </w:p>
    <w:p w14:paraId="6170FFFA" w14:textId="77777777" w:rsidR="00BE776A" w:rsidRPr="004D45B3" w:rsidRDefault="00BE776A">
      <w:pPr>
        <w:spacing w:after="157"/>
        <w:ind w:right="2357"/>
        <w:rPr>
          <w:rFonts w:cs="Arial"/>
          <w:b/>
          <w:bCs/>
          <w:color w:val="000000" w:themeColor="text1"/>
          <w:sz w:val="20"/>
          <w:szCs w:val="20"/>
        </w:rPr>
      </w:pPr>
    </w:p>
    <w:p w14:paraId="471903FE" w14:textId="430B7C85" w:rsidR="00634BD0" w:rsidRPr="004D45B3" w:rsidRDefault="0007681E">
      <w:pPr>
        <w:spacing w:after="0"/>
        <w:rPr>
          <w:rFonts w:cs="Arial"/>
          <w:color w:val="000000" w:themeColor="text1"/>
        </w:rPr>
      </w:pPr>
      <w:r w:rsidRPr="004D45B3">
        <w:rPr>
          <w:rFonts w:cs="Arial"/>
          <w:color w:val="000000" w:themeColor="text1"/>
        </w:rPr>
        <w:t xml:space="preserve"> </w:t>
      </w:r>
      <w:r w:rsidRPr="004D45B3">
        <w:rPr>
          <w:rFonts w:cs="Arial"/>
          <w:color w:val="000000" w:themeColor="text1"/>
        </w:rPr>
        <w:tab/>
        <w:t xml:space="preserve"> </w:t>
      </w:r>
    </w:p>
    <w:p w14:paraId="47708B6F" w14:textId="77777777" w:rsidR="00634BD0" w:rsidRPr="004D45B3" w:rsidRDefault="00634BD0" w:rsidP="00634BD0">
      <w:pPr>
        <w:suppressAutoHyphens w:val="0"/>
        <w:spacing w:line="276" w:lineRule="auto"/>
        <w:jc w:val="left"/>
        <w:rPr>
          <w:rFonts w:cs="Arial"/>
          <w:color w:val="000000" w:themeColor="text1"/>
        </w:rPr>
      </w:pPr>
    </w:p>
    <w:p w14:paraId="38D1248F" w14:textId="77777777" w:rsidR="00634BD0" w:rsidRPr="004D45B3" w:rsidRDefault="00634BD0" w:rsidP="00634BD0">
      <w:pPr>
        <w:suppressAutoHyphens w:val="0"/>
        <w:spacing w:line="276" w:lineRule="auto"/>
        <w:jc w:val="left"/>
        <w:rPr>
          <w:rFonts w:cs="Arial"/>
          <w:color w:val="000000" w:themeColor="text1"/>
        </w:rPr>
      </w:pPr>
    </w:p>
    <w:p w14:paraId="6C2BCEFA" w14:textId="77777777" w:rsidR="00634BD0" w:rsidRPr="004D45B3" w:rsidRDefault="00634BD0" w:rsidP="00634BD0">
      <w:pPr>
        <w:suppressAutoHyphens w:val="0"/>
        <w:spacing w:line="276" w:lineRule="auto"/>
        <w:jc w:val="left"/>
        <w:rPr>
          <w:rFonts w:cs="Arial"/>
          <w:color w:val="000000" w:themeColor="text1"/>
        </w:rPr>
      </w:pPr>
    </w:p>
    <w:p w14:paraId="6E15388D" w14:textId="77777777" w:rsidR="00634BD0" w:rsidRPr="004D45B3" w:rsidRDefault="00634BD0" w:rsidP="00634BD0">
      <w:pPr>
        <w:suppressAutoHyphens w:val="0"/>
        <w:spacing w:line="276" w:lineRule="auto"/>
        <w:jc w:val="left"/>
        <w:rPr>
          <w:rFonts w:cs="Arial"/>
          <w:color w:val="000000" w:themeColor="text1"/>
        </w:rPr>
      </w:pPr>
    </w:p>
    <w:p w14:paraId="68393E77" w14:textId="77777777" w:rsidR="00634BD0" w:rsidRPr="004D45B3" w:rsidRDefault="00634BD0" w:rsidP="00634BD0">
      <w:pPr>
        <w:suppressAutoHyphens w:val="0"/>
        <w:spacing w:line="276" w:lineRule="auto"/>
        <w:jc w:val="left"/>
        <w:rPr>
          <w:rFonts w:cs="Arial"/>
          <w:color w:val="000000" w:themeColor="text1"/>
        </w:rPr>
      </w:pPr>
    </w:p>
    <w:p w14:paraId="61956F48" w14:textId="77777777" w:rsidR="00634BD0" w:rsidRPr="004D45B3" w:rsidRDefault="00634BD0" w:rsidP="00634BD0">
      <w:pPr>
        <w:suppressAutoHyphens w:val="0"/>
        <w:spacing w:line="276" w:lineRule="auto"/>
        <w:jc w:val="left"/>
        <w:rPr>
          <w:rFonts w:cs="Arial"/>
          <w:color w:val="000000" w:themeColor="text1"/>
        </w:rPr>
      </w:pPr>
    </w:p>
    <w:p w14:paraId="3861D960" w14:textId="77777777" w:rsidR="00634BD0" w:rsidRPr="004D45B3" w:rsidRDefault="00634BD0" w:rsidP="00634BD0">
      <w:pPr>
        <w:suppressAutoHyphens w:val="0"/>
        <w:spacing w:line="276" w:lineRule="auto"/>
        <w:jc w:val="left"/>
        <w:rPr>
          <w:rFonts w:cs="Arial"/>
          <w:color w:val="000000" w:themeColor="text1"/>
        </w:rPr>
      </w:pPr>
    </w:p>
    <w:p w14:paraId="69679ADB" w14:textId="77777777" w:rsidR="00634BD0" w:rsidRPr="004D45B3" w:rsidRDefault="00634BD0" w:rsidP="00634BD0">
      <w:pPr>
        <w:suppressAutoHyphens w:val="0"/>
        <w:spacing w:line="276" w:lineRule="auto"/>
        <w:jc w:val="left"/>
        <w:rPr>
          <w:rFonts w:cs="Arial"/>
          <w:color w:val="000000" w:themeColor="text1"/>
        </w:rPr>
      </w:pPr>
    </w:p>
    <w:p w14:paraId="69BA05B9" w14:textId="77777777" w:rsidR="00634BD0" w:rsidRPr="004D45B3" w:rsidRDefault="00634BD0" w:rsidP="00634BD0">
      <w:pPr>
        <w:suppressAutoHyphens w:val="0"/>
        <w:spacing w:line="276" w:lineRule="auto"/>
        <w:jc w:val="left"/>
        <w:rPr>
          <w:rFonts w:cs="Arial"/>
          <w:color w:val="000000" w:themeColor="text1"/>
        </w:rPr>
      </w:pPr>
    </w:p>
    <w:p w14:paraId="12BEADA3" w14:textId="77777777" w:rsidR="00634BD0" w:rsidRPr="004D45B3" w:rsidRDefault="00634BD0" w:rsidP="00634BD0">
      <w:pPr>
        <w:suppressAutoHyphens w:val="0"/>
        <w:spacing w:line="276" w:lineRule="auto"/>
        <w:jc w:val="left"/>
        <w:rPr>
          <w:rFonts w:cs="Arial"/>
          <w:color w:val="000000" w:themeColor="text1"/>
        </w:rPr>
      </w:pPr>
    </w:p>
    <w:p w14:paraId="0CC136BB" w14:textId="77777777" w:rsidR="00634BD0" w:rsidRPr="004D45B3" w:rsidRDefault="00634BD0" w:rsidP="00634BD0">
      <w:pPr>
        <w:suppressAutoHyphens w:val="0"/>
        <w:spacing w:line="276" w:lineRule="auto"/>
        <w:jc w:val="left"/>
        <w:rPr>
          <w:rFonts w:cs="Arial"/>
          <w:color w:val="000000" w:themeColor="text1"/>
        </w:rPr>
      </w:pPr>
    </w:p>
    <w:p w14:paraId="79E046EE" w14:textId="77777777" w:rsidR="00634BD0" w:rsidRPr="004D45B3" w:rsidRDefault="00634BD0" w:rsidP="00634BD0">
      <w:pPr>
        <w:suppressAutoHyphens w:val="0"/>
        <w:spacing w:line="276" w:lineRule="auto"/>
        <w:jc w:val="left"/>
        <w:rPr>
          <w:rFonts w:cs="Arial"/>
          <w:color w:val="000000" w:themeColor="text1"/>
        </w:rPr>
      </w:pPr>
    </w:p>
    <w:p w14:paraId="32EF0DDA" w14:textId="77777777" w:rsidR="00634BD0" w:rsidRPr="004D45B3" w:rsidRDefault="00634BD0" w:rsidP="00634BD0">
      <w:pPr>
        <w:suppressAutoHyphens w:val="0"/>
        <w:spacing w:line="276" w:lineRule="auto"/>
        <w:jc w:val="left"/>
        <w:rPr>
          <w:rFonts w:cs="Arial"/>
          <w:color w:val="000000" w:themeColor="text1"/>
        </w:rPr>
      </w:pPr>
    </w:p>
    <w:p w14:paraId="6843E096" w14:textId="77777777" w:rsidR="00634BD0" w:rsidRPr="004D45B3" w:rsidRDefault="00634BD0" w:rsidP="00634BD0">
      <w:pPr>
        <w:suppressAutoHyphens w:val="0"/>
        <w:spacing w:line="276" w:lineRule="auto"/>
        <w:jc w:val="left"/>
        <w:rPr>
          <w:rFonts w:cs="Arial"/>
          <w:color w:val="000000" w:themeColor="text1"/>
        </w:rPr>
      </w:pPr>
    </w:p>
    <w:p w14:paraId="54BD913E" w14:textId="77777777" w:rsidR="00634BD0" w:rsidRPr="004D45B3" w:rsidRDefault="00634BD0" w:rsidP="00634BD0">
      <w:pPr>
        <w:suppressAutoHyphens w:val="0"/>
        <w:spacing w:line="276" w:lineRule="auto"/>
        <w:jc w:val="left"/>
        <w:rPr>
          <w:rFonts w:cs="Arial"/>
          <w:color w:val="000000" w:themeColor="text1"/>
        </w:rPr>
      </w:pPr>
    </w:p>
    <w:p w14:paraId="65E35FA8" w14:textId="77777777" w:rsidR="00634BD0" w:rsidRPr="004D45B3" w:rsidRDefault="00634BD0" w:rsidP="00634BD0">
      <w:pPr>
        <w:suppressAutoHyphens w:val="0"/>
        <w:spacing w:line="276" w:lineRule="auto"/>
        <w:jc w:val="left"/>
        <w:rPr>
          <w:rFonts w:cs="Arial"/>
          <w:color w:val="000000" w:themeColor="text1"/>
        </w:rPr>
      </w:pPr>
    </w:p>
    <w:p w14:paraId="5C204F72" w14:textId="77777777" w:rsidR="00634BD0" w:rsidRPr="004D45B3" w:rsidRDefault="00634BD0" w:rsidP="00634BD0">
      <w:pPr>
        <w:suppressAutoHyphens w:val="0"/>
        <w:spacing w:line="276" w:lineRule="auto"/>
        <w:jc w:val="left"/>
        <w:rPr>
          <w:rFonts w:cs="Arial"/>
          <w:color w:val="000000" w:themeColor="text1"/>
        </w:rPr>
      </w:pPr>
    </w:p>
    <w:p w14:paraId="145CCDBC" w14:textId="5ED9946F" w:rsidR="00BE776A" w:rsidRPr="004D45B3" w:rsidRDefault="0007681E" w:rsidP="00634BD0">
      <w:pPr>
        <w:suppressAutoHyphens w:val="0"/>
        <w:spacing w:line="276" w:lineRule="auto"/>
        <w:jc w:val="center"/>
        <w:rPr>
          <w:rFonts w:cs="Arial"/>
          <w:b/>
          <w:bCs/>
          <w:color w:val="000000" w:themeColor="text1"/>
          <w:szCs w:val="24"/>
        </w:rPr>
      </w:pPr>
      <w:r w:rsidRPr="004D45B3">
        <w:rPr>
          <w:rFonts w:cs="Arial"/>
          <w:b/>
          <w:bCs/>
          <w:color w:val="000000" w:themeColor="text1"/>
          <w:szCs w:val="24"/>
        </w:rPr>
        <w:t>Acknowledgements</w:t>
      </w:r>
    </w:p>
    <w:p w14:paraId="60A53EC5" w14:textId="77777777" w:rsidR="00634BD0" w:rsidRPr="004D45B3" w:rsidRDefault="00634BD0" w:rsidP="00634BD0">
      <w:pPr>
        <w:suppressAutoHyphens w:val="0"/>
        <w:spacing w:line="276" w:lineRule="auto"/>
        <w:jc w:val="center"/>
        <w:rPr>
          <w:rFonts w:cs="Arial"/>
          <w:color w:val="000000" w:themeColor="text1"/>
        </w:rPr>
      </w:pPr>
    </w:p>
    <w:p w14:paraId="474D521B" w14:textId="77777777" w:rsidR="00BE776A" w:rsidRPr="004D45B3" w:rsidRDefault="0007681E">
      <w:pPr>
        <w:spacing w:after="0"/>
        <w:rPr>
          <w:rFonts w:cs="Arial"/>
          <w:color w:val="000000" w:themeColor="text1"/>
          <w:szCs w:val="24"/>
        </w:rPr>
      </w:pPr>
      <w:r w:rsidRPr="004D45B3">
        <w:rPr>
          <w:rFonts w:cs="Arial"/>
          <w:color w:val="000000" w:themeColor="text1"/>
          <w:szCs w:val="24"/>
        </w:rPr>
        <w:t xml:space="preserve">I would like to take this opportunity to convey my heartfelt thanks to my dissertation advisor for their effective supervision, positive feedback and constant academic support during the entire research process. I would also like to express my gratitude to all the faculty members from the University of Wales Trinity Saint David who provided me with the required knowledge, material and the atmosphere necessary for conducting research. My special thanks to my friends and colleagues who encouraged me during hard periods of research work. </w:t>
      </w:r>
    </w:p>
    <w:p w14:paraId="7C53A11C" w14:textId="77777777" w:rsidR="00BE776A" w:rsidRPr="004D45B3" w:rsidRDefault="0007681E">
      <w:pPr>
        <w:spacing w:after="0"/>
        <w:rPr>
          <w:rFonts w:cs="Arial"/>
          <w:color w:val="000000" w:themeColor="text1"/>
          <w:szCs w:val="24"/>
        </w:rPr>
      </w:pPr>
      <w:r w:rsidRPr="004D45B3">
        <w:rPr>
          <w:rFonts w:cs="Arial"/>
          <w:color w:val="000000" w:themeColor="text1"/>
          <w:szCs w:val="24"/>
        </w:rPr>
        <w:t>Thanking You.</w:t>
      </w:r>
      <w:r w:rsidRPr="004D45B3">
        <w:rPr>
          <w:rFonts w:cs="Arial"/>
          <w:color w:val="000000" w:themeColor="text1"/>
          <w:szCs w:val="24"/>
        </w:rPr>
        <w:tab/>
        <w:t xml:space="preserve"> </w:t>
      </w:r>
    </w:p>
    <w:p w14:paraId="2F589E11" w14:textId="05D1FD8E" w:rsidR="00BE776A" w:rsidRPr="004D45B3" w:rsidRDefault="0007681E">
      <w:pPr>
        <w:pageBreakBefore/>
        <w:jc w:val="center"/>
        <w:rPr>
          <w:rFonts w:cs="Arial"/>
          <w:b/>
          <w:bCs/>
          <w:color w:val="000000" w:themeColor="text1"/>
          <w:sz w:val="28"/>
          <w:szCs w:val="28"/>
        </w:rPr>
      </w:pPr>
      <w:r w:rsidRPr="004D45B3">
        <w:rPr>
          <w:rFonts w:cs="Arial"/>
          <w:b/>
          <w:bCs/>
          <w:color w:val="000000" w:themeColor="text1"/>
          <w:sz w:val="28"/>
          <w:szCs w:val="28"/>
        </w:rPr>
        <w:t>Abstract</w:t>
      </w:r>
    </w:p>
    <w:p w14:paraId="75B4C56B" w14:textId="77777777" w:rsidR="00BE776A" w:rsidRPr="004D45B3" w:rsidRDefault="0007681E">
      <w:pPr>
        <w:rPr>
          <w:color w:val="000000" w:themeColor="text1"/>
        </w:rPr>
      </w:pPr>
      <w:r w:rsidRPr="004D45B3">
        <w:rPr>
          <w:color w:val="000000" w:themeColor="text1"/>
        </w:rPr>
        <w:t xml:space="preserve">This systematic literature review assesses critically the effectiveness of culturally-competent care in addressing health inequalities for ethnic minority communities in the UK. It focuses on practices that are culturally competent, inequalities in health, and implementation barriers and facilitators, as well as opportunities for improvement. The methodology used in conducting systematic literature review was interpretivist philosophy, inductive approach and PRISMA framework. Prior to thematic analysis, relevant secondary research was identified, screened and evaluated. The results pointed to four themes that showed an overlap between them all, indicating that culturally competent care could positively impact communication, trust, patients' engagement and response. </w:t>
      </w:r>
    </w:p>
    <w:p w14:paraId="33069282" w14:textId="77777777" w:rsidR="00BE776A" w:rsidRPr="004D45B3" w:rsidRDefault="0007681E">
      <w:pPr>
        <w:rPr>
          <w:color w:val="000000" w:themeColor="text1"/>
        </w:rPr>
      </w:pPr>
      <w:r w:rsidRPr="004D45B3">
        <w:rPr>
          <w:color w:val="000000" w:themeColor="text1"/>
        </w:rPr>
        <w:t xml:space="preserve">Some of the key practices were culturally sensitive communication, language and interpreter support, co-production and tailored services, and community engagement. There were, however, wider structural inequalities within the organisations that impacted on effectiveness such as discrimination, limited resources, healthcare access etc. The results suggest that investing in staff training is reached and then going beyond to organisational commitment, community involvement, continuing data systems, combining information with equity, and accessible interpreting is important for culturally competent care. </w:t>
      </w:r>
    </w:p>
    <w:p w14:paraId="1E2F49CA" w14:textId="2E037558" w:rsidR="00BE776A" w:rsidRPr="004D45B3" w:rsidRDefault="0007681E">
      <w:pPr>
        <w:rPr>
          <w:color w:val="000000" w:themeColor="text1"/>
        </w:rPr>
      </w:pPr>
      <w:r w:rsidRPr="004D45B3">
        <w:rPr>
          <w:color w:val="000000" w:themeColor="text1"/>
        </w:rPr>
        <w:t xml:space="preserve">Overall, culturally competent care has been found to help reduce health inequalities, but evidence does not link it directly to long-term health outcomes. </w:t>
      </w:r>
      <w:r w:rsidR="00634BD0" w:rsidRPr="004D45B3">
        <w:rPr>
          <w:color w:val="000000" w:themeColor="text1"/>
        </w:rPr>
        <w:t>Therefore,</w:t>
      </w:r>
      <w:r w:rsidRPr="004D45B3">
        <w:rPr>
          <w:color w:val="000000" w:themeColor="text1"/>
        </w:rPr>
        <w:t xml:space="preserve"> there is a need to investigate these outcomes in the future with longitudinal studies in UK healthcare settings. The review also highlights the importance of integrating culturally competent care into wider healthcare strategies rather than treating it as an isolated intervention. Strengthening organisational accountability, workforce capability and community involvement may support more equitable healthcare delivery. Further longitudinal research could clarify whether these improvements are sustained over time and translate into measurable reductions in health inequalities.</w:t>
      </w:r>
    </w:p>
    <w:p w14:paraId="172E8594" w14:textId="77777777" w:rsidR="00BE776A" w:rsidRPr="004047C2" w:rsidRDefault="0007681E">
      <w:pPr>
        <w:pStyle w:val="TOCHeading1"/>
        <w:pageBreakBefore/>
        <w:jc w:val="center"/>
        <w:outlineLvl w:val="9"/>
        <w:rPr>
          <w:b w:val="0"/>
          <w:color w:val="000000" w:themeColor="text1"/>
        </w:rPr>
      </w:pPr>
      <w:r w:rsidRPr="004047C2">
        <w:rPr>
          <w:rFonts w:cs="Arial"/>
          <w:b w:val="0"/>
          <w:color w:val="000000" w:themeColor="text1"/>
          <w:sz w:val="28"/>
          <w:szCs w:val="28"/>
        </w:rPr>
        <w:t>Table of Contents</w:t>
      </w:r>
    </w:p>
    <w:p w14:paraId="0B2C0282" w14:textId="07FDAD4E" w:rsidR="004047C2" w:rsidRPr="004047C2" w:rsidRDefault="0007681E">
      <w:pPr>
        <w:pStyle w:val="TOC1"/>
        <w:tabs>
          <w:tab w:val="right" w:leader="dot" w:pos="9016"/>
        </w:tabs>
        <w:rPr>
          <w:rFonts w:ascii="Arial" w:eastAsiaTheme="minorEastAsia" w:hAnsi="Arial" w:cs="Arial"/>
          <w:noProof/>
          <w:color w:val="auto"/>
          <w:kern w:val="2"/>
          <w:szCs w:val="24"/>
          <w:lang w:val="en-IN" w:eastAsia="en-GB"/>
          <w14:ligatures w14:val="standardContextual"/>
        </w:rPr>
      </w:pPr>
      <w:r w:rsidRPr="004047C2">
        <w:rPr>
          <w:rFonts w:ascii="Arial" w:hAnsi="Arial" w:cs="Arial"/>
          <w:color w:val="000000" w:themeColor="text1"/>
          <w:kern w:val="0"/>
          <w:sz w:val="32"/>
          <w:szCs w:val="32"/>
          <w:lang w:val="en-US"/>
        </w:rPr>
        <w:fldChar w:fldCharType="begin"/>
      </w:r>
      <w:r w:rsidRPr="004047C2">
        <w:rPr>
          <w:rFonts w:ascii="Arial" w:hAnsi="Arial" w:cs="Arial"/>
          <w:color w:val="000000" w:themeColor="text1"/>
        </w:rPr>
        <w:instrText xml:space="preserve"> TOC \o "1-3" \u \h </w:instrText>
      </w:r>
      <w:r w:rsidRPr="004047C2">
        <w:rPr>
          <w:rFonts w:ascii="Arial" w:hAnsi="Arial" w:cs="Arial"/>
          <w:color w:val="000000" w:themeColor="text1"/>
          <w:kern w:val="0"/>
          <w:sz w:val="32"/>
          <w:szCs w:val="32"/>
          <w:lang w:val="en-US"/>
        </w:rPr>
        <w:fldChar w:fldCharType="separate"/>
      </w:r>
      <w:hyperlink w:anchor="_Toc241189994" w:history="1">
        <w:r w:rsidR="004047C2" w:rsidRPr="004047C2">
          <w:rPr>
            <w:rStyle w:val="Hyperlink"/>
            <w:rFonts w:ascii="Arial" w:eastAsia="Arial" w:hAnsi="Arial" w:cs="Arial"/>
            <w:noProof/>
          </w:rPr>
          <w:t>Chapter 1: Introduction</w:t>
        </w:r>
        <w:r w:rsidR="004047C2" w:rsidRPr="004047C2">
          <w:rPr>
            <w:rFonts w:ascii="Arial" w:hAnsi="Arial" w:cs="Arial"/>
            <w:noProof/>
          </w:rPr>
          <w:tab/>
        </w:r>
        <w:r w:rsidR="004047C2" w:rsidRPr="004047C2">
          <w:rPr>
            <w:rFonts w:ascii="Arial" w:hAnsi="Arial" w:cs="Arial"/>
            <w:noProof/>
          </w:rPr>
          <w:fldChar w:fldCharType="begin"/>
        </w:r>
        <w:r w:rsidR="004047C2" w:rsidRPr="004047C2">
          <w:rPr>
            <w:rFonts w:ascii="Arial" w:hAnsi="Arial" w:cs="Arial"/>
            <w:noProof/>
          </w:rPr>
          <w:instrText xml:space="preserve"> PAGEREF _Toc241189994 \h </w:instrText>
        </w:r>
        <w:r w:rsidR="004047C2" w:rsidRPr="004047C2">
          <w:rPr>
            <w:rFonts w:ascii="Arial" w:hAnsi="Arial" w:cs="Arial"/>
            <w:noProof/>
          </w:rPr>
        </w:r>
        <w:r w:rsidR="004047C2" w:rsidRPr="004047C2">
          <w:rPr>
            <w:rFonts w:ascii="Arial" w:hAnsi="Arial" w:cs="Arial"/>
            <w:noProof/>
          </w:rPr>
          <w:fldChar w:fldCharType="separate"/>
        </w:r>
        <w:r w:rsidR="004047C2" w:rsidRPr="004047C2">
          <w:rPr>
            <w:rFonts w:ascii="Arial" w:hAnsi="Arial" w:cs="Arial"/>
            <w:noProof/>
          </w:rPr>
          <w:t>10</w:t>
        </w:r>
        <w:r w:rsidR="004047C2" w:rsidRPr="004047C2">
          <w:rPr>
            <w:rFonts w:ascii="Arial" w:hAnsi="Arial" w:cs="Arial"/>
            <w:noProof/>
          </w:rPr>
          <w:fldChar w:fldCharType="end"/>
        </w:r>
      </w:hyperlink>
    </w:p>
    <w:p w14:paraId="3268EBC7" w14:textId="340A2473"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89995" w:history="1">
        <w:r w:rsidRPr="004047C2">
          <w:rPr>
            <w:rStyle w:val="Hyperlink"/>
            <w:rFonts w:cs="Arial"/>
            <w:noProof/>
            <w:shd w:val="clear" w:color="auto" w:fill="FFFFFF"/>
          </w:rPr>
          <w:t>1.1 Background to the Study</w:t>
        </w:r>
        <w:r w:rsidRPr="004047C2">
          <w:rPr>
            <w:rFonts w:cs="Arial"/>
            <w:noProof/>
          </w:rPr>
          <w:tab/>
        </w:r>
        <w:r w:rsidRPr="004047C2">
          <w:rPr>
            <w:rFonts w:cs="Arial"/>
            <w:noProof/>
          </w:rPr>
          <w:fldChar w:fldCharType="begin"/>
        </w:r>
        <w:r w:rsidRPr="004047C2">
          <w:rPr>
            <w:rFonts w:cs="Arial"/>
            <w:noProof/>
          </w:rPr>
          <w:instrText xml:space="preserve"> PAGEREF _Toc241189995 \h </w:instrText>
        </w:r>
        <w:r w:rsidRPr="004047C2">
          <w:rPr>
            <w:rFonts w:cs="Arial"/>
            <w:noProof/>
          </w:rPr>
        </w:r>
        <w:r w:rsidRPr="004047C2">
          <w:rPr>
            <w:rFonts w:cs="Arial"/>
            <w:noProof/>
          </w:rPr>
          <w:fldChar w:fldCharType="separate"/>
        </w:r>
        <w:r w:rsidRPr="004047C2">
          <w:rPr>
            <w:rFonts w:cs="Arial"/>
            <w:noProof/>
          </w:rPr>
          <w:t>11</w:t>
        </w:r>
        <w:r w:rsidRPr="004047C2">
          <w:rPr>
            <w:rFonts w:cs="Arial"/>
            <w:noProof/>
          </w:rPr>
          <w:fldChar w:fldCharType="end"/>
        </w:r>
      </w:hyperlink>
    </w:p>
    <w:p w14:paraId="7E29EDC2" w14:textId="20CE832B"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89996" w:history="1">
        <w:r w:rsidRPr="004047C2">
          <w:rPr>
            <w:rStyle w:val="Hyperlink"/>
            <w:rFonts w:cs="Arial"/>
            <w:noProof/>
            <w:shd w:val="clear" w:color="auto" w:fill="FFFFFF"/>
          </w:rPr>
          <w:t>1.3 Problem Statement</w:t>
        </w:r>
        <w:r w:rsidRPr="004047C2">
          <w:rPr>
            <w:rFonts w:cs="Arial"/>
            <w:noProof/>
          </w:rPr>
          <w:tab/>
        </w:r>
        <w:r w:rsidRPr="004047C2">
          <w:rPr>
            <w:rFonts w:cs="Arial"/>
            <w:noProof/>
          </w:rPr>
          <w:fldChar w:fldCharType="begin"/>
        </w:r>
        <w:r w:rsidRPr="004047C2">
          <w:rPr>
            <w:rFonts w:cs="Arial"/>
            <w:noProof/>
          </w:rPr>
          <w:instrText xml:space="preserve"> PAGEREF _Toc241189996 \h </w:instrText>
        </w:r>
        <w:r w:rsidRPr="004047C2">
          <w:rPr>
            <w:rFonts w:cs="Arial"/>
            <w:noProof/>
          </w:rPr>
        </w:r>
        <w:r w:rsidRPr="004047C2">
          <w:rPr>
            <w:rFonts w:cs="Arial"/>
            <w:noProof/>
          </w:rPr>
          <w:fldChar w:fldCharType="separate"/>
        </w:r>
        <w:r w:rsidRPr="004047C2">
          <w:rPr>
            <w:rFonts w:cs="Arial"/>
            <w:noProof/>
          </w:rPr>
          <w:t>13</w:t>
        </w:r>
        <w:r w:rsidRPr="004047C2">
          <w:rPr>
            <w:rFonts w:cs="Arial"/>
            <w:noProof/>
          </w:rPr>
          <w:fldChar w:fldCharType="end"/>
        </w:r>
      </w:hyperlink>
    </w:p>
    <w:p w14:paraId="29931BB9" w14:textId="3FBAAD1B"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89997" w:history="1">
        <w:r w:rsidRPr="004047C2">
          <w:rPr>
            <w:rStyle w:val="Hyperlink"/>
            <w:rFonts w:cs="Arial"/>
            <w:noProof/>
            <w:shd w:val="clear" w:color="auto" w:fill="FFFFFF"/>
          </w:rPr>
          <w:t>1.8 Rationale</w:t>
        </w:r>
        <w:r w:rsidRPr="004047C2">
          <w:rPr>
            <w:rFonts w:cs="Arial"/>
            <w:noProof/>
          </w:rPr>
          <w:tab/>
        </w:r>
        <w:r w:rsidRPr="004047C2">
          <w:rPr>
            <w:rFonts w:cs="Arial"/>
            <w:noProof/>
          </w:rPr>
          <w:fldChar w:fldCharType="begin"/>
        </w:r>
        <w:r w:rsidRPr="004047C2">
          <w:rPr>
            <w:rFonts w:cs="Arial"/>
            <w:noProof/>
          </w:rPr>
          <w:instrText xml:space="preserve"> PAGEREF _Toc241189997 \h </w:instrText>
        </w:r>
        <w:r w:rsidRPr="004047C2">
          <w:rPr>
            <w:rFonts w:cs="Arial"/>
            <w:noProof/>
          </w:rPr>
        </w:r>
        <w:r w:rsidRPr="004047C2">
          <w:rPr>
            <w:rFonts w:cs="Arial"/>
            <w:noProof/>
          </w:rPr>
          <w:fldChar w:fldCharType="separate"/>
        </w:r>
        <w:r w:rsidRPr="004047C2">
          <w:rPr>
            <w:rFonts w:cs="Arial"/>
            <w:noProof/>
          </w:rPr>
          <w:t>15</w:t>
        </w:r>
        <w:r w:rsidRPr="004047C2">
          <w:rPr>
            <w:rFonts w:cs="Arial"/>
            <w:noProof/>
          </w:rPr>
          <w:fldChar w:fldCharType="end"/>
        </w:r>
      </w:hyperlink>
    </w:p>
    <w:p w14:paraId="0B9B3F6F" w14:textId="6083589F"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89998" w:history="1">
        <w:r w:rsidRPr="004047C2">
          <w:rPr>
            <w:rStyle w:val="Hyperlink"/>
            <w:rFonts w:cs="Arial"/>
            <w:noProof/>
            <w:shd w:val="clear" w:color="auto" w:fill="FFFFFF"/>
          </w:rPr>
          <w:t>1.9 Structure of the Dissertation</w:t>
        </w:r>
        <w:r w:rsidRPr="004047C2">
          <w:rPr>
            <w:rFonts w:cs="Arial"/>
            <w:noProof/>
          </w:rPr>
          <w:tab/>
        </w:r>
        <w:r w:rsidRPr="004047C2">
          <w:rPr>
            <w:rFonts w:cs="Arial"/>
            <w:noProof/>
          </w:rPr>
          <w:fldChar w:fldCharType="begin"/>
        </w:r>
        <w:r w:rsidRPr="004047C2">
          <w:rPr>
            <w:rFonts w:cs="Arial"/>
            <w:noProof/>
          </w:rPr>
          <w:instrText xml:space="preserve"> PAGEREF _Toc241189998 \h </w:instrText>
        </w:r>
        <w:r w:rsidRPr="004047C2">
          <w:rPr>
            <w:rFonts w:cs="Arial"/>
            <w:noProof/>
          </w:rPr>
        </w:r>
        <w:r w:rsidRPr="004047C2">
          <w:rPr>
            <w:rFonts w:cs="Arial"/>
            <w:noProof/>
          </w:rPr>
          <w:fldChar w:fldCharType="separate"/>
        </w:r>
        <w:r w:rsidRPr="004047C2">
          <w:rPr>
            <w:rFonts w:cs="Arial"/>
            <w:noProof/>
          </w:rPr>
          <w:t>16</w:t>
        </w:r>
        <w:r w:rsidRPr="004047C2">
          <w:rPr>
            <w:rFonts w:cs="Arial"/>
            <w:noProof/>
          </w:rPr>
          <w:fldChar w:fldCharType="end"/>
        </w:r>
      </w:hyperlink>
    </w:p>
    <w:p w14:paraId="5DDD33C7" w14:textId="5344F3B3"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89999" w:history="1">
        <w:r w:rsidRPr="004047C2">
          <w:rPr>
            <w:rStyle w:val="Hyperlink"/>
            <w:rFonts w:cs="Arial"/>
            <w:noProof/>
            <w:shd w:val="clear" w:color="auto" w:fill="FFFFFF"/>
          </w:rPr>
          <w:t>1.4 Aim of the Study</w:t>
        </w:r>
        <w:r w:rsidRPr="004047C2">
          <w:rPr>
            <w:rFonts w:cs="Arial"/>
            <w:noProof/>
          </w:rPr>
          <w:tab/>
        </w:r>
        <w:r w:rsidRPr="004047C2">
          <w:rPr>
            <w:rFonts w:cs="Arial"/>
            <w:noProof/>
          </w:rPr>
          <w:fldChar w:fldCharType="begin"/>
        </w:r>
        <w:r w:rsidRPr="004047C2">
          <w:rPr>
            <w:rFonts w:cs="Arial"/>
            <w:noProof/>
          </w:rPr>
          <w:instrText xml:space="preserve"> PAGEREF _Toc241189999 \h </w:instrText>
        </w:r>
        <w:r w:rsidRPr="004047C2">
          <w:rPr>
            <w:rFonts w:cs="Arial"/>
            <w:noProof/>
          </w:rPr>
        </w:r>
        <w:r w:rsidRPr="004047C2">
          <w:rPr>
            <w:rFonts w:cs="Arial"/>
            <w:noProof/>
          </w:rPr>
          <w:fldChar w:fldCharType="separate"/>
        </w:r>
        <w:r w:rsidRPr="004047C2">
          <w:rPr>
            <w:rFonts w:cs="Arial"/>
            <w:noProof/>
          </w:rPr>
          <w:t>17</w:t>
        </w:r>
        <w:r w:rsidRPr="004047C2">
          <w:rPr>
            <w:rFonts w:cs="Arial"/>
            <w:noProof/>
          </w:rPr>
          <w:fldChar w:fldCharType="end"/>
        </w:r>
      </w:hyperlink>
    </w:p>
    <w:p w14:paraId="0A184AD0" w14:textId="71925E5A"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00" w:history="1">
        <w:r w:rsidRPr="004047C2">
          <w:rPr>
            <w:rStyle w:val="Hyperlink"/>
            <w:rFonts w:cs="Arial"/>
            <w:noProof/>
            <w:shd w:val="clear" w:color="auto" w:fill="FFFFFF"/>
          </w:rPr>
          <w:t>1.5 Research Objectives</w:t>
        </w:r>
        <w:r w:rsidRPr="004047C2">
          <w:rPr>
            <w:rFonts w:cs="Arial"/>
            <w:noProof/>
          </w:rPr>
          <w:tab/>
        </w:r>
        <w:r w:rsidRPr="004047C2">
          <w:rPr>
            <w:rFonts w:cs="Arial"/>
            <w:noProof/>
          </w:rPr>
          <w:fldChar w:fldCharType="begin"/>
        </w:r>
        <w:r w:rsidRPr="004047C2">
          <w:rPr>
            <w:rFonts w:cs="Arial"/>
            <w:noProof/>
          </w:rPr>
          <w:instrText xml:space="preserve"> PAGEREF _Toc241190000 \h </w:instrText>
        </w:r>
        <w:r w:rsidRPr="004047C2">
          <w:rPr>
            <w:rFonts w:cs="Arial"/>
            <w:noProof/>
          </w:rPr>
        </w:r>
        <w:r w:rsidRPr="004047C2">
          <w:rPr>
            <w:rFonts w:cs="Arial"/>
            <w:noProof/>
          </w:rPr>
          <w:fldChar w:fldCharType="separate"/>
        </w:r>
        <w:r w:rsidRPr="004047C2">
          <w:rPr>
            <w:rFonts w:cs="Arial"/>
            <w:noProof/>
          </w:rPr>
          <w:t>17</w:t>
        </w:r>
        <w:r w:rsidRPr="004047C2">
          <w:rPr>
            <w:rFonts w:cs="Arial"/>
            <w:noProof/>
          </w:rPr>
          <w:fldChar w:fldCharType="end"/>
        </w:r>
      </w:hyperlink>
    </w:p>
    <w:p w14:paraId="60FAC828" w14:textId="3EA7ED64"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01" w:history="1">
        <w:r w:rsidRPr="004047C2">
          <w:rPr>
            <w:rStyle w:val="Hyperlink"/>
            <w:rFonts w:cs="Arial"/>
            <w:noProof/>
            <w:shd w:val="clear" w:color="auto" w:fill="FFFFFF"/>
          </w:rPr>
          <w:t>1.6 Primary research question</w:t>
        </w:r>
        <w:r w:rsidRPr="004047C2">
          <w:rPr>
            <w:rFonts w:cs="Arial"/>
            <w:noProof/>
          </w:rPr>
          <w:tab/>
        </w:r>
        <w:r w:rsidRPr="004047C2">
          <w:rPr>
            <w:rFonts w:cs="Arial"/>
            <w:noProof/>
          </w:rPr>
          <w:fldChar w:fldCharType="begin"/>
        </w:r>
        <w:r w:rsidRPr="004047C2">
          <w:rPr>
            <w:rFonts w:cs="Arial"/>
            <w:noProof/>
          </w:rPr>
          <w:instrText xml:space="preserve"> PAGEREF _Toc241190001 \h </w:instrText>
        </w:r>
        <w:r w:rsidRPr="004047C2">
          <w:rPr>
            <w:rFonts w:cs="Arial"/>
            <w:noProof/>
          </w:rPr>
        </w:r>
        <w:r w:rsidRPr="004047C2">
          <w:rPr>
            <w:rFonts w:cs="Arial"/>
            <w:noProof/>
          </w:rPr>
          <w:fldChar w:fldCharType="separate"/>
        </w:r>
        <w:r w:rsidRPr="004047C2">
          <w:rPr>
            <w:rFonts w:cs="Arial"/>
            <w:noProof/>
          </w:rPr>
          <w:t>17</w:t>
        </w:r>
        <w:r w:rsidRPr="004047C2">
          <w:rPr>
            <w:rFonts w:cs="Arial"/>
            <w:noProof/>
          </w:rPr>
          <w:fldChar w:fldCharType="end"/>
        </w:r>
      </w:hyperlink>
    </w:p>
    <w:p w14:paraId="0FDD8206" w14:textId="122E142C"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02" w:history="1">
        <w:r w:rsidRPr="004047C2">
          <w:rPr>
            <w:rStyle w:val="Hyperlink"/>
            <w:rFonts w:eastAsia="Arial" w:cs="Arial"/>
            <w:noProof/>
            <w:shd w:val="clear" w:color="auto" w:fill="FFFFFF"/>
          </w:rPr>
          <w:t>1.7 Secondary research questions</w:t>
        </w:r>
        <w:r w:rsidRPr="004047C2">
          <w:rPr>
            <w:rFonts w:cs="Arial"/>
            <w:noProof/>
          </w:rPr>
          <w:tab/>
        </w:r>
        <w:r w:rsidRPr="004047C2">
          <w:rPr>
            <w:rFonts w:cs="Arial"/>
            <w:noProof/>
          </w:rPr>
          <w:fldChar w:fldCharType="begin"/>
        </w:r>
        <w:r w:rsidRPr="004047C2">
          <w:rPr>
            <w:rFonts w:cs="Arial"/>
            <w:noProof/>
          </w:rPr>
          <w:instrText xml:space="preserve"> PAGEREF _Toc241190002 \h </w:instrText>
        </w:r>
        <w:r w:rsidRPr="004047C2">
          <w:rPr>
            <w:rFonts w:cs="Arial"/>
            <w:noProof/>
          </w:rPr>
        </w:r>
        <w:r w:rsidRPr="004047C2">
          <w:rPr>
            <w:rFonts w:cs="Arial"/>
            <w:noProof/>
          </w:rPr>
          <w:fldChar w:fldCharType="separate"/>
        </w:r>
        <w:r w:rsidRPr="004047C2">
          <w:rPr>
            <w:rFonts w:cs="Arial"/>
            <w:noProof/>
          </w:rPr>
          <w:t>17</w:t>
        </w:r>
        <w:r w:rsidRPr="004047C2">
          <w:rPr>
            <w:rFonts w:cs="Arial"/>
            <w:noProof/>
          </w:rPr>
          <w:fldChar w:fldCharType="end"/>
        </w:r>
      </w:hyperlink>
    </w:p>
    <w:p w14:paraId="3FD1CB57" w14:textId="0412209B"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03" w:history="1">
        <w:r w:rsidRPr="004047C2">
          <w:rPr>
            <w:rStyle w:val="Hyperlink"/>
            <w:rFonts w:cs="Arial"/>
            <w:noProof/>
          </w:rPr>
          <w:t>2.1 Statistics of Ethnic Minority Groups Disadvantaged by the Healthcare System in the UK</w:t>
        </w:r>
        <w:r w:rsidRPr="004047C2">
          <w:rPr>
            <w:rFonts w:cs="Arial"/>
            <w:noProof/>
          </w:rPr>
          <w:tab/>
        </w:r>
        <w:r w:rsidRPr="004047C2">
          <w:rPr>
            <w:rFonts w:cs="Arial"/>
            <w:noProof/>
          </w:rPr>
          <w:fldChar w:fldCharType="begin"/>
        </w:r>
        <w:r w:rsidRPr="004047C2">
          <w:rPr>
            <w:rFonts w:cs="Arial"/>
            <w:noProof/>
          </w:rPr>
          <w:instrText xml:space="preserve"> PAGEREF _Toc241190003 \h </w:instrText>
        </w:r>
        <w:r w:rsidRPr="004047C2">
          <w:rPr>
            <w:rFonts w:cs="Arial"/>
            <w:noProof/>
          </w:rPr>
        </w:r>
        <w:r w:rsidRPr="004047C2">
          <w:rPr>
            <w:rFonts w:cs="Arial"/>
            <w:noProof/>
          </w:rPr>
          <w:fldChar w:fldCharType="separate"/>
        </w:r>
        <w:r w:rsidRPr="004047C2">
          <w:rPr>
            <w:rFonts w:cs="Arial"/>
            <w:noProof/>
          </w:rPr>
          <w:t>19</w:t>
        </w:r>
        <w:r w:rsidRPr="004047C2">
          <w:rPr>
            <w:rFonts w:cs="Arial"/>
            <w:noProof/>
          </w:rPr>
          <w:fldChar w:fldCharType="end"/>
        </w:r>
      </w:hyperlink>
    </w:p>
    <w:p w14:paraId="6E72940E" w14:textId="3F52946D"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04" w:history="1">
        <w:r w:rsidRPr="004047C2">
          <w:rPr>
            <w:rStyle w:val="Hyperlink"/>
            <w:rFonts w:cs="Arial"/>
            <w:noProof/>
          </w:rPr>
          <w:t>2.2 Key components and practices of culturally competent care implemented within the UK healthcare system</w:t>
        </w:r>
        <w:r w:rsidRPr="004047C2">
          <w:rPr>
            <w:rFonts w:cs="Arial"/>
            <w:noProof/>
          </w:rPr>
          <w:tab/>
        </w:r>
        <w:r w:rsidRPr="004047C2">
          <w:rPr>
            <w:rFonts w:cs="Arial"/>
            <w:noProof/>
          </w:rPr>
          <w:fldChar w:fldCharType="begin"/>
        </w:r>
        <w:r w:rsidRPr="004047C2">
          <w:rPr>
            <w:rFonts w:cs="Arial"/>
            <w:noProof/>
          </w:rPr>
          <w:instrText xml:space="preserve"> PAGEREF _Toc241190004 \h </w:instrText>
        </w:r>
        <w:r w:rsidRPr="004047C2">
          <w:rPr>
            <w:rFonts w:cs="Arial"/>
            <w:noProof/>
          </w:rPr>
        </w:r>
        <w:r w:rsidRPr="004047C2">
          <w:rPr>
            <w:rFonts w:cs="Arial"/>
            <w:noProof/>
          </w:rPr>
          <w:fldChar w:fldCharType="separate"/>
        </w:r>
        <w:r w:rsidRPr="004047C2">
          <w:rPr>
            <w:rFonts w:cs="Arial"/>
            <w:noProof/>
          </w:rPr>
          <w:t>20</w:t>
        </w:r>
        <w:r w:rsidRPr="004047C2">
          <w:rPr>
            <w:rFonts w:cs="Arial"/>
            <w:noProof/>
          </w:rPr>
          <w:fldChar w:fldCharType="end"/>
        </w:r>
      </w:hyperlink>
    </w:p>
    <w:p w14:paraId="3CA6D9EB" w14:textId="643F07B2"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05" w:history="1">
        <w:r w:rsidRPr="004047C2">
          <w:rPr>
            <w:rStyle w:val="Hyperlink"/>
            <w:rFonts w:cs="Arial"/>
            <w:noProof/>
          </w:rPr>
          <w:t>2.3 Health inequalities experienced by ethnic minority communities in the UK</w:t>
        </w:r>
        <w:r w:rsidRPr="004047C2">
          <w:rPr>
            <w:rFonts w:cs="Arial"/>
            <w:noProof/>
          </w:rPr>
          <w:tab/>
        </w:r>
        <w:r w:rsidRPr="004047C2">
          <w:rPr>
            <w:rFonts w:cs="Arial"/>
            <w:noProof/>
          </w:rPr>
          <w:fldChar w:fldCharType="begin"/>
        </w:r>
        <w:r w:rsidRPr="004047C2">
          <w:rPr>
            <w:rFonts w:cs="Arial"/>
            <w:noProof/>
          </w:rPr>
          <w:instrText xml:space="preserve"> PAGEREF _Toc241190005 \h </w:instrText>
        </w:r>
        <w:r w:rsidRPr="004047C2">
          <w:rPr>
            <w:rFonts w:cs="Arial"/>
            <w:noProof/>
          </w:rPr>
        </w:r>
        <w:r w:rsidRPr="004047C2">
          <w:rPr>
            <w:rFonts w:cs="Arial"/>
            <w:noProof/>
          </w:rPr>
          <w:fldChar w:fldCharType="separate"/>
        </w:r>
        <w:r w:rsidRPr="004047C2">
          <w:rPr>
            <w:rFonts w:cs="Arial"/>
            <w:noProof/>
          </w:rPr>
          <w:t>21</w:t>
        </w:r>
        <w:r w:rsidRPr="004047C2">
          <w:rPr>
            <w:rFonts w:cs="Arial"/>
            <w:noProof/>
          </w:rPr>
          <w:fldChar w:fldCharType="end"/>
        </w:r>
      </w:hyperlink>
    </w:p>
    <w:p w14:paraId="6802D75F" w14:textId="4E7A22DA"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06" w:history="1">
        <w:r w:rsidRPr="004047C2">
          <w:rPr>
            <w:rStyle w:val="Hyperlink"/>
            <w:rFonts w:cs="Arial"/>
            <w:noProof/>
          </w:rPr>
          <w:t>2.4 How culturally competent care can help reduce health inequalities among ethnic minorities</w:t>
        </w:r>
        <w:r w:rsidRPr="004047C2">
          <w:rPr>
            <w:rFonts w:cs="Arial"/>
            <w:noProof/>
          </w:rPr>
          <w:tab/>
        </w:r>
        <w:r w:rsidRPr="004047C2">
          <w:rPr>
            <w:rFonts w:cs="Arial"/>
            <w:noProof/>
          </w:rPr>
          <w:fldChar w:fldCharType="begin"/>
        </w:r>
        <w:r w:rsidRPr="004047C2">
          <w:rPr>
            <w:rFonts w:cs="Arial"/>
            <w:noProof/>
          </w:rPr>
          <w:instrText xml:space="preserve"> PAGEREF _Toc241190006 \h </w:instrText>
        </w:r>
        <w:r w:rsidRPr="004047C2">
          <w:rPr>
            <w:rFonts w:cs="Arial"/>
            <w:noProof/>
          </w:rPr>
        </w:r>
        <w:r w:rsidRPr="004047C2">
          <w:rPr>
            <w:rFonts w:cs="Arial"/>
            <w:noProof/>
          </w:rPr>
          <w:fldChar w:fldCharType="separate"/>
        </w:r>
        <w:r w:rsidRPr="004047C2">
          <w:rPr>
            <w:rFonts w:cs="Arial"/>
            <w:noProof/>
          </w:rPr>
          <w:t>23</w:t>
        </w:r>
        <w:r w:rsidRPr="004047C2">
          <w:rPr>
            <w:rFonts w:cs="Arial"/>
            <w:noProof/>
          </w:rPr>
          <w:fldChar w:fldCharType="end"/>
        </w:r>
      </w:hyperlink>
    </w:p>
    <w:p w14:paraId="500D50E5" w14:textId="6414C546"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07" w:history="1">
        <w:r w:rsidRPr="004047C2">
          <w:rPr>
            <w:rStyle w:val="Hyperlink"/>
            <w:rFonts w:cs="Arial"/>
            <w:noProof/>
          </w:rPr>
          <w:t>2.5 Barriers influencing implementation within the UK</w:t>
        </w:r>
        <w:r w:rsidRPr="004047C2">
          <w:rPr>
            <w:rFonts w:cs="Arial"/>
            <w:noProof/>
          </w:rPr>
          <w:tab/>
        </w:r>
        <w:r w:rsidRPr="004047C2">
          <w:rPr>
            <w:rFonts w:cs="Arial"/>
            <w:noProof/>
          </w:rPr>
          <w:fldChar w:fldCharType="begin"/>
        </w:r>
        <w:r w:rsidRPr="004047C2">
          <w:rPr>
            <w:rFonts w:cs="Arial"/>
            <w:noProof/>
          </w:rPr>
          <w:instrText xml:space="preserve"> PAGEREF _Toc241190007 \h </w:instrText>
        </w:r>
        <w:r w:rsidRPr="004047C2">
          <w:rPr>
            <w:rFonts w:cs="Arial"/>
            <w:noProof/>
          </w:rPr>
        </w:r>
        <w:r w:rsidRPr="004047C2">
          <w:rPr>
            <w:rFonts w:cs="Arial"/>
            <w:noProof/>
          </w:rPr>
          <w:fldChar w:fldCharType="separate"/>
        </w:r>
        <w:r w:rsidRPr="004047C2">
          <w:rPr>
            <w:rFonts w:cs="Arial"/>
            <w:noProof/>
          </w:rPr>
          <w:t>25</w:t>
        </w:r>
        <w:r w:rsidRPr="004047C2">
          <w:rPr>
            <w:rFonts w:cs="Arial"/>
            <w:noProof/>
          </w:rPr>
          <w:fldChar w:fldCharType="end"/>
        </w:r>
      </w:hyperlink>
    </w:p>
    <w:p w14:paraId="29E544EC" w14:textId="52C79C5C"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08" w:history="1">
        <w:r w:rsidRPr="004047C2">
          <w:rPr>
            <w:rStyle w:val="Hyperlink"/>
            <w:rFonts w:cs="Arial"/>
            <w:noProof/>
          </w:rPr>
          <w:t>2.6 Facilitators influencing implementation within the UK</w:t>
        </w:r>
        <w:r w:rsidRPr="004047C2">
          <w:rPr>
            <w:rFonts w:cs="Arial"/>
            <w:noProof/>
          </w:rPr>
          <w:tab/>
        </w:r>
        <w:r w:rsidRPr="004047C2">
          <w:rPr>
            <w:rFonts w:cs="Arial"/>
            <w:noProof/>
          </w:rPr>
          <w:fldChar w:fldCharType="begin"/>
        </w:r>
        <w:r w:rsidRPr="004047C2">
          <w:rPr>
            <w:rFonts w:cs="Arial"/>
            <w:noProof/>
          </w:rPr>
          <w:instrText xml:space="preserve"> PAGEREF _Toc241190008 \h </w:instrText>
        </w:r>
        <w:r w:rsidRPr="004047C2">
          <w:rPr>
            <w:rFonts w:cs="Arial"/>
            <w:noProof/>
          </w:rPr>
        </w:r>
        <w:r w:rsidRPr="004047C2">
          <w:rPr>
            <w:rFonts w:cs="Arial"/>
            <w:noProof/>
          </w:rPr>
          <w:fldChar w:fldCharType="separate"/>
        </w:r>
        <w:r w:rsidRPr="004047C2">
          <w:rPr>
            <w:rFonts w:cs="Arial"/>
            <w:noProof/>
          </w:rPr>
          <w:t>27</w:t>
        </w:r>
        <w:r w:rsidRPr="004047C2">
          <w:rPr>
            <w:rFonts w:cs="Arial"/>
            <w:noProof/>
          </w:rPr>
          <w:fldChar w:fldCharType="end"/>
        </w:r>
      </w:hyperlink>
    </w:p>
    <w:p w14:paraId="5B91E281" w14:textId="2BA18F12"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09" w:history="1">
        <w:r w:rsidRPr="004047C2">
          <w:rPr>
            <w:rStyle w:val="Hyperlink"/>
            <w:rFonts w:cs="Arial"/>
            <w:noProof/>
          </w:rPr>
          <w:t>2.7 Improvements to culturally competent healthcare practices within the UK</w:t>
        </w:r>
        <w:r w:rsidRPr="004047C2">
          <w:rPr>
            <w:rFonts w:cs="Arial"/>
            <w:noProof/>
          </w:rPr>
          <w:tab/>
        </w:r>
        <w:r w:rsidRPr="004047C2">
          <w:rPr>
            <w:rFonts w:cs="Arial"/>
            <w:noProof/>
          </w:rPr>
          <w:fldChar w:fldCharType="begin"/>
        </w:r>
        <w:r w:rsidRPr="004047C2">
          <w:rPr>
            <w:rFonts w:cs="Arial"/>
            <w:noProof/>
          </w:rPr>
          <w:instrText xml:space="preserve"> PAGEREF _Toc241190009 \h </w:instrText>
        </w:r>
        <w:r w:rsidRPr="004047C2">
          <w:rPr>
            <w:rFonts w:cs="Arial"/>
            <w:noProof/>
          </w:rPr>
        </w:r>
        <w:r w:rsidRPr="004047C2">
          <w:rPr>
            <w:rFonts w:cs="Arial"/>
            <w:noProof/>
          </w:rPr>
          <w:fldChar w:fldCharType="separate"/>
        </w:r>
        <w:r w:rsidRPr="004047C2">
          <w:rPr>
            <w:rFonts w:cs="Arial"/>
            <w:noProof/>
          </w:rPr>
          <w:t>30</w:t>
        </w:r>
        <w:r w:rsidRPr="004047C2">
          <w:rPr>
            <w:rFonts w:cs="Arial"/>
            <w:noProof/>
          </w:rPr>
          <w:fldChar w:fldCharType="end"/>
        </w:r>
      </w:hyperlink>
    </w:p>
    <w:p w14:paraId="06AB67BA" w14:textId="74D381FD"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10" w:history="1">
        <w:r w:rsidRPr="004047C2">
          <w:rPr>
            <w:rStyle w:val="Hyperlink"/>
            <w:rFonts w:cs="Arial"/>
            <w:noProof/>
          </w:rPr>
          <w:t>2.8 Research Gap</w:t>
        </w:r>
        <w:r w:rsidRPr="004047C2">
          <w:rPr>
            <w:rFonts w:cs="Arial"/>
            <w:noProof/>
          </w:rPr>
          <w:tab/>
        </w:r>
        <w:r w:rsidRPr="004047C2">
          <w:rPr>
            <w:rFonts w:cs="Arial"/>
            <w:noProof/>
          </w:rPr>
          <w:fldChar w:fldCharType="begin"/>
        </w:r>
        <w:r w:rsidRPr="004047C2">
          <w:rPr>
            <w:rFonts w:cs="Arial"/>
            <w:noProof/>
          </w:rPr>
          <w:instrText xml:space="preserve"> PAGEREF _Toc241190010 \h </w:instrText>
        </w:r>
        <w:r w:rsidRPr="004047C2">
          <w:rPr>
            <w:rFonts w:cs="Arial"/>
            <w:noProof/>
          </w:rPr>
        </w:r>
        <w:r w:rsidRPr="004047C2">
          <w:rPr>
            <w:rFonts w:cs="Arial"/>
            <w:noProof/>
          </w:rPr>
          <w:fldChar w:fldCharType="separate"/>
        </w:r>
        <w:r w:rsidRPr="004047C2">
          <w:rPr>
            <w:rFonts w:cs="Arial"/>
            <w:noProof/>
          </w:rPr>
          <w:t>31</w:t>
        </w:r>
        <w:r w:rsidRPr="004047C2">
          <w:rPr>
            <w:rFonts w:cs="Arial"/>
            <w:noProof/>
          </w:rPr>
          <w:fldChar w:fldCharType="end"/>
        </w:r>
      </w:hyperlink>
    </w:p>
    <w:p w14:paraId="78B6FD85" w14:textId="2A5FF7DF"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11" w:history="1">
        <w:r w:rsidRPr="004047C2">
          <w:rPr>
            <w:rStyle w:val="Hyperlink"/>
            <w:rFonts w:cs="Arial"/>
            <w:noProof/>
          </w:rPr>
          <w:t>Fundamental Cause Theory (FCT)</w:t>
        </w:r>
        <w:r w:rsidRPr="004047C2">
          <w:rPr>
            <w:rFonts w:cs="Arial"/>
            <w:noProof/>
          </w:rPr>
          <w:tab/>
        </w:r>
        <w:r w:rsidRPr="004047C2">
          <w:rPr>
            <w:rFonts w:cs="Arial"/>
            <w:noProof/>
          </w:rPr>
          <w:fldChar w:fldCharType="begin"/>
        </w:r>
        <w:r w:rsidRPr="004047C2">
          <w:rPr>
            <w:rFonts w:cs="Arial"/>
            <w:noProof/>
          </w:rPr>
          <w:instrText xml:space="preserve"> PAGEREF _Toc241190011 \h </w:instrText>
        </w:r>
        <w:r w:rsidRPr="004047C2">
          <w:rPr>
            <w:rFonts w:cs="Arial"/>
            <w:noProof/>
          </w:rPr>
        </w:r>
        <w:r w:rsidRPr="004047C2">
          <w:rPr>
            <w:rFonts w:cs="Arial"/>
            <w:noProof/>
          </w:rPr>
          <w:fldChar w:fldCharType="separate"/>
        </w:r>
        <w:r w:rsidRPr="004047C2">
          <w:rPr>
            <w:rFonts w:cs="Arial"/>
            <w:noProof/>
          </w:rPr>
          <w:t>34</w:t>
        </w:r>
        <w:r w:rsidRPr="004047C2">
          <w:rPr>
            <w:rFonts w:cs="Arial"/>
            <w:noProof/>
          </w:rPr>
          <w:fldChar w:fldCharType="end"/>
        </w:r>
      </w:hyperlink>
    </w:p>
    <w:p w14:paraId="1F28C4F0" w14:textId="3CDFCCE0" w:rsidR="004047C2" w:rsidRPr="004047C2" w:rsidRDefault="004047C2">
      <w:pPr>
        <w:pStyle w:val="TOC1"/>
        <w:tabs>
          <w:tab w:val="right" w:leader="dot" w:pos="9016"/>
        </w:tabs>
        <w:rPr>
          <w:rFonts w:ascii="Arial" w:eastAsiaTheme="minorEastAsia" w:hAnsi="Arial" w:cs="Arial"/>
          <w:noProof/>
          <w:color w:val="auto"/>
          <w:kern w:val="2"/>
          <w:szCs w:val="24"/>
          <w:lang w:val="en-IN" w:eastAsia="en-GB"/>
          <w14:ligatures w14:val="standardContextual"/>
        </w:rPr>
      </w:pPr>
      <w:hyperlink w:anchor="_Toc241190012" w:history="1">
        <w:r w:rsidRPr="004047C2">
          <w:rPr>
            <w:rStyle w:val="Hyperlink"/>
            <w:rFonts w:ascii="Arial" w:eastAsia="Arial" w:hAnsi="Arial" w:cs="Arial"/>
            <w:noProof/>
          </w:rPr>
          <w:t>Chapter 3: Research Methodology</w:t>
        </w:r>
        <w:r w:rsidRPr="004047C2">
          <w:rPr>
            <w:rFonts w:ascii="Arial" w:hAnsi="Arial" w:cs="Arial"/>
            <w:noProof/>
          </w:rPr>
          <w:tab/>
        </w:r>
        <w:r w:rsidRPr="004047C2">
          <w:rPr>
            <w:rFonts w:ascii="Arial" w:hAnsi="Arial" w:cs="Arial"/>
            <w:noProof/>
          </w:rPr>
          <w:fldChar w:fldCharType="begin"/>
        </w:r>
        <w:r w:rsidRPr="004047C2">
          <w:rPr>
            <w:rFonts w:ascii="Arial" w:hAnsi="Arial" w:cs="Arial"/>
            <w:noProof/>
          </w:rPr>
          <w:instrText xml:space="preserve"> PAGEREF _Toc241190012 \h </w:instrText>
        </w:r>
        <w:r w:rsidRPr="004047C2">
          <w:rPr>
            <w:rFonts w:ascii="Arial" w:hAnsi="Arial" w:cs="Arial"/>
            <w:noProof/>
          </w:rPr>
        </w:r>
        <w:r w:rsidRPr="004047C2">
          <w:rPr>
            <w:rFonts w:ascii="Arial" w:hAnsi="Arial" w:cs="Arial"/>
            <w:noProof/>
          </w:rPr>
          <w:fldChar w:fldCharType="separate"/>
        </w:r>
        <w:r w:rsidRPr="004047C2">
          <w:rPr>
            <w:rFonts w:ascii="Arial" w:hAnsi="Arial" w:cs="Arial"/>
            <w:noProof/>
          </w:rPr>
          <w:t>37</w:t>
        </w:r>
        <w:r w:rsidRPr="004047C2">
          <w:rPr>
            <w:rFonts w:ascii="Arial" w:hAnsi="Arial" w:cs="Arial"/>
            <w:noProof/>
          </w:rPr>
          <w:fldChar w:fldCharType="end"/>
        </w:r>
      </w:hyperlink>
    </w:p>
    <w:p w14:paraId="7A17FB22" w14:textId="1489844C"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13" w:history="1">
        <w:r w:rsidRPr="004047C2">
          <w:rPr>
            <w:rStyle w:val="Hyperlink"/>
            <w:rFonts w:cs="Arial"/>
            <w:noProof/>
          </w:rPr>
          <w:t>3.1 Research Philosophy</w:t>
        </w:r>
        <w:r w:rsidRPr="004047C2">
          <w:rPr>
            <w:rFonts w:cs="Arial"/>
            <w:noProof/>
          </w:rPr>
          <w:tab/>
        </w:r>
        <w:r w:rsidRPr="004047C2">
          <w:rPr>
            <w:rFonts w:cs="Arial"/>
            <w:noProof/>
          </w:rPr>
          <w:fldChar w:fldCharType="begin"/>
        </w:r>
        <w:r w:rsidRPr="004047C2">
          <w:rPr>
            <w:rFonts w:cs="Arial"/>
            <w:noProof/>
          </w:rPr>
          <w:instrText xml:space="preserve"> PAGEREF _Toc241190013 \h </w:instrText>
        </w:r>
        <w:r w:rsidRPr="004047C2">
          <w:rPr>
            <w:rFonts w:cs="Arial"/>
            <w:noProof/>
          </w:rPr>
        </w:r>
        <w:r w:rsidRPr="004047C2">
          <w:rPr>
            <w:rFonts w:cs="Arial"/>
            <w:noProof/>
          </w:rPr>
          <w:fldChar w:fldCharType="separate"/>
        </w:r>
        <w:r w:rsidRPr="004047C2">
          <w:rPr>
            <w:rFonts w:cs="Arial"/>
            <w:noProof/>
          </w:rPr>
          <w:t>37</w:t>
        </w:r>
        <w:r w:rsidRPr="004047C2">
          <w:rPr>
            <w:rFonts w:cs="Arial"/>
            <w:noProof/>
          </w:rPr>
          <w:fldChar w:fldCharType="end"/>
        </w:r>
      </w:hyperlink>
    </w:p>
    <w:p w14:paraId="050A404A" w14:textId="2BF9F663"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14" w:history="1">
        <w:r w:rsidRPr="004047C2">
          <w:rPr>
            <w:rStyle w:val="Hyperlink"/>
            <w:rFonts w:cs="Arial"/>
            <w:noProof/>
          </w:rPr>
          <w:t>3.2 Research Approach</w:t>
        </w:r>
        <w:r w:rsidRPr="004047C2">
          <w:rPr>
            <w:rFonts w:cs="Arial"/>
            <w:noProof/>
          </w:rPr>
          <w:tab/>
        </w:r>
        <w:r w:rsidRPr="004047C2">
          <w:rPr>
            <w:rFonts w:cs="Arial"/>
            <w:noProof/>
          </w:rPr>
          <w:fldChar w:fldCharType="begin"/>
        </w:r>
        <w:r w:rsidRPr="004047C2">
          <w:rPr>
            <w:rFonts w:cs="Arial"/>
            <w:noProof/>
          </w:rPr>
          <w:instrText xml:space="preserve"> PAGEREF _Toc241190014 \h </w:instrText>
        </w:r>
        <w:r w:rsidRPr="004047C2">
          <w:rPr>
            <w:rFonts w:cs="Arial"/>
            <w:noProof/>
          </w:rPr>
        </w:r>
        <w:r w:rsidRPr="004047C2">
          <w:rPr>
            <w:rFonts w:cs="Arial"/>
            <w:noProof/>
          </w:rPr>
          <w:fldChar w:fldCharType="separate"/>
        </w:r>
        <w:r w:rsidRPr="004047C2">
          <w:rPr>
            <w:rFonts w:cs="Arial"/>
            <w:noProof/>
          </w:rPr>
          <w:t>37</w:t>
        </w:r>
        <w:r w:rsidRPr="004047C2">
          <w:rPr>
            <w:rFonts w:cs="Arial"/>
            <w:noProof/>
          </w:rPr>
          <w:fldChar w:fldCharType="end"/>
        </w:r>
      </w:hyperlink>
    </w:p>
    <w:p w14:paraId="755110CD" w14:textId="276E5F0D"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15" w:history="1">
        <w:r w:rsidRPr="004047C2">
          <w:rPr>
            <w:rStyle w:val="Hyperlink"/>
            <w:rFonts w:cs="Arial"/>
            <w:noProof/>
          </w:rPr>
          <w:t>3.3 Research Design: Systematic Literature Review</w:t>
        </w:r>
        <w:r w:rsidRPr="004047C2">
          <w:rPr>
            <w:rFonts w:cs="Arial"/>
            <w:noProof/>
          </w:rPr>
          <w:tab/>
        </w:r>
        <w:r w:rsidRPr="004047C2">
          <w:rPr>
            <w:rFonts w:cs="Arial"/>
            <w:noProof/>
          </w:rPr>
          <w:fldChar w:fldCharType="begin"/>
        </w:r>
        <w:r w:rsidRPr="004047C2">
          <w:rPr>
            <w:rFonts w:cs="Arial"/>
            <w:noProof/>
          </w:rPr>
          <w:instrText xml:space="preserve"> PAGEREF _Toc241190015 \h </w:instrText>
        </w:r>
        <w:r w:rsidRPr="004047C2">
          <w:rPr>
            <w:rFonts w:cs="Arial"/>
            <w:noProof/>
          </w:rPr>
        </w:r>
        <w:r w:rsidRPr="004047C2">
          <w:rPr>
            <w:rFonts w:cs="Arial"/>
            <w:noProof/>
          </w:rPr>
          <w:fldChar w:fldCharType="separate"/>
        </w:r>
        <w:r w:rsidRPr="004047C2">
          <w:rPr>
            <w:rFonts w:cs="Arial"/>
            <w:noProof/>
          </w:rPr>
          <w:t>38</w:t>
        </w:r>
        <w:r w:rsidRPr="004047C2">
          <w:rPr>
            <w:rFonts w:cs="Arial"/>
            <w:noProof/>
          </w:rPr>
          <w:fldChar w:fldCharType="end"/>
        </w:r>
      </w:hyperlink>
    </w:p>
    <w:p w14:paraId="41FE71F9" w14:textId="717CBCAD"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16" w:history="1">
        <w:r w:rsidRPr="004047C2">
          <w:rPr>
            <w:rStyle w:val="Hyperlink"/>
            <w:rFonts w:cs="Arial"/>
            <w:noProof/>
          </w:rPr>
          <w:t>3.4 Review Protocol and Reporting Guideline (PRISMA)</w:t>
        </w:r>
        <w:r w:rsidRPr="004047C2">
          <w:rPr>
            <w:rFonts w:cs="Arial"/>
            <w:noProof/>
          </w:rPr>
          <w:tab/>
        </w:r>
        <w:r w:rsidRPr="004047C2">
          <w:rPr>
            <w:rFonts w:cs="Arial"/>
            <w:noProof/>
          </w:rPr>
          <w:fldChar w:fldCharType="begin"/>
        </w:r>
        <w:r w:rsidRPr="004047C2">
          <w:rPr>
            <w:rFonts w:cs="Arial"/>
            <w:noProof/>
          </w:rPr>
          <w:instrText xml:space="preserve"> PAGEREF _Toc241190016 \h </w:instrText>
        </w:r>
        <w:r w:rsidRPr="004047C2">
          <w:rPr>
            <w:rFonts w:cs="Arial"/>
            <w:noProof/>
          </w:rPr>
        </w:r>
        <w:r w:rsidRPr="004047C2">
          <w:rPr>
            <w:rFonts w:cs="Arial"/>
            <w:noProof/>
          </w:rPr>
          <w:fldChar w:fldCharType="separate"/>
        </w:r>
        <w:r w:rsidRPr="004047C2">
          <w:rPr>
            <w:rFonts w:cs="Arial"/>
            <w:noProof/>
          </w:rPr>
          <w:t>38</w:t>
        </w:r>
        <w:r w:rsidRPr="004047C2">
          <w:rPr>
            <w:rFonts w:cs="Arial"/>
            <w:noProof/>
          </w:rPr>
          <w:fldChar w:fldCharType="end"/>
        </w:r>
      </w:hyperlink>
    </w:p>
    <w:p w14:paraId="59672DB4" w14:textId="3305D186"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17" w:history="1">
        <w:r w:rsidRPr="004047C2">
          <w:rPr>
            <w:rStyle w:val="Hyperlink"/>
            <w:rFonts w:cs="Arial"/>
            <w:noProof/>
          </w:rPr>
          <w:t>3.5 Search Strategy</w:t>
        </w:r>
        <w:r w:rsidRPr="004047C2">
          <w:rPr>
            <w:rFonts w:cs="Arial"/>
            <w:noProof/>
          </w:rPr>
          <w:tab/>
        </w:r>
        <w:r w:rsidRPr="004047C2">
          <w:rPr>
            <w:rFonts w:cs="Arial"/>
            <w:noProof/>
          </w:rPr>
          <w:fldChar w:fldCharType="begin"/>
        </w:r>
        <w:r w:rsidRPr="004047C2">
          <w:rPr>
            <w:rFonts w:cs="Arial"/>
            <w:noProof/>
          </w:rPr>
          <w:instrText xml:space="preserve"> PAGEREF _Toc241190017 \h </w:instrText>
        </w:r>
        <w:r w:rsidRPr="004047C2">
          <w:rPr>
            <w:rFonts w:cs="Arial"/>
            <w:noProof/>
          </w:rPr>
        </w:r>
        <w:r w:rsidRPr="004047C2">
          <w:rPr>
            <w:rFonts w:cs="Arial"/>
            <w:noProof/>
          </w:rPr>
          <w:fldChar w:fldCharType="separate"/>
        </w:r>
        <w:r w:rsidRPr="004047C2">
          <w:rPr>
            <w:rFonts w:cs="Arial"/>
            <w:noProof/>
          </w:rPr>
          <w:t>39</w:t>
        </w:r>
        <w:r w:rsidRPr="004047C2">
          <w:rPr>
            <w:rFonts w:cs="Arial"/>
            <w:noProof/>
          </w:rPr>
          <w:fldChar w:fldCharType="end"/>
        </w:r>
      </w:hyperlink>
    </w:p>
    <w:p w14:paraId="665140D5" w14:textId="2426A508"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18" w:history="1">
        <w:r w:rsidRPr="004047C2">
          <w:rPr>
            <w:rStyle w:val="Hyperlink"/>
            <w:rFonts w:cs="Arial"/>
            <w:noProof/>
          </w:rPr>
          <w:t>3.6 Inclusion and Exclusion Criteria</w:t>
        </w:r>
        <w:r w:rsidRPr="004047C2">
          <w:rPr>
            <w:rFonts w:cs="Arial"/>
            <w:noProof/>
          </w:rPr>
          <w:tab/>
        </w:r>
        <w:r w:rsidRPr="004047C2">
          <w:rPr>
            <w:rFonts w:cs="Arial"/>
            <w:noProof/>
          </w:rPr>
          <w:fldChar w:fldCharType="begin"/>
        </w:r>
        <w:r w:rsidRPr="004047C2">
          <w:rPr>
            <w:rFonts w:cs="Arial"/>
            <w:noProof/>
          </w:rPr>
          <w:instrText xml:space="preserve"> PAGEREF _Toc241190018 \h </w:instrText>
        </w:r>
        <w:r w:rsidRPr="004047C2">
          <w:rPr>
            <w:rFonts w:cs="Arial"/>
            <w:noProof/>
          </w:rPr>
        </w:r>
        <w:r w:rsidRPr="004047C2">
          <w:rPr>
            <w:rFonts w:cs="Arial"/>
            <w:noProof/>
          </w:rPr>
          <w:fldChar w:fldCharType="separate"/>
        </w:r>
        <w:r w:rsidRPr="004047C2">
          <w:rPr>
            <w:rFonts w:cs="Arial"/>
            <w:noProof/>
          </w:rPr>
          <w:t>41</w:t>
        </w:r>
        <w:r w:rsidRPr="004047C2">
          <w:rPr>
            <w:rFonts w:cs="Arial"/>
            <w:noProof/>
          </w:rPr>
          <w:fldChar w:fldCharType="end"/>
        </w:r>
      </w:hyperlink>
    </w:p>
    <w:p w14:paraId="5631218A" w14:textId="08939851"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19" w:history="1">
        <w:r w:rsidRPr="004047C2">
          <w:rPr>
            <w:rStyle w:val="Hyperlink"/>
            <w:rFonts w:cs="Arial"/>
            <w:noProof/>
          </w:rPr>
          <w:t>3.7 Study Selection Process</w:t>
        </w:r>
        <w:r w:rsidRPr="004047C2">
          <w:rPr>
            <w:rFonts w:cs="Arial"/>
            <w:noProof/>
          </w:rPr>
          <w:tab/>
        </w:r>
        <w:r w:rsidRPr="004047C2">
          <w:rPr>
            <w:rFonts w:cs="Arial"/>
            <w:noProof/>
          </w:rPr>
          <w:fldChar w:fldCharType="begin"/>
        </w:r>
        <w:r w:rsidRPr="004047C2">
          <w:rPr>
            <w:rFonts w:cs="Arial"/>
            <w:noProof/>
          </w:rPr>
          <w:instrText xml:space="preserve"> PAGEREF _Toc241190019 \h </w:instrText>
        </w:r>
        <w:r w:rsidRPr="004047C2">
          <w:rPr>
            <w:rFonts w:cs="Arial"/>
            <w:noProof/>
          </w:rPr>
        </w:r>
        <w:r w:rsidRPr="004047C2">
          <w:rPr>
            <w:rFonts w:cs="Arial"/>
            <w:noProof/>
          </w:rPr>
          <w:fldChar w:fldCharType="separate"/>
        </w:r>
        <w:r w:rsidRPr="004047C2">
          <w:rPr>
            <w:rFonts w:cs="Arial"/>
            <w:noProof/>
          </w:rPr>
          <w:t>42</w:t>
        </w:r>
        <w:r w:rsidRPr="004047C2">
          <w:rPr>
            <w:rFonts w:cs="Arial"/>
            <w:noProof/>
          </w:rPr>
          <w:fldChar w:fldCharType="end"/>
        </w:r>
      </w:hyperlink>
    </w:p>
    <w:p w14:paraId="35E09622" w14:textId="3DC30936"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20" w:history="1">
        <w:r w:rsidRPr="004047C2">
          <w:rPr>
            <w:rStyle w:val="Hyperlink"/>
            <w:rFonts w:cs="Arial"/>
            <w:noProof/>
          </w:rPr>
          <w:t>3.9 Data Extraction Process</w:t>
        </w:r>
        <w:r w:rsidRPr="004047C2">
          <w:rPr>
            <w:rFonts w:cs="Arial"/>
            <w:noProof/>
          </w:rPr>
          <w:tab/>
        </w:r>
        <w:r w:rsidRPr="004047C2">
          <w:rPr>
            <w:rFonts w:cs="Arial"/>
            <w:noProof/>
          </w:rPr>
          <w:fldChar w:fldCharType="begin"/>
        </w:r>
        <w:r w:rsidRPr="004047C2">
          <w:rPr>
            <w:rFonts w:cs="Arial"/>
            <w:noProof/>
          </w:rPr>
          <w:instrText xml:space="preserve"> PAGEREF _Toc241190020 \h </w:instrText>
        </w:r>
        <w:r w:rsidRPr="004047C2">
          <w:rPr>
            <w:rFonts w:cs="Arial"/>
            <w:noProof/>
          </w:rPr>
        </w:r>
        <w:r w:rsidRPr="004047C2">
          <w:rPr>
            <w:rFonts w:cs="Arial"/>
            <w:noProof/>
          </w:rPr>
          <w:fldChar w:fldCharType="separate"/>
        </w:r>
        <w:r w:rsidRPr="004047C2">
          <w:rPr>
            <w:rFonts w:cs="Arial"/>
            <w:noProof/>
          </w:rPr>
          <w:t>43</w:t>
        </w:r>
        <w:r w:rsidRPr="004047C2">
          <w:rPr>
            <w:rFonts w:cs="Arial"/>
            <w:noProof/>
          </w:rPr>
          <w:fldChar w:fldCharType="end"/>
        </w:r>
      </w:hyperlink>
    </w:p>
    <w:p w14:paraId="03EC5884" w14:textId="4041386F"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21" w:history="1">
        <w:r w:rsidRPr="004047C2">
          <w:rPr>
            <w:rStyle w:val="Hyperlink"/>
            <w:rFonts w:cs="Arial"/>
            <w:noProof/>
          </w:rPr>
          <w:t>3.11 Reliability and Validity (Trustworthiness)</w:t>
        </w:r>
        <w:r w:rsidRPr="004047C2">
          <w:rPr>
            <w:rFonts w:cs="Arial"/>
            <w:noProof/>
          </w:rPr>
          <w:tab/>
        </w:r>
        <w:r w:rsidRPr="004047C2">
          <w:rPr>
            <w:rFonts w:cs="Arial"/>
            <w:noProof/>
          </w:rPr>
          <w:fldChar w:fldCharType="begin"/>
        </w:r>
        <w:r w:rsidRPr="004047C2">
          <w:rPr>
            <w:rFonts w:cs="Arial"/>
            <w:noProof/>
          </w:rPr>
          <w:instrText xml:space="preserve"> PAGEREF _Toc241190021 \h </w:instrText>
        </w:r>
        <w:r w:rsidRPr="004047C2">
          <w:rPr>
            <w:rFonts w:cs="Arial"/>
            <w:noProof/>
          </w:rPr>
        </w:r>
        <w:r w:rsidRPr="004047C2">
          <w:rPr>
            <w:rFonts w:cs="Arial"/>
            <w:noProof/>
          </w:rPr>
          <w:fldChar w:fldCharType="separate"/>
        </w:r>
        <w:r w:rsidRPr="004047C2">
          <w:rPr>
            <w:rFonts w:cs="Arial"/>
            <w:noProof/>
          </w:rPr>
          <w:t>44</w:t>
        </w:r>
        <w:r w:rsidRPr="004047C2">
          <w:rPr>
            <w:rFonts w:cs="Arial"/>
            <w:noProof/>
          </w:rPr>
          <w:fldChar w:fldCharType="end"/>
        </w:r>
      </w:hyperlink>
    </w:p>
    <w:p w14:paraId="1D0C8258" w14:textId="37E9137B"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22" w:history="1">
        <w:r w:rsidRPr="004047C2">
          <w:rPr>
            <w:rStyle w:val="Hyperlink"/>
            <w:rFonts w:cs="Arial"/>
            <w:noProof/>
          </w:rPr>
          <w:t>3.12 Ethical Considerations</w:t>
        </w:r>
        <w:r w:rsidRPr="004047C2">
          <w:rPr>
            <w:rFonts w:cs="Arial"/>
            <w:noProof/>
          </w:rPr>
          <w:tab/>
        </w:r>
        <w:r w:rsidRPr="004047C2">
          <w:rPr>
            <w:rFonts w:cs="Arial"/>
            <w:noProof/>
          </w:rPr>
          <w:fldChar w:fldCharType="begin"/>
        </w:r>
        <w:r w:rsidRPr="004047C2">
          <w:rPr>
            <w:rFonts w:cs="Arial"/>
            <w:noProof/>
          </w:rPr>
          <w:instrText xml:space="preserve"> PAGEREF _Toc241190022 \h </w:instrText>
        </w:r>
        <w:r w:rsidRPr="004047C2">
          <w:rPr>
            <w:rFonts w:cs="Arial"/>
            <w:noProof/>
          </w:rPr>
        </w:r>
        <w:r w:rsidRPr="004047C2">
          <w:rPr>
            <w:rFonts w:cs="Arial"/>
            <w:noProof/>
          </w:rPr>
          <w:fldChar w:fldCharType="separate"/>
        </w:r>
        <w:r w:rsidRPr="004047C2">
          <w:rPr>
            <w:rFonts w:cs="Arial"/>
            <w:noProof/>
          </w:rPr>
          <w:t>44</w:t>
        </w:r>
        <w:r w:rsidRPr="004047C2">
          <w:rPr>
            <w:rFonts w:cs="Arial"/>
            <w:noProof/>
          </w:rPr>
          <w:fldChar w:fldCharType="end"/>
        </w:r>
      </w:hyperlink>
    </w:p>
    <w:p w14:paraId="03F11AE7" w14:textId="3F26C582"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23" w:history="1">
        <w:r w:rsidRPr="004047C2">
          <w:rPr>
            <w:rStyle w:val="Hyperlink"/>
            <w:rFonts w:cs="Arial"/>
            <w:noProof/>
          </w:rPr>
          <w:t>3.13 Limitations of the Methodology</w:t>
        </w:r>
        <w:r w:rsidRPr="004047C2">
          <w:rPr>
            <w:rFonts w:cs="Arial"/>
            <w:noProof/>
          </w:rPr>
          <w:tab/>
        </w:r>
        <w:r w:rsidRPr="004047C2">
          <w:rPr>
            <w:rFonts w:cs="Arial"/>
            <w:noProof/>
          </w:rPr>
          <w:fldChar w:fldCharType="begin"/>
        </w:r>
        <w:r w:rsidRPr="004047C2">
          <w:rPr>
            <w:rFonts w:cs="Arial"/>
            <w:noProof/>
          </w:rPr>
          <w:instrText xml:space="preserve"> PAGEREF _Toc241190023 \h </w:instrText>
        </w:r>
        <w:r w:rsidRPr="004047C2">
          <w:rPr>
            <w:rFonts w:cs="Arial"/>
            <w:noProof/>
          </w:rPr>
        </w:r>
        <w:r w:rsidRPr="004047C2">
          <w:rPr>
            <w:rFonts w:cs="Arial"/>
            <w:noProof/>
          </w:rPr>
          <w:fldChar w:fldCharType="separate"/>
        </w:r>
        <w:r w:rsidRPr="004047C2">
          <w:rPr>
            <w:rFonts w:cs="Arial"/>
            <w:noProof/>
          </w:rPr>
          <w:t>45</w:t>
        </w:r>
        <w:r w:rsidRPr="004047C2">
          <w:rPr>
            <w:rFonts w:cs="Arial"/>
            <w:noProof/>
          </w:rPr>
          <w:fldChar w:fldCharType="end"/>
        </w:r>
      </w:hyperlink>
    </w:p>
    <w:p w14:paraId="53A1B47B" w14:textId="72CC6628" w:rsidR="004047C2" w:rsidRPr="004047C2" w:rsidRDefault="004047C2">
      <w:pPr>
        <w:pStyle w:val="TOC1"/>
        <w:tabs>
          <w:tab w:val="right" w:leader="dot" w:pos="9016"/>
        </w:tabs>
        <w:rPr>
          <w:rFonts w:ascii="Arial" w:eastAsiaTheme="minorEastAsia" w:hAnsi="Arial" w:cs="Arial"/>
          <w:noProof/>
          <w:color w:val="auto"/>
          <w:kern w:val="2"/>
          <w:szCs w:val="24"/>
          <w:lang w:val="en-IN" w:eastAsia="en-GB"/>
          <w14:ligatures w14:val="standardContextual"/>
        </w:rPr>
      </w:pPr>
      <w:hyperlink w:anchor="_Toc241190024" w:history="1">
        <w:r w:rsidRPr="004047C2">
          <w:rPr>
            <w:rStyle w:val="Hyperlink"/>
            <w:rFonts w:ascii="Arial" w:hAnsi="Arial" w:cs="Arial"/>
            <w:noProof/>
          </w:rPr>
          <w:t>Chapter 4: Results</w:t>
        </w:r>
        <w:r w:rsidRPr="004047C2">
          <w:rPr>
            <w:rFonts w:ascii="Arial" w:hAnsi="Arial" w:cs="Arial"/>
            <w:noProof/>
          </w:rPr>
          <w:tab/>
        </w:r>
        <w:r w:rsidRPr="004047C2">
          <w:rPr>
            <w:rFonts w:ascii="Arial" w:hAnsi="Arial" w:cs="Arial"/>
            <w:noProof/>
          </w:rPr>
          <w:fldChar w:fldCharType="begin"/>
        </w:r>
        <w:r w:rsidRPr="004047C2">
          <w:rPr>
            <w:rFonts w:ascii="Arial" w:hAnsi="Arial" w:cs="Arial"/>
            <w:noProof/>
          </w:rPr>
          <w:instrText xml:space="preserve"> PAGEREF _Toc241190024 \h </w:instrText>
        </w:r>
        <w:r w:rsidRPr="004047C2">
          <w:rPr>
            <w:rFonts w:ascii="Arial" w:hAnsi="Arial" w:cs="Arial"/>
            <w:noProof/>
          </w:rPr>
        </w:r>
        <w:r w:rsidRPr="004047C2">
          <w:rPr>
            <w:rFonts w:ascii="Arial" w:hAnsi="Arial" w:cs="Arial"/>
            <w:noProof/>
          </w:rPr>
          <w:fldChar w:fldCharType="separate"/>
        </w:r>
        <w:r w:rsidRPr="004047C2">
          <w:rPr>
            <w:rFonts w:ascii="Arial" w:hAnsi="Arial" w:cs="Arial"/>
            <w:noProof/>
          </w:rPr>
          <w:t>46</w:t>
        </w:r>
        <w:r w:rsidRPr="004047C2">
          <w:rPr>
            <w:rFonts w:ascii="Arial" w:hAnsi="Arial" w:cs="Arial"/>
            <w:noProof/>
          </w:rPr>
          <w:fldChar w:fldCharType="end"/>
        </w:r>
      </w:hyperlink>
    </w:p>
    <w:p w14:paraId="7D95C518" w14:textId="624ECAED"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25" w:history="1">
        <w:r w:rsidRPr="004047C2">
          <w:rPr>
            <w:rStyle w:val="Hyperlink"/>
            <w:rFonts w:cs="Arial"/>
            <w:noProof/>
          </w:rPr>
          <w:t>4.2 Thematic Coding</w:t>
        </w:r>
        <w:r w:rsidRPr="004047C2">
          <w:rPr>
            <w:rFonts w:cs="Arial"/>
            <w:noProof/>
          </w:rPr>
          <w:tab/>
        </w:r>
        <w:r w:rsidRPr="004047C2">
          <w:rPr>
            <w:rFonts w:cs="Arial"/>
            <w:noProof/>
          </w:rPr>
          <w:fldChar w:fldCharType="begin"/>
        </w:r>
        <w:r w:rsidRPr="004047C2">
          <w:rPr>
            <w:rFonts w:cs="Arial"/>
            <w:noProof/>
          </w:rPr>
          <w:instrText xml:space="preserve"> PAGEREF _Toc241190025 \h </w:instrText>
        </w:r>
        <w:r w:rsidRPr="004047C2">
          <w:rPr>
            <w:rFonts w:cs="Arial"/>
            <w:noProof/>
          </w:rPr>
        </w:r>
        <w:r w:rsidRPr="004047C2">
          <w:rPr>
            <w:rFonts w:cs="Arial"/>
            <w:noProof/>
          </w:rPr>
          <w:fldChar w:fldCharType="separate"/>
        </w:r>
        <w:r w:rsidRPr="004047C2">
          <w:rPr>
            <w:rFonts w:cs="Arial"/>
            <w:noProof/>
          </w:rPr>
          <w:t>48</w:t>
        </w:r>
        <w:r w:rsidRPr="004047C2">
          <w:rPr>
            <w:rFonts w:cs="Arial"/>
            <w:noProof/>
          </w:rPr>
          <w:fldChar w:fldCharType="end"/>
        </w:r>
      </w:hyperlink>
    </w:p>
    <w:p w14:paraId="75B737EE" w14:textId="3F045884"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26" w:history="1">
        <w:r w:rsidRPr="004047C2">
          <w:rPr>
            <w:rStyle w:val="Hyperlink"/>
            <w:rFonts w:cs="Arial"/>
            <w:noProof/>
          </w:rPr>
          <w:t>4.3 Generating Initial Themes</w:t>
        </w:r>
        <w:r w:rsidRPr="004047C2">
          <w:rPr>
            <w:rFonts w:cs="Arial"/>
            <w:noProof/>
          </w:rPr>
          <w:tab/>
        </w:r>
        <w:r w:rsidRPr="004047C2">
          <w:rPr>
            <w:rFonts w:cs="Arial"/>
            <w:noProof/>
          </w:rPr>
          <w:fldChar w:fldCharType="begin"/>
        </w:r>
        <w:r w:rsidRPr="004047C2">
          <w:rPr>
            <w:rFonts w:cs="Arial"/>
            <w:noProof/>
          </w:rPr>
          <w:instrText xml:space="preserve"> PAGEREF _Toc241190026 \h </w:instrText>
        </w:r>
        <w:r w:rsidRPr="004047C2">
          <w:rPr>
            <w:rFonts w:cs="Arial"/>
            <w:noProof/>
          </w:rPr>
        </w:r>
        <w:r w:rsidRPr="004047C2">
          <w:rPr>
            <w:rFonts w:cs="Arial"/>
            <w:noProof/>
          </w:rPr>
          <w:fldChar w:fldCharType="separate"/>
        </w:r>
        <w:r w:rsidRPr="004047C2">
          <w:rPr>
            <w:rFonts w:cs="Arial"/>
            <w:noProof/>
          </w:rPr>
          <w:t>49</w:t>
        </w:r>
        <w:r w:rsidRPr="004047C2">
          <w:rPr>
            <w:rFonts w:cs="Arial"/>
            <w:noProof/>
          </w:rPr>
          <w:fldChar w:fldCharType="end"/>
        </w:r>
      </w:hyperlink>
    </w:p>
    <w:p w14:paraId="10E99C3A" w14:textId="2743DBCA"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27" w:history="1">
        <w:r w:rsidRPr="004047C2">
          <w:rPr>
            <w:rStyle w:val="Hyperlink"/>
            <w:rFonts w:cs="Arial"/>
            <w:noProof/>
          </w:rPr>
          <w:t>4.4 Reviewing Themes</w:t>
        </w:r>
        <w:r w:rsidRPr="004047C2">
          <w:rPr>
            <w:rFonts w:cs="Arial"/>
            <w:noProof/>
          </w:rPr>
          <w:tab/>
        </w:r>
        <w:r w:rsidRPr="004047C2">
          <w:rPr>
            <w:rFonts w:cs="Arial"/>
            <w:noProof/>
          </w:rPr>
          <w:fldChar w:fldCharType="begin"/>
        </w:r>
        <w:r w:rsidRPr="004047C2">
          <w:rPr>
            <w:rFonts w:cs="Arial"/>
            <w:noProof/>
          </w:rPr>
          <w:instrText xml:space="preserve"> PAGEREF _Toc241190027 \h </w:instrText>
        </w:r>
        <w:r w:rsidRPr="004047C2">
          <w:rPr>
            <w:rFonts w:cs="Arial"/>
            <w:noProof/>
          </w:rPr>
        </w:r>
        <w:r w:rsidRPr="004047C2">
          <w:rPr>
            <w:rFonts w:cs="Arial"/>
            <w:noProof/>
          </w:rPr>
          <w:fldChar w:fldCharType="separate"/>
        </w:r>
        <w:r w:rsidRPr="004047C2">
          <w:rPr>
            <w:rFonts w:cs="Arial"/>
            <w:noProof/>
          </w:rPr>
          <w:t>53</w:t>
        </w:r>
        <w:r w:rsidRPr="004047C2">
          <w:rPr>
            <w:rFonts w:cs="Arial"/>
            <w:noProof/>
          </w:rPr>
          <w:fldChar w:fldCharType="end"/>
        </w:r>
      </w:hyperlink>
    </w:p>
    <w:p w14:paraId="6D1B0CCC" w14:textId="2DA6A80D"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28" w:history="1">
        <w:r w:rsidRPr="004047C2">
          <w:rPr>
            <w:rStyle w:val="Hyperlink"/>
            <w:rFonts w:cs="Arial"/>
            <w:noProof/>
          </w:rPr>
          <w:t>4.5 Theme chart</w:t>
        </w:r>
        <w:r w:rsidRPr="004047C2">
          <w:rPr>
            <w:rFonts w:cs="Arial"/>
            <w:noProof/>
          </w:rPr>
          <w:tab/>
        </w:r>
        <w:r w:rsidRPr="004047C2">
          <w:rPr>
            <w:rFonts w:cs="Arial"/>
            <w:noProof/>
          </w:rPr>
          <w:fldChar w:fldCharType="begin"/>
        </w:r>
        <w:r w:rsidRPr="004047C2">
          <w:rPr>
            <w:rFonts w:cs="Arial"/>
            <w:noProof/>
          </w:rPr>
          <w:instrText xml:space="preserve"> PAGEREF _Toc241190028 \h </w:instrText>
        </w:r>
        <w:r w:rsidRPr="004047C2">
          <w:rPr>
            <w:rFonts w:cs="Arial"/>
            <w:noProof/>
          </w:rPr>
        </w:r>
        <w:r w:rsidRPr="004047C2">
          <w:rPr>
            <w:rFonts w:cs="Arial"/>
            <w:noProof/>
          </w:rPr>
          <w:fldChar w:fldCharType="separate"/>
        </w:r>
        <w:r w:rsidRPr="004047C2">
          <w:rPr>
            <w:rFonts w:cs="Arial"/>
            <w:noProof/>
          </w:rPr>
          <w:t>54</w:t>
        </w:r>
        <w:r w:rsidRPr="004047C2">
          <w:rPr>
            <w:rFonts w:cs="Arial"/>
            <w:noProof/>
          </w:rPr>
          <w:fldChar w:fldCharType="end"/>
        </w:r>
      </w:hyperlink>
    </w:p>
    <w:p w14:paraId="41C6E2FF" w14:textId="5934066F" w:rsidR="004047C2" w:rsidRPr="004047C2" w:rsidRDefault="004047C2">
      <w:pPr>
        <w:pStyle w:val="TOC3"/>
        <w:tabs>
          <w:tab w:val="right" w:leader="dot" w:pos="9016"/>
        </w:tabs>
        <w:rPr>
          <w:rFonts w:eastAsiaTheme="minorEastAsia" w:cs="Arial"/>
          <w:noProof/>
          <w:kern w:val="2"/>
          <w:szCs w:val="24"/>
          <w:lang w:val="en-IN" w:eastAsia="en-GB"/>
          <w14:ligatures w14:val="standardContextual"/>
        </w:rPr>
      </w:pPr>
      <w:hyperlink w:anchor="_Toc241190029" w:history="1">
        <w:r w:rsidRPr="004047C2">
          <w:rPr>
            <w:rStyle w:val="Hyperlink"/>
            <w:rFonts w:cs="Arial"/>
            <w:noProof/>
          </w:rPr>
          <w:t>4.6 Performing Thematic Analysis</w:t>
        </w:r>
        <w:r w:rsidRPr="004047C2">
          <w:rPr>
            <w:rFonts w:cs="Arial"/>
            <w:noProof/>
          </w:rPr>
          <w:tab/>
        </w:r>
        <w:r w:rsidRPr="004047C2">
          <w:rPr>
            <w:rFonts w:cs="Arial"/>
            <w:noProof/>
          </w:rPr>
          <w:fldChar w:fldCharType="begin"/>
        </w:r>
        <w:r w:rsidRPr="004047C2">
          <w:rPr>
            <w:rFonts w:cs="Arial"/>
            <w:noProof/>
          </w:rPr>
          <w:instrText xml:space="preserve"> PAGEREF _Toc241190029 \h </w:instrText>
        </w:r>
        <w:r w:rsidRPr="004047C2">
          <w:rPr>
            <w:rFonts w:cs="Arial"/>
            <w:noProof/>
          </w:rPr>
        </w:r>
        <w:r w:rsidRPr="004047C2">
          <w:rPr>
            <w:rFonts w:cs="Arial"/>
            <w:noProof/>
          </w:rPr>
          <w:fldChar w:fldCharType="separate"/>
        </w:r>
        <w:r w:rsidRPr="004047C2">
          <w:rPr>
            <w:rFonts w:cs="Arial"/>
            <w:noProof/>
          </w:rPr>
          <w:t>57</w:t>
        </w:r>
        <w:r w:rsidRPr="004047C2">
          <w:rPr>
            <w:rFonts w:cs="Arial"/>
            <w:noProof/>
          </w:rPr>
          <w:fldChar w:fldCharType="end"/>
        </w:r>
      </w:hyperlink>
    </w:p>
    <w:p w14:paraId="05FF3844" w14:textId="4509F5CE" w:rsidR="004047C2" w:rsidRPr="004047C2" w:rsidRDefault="004047C2">
      <w:pPr>
        <w:pStyle w:val="TOC1"/>
        <w:tabs>
          <w:tab w:val="right" w:leader="dot" w:pos="9016"/>
        </w:tabs>
        <w:rPr>
          <w:rFonts w:ascii="Arial" w:eastAsiaTheme="minorEastAsia" w:hAnsi="Arial" w:cs="Arial"/>
          <w:noProof/>
          <w:color w:val="auto"/>
          <w:kern w:val="2"/>
          <w:szCs w:val="24"/>
          <w:lang w:val="en-IN" w:eastAsia="en-GB"/>
          <w14:ligatures w14:val="standardContextual"/>
        </w:rPr>
      </w:pPr>
      <w:hyperlink w:anchor="_Toc241190030" w:history="1">
        <w:r w:rsidRPr="004047C2">
          <w:rPr>
            <w:rStyle w:val="Hyperlink"/>
            <w:rFonts w:ascii="Arial" w:hAnsi="Arial" w:cs="Arial"/>
            <w:noProof/>
          </w:rPr>
          <w:t>Chapter 5: Discussion</w:t>
        </w:r>
        <w:r w:rsidRPr="004047C2">
          <w:rPr>
            <w:rFonts w:ascii="Arial" w:hAnsi="Arial" w:cs="Arial"/>
            <w:noProof/>
          </w:rPr>
          <w:tab/>
        </w:r>
        <w:r w:rsidRPr="004047C2">
          <w:rPr>
            <w:rFonts w:ascii="Arial" w:hAnsi="Arial" w:cs="Arial"/>
            <w:noProof/>
          </w:rPr>
          <w:fldChar w:fldCharType="begin"/>
        </w:r>
        <w:r w:rsidRPr="004047C2">
          <w:rPr>
            <w:rFonts w:ascii="Arial" w:hAnsi="Arial" w:cs="Arial"/>
            <w:noProof/>
          </w:rPr>
          <w:instrText xml:space="preserve"> PAGEREF _Toc241190030 \h </w:instrText>
        </w:r>
        <w:r w:rsidRPr="004047C2">
          <w:rPr>
            <w:rFonts w:ascii="Arial" w:hAnsi="Arial" w:cs="Arial"/>
            <w:noProof/>
          </w:rPr>
        </w:r>
        <w:r w:rsidRPr="004047C2">
          <w:rPr>
            <w:rFonts w:ascii="Arial" w:hAnsi="Arial" w:cs="Arial"/>
            <w:noProof/>
          </w:rPr>
          <w:fldChar w:fldCharType="separate"/>
        </w:r>
        <w:r w:rsidRPr="004047C2">
          <w:rPr>
            <w:rFonts w:ascii="Arial" w:hAnsi="Arial" w:cs="Arial"/>
            <w:noProof/>
          </w:rPr>
          <w:t>64</w:t>
        </w:r>
        <w:r w:rsidRPr="004047C2">
          <w:rPr>
            <w:rFonts w:ascii="Arial" w:hAnsi="Arial" w:cs="Arial"/>
            <w:noProof/>
          </w:rPr>
          <w:fldChar w:fldCharType="end"/>
        </w:r>
      </w:hyperlink>
    </w:p>
    <w:p w14:paraId="2B1E4433" w14:textId="500DFEE6"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31" w:history="1">
        <w:r w:rsidRPr="004047C2">
          <w:rPr>
            <w:rStyle w:val="Hyperlink"/>
            <w:rFonts w:cs="Arial"/>
            <w:noProof/>
          </w:rPr>
          <w:t>5.1 Implications of the research</w:t>
        </w:r>
        <w:r w:rsidRPr="004047C2">
          <w:rPr>
            <w:rFonts w:cs="Arial"/>
            <w:noProof/>
          </w:rPr>
          <w:tab/>
        </w:r>
        <w:r w:rsidRPr="004047C2">
          <w:rPr>
            <w:rFonts w:cs="Arial"/>
            <w:noProof/>
          </w:rPr>
          <w:fldChar w:fldCharType="begin"/>
        </w:r>
        <w:r w:rsidRPr="004047C2">
          <w:rPr>
            <w:rFonts w:cs="Arial"/>
            <w:noProof/>
          </w:rPr>
          <w:instrText xml:space="preserve"> PAGEREF _Toc241190031 \h </w:instrText>
        </w:r>
        <w:r w:rsidRPr="004047C2">
          <w:rPr>
            <w:rFonts w:cs="Arial"/>
            <w:noProof/>
          </w:rPr>
        </w:r>
        <w:r w:rsidRPr="004047C2">
          <w:rPr>
            <w:rFonts w:cs="Arial"/>
            <w:noProof/>
          </w:rPr>
          <w:fldChar w:fldCharType="separate"/>
        </w:r>
        <w:r w:rsidRPr="004047C2">
          <w:rPr>
            <w:rFonts w:cs="Arial"/>
            <w:noProof/>
          </w:rPr>
          <w:t>67</w:t>
        </w:r>
        <w:r w:rsidRPr="004047C2">
          <w:rPr>
            <w:rFonts w:cs="Arial"/>
            <w:noProof/>
          </w:rPr>
          <w:fldChar w:fldCharType="end"/>
        </w:r>
      </w:hyperlink>
    </w:p>
    <w:p w14:paraId="432B148C" w14:textId="355E7223"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32" w:history="1">
        <w:r w:rsidRPr="004047C2">
          <w:rPr>
            <w:rStyle w:val="Hyperlink"/>
            <w:rFonts w:cs="Arial"/>
            <w:noProof/>
          </w:rPr>
          <w:t>5.2 Limitations</w:t>
        </w:r>
        <w:r w:rsidRPr="004047C2">
          <w:rPr>
            <w:rFonts w:cs="Arial"/>
            <w:noProof/>
          </w:rPr>
          <w:tab/>
        </w:r>
        <w:r w:rsidRPr="004047C2">
          <w:rPr>
            <w:rFonts w:cs="Arial"/>
            <w:noProof/>
          </w:rPr>
          <w:fldChar w:fldCharType="begin"/>
        </w:r>
        <w:r w:rsidRPr="004047C2">
          <w:rPr>
            <w:rFonts w:cs="Arial"/>
            <w:noProof/>
          </w:rPr>
          <w:instrText xml:space="preserve"> PAGEREF _Toc241190032 \h </w:instrText>
        </w:r>
        <w:r w:rsidRPr="004047C2">
          <w:rPr>
            <w:rFonts w:cs="Arial"/>
            <w:noProof/>
          </w:rPr>
        </w:r>
        <w:r w:rsidRPr="004047C2">
          <w:rPr>
            <w:rFonts w:cs="Arial"/>
            <w:noProof/>
          </w:rPr>
          <w:fldChar w:fldCharType="separate"/>
        </w:r>
        <w:r w:rsidRPr="004047C2">
          <w:rPr>
            <w:rFonts w:cs="Arial"/>
            <w:noProof/>
          </w:rPr>
          <w:t>69</w:t>
        </w:r>
        <w:r w:rsidRPr="004047C2">
          <w:rPr>
            <w:rFonts w:cs="Arial"/>
            <w:noProof/>
          </w:rPr>
          <w:fldChar w:fldCharType="end"/>
        </w:r>
      </w:hyperlink>
    </w:p>
    <w:p w14:paraId="66C0054A" w14:textId="4DECE666" w:rsidR="004047C2" w:rsidRPr="004047C2" w:rsidRDefault="004047C2">
      <w:pPr>
        <w:pStyle w:val="TOC1"/>
        <w:tabs>
          <w:tab w:val="right" w:leader="dot" w:pos="9016"/>
        </w:tabs>
        <w:rPr>
          <w:rFonts w:ascii="Arial" w:eastAsiaTheme="minorEastAsia" w:hAnsi="Arial" w:cs="Arial"/>
          <w:noProof/>
          <w:color w:val="auto"/>
          <w:kern w:val="2"/>
          <w:szCs w:val="24"/>
          <w:lang w:val="en-IN" w:eastAsia="en-GB"/>
          <w14:ligatures w14:val="standardContextual"/>
        </w:rPr>
      </w:pPr>
      <w:hyperlink w:anchor="_Toc241190033" w:history="1">
        <w:r w:rsidRPr="004047C2">
          <w:rPr>
            <w:rStyle w:val="Hyperlink"/>
            <w:rFonts w:ascii="Arial" w:eastAsia="Arial" w:hAnsi="Arial" w:cs="Arial"/>
            <w:noProof/>
          </w:rPr>
          <w:t>Chapter 6: Conclusion</w:t>
        </w:r>
        <w:r w:rsidRPr="004047C2">
          <w:rPr>
            <w:rFonts w:ascii="Arial" w:hAnsi="Arial" w:cs="Arial"/>
            <w:noProof/>
          </w:rPr>
          <w:tab/>
        </w:r>
        <w:r w:rsidRPr="004047C2">
          <w:rPr>
            <w:rFonts w:ascii="Arial" w:hAnsi="Arial" w:cs="Arial"/>
            <w:noProof/>
          </w:rPr>
          <w:fldChar w:fldCharType="begin"/>
        </w:r>
        <w:r w:rsidRPr="004047C2">
          <w:rPr>
            <w:rFonts w:ascii="Arial" w:hAnsi="Arial" w:cs="Arial"/>
            <w:noProof/>
          </w:rPr>
          <w:instrText xml:space="preserve"> PAGEREF _Toc241190033 \h </w:instrText>
        </w:r>
        <w:r w:rsidRPr="004047C2">
          <w:rPr>
            <w:rFonts w:ascii="Arial" w:hAnsi="Arial" w:cs="Arial"/>
            <w:noProof/>
          </w:rPr>
        </w:r>
        <w:r w:rsidRPr="004047C2">
          <w:rPr>
            <w:rFonts w:ascii="Arial" w:hAnsi="Arial" w:cs="Arial"/>
            <w:noProof/>
          </w:rPr>
          <w:fldChar w:fldCharType="separate"/>
        </w:r>
        <w:r w:rsidRPr="004047C2">
          <w:rPr>
            <w:rFonts w:ascii="Arial" w:hAnsi="Arial" w:cs="Arial"/>
            <w:noProof/>
          </w:rPr>
          <w:t>72</w:t>
        </w:r>
        <w:r w:rsidRPr="004047C2">
          <w:rPr>
            <w:rFonts w:ascii="Arial" w:hAnsi="Arial" w:cs="Arial"/>
            <w:noProof/>
          </w:rPr>
          <w:fldChar w:fldCharType="end"/>
        </w:r>
      </w:hyperlink>
    </w:p>
    <w:p w14:paraId="6F97DE31" w14:textId="4F9B715E"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34" w:history="1">
        <w:r w:rsidRPr="004047C2">
          <w:rPr>
            <w:rStyle w:val="Hyperlink"/>
            <w:rFonts w:cs="Arial"/>
            <w:noProof/>
          </w:rPr>
          <w:t>6.1 Reflection on the research study</w:t>
        </w:r>
        <w:r w:rsidRPr="004047C2">
          <w:rPr>
            <w:rFonts w:cs="Arial"/>
            <w:noProof/>
          </w:rPr>
          <w:tab/>
        </w:r>
        <w:r w:rsidRPr="004047C2">
          <w:rPr>
            <w:rFonts w:cs="Arial"/>
            <w:noProof/>
          </w:rPr>
          <w:fldChar w:fldCharType="begin"/>
        </w:r>
        <w:r w:rsidRPr="004047C2">
          <w:rPr>
            <w:rFonts w:cs="Arial"/>
            <w:noProof/>
          </w:rPr>
          <w:instrText xml:space="preserve"> PAGEREF _Toc241190034 \h </w:instrText>
        </w:r>
        <w:r w:rsidRPr="004047C2">
          <w:rPr>
            <w:rFonts w:cs="Arial"/>
            <w:noProof/>
          </w:rPr>
        </w:r>
        <w:r w:rsidRPr="004047C2">
          <w:rPr>
            <w:rFonts w:cs="Arial"/>
            <w:noProof/>
          </w:rPr>
          <w:fldChar w:fldCharType="separate"/>
        </w:r>
        <w:r w:rsidRPr="004047C2">
          <w:rPr>
            <w:rFonts w:cs="Arial"/>
            <w:noProof/>
          </w:rPr>
          <w:t>73</w:t>
        </w:r>
        <w:r w:rsidRPr="004047C2">
          <w:rPr>
            <w:rFonts w:cs="Arial"/>
            <w:noProof/>
          </w:rPr>
          <w:fldChar w:fldCharType="end"/>
        </w:r>
      </w:hyperlink>
    </w:p>
    <w:p w14:paraId="3033F6BD" w14:textId="05D468C0"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35" w:history="1">
        <w:r w:rsidRPr="004047C2">
          <w:rPr>
            <w:rStyle w:val="Hyperlink"/>
            <w:rFonts w:cs="Arial"/>
            <w:noProof/>
          </w:rPr>
          <w:t>6.2 Recommendations</w:t>
        </w:r>
        <w:r w:rsidRPr="004047C2">
          <w:rPr>
            <w:rFonts w:cs="Arial"/>
            <w:noProof/>
          </w:rPr>
          <w:tab/>
        </w:r>
        <w:r w:rsidRPr="004047C2">
          <w:rPr>
            <w:rFonts w:cs="Arial"/>
            <w:noProof/>
          </w:rPr>
          <w:fldChar w:fldCharType="begin"/>
        </w:r>
        <w:r w:rsidRPr="004047C2">
          <w:rPr>
            <w:rFonts w:cs="Arial"/>
            <w:noProof/>
          </w:rPr>
          <w:instrText xml:space="preserve"> PAGEREF _Toc241190035 \h </w:instrText>
        </w:r>
        <w:r w:rsidRPr="004047C2">
          <w:rPr>
            <w:rFonts w:cs="Arial"/>
            <w:noProof/>
          </w:rPr>
        </w:r>
        <w:r w:rsidRPr="004047C2">
          <w:rPr>
            <w:rFonts w:cs="Arial"/>
            <w:noProof/>
          </w:rPr>
          <w:fldChar w:fldCharType="separate"/>
        </w:r>
        <w:r w:rsidRPr="004047C2">
          <w:rPr>
            <w:rFonts w:cs="Arial"/>
            <w:noProof/>
          </w:rPr>
          <w:t>74</w:t>
        </w:r>
        <w:r w:rsidRPr="004047C2">
          <w:rPr>
            <w:rFonts w:cs="Arial"/>
            <w:noProof/>
          </w:rPr>
          <w:fldChar w:fldCharType="end"/>
        </w:r>
      </w:hyperlink>
    </w:p>
    <w:p w14:paraId="548D6A94" w14:textId="1D6802B8"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36" w:history="1">
        <w:r w:rsidRPr="004047C2">
          <w:rPr>
            <w:rStyle w:val="Hyperlink"/>
            <w:rFonts w:cs="Arial"/>
            <w:noProof/>
          </w:rPr>
          <w:t>6.3 Contribution of the Study</w:t>
        </w:r>
        <w:r w:rsidRPr="004047C2">
          <w:rPr>
            <w:rFonts w:cs="Arial"/>
            <w:noProof/>
          </w:rPr>
          <w:tab/>
        </w:r>
        <w:r w:rsidRPr="004047C2">
          <w:rPr>
            <w:rFonts w:cs="Arial"/>
            <w:noProof/>
          </w:rPr>
          <w:fldChar w:fldCharType="begin"/>
        </w:r>
        <w:r w:rsidRPr="004047C2">
          <w:rPr>
            <w:rFonts w:cs="Arial"/>
            <w:noProof/>
          </w:rPr>
          <w:instrText xml:space="preserve"> PAGEREF _Toc241190036 \h </w:instrText>
        </w:r>
        <w:r w:rsidRPr="004047C2">
          <w:rPr>
            <w:rFonts w:cs="Arial"/>
            <w:noProof/>
          </w:rPr>
        </w:r>
        <w:r w:rsidRPr="004047C2">
          <w:rPr>
            <w:rFonts w:cs="Arial"/>
            <w:noProof/>
          </w:rPr>
          <w:fldChar w:fldCharType="separate"/>
        </w:r>
        <w:r w:rsidRPr="004047C2">
          <w:rPr>
            <w:rFonts w:cs="Arial"/>
            <w:noProof/>
          </w:rPr>
          <w:t>75</w:t>
        </w:r>
        <w:r w:rsidRPr="004047C2">
          <w:rPr>
            <w:rFonts w:cs="Arial"/>
            <w:noProof/>
          </w:rPr>
          <w:fldChar w:fldCharType="end"/>
        </w:r>
      </w:hyperlink>
    </w:p>
    <w:p w14:paraId="503E9944" w14:textId="53E59D12" w:rsidR="004047C2" w:rsidRPr="004047C2" w:rsidRDefault="004047C2">
      <w:pPr>
        <w:pStyle w:val="TOC1"/>
        <w:tabs>
          <w:tab w:val="right" w:leader="dot" w:pos="9016"/>
        </w:tabs>
        <w:rPr>
          <w:rFonts w:ascii="Arial" w:eastAsiaTheme="minorEastAsia" w:hAnsi="Arial" w:cs="Arial"/>
          <w:noProof/>
          <w:color w:val="auto"/>
          <w:kern w:val="2"/>
          <w:szCs w:val="24"/>
          <w:lang w:val="en-IN" w:eastAsia="en-GB"/>
          <w14:ligatures w14:val="standardContextual"/>
        </w:rPr>
      </w:pPr>
      <w:hyperlink w:anchor="_Toc241190037" w:history="1">
        <w:r w:rsidRPr="004047C2">
          <w:rPr>
            <w:rStyle w:val="Hyperlink"/>
            <w:rFonts w:ascii="Arial" w:hAnsi="Arial" w:cs="Arial"/>
            <w:noProof/>
          </w:rPr>
          <w:t>Reference list</w:t>
        </w:r>
        <w:r w:rsidRPr="004047C2">
          <w:rPr>
            <w:rFonts w:ascii="Arial" w:hAnsi="Arial" w:cs="Arial"/>
            <w:noProof/>
          </w:rPr>
          <w:tab/>
        </w:r>
        <w:r w:rsidRPr="004047C2">
          <w:rPr>
            <w:rFonts w:ascii="Arial" w:hAnsi="Arial" w:cs="Arial"/>
            <w:noProof/>
          </w:rPr>
          <w:fldChar w:fldCharType="begin"/>
        </w:r>
        <w:r w:rsidRPr="004047C2">
          <w:rPr>
            <w:rFonts w:ascii="Arial" w:hAnsi="Arial" w:cs="Arial"/>
            <w:noProof/>
          </w:rPr>
          <w:instrText xml:space="preserve"> PAGEREF _Toc241190037 \h </w:instrText>
        </w:r>
        <w:r w:rsidRPr="004047C2">
          <w:rPr>
            <w:rFonts w:ascii="Arial" w:hAnsi="Arial" w:cs="Arial"/>
            <w:noProof/>
          </w:rPr>
        </w:r>
        <w:r w:rsidRPr="004047C2">
          <w:rPr>
            <w:rFonts w:ascii="Arial" w:hAnsi="Arial" w:cs="Arial"/>
            <w:noProof/>
          </w:rPr>
          <w:fldChar w:fldCharType="separate"/>
        </w:r>
        <w:r w:rsidRPr="004047C2">
          <w:rPr>
            <w:rFonts w:ascii="Arial" w:hAnsi="Arial" w:cs="Arial"/>
            <w:noProof/>
          </w:rPr>
          <w:t>76</w:t>
        </w:r>
        <w:r w:rsidRPr="004047C2">
          <w:rPr>
            <w:rFonts w:ascii="Arial" w:hAnsi="Arial" w:cs="Arial"/>
            <w:noProof/>
          </w:rPr>
          <w:fldChar w:fldCharType="end"/>
        </w:r>
      </w:hyperlink>
    </w:p>
    <w:p w14:paraId="0C8A95F4" w14:textId="4441ECDA" w:rsidR="004047C2" w:rsidRPr="004047C2" w:rsidRDefault="004047C2">
      <w:pPr>
        <w:pStyle w:val="TOC1"/>
        <w:tabs>
          <w:tab w:val="right" w:leader="dot" w:pos="9016"/>
        </w:tabs>
        <w:rPr>
          <w:rFonts w:ascii="Arial" w:eastAsiaTheme="minorEastAsia" w:hAnsi="Arial" w:cs="Arial"/>
          <w:noProof/>
          <w:color w:val="auto"/>
          <w:kern w:val="2"/>
          <w:szCs w:val="24"/>
          <w:lang w:val="en-IN" w:eastAsia="en-GB"/>
          <w14:ligatures w14:val="standardContextual"/>
        </w:rPr>
      </w:pPr>
      <w:hyperlink w:anchor="_Toc241190038" w:history="1">
        <w:r w:rsidRPr="004047C2">
          <w:rPr>
            <w:rStyle w:val="Hyperlink"/>
            <w:rFonts w:ascii="Arial" w:hAnsi="Arial" w:cs="Arial"/>
            <w:noProof/>
          </w:rPr>
          <w:t>Appendices</w:t>
        </w:r>
        <w:r w:rsidRPr="004047C2">
          <w:rPr>
            <w:rFonts w:ascii="Arial" w:hAnsi="Arial" w:cs="Arial"/>
            <w:noProof/>
          </w:rPr>
          <w:tab/>
        </w:r>
        <w:r w:rsidRPr="004047C2">
          <w:rPr>
            <w:rFonts w:ascii="Arial" w:hAnsi="Arial" w:cs="Arial"/>
            <w:noProof/>
          </w:rPr>
          <w:fldChar w:fldCharType="begin"/>
        </w:r>
        <w:r w:rsidRPr="004047C2">
          <w:rPr>
            <w:rFonts w:ascii="Arial" w:hAnsi="Arial" w:cs="Arial"/>
            <w:noProof/>
          </w:rPr>
          <w:instrText xml:space="preserve"> PAGEREF _Toc241190038 \h </w:instrText>
        </w:r>
        <w:r w:rsidRPr="004047C2">
          <w:rPr>
            <w:rFonts w:ascii="Arial" w:hAnsi="Arial" w:cs="Arial"/>
            <w:noProof/>
          </w:rPr>
        </w:r>
        <w:r w:rsidRPr="004047C2">
          <w:rPr>
            <w:rFonts w:ascii="Arial" w:hAnsi="Arial" w:cs="Arial"/>
            <w:noProof/>
          </w:rPr>
          <w:fldChar w:fldCharType="separate"/>
        </w:r>
        <w:r w:rsidRPr="004047C2">
          <w:rPr>
            <w:rFonts w:ascii="Arial" w:hAnsi="Arial" w:cs="Arial"/>
            <w:noProof/>
          </w:rPr>
          <w:t>90</w:t>
        </w:r>
        <w:r w:rsidRPr="004047C2">
          <w:rPr>
            <w:rFonts w:ascii="Arial" w:hAnsi="Arial" w:cs="Arial"/>
            <w:noProof/>
          </w:rPr>
          <w:fldChar w:fldCharType="end"/>
        </w:r>
      </w:hyperlink>
    </w:p>
    <w:p w14:paraId="3BA779B9" w14:textId="13ACE3EF"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39" w:history="1">
        <w:r w:rsidRPr="004047C2">
          <w:rPr>
            <w:rStyle w:val="Hyperlink"/>
            <w:rFonts w:cs="Arial"/>
            <w:noProof/>
          </w:rPr>
          <w:t>Appendix 1: CASP Table</w:t>
        </w:r>
        <w:r w:rsidRPr="004047C2">
          <w:rPr>
            <w:rFonts w:cs="Arial"/>
            <w:noProof/>
          </w:rPr>
          <w:tab/>
        </w:r>
        <w:r w:rsidRPr="004047C2">
          <w:rPr>
            <w:rFonts w:cs="Arial"/>
            <w:noProof/>
          </w:rPr>
          <w:fldChar w:fldCharType="begin"/>
        </w:r>
        <w:r w:rsidRPr="004047C2">
          <w:rPr>
            <w:rFonts w:cs="Arial"/>
            <w:noProof/>
          </w:rPr>
          <w:instrText xml:space="preserve"> PAGEREF _Toc241190039 \h </w:instrText>
        </w:r>
        <w:r w:rsidRPr="004047C2">
          <w:rPr>
            <w:rFonts w:cs="Arial"/>
            <w:noProof/>
          </w:rPr>
        </w:r>
        <w:r w:rsidRPr="004047C2">
          <w:rPr>
            <w:rFonts w:cs="Arial"/>
            <w:noProof/>
          </w:rPr>
          <w:fldChar w:fldCharType="separate"/>
        </w:r>
        <w:r w:rsidRPr="004047C2">
          <w:rPr>
            <w:rFonts w:cs="Arial"/>
            <w:noProof/>
          </w:rPr>
          <w:t>90</w:t>
        </w:r>
        <w:r w:rsidRPr="004047C2">
          <w:rPr>
            <w:rFonts w:cs="Arial"/>
            <w:noProof/>
          </w:rPr>
          <w:fldChar w:fldCharType="end"/>
        </w:r>
      </w:hyperlink>
    </w:p>
    <w:p w14:paraId="22F57E02" w14:textId="266E3F10"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40" w:history="1">
        <w:r w:rsidRPr="004047C2">
          <w:rPr>
            <w:rStyle w:val="Hyperlink"/>
            <w:rFonts w:cs="Arial"/>
            <w:noProof/>
          </w:rPr>
          <w:t>Appendix 2: Data Extraction Table</w:t>
        </w:r>
        <w:r w:rsidRPr="004047C2">
          <w:rPr>
            <w:rFonts w:cs="Arial"/>
            <w:noProof/>
          </w:rPr>
          <w:tab/>
        </w:r>
        <w:r w:rsidRPr="004047C2">
          <w:rPr>
            <w:rFonts w:cs="Arial"/>
            <w:noProof/>
          </w:rPr>
          <w:fldChar w:fldCharType="begin"/>
        </w:r>
        <w:r w:rsidRPr="004047C2">
          <w:rPr>
            <w:rFonts w:cs="Arial"/>
            <w:noProof/>
          </w:rPr>
          <w:instrText xml:space="preserve"> PAGEREF _Toc241190040 \h </w:instrText>
        </w:r>
        <w:r w:rsidRPr="004047C2">
          <w:rPr>
            <w:rFonts w:cs="Arial"/>
            <w:noProof/>
          </w:rPr>
        </w:r>
        <w:r w:rsidRPr="004047C2">
          <w:rPr>
            <w:rFonts w:cs="Arial"/>
            <w:noProof/>
          </w:rPr>
          <w:fldChar w:fldCharType="separate"/>
        </w:r>
        <w:r w:rsidRPr="004047C2">
          <w:rPr>
            <w:rFonts w:cs="Arial"/>
            <w:noProof/>
          </w:rPr>
          <w:t>91</w:t>
        </w:r>
        <w:r w:rsidRPr="004047C2">
          <w:rPr>
            <w:rFonts w:cs="Arial"/>
            <w:noProof/>
          </w:rPr>
          <w:fldChar w:fldCharType="end"/>
        </w:r>
      </w:hyperlink>
    </w:p>
    <w:p w14:paraId="3EEFD75C" w14:textId="43E2E070" w:rsidR="004047C2" w:rsidRPr="004047C2" w:rsidRDefault="004047C2">
      <w:pPr>
        <w:pStyle w:val="TOC2"/>
        <w:tabs>
          <w:tab w:val="right" w:leader="dot" w:pos="9016"/>
        </w:tabs>
        <w:rPr>
          <w:rFonts w:eastAsiaTheme="minorEastAsia" w:cs="Arial"/>
          <w:noProof/>
          <w:kern w:val="2"/>
          <w:szCs w:val="24"/>
          <w:lang w:val="en-IN" w:eastAsia="en-GB"/>
          <w14:ligatures w14:val="standardContextual"/>
        </w:rPr>
      </w:pPr>
      <w:hyperlink w:anchor="_Toc241190041" w:history="1">
        <w:r w:rsidRPr="004047C2">
          <w:rPr>
            <w:rStyle w:val="Hyperlink"/>
            <w:rFonts w:cs="Arial"/>
            <w:noProof/>
          </w:rPr>
          <w:t>Appendix 3: Search Strategy</w:t>
        </w:r>
        <w:r w:rsidRPr="004047C2">
          <w:rPr>
            <w:rFonts w:cs="Arial"/>
            <w:noProof/>
          </w:rPr>
          <w:tab/>
        </w:r>
        <w:r w:rsidRPr="004047C2">
          <w:rPr>
            <w:rFonts w:cs="Arial"/>
            <w:noProof/>
          </w:rPr>
          <w:fldChar w:fldCharType="begin"/>
        </w:r>
        <w:r w:rsidRPr="004047C2">
          <w:rPr>
            <w:rFonts w:cs="Arial"/>
            <w:noProof/>
          </w:rPr>
          <w:instrText xml:space="preserve"> PAGEREF _Toc241190041 \h </w:instrText>
        </w:r>
        <w:r w:rsidRPr="004047C2">
          <w:rPr>
            <w:rFonts w:cs="Arial"/>
            <w:noProof/>
          </w:rPr>
        </w:r>
        <w:r w:rsidRPr="004047C2">
          <w:rPr>
            <w:rFonts w:cs="Arial"/>
            <w:noProof/>
          </w:rPr>
          <w:fldChar w:fldCharType="separate"/>
        </w:r>
        <w:r w:rsidRPr="004047C2">
          <w:rPr>
            <w:rFonts w:cs="Arial"/>
            <w:noProof/>
          </w:rPr>
          <w:t>93</w:t>
        </w:r>
        <w:r w:rsidRPr="004047C2">
          <w:rPr>
            <w:rFonts w:cs="Arial"/>
            <w:noProof/>
          </w:rPr>
          <w:fldChar w:fldCharType="end"/>
        </w:r>
      </w:hyperlink>
    </w:p>
    <w:p w14:paraId="1225CCF3" w14:textId="45B81AA2" w:rsidR="004047C2" w:rsidRPr="004047C2" w:rsidRDefault="004047C2">
      <w:pPr>
        <w:pStyle w:val="TOC1"/>
        <w:tabs>
          <w:tab w:val="right" w:leader="dot" w:pos="9016"/>
        </w:tabs>
        <w:rPr>
          <w:rFonts w:asciiTheme="minorHAnsi" w:eastAsiaTheme="minorEastAsia" w:hAnsiTheme="minorHAnsi" w:cstheme="minorBidi"/>
          <w:noProof/>
          <w:color w:val="auto"/>
          <w:kern w:val="2"/>
          <w:szCs w:val="24"/>
          <w:lang w:val="en-IN" w:eastAsia="en-GB"/>
          <w14:ligatures w14:val="standardContextual"/>
        </w:rPr>
      </w:pPr>
      <w:hyperlink w:anchor="_Toc241190042" w:history="1">
        <w:r w:rsidRPr="004047C2">
          <w:rPr>
            <w:rStyle w:val="Hyperlink"/>
            <w:rFonts w:ascii="Arial" w:hAnsi="Arial" w:cs="Arial"/>
            <w:noProof/>
            <w:kern w:val="0"/>
            <w:lang w:eastAsia="en-US"/>
          </w:rPr>
          <w:t>Appendix 4: Dissertation Supervision Record</w:t>
        </w:r>
        <w:r w:rsidRPr="004047C2">
          <w:rPr>
            <w:rFonts w:ascii="Arial" w:hAnsi="Arial" w:cs="Arial"/>
            <w:noProof/>
          </w:rPr>
          <w:tab/>
        </w:r>
        <w:r w:rsidRPr="004047C2">
          <w:rPr>
            <w:rFonts w:ascii="Arial" w:hAnsi="Arial" w:cs="Arial"/>
            <w:noProof/>
          </w:rPr>
          <w:fldChar w:fldCharType="begin"/>
        </w:r>
        <w:r w:rsidRPr="004047C2">
          <w:rPr>
            <w:rFonts w:ascii="Arial" w:hAnsi="Arial" w:cs="Arial"/>
            <w:noProof/>
          </w:rPr>
          <w:instrText xml:space="preserve"> PAGEREF _Toc241190042 \h </w:instrText>
        </w:r>
        <w:r w:rsidRPr="004047C2">
          <w:rPr>
            <w:rFonts w:ascii="Arial" w:hAnsi="Arial" w:cs="Arial"/>
            <w:noProof/>
          </w:rPr>
        </w:r>
        <w:r w:rsidRPr="004047C2">
          <w:rPr>
            <w:rFonts w:ascii="Arial" w:hAnsi="Arial" w:cs="Arial"/>
            <w:noProof/>
          </w:rPr>
          <w:fldChar w:fldCharType="separate"/>
        </w:r>
        <w:r w:rsidRPr="004047C2">
          <w:rPr>
            <w:rFonts w:ascii="Arial" w:hAnsi="Arial" w:cs="Arial"/>
            <w:noProof/>
          </w:rPr>
          <w:t>95</w:t>
        </w:r>
        <w:r w:rsidRPr="004047C2">
          <w:rPr>
            <w:rFonts w:ascii="Arial" w:hAnsi="Arial" w:cs="Arial"/>
            <w:noProof/>
          </w:rPr>
          <w:fldChar w:fldCharType="end"/>
        </w:r>
      </w:hyperlink>
    </w:p>
    <w:p w14:paraId="08785280" w14:textId="4F3448AA" w:rsidR="00BE776A" w:rsidRPr="004047C2" w:rsidRDefault="0007681E" w:rsidP="00E822A6">
      <w:pPr>
        <w:rPr>
          <w:rFonts w:cs="Arial"/>
          <w:color w:val="000000" w:themeColor="text1"/>
        </w:rPr>
      </w:pPr>
      <w:r w:rsidRPr="004047C2">
        <w:rPr>
          <w:rFonts w:cs="Arial"/>
          <w:color w:val="000000" w:themeColor="text1"/>
        </w:rPr>
        <w:fldChar w:fldCharType="end"/>
      </w:r>
    </w:p>
    <w:p w14:paraId="59E8F424" w14:textId="77777777" w:rsidR="00634BD0" w:rsidRPr="004D45B3" w:rsidRDefault="00634BD0" w:rsidP="00E822A6">
      <w:pPr>
        <w:suppressAutoHyphens w:val="0"/>
        <w:jc w:val="left"/>
        <w:rPr>
          <w:rFonts w:cs="Arial"/>
          <w:bCs/>
          <w:color w:val="000000" w:themeColor="text1"/>
        </w:rPr>
      </w:pPr>
      <w:bookmarkStart w:id="0" w:name="_Toc237877256"/>
      <w:r w:rsidRPr="004D45B3">
        <w:rPr>
          <w:rFonts w:cs="Arial"/>
          <w:bCs/>
          <w:color w:val="000000" w:themeColor="text1"/>
        </w:rPr>
        <w:br w:type="page"/>
      </w:r>
    </w:p>
    <w:p w14:paraId="59B6ACEC" w14:textId="1445EEDB" w:rsidR="00BE776A" w:rsidRPr="004D45B3" w:rsidRDefault="0007681E" w:rsidP="00634BD0">
      <w:pPr>
        <w:jc w:val="center"/>
        <w:rPr>
          <w:rFonts w:cs="Arial"/>
          <w:b/>
          <w:bCs/>
          <w:color w:val="000000" w:themeColor="text1"/>
          <w:szCs w:val="24"/>
        </w:rPr>
      </w:pPr>
      <w:r w:rsidRPr="004D45B3">
        <w:rPr>
          <w:rFonts w:cs="Arial"/>
          <w:b/>
          <w:bCs/>
          <w:color w:val="000000" w:themeColor="text1"/>
          <w:szCs w:val="24"/>
        </w:rPr>
        <w:t>List of figures</w:t>
      </w:r>
      <w:bookmarkEnd w:id="0"/>
    </w:p>
    <w:p w14:paraId="5014C6C1" w14:textId="77777777" w:rsidR="00BE776A" w:rsidRPr="004D45B3" w:rsidRDefault="0007681E">
      <w:pPr>
        <w:pStyle w:val="TableofFigures"/>
        <w:tabs>
          <w:tab w:val="right" w:leader="dot" w:pos="9016"/>
        </w:tabs>
        <w:rPr>
          <w:color w:val="000000" w:themeColor="text1"/>
        </w:rPr>
      </w:pPr>
      <w:r w:rsidRPr="004D45B3">
        <w:rPr>
          <w:color w:val="000000" w:themeColor="text1"/>
        </w:rPr>
        <w:fldChar w:fldCharType="begin"/>
      </w:r>
      <w:r w:rsidRPr="004D45B3">
        <w:rPr>
          <w:color w:val="000000" w:themeColor="text1"/>
        </w:rPr>
        <w:instrText xml:space="preserve"> TOC \h </w:instrText>
      </w:r>
      <w:r w:rsidRPr="004D45B3">
        <w:rPr>
          <w:color w:val="000000" w:themeColor="text1"/>
        </w:rPr>
        <w:fldChar w:fldCharType="separate"/>
      </w:r>
      <w:hyperlink w:anchor="_Toc240899412" w:history="1">
        <w:r w:rsidR="00BE776A" w:rsidRPr="004D45B3">
          <w:rPr>
            <w:rStyle w:val="Hyperlink"/>
            <w:bCs/>
            <w:color w:val="000000" w:themeColor="text1"/>
          </w:rPr>
          <w:t>Figure 1: Mortality attributable to socioeconomic inequality (Lewer et al., 2020)</w:t>
        </w:r>
        <w:r w:rsidR="00BE776A" w:rsidRPr="004D45B3">
          <w:rPr>
            <w:color w:val="000000" w:themeColor="text1"/>
          </w:rPr>
          <w:tab/>
          <w:t>21</w:t>
        </w:r>
      </w:hyperlink>
    </w:p>
    <w:p w14:paraId="4819BEF7" w14:textId="77777777" w:rsidR="00BE776A" w:rsidRPr="004D45B3" w:rsidRDefault="00BE776A">
      <w:pPr>
        <w:pStyle w:val="TableofFigures"/>
        <w:tabs>
          <w:tab w:val="right" w:leader="dot" w:pos="9016"/>
        </w:tabs>
        <w:rPr>
          <w:color w:val="000000" w:themeColor="text1"/>
        </w:rPr>
      </w:pPr>
      <w:hyperlink w:anchor="_Toc240899413" w:history="1">
        <w:r w:rsidRPr="004D45B3">
          <w:rPr>
            <w:rStyle w:val="Hyperlink"/>
            <w:bCs/>
            <w:color w:val="000000" w:themeColor="text1"/>
          </w:rPr>
          <w:t>Figure 2: Integrated Care Systems (Moore et al., 2023)</w:t>
        </w:r>
        <w:r w:rsidRPr="004D45B3">
          <w:rPr>
            <w:color w:val="000000" w:themeColor="text1"/>
          </w:rPr>
          <w:tab/>
          <w:t>26</w:t>
        </w:r>
      </w:hyperlink>
    </w:p>
    <w:p w14:paraId="1EBFF64E" w14:textId="77777777" w:rsidR="00BE776A" w:rsidRPr="004D45B3" w:rsidRDefault="00BE776A">
      <w:pPr>
        <w:pStyle w:val="TableofFigures"/>
        <w:tabs>
          <w:tab w:val="right" w:leader="dot" w:pos="9016"/>
        </w:tabs>
        <w:rPr>
          <w:color w:val="000000" w:themeColor="text1"/>
        </w:rPr>
      </w:pPr>
      <w:hyperlink w:anchor="_Toc240899414" w:history="1">
        <w:r w:rsidRPr="004D45B3">
          <w:rPr>
            <w:rStyle w:val="Hyperlink"/>
            <w:bCs/>
            <w:color w:val="000000" w:themeColor="text1"/>
          </w:rPr>
          <w:t>Figure 3: SDH Framework (Bull and Mittelmark, 2016)</w:t>
        </w:r>
        <w:r w:rsidRPr="004D45B3">
          <w:rPr>
            <w:color w:val="000000" w:themeColor="text1"/>
          </w:rPr>
          <w:tab/>
          <w:t>30</w:t>
        </w:r>
      </w:hyperlink>
    </w:p>
    <w:p w14:paraId="4558C961" w14:textId="77777777" w:rsidR="00BE776A" w:rsidRPr="004D45B3" w:rsidRDefault="00BE776A">
      <w:pPr>
        <w:pStyle w:val="TableofFigures"/>
        <w:tabs>
          <w:tab w:val="right" w:leader="dot" w:pos="9016"/>
        </w:tabs>
        <w:rPr>
          <w:color w:val="000000" w:themeColor="text1"/>
        </w:rPr>
      </w:pPr>
      <w:hyperlink w:anchor="_Toc240899415" w:history="1">
        <w:r w:rsidRPr="004D45B3">
          <w:rPr>
            <w:rStyle w:val="Hyperlink"/>
            <w:bCs/>
            <w:color w:val="000000" w:themeColor="text1"/>
          </w:rPr>
          <w:t>Figure 4: Fundamental Cause Theory (Jimoh Amzat, 2024)</w:t>
        </w:r>
        <w:r w:rsidRPr="004D45B3">
          <w:rPr>
            <w:color w:val="000000" w:themeColor="text1"/>
          </w:rPr>
          <w:tab/>
          <w:t>32</w:t>
        </w:r>
      </w:hyperlink>
    </w:p>
    <w:p w14:paraId="7A326D2B" w14:textId="77777777" w:rsidR="00BE776A" w:rsidRPr="004D45B3" w:rsidRDefault="00BE776A">
      <w:pPr>
        <w:pStyle w:val="TableofFigures"/>
        <w:tabs>
          <w:tab w:val="right" w:leader="dot" w:pos="9016"/>
        </w:tabs>
        <w:rPr>
          <w:color w:val="000000" w:themeColor="text1"/>
        </w:rPr>
      </w:pPr>
      <w:hyperlink w:anchor="_Toc240899416" w:history="1">
        <w:r w:rsidRPr="004D45B3">
          <w:rPr>
            <w:rStyle w:val="Hyperlink"/>
            <w:color w:val="000000" w:themeColor="text1"/>
          </w:rPr>
          <w:t>Figure 5: Thematic analysis flowchart steps (Braun and Clarke, 2023)</w:t>
        </w:r>
        <w:r w:rsidRPr="004D45B3">
          <w:rPr>
            <w:color w:val="000000" w:themeColor="text1"/>
          </w:rPr>
          <w:tab/>
          <w:t>40</w:t>
        </w:r>
      </w:hyperlink>
    </w:p>
    <w:p w14:paraId="7B931024" w14:textId="77777777" w:rsidR="00BE776A" w:rsidRPr="004D45B3" w:rsidRDefault="00BE776A">
      <w:pPr>
        <w:pStyle w:val="TableofFigures"/>
        <w:tabs>
          <w:tab w:val="right" w:leader="dot" w:pos="9016"/>
        </w:tabs>
        <w:rPr>
          <w:color w:val="000000" w:themeColor="text1"/>
        </w:rPr>
      </w:pPr>
      <w:hyperlink w:anchor="_Toc240899417" w:history="1">
        <w:r w:rsidRPr="004D45B3">
          <w:rPr>
            <w:rStyle w:val="Hyperlink"/>
            <w:bCs/>
            <w:color w:val="000000" w:themeColor="text1"/>
          </w:rPr>
          <w:t>Figure 6: PRISMA Diagram</w:t>
        </w:r>
        <w:r w:rsidRPr="004D45B3">
          <w:rPr>
            <w:color w:val="000000" w:themeColor="text1"/>
          </w:rPr>
          <w:tab/>
          <w:t>42</w:t>
        </w:r>
      </w:hyperlink>
    </w:p>
    <w:p w14:paraId="53DF294B" w14:textId="77777777" w:rsidR="00BE776A" w:rsidRPr="004D45B3" w:rsidRDefault="00BE776A">
      <w:pPr>
        <w:pStyle w:val="TableofFigures"/>
        <w:tabs>
          <w:tab w:val="right" w:leader="dot" w:pos="9016"/>
        </w:tabs>
        <w:rPr>
          <w:color w:val="000000" w:themeColor="text1"/>
        </w:rPr>
      </w:pPr>
      <w:hyperlink w:anchor="_Toc240899418" w:history="1">
        <w:r w:rsidRPr="004D45B3">
          <w:rPr>
            <w:rStyle w:val="Hyperlink"/>
            <w:color w:val="000000" w:themeColor="text1"/>
          </w:rPr>
          <w:t>Figure 7: Theme Chart</w:t>
        </w:r>
        <w:r w:rsidRPr="004D45B3">
          <w:rPr>
            <w:color w:val="000000" w:themeColor="text1"/>
          </w:rPr>
          <w:tab/>
          <w:t>50</w:t>
        </w:r>
      </w:hyperlink>
    </w:p>
    <w:p w14:paraId="333FF199" w14:textId="77777777" w:rsidR="00BE776A" w:rsidRPr="004D45B3" w:rsidRDefault="0007681E">
      <w:pPr>
        <w:rPr>
          <w:color w:val="000000" w:themeColor="text1"/>
        </w:rPr>
      </w:pPr>
      <w:r w:rsidRPr="004D45B3">
        <w:rPr>
          <w:color w:val="000000" w:themeColor="text1"/>
        </w:rPr>
        <w:fldChar w:fldCharType="end"/>
      </w:r>
    </w:p>
    <w:p w14:paraId="37243BC5" w14:textId="77777777" w:rsidR="00BE776A" w:rsidRPr="004D45B3" w:rsidRDefault="0007681E">
      <w:pPr>
        <w:spacing w:after="179"/>
        <w:ind w:left="59"/>
        <w:jc w:val="center"/>
        <w:rPr>
          <w:color w:val="000000" w:themeColor="text1"/>
        </w:rPr>
      </w:pPr>
      <w:r w:rsidRPr="004D45B3">
        <w:rPr>
          <w:rFonts w:cs="Arial"/>
          <w:b/>
          <w:color w:val="000000" w:themeColor="text1"/>
        </w:rPr>
        <w:t xml:space="preserve"> </w:t>
      </w:r>
    </w:p>
    <w:p w14:paraId="0415CF75" w14:textId="77777777" w:rsidR="00BE776A" w:rsidRPr="004D45B3" w:rsidRDefault="00BE776A">
      <w:pPr>
        <w:spacing w:after="158"/>
        <w:rPr>
          <w:rFonts w:cs="Arial"/>
          <w:color w:val="000000" w:themeColor="text1"/>
        </w:rPr>
      </w:pPr>
    </w:p>
    <w:p w14:paraId="53C47BA4" w14:textId="2C75761B" w:rsidR="00634BD0" w:rsidRPr="004D45B3" w:rsidRDefault="0007681E">
      <w:pPr>
        <w:spacing w:after="156"/>
        <w:ind w:left="59"/>
        <w:jc w:val="center"/>
        <w:rPr>
          <w:rFonts w:cs="Arial"/>
          <w:b/>
          <w:color w:val="000000" w:themeColor="text1"/>
        </w:rPr>
      </w:pPr>
      <w:r w:rsidRPr="004D45B3">
        <w:rPr>
          <w:rFonts w:cs="Arial"/>
          <w:b/>
          <w:color w:val="000000" w:themeColor="text1"/>
        </w:rPr>
        <w:t xml:space="preserve"> </w:t>
      </w:r>
    </w:p>
    <w:p w14:paraId="3140B4E3" w14:textId="77777777" w:rsidR="00634BD0" w:rsidRPr="004D45B3" w:rsidRDefault="00634BD0">
      <w:pPr>
        <w:suppressAutoHyphens w:val="0"/>
        <w:spacing w:line="276" w:lineRule="auto"/>
        <w:jc w:val="left"/>
        <w:rPr>
          <w:rFonts w:cs="Arial"/>
          <w:b/>
          <w:color w:val="000000" w:themeColor="text1"/>
        </w:rPr>
      </w:pPr>
      <w:r w:rsidRPr="004D45B3">
        <w:rPr>
          <w:rFonts w:cs="Arial"/>
          <w:b/>
          <w:color w:val="000000" w:themeColor="text1"/>
        </w:rPr>
        <w:br w:type="page"/>
      </w:r>
    </w:p>
    <w:p w14:paraId="21BFE679" w14:textId="77777777" w:rsidR="00BE776A" w:rsidRPr="004D45B3" w:rsidRDefault="0007681E" w:rsidP="00634BD0">
      <w:pPr>
        <w:jc w:val="center"/>
        <w:rPr>
          <w:rFonts w:cs="Arial"/>
          <w:b/>
          <w:bCs/>
          <w:color w:val="000000" w:themeColor="text1"/>
          <w:szCs w:val="24"/>
        </w:rPr>
      </w:pPr>
      <w:bookmarkStart w:id="1" w:name="_Toc237877257"/>
      <w:r w:rsidRPr="004D45B3">
        <w:rPr>
          <w:rFonts w:cs="Arial"/>
          <w:b/>
          <w:bCs/>
          <w:color w:val="000000" w:themeColor="text1"/>
          <w:szCs w:val="24"/>
        </w:rPr>
        <w:t>List of tables</w:t>
      </w:r>
      <w:bookmarkEnd w:id="1"/>
    </w:p>
    <w:p w14:paraId="59F970C5" w14:textId="77777777" w:rsidR="00BE776A" w:rsidRPr="004D45B3" w:rsidRDefault="0007681E">
      <w:pPr>
        <w:pStyle w:val="TableofFigures"/>
        <w:tabs>
          <w:tab w:val="right" w:leader="dot" w:pos="9016"/>
        </w:tabs>
        <w:rPr>
          <w:color w:val="000000" w:themeColor="text1"/>
        </w:rPr>
      </w:pPr>
      <w:r w:rsidRPr="004D45B3">
        <w:rPr>
          <w:color w:val="000000" w:themeColor="text1"/>
        </w:rPr>
        <w:fldChar w:fldCharType="begin"/>
      </w:r>
      <w:r w:rsidRPr="004D45B3">
        <w:rPr>
          <w:color w:val="000000" w:themeColor="text1"/>
        </w:rPr>
        <w:instrText xml:space="preserve"> TOC \h </w:instrText>
      </w:r>
      <w:r w:rsidRPr="004D45B3">
        <w:rPr>
          <w:color w:val="000000" w:themeColor="text1"/>
        </w:rPr>
        <w:fldChar w:fldCharType="separate"/>
      </w:r>
      <w:hyperlink w:anchor="_Toc240899405" w:history="1">
        <w:r w:rsidR="00BE776A" w:rsidRPr="004D45B3">
          <w:rPr>
            <w:rStyle w:val="Hyperlink"/>
            <w:i/>
            <w:iCs/>
            <w:color w:val="000000" w:themeColor="text1"/>
          </w:rPr>
          <w:t>Table 1: Boolean words used in search strategy</w:t>
        </w:r>
        <w:r w:rsidR="00BE776A" w:rsidRPr="004D45B3">
          <w:rPr>
            <w:color w:val="000000" w:themeColor="text1"/>
          </w:rPr>
          <w:tab/>
          <w:t>37</w:t>
        </w:r>
      </w:hyperlink>
    </w:p>
    <w:p w14:paraId="516813FA" w14:textId="77777777" w:rsidR="00BE776A" w:rsidRPr="004D45B3" w:rsidRDefault="00BE776A">
      <w:pPr>
        <w:pStyle w:val="TableofFigures"/>
        <w:tabs>
          <w:tab w:val="right" w:leader="dot" w:pos="9016"/>
        </w:tabs>
        <w:rPr>
          <w:color w:val="000000" w:themeColor="text1"/>
        </w:rPr>
      </w:pPr>
      <w:hyperlink w:anchor="_Toc240899406" w:history="1">
        <w:r w:rsidRPr="004D45B3">
          <w:rPr>
            <w:rStyle w:val="Hyperlink"/>
            <w:i/>
            <w:iCs/>
            <w:color w:val="000000" w:themeColor="text1"/>
          </w:rPr>
          <w:t>Table 2: Inclusion and Exclusion Criteria</w:t>
        </w:r>
        <w:r w:rsidRPr="004D45B3">
          <w:rPr>
            <w:color w:val="000000" w:themeColor="text1"/>
          </w:rPr>
          <w:tab/>
          <w:t>38</w:t>
        </w:r>
      </w:hyperlink>
    </w:p>
    <w:p w14:paraId="20D33291" w14:textId="77777777" w:rsidR="00BE776A" w:rsidRPr="004D45B3" w:rsidRDefault="00BE776A">
      <w:pPr>
        <w:pStyle w:val="TableofFigures"/>
        <w:tabs>
          <w:tab w:val="right" w:leader="dot" w:pos="9016"/>
        </w:tabs>
        <w:rPr>
          <w:color w:val="000000" w:themeColor="text1"/>
        </w:rPr>
      </w:pPr>
      <w:hyperlink w:anchor="_Toc240899407" w:history="1">
        <w:r w:rsidRPr="004D45B3">
          <w:rPr>
            <w:rStyle w:val="Hyperlink"/>
            <w:i/>
            <w:iCs/>
            <w:color w:val="000000" w:themeColor="text1"/>
          </w:rPr>
          <w:t>Table 3: Thematic Coding</w:t>
        </w:r>
        <w:r w:rsidRPr="004D45B3">
          <w:rPr>
            <w:color w:val="000000" w:themeColor="text1"/>
          </w:rPr>
          <w:tab/>
          <w:t>45</w:t>
        </w:r>
      </w:hyperlink>
    </w:p>
    <w:p w14:paraId="6147A8DC" w14:textId="77777777" w:rsidR="00BE776A" w:rsidRPr="004D45B3" w:rsidRDefault="00BE776A">
      <w:pPr>
        <w:pStyle w:val="TableofFigures"/>
        <w:tabs>
          <w:tab w:val="right" w:leader="dot" w:pos="9016"/>
        </w:tabs>
        <w:rPr>
          <w:color w:val="000000" w:themeColor="text1"/>
        </w:rPr>
      </w:pPr>
      <w:hyperlink w:anchor="_Toc240899408" w:history="1">
        <w:r w:rsidRPr="004D45B3">
          <w:rPr>
            <w:rStyle w:val="Hyperlink"/>
            <w:i/>
            <w:iCs/>
            <w:color w:val="000000" w:themeColor="text1"/>
          </w:rPr>
          <w:t>Table 4: Generating Initial Themes</w:t>
        </w:r>
        <w:r w:rsidRPr="004D45B3">
          <w:rPr>
            <w:color w:val="000000" w:themeColor="text1"/>
          </w:rPr>
          <w:tab/>
          <w:t>47</w:t>
        </w:r>
      </w:hyperlink>
    </w:p>
    <w:p w14:paraId="1525E501" w14:textId="77777777" w:rsidR="00BE776A" w:rsidRPr="004D45B3" w:rsidRDefault="00BE776A">
      <w:pPr>
        <w:pStyle w:val="TableofFigures"/>
        <w:tabs>
          <w:tab w:val="right" w:leader="dot" w:pos="9016"/>
        </w:tabs>
        <w:rPr>
          <w:color w:val="000000" w:themeColor="text1"/>
        </w:rPr>
      </w:pPr>
      <w:hyperlink w:anchor="_Toc240899409" w:history="1">
        <w:r w:rsidRPr="004D45B3">
          <w:rPr>
            <w:rStyle w:val="Hyperlink"/>
            <w:i/>
            <w:iCs/>
            <w:color w:val="000000" w:themeColor="text1"/>
          </w:rPr>
          <w:t>Table 5: Reviewing Themes</w:t>
        </w:r>
        <w:r w:rsidRPr="004D45B3">
          <w:rPr>
            <w:color w:val="000000" w:themeColor="text1"/>
          </w:rPr>
          <w:tab/>
          <w:t>49</w:t>
        </w:r>
      </w:hyperlink>
    </w:p>
    <w:p w14:paraId="69CF0C1C" w14:textId="77777777" w:rsidR="00BE776A" w:rsidRPr="004D45B3" w:rsidRDefault="0007681E">
      <w:pPr>
        <w:rPr>
          <w:color w:val="000000" w:themeColor="text1"/>
        </w:rPr>
      </w:pPr>
      <w:r w:rsidRPr="004D45B3">
        <w:rPr>
          <w:color w:val="000000" w:themeColor="text1"/>
        </w:rPr>
        <w:fldChar w:fldCharType="end"/>
      </w:r>
    </w:p>
    <w:p w14:paraId="46803E00" w14:textId="77777777" w:rsidR="00634BD0" w:rsidRPr="004D45B3" w:rsidRDefault="00634BD0">
      <w:pPr>
        <w:suppressAutoHyphens w:val="0"/>
        <w:spacing w:line="276" w:lineRule="auto"/>
        <w:jc w:val="left"/>
        <w:rPr>
          <w:color w:val="000000" w:themeColor="text1"/>
        </w:rPr>
      </w:pPr>
      <w:bookmarkStart w:id="2" w:name="_Toc237877258"/>
      <w:r w:rsidRPr="004D45B3">
        <w:rPr>
          <w:color w:val="000000" w:themeColor="text1"/>
        </w:rPr>
        <w:br w:type="page"/>
      </w:r>
    </w:p>
    <w:p w14:paraId="607AD2D2" w14:textId="4490B372" w:rsidR="00BE776A" w:rsidRPr="004D45B3" w:rsidRDefault="0007681E" w:rsidP="00634BD0">
      <w:pPr>
        <w:jc w:val="center"/>
        <w:rPr>
          <w:rFonts w:cs="Arial"/>
          <w:b/>
          <w:bCs/>
          <w:strike/>
          <w:color w:val="000000" w:themeColor="text1"/>
          <w:szCs w:val="24"/>
        </w:rPr>
      </w:pPr>
      <w:r w:rsidRPr="004D45B3">
        <w:rPr>
          <w:rFonts w:cs="Arial"/>
          <w:b/>
          <w:bCs/>
          <w:color w:val="000000" w:themeColor="text1"/>
          <w:szCs w:val="24"/>
        </w:rPr>
        <w:t>List of abbreviations</w:t>
      </w:r>
      <w:bookmarkEnd w:id="2"/>
      <w:r w:rsidRPr="004D45B3">
        <w:rPr>
          <w:rFonts w:cs="Arial"/>
          <w:b/>
          <w:bCs/>
          <w:color w:val="000000" w:themeColor="text1"/>
          <w:szCs w:val="24"/>
        </w:rPr>
        <w:t xml:space="preserve"> </w:t>
      </w:r>
    </w:p>
    <w:tbl>
      <w:tblPr>
        <w:tblW w:w="8600" w:type="dxa"/>
        <w:tblLayout w:type="fixed"/>
        <w:tblCellMar>
          <w:left w:w="10" w:type="dxa"/>
          <w:right w:w="10" w:type="dxa"/>
        </w:tblCellMar>
        <w:tblLook w:val="0000" w:firstRow="0" w:lastRow="0" w:firstColumn="0" w:lastColumn="0" w:noHBand="0" w:noVBand="0"/>
      </w:tblPr>
      <w:tblGrid>
        <w:gridCol w:w="1561"/>
        <w:gridCol w:w="7039"/>
      </w:tblGrid>
      <w:tr w:rsidR="00BE776A" w:rsidRPr="004D45B3" w14:paraId="21EB5376"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6BD3F" w14:textId="77777777" w:rsidR="00BE776A" w:rsidRPr="004D45B3" w:rsidRDefault="0007681E" w:rsidP="002B47CA">
            <w:pPr>
              <w:spacing w:after="0"/>
              <w:rPr>
                <w:rFonts w:cs="Arial"/>
                <w:b/>
                <w:bCs/>
                <w:color w:val="000000" w:themeColor="text1"/>
                <w:kern w:val="0"/>
                <w:sz w:val="22"/>
                <w:szCs w:val="24"/>
              </w:rPr>
            </w:pPr>
            <w:r w:rsidRPr="004D45B3">
              <w:rPr>
                <w:rFonts w:cs="Arial"/>
                <w:b/>
                <w:bCs/>
                <w:color w:val="000000" w:themeColor="text1"/>
                <w:kern w:val="0"/>
                <w:sz w:val="22"/>
                <w:szCs w:val="24"/>
              </w:rPr>
              <w:t>Abbreviation</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6F680" w14:textId="77777777" w:rsidR="00BE776A" w:rsidRPr="004D45B3" w:rsidRDefault="0007681E" w:rsidP="002B47CA">
            <w:pPr>
              <w:spacing w:after="0"/>
              <w:rPr>
                <w:rFonts w:cs="Arial"/>
                <w:b/>
                <w:bCs/>
                <w:color w:val="000000" w:themeColor="text1"/>
                <w:kern w:val="0"/>
                <w:sz w:val="22"/>
                <w:szCs w:val="24"/>
              </w:rPr>
            </w:pPr>
            <w:r w:rsidRPr="004D45B3">
              <w:rPr>
                <w:rFonts w:cs="Arial"/>
                <w:b/>
                <w:bCs/>
                <w:color w:val="000000" w:themeColor="text1"/>
                <w:kern w:val="0"/>
                <w:sz w:val="22"/>
                <w:szCs w:val="24"/>
              </w:rPr>
              <w:t>Full Form</w:t>
            </w:r>
          </w:p>
        </w:tc>
      </w:tr>
      <w:tr w:rsidR="00BE776A" w:rsidRPr="004D45B3" w14:paraId="16504035"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D89DE"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BAME</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EE5BC"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Black, Asian and Minority Ethnic</w:t>
            </w:r>
          </w:p>
        </w:tc>
      </w:tr>
      <w:tr w:rsidR="00BE776A" w:rsidRPr="004D45B3" w14:paraId="15BC8FD2"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BDBBE"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CALD</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9BB21"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Culturally and Linguistically Diverse</w:t>
            </w:r>
          </w:p>
        </w:tc>
      </w:tr>
      <w:tr w:rsidR="00BE776A" w:rsidRPr="004D45B3" w14:paraId="3C72AD6E"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632EB"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CASP</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C5417"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Critical Appraisal Skills Programme</w:t>
            </w:r>
          </w:p>
        </w:tc>
      </w:tr>
      <w:tr w:rsidR="00BE776A" w:rsidRPr="004D45B3" w14:paraId="316976CB"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41BD9"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CCC</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D17DD"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Culturally Competent Care</w:t>
            </w:r>
          </w:p>
        </w:tc>
      </w:tr>
      <w:tr w:rsidR="00BE776A" w:rsidRPr="004D45B3" w14:paraId="29B865A2"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F06D0"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CCAT</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534D4"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Culturally-Competent Assessment Tool</w:t>
            </w:r>
          </w:p>
        </w:tc>
      </w:tr>
      <w:tr w:rsidR="00BE776A" w:rsidRPr="004D45B3" w14:paraId="6541B2CC"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FCFAB"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CCH</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EA877"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Culturally Competent Healthcare</w:t>
            </w:r>
          </w:p>
        </w:tc>
      </w:tr>
      <w:tr w:rsidR="00BE776A" w:rsidRPr="004D45B3" w14:paraId="27540365"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52696"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CINAHL</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6003D"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Cumulative Index to Nursing and Allied Health Literature</w:t>
            </w:r>
          </w:p>
        </w:tc>
      </w:tr>
      <w:tr w:rsidR="00BE776A" w:rsidRPr="004D45B3" w14:paraId="00B7C034"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30E5C"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COVID-19</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AC301"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Coronavirus Disease 2019</w:t>
            </w:r>
          </w:p>
        </w:tc>
      </w:tr>
      <w:tr w:rsidR="00BE776A" w:rsidRPr="004D45B3" w14:paraId="553CECDE"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53F44"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FCT</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8EC44"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Fundamental Cause Theory</w:t>
            </w:r>
          </w:p>
        </w:tc>
      </w:tr>
      <w:tr w:rsidR="00BE776A" w:rsidRPr="004D45B3" w14:paraId="206E92DE"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7E222"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GDPR</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AF1E4"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General Data Protection Regulation</w:t>
            </w:r>
          </w:p>
        </w:tc>
      </w:tr>
      <w:tr w:rsidR="00BE776A" w:rsidRPr="004D45B3" w14:paraId="22D9AF30"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51CB9"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GP</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BC963"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General Practitioner</w:t>
            </w:r>
          </w:p>
        </w:tc>
      </w:tr>
      <w:tr w:rsidR="00BE776A" w:rsidRPr="004D45B3" w14:paraId="501D346A"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27E36"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NHS</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092D2"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National Health Service</w:t>
            </w:r>
          </w:p>
        </w:tc>
      </w:tr>
      <w:tr w:rsidR="00BE776A" w:rsidRPr="004D45B3" w14:paraId="7DEEC4C6"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70B435"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OECD</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E05BB"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Organisation for Economic Co-operation and Development</w:t>
            </w:r>
          </w:p>
        </w:tc>
      </w:tr>
      <w:tr w:rsidR="00BE776A" w:rsidRPr="004D45B3" w14:paraId="0E4AB943"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FEB39"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PCREF</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FB6F6"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Patient and Carer Race Equality Framework</w:t>
            </w:r>
          </w:p>
        </w:tc>
      </w:tr>
      <w:tr w:rsidR="00BE776A" w:rsidRPr="004D45B3" w14:paraId="7CB2F200"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1F42A"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PRISMA</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0CB45"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Preferred Reporting Items for Systematic Reviews and Meta-Analyses</w:t>
            </w:r>
          </w:p>
        </w:tc>
      </w:tr>
      <w:tr w:rsidR="00BE776A" w:rsidRPr="004D45B3" w14:paraId="09AFB0A1"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AE554"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SDH</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CC71E"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Social Determinants of Health</w:t>
            </w:r>
          </w:p>
        </w:tc>
      </w:tr>
      <w:tr w:rsidR="00BE776A" w:rsidRPr="004D45B3" w14:paraId="34DA630F"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7C52A"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SLR</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3AA56"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Systematic Literature Review</w:t>
            </w:r>
          </w:p>
        </w:tc>
      </w:tr>
      <w:tr w:rsidR="00BE776A" w:rsidRPr="004D45B3" w14:paraId="7A8BF32C" w14:textId="77777777">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70AAB"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UK</w:t>
            </w:r>
          </w:p>
        </w:tc>
        <w:tc>
          <w:tcPr>
            <w:tcW w:w="7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12241" w14:textId="77777777" w:rsidR="00BE776A" w:rsidRPr="004D45B3" w:rsidRDefault="0007681E" w:rsidP="002B47CA">
            <w:pPr>
              <w:spacing w:after="0"/>
              <w:rPr>
                <w:rFonts w:cs="Arial"/>
                <w:color w:val="000000" w:themeColor="text1"/>
                <w:kern w:val="0"/>
                <w:sz w:val="22"/>
                <w:szCs w:val="24"/>
              </w:rPr>
            </w:pPr>
            <w:r w:rsidRPr="004D45B3">
              <w:rPr>
                <w:rFonts w:cs="Arial"/>
                <w:color w:val="000000" w:themeColor="text1"/>
                <w:kern w:val="0"/>
                <w:sz w:val="22"/>
                <w:szCs w:val="24"/>
              </w:rPr>
              <w:t>United Kingdom</w:t>
            </w:r>
          </w:p>
        </w:tc>
      </w:tr>
    </w:tbl>
    <w:p w14:paraId="65FCDDD6" w14:textId="77777777" w:rsidR="00BE776A" w:rsidRPr="004D45B3" w:rsidRDefault="00BE776A">
      <w:pPr>
        <w:rPr>
          <w:rFonts w:cs="Arial"/>
          <w:b/>
          <w:bCs/>
          <w:color w:val="000000" w:themeColor="text1"/>
          <w:szCs w:val="24"/>
        </w:rPr>
      </w:pPr>
    </w:p>
    <w:p w14:paraId="30D74883" w14:textId="77777777" w:rsidR="00BE776A" w:rsidRPr="004D45B3" w:rsidRDefault="0007681E">
      <w:pPr>
        <w:spacing w:after="158"/>
        <w:ind w:left="59"/>
        <w:jc w:val="center"/>
        <w:rPr>
          <w:color w:val="000000" w:themeColor="text1"/>
        </w:rPr>
      </w:pPr>
      <w:r w:rsidRPr="004D45B3">
        <w:rPr>
          <w:rFonts w:cs="Arial"/>
          <w:b/>
          <w:color w:val="000000" w:themeColor="text1"/>
        </w:rPr>
        <w:t xml:space="preserve"> </w:t>
      </w:r>
    </w:p>
    <w:p w14:paraId="4E05A766" w14:textId="77777777" w:rsidR="00BE776A" w:rsidRPr="004D45B3" w:rsidRDefault="0007681E">
      <w:pPr>
        <w:spacing w:after="0"/>
        <w:rPr>
          <w:color w:val="000000" w:themeColor="text1"/>
        </w:rPr>
      </w:pPr>
      <w:r w:rsidRPr="004D45B3">
        <w:rPr>
          <w:rFonts w:cs="Arial"/>
          <w:b/>
          <w:i/>
          <w:color w:val="000000" w:themeColor="text1"/>
        </w:rPr>
        <w:t xml:space="preserve"> </w:t>
      </w:r>
    </w:p>
    <w:p w14:paraId="1DF75691" w14:textId="77777777" w:rsidR="00C33A9F" w:rsidRPr="004D45B3" w:rsidRDefault="00C33A9F">
      <w:pPr>
        <w:suppressAutoHyphens w:val="0"/>
        <w:spacing w:line="276" w:lineRule="auto"/>
        <w:jc w:val="left"/>
        <w:rPr>
          <w:rFonts w:ascii="Aptos Display" w:eastAsia="Arial" w:hAnsi="Aptos Display" w:cs="Arial"/>
          <w:color w:val="000000" w:themeColor="text1"/>
          <w:sz w:val="40"/>
          <w:szCs w:val="36"/>
        </w:rPr>
      </w:pPr>
      <w:r w:rsidRPr="004D45B3">
        <w:rPr>
          <w:rFonts w:eastAsia="Arial" w:cs="Arial"/>
          <w:color w:val="000000" w:themeColor="text1"/>
          <w:szCs w:val="36"/>
        </w:rPr>
        <w:br w:type="page"/>
      </w:r>
    </w:p>
    <w:p w14:paraId="2B900073" w14:textId="0435C5F1" w:rsidR="00BE776A" w:rsidRPr="004D45B3" w:rsidRDefault="0007681E" w:rsidP="00C33A9F">
      <w:pPr>
        <w:pStyle w:val="Heading1"/>
        <w:spacing w:before="0" w:after="0"/>
        <w:ind w:right="3"/>
        <w:jc w:val="left"/>
        <w:rPr>
          <w:b/>
          <w:bCs/>
          <w:color w:val="000000" w:themeColor="text1"/>
        </w:rPr>
      </w:pPr>
      <w:bookmarkStart w:id="3" w:name="_Toc241189994"/>
      <w:r w:rsidRPr="004D45B3">
        <w:rPr>
          <w:rFonts w:eastAsia="Arial" w:cs="Arial"/>
          <w:b/>
          <w:bCs/>
          <w:color w:val="000000" w:themeColor="text1"/>
          <w:szCs w:val="36"/>
        </w:rPr>
        <w:t>Chapter 1: Introduction</w:t>
      </w:r>
      <w:bookmarkEnd w:id="3"/>
      <w:r w:rsidRPr="004D45B3">
        <w:rPr>
          <w:rFonts w:eastAsia="Arial" w:cs="Arial"/>
          <w:b/>
          <w:bCs/>
          <w:color w:val="000000" w:themeColor="text1"/>
          <w:szCs w:val="36"/>
        </w:rPr>
        <w:t xml:space="preserve"> </w:t>
      </w:r>
    </w:p>
    <w:p w14:paraId="4E6DF77F" w14:textId="57C0AEB6" w:rsidR="00BE776A" w:rsidRPr="004D45B3" w:rsidRDefault="0007681E">
      <w:pPr>
        <w:spacing w:after="0"/>
        <w:rPr>
          <w:color w:val="000000" w:themeColor="text1"/>
        </w:rPr>
      </w:pPr>
      <w:r w:rsidRPr="004D45B3">
        <w:rPr>
          <w:rFonts w:cs="Arial"/>
          <w:color w:val="000000" w:themeColor="text1"/>
          <w:szCs w:val="24"/>
          <w:shd w:val="clear" w:color="auto" w:fill="FFFFFF"/>
        </w:rPr>
        <w:t xml:space="preserve">This research study examines health inequalities within ethnic minority groups across the United Kingdom (UK) and evaluates the efficacy of culturally competent care (CCC). Employing a systematic review and an extensive search strategy, it synthesises qualitative evidence using the PRISMA flow diagram. The studies are analysed using thematic analysis (TA). </w:t>
      </w:r>
      <w:r w:rsidRPr="004D45B3">
        <w:rPr>
          <w:rFonts w:ascii="Aptos Display" w:eastAsia="Arial" w:hAnsi="Aptos Display" w:cs="Arial"/>
          <w:b/>
          <w:color w:val="000000" w:themeColor="text1"/>
          <w:sz w:val="15"/>
          <w:szCs w:val="15"/>
        </w:rPr>
        <w:t xml:space="preserve"> </w:t>
      </w:r>
      <w:r w:rsidRPr="004D45B3">
        <w:rPr>
          <w:rFonts w:eastAsia="Arial" w:cs="Arial"/>
          <w:color w:val="000000" w:themeColor="text1"/>
          <w:szCs w:val="24"/>
          <w:shd w:val="clear" w:color="auto" w:fill="FFFFFF"/>
        </w:rPr>
        <w:t xml:space="preserve">Health inequalities affecting ethnic minority groups is a major public health concern recognised globally by the World Health Organisation and national bodies such as The King’s Fund </w:t>
      </w:r>
      <w:r w:rsidR="00C33A9F" w:rsidRPr="004D45B3">
        <w:rPr>
          <w:rFonts w:eastAsia="Arial" w:cs="Arial"/>
          <w:color w:val="000000" w:themeColor="text1"/>
          <w:szCs w:val="24"/>
          <w:shd w:val="clear" w:color="auto" w:fill="FFFFFF"/>
        </w:rPr>
        <w:t>(</w:t>
      </w:r>
      <w:r w:rsidRPr="004D45B3">
        <w:rPr>
          <w:rFonts w:eastAsia="Arial" w:cs="Arial"/>
          <w:color w:val="000000" w:themeColor="text1"/>
          <w:szCs w:val="24"/>
          <w:shd w:val="clear" w:color="auto" w:fill="FFFFFF"/>
        </w:rPr>
        <w:t>2023</w:t>
      </w:r>
      <w:r w:rsidR="00C33A9F" w:rsidRPr="004D45B3">
        <w:rPr>
          <w:rFonts w:eastAsia="Arial" w:cs="Arial"/>
          <w:color w:val="000000" w:themeColor="text1"/>
          <w:szCs w:val="24"/>
          <w:shd w:val="clear" w:color="auto" w:fill="FFFFFF"/>
        </w:rPr>
        <w:t>)</w:t>
      </w:r>
      <w:r w:rsidRPr="004D45B3">
        <w:rPr>
          <w:rFonts w:eastAsia="Arial" w:cs="Arial"/>
          <w:color w:val="000000" w:themeColor="text1"/>
          <w:szCs w:val="24"/>
          <w:shd w:val="clear" w:color="auto" w:fill="FFFFFF"/>
        </w:rPr>
        <w:t>.</w:t>
      </w:r>
    </w:p>
    <w:p w14:paraId="6A02DCCC" w14:textId="77777777" w:rsidR="00C33A9F" w:rsidRPr="004D45B3" w:rsidRDefault="00C33A9F">
      <w:pPr>
        <w:spacing w:after="0"/>
        <w:rPr>
          <w:rFonts w:eastAsia="Arial" w:cs="Arial"/>
          <w:color w:val="000000" w:themeColor="text1"/>
          <w:szCs w:val="24"/>
        </w:rPr>
      </w:pPr>
    </w:p>
    <w:p w14:paraId="6BBC940F" w14:textId="15FB6FF6"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Health inequalities affecting ethnic minority groups are a major public health concern in England. According to The King’s Fund, 19% of the population of England identified as belonging to a non-White ethnic minority group in the 2021 Census. This included 3.3% Indian, 2.8% Pakistani, 1.1% Bangladeshi and 2.6% African populations. Significant inequalities are also evident in health outcomes. During 2018–2020, the maternal mortality rate was 3.7 times higher among Black women and 1.7 times higher among Asian women compared with White women. In addition, the risk of developing type 2 diabetes is reported to be up to six times higher among South Asian groups and up to three times higher among Black groups compared with the White population. Approximately 400,000 people of South Asian ethnicity in the UK have diabetes, representing around one-fifth of the UK population living with diabetes (Raleigh, 2023).</w:t>
      </w:r>
    </w:p>
    <w:p w14:paraId="6C9D07BE" w14:textId="77777777" w:rsidR="00C33A9F" w:rsidRPr="004D45B3" w:rsidRDefault="00C33A9F">
      <w:pPr>
        <w:spacing w:before="280" w:after="0"/>
        <w:rPr>
          <w:rFonts w:eastAsia="Arial" w:cs="Arial"/>
          <w:color w:val="000000" w:themeColor="text1"/>
          <w:szCs w:val="24"/>
          <w:shd w:val="clear" w:color="auto" w:fill="FFFFFF"/>
        </w:rPr>
      </w:pPr>
    </w:p>
    <w:p w14:paraId="6A9B263F" w14:textId="5E17D8F6" w:rsidR="00BE776A" w:rsidRPr="004D45B3" w:rsidRDefault="0007681E">
      <w:pPr>
        <w:spacing w:before="280" w:after="0"/>
        <w:rPr>
          <w:rFonts w:eastAsia="Arial" w:cs="Arial"/>
          <w:color w:val="000000" w:themeColor="text1"/>
          <w:szCs w:val="24"/>
          <w:shd w:val="clear" w:color="auto" w:fill="FFFFFF"/>
        </w:rPr>
      </w:pPr>
      <w:r w:rsidRPr="004D45B3">
        <w:rPr>
          <w:rFonts w:eastAsia="Arial" w:cs="Arial"/>
          <w:color w:val="000000" w:themeColor="text1"/>
          <w:szCs w:val="24"/>
          <w:shd w:val="clear" w:color="auto" w:fill="FFFFFF"/>
        </w:rPr>
        <w:t xml:space="preserve">Health inequalities remain a significant issue throughout the UK amongst minority ethnic minority groups </w:t>
      </w:r>
      <w:r w:rsidRPr="004D45B3">
        <w:rPr>
          <w:rFonts w:eastAsia="Arial" w:cs="Arial"/>
          <w:color w:val="000000" w:themeColor="text1"/>
          <w:szCs w:val="24"/>
        </w:rPr>
        <w:t>(Ekezie et al., 2022)</w:t>
      </w:r>
      <w:r w:rsidRPr="004D45B3">
        <w:rPr>
          <w:rFonts w:eastAsia="Arial" w:cs="Arial"/>
          <w:color w:val="000000" w:themeColor="text1"/>
          <w:szCs w:val="24"/>
          <w:shd w:val="clear" w:color="auto" w:fill="FFFFFF"/>
        </w:rPr>
        <w:t xml:space="preserve">. Despite the existence of the National Health Service (NHS) and its philosophy of universal healthcare, there are imbalances in healthcare accessibility, prevalence of health problems and treatment results among the different </w:t>
      </w:r>
      <w:r w:rsidRPr="004D45B3">
        <w:rPr>
          <w:rFonts w:eastAsia="Arial" w:cs="Arial"/>
          <w:color w:val="000000" w:themeColor="text1"/>
          <w:szCs w:val="24"/>
        </w:rPr>
        <w:t xml:space="preserve">ethnic minority groups </w:t>
      </w:r>
      <w:r w:rsidRPr="004D45B3">
        <w:rPr>
          <w:rFonts w:eastAsia="Arial" w:cs="Arial"/>
          <w:color w:val="000000" w:themeColor="text1"/>
          <w:szCs w:val="24"/>
          <w:shd w:val="clear" w:color="auto" w:fill="FFFFFF"/>
        </w:rPr>
        <w:t xml:space="preserve">(Konstantopoulos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2023). This includes unequal access to healthcare, delayed diagnosis, poorer maternal outcomes, lower uptake of preventive services and communication barriers (Singal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2026). Ethnic minority groups are people whose ethnic background is different from the majority White British population </w:t>
      </w:r>
      <w:r w:rsidRPr="004D45B3">
        <w:rPr>
          <w:rFonts w:eastAsia="Arial" w:cs="Arial"/>
          <w:color w:val="000000" w:themeColor="text1"/>
          <w:szCs w:val="24"/>
        </w:rPr>
        <w:t>(Mirza and Warwick, 2024)</w:t>
      </w:r>
      <w:r w:rsidRPr="004D45B3">
        <w:rPr>
          <w:rFonts w:eastAsia="Arial" w:cs="Arial"/>
          <w:color w:val="000000" w:themeColor="text1"/>
          <w:szCs w:val="24"/>
          <w:shd w:val="clear" w:color="auto" w:fill="FFFFFF"/>
        </w:rPr>
        <w:t>. These groups include Asian, Black, Mixed and other minority ethnic communities. However, this study will mainly focus on Asian and African/Black ethnic groups because these populations continue to experience important health inequalities in the UK</w:t>
      </w:r>
      <w:r w:rsidR="00C33A9F" w:rsidRPr="004D45B3">
        <w:rPr>
          <w:rFonts w:eastAsia="Arial" w:cs="Arial"/>
          <w:color w:val="000000" w:themeColor="text1"/>
          <w:szCs w:val="24"/>
          <w:shd w:val="clear" w:color="auto" w:fill="FFFFFF"/>
        </w:rPr>
        <w:t xml:space="preserve"> </w:t>
      </w:r>
      <w:r w:rsidR="009F2D19" w:rsidRPr="004D45B3">
        <w:rPr>
          <w:rFonts w:eastAsia="Arial" w:cs="Arial"/>
          <w:color w:val="000000" w:themeColor="text1"/>
          <w:szCs w:val="24"/>
          <w:shd w:val="clear" w:color="auto" w:fill="FFFFFF"/>
        </w:rPr>
        <w:t>(</w:t>
      </w:r>
      <w:proofErr w:type="spellStart"/>
      <w:r w:rsidR="009F2D19" w:rsidRPr="004D45B3">
        <w:rPr>
          <w:rFonts w:eastAsia="Arial" w:cs="Arial"/>
          <w:color w:val="000000" w:themeColor="text1"/>
          <w:szCs w:val="24"/>
          <w:shd w:val="clear" w:color="auto" w:fill="FFFFFF"/>
        </w:rPr>
        <w:t>Hayanga</w:t>
      </w:r>
      <w:proofErr w:type="spellEnd"/>
      <w:r w:rsidR="009F2D19" w:rsidRPr="004D45B3">
        <w:rPr>
          <w:rFonts w:eastAsia="Arial" w:cs="Arial"/>
          <w:color w:val="000000" w:themeColor="text1"/>
          <w:szCs w:val="24"/>
          <w:shd w:val="clear" w:color="auto" w:fill="FFFFFF"/>
        </w:rPr>
        <w:t xml:space="preserve">, Stafford and </w:t>
      </w:r>
      <w:proofErr w:type="spellStart"/>
      <w:r w:rsidR="009F2D19" w:rsidRPr="004D45B3">
        <w:rPr>
          <w:rFonts w:eastAsia="Arial" w:cs="Arial"/>
          <w:color w:val="000000" w:themeColor="text1"/>
          <w:szCs w:val="24"/>
          <w:shd w:val="clear" w:color="auto" w:fill="FFFFFF"/>
        </w:rPr>
        <w:t>Bécares</w:t>
      </w:r>
      <w:proofErr w:type="spellEnd"/>
      <w:r w:rsidR="009F2D19" w:rsidRPr="004D45B3">
        <w:rPr>
          <w:rFonts w:eastAsia="Arial" w:cs="Arial"/>
          <w:color w:val="000000" w:themeColor="text1"/>
          <w:szCs w:val="24"/>
          <w:shd w:val="clear" w:color="auto" w:fill="FFFFFF"/>
        </w:rPr>
        <w:t>, 2023).</w:t>
      </w:r>
      <w:r w:rsidR="00C33A9F" w:rsidRPr="004D45B3">
        <w:rPr>
          <w:color w:val="000000" w:themeColor="text1"/>
        </w:rPr>
        <w:t xml:space="preserve"> </w:t>
      </w:r>
      <w:r w:rsidRPr="004D45B3">
        <w:rPr>
          <w:rFonts w:eastAsia="Arial" w:cs="Arial"/>
          <w:color w:val="000000" w:themeColor="text1"/>
          <w:szCs w:val="24"/>
          <w:shd w:val="clear" w:color="auto" w:fill="FFFFFF"/>
        </w:rPr>
        <w:t>For example, Black women have a higher risk of maternal death, while South Asian communities face higher levels of diabetes and heart disease. They may also experience language barriers, poor communication, lack of interpreters, cultural misunderstanding, discrimination and difficulty using healthcare services. These problems can reduce trust and make it harder for patients to receive suitable care</w:t>
      </w:r>
      <w:r w:rsidR="00C33A9F" w:rsidRPr="004D45B3">
        <w:rPr>
          <w:rFonts w:eastAsia="Arial" w:cs="Arial"/>
          <w:color w:val="000000" w:themeColor="text1"/>
          <w:szCs w:val="24"/>
          <w:shd w:val="clear" w:color="auto" w:fill="FFFFFF"/>
        </w:rPr>
        <w:t xml:space="preserve"> </w:t>
      </w:r>
      <w:r w:rsidR="00A412A9" w:rsidRPr="004D45B3">
        <w:rPr>
          <w:rFonts w:eastAsia="Arial" w:cs="Arial"/>
          <w:color w:val="000000" w:themeColor="text1"/>
          <w:szCs w:val="24"/>
          <w:shd w:val="clear" w:color="auto" w:fill="FFFFFF"/>
        </w:rPr>
        <w:t>(</w:t>
      </w:r>
      <w:proofErr w:type="spellStart"/>
      <w:r w:rsidR="00A412A9" w:rsidRPr="004D45B3">
        <w:rPr>
          <w:rFonts w:eastAsia="Arial" w:cs="Arial"/>
          <w:color w:val="000000" w:themeColor="text1"/>
          <w:szCs w:val="24"/>
          <w:shd w:val="clear" w:color="auto" w:fill="FFFFFF"/>
        </w:rPr>
        <w:t>Hayanga</w:t>
      </w:r>
      <w:proofErr w:type="spellEnd"/>
      <w:r w:rsidR="00A412A9" w:rsidRPr="004D45B3">
        <w:rPr>
          <w:rFonts w:eastAsia="Arial" w:cs="Arial"/>
          <w:color w:val="000000" w:themeColor="text1"/>
          <w:szCs w:val="24"/>
          <w:shd w:val="clear" w:color="auto" w:fill="FFFFFF"/>
        </w:rPr>
        <w:t xml:space="preserve">, Stafford and </w:t>
      </w:r>
      <w:proofErr w:type="spellStart"/>
      <w:r w:rsidR="00A412A9" w:rsidRPr="004D45B3">
        <w:rPr>
          <w:rFonts w:eastAsia="Arial" w:cs="Arial"/>
          <w:color w:val="000000" w:themeColor="text1"/>
          <w:szCs w:val="24"/>
          <w:shd w:val="clear" w:color="auto" w:fill="FFFFFF"/>
        </w:rPr>
        <w:t>Bécares</w:t>
      </w:r>
      <w:proofErr w:type="spellEnd"/>
      <w:r w:rsidR="00A412A9" w:rsidRPr="004D45B3">
        <w:rPr>
          <w:rFonts w:eastAsia="Arial" w:cs="Arial"/>
          <w:color w:val="000000" w:themeColor="text1"/>
          <w:szCs w:val="24"/>
          <w:shd w:val="clear" w:color="auto" w:fill="FFFFFF"/>
        </w:rPr>
        <w:t>, 2023)</w:t>
      </w:r>
      <w:r w:rsidR="00C33A9F" w:rsidRPr="004D45B3">
        <w:rPr>
          <w:rFonts w:eastAsia="Arial" w:cs="Arial"/>
          <w:color w:val="000000" w:themeColor="text1"/>
          <w:szCs w:val="24"/>
          <w:shd w:val="clear" w:color="auto" w:fill="FFFFFF"/>
        </w:rPr>
        <w:t>.</w:t>
      </w:r>
      <w:r w:rsidRPr="004D45B3">
        <w:rPr>
          <w:rFonts w:eastAsia="Arial" w:cs="Arial"/>
          <w:color w:val="000000" w:themeColor="text1"/>
          <w:szCs w:val="24"/>
          <w:shd w:val="clear" w:color="auto" w:fill="FFFFFF"/>
        </w:rPr>
        <w:t xml:space="preserve"> Culturally appropriate care can include interpreters, health information, respect for cultural beliefs and care based on needs </w:t>
      </w:r>
      <w:r w:rsidRPr="004D45B3">
        <w:rPr>
          <w:rFonts w:eastAsia="Arial" w:cs="Arial"/>
          <w:color w:val="000000" w:themeColor="text1"/>
          <w:szCs w:val="24"/>
        </w:rPr>
        <w:t>(Razzaq, Khan and Razzaq, 2023)</w:t>
      </w:r>
      <w:r w:rsidRPr="004D45B3">
        <w:rPr>
          <w:rFonts w:eastAsia="Arial" w:cs="Arial"/>
          <w:color w:val="000000" w:themeColor="text1"/>
          <w:szCs w:val="24"/>
          <w:shd w:val="clear" w:color="auto" w:fill="FFFFFF"/>
        </w:rPr>
        <w:t xml:space="preserve">. Therefore, the concept of cultural competence has been developed to provide healthcare that meets the different cultural, linguistic and social needs of patients </w:t>
      </w:r>
      <w:r w:rsidRPr="004D45B3">
        <w:rPr>
          <w:rFonts w:eastAsia="Arial" w:cs="Arial"/>
          <w:color w:val="000000" w:themeColor="text1"/>
          <w:szCs w:val="24"/>
        </w:rPr>
        <w:t>(Vella, White and Livingston, 2022)</w:t>
      </w:r>
      <w:r w:rsidRPr="004D45B3">
        <w:rPr>
          <w:rFonts w:eastAsia="Arial" w:cs="Arial"/>
          <w:color w:val="000000" w:themeColor="text1"/>
          <w:szCs w:val="24"/>
          <w:shd w:val="clear" w:color="auto" w:fill="FFFFFF"/>
        </w:rPr>
        <w:t xml:space="preserve">. Cultural competence means that healthcare professionals understand and respond to the cultural, language and social needs of patients, helping improve communication, trust and access to care </w:t>
      </w:r>
      <w:r w:rsidRPr="004D45B3">
        <w:rPr>
          <w:rFonts w:eastAsia="Arial" w:cs="Arial"/>
          <w:color w:val="000000" w:themeColor="text1"/>
          <w:szCs w:val="24"/>
        </w:rPr>
        <w:t>(Razzaq, Khan and Razzaq, 2023)</w:t>
      </w:r>
      <w:r w:rsidRPr="004D45B3">
        <w:rPr>
          <w:rFonts w:eastAsia="Arial" w:cs="Arial"/>
          <w:color w:val="000000" w:themeColor="text1"/>
          <w:szCs w:val="24"/>
          <w:shd w:val="clear" w:color="auto" w:fill="FFFFFF"/>
        </w:rPr>
        <w:t>.</w:t>
      </w:r>
    </w:p>
    <w:p w14:paraId="00AB1A54" w14:textId="77777777" w:rsidR="00C33A9F" w:rsidRPr="004D45B3" w:rsidRDefault="00C33A9F">
      <w:pPr>
        <w:spacing w:before="280" w:after="0"/>
        <w:rPr>
          <w:rFonts w:eastAsia="Arial" w:cs="Arial"/>
          <w:color w:val="000000" w:themeColor="text1"/>
          <w:szCs w:val="24"/>
          <w:shd w:val="clear" w:color="auto" w:fill="FFFFFF"/>
        </w:rPr>
      </w:pPr>
    </w:p>
    <w:p w14:paraId="5D173439" w14:textId="77777777" w:rsidR="00BE776A" w:rsidRPr="004D45B3" w:rsidRDefault="0007681E">
      <w:pPr>
        <w:pStyle w:val="Heading2"/>
        <w:rPr>
          <w:color w:val="000000" w:themeColor="text1"/>
        </w:rPr>
      </w:pPr>
      <w:bookmarkStart w:id="4" w:name="_Toc241189995"/>
      <w:r w:rsidRPr="004D45B3">
        <w:rPr>
          <w:b/>
          <w:bCs/>
          <w:color w:val="000000" w:themeColor="text1"/>
          <w:sz w:val="28"/>
          <w:szCs w:val="28"/>
          <w:shd w:val="clear" w:color="auto" w:fill="FFFFFF"/>
        </w:rPr>
        <w:t>1.1 Background to the Study</w:t>
      </w:r>
      <w:bookmarkEnd w:id="4"/>
    </w:p>
    <w:p w14:paraId="5E3B59C7" w14:textId="77777777" w:rsidR="00BE776A" w:rsidRPr="004D45B3" w:rsidRDefault="0007681E">
      <w:pPr>
        <w:spacing w:before="280" w:after="0"/>
        <w:rPr>
          <w:color w:val="000000" w:themeColor="text1"/>
        </w:rPr>
      </w:pPr>
      <w:r w:rsidRPr="004D45B3">
        <w:rPr>
          <w:rFonts w:eastAsia="Arial" w:cs="Arial"/>
          <w:color w:val="000000" w:themeColor="text1"/>
          <w:szCs w:val="24"/>
          <w:shd w:val="clear" w:color="auto" w:fill="FFFFFF"/>
        </w:rPr>
        <w:t xml:space="preserve">Health inequalities are seen as systematic, preventable, and inequitable variations in the health status and health outcomes for the ethnic minority populations </w:t>
      </w:r>
      <w:r w:rsidRPr="004D45B3">
        <w:rPr>
          <w:rFonts w:eastAsia="Arial" w:cs="Arial"/>
          <w:color w:val="000000" w:themeColor="text1"/>
          <w:szCs w:val="24"/>
        </w:rPr>
        <w:t>(</w:t>
      </w:r>
      <w:proofErr w:type="spellStart"/>
      <w:r w:rsidRPr="004D45B3">
        <w:rPr>
          <w:rFonts w:eastAsia="Arial" w:cs="Arial"/>
          <w:color w:val="000000" w:themeColor="text1"/>
          <w:szCs w:val="24"/>
        </w:rPr>
        <w:t>Gkiouleka</w:t>
      </w:r>
      <w:proofErr w:type="spellEnd"/>
      <w:r w:rsidRPr="004D45B3">
        <w:rPr>
          <w:rFonts w:eastAsia="Arial" w:cs="Arial"/>
          <w:color w:val="000000" w:themeColor="text1"/>
          <w:szCs w:val="24"/>
        </w:rPr>
        <w:t xml:space="preserve"> et al., 2023). In England, the detention rate under the Mental Health Act was 262.4 per 100,000 for Black or Black British people in 2024–2025, compared with 65.8 per 100,000 for White people (Digital.nhs.uk, 2025). This was almost four times higher (NHS England, 2025). </w:t>
      </w:r>
      <w:r w:rsidRPr="004D45B3">
        <w:rPr>
          <w:rFonts w:eastAsia="Arial" w:cs="Arial"/>
          <w:color w:val="000000" w:themeColor="text1"/>
          <w:szCs w:val="24"/>
          <w:shd w:val="clear" w:color="auto" w:fill="FFFFFF"/>
        </w:rPr>
        <w:t xml:space="preserve">Furthermore, Black Caribbean groups also report poorer experiences of mental healthcare, including greater use of compulsory detention </w:t>
      </w:r>
      <w:r w:rsidRPr="004D45B3">
        <w:rPr>
          <w:rFonts w:eastAsia="Arial" w:cs="Arial"/>
          <w:color w:val="000000" w:themeColor="text1"/>
          <w:szCs w:val="24"/>
        </w:rPr>
        <w:t>(Devonport et al., 2022)</w:t>
      </w:r>
      <w:r w:rsidRPr="004D45B3">
        <w:rPr>
          <w:rFonts w:eastAsia="Arial" w:cs="Arial"/>
          <w:color w:val="000000" w:themeColor="text1"/>
          <w:szCs w:val="24"/>
          <w:shd w:val="clear" w:color="auto" w:fill="FFFFFF"/>
        </w:rPr>
        <w:t xml:space="preserve">. Despite the fact that the NHS was implemented to provide health care on the basis of clinical need, the records show there are still systematic differences between these groups concerning access to health care, quality of services and health condition (Bansal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2022). These inequalities are linked to social and economic disadvantage, poor housing, discrimination, language barriers and problems accessing healthcare. These factors can reduce access to suitable care and contribute to poorer health outcomes among ethnic minority communities (Whitman et al., 2022). </w:t>
      </w:r>
    </w:p>
    <w:p w14:paraId="25F016CA" w14:textId="77777777" w:rsidR="00BE776A" w:rsidRPr="004D45B3" w:rsidRDefault="0007681E">
      <w:pPr>
        <w:spacing w:before="280" w:after="0"/>
        <w:rPr>
          <w:color w:val="000000" w:themeColor="text1"/>
        </w:rPr>
      </w:pPr>
      <w:r w:rsidRPr="004D45B3">
        <w:rPr>
          <w:rFonts w:eastAsia="Arial" w:cs="Arial"/>
          <w:color w:val="000000" w:themeColor="text1"/>
          <w:szCs w:val="24"/>
          <w:shd w:val="clear" w:color="auto" w:fill="FFFFFF"/>
        </w:rPr>
        <w:t xml:space="preserve">The ethnic minority population living in the UK face more difficulties with chronic diseases compared to their White British counterparts. Furthermore, people of South Asian descent have greater incidences of type 2 diabetes and heart disease than White Europeans in the UK. Communities of Black descent (men and women) have increased levels of hypertension and related cardiovascular disease (Raleigh, 2023). It has thus been established that health results are determined not only by biological characteristics but also by social and structural factors (Townsend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2023). Social and structural determinants include income inequality, low education, bad housing, employment, poor neighbourhood, etc. All these factors can influence the level of health risks and the ability to receive timely medical treatment as well as health outcomes in the ethnic minority groups (Raleigh, 2023).</w:t>
      </w:r>
    </w:p>
    <w:p w14:paraId="732F0C07" w14:textId="77777777" w:rsidR="00C33A9F" w:rsidRPr="004D45B3" w:rsidRDefault="00C33A9F">
      <w:pPr>
        <w:spacing w:before="280" w:after="0"/>
        <w:rPr>
          <w:rFonts w:eastAsia="Arial" w:cs="Arial"/>
          <w:color w:val="000000" w:themeColor="text1"/>
          <w:szCs w:val="24"/>
          <w:shd w:val="clear" w:color="auto" w:fill="FFFFFF"/>
        </w:rPr>
      </w:pPr>
    </w:p>
    <w:p w14:paraId="06A701A7" w14:textId="3F1DBED7" w:rsidR="00BE776A" w:rsidRPr="004D45B3" w:rsidRDefault="0007681E">
      <w:pPr>
        <w:spacing w:before="280" w:after="0"/>
        <w:rPr>
          <w:color w:val="000000" w:themeColor="text1"/>
        </w:rPr>
      </w:pPr>
      <w:r w:rsidRPr="004D45B3">
        <w:rPr>
          <w:rFonts w:eastAsia="Arial" w:cs="Arial"/>
          <w:color w:val="000000" w:themeColor="text1"/>
          <w:szCs w:val="24"/>
          <w:shd w:val="clear" w:color="auto" w:fill="FFFFFF"/>
        </w:rPr>
        <w:t xml:space="preserve">Communication barriers are another factor causing disparity in healthcare experiences. For instance, language differences, cultural beliefs and the level of health literacy could interfere with the patients' understanding of medical recommendations and their communication with healthcare professionals (Patel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2026). Such barriers could result in less adherence to treatment, lower involvement in preventive healthcare activities and diminished trust towards healthcare providers. Moreover, historical issues of discrimination and institutional bias give rise to lower willingness of certain ethnic minority groups to use healthcare services (Vandecasteele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2024). For example, David Bennett, a Black Caribbean patient, died in 1998 after being restrained in a psychiatric unit. The later inquiry found serious concerns about racism and unequal treatment within mental health services </w:t>
      </w:r>
      <w:r w:rsidRPr="004D45B3">
        <w:rPr>
          <w:rFonts w:eastAsia="Arial" w:cs="Arial"/>
          <w:color w:val="000000" w:themeColor="text1"/>
          <w:szCs w:val="24"/>
        </w:rPr>
        <w:t>(Bennett, 2003)</w:t>
      </w:r>
      <w:r w:rsidRPr="004D45B3">
        <w:rPr>
          <w:rFonts w:eastAsia="Arial" w:cs="Arial"/>
          <w:color w:val="000000" w:themeColor="text1"/>
          <w:szCs w:val="24"/>
          <w:shd w:val="clear" w:color="auto" w:fill="FFFFFF"/>
        </w:rPr>
        <w:t xml:space="preserve">. Such historical experiences have contributed to mistrust among some ethnic minority communities. </w:t>
      </w:r>
    </w:p>
    <w:p w14:paraId="26060B7B" w14:textId="77777777" w:rsidR="00C33A9F" w:rsidRPr="004D45B3" w:rsidRDefault="00C33A9F">
      <w:pPr>
        <w:spacing w:before="280" w:after="0"/>
        <w:rPr>
          <w:rFonts w:eastAsia="Arial" w:cs="Arial"/>
          <w:color w:val="000000" w:themeColor="text1"/>
          <w:szCs w:val="24"/>
          <w:shd w:val="clear" w:color="auto" w:fill="FFFFFF"/>
        </w:rPr>
      </w:pPr>
    </w:p>
    <w:p w14:paraId="4FF714F8" w14:textId="6EED709C" w:rsidR="00BE776A" w:rsidRPr="004D45B3" w:rsidRDefault="0007681E">
      <w:pPr>
        <w:spacing w:before="280" w:after="0"/>
        <w:rPr>
          <w:color w:val="000000" w:themeColor="text1"/>
        </w:rPr>
      </w:pPr>
      <w:r w:rsidRPr="004D45B3">
        <w:rPr>
          <w:rFonts w:eastAsia="Arial" w:cs="Arial"/>
          <w:color w:val="000000" w:themeColor="text1"/>
          <w:szCs w:val="24"/>
          <w:shd w:val="clear" w:color="auto" w:fill="FFFFFF"/>
        </w:rPr>
        <w:t xml:space="preserve">CCC has become a tool to deal with issues such as </w:t>
      </w:r>
      <w:r w:rsidRPr="004D45B3">
        <w:rPr>
          <w:rFonts w:eastAsia="Arial" w:cs="Arial"/>
          <w:color w:val="000000" w:themeColor="text1"/>
          <w:szCs w:val="24"/>
        </w:rPr>
        <w:t>language barriers, poor communication, cultural misunderstanding, discrimination and lack of trust</w:t>
      </w:r>
      <w:r w:rsidRPr="004D45B3">
        <w:rPr>
          <w:rFonts w:eastAsia="Arial" w:cs="Arial"/>
          <w:color w:val="000000" w:themeColor="text1"/>
          <w:szCs w:val="24"/>
          <w:shd w:val="clear" w:color="auto" w:fill="FFFFFF"/>
        </w:rPr>
        <w:t xml:space="preserve"> in healthcare policies and practices. Cultural competence can be evidenced in various initiatives within the UK, such as the NHS Long Term Plan, Core20PLUS5, and Patient and Carer Race Equality Framework (PCREF), which focus on addressing health inequalities through culturally responsive healthcare services (NHS England, 2023). </w:t>
      </w:r>
      <w:r w:rsidRPr="004D45B3">
        <w:rPr>
          <w:rFonts w:eastAsia="Arial" w:cs="Arial"/>
          <w:color w:val="000000" w:themeColor="text1"/>
          <w:szCs w:val="24"/>
        </w:rPr>
        <w:t xml:space="preserve">Vella, White and Livingston, (2022); Schouten, </w:t>
      </w:r>
      <w:proofErr w:type="spellStart"/>
      <w:r w:rsidRPr="004D45B3">
        <w:rPr>
          <w:rFonts w:eastAsia="Arial" w:cs="Arial"/>
          <w:color w:val="000000" w:themeColor="text1"/>
          <w:szCs w:val="24"/>
        </w:rPr>
        <w:t>Manthey</w:t>
      </w:r>
      <w:proofErr w:type="spellEnd"/>
      <w:r w:rsidRPr="004D45B3">
        <w:rPr>
          <w:rFonts w:eastAsia="Arial" w:cs="Arial"/>
          <w:color w:val="000000" w:themeColor="text1"/>
          <w:szCs w:val="24"/>
        </w:rPr>
        <w:t xml:space="preserve"> and </w:t>
      </w:r>
      <w:proofErr w:type="spellStart"/>
      <w:r w:rsidRPr="004D45B3">
        <w:rPr>
          <w:rFonts w:eastAsia="Arial" w:cs="Arial"/>
          <w:color w:val="000000" w:themeColor="text1"/>
          <w:szCs w:val="24"/>
        </w:rPr>
        <w:t>Scarvaglieri</w:t>
      </w:r>
      <w:proofErr w:type="spellEnd"/>
      <w:r w:rsidRPr="004D45B3">
        <w:rPr>
          <w:rFonts w:eastAsia="Arial" w:cs="Arial"/>
          <w:color w:val="000000" w:themeColor="text1"/>
          <w:szCs w:val="24"/>
        </w:rPr>
        <w:t xml:space="preserve">, (2023); </w:t>
      </w:r>
      <w:r w:rsidRPr="004D45B3">
        <w:rPr>
          <w:rFonts w:eastAsia="Arial" w:cs="Arial"/>
          <w:color w:val="000000" w:themeColor="text1"/>
          <w:szCs w:val="24"/>
          <w:shd w:val="clear" w:color="auto" w:fill="FFFFFF"/>
        </w:rPr>
        <w:t xml:space="preserve">Dawson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(2025)</w:t>
      </w:r>
      <w:r w:rsidRPr="004D45B3">
        <w:rPr>
          <w:rFonts w:eastAsia="Arial" w:cs="Arial"/>
          <w:color w:val="000000" w:themeColor="text1"/>
          <w:szCs w:val="24"/>
        </w:rPr>
        <w:t xml:space="preserve"> </w:t>
      </w:r>
      <w:r w:rsidRPr="004D45B3">
        <w:rPr>
          <w:rFonts w:eastAsia="Arial" w:cs="Arial"/>
          <w:color w:val="000000" w:themeColor="text1"/>
          <w:szCs w:val="24"/>
          <w:shd w:val="clear" w:color="auto" w:fill="FFFFFF"/>
        </w:rPr>
        <w:t xml:space="preserve">demonstrate that culturally proficient interventions can improve communication and create better patient satisfaction and healthcare experiences. </w:t>
      </w:r>
    </w:p>
    <w:p w14:paraId="54EC5BDD" w14:textId="77777777" w:rsidR="00BE776A" w:rsidRPr="004D45B3" w:rsidRDefault="00BE776A">
      <w:pPr>
        <w:spacing w:before="280" w:after="0"/>
        <w:jc w:val="left"/>
        <w:rPr>
          <w:rFonts w:eastAsia="Arial" w:cs="Arial"/>
          <w:color w:val="000000" w:themeColor="text1"/>
          <w:szCs w:val="24"/>
          <w:shd w:val="clear" w:color="auto" w:fill="FFFFFF"/>
        </w:rPr>
      </w:pPr>
    </w:p>
    <w:p w14:paraId="0A8D0B19" w14:textId="77777777" w:rsidR="00BE776A" w:rsidRPr="004D45B3" w:rsidRDefault="0007681E">
      <w:pPr>
        <w:pStyle w:val="Heading2"/>
        <w:rPr>
          <w:color w:val="000000" w:themeColor="text1"/>
        </w:rPr>
      </w:pPr>
      <w:bookmarkStart w:id="5" w:name="_Toc241189996"/>
      <w:r w:rsidRPr="004D45B3">
        <w:rPr>
          <w:b/>
          <w:bCs/>
          <w:color w:val="000000" w:themeColor="text1"/>
          <w:sz w:val="28"/>
          <w:szCs w:val="28"/>
          <w:shd w:val="clear" w:color="auto" w:fill="FFFFFF"/>
        </w:rPr>
        <w:t>1.3 Problem Statement</w:t>
      </w:r>
      <w:bookmarkEnd w:id="5"/>
    </w:p>
    <w:p w14:paraId="5FEF8171" w14:textId="64783816" w:rsidR="00BE776A" w:rsidRPr="004D45B3" w:rsidRDefault="0007681E">
      <w:pPr>
        <w:spacing w:before="280" w:after="0"/>
        <w:rPr>
          <w:color w:val="000000" w:themeColor="text1"/>
        </w:rPr>
      </w:pPr>
      <w:r w:rsidRPr="004D45B3">
        <w:rPr>
          <w:rFonts w:eastAsia="Arial" w:cs="Arial"/>
          <w:color w:val="000000" w:themeColor="text1"/>
          <w:szCs w:val="24"/>
          <w:shd w:val="clear" w:color="auto" w:fill="FFFFFF"/>
        </w:rPr>
        <w:t xml:space="preserve">While the NHS Long Term Plan, the Health and Care Act 2022, and the Core20PLUS5 framework include commitments to reduce healthcare inequalities, ethnic minority populations continue to experience unequal access, care experiences and health outcomes in the UK </w:t>
      </w:r>
      <w:r w:rsidRPr="004D45B3">
        <w:rPr>
          <w:rFonts w:eastAsia="Arial" w:cs="Arial"/>
          <w:color w:val="000000" w:themeColor="text1"/>
          <w:szCs w:val="24"/>
        </w:rPr>
        <w:t>(England.nhs.uk, 2025; Legislation.gov.uk, 2022).</w:t>
      </w:r>
      <w:r w:rsidRPr="004D45B3">
        <w:rPr>
          <w:rFonts w:eastAsia="Arial" w:cs="Arial"/>
          <w:color w:val="000000" w:themeColor="text1"/>
          <w:szCs w:val="24"/>
          <w:shd w:val="clear" w:color="auto" w:fill="FFFFFF"/>
        </w:rPr>
        <w:t xml:space="preserve"> Whereas, the disparity is evident in higher rates of chronic disease, worse maternal health rates, lower use of preventative healthcare and less patient satisfaction </w:t>
      </w:r>
      <w:r w:rsidRPr="004D45B3">
        <w:rPr>
          <w:rFonts w:eastAsia="Arial" w:cs="Arial"/>
          <w:color w:val="000000" w:themeColor="text1"/>
          <w:szCs w:val="24"/>
        </w:rPr>
        <w:t xml:space="preserve">for Black and Asian mothers have poorer maternity outcomes than White mothers </w:t>
      </w:r>
      <w:r w:rsidRPr="004D45B3">
        <w:rPr>
          <w:rFonts w:eastAsia="Arial" w:cs="Arial"/>
          <w:color w:val="000000" w:themeColor="text1"/>
          <w:szCs w:val="24"/>
          <w:shd w:val="clear" w:color="auto" w:fill="FFFFFF"/>
        </w:rPr>
        <w:t>(</w:t>
      </w:r>
      <w:proofErr w:type="spellStart"/>
      <w:r w:rsidRPr="004D45B3">
        <w:rPr>
          <w:rFonts w:eastAsia="Arial" w:cs="Arial"/>
          <w:color w:val="000000" w:themeColor="text1"/>
          <w:szCs w:val="24"/>
          <w:shd w:val="clear" w:color="auto" w:fill="FFFFFF"/>
        </w:rPr>
        <w:t>Hayanga</w:t>
      </w:r>
      <w:proofErr w:type="spellEnd"/>
      <w:r w:rsidRPr="004D45B3">
        <w:rPr>
          <w:rFonts w:eastAsia="Arial" w:cs="Arial"/>
          <w:color w:val="000000" w:themeColor="text1"/>
          <w:szCs w:val="24"/>
          <w:shd w:val="clear" w:color="auto" w:fill="FFFFFF"/>
        </w:rPr>
        <w:t xml:space="preserve">, Stafford and </w:t>
      </w:r>
      <w:proofErr w:type="spellStart"/>
      <w:r w:rsidRPr="004D45B3">
        <w:rPr>
          <w:rFonts w:eastAsia="Arial" w:cs="Arial"/>
          <w:color w:val="000000" w:themeColor="text1"/>
          <w:szCs w:val="24"/>
          <w:shd w:val="clear" w:color="auto" w:fill="FFFFFF"/>
        </w:rPr>
        <w:t>Bécares</w:t>
      </w:r>
      <w:proofErr w:type="spellEnd"/>
      <w:r w:rsidRPr="004D45B3">
        <w:rPr>
          <w:rFonts w:eastAsia="Arial" w:cs="Arial"/>
          <w:color w:val="000000" w:themeColor="text1"/>
          <w:szCs w:val="24"/>
          <w:shd w:val="clear" w:color="auto" w:fill="FFFFFF"/>
        </w:rPr>
        <w:t>, 2021). Although the NHS Long Term Plan, Health and Care Act</w:t>
      </w:r>
      <w:r w:rsidR="00156137" w:rsidRPr="004D45B3">
        <w:rPr>
          <w:rFonts w:eastAsia="Arial" w:cs="Arial"/>
          <w:color w:val="000000" w:themeColor="text1"/>
          <w:szCs w:val="24"/>
          <w:shd w:val="clear" w:color="auto" w:fill="FFFFFF"/>
        </w:rPr>
        <w:t xml:space="preserve">, </w:t>
      </w:r>
      <w:r w:rsidRPr="004D45B3">
        <w:rPr>
          <w:rFonts w:eastAsia="Arial" w:cs="Arial"/>
          <w:color w:val="000000" w:themeColor="text1"/>
          <w:szCs w:val="24"/>
          <w:shd w:val="clear" w:color="auto" w:fill="FFFFFF"/>
        </w:rPr>
        <w:t>2022 and Core20PLUS5 aim to reduce health inequalities, ethnic minority groups still experience unequal access, care and health outcomes. The Health and Care Act</w:t>
      </w:r>
      <w:r w:rsidR="00156137" w:rsidRPr="004D45B3">
        <w:rPr>
          <w:rFonts w:eastAsia="Arial" w:cs="Arial"/>
          <w:color w:val="000000" w:themeColor="text1"/>
          <w:szCs w:val="24"/>
          <w:shd w:val="clear" w:color="auto" w:fill="FFFFFF"/>
        </w:rPr>
        <w:t xml:space="preserve">, </w:t>
      </w:r>
      <w:r w:rsidRPr="004D45B3">
        <w:rPr>
          <w:rFonts w:eastAsia="Arial" w:cs="Arial"/>
          <w:color w:val="000000" w:themeColor="text1"/>
          <w:szCs w:val="24"/>
          <w:shd w:val="clear" w:color="auto" w:fill="FFFFFF"/>
        </w:rPr>
        <w:t xml:space="preserve">2022 requires NHS England and Integrated Care Boards to consider and reduce inequalities in healthcare access and outcomes </w:t>
      </w:r>
      <w:r w:rsidRPr="004D45B3">
        <w:rPr>
          <w:rFonts w:eastAsia="Arial" w:cs="Arial"/>
          <w:color w:val="000000" w:themeColor="text1"/>
          <w:szCs w:val="24"/>
        </w:rPr>
        <w:t>(Legislation.gov.uk, 2022)</w:t>
      </w:r>
      <w:r w:rsidRPr="004D45B3">
        <w:rPr>
          <w:rFonts w:eastAsia="Arial" w:cs="Arial"/>
          <w:color w:val="000000" w:themeColor="text1"/>
          <w:szCs w:val="24"/>
          <w:shd w:val="clear" w:color="auto" w:fill="FFFFFF"/>
        </w:rPr>
        <w:t xml:space="preserve">. Core20PLUS5 also identifies ethnic minority communities as priority groups and focuses on areas such as maternity care, mental health, cancer, respiratory disease and hypertension </w:t>
      </w:r>
      <w:r w:rsidRPr="004D45B3">
        <w:rPr>
          <w:rFonts w:eastAsia="Arial" w:cs="Arial"/>
          <w:color w:val="000000" w:themeColor="text1"/>
          <w:szCs w:val="24"/>
        </w:rPr>
        <w:t>(NHS England, 2021)</w:t>
      </w:r>
      <w:r w:rsidRPr="004D45B3">
        <w:rPr>
          <w:rFonts w:eastAsia="Arial" w:cs="Arial"/>
          <w:color w:val="000000" w:themeColor="text1"/>
          <w:szCs w:val="24"/>
          <w:shd w:val="clear" w:color="auto" w:fill="FFFFFF"/>
        </w:rPr>
        <w:t>.</w:t>
      </w:r>
    </w:p>
    <w:p w14:paraId="1E62447E" w14:textId="77777777" w:rsidR="00C33A9F" w:rsidRPr="004D45B3" w:rsidRDefault="00C33A9F">
      <w:pPr>
        <w:spacing w:before="280" w:after="0"/>
        <w:rPr>
          <w:rFonts w:eastAsia="Arial" w:cs="Arial"/>
          <w:color w:val="000000" w:themeColor="text1"/>
          <w:szCs w:val="24"/>
          <w:shd w:val="clear" w:color="auto" w:fill="FFFFFF"/>
        </w:rPr>
      </w:pPr>
    </w:p>
    <w:p w14:paraId="46ABF9F9" w14:textId="666A0C23" w:rsidR="00BE776A" w:rsidRPr="004D45B3" w:rsidRDefault="0007681E">
      <w:pPr>
        <w:spacing w:before="280" w:after="0"/>
        <w:rPr>
          <w:rFonts w:eastAsia="Arial" w:cs="Arial"/>
          <w:color w:val="000000" w:themeColor="text1"/>
          <w:szCs w:val="24"/>
          <w:shd w:val="clear" w:color="auto" w:fill="FFFFFF"/>
        </w:rPr>
      </w:pPr>
      <w:r w:rsidRPr="004D45B3">
        <w:rPr>
          <w:rFonts w:eastAsia="Arial" w:cs="Arial"/>
          <w:color w:val="000000" w:themeColor="text1"/>
          <w:szCs w:val="24"/>
          <w:shd w:val="clear" w:color="auto" w:fill="FFFFFF"/>
        </w:rPr>
        <w:t xml:space="preserve">Culturally appropriate care has been recognised as an effective strategy to </w:t>
      </w:r>
      <w:r w:rsidR="002B47CA" w:rsidRPr="004D45B3">
        <w:rPr>
          <w:rFonts w:eastAsia="Arial" w:cs="Arial"/>
          <w:color w:val="000000" w:themeColor="text1"/>
          <w:szCs w:val="24"/>
          <w:shd w:val="clear" w:color="auto" w:fill="FFFFFF"/>
        </w:rPr>
        <w:t>prevent this</w:t>
      </w:r>
      <w:r w:rsidRPr="004D45B3">
        <w:rPr>
          <w:rFonts w:eastAsia="Arial" w:cs="Arial"/>
          <w:color w:val="000000" w:themeColor="text1"/>
          <w:szCs w:val="24"/>
          <w:shd w:val="clear" w:color="auto" w:fill="FFFFFF"/>
        </w:rPr>
        <w:t xml:space="preserve"> type of inequality through better communication, good relationship with patients and more patient-centred healthcare (NHS England, 2025). As a result, various initiatives have been started by healthcare organisations including cultural competence training, interpreter services and tailored healthcare programs </w:t>
      </w:r>
      <w:r w:rsidRPr="004D45B3">
        <w:rPr>
          <w:rFonts w:eastAsia="Arial" w:cs="Arial"/>
          <w:color w:val="000000" w:themeColor="text1"/>
          <w:szCs w:val="24"/>
        </w:rPr>
        <w:t>(</w:t>
      </w:r>
      <w:proofErr w:type="spellStart"/>
      <w:r w:rsidRPr="004D45B3">
        <w:rPr>
          <w:rFonts w:eastAsia="Arial" w:cs="Arial"/>
          <w:color w:val="000000" w:themeColor="text1"/>
          <w:szCs w:val="24"/>
        </w:rPr>
        <w:t>Gkiouleka</w:t>
      </w:r>
      <w:proofErr w:type="spellEnd"/>
      <w:r w:rsidRPr="004D45B3">
        <w:rPr>
          <w:rFonts w:eastAsia="Arial" w:cs="Arial"/>
          <w:color w:val="000000" w:themeColor="text1"/>
          <w:szCs w:val="24"/>
        </w:rPr>
        <w:t xml:space="preserve"> et al., 2023)</w:t>
      </w:r>
      <w:r w:rsidRPr="004D45B3">
        <w:rPr>
          <w:rFonts w:eastAsia="Arial" w:cs="Arial"/>
          <w:color w:val="000000" w:themeColor="text1"/>
          <w:szCs w:val="24"/>
          <w:shd w:val="clear" w:color="auto" w:fill="FFFFFF"/>
        </w:rPr>
        <w:t>.</w:t>
      </w:r>
      <w:r w:rsidR="00634BD0" w:rsidRPr="004D45B3">
        <w:rPr>
          <w:rFonts w:eastAsia="Arial" w:cs="Arial"/>
          <w:color w:val="000000" w:themeColor="text1"/>
          <w:szCs w:val="24"/>
          <w:shd w:val="clear" w:color="auto" w:fill="FFFFFF"/>
        </w:rPr>
        <w:t xml:space="preserve"> </w:t>
      </w:r>
      <w:r w:rsidRPr="004D45B3">
        <w:rPr>
          <w:rFonts w:eastAsia="Arial" w:cs="Arial"/>
          <w:color w:val="000000" w:themeColor="text1"/>
          <w:szCs w:val="24"/>
          <w:shd w:val="clear" w:color="auto" w:fill="FFFFFF"/>
        </w:rPr>
        <w:t>De-María, Topa and López-González, (2024) focus</w:t>
      </w:r>
      <w:r w:rsidRPr="004D45B3">
        <w:rPr>
          <w:rFonts w:eastAsia="Arial" w:cs="Arial"/>
          <w:strike/>
          <w:color w:val="000000" w:themeColor="text1"/>
          <w:szCs w:val="24"/>
          <w:shd w:val="clear" w:color="auto" w:fill="FFFFFF"/>
        </w:rPr>
        <w:t>es</w:t>
      </w:r>
      <w:r w:rsidRPr="004D45B3">
        <w:rPr>
          <w:rFonts w:eastAsia="Arial" w:cs="Arial"/>
          <w:color w:val="000000" w:themeColor="text1"/>
          <w:szCs w:val="24"/>
          <w:shd w:val="clear" w:color="auto" w:fill="FFFFFF"/>
        </w:rPr>
        <w:t xml:space="preserve"> on individual interventions or certain groups of patients instead of viewing culturally competent care across the entire UK health system. However, evidence on improvements in health outcomes, patient experiences and access to healthcare remains mixed, making it difficult to identify the most effective approaches (Stepanova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2026). Studies have reported mixed progress in reducing ethnic minority health inequalities, for example, while Stepanova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(2026) identified potential benefits from culturally responsive mental health services, whereas McGreevy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(2023) found that ethnic minority patients with multiple long-term conditions in South London experienced greater disruption in primary care during COVID-19. Among Asian patients, face-to-face consultations fell from 676 per 1,000 patients in February 2020 to 348 in April 2020, and they did not move to telephone consultations as much as White patients. These mixed findings make it difficult to determine which culturally competent approaches are most effective.</w:t>
      </w:r>
    </w:p>
    <w:p w14:paraId="798F9ABE" w14:textId="77777777" w:rsidR="00C33A9F" w:rsidRPr="004D45B3" w:rsidRDefault="00C33A9F">
      <w:pPr>
        <w:spacing w:before="280" w:after="0"/>
        <w:rPr>
          <w:rFonts w:eastAsia="Arial" w:cs="Arial"/>
          <w:color w:val="000000" w:themeColor="text1"/>
          <w:szCs w:val="24"/>
          <w:shd w:val="clear" w:color="auto" w:fill="FFFFFF"/>
        </w:rPr>
      </w:pPr>
    </w:p>
    <w:p w14:paraId="4EA19662" w14:textId="47742F3B" w:rsidR="00BE776A" w:rsidRPr="004D45B3" w:rsidRDefault="0007681E">
      <w:pPr>
        <w:spacing w:before="280" w:after="0"/>
        <w:rPr>
          <w:rFonts w:eastAsia="Arial" w:cs="Arial"/>
          <w:color w:val="000000" w:themeColor="text1"/>
          <w:szCs w:val="24"/>
          <w:shd w:val="clear" w:color="auto" w:fill="FFFFFF"/>
        </w:rPr>
      </w:pPr>
      <w:r w:rsidRPr="004D45B3">
        <w:rPr>
          <w:rFonts w:eastAsia="Arial" w:cs="Arial"/>
          <w:color w:val="000000" w:themeColor="text1"/>
          <w:szCs w:val="24"/>
          <w:shd w:val="clear" w:color="auto" w:fill="FFFFFF"/>
        </w:rPr>
        <w:t xml:space="preserve">Additionally, Konstantopoulos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(2023), Singal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(2026) and Townsend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(2023) have provided sufficient evidence but there is a paucity in studies on institutional barriers and facilitators that may support or impede successful implementation. Therefore, a systematic literature review is required to critically analyse the efficacy of practices of culturally competent health </w:t>
      </w:r>
      <w:r w:rsidR="00634BD0" w:rsidRPr="004D45B3">
        <w:rPr>
          <w:rFonts w:eastAsia="Arial" w:cs="Arial"/>
          <w:color w:val="000000" w:themeColor="text1"/>
          <w:szCs w:val="24"/>
          <w:shd w:val="clear" w:color="auto" w:fill="FFFFFF"/>
        </w:rPr>
        <w:t>care and</w:t>
      </w:r>
      <w:r w:rsidRPr="004D45B3">
        <w:rPr>
          <w:rFonts w:eastAsia="Arial" w:cs="Arial"/>
          <w:color w:val="000000" w:themeColor="text1"/>
          <w:szCs w:val="24"/>
          <w:shd w:val="clear" w:color="auto" w:fill="FFFFFF"/>
        </w:rPr>
        <w:t xml:space="preserve"> assess the challenges to implementation. Such evidence will help healthcare specialists and the government to develop equitable health services for the ethnic minority population.</w:t>
      </w:r>
    </w:p>
    <w:p w14:paraId="1A199AE6" w14:textId="77777777" w:rsidR="00634BD0" w:rsidRPr="004D45B3" w:rsidRDefault="00634BD0">
      <w:pPr>
        <w:spacing w:before="280" w:after="0"/>
        <w:rPr>
          <w:rFonts w:eastAsia="Arial" w:cs="Arial"/>
          <w:color w:val="000000" w:themeColor="text1"/>
          <w:szCs w:val="24"/>
          <w:shd w:val="clear" w:color="auto" w:fill="FFFFFF"/>
        </w:rPr>
      </w:pPr>
    </w:p>
    <w:p w14:paraId="4FEDA7EA" w14:textId="77777777" w:rsidR="00634BD0" w:rsidRPr="004D45B3" w:rsidRDefault="00634BD0" w:rsidP="00634BD0">
      <w:pPr>
        <w:spacing w:after="0"/>
        <w:rPr>
          <w:color w:val="000000" w:themeColor="text1"/>
        </w:rPr>
      </w:pPr>
      <w:r w:rsidRPr="004D45B3">
        <w:rPr>
          <w:b/>
          <w:bCs/>
          <w:color w:val="000000" w:themeColor="text1"/>
          <w:sz w:val="28"/>
          <w:szCs w:val="28"/>
          <w:shd w:val="clear" w:color="auto" w:fill="FFFFFF"/>
        </w:rPr>
        <w:t xml:space="preserve">1.7 Significance of the Study </w:t>
      </w:r>
    </w:p>
    <w:p w14:paraId="578CE0B0" w14:textId="77777777" w:rsidR="004D45B3" w:rsidRDefault="00634BD0" w:rsidP="00634BD0">
      <w:pPr>
        <w:spacing w:before="280" w:after="0"/>
        <w:rPr>
          <w:rFonts w:eastAsia="Arial" w:cs="Arial"/>
          <w:color w:val="000000" w:themeColor="text1"/>
          <w:szCs w:val="24"/>
          <w:shd w:val="clear" w:color="auto" w:fill="FFFFFF"/>
        </w:rPr>
      </w:pPr>
      <w:r w:rsidRPr="004D45B3">
        <w:rPr>
          <w:rFonts w:ascii="Helvetica" w:eastAsia="Aptos" w:hAnsi="Helvetica" w:cs="Helvetica"/>
          <w:color w:val="000000" w:themeColor="text1"/>
          <w:kern w:val="0"/>
          <w:szCs w:val="24"/>
          <w:lang w:eastAsia="en-US"/>
        </w:rPr>
        <w:t xml:space="preserve">This research study contributes to the field by synthesising systematic evidence on the effectiveness of culturally competent care in reducing health disparities among ethnic minority populations in the UK. </w:t>
      </w:r>
      <w:r w:rsidRPr="004D45B3">
        <w:rPr>
          <w:rFonts w:eastAsia="Arial" w:cs="Arial"/>
          <w:color w:val="000000" w:themeColor="text1"/>
          <w:szCs w:val="24"/>
          <w:shd w:val="clear" w:color="auto" w:fill="FFFFFF"/>
        </w:rPr>
        <w:t xml:space="preserve">The results will support health practitioners in understanding how to apply culturally sensitive practices that facilitate communication, patient involvement and satisfaction with the health services (Bansal </w:t>
      </w:r>
      <w:r w:rsidRPr="004D45B3">
        <w:rPr>
          <w:rFonts w:eastAsia="Arial" w:cs="Arial"/>
          <w:i/>
          <w:iCs/>
          <w:color w:val="000000" w:themeColor="text1"/>
          <w:szCs w:val="24"/>
          <w:shd w:val="clear" w:color="auto" w:fill="FFFFFF"/>
        </w:rPr>
        <w:t>et al.</w:t>
      </w:r>
      <w:r w:rsidRPr="004D45B3">
        <w:rPr>
          <w:rFonts w:eastAsia="Arial" w:cs="Arial"/>
          <w:color w:val="000000" w:themeColor="text1"/>
          <w:szCs w:val="24"/>
          <w:shd w:val="clear" w:color="auto" w:fill="FFFFFF"/>
        </w:rPr>
        <w:t xml:space="preserve">, 2022). </w:t>
      </w:r>
    </w:p>
    <w:p w14:paraId="66C17CAD" w14:textId="70CEA02E" w:rsidR="00634BD0" w:rsidRPr="004D45B3" w:rsidRDefault="00634BD0" w:rsidP="00634BD0">
      <w:pPr>
        <w:spacing w:before="280" w:after="0"/>
        <w:rPr>
          <w:rFonts w:ascii="Helvetica" w:eastAsia="Aptos" w:hAnsi="Helvetica" w:cs="Helvetica"/>
          <w:color w:val="000000" w:themeColor="text1"/>
          <w:kern w:val="0"/>
          <w:szCs w:val="24"/>
          <w:lang w:eastAsia="en-US"/>
        </w:rPr>
      </w:pPr>
      <w:r w:rsidRPr="004D45B3">
        <w:rPr>
          <w:rFonts w:eastAsia="Arial" w:cs="Arial"/>
          <w:color w:val="000000" w:themeColor="text1"/>
          <w:szCs w:val="24"/>
          <w:shd w:val="clear" w:color="auto" w:fill="FFFFFF"/>
        </w:rPr>
        <w:t>Additionally, it will highlight the role of cultural proficiency in decreasing health inequalities in the UK for the long-term effects of cultural competence on ethnic minority groups and their health outcomes.</w:t>
      </w:r>
      <w:r w:rsidRPr="004D45B3">
        <w:rPr>
          <w:rFonts w:eastAsia="Arial" w:cs="Arial"/>
          <w:color w:val="000000" w:themeColor="text1"/>
          <w:szCs w:val="24"/>
        </w:rPr>
        <w:t xml:space="preserve"> </w:t>
      </w:r>
      <w:r w:rsidRPr="004D45B3">
        <w:rPr>
          <w:rFonts w:ascii="Helvetica" w:eastAsia="Aptos" w:hAnsi="Helvetica" w:cs="Helvetica"/>
          <w:color w:val="000000" w:themeColor="text1"/>
          <w:kern w:val="0"/>
          <w:szCs w:val="24"/>
          <w:lang w:eastAsia="en-US"/>
        </w:rPr>
        <w:t>The results may be used by NHS managers and decision-makers to develop staff training, deliver health services and implement equality programmes aimed at reducing health inequalities</w:t>
      </w:r>
      <w:r w:rsidR="004D45B3">
        <w:rPr>
          <w:rFonts w:ascii="Helvetica" w:eastAsia="Aptos" w:hAnsi="Helvetica" w:cs="Helvetica"/>
          <w:color w:val="000000" w:themeColor="text1"/>
          <w:kern w:val="0"/>
          <w:szCs w:val="24"/>
          <w:lang w:eastAsia="en-US"/>
        </w:rPr>
        <w:t xml:space="preserve"> </w:t>
      </w:r>
      <w:r w:rsidR="004D45B3" w:rsidRPr="004D45B3">
        <w:rPr>
          <w:rFonts w:eastAsia="Arial" w:cs="Arial"/>
          <w:color w:val="000000" w:themeColor="text1"/>
          <w:szCs w:val="24"/>
          <w:shd w:val="clear" w:color="auto" w:fill="FFFFFF"/>
        </w:rPr>
        <w:t xml:space="preserve">(Bansal </w:t>
      </w:r>
      <w:r w:rsidR="004D45B3" w:rsidRPr="004D45B3">
        <w:rPr>
          <w:rFonts w:eastAsia="Arial" w:cs="Arial"/>
          <w:i/>
          <w:iCs/>
          <w:color w:val="000000" w:themeColor="text1"/>
          <w:szCs w:val="24"/>
          <w:shd w:val="clear" w:color="auto" w:fill="FFFFFF"/>
        </w:rPr>
        <w:t>et al.</w:t>
      </w:r>
      <w:r w:rsidR="004D45B3" w:rsidRPr="004D45B3">
        <w:rPr>
          <w:rFonts w:eastAsia="Arial" w:cs="Arial"/>
          <w:color w:val="000000" w:themeColor="text1"/>
          <w:szCs w:val="24"/>
          <w:shd w:val="clear" w:color="auto" w:fill="FFFFFF"/>
        </w:rPr>
        <w:t>, 2022).</w:t>
      </w:r>
    </w:p>
    <w:p w14:paraId="27D8DDA1" w14:textId="77777777" w:rsidR="00634BD0" w:rsidRPr="004D45B3" w:rsidRDefault="00634BD0" w:rsidP="00634BD0">
      <w:pPr>
        <w:pStyle w:val="Heading2"/>
        <w:rPr>
          <w:color w:val="000000" w:themeColor="text1"/>
        </w:rPr>
      </w:pPr>
      <w:bookmarkStart w:id="6" w:name="_Toc241189997"/>
      <w:r w:rsidRPr="004D45B3">
        <w:rPr>
          <w:b/>
          <w:bCs/>
          <w:color w:val="000000" w:themeColor="text1"/>
          <w:sz w:val="28"/>
          <w:szCs w:val="28"/>
          <w:shd w:val="clear" w:color="auto" w:fill="FFFFFF"/>
        </w:rPr>
        <w:t>1.8 Rationale</w:t>
      </w:r>
      <w:bookmarkEnd w:id="6"/>
    </w:p>
    <w:p w14:paraId="421E9C39" w14:textId="77777777" w:rsidR="00156137" w:rsidRPr="004D45B3" w:rsidRDefault="00634BD0" w:rsidP="00634BD0">
      <w:pPr>
        <w:spacing w:before="280" w:after="0"/>
        <w:rPr>
          <w:rFonts w:ascii="Helvetica" w:eastAsia="Aptos" w:hAnsi="Helvetica" w:cs="Helvetica"/>
          <w:color w:val="000000" w:themeColor="text1"/>
          <w:kern w:val="0"/>
          <w:szCs w:val="24"/>
          <w:lang w:eastAsia="en-US"/>
        </w:rPr>
      </w:pPr>
      <w:r w:rsidRPr="004D45B3">
        <w:rPr>
          <w:rFonts w:ascii="Helvetica" w:eastAsia="Aptos" w:hAnsi="Helvetica" w:cs="Helvetica"/>
          <w:color w:val="000000" w:themeColor="text1"/>
          <w:kern w:val="0"/>
          <w:szCs w:val="24"/>
          <w:lang w:eastAsia="en-US"/>
        </w:rPr>
        <w:t>The rationale for this research study is the occurrence of health disparities among ethnic minority groups when a multitude of national plans is utilised to improve the fairness and equitable provision of healthcare. Although the recognition that culturally competent care may be an effective means of contributing to the elimination of health inequalities is growing, the evidence regarding it remains scarce and fragmented across different healthcare contexts and intervention types. (De-María, Topa and López-González, 2024)</w:t>
      </w:r>
      <w:r w:rsidRPr="004D45B3">
        <w:rPr>
          <w:rFonts w:eastAsia="Arial" w:cs="Arial"/>
          <w:color w:val="000000" w:themeColor="text1"/>
          <w:szCs w:val="24"/>
        </w:rPr>
        <w:t xml:space="preserve">. </w:t>
      </w:r>
      <w:r w:rsidRPr="004D45B3">
        <w:rPr>
          <w:rFonts w:ascii="Helvetica" w:eastAsia="Aptos" w:hAnsi="Helvetica" w:cs="Helvetica"/>
          <w:color w:val="000000" w:themeColor="text1"/>
          <w:kern w:val="0"/>
          <w:szCs w:val="24"/>
          <w:lang w:eastAsia="en-US"/>
        </w:rPr>
        <w:t xml:space="preserve">Consequently, there is limited knowledge regarding which culturally competent practices are most effective and the factors that influence their adoption (De-María, Topa and López-González, 2024). </w:t>
      </w:r>
    </w:p>
    <w:p w14:paraId="45BB28BA" w14:textId="730C8386" w:rsidR="00634BD0" w:rsidRPr="004D45B3" w:rsidRDefault="00634BD0" w:rsidP="00634BD0">
      <w:pPr>
        <w:spacing w:before="280" w:after="0"/>
        <w:rPr>
          <w:rFonts w:eastAsia="Arial" w:cs="Arial"/>
          <w:color w:val="000000" w:themeColor="text1"/>
          <w:szCs w:val="24"/>
          <w:shd w:val="clear" w:color="auto" w:fill="FFFFFF"/>
        </w:rPr>
      </w:pPr>
      <w:r w:rsidRPr="004D45B3">
        <w:rPr>
          <w:rFonts w:ascii="Helvetica" w:eastAsia="Aptos" w:hAnsi="Helvetica" w:cs="Helvetica"/>
          <w:color w:val="000000" w:themeColor="text1"/>
          <w:kern w:val="0"/>
          <w:szCs w:val="24"/>
          <w:lang w:eastAsia="en-US"/>
        </w:rPr>
        <w:t xml:space="preserve">Therefore, a </w:t>
      </w:r>
      <w:r w:rsidRPr="004D45B3">
        <w:rPr>
          <w:rFonts w:eastAsia="Arial" w:cs="Arial"/>
          <w:color w:val="000000" w:themeColor="text1"/>
          <w:szCs w:val="24"/>
          <w:shd w:val="clear" w:color="auto" w:fill="FFFFFF"/>
        </w:rPr>
        <w:t xml:space="preserve">systematic literature review is an appropriate method for closing this evidence gap as it facilitates thorough identification, critical assessment and summarisation of high-quality published studies in a transparent and reproducible way </w:t>
      </w:r>
      <w:r w:rsidRPr="004D45B3">
        <w:rPr>
          <w:rFonts w:eastAsia="Arial" w:cs="Arial"/>
          <w:color w:val="000000" w:themeColor="text1"/>
          <w:szCs w:val="24"/>
        </w:rPr>
        <w:t xml:space="preserve">(Khalil et al., 2025). </w:t>
      </w:r>
      <w:r w:rsidRPr="004D45B3">
        <w:rPr>
          <w:rFonts w:eastAsia="Arial" w:cs="Arial"/>
          <w:color w:val="000000" w:themeColor="text1"/>
          <w:szCs w:val="24"/>
          <w:shd w:val="clear" w:color="auto" w:fill="FFFFFF"/>
        </w:rPr>
        <w:t xml:space="preserve">It minimises the risk of bias in selection, while at the same time, generating reliable evidence to be used for healthcare practice or policy development. Furthermore, this study is in line with current NHS priorities pertaining to health equity, patient-centred care and culturally competent healthcare </w:t>
      </w:r>
      <w:r w:rsidRPr="004D45B3">
        <w:rPr>
          <w:rFonts w:eastAsia="Arial" w:cs="Arial"/>
          <w:color w:val="000000" w:themeColor="text1"/>
          <w:szCs w:val="24"/>
        </w:rPr>
        <w:t>(</w:t>
      </w:r>
      <w:proofErr w:type="spellStart"/>
      <w:r w:rsidRPr="004D45B3">
        <w:rPr>
          <w:rFonts w:eastAsia="Arial" w:cs="Arial"/>
          <w:color w:val="000000" w:themeColor="text1"/>
          <w:szCs w:val="24"/>
        </w:rPr>
        <w:t>Gkiouleka</w:t>
      </w:r>
      <w:proofErr w:type="spellEnd"/>
      <w:r w:rsidRPr="004D45B3">
        <w:rPr>
          <w:rFonts w:eastAsia="Arial" w:cs="Arial"/>
          <w:color w:val="000000" w:themeColor="text1"/>
          <w:szCs w:val="24"/>
        </w:rPr>
        <w:t xml:space="preserve"> et al., 2023)</w:t>
      </w:r>
      <w:r w:rsidRPr="004D45B3">
        <w:rPr>
          <w:rFonts w:eastAsia="Arial" w:cs="Arial"/>
          <w:color w:val="000000" w:themeColor="text1"/>
          <w:szCs w:val="24"/>
          <w:shd w:val="clear" w:color="auto" w:fill="FFFFFF"/>
        </w:rPr>
        <w:t xml:space="preserve">. The results will assist in formulating evidence-based recommendations for professionals in the field and policymakers to enhance cultural competency and reduce health inequalities in the UK healthcare system. </w:t>
      </w:r>
    </w:p>
    <w:p w14:paraId="38164D19" w14:textId="77777777" w:rsidR="00634BD0" w:rsidRPr="004D45B3" w:rsidRDefault="00634BD0" w:rsidP="00634BD0">
      <w:pPr>
        <w:spacing w:before="280" w:after="0"/>
        <w:rPr>
          <w:color w:val="000000" w:themeColor="text1"/>
        </w:rPr>
      </w:pPr>
    </w:p>
    <w:p w14:paraId="4A9896A4" w14:textId="77777777" w:rsidR="00634BD0" w:rsidRPr="004D45B3" w:rsidRDefault="00634BD0" w:rsidP="00634BD0">
      <w:pPr>
        <w:spacing w:before="280" w:after="0"/>
        <w:rPr>
          <w:rFonts w:eastAsia="Arial" w:cs="Arial"/>
          <w:color w:val="000000" w:themeColor="text1"/>
          <w:szCs w:val="24"/>
        </w:rPr>
      </w:pPr>
      <w:r w:rsidRPr="004D45B3">
        <w:rPr>
          <w:rFonts w:eastAsia="Arial" w:cs="Arial"/>
          <w:color w:val="000000" w:themeColor="text1"/>
          <w:szCs w:val="24"/>
        </w:rPr>
        <w:t xml:space="preserve">Studies by Zeh </w:t>
      </w:r>
      <w:r w:rsidRPr="004D45B3">
        <w:rPr>
          <w:rFonts w:eastAsia="Arial" w:cs="Arial"/>
          <w:i/>
          <w:iCs/>
          <w:color w:val="000000" w:themeColor="text1"/>
          <w:szCs w:val="24"/>
        </w:rPr>
        <w:t>et al.</w:t>
      </w:r>
      <w:r w:rsidRPr="004D45B3">
        <w:rPr>
          <w:rFonts w:eastAsia="Arial" w:cs="Arial"/>
          <w:color w:val="000000" w:themeColor="text1"/>
          <w:szCs w:val="24"/>
        </w:rPr>
        <w:t xml:space="preserve"> (2015),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and Stepanova </w:t>
      </w:r>
      <w:r w:rsidRPr="004D45B3">
        <w:rPr>
          <w:rFonts w:eastAsia="Arial" w:cs="Arial"/>
          <w:i/>
          <w:iCs/>
          <w:color w:val="000000" w:themeColor="text1"/>
          <w:szCs w:val="24"/>
        </w:rPr>
        <w:t>et al</w:t>
      </w:r>
      <w:r w:rsidRPr="004D45B3">
        <w:rPr>
          <w:rFonts w:eastAsia="Arial" w:cs="Arial"/>
          <w:color w:val="000000" w:themeColor="text1"/>
          <w:szCs w:val="24"/>
        </w:rPr>
        <w:t>. (2026) indicate that culturally responsive communication, interpreter support, co-production and community engagement can strengthen trust, participation and patient experience. However, these studies largely emphasise short-term service or experiential outcomes, leaving limited evidence on sustained improvements in long-term health outcomes and inequality reduction.</w:t>
      </w:r>
      <w:r w:rsidRPr="004D45B3">
        <w:rPr>
          <w:rFonts w:eastAsia="Arial" w:cs="Arial"/>
          <w:color w:val="000000" w:themeColor="text1"/>
        </w:rPr>
        <w:t xml:space="preserve"> </w:t>
      </w:r>
      <w:r w:rsidRPr="004D45B3">
        <w:rPr>
          <w:rFonts w:eastAsia="Arial" w:cs="Arial"/>
          <w:color w:val="000000" w:themeColor="text1"/>
          <w:szCs w:val="24"/>
        </w:rPr>
        <w:t>Therefore, a systematic review should review the existing literature and assess the role of cultural proficiency in decreasing health inequalities in the UK for the long-term effects of cultural competence on ethnic minority groups and their health outcomes.</w:t>
      </w:r>
    </w:p>
    <w:p w14:paraId="5AD7F442" w14:textId="77777777" w:rsidR="00634BD0" w:rsidRPr="004D45B3" w:rsidRDefault="00634BD0" w:rsidP="00634BD0">
      <w:pPr>
        <w:spacing w:before="280" w:after="0"/>
        <w:rPr>
          <w:color w:val="000000" w:themeColor="text1"/>
        </w:rPr>
      </w:pPr>
    </w:p>
    <w:p w14:paraId="29C26A49" w14:textId="77777777" w:rsidR="00634BD0" w:rsidRPr="004D45B3" w:rsidRDefault="00634BD0" w:rsidP="00634BD0">
      <w:pPr>
        <w:pStyle w:val="Heading2"/>
        <w:rPr>
          <w:color w:val="000000" w:themeColor="text1"/>
        </w:rPr>
      </w:pPr>
      <w:bookmarkStart w:id="7" w:name="_Toc241189998"/>
      <w:r w:rsidRPr="004D45B3">
        <w:rPr>
          <w:b/>
          <w:bCs/>
          <w:color w:val="000000" w:themeColor="text1"/>
          <w:sz w:val="28"/>
          <w:szCs w:val="28"/>
          <w:shd w:val="clear" w:color="auto" w:fill="FFFFFF"/>
        </w:rPr>
        <w:t>1.9 Structure of the Dissertation</w:t>
      </w:r>
      <w:bookmarkEnd w:id="7"/>
      <w:r w:rsidRPr="004D45B3">
        <w:rPr>
          <w:b/>
          <w:bCs/>
          <w:color w:val="000000" w:themeColor="text1"/>
          <w:sz w:val="28"/>
          <w:szCs w:val="28"/>
          <w:shd w:val="clear" w:color="auto" w:fill="FFFFFF"/>
        </w:rPr>
        <w:tab/>
      </w:r>
    </w:p>
    <w:p w14:paraId="227431FC" w14:textId="77777777" w:rsidR="00634BD0" w:rsidRPr="004D45B3" w:rsidRDefault="00634BD0" w:rsidP="00634BD0">
      <w:pPr>
        <w:spacing w:before="280" w:after="0"/>
        <w:rPr>
          <w:color w:val="000000" w:themeColor="text1"/>
        </w:rPr>
      </w:pPr>
      <w:r w:rsidRPr="004D45B3">
        <w:rPr>
          <w:rFonts w:ascii="Helvetica" w:eastAsia="Aptos" w:hAnsi="Helvetica" w:cs="Helvetica"/>
          <w:color w:val="000000" w:themeColor="text1"/>
          <w:kern w:val="0"/>
          <w:szCs w:val="24"/>
          <w:lang w:eastAsia="en-US"/>
        </w:rPr>
        <w:t>This research study comprises of six chapters. Chapter one provides an overview of the research topic, problem statement, objectives and significance of the study. Chapter two presents a critical review of the relevant literature in the field of health inequalities and culturally sensitive treatment. Chapter three outlines the methodology of the systematic literature review. Chapter four presents the results obtained from the extensive search using the PRISMA flowchart. Chapter five discusses the results and themes developed. Chapter six concludes the research study and recommends related healthcare practice and policy for ethnic minority groups, including the most effective methods for facilitating interventions for healthcare professionals.</w:t>
      </w:r>
      <w:r w:rsidRPr="004D45B3">
        <w:rPr>
          <w:rFonts w:eastAsia="Arial" w:cs="Arial"/>
          <w:color w:val="000000" w:themeColor="text1"/>
        </w:rPr>
        <w:tab/>
        <w:t xml:space="preserve"> </w:t>
      </w:r>
    </w:p>
    <w:p w14:paraId="4AB41BA8" w14:textId="77777777" w:rsidR="00634BD0" w:rsidRPr="004D45B3" w:rsidRDefault="00634BD0">
      <w:pPr>
        <w:spacing w:before="280" w:after="0"/>
        <w:rPr>
          <w:color w:val="000000" w:themeColor="text1"/>
        </w:rPr>
      </w:pPr>
    </w:p>
    <w:p w14:paraId="7B8EB8D5" w14:textId="77777777" w:rsidR="00C33A9F" w:rsidRPr="004D45B3" w:rsidRDefault="00C33A9F">
      <w:pPr>
        <w:pStyle w:val="Heading2"/>
        <w:rPr>
          <w:b/>
          <w:bCs/>
          <w:color w:val="000000" w:themeColor="text1"/>
          <w:sz w:val="28"/>
          <w:szCs w:val="28"/>
          <w:shd w:val="clear" w:color="auto" w:fill="FFFFFF"/>
        </w:rPr>
      </w:pPr>
    </w:p>
    <w:p w14:paraId="4FE94988" w14:textId="77777777" w:rsidR="00C33A9F" w:rsidRPr="004D45B3" w:rsidRDefault="00C33A9F">
      <w:pPr>
        <w:pStyle w:val="Heading2"/>
        <w:rPr>
          <w:b/>
          <w:bCs/>
          <w:color w:val="000000" w:themeColor="text1"/>
          <w:sz w:val="28"/>
          <w:szCs w:val="28"/>
          <w:shd w:val="clear" w:color="auto" w:fill="FFFFFF"/>
        </w:rPr>
      </w:pPr>
    </w:p>
    <w:p w14:paraId="54E023B9" w14:textId="77777777" w:rsidR="00C33A9F" w:rsidRPr="004D45B3" w:rsidRDefault="00C33A9F">
      <w:pPr>
        <w:pStyle w:val="Heading2"/>
        <w:rPr>
          <w:b/>
          <w:bCs/>
          <w:color w:val="000000" w:themeColor="text1"/>
          <w:sz w:val="28"/>
          <w:szCs w:val="28"/>
          <w:shd w:val="clear" w:color="auto" w:fill="FFFFFF"/>
        </w:rPr>
      </w:pPr>
    </w:p>
    <w:p w14:paraId="392E6302" w14:textId="77777777" w:rsidR="00C33A9F" w:rsidRPr="004D45B3" w:rsidRDefault="00C33A9F">
      <w:pPr>
        <w:pStyle w:val="Heading2"/>
        <w:rPr>
          <w:b/>
          <w:bCs/>
          <w:color w:val="000000" w:themeColor="text1"/>
          <w:sz w:val="28"/>
          <w:szCs w:val="28"/>
          <w:shd w:val="clear" w:color="auto" w:fill="FFFFFF"/>
        </w:rPr>
      </w:pPr>
    </w:p>
    <w:p w14:paraId="60F3D92B" w14:textId="77777777" w:rsidR="00C33A9F" w:rsidRPr="004D45B3" w:rsidRDefault="00C33A9F">
      <w:pPr>
        <w:pStyle w:val="Heading2"/>
        <w:rPr>
          <w:b/>
          <w:bCs/>
          <w:color w:val="000000" w:themeColor="text1"/>
          <w:sz w:val="28"/>
          <w:szCs w:val="28"/>
          <w:shd w:val="clear" w:color="auto" w:fill="FFFFFF"/>
        </w:rPr>
      </w:pPr>
    </w:p>
    <w:p w14:paraId="76BA6B28" w14:textId="77777777" w:rsidR="00C33A9F" w:rsidRPr="004D45B3" w:rsidRDefault="00C33A9F">
      <w:pPr>
        <w:suppressAutoHyphens w:val="0"/>
        <w:spacing w:line="276" w:lineRule="auto"/>
        <w:jc w:val="left"/>
        <w:rPr>
          <w:rFonts w:ascii="Aptos Display" w:hAnsi="Aptos Display"/>
          <w:b/>
          <w:bCs/>
          <w:color w:val="000000" w:themeColor="text1"/>
          <w:sz w:val="28"/>
          <w:szCs w:val="28"/>
          <w:shd w:val="clear" w:color="auto" w:fill="FFFFFF"/>
        </w:rPr>
      </w:pPr>
      <w:r w:rsidRPr="004D45B3">
        <w:rPr>
          <w:b/>
          <w:bCs/>
          <w:color w:val="000000" w:themeColor="text1"/>
          <w:sz w:val="28"/>
          <w:szCs w:val="28"/>
          <w:shd w:val="clear" w:color="auto" w:fill="FFFFFF"/>
        </w:rPr>
        <w:br w:type="page"/>
      </w:r>
    </w:p>
    <w:p w14:paraId="2812FEAD" w14:textId="51D1BFDD" w:rsidR="00BE776A" w:rsidRPr="004D45B3" w:rsidRDefault="0007681E">
      <w:pPr>
        <w:pStyle w:val="Heading2"/>
        <w:rPr>
          <w:b/>
          <w:bCs/>
          <w:color w:val="000000" w:themeColor="text1"/>
          <w:sz w:val="28"/>
          <w:szCs w:val="28"/>
          <w:shd w:val="clear" w:color="auto" w:fill="FFFFFF"/>
        </w:rPr>
      </w:pPr>
      <w:bookmarkStart w:id="8" w:name="_Toc241189999"/>
      <w:r w:rsidRPr="004D45B3">
        <w:rPr>
          <w:b/>
          <w:bCs/>
          <w:color w:val="000000" w:themeColor="text1"/>
          <w:sz w:val="28"/>
          <w:szCs w:val="28"/>
          <w:shd w:val="clear" w:color="auto" w:fill="FFFFFF"/>
        </w:rPr>
        <w:t>1.4 Aim of the Study</w:t>
      </w:r>
      <w:bookmarkEnd w:id="8"/>
      <w:r w:rsidRPr="004D45B3">
        <w:rPr>
          <w:b/>
          <w:bCs/>
          <w:color w:val="000000" w:themeColor="text1"/>
          <w:sz w:val="28"/>
          <w:szCs w:val="28"/>
          <w:shd w:val="clear" w:color="auto" w:fill="FFFFFF"/>
        </w:rPr>
        <w:t xml:space="preserve"> </w:t>
      </w:r>
    </w:p>
    <w:p w14:paraId="7BC0FADA" w14:textId="77777777" w:rsidR="00BE776A" w:rsidRPr="004D45B3" w:rsidRDefault="0007681E">
      <w:pPr>
        <w:spacing w:before="280" w:after="0"/>
        <w:rPr>
          <w:rFonts w:eastAsia="Arial" w:cs="Arial"/>
          <w:color w:val="000000" w:themeColor="text1"/>
          <w:szCs w:val="24"/>
          <w:shd w:val="clear" w:color="auto" w:fill="FFFFFF"/>
        </w:rPr>
      </w:pPr>
      <w:r w:rsidRPr="004D45B3">
        <w:rPr>
          <w:rFonts w:eastAsia="Arial" w:cs="Arial"/>
          <w:color w:val="000000" w:themeColor="text1"/>
          <w:szCs w:val="24"/>
          <w:shd w:val="clear" w:color="auto" w:fill="FFFFFF"/>
        </w:rPr>
        <w:t>The aim of this research is to critically evaluate the effectiveness of culturally competent care in reducing health inequalities among ethnic minority communities in the UK through a systematic literature review.</w:t>
      </w:r>
    </w:p>
    <w:p w14:paraId="5D02430B" w14:textId="77777777" w:rsidR="00C33A9F" w:rsidRPr="004D45B3" w:rsidRDefault="00C33A9F">
      <w:pPr>
        <w:spacing w:before="280" w:after="0"/>
        <w:rPr>
          <w:rFonts w:eastAsia="Arial" w:cs="Arial"/>
          <w:color w:val="000000" w:themeColor="text1"/>
          <w:szCs w:val="24"/>
          <w:shd w:val="clear" w:color="auto" w:fill="FFFFFF"/>
        </w:rPr>
      </w:pPr>
    </w:p>
    <w:p w14:paraId="35646C64" w14:textId="77777777" w:rsidR="00BE776A" w:rsidRPr="004D45B3" w:rsidRDefault="0007681E">
      <w:pPr>
        <w:pStyle w:val="Heading2"/>
        <w:rPr>
          <w:color w:val="000000" w:themeColor="text1"/>
        </w:rPr>
      </w:pPr>
      <w:bookmarkStart w:id="9" w:name="_Toc241190000"/>
      <w:r w:rsidRPr="004D45B3">
        <w:rPr>
          <w:b/>
          <w:bCs/>
          <w:color w:val="000000" w:themeColor="text1"/>
          <w:sz w:val="28"/>
          <w:szCs w:val="28"/>
          <w:shd w:val="clear" w:color="auto" w:fill="FFFFFF"/>
        </w:rPr>
        <w:t>1.5 Research Objectives</w:t>
      </w:r>
      <w:bookmarkEnd w:id="9"/>
      <w:r w:rsidRPr="004D45B3">
        <w:rPr>
          <w:b/>
          <w:bCs/>
          <w:color w:val="000000" w:themeColor="text1"/>
          <w:sz w:val="28"/>
          <w:szCs w:val="28"/>
          <w:shd w:val="clear" w:color="auto" w:fill="FFFFFF"/>
        </w:rPr>
        <w:t xml:space="preserve"> </w:t>
      </w:r>
    </w:p>
    <w:p w14:paraId="689F0115" w14:textId="77777777" w:rsidR="00BE776A" w:rsidRPr="004D45B3" w:rsidRDefault="0007681E">
      <w:pPr>
        <w:numPr>
          <w:ilvl w:val="0"/>
          <w:numId w:val="2"/>
        </w:numPr>
        <w:spacing w:before="280" w:after="0"/>
        <w:jc w:val="left"/>
        <w:rPr>
          <w:color w:val="000000" w:themeColor="text1"/>
        </w:rPr>
      </w:pPr>
      <w:r w:rsidRPr="004D45B3">
        <w:rPr>
          <w:rFonts w:eastAsia="Arial" w:cs="Arial"/>
          <w:color w:val="000000" w:themeColor="text1"/>
          <w:szCs w:val="24"/>
          <w:shd w:val="clear" w:color="auto" w:fill="FFFFFF"/>
        </w:rPr>
        <w:t>To identify the key components and practices of culturally competent care implemented within the UK healthcare system.</w:t>
      </w:r>
    </w:p>
    <w:p w14:paraId="36F96AC8" w14:textId="77777777" w:rsidR="00BE776A" w:rsidRPr="004D45B3" w:rsidRDefault="0007681E">
      <w:pPr>
        <w:numPr>
          <w:ilvl w:val="0"/>
          <w:numId w:val="1"/>
        </w:numPr>
        <w:spacing w:after="0"/>
        <w:jc w:val="left"/>
        <w:rPr>
          <w:color w:val="000000" w:themeColor="text1"/>
        </w:rPr>
      </w:pPr>
      <w:r w:rsidRPr="004D45B3">
        <w:rPr>
          <w:rFonts w:eastAsia="Arial" w:cs="Arial"/>
          <w:color w:val="000000" w:themeColor="text1"/>
          <w:szCs w:val="24"/>
          <w:shd w:val="clear" w:color="auto" w:fill="FFFFFF"/>
        </w:rPr>
        <w:t>To examine the health inequalities experienced by ethnic minority communities in the UK.</w:t>
      </w:r>
    </w:p>
    <w:p w14:paraId="19824091" w14:textId="77777777" w:rsidR="00BE776A" w:rsidRPr="004D45B3" w:rsidRDefault="0007681E">
      <w:pPr>
        <w:numPr>
          <w:ilvl w:val="0"/>
          <w:numId w:val="1"/>
        </w:numPr>
        <w:spacing w:after="0"/>
        <w:jc w:val="left"/>
        <w:rPr>
          <w:color w:val="000000" w:themeColor="text1"/>
        </w:rPr>
      </w:pPr>
      <w:r w:rsidRPr="004D45B3">
        <w:rPr>
          <w:rFonts w:eastAsia="Arial" w:cs="Arial"/>
          <w:color w:val="000000" w:themeColor="text1"/>
          <w:szCs w:val="24"/>
          <w:shd w:val="clear" w:color="auto" w:fill="FFFFFF"/>
        </w:rPr>
        <w:t>To critically evaluate the effectiveness of culturally competent care in reducing health inequalities among ethnic minority populations.</w:t>
      </w:r>
    </w:p>
    <w:p w14:paraId="34F3C036" w14:textId="77777777" w:rsidR="00BE776A" w:rsidRPr="004D45B3" w:rsidRDefault="0007681E">
      <w:pPr>
        <w:numPr>
          <w:ilvl w:val="0"/>
          <w:numId w:val="1"/>
        </w:numPr>
        <w:spacing w:after="0"/>
        <w:jc w:val="left"/>
        <w:rPr>
          <w:color w:val="000000" w:themeColor="text1"/>
        </w:rPr>
      </w:pPr>
      <w:r w:rsidRPr="004D45B3">
        <w:rPr>
          <w:rFonts w:eastAsia="Arial" w:cs="Arial"/>
          <w:color w:val="000000" w:themeColor="text1"/>
          <w:szCs w:val="24"/>
          <w:shd w:val="clear" w:color="auto" w:fill="FFFFFF"/>
        </w:rPr>
        <w:t>To identify the barriers and facilitators influencing implementation and recommend improvements to culturally competent healthcare practices within the UK.</w:t>
      </w:r>
    </w:p>
    <w:p w14:paraId="45FB9C3E" w14:textId="77777777" w:rsidR="00C33A9F" w:rsidRPr="004D45B3" w:rsidRDefault="00C33A9F" w:rsidP="00C33A9F">
      <w:pPr>
        <w:spacing w:after="0"/>
        <w:ind w:left="720"/>
        <w:jc w:val="left"/>
        <w:rPr>
          <w:color w:val="000000" w:themeColor="text1"/>
        </w:rPr>
      </w:pPr>
    </w:p>
    <w:p w14:paraId="0621A0AD" w14:textId="77777777" w:rsidR="00BE776A" w:rsidRPr="004D45B3" w:rsidRDefault="0007681E">
      <w:pPr>
        <w:pStyle w:val="Heading2"/>
        <w:jc w:val="left"/>
        <w:rPr>
          <w:color w:val="000000" w:themeColor="text1"/>
        </w:rPr>
      </w:pPr>
      <w:bookmarkStart w:id="10" w:name="_Toc241190001"/>
      <w:r w:rsidRPr="004D45B3">
        <w:rPr>
          <w:b/>
          <w:bCs/>
          <w:color w:val="000000" w:themeColor="text1"/>
          <w:sz w:val="28"/>
          <w:szCs w:val="28"/>
          <w:shd w:val="clear" w:color="auto" w:fill="FFFFFF"/>
        </w:rPr>
        <w:t>1.6 Primary research question</w:t>
      </w:r>
      <w:bookmarkEnd w:id="10"/>
      <w:r w:rsidRPr="004D45B3">
        <w:rPr>
          <w:b/>
          <w:bCs/>
          <w:color w:val="000000" w:themeColor="text1"/>
          <w:sz w:val="28"/>
          <w:szCs w:val="28"/>
          <w:shd w:val="clear" w:color="auto" w:fill="FFFFFF"/>
        </w:rPr>
        <w:t xml:space="preserve"> </w:t>
      </w:r>
    </w:p>
    <w:p w14:paraId="531DC425" w14:textId="77777777" w:rsidR="00BE776A" w:rsidRPr="004D45B3" w:rsidRDefault="0007681E">
      <w:pPr>
        <w:spacing w:before="280" w:after="0"/>
        <w:jc w:val="left"/>
        <w:rPr>
          <w:rFonts w:eastAsia="Arial" w:cs="Arial"/>
          <w:color w:val="000000" w:themeColor="text1"/>
          <w:szCs w:val="24"/>
          <w:shd w:val="clear" w:color="auto" w:fill="FFFFFF"/>
        </w:rPr>
      </w:pPr>
      <w:r w:rsidRPr="004D45B3">
        <w:rPr>
          <w:rFonts w:eastAsia="Arial" w:cs="Arial"/>
          <w:color w:val="000000" w:themeColor="text1"/>
          <w:szCs w:val="24"/>
          <w:shd w:val="clear" w:color="auto" w:fill="FFFFFF"/>
        </w:rPr>
        <w:t>How effective is culturally competent care in reducing health inequalities among ethnic minority communities within the UK healthcare system?</w:t>
      </w:r>
    </w:p>
    <w:p w14:paraId="3CF2E0E5" w14:textId="77777777" w:rsidR="00C33A9F" w:rsidRPr="004D45B3" w:rsidRDefault="00C33A9F">
      <w:pPr>
        <w:spacing w:before="280" w:after="0"/>
        <w:jc w:val="left"/>
        <w:rPr>
          <w:rFonts w:eastAsia="Arial" w:cs="Arial"/>
          <w:color w:val="000000" w:themeColor="text1"/>
          <w:szCs w:val="24"/>
          <w:shd w:val="clear" w:color="auto" w:fill="FFFFFF"/>
        </w:rPr>
      </w:pPr>
    </w:p>
    <w:p w14:paraId="37FA9B3B" w14:textId="77777777" w:rsidR="00BE776A" w:rsidRPr="004D45B3" w:rsidRDefault="0007681E">
      <w:pPr>
        <w:pStyle w:val="Heading2"/>
        <w:jc w:val="left"/>
        <w:rPr>
          <w:rFonts w:eastAsia="Arial"/>
          <w:b/>
          <w:bCs/>
          <w:color w:val="000000" w:themeColor="text1"/>
          <w:sz w:val="28"/>
          <w:szCs w:val="28"/>
          <w:shd w:val="clear" w:color="auto" w:fill="FFFFFF"/>
        </w:rPr>
      </w:pPr>
      <w:bookmarkStart w:id="11" w:name="_Toc241190002"/>
      <w:r w:rsidRPr="004D45B3">
        <w:rPr>
          <w:rFonts w:eastAsia="Arial"/>
          <w:b/>
          <w:bCs/>
          <w:color w:val="000000" w:themeColor="text1"/>
          <w:sz w:val="28"/>
          <w:szCs w:val="28"/>
          <w:shd w:val="clear" w:color="auto" w:fill="FFFFFF"/>
        </w:rPr>
        <w:t>1.7 Secondary research questions</w:t>
      </w:r>
      <w:bookmarkEnd w:id="11"/>
    </w:p>
    <w:p w14:paraId="2421ED78" w14:textId="77777777" w:rsidR="00BE776A" w:rsidRPr="004D45B3" w:rsidRDefault="0007681E">
      <w:pPr>
        <w:numPr>
          <w:ilvl w:val="0"/>
          <w:numId w:val="4"/>
        </w:numPr>
        <w:spacing w:before="280" w:after="0"/>
        <w:jc w:val="left"/>
        <w:rPr>
          <w:color w:val="000000" w:themeColor="text1"/>
        </w:rPr>
      </w:pPr>
      <w:r w:rsidRPr="004D45B3">
        <w:rPr>
          <w:rFonts w:eastAsia="Arial" w:cs="Arial"/>
          <w:color w:val="000000" w:themeColor="text1"/>
          <w:szCs w:val="24"/>
          <w:shd w:val="clear" w:color="auto" w:fill="FFFFFF"/>
        </w:rPr>
        <w:t>What are the key components and practices of culturally competent care implemented within the UK healthcare system?</w:t>
      </w:r>
    </w:p>
    <w:p w14:paraId="449FCF90" w14:textId="77777777" w:rsidR="00BE776A" w:rsidRPr="004D45B3" w:rsidRDefault="0007681E">
      <w:pPr>
        <w:numPr>
          <w:ilvl w:val="0"/>
          <w:numId w:val="3"/>
        </w:numPr>
        <w:spacing w:after="0"/>
        <w:jc w:val="left"/>
        <w:rPr>
          <w:color w:val="000000" w:themeColor="text1"/>
        </w:rPr>
      </w:pPr>
      <w:r w:rsidRPr="004D45B3">
        <w:rPr>
          <w:rFonts w:eastAsia="Arial" w:cs="Arial"/>
          <w:color w:val="000000" w:themeColor="text1"/>
          <w:szCs w:val="24"/>
          <w:shd w:val="clear" w:color="auto" w:fill="FFFFFF"/>
        </w:rPr>
        <w:t>What health inequalities are experienced by ethnic minority communities in the UK?</w:t>
      </w:r>
    </w:p>
    <w:p w14:paraId="41EA9F47" w14:textId="77777777" w:rsidR="00BE776A" w:rsidRPr="004D45B3" w:rsidRDefault="0007681E">
      <w:pPr>
        <w:numPr>
          <w:ilvl w:val="0"/>
          <w:numId w:val="3"/>
        </w:numPr>
        <w:spacing w:after="0"/>
        <w:jc w:val="left"/>
        <w:rPr>
          <w:color w:val="000000" w:themeColor="text1"/>
        </w:rPr>
      </w:pPr>
      <w:r w:rsidRPr="004D45B3">
        <w:rPr>
          <w:rFonts w:eastAsia="Arial" w:cs="Arial"/>
          <w:color w:val="000000" w:themeColor="text1"/>
          <w:szCs w:val="24"/>
          <w:shd w:val="clear" w:color="auto" w:fill="FFFFFF"/>
        </w:rPr>
        <w:t>How effective is culturally competent care in reducing health inequalities among ethnic minority populations?</w:t>
      </w:r>
    </w:p>
    <w:p w14:paraId="5788C8AE" w14:textId="0ABF5C80" w:rsidR="00634BD0" w:rsidRPr="004D45B3" w:rsidRDefault="0007681E" w:rsidP="004D45B3">
      <w:pPr>
        <w:numPr>
          <w:ilvl w:val="0"/>
          <w:numId w:val="3"/>
        </w:numPr>
        <w:spacing w:after="0"/>
        <w:rPr>
          <w:color w:val="000000" w:themeColor="text1"/>
        </w:rPr>
      </w:pPr>
      <w:r w:rsidRPr="004D45B3">
        <w:rPr>
          <w:rFonts w:eastAsia="Arial" w:cs="Arial"/>
          <w:color w:val="000000" w:themeColor="text1"/>
          <w:szCs w:val="24"/>
          <w:shd w:val="clear" w:color="auto" w:fill="FFFFFF"/>
        </w:rPr>
        <w:t>What barriers and facilitators influence the implementation of culturally competent care in UK healthcare settings, and what recommendations can improve culturally competent healthcare practices?</w:t>
      </w:r>
    </w:p>
    <w:p w14:paraId="2E9BB7D1" w14:textId="77777777" w:rsidR="00634BD0" w:rsidRPr="004D45B3" w:rsidRDefault="00634BD0">
      <w:pPr>
        <w:jc w:val="left"/>
        <w:rPr>
          <w:rFonts w:ascii="Helvetica" w:eastAsia="Aptos" w:hAnsi="Helvetica" w:cs="Helvetica"/>
          <w:color w:val="000000" w:themeColor="text1"/>
          <w:kern w:val="0"/>
          <w:szCs w:val="24"/>
          <w:lang w:eastAsia="en-US"/>
        </w:rPr>
      </w:pPr>
    </w:p>
    <w:p w14:paraId="38DA78A0" w14:textId="77777777" w:rsidR="00634BD0" w:rsidRDefault="0007681E" w:rsidP="00634BD0">
      <w:pPr>
        <w:jc w:val="left"/>
        <w:rPr>
          <w:rFonts w:ascii="Helvetica" w:eastAsia="Aptos" w:hAnsi="Helvetica" w:cs="Helvetica"/>
          <w:color w:val="000000" w:themeColor="text1"/>
          <w:kern w:val="0"/>
          <w:szCs w:val="24"/>
          <w:lang w:eastAsia="en-US"/>
        </w:rPr>
      </w:pPr>
      <w:r w:rsidRPr="004D45B3">
        <w:rPr>
          <w:rFonts w:ascii="Helvetica" w:eastAsia="Aptos" w:hAnsi="Helvetica" w:cs="Helvetica"/>
          <w:color w:val="000000" w:themeColor="text1"/>
          <w:kern w:val="0"/>
          <w:szCs w:val="24"/>
          <w:lang w:eastAsia="en-US"/>
        </w:rPr>
        <w:t xml:space="preserve">The chapter presented health inequalities amongst ethnic minority groups and analyses the ongoing health care inequality faced by minority groups in the UK and suggests culturally competent care as a potential solution. It outlines the research problem, rationale, aims, and objectives of a systematic literature review. </w:t>
      </w:r>
    </w:p>
    <w:p w14:paraId="0C35C30C" w14:textId="77777777" w:rsidR="004D45B3" w:rsidRDefault="004D45B3" w:rsidP="00634BD0">
      <w:pPr>
        <w:jc w:val="left"/>
        <w:rPr>
          <w:rFonts w:ascii="Helvetica" w:eastAsia="Aptos" w:hAnsi="Helvetica" w:cs="Helvetica"/>
          <w:color w:val="000000" w:themeColor="text1"/>
          <w:kern w:val="0"/>
          <w:szCs w:val="24"/>
          <w:lang w:eastAsia="en-US"/>
        </w:rPr>
      </w:pPr>
    </w:p>
    <w:p w14:paraId="5C104F0C" w14:textId="77777777" w:rsidR="004D45B3" w:rsidRDefault="004D45B3" w:rsidP="00634BD0">
      <w:pPr>
        <w:jc w:val="left"/>
        <w:rPr>
          <w:rFonts w:ascii="Helvetica" w:eastAsia="Aptos" w:hAnsi="Helvetica" w:cs="Helvetica"/>
          <w:color w:val="000000" w:themeColor="text1"/>
          <w:kern w:val="0"/>
          <w:szCs w:val="24"/>
          <w:lang w:eastAsia="en-US"/>
        </w:rPr>
      </w:pPr>
    </w:p>
    <w:p w14:paraId="64649A92" w14:textId="77777777" w:rsidR="004D45B3" w:rsidRDefault="004D45B3" w:rsidP="00634BD0">
      <w:pPr>
        <w:jc w:val="left"/>
        <w:rPr>
          <w:rFonts w:ascii="Helvetica" w:eastAsia="Aptos" w:hAnsi="Helvetica" w:cs="Helvetica"/>
          <w:color w:val="000000" w:themeColor="text1"/>
          <w:kern w:val="0"/>
          <w:szCs w:val="24"/>
          <w:lang w:eastAsia="en-US"/>
        </w:rPr>
      </w:pPr>
    </w:p>
    <w:p w14:paraId="20869DD7" w14:textId="77777777" w:rsidR="004D45B3" w:rsidRDefault="004D45B3" w:rsidP="00634BD0">
      <w:pPr>
        <w:jc w:val="left"/>
        <w:rPr>
          <w:rFonts w:ascii="Helvetica" w:eastAsia="Aptos" w:hAnsi="Helvetica" w:cs="Helvetica"/>
          <w:color w:val="000000" w:themeColor="text1"/>
          <w:kern w:val="0"/>
          <w:szCs w:val="24"/>
          <w:lang w:eastAsia="en-US"/>
        </w:rPr>
      </w:pPr>
    </w:p>
    <w:p w14:paraId="349D590C" w14:textId="77777777" w:rsidR="004D45B3" w:rsidRDefault="004D45B3" w:rsidP="00634BD0">
      <w:pPr>
        <w:jc w:val="left"/>
        <w:rPr>
          <w:rFonts w:ascii="Helvetica" w:eastAsia="Aptos" w:hAnsi="Helvetica" w:cs="Helvetica"/>
          <w:color w:val="000000" w:themeColor="text1"/>
          <w:kern w:val="0"/>
          <w:szCs w:val="24"/>
          <w:lang w:eastAsia="en-US"/>
        </w:rPr>
      </w:pPr>
    </w:p>
    <w:p w14:paraId="794E331B" w14:textId="77777777" w:rsidR="004D45B3" w:rsidRDefault="004D45B3" w:rsidP="00634BD0">
      <w:pPr>
        <w:jc w:val="left"/>
        <w:rPr>
          <w:rFonts w:ascii="Helvetica" w:eastAsia="Aptos" w:hAnsi="Helvetica" w:cs="Helvetica"/>
          <w:color w:val="000000" w:themeColor="text1"/>
          <w:kern w:val="0"/>
          <w:szCs w:val="24"/>
          <w:lang w:eastAsia="en-US"/>
        </w:rPr>
      </w:pPr>
    </w:p>
    <w:p w14:paraId="7FC8C39C" w14:textId="77777777" w:rsidR="004D45B3" w:rsidRDefault="004D45B3" w:rsidP="00634BD0">
      <w:pPr>
        <w:jc w:val="left"/>
        <w:rPr>
          <w:rFonts w:ascii="Helvetica" w:eastAsia="Aptos" w:hAnsi="Helvetica" w:cs="Helvetica"/>
          <w:color w:val="000000" w:themeColor="text1"/>
          <w:kern w:val="0"/>
          <w:szCs w:val="24"/>
          <w:lang w:eastAsia="en-US"/>
        </w:rPr>
      </w:pPr>
    </w:p>
    <w:p w14:paraId="68822F6E" w14:textId="77777777" w:rsidR="004D45B3" w:rsidRDefault="004D45B3" w:rsidP="00634BD0">
      <w:pPr>
        <w:jc w:val="left"/>
        <w:rPr>
          <w:rFonts w:ascii="Helvetica" w:eastAsia="Aptos" w:hAnsi="Helvetica" w:cs="Helvetica"/>
          <w:color w:val="000000" w:themeColor="text1"/>
          <w:kern w:val="0"/>
          <w:szCs w:val="24"/>
          <w:lang w:eastAsia="en-US"/>
        </w:rPr>
      </w:pPr>
    </w:p>
    <w:p w14:paraId="103DB9E4" w14:textId="77777777" w:rsidR="004D45B3" w:rsidRDefault="004D45B3" w:rsidP="00634BD0">
      <w:pPr>
        <w:jc w:val="left"/>
        <w:rPr>
          <w:rFonts w:ascii="Helvetica" w:eastAsia="Aptos" w:hAnsi="Helvetica" w:cs="Helvetica"/>
          <w:color w:val="000000" w:themeColor="text1"/>
          <w:kern w:val="0"/>
          <w:szCs w:val="24"/>
          <w:lang w:eastAsia="en-US"/>
        </w:rPr>
      </w:pPr>
    </w:p>
    <w:p w14:paraId="4A9CB7CF" w14:textId="77777777" w:rsidR="004D45B3" w:rsidRDefault="004D45B3" w:rsidP="00634BD0">
      <w:pPr>
        <w:jc w:val="left"/>
        <w:rPr>
          <w:rFonts w:ascii="Helvetica" w:eastAsia="Aptos" w:hAnsi="Helvetica" w:cs="Helvetica"/>
          <w:color w:val="000000" w:themeColor="text1"/>
          <w:kern w:val="0"/>
          <w:szCs w:val="24"/>
          <w:lang w:eastAsia="en-US"/>
        </w:rPr>
      </w:pPr>
    </w:p>
    <w:p w14:paraId="4C873717" w14:textId="77777777" w:rsidR="004D45B3" w:rsidRDefault="004D45B3" w:rsidP="00634BD0">
      <w:pPr>
        <w:jc w:val="left"/>
        <w:rPr>
          <w:rFonts w:ascii="Helvetica" w:eastAsia="Aptos" w:hAnsi="Helvetica" w:cs="Helvetica"/>
          <w:color w:val="000000" w:themeColor="text1"/>
          <w:kern w:val="0"/>
          <w:szCs w:val="24"/>
          <w:lang w:eastAsia="en-US"/>
        </w:rPr>
      </w:pPr>
    </w:p>
    <w:p w14:paraId="507FBEA4" w14:textId="77777777" w:rsidR="004D45B3" w:rsidRDefault="004D45B3" w:rsidP="00634BD0">
      <w:pPr>
        <w:jc w:val="left"/>
        <w:rPr>
          <w:rFonts w:ascii="Helvetica" w:eastAsia="Aptos" w:hAnsi="Helvetica" w:cs="Helvetica"/>
          <w:color w:val="000000" w:themeColor="text1"/>
          <w:kern w:val="0"/>
          <w:szCs w:val="24"/>
          <w:lang w:eastAsia="en-US"/>
        </w:rPr>
      </w:pPr>
    </w:p>
    <w:p w14:paraId="4EBCFBC7" w14:textId="77777777" w:rsidR="004D45B3" w:rsidRDefault="004D45B3" w:rsidP="00634BD0">
      <w:pPr>
        <w:jc w:val="left"/>
        <w:rPr>
          <w:rFonts w:ascii="Helvetica" w:eastAsia="Aptos" w:hAnsi="Helvetica" w:cs="Helvetica"/>
          <w:color w:val="000000" w:themeColor="text1"/>
          <w:kern w:val="0"/>
          <w:szCs w:val="24"/>
          <w:lang w:eastAsia="en-US"/>
        </w:rPr>
      </w:pPr>
    </w:p>
    <w:p w14:paraId="6F5C8FE5" w14:textId="77777777" w:rsidR="004D45B3" w:rsidRDefault="004D45B3" w:rsidP="00634BD0">
      <w:pPr>
        <w:jc w:val="left"/>
        <w:rPr>
          <w:rFonts w:ascii="Helvetica" w:eastAsia="Aptos" w:hAnsi="Helvetica" w:cs="Helvetica"/>
          <w:color w:val="000000" w:themeColor="text1"/>
          <w:kern w:val="0"/>
          <w:szCs w:val="24"/>
          <w:lang w:eastAsia="en-US"/>
        </w:rPr>
      </w:pPr>
    </w:p>
    <w:p w14:paraId="7694B3D1" w14:textId="77777777" w:rsidR="004D45B3" w:rsidRDefault="004D45B3" w:rsidP="00634BD0">
      <w:pPr>
        <w:jc w:val="left"/>
        <w:rPr>
          <w:rFonts w:ascii="Helvetica" w:eastAsia="Aptos" w:hAnsi="Helvetica" w:cs="Helvetica"/>
          <w:color w:val="000000" w:themeColor="text1"/>
          <w:kern w:val="0"/>
          <w:szCs w:val="24"/>
          <w:lang w:eastAsia="en-US"/>
        </w:rPr>
      </w:pPr>
    </w:p>
    <w:p w14:paraId="7C14519E" w14:textId="77777777" w:rsidR="004D45B3" w:rsidRDefault="004D45B3" w:rsidP="00634BD0">
      <w:pPr>
        <w:jc w:val="left"/>
        <w:rPr>
          <w:rFonts w:ascii="Helvetica" w:eastAsia="Aptos" w:hAnsi="Helvetica" w:cs="Helvetica"/>
          <w:color w:val="000000" w:themeColor="text1"/>
          <w:kern w:val="0"/>
          <w:szCs w:val="24"/>
          <w:lang w:eastAsia="en-US"/>
        </w:rPr>
      </w:pPr>
    </w:p>
    <w:p w14:paraId="424A4A1C" w14:textId="77777777" w:rsidR="004D45B3" w:rsidRDefault="004D45B3" w:rsidP="00634BD0">
      <w:pPr>
        <w:jc w:val="left"/>
        <w:rPr>
          <w:rFonts w:ascii="Helvetica" w:eastAsia="Aptos" w:hAnsi="Helvetica" w:cs="Helvetica"/>
          <w:color w:val="000000" w:themeColor="text1"/>
          <w:kern w:val="0"/>
          <w:szCs w:val="24"/>
          <w:lang w:eastAsia="en-US"/>
        </w:rPr>
      </w:pPr>
    </w:p>
    <w:p w14:paraId="4A264DF4" w14:textId="77777777" w:rsidR="004D45B3" w:rsidRPr="004D45B3" w:rsidRDefault="004D45B3" w:rsidP="00634BD0">
      <w:pPr>
        <w:jc w:val="left"/>
        <w:rPr>
          <w:color w:val="000000" w:themeColor="text1"/>
        </w:rPr>
      </w:pPr>
    </w:p>
    <w:p w14:paraId="4BC2620E" w14:textId="1B76D51D" w:rsidR="00BE776A" w:rsidRPr="004D45B3" w:rsidRDefault="0007681E" w:rsidP="00634BD0">
      <w:pPr>
        <w:jc w:val="left"/>
        <w:rPr>
          <w:rFonts w:asciiTheme="majorHAnsi" w:hAnsiTheme="majorHAnsi"/>
          <w:color w:val="000000" w:themeColor="text1"/>
          <w:sz w:val="40"/>
          <w:szCs w:val="36"/>
        </w:rPr>
      </w:pPr>
      <w:r w:rsidRPr="004D45B3">
        <w:rPr>
          <w:rFonts w:asciiTheme="majorHAnsi" w:eastAsia="Arial" w:hAnsiTheme="majorHAnsi" w:cs="Arial"/>
          <w:b/>
          <w:bCs/>
          <w:color w:val="000000" w:themeColor="text1"/>
          <w:sz w:val="40"/>
          <w:szCs w:val="52"/>
        </w:rPr>
        <w:t xml:space="preserve">Chapter 2: Literature review </w:t>
      </w:r>
    </w:p>
    <w:p w14:paraId="7B3896BD" w14:textId="77777777" w:rsidR="00BE776A" w:rsidRPr="004D45B3" w:rsidRDefault="0007681E">
      <w:pPr>
        <w:spacing w:before="280" w:after="14"/>
        <w:rPr>
          <w:rFonts w:ascii="Helvetica" w:eastAsia="Aptos" w:hAnsi="Helvetica" w:cs="Helvetica"/>
          <w:color w:val="000000" w:themeColor="text1"/>
          <w:kern w:val="0"/>
          <w:szCs w:val="24"/>
          <w:lang w:eastAsia="en-US"/>
        </w:rPr>
      </w:pPr>
      <w:r w:rsidRPr="004D45B3">
        <w:rPr>
          <w:rFonts w:ascii="Helvetica" w:eastAsia="Aptos" w:hAnsi="Helvetica" w:cs="Helvetica"/>
          <w:color w:val="000000" w:themeColor="text1"/>
          <w:kern w:val="0"/>
          <w:szCs w:val="24"/>
          <w:lang w:eastAsia="en-US"/>
        </w:rPr>
        <w:t>This chapter critically reviews the literature on culturally competent care’s effectiveness in reducing health disparities among ethnic minority communities in the UK. It details a systematic literature search method and addresses major themes such as culturally competent healthcare practices, health inequalities, intervention effectiveness, implementation barriers, facilitators, and recommendations for improvement.</w:t>
      </w:r>
    </w:p>
    <w:p w14:paraId="750B1D89"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44FBC0D4" w14:textId="77777777" w:rsidR="00BE776A" w:rsidRPr="004D45B3" w:rsidRDefault="0007681E">
      <w:pPr>
        <w:pStyle w:val="Heading3"/>
        <w:rPr>
          <w:rFonts w:ascii="Aptos Display" w:hAnsi="Aptos Display"/>
          <w:b/>
          <w:bCs/>
          <w:color w:val="000000" w:themeColor="text1"/>
        </w:rPr>
      </w:pPr>
      <w:bookmarkStart w:id="12" w:name="_Toc241190003"/>
      <w:r w:rsidRPr="004D45B3">
        <w:rPr>
          <w:rFonts w:ascii="Aptos Display" w:hAnsi="Aptos Display"/>
          <w:b/>
          <w:bCs/>
          <w:color w:val="000000" w:themeColor="text1"/>
        </w:rPr>
        <w:t>2.1 Statistics of Ethnic Minority Groups Disadvantaged by the Healthcare System in the UK</w:t>
      </w:r>
      <w:bookmarkEnd w:id="12"/>
    </w:p>
    <w:p w14:paraId="44E24A09" w14:textId="77777777" w:rsidR="004D45B3" w:rsidRDefault="0007681E">
      <w:pPr>
        <w:rPr>
          <w:color w:val="000000" w:themeColor="text1"/>
        </w:rPr>
      </w:pPr>
      <w:r w:rsidRPr="004D45B3">
        <w:rPr>
          <w:color w:val="000000" w:themeColor="text1"/>
        </w:rPr>
        <w:t>Ethnic minority communities represent a substantial proportion of the UK population and continue to experience measurable differences in healthcare outcomes. In the 2021 Census, 19% of the population of England identified as belonging to a non-White ethnic minority group, including Indian (3.3%), Pakistani (2.8%), Bangladeshi (1.1%) and African (2.6%) populations (NHS England, 2026). These differences are particularly evident in maternity care. NHS England reports that between 2022 and 2024, maternal mortality among Black women in England was 32.42 deaths per 100,000 maternities, compared with 11.93 among White women, while the rate among Asian women was 15.14 per 100,000 maternities (NHS England, 2026). Perinatal outcomes also show continuing disparities.</w:t>
      </w:r>
    </w:p>
    <w:p w14:paraId="66A989E3" w14:textId="77777777" w:rsidR="004D45B3" w:rsidRDefault="004D45B3">
      <w:pPr>
        <w:rPr>
          <w:color w:val="000000" w:themeColor="text1"/>
        </w:rPr>
      </w:pPr>
    </w:p>
    <w:p w14:paraId="09215BB6" w14:textId="383F1230" w:rsidR="00BE776A" w:rsidRPr="004D45B3" w:rsidRDefault="0007681E">
      <w:pPr>
        <w:rPr>
          <w:color w:val="000000" w:themeColor="text1"/>
        </w:rPr>
      </w:pPr>
      <w:r w:rsidRPr="004D45B3">
        <w:rPr>
          <w:color w:val="000000" w:themeColor="text1"/>
        </w:rPr>
        <w:t xml:space="preserve"> In 2023, the combined stillbirth and neonatal mortality rate was 11.1 per 1,000 births for Black babies, compared with 5.6 for White babies, while the rate for Asian babies was 9.2 per 1,000 (Digital NHS, 2025). Mental healthcare presents another significant disparity. In 2024-2025, the Mental Health Act detention rate was 262.4 per 100,000 among Black or Black British people compared with 65.8 among White people, representing an almost four-fold difference (Digital NHS, 2025). These statistics demonstrate persistent ethnic differences in healthcare outcomes and provide a clear rationale for examining whether culturally competent care can contribute to reducing such inequalities.</w:t>
      </w:r>
    </w:p>
    <w:p w14:paraId="5FC80EA9" w14:textId="77777777" w:rsidR="00BE776A" w:rsidRPr="004D45B3" w:rsidRDefault="00BE776A">
      <w:pPr>
        <w:rPr>
          <w:color w:val="000000" w:themeColor="text1"/>
        </w:rPr>
      </w:pPr>
    </w:p>
    <w:p w14:paraId="18E7566B" w14:textId="77777777" w:rsidR="00BE776A" w:rsidRPr="004D45B3" w:rsidRDefault="0007681E">
      <w:pPr>
        <w:pStyle w:val="Heading3"/>
        <w:rPr>
          <w:color w:val="000000" w:themeColor="text1"/>
        </w:rPr>
      </w:pPr>
      <w:bookmarkStart w:id="13" w:name="_Toc241190004"/>
      <w:r w:rsidRPr="004D45B3">
        <w:rPr>
          <w:rFonts w:ascii="Aptos Display" w:hAnsi="Aptos Display"/>
          <w:b/>
          <w:bCs/>
          <w:color w:val="000000" w:themeColor="text1"/>
        </w:rPr>
        <w:t>2.2 Key components and practices of culturally competent care implemented within the UK healthcare system</w:t>
      </w:r>
      <w:bookmarkEnd w:id="13"/>
    </w:p>
    <w:p w14:paraId="6D5A4D3D" w14:textId="77777777" w:rsidR="004D45B3" w:rsidRDefault="0007681E">
      <w:pPr>
        <w:spacing w:before="280" w:after="14"/>
        <w:rPr>
          <w:rFonts w:eastAsia="Arial" w:cs="Arial"/>
          <w:color w:val="000000" w:themeColor="text1"/>
          <w:szCs w:val="24"/>
        </w:rPr>
      </w:pPr>
      <w:r w:rsidRPr="004D45B3">
        <w:rPr>
          <w:rFonts w:ascii="Helvetica" w:eastAsia="Aptos" w:hAnsi="Helvetica" w:cs="Helvetica"/>
          <w:color w:val="000000" w:themeColor="text1"/>
          <w:kern w:val="0"/>
          <w:szCs w:val="24"/>
          <w:lang w:eastAsia="en-US"/>
        </w:rPr>
        <w:t xml:space="preserve">The concept of CCC has become a primary solution to the UK healthcare system as it plays a crucial role in eliminating existing health disparities among ethnic minority groups. It extends beyond cultural awareness to encompass the ability of healthcare providers to deliver respectful, fair and person-centred care sensitive to cultural beliefs, linguistic and cultural values and patient expectations </w:t>
      </w:r>
      <w:r w:rsidRPr="004D45B3">
        <w:rPr>
          <w:rFonts w:eastAsia="Arial" w:cs="Arial"/>
          <w:color w:val="000000" w:themeColor="text1"/>
          <w:szCs w:val="24"/>
        </w:rPr>
        <w:t xml:space="preserve">(Chau </w:t>
      </w:r>
      <w:r w:rsidRPr="004D45B3">
        <w:rPr>
          <w:rFonts w:eastAsia="Arial" w:cs="Arial"/>
          <w:i/>
          <w:iCs/>
          <w:color w:val="000000" w:themeColor="text1"/>
          <w:szCs w:val="24"/>
        </w:rPr>
        <w:t>et al.,</w:t>
      </w:r>
      <w:r w:rsidRPr="004D45B3">
        <w:rPr>
          <w:rFonts w:eastAsia="Arial" w:cs="Arial"/>
          <w:color w:val="000000" w:themeColor="text1"/>
          <w:szCs w:val="24"/>
        </w:rPr>
        <w:t xml:space="preserve"> 2024). </w:t>
      </w:r>
    </w:p>
    <w:p w14:paraId="30B6DE94" w14:textId="77777777" w:rsidR="004D45B3" w:rsidRDefault="004D45B3">
      <w:pPr>
        <w:spacing w:before="280" w:after="14"/>
        <w:rPr>
          <w:rFonts w:eastAsia="Arial" w:cs="Arial"/>
          <w:color w:val="000000" w:themeColor="text1"/>
          <w:szCs w:val="24"/>
        </w:rPr>
      </w:pPr>
    </w:p>
    <w:p w14:paraId="7DEB055C" w14:textId="3C51FF2B" w:rsidR="00BE776A" w:rsidRPr="004D45B3" w:rsidRDefault="0007681E">
      <w:pPr>
        <w:spacing w:before="280" w:after="14"/>
        <w:rPr>
          <w:rFonts w:eastAsia="Arial" w:cs="Arial"/>
          <w:color w:val="000000" w:themeColor="text1"/>
          <w:szCs w:val="24"/>
        </w:rPr>
      </w:pPr>
      <w:r w:rsidRPr="004D45B3">
        <w:rPr>
          <w:rFonts w:eastAsia="Arial" w:cs="Arial"/>
          <w:color w:val="000000" w:themeColor="text1"/>
          <w:szCs w:val="24"/>
        </w:rPr>
        <w:t xml:space="preserve">The key components in the NHS are culturally responsive communication, interpreters, workforce diversity, cultural competence training, involvement of communities and shared decision-making. In their three-stage process, </w:t>
      </w:r>
      <w:proofErr w:type="spellStart"/>
      <w:r w:rsidRPr="004D45B3">
        <w:rPr>
          <w:rFonts w:eastAsia="Arial" w:cs="Arial"/>
          <w:color w:val="000000" w:themeColor="text1"/>
          <w:szCs w:val="24"/>
        </w:rPr>
        <w:t>Perchyk</w:t>
      </w:r>
      <w:proofErr w:type="spellEnd"/>
      <w:r w:rsidRPr="004D45B3">
        <w:rPr>
          <w:rFonts w:eastAsia="Arial" w:cs="Arial"/>
          <w:color w:val="000000" w:themeColor="text1"/>
          <w:szCs w:val="24"/>
        </w:rPr>
        <w:t xml:space="preserve"> </w:t>
      </w:r>
      <w:r w:rsidRPr="004D45B3">
        <w:rPr>
          <w:rFonts w:eastAsia="Arial" w:cs="Arial"/>
          <w:i/>
          <w:color w:val="000000" w:themeColor="text1"/>
          <w:szCs w:val="24"/>
        </w:rPr>
        <w:t>et al.</w:t>
      </w:r>
      <w:r w:rsidRPr="004D45B3">
        <w:rPr>
          <w:rFonts w:eastAsia="Arial" w:cs="Arial"/>
          <w:color w:val="000000" w:themeColor="text1"/>
          <w:szCs w:val="24"/>
        </w:rPr>
        <w:t xml:space="preserve"> (2025) found this to be consistent with the Core20PLUS5 framework, which identifies ethnic minority groups as priority populations requiring targeted interventions to reduce healthcare inequalities. These interventions include culturally tailored health information, improved access to screening and preventive services, language support through professional interpreters, culturally sensitive communication, and greater involvement of communities in healthcare planning. </w:t>
      </w:r>
    </w:p>
    <w:p w14:paraId="2B200E24" w14:textId="77777777" w:rsidR="00C33A9F" w:rsidRPr="004D45B3" w:rsidRDefault="00C33A9F">
      <w:pPr>
        <w:spacing w:before="280" w:after="14"/>
        <w:rPr>
          <w:color w:val="000000" w:themeColor="text1"/>
        </w:rPr>
      </w:pPr>
    </w:p>
    <w:p w14:paraId="3C3986FE" w14:textId="77777777" w:rsidR="00BE776A" w:rsidRPr="004D45B3" w:rsidRDefault="0007681E">
      <w:pPr>
        <w:spacing w:before="280" w:after="14"/>
        <w:rPr>
          <w:color w:val="000000" w:themeColor="text1"/>
        </w:rPr>
      </w:pPr>
      <w:r w:rsidRPr="004D45B3">
        <w:rPr>
          <w:rFonts w:eastAsia="Arial" w:cs="Arial"/>
          <w:color w:val="000000" w:themeColor="text1"/>
          <w:szCs w:val="24"/>
        </w:rPr>
        <w:t xml:space="preserve">However, evidence regarding the effectiveness of these culturally competent components remains mixed. Robinson </w:t>
      </w:r>
      <w:r w:rsidRPr="004D45B3">
        <w:rPr>
          <w:rFonts w:eastAsia="Arial" w:cs="Arial"/>
          <w:i/>
          <w:color w:val="000000" w:themeColor="text1"/>
          <w:szCs w:val="24"/>
        </w:rPr>
        <w:t>et al.</w:t>
      </w:r>
      <w:r w:rsidRPr="004D45B3">
        <w:rPr>
          <w:rFonts w:eastAsia="Arial" w:cs="Arial"/>
          <w:color w:val="000000" w:themeColor="text1"/>
          <w:szCs w:val="24"/>
        </w:rPr>
        <w:t xml:space="preserve"> (2021) emphasise patient trust, treatment adherence and healthcare availability, suggesting that culturally sensitive communication and professional interpretation can improve understanding, strengthen patient–provider relationships and reduce language and cultural barriers. Moreover, the study's strength lies in its inclusion of healthcare professionals from diverse clinical settings and disciplines, providing rich insights. Similarly, Walkowska </w:t>
      </w:r>
      <w:r w:rsidRPr="004D45B3">
        <w:rPr>
          <w:rFonts w:eastAsia="Arial" w:cs="Arial"/>
          <w:i/>
          <w:iCs/>
          <w:color w:val="000000" w:themeColor="text1"/>
          <w:szCs w:val="24"/>
        </w:rPr>
        <w:t>et al</w:t>
      </w:r>
      <w:r w:rsidRPr="004D45B3">
        <w:rPr>
          <w:rFonts w:eastAsia="Arial" w:cs="Arial"/>
          <w:color w:val="000000" w:themeColor="text1"/>
          <w:szCs w:val="24"/>
        </w:rPr>
        <w:t>. (2023) have also determined that cultural competence training enhances overall clinical interaction knowledge of the cultural needs of patients and reduces microaggression in clinical interactions between healthcare professionals. Furthermore, Siddiqui</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(2025), in their systematic review, dispute this assumption to claim that training programmes can typically only result in short-term advantages, in the sense of augmented knowledge within the personnel, and almost no indicator of an enduring behaviour alteration and quantifiable reductions in health disparities.</w:t>
      </w:r>
    </w:p>
    <w:p w14:paraId="093D34B5" w14:textId="77777777" w:rsidR="004D45B3" w:rsidRDefault="0007681E">
      <w:pPr>
        <w:spacing w:before="280" w:after="14"/>
        <w:rPr>
          <w:rFonts w:eastAsia="Arial" w:cs="Arial"/>
          <w:color w:val="000000" w:themeColor="text1"/>
          <w:szCs w:val="24"/>
        </w:rPr>
      </w:pPr>
      <w:r w:rsidRPr="004D45B3">
        <w:rPr>
          <w:rFonts w:eastAsia="Arial" w:cs="Arial"/>
          <w:color w:val="000000" w:themeColor="text1"/>
          <w:szCs w:val="24"/>
        </w:rPr>
        <w:t>The other approach that is disputed is the community participation founded on collaboration with faith organisations, voluntary organisations and ethnic community leaders. For example, Thomas</w:t>
      </w:r>
      <w:r w:rsidRPr="004D45B3">
        <w:rPr>
          <w:rFonts w:eastAsia="Arial" w:cs="Arial"/>
          <w:i/>
          <w:iCs/>
          <w:color w:val="000000" w:themeColor="text1"/>
          <w:szCs w:val="24"/>
        </w:rPr>
        <w:t xml:space="preserve"> et al. </w:t>
      </w:r>
      <w:r w:rsidRPr="004D45B3">
        <w:rPr>
          <w:rFonts w:eastAsia="Arial" w:cs="Arial"/>
          <w:color w:val="000000" w:themeColor="text1"/>
          <w:szCs w:val="24"/>
        </w:rPr>
        <w:t>(2021) claim that co-designed services positively impact healthcare utilisation; the latter is not developed on the basis of organisational assumptions but on the needs of the community to create an intervention. Conversely, in an interview conducted with twenty-three UK practitioners,</w:t>
      </w:r>
    </w:p>
    <w:p w14:paraId="10DB613B" w14:textId="77777777" w:rsidR="004D45B3" w:rsidRDefault="004D45B3">
      <w:pPr>
        <w:spacing w:before="280" w:after="14"/>
        <w:rPr>
          <w:rFonts w:eastAsia="Arial" w:cs="Arial"/>
          <w:color w:val="000000" w:themeColor="text1"/>
          <w:szCs w:val="24"/>
        </w:rPr>
      </w:pPr>
    </w:p>
    <w:p w14:paraId="05FC9FC2" w14:textId="51A061F9" w:rsidR="00BE776A" w:rsidRPr="004D45B3" w:rsidRDefault="0007681E">
      <w:pPr>
        <w:spacing w:before="280" w:after="14"/>
        <w:rPr>
          <w:rFonts w:eastAsia="Arial" w:cs="Arial"/>
          <w:color w:val="000000" w:themeColor="text1"/>
          <w:szCs w:val="24"/>
        </w:rPr>
      </w:pPr>
      <w:r w:rsidRPr="004D45B3">
        <w:rPr>
          <w:rFonts w:eastAsia="Arial" w:cs="Arial"/>
          <w:color w:val="000000" w:themeColor="text1"/>
          <w:szCs w:val="24"/>
        </w:rPr>
        <w:t xml:space="preserve"> </w:t>
      </w:r>
      <w:proofErr w:type="spellStart"/>
      <w:r w:rsidRPr="004D45B3">
        <w:rPr>
          <w:rFonts w:eastAsia="Arial" w:cs="Arial"/>
          <w:color w:val="000000" w:themeColor="text1"/>
          <w:szCs w:val="24"/>
        </w:rPr>
        <w:t>Touzel</w:t>
      </w:r>
      <w:proofErr w:type="spellEnd"/>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(2026) note that there is limited community participation where many NHS organisations are yet to adopt the standardised models of service delivery, which lack effectiveness in addressing cultural diversity. Hence, successful implementation must not merely be based on community participation, but also institutional action toward the process of embedding the culturally responsive practices into the daily service provisioning process.</w:t>
      </w:r>
    </w:p>
    <w:p w14:paraId="1AEAD68F" w14:textId="77777777" w:rsidR="00C33A9F" w:rsidRPr="004D45B3" w:rsidRDefault="00C33A9F">
      <w:pPr>
        <w:spacing w:before="280" w:after="14"/>
        <w:rPr>
          <w:color w:val="000000" w:themeColor="text1"/>
        </w:rPr>
      </w:pPr>
    </w:p>
    <w:p w14:paraId="47899504" w14:textId="77777777" w:rsidR="00BE776A" w:rsidRPr="004D45B3" w:rsidRDefault="0007681E">
      <w:pPr>
        <w:pStyle w:val="Heading3"/>
        <w:rPr>
          <w:color w:val="000000" w:themeColor="text1"/>
        </w:rPr>
      </w:pPr>
      <w:bookmarkStart w:id="14" w:name="_Toc241190005"/>
      <w:r w:rsidRPr="004D45B3">
        <w:rPr>
          <w:rFonts w:ascii="Aptos Display" w:hAnsi="Aptos Display"/>
          <w:b/>
          <w:bCs/>
          <w:color w:val="000000" w:themeColor="text1"/>
        </w:rPr>
        <w:t>2.3 Health inequalities experienced by ethnic minority communities in the UK</w:t>
      </w:r>
      <w:bookmarkEnd w:id="14"/>
    </w:p>
    <w:p w14:paraId="0426957F" w14:textId="77777777" w:rsidR="00BE776A" w:rsidRPr="004D45B3" w:rsidRDefault="0007681E">
      <w:pPr>
        <w:rPr>
          <w:color w:val="000000" w:themeColor="text1"/>
        </w:rPr>
      </w:pPr>
      <w:r w:rsidRPr="004D45B3">
        <w:rPr>
          <w:rFonts w:eastAsia="Aptos"/>
          <w:color w:val="000000" w:themeColor="text1"/>
        </w:rPr>
        <w:t xml:space="preserve">Health inequalities among ethnic minority populations in the UK persist despite the NHS’s universal healthcare provisions. These inequalities extend beyond disease prevalence to access, quality, patient experiences, and outcomes (Bogart et al., 2022). While Lewer et al. (2020) attribute these differences to socioeconomic deprivation, (see figure 1). </w:t>
      </w:r>
      <w:r w:rsidRPr="004D45B3">
        <w:rPr>
          <w:color w:val="000000" w:themeColor="text1"/>
        </w:rPr>
        <w:t xml:space="preserve">Figure 1 shows the relationship between socioeconomic inequality and mortality, illustrating how mortality varies according to levels of socioeconomic deprivation (Lewer </w:t>
      </w:r>
      <w:r w:rsidRPr="004D45B3">
        <w:rPr>
          <w:i/>
          <w:color w:val="000000" w:themeColor="text1"/>
        </w:rPr>
        <w:t>et al</w:t>
      </w:r>
      <w:r w:rsidRPr="004D45B3">
        <w:rPr>
          <w:color w:val="000000" w:themeColor="text1"/>
        </w:rPr>
        <w:t>., 2020). Furthermore</w:t>
      </w:r>
      <w:r w:rsidRPr="004D45B3">
        <w:rPr>
          <w:rFonts w:eastAsia="Aptos"/>
          <w:color w:val="000000" w:themeColor="text1"/>
        </w:rPr>
        <w:t>, Kisa and Kisa (2025) argue that structural racism and cultural injunctions also play a crucial role in creating disparities between these forces and institutional activities in healthcare systems. This debate suggests that health inequalities are multifaceted, arising from social, economic, and healthcare-related interactions.</w:t>
      </w:r>
    </w:p>
    <w:p w14:paraId="5741D0D9" w14:textId="77777777" w:rsidR="00BE776A" w:rsidRPr="004D45B3" w:rsidRDefault="0007681E">
      <w:pPr>
        <w:spacing w:before="280" w:after="14"/>
        <w:jc w:val="center"/>
        <w:rPr>
          <w:color w:val="000000" w:themeColor="text1"/>
        </w:rPr>
      </w:pPr>
      <w:r w:rsidRPr="004D45B3">
        <w:rPr>
          <w:noProof/>
          <w:color w:val="000000" w:themeColor="text1"/>
          <w:lang w:val="en-US" w:eastAsia="en-US"/>
        </w:rPr>
        <w:drawing>
          <wp:inline distT="0" distB="0" distL="0" distR="0" wp14:anchorId="6ACF00F3" wp14:editId="22646709">
            <wp:extent cx="4229099" cy="5480054"/>
            <wp:effectExtent l="0" t="0" r="1" b="6346"/>
            <wp:docPr id="16503564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229099" cy="5480054"/>
                    </a:xfrm>
                    <a:prstGeom prst="rect">
                      <a:avLst/>
                    </a:prstGeom>
                    <a:noFill/>
                    <a:ln>
                      <a:noFill/>
                      <a:prstDash/>
                    </a:ln>
                  </pic:spPr>
                </pic:pic>
              </a:graphicData>
            </a:graphic>
          </wp:inline>
        </w:drawing>
      </w:r>
      <w:r w:rsidRPr="004D45B3">
        <w:rPr>
          <w:rFonts w:eastAsia="Arial" w:cs="Arial"/>
          <w:color w:val="000000" w:themeColor="text1"/>
          <w:szCs w:val="24"/>
        </w:rPr>
        <w:t xml:space="preserve"> </w:t>
      </w:r>
    </w:p>
    <w:p w14:paraId="12F5F904" w14:textId="77777777" w:rsidR="00BE776A" w:rsidRPr="004D45B3" w:rsidRDefault="00BE776A">
      <w:pPr>
        <w:pStyle w:val="Heading4"/>
        <w:jc w:val="center"/>
        <w:rPr>
          <w:bCs/>
          <w:color w:val="000000" w:themeColor="text1"/>
          <w:sz w:val="22"/>
          <w:szCs w:val="21"/>
        </w:rPr>
      </w:pPr>
    </w:p>
    <w:p w14:paraId="367DEB1A" w14:textId="4B2DCAC2" w:rsidR="00C33A9F" w:rsidRPr="004D45B3" w:rsidRDefault="0007681E" w:rsidP="004D45B3">
      <w:pPr>
        <w:pStyle w:val="Heading4"/>
        <w:jc w:val="center"/>
        <w:rPr>
          <w:color w:val="000000" w:themeColor="text1"/>
        </w:rPr>
      </w:pPr>
      <w:bookmarkStart w:id="15" w:name="_Toc240899412"/>
      <w:r w:rsidRPr="004D45B3">
        <w:rPr>
          <w:bCs/>
          <w:color w:val="000000" w:themeColor="text1"/>
          <w:sz w:val="22"/>
          <w:szCs w:val="21"/>
        </w:rPr>
        <w:t xml:space="preserve">Figure 1: Mortality attributable to </w:t>
      </w:r>
      <w:r w:rsidRPr="004D45B3">
        <w:rPr>
          <w:bCs/>
          <w:i w:val="0"/>
          <w:iCs w:val="0"/>
          <w:color w:val="000000" w:themeColor="text1"/>
          <w:sz w:val="22"/>
          <w:szCs w:val="21"/>
        </w:rPr>
        <w:t>socioeconomic</w:t>
      </w:r>
      <w:r w:rsidRPr="004D45B3">
        <w:rPr>
          <w:bCs/>
          <w:color w:val="000000" w:themeColor="text1"/>
          <w:sz w:val="22"/>
          <w:szCs w:val="21"/>
        </w:rPr>
        <w:t xml:space="preserve"> inequality (Lewer et al., 2020)</w:t>
      </w:r>
      <w:bookmarkEnd w:id="15"/>
    </w:p>
    <w:p w14:paraId="2A6B02D5" w14:textId="3E35F17C" w:rsidR="00BE776A" w:rsidRPr="004D45B3" w:rsidRDefault="0007681E">
      <w:pPr>
        <w:spacing w:before="280" w:after="14"/>
        <w:rPr>
          <w:rFonts w:eastAsia="Arial" w:cs="Arial"/>
          <w:color w:val="000000" w:themeColor="text1"/>
          <w:szCs w:val="24"/>
        </w:rPr>
      </w:pPr>
      <w:r w:rsidRPr="004D45B3">
        <w:rPr>
          <w:rFonts w:eastAsia="Arial" w:cs="Arial"/>
          <w:color w:val="000000" w:themeColor="text1"/>
          <w:szCs w:val="24"/>
        </w:rPr>
        <w:t>The ethnic minority health disparities described by Churchwell et al. (2020) are linked to structural discrimination and socioeconomic disadvantage, particularly through differences in housing, education, employment and wider living conditions. The authors emphasise that these structural factors can shape health outcomes and contribute to unequal experiences among minority populations. However, as a narrative policy advisory rather than an empirical study, Churchwell et al. (2020) do not provide primary participant data to measure the extent of these disparities or establish the effectiveness of specific interventions. Similarly, Pandey et al. (2021) report that ethnic minority patients can experience healthcare that does not adequately address their cultural and linguistic needs, affecting accessibility and satisfaction. However, the available discussion does not specify a participant number or quantify the impact, limiting the strength of this evidence.</w:t>
      </w:r>
    </w:p>
    <w:p w14:paraId="0176419A" w14:textId="77777777" w:rsidR="00C33A9F" w:rsidRPr="004D45B3" w:rsidRDefault="00C33A9F">
      <w:pPr>
        <w:spacing w:before="280" w:after="14"/>
        <w:rPr>
          <w:rFonts w:eastAsia="Arial" w:cs="Arial"/>
          <w:color w:val="000000" w:themeColor="text1"/>
          <w:szCs w:val="24"/>
        </w:rPr>
      </w:pPr>
    </w:p>
    <w:p w14:paraId="665880F1" w14:textId="17B1221C" w:rsidR="00BE776A" w:rsidRPr="004D45B3" w:rsidRDefault="0007681E">
      <w:pPr>
        <w:spacing w:before="280" w:after="14"/>
        <w:rPr>
          <w:rFonts w:eastAsia="Arial" w:cs="Arial"/>
          <w:color w:val="000000" w:themeColor="text1"/>
          <w:szCs w:val="24"/>
        </w:rPr>
      </w:pPr>
      <w:r w:rsidRPr="004D45B3">
        <w:rPr>
          <w:rFonts w:eastAsia="Arial" w:cs="Arial"/>
          <w:color w:val="000000" w:themeColor="text1"/>
          <w:szCs w:val="24"/>
        </w:rPr>
        <w:t>Healthcare utilisation also differs across ethnic minority populations. Alba et al. (2024) report that discrimination and mistrust of healthcare professionals can discourage ethnic minority patients from using preventive healthcare or can contribute to delayed treatment. However, the available evidence does not clearly identify a specific ethnic group, so this finding should be interpreted as applying to ethnic minority populations generally. In contrast, Kale et al. (2023) identify community outreach, culturally sensitive communication and collaboration with trusted community organisations as approaches that can improve healthcare engagement and address barriers to service use.</w:t>
      </w:r>
    </w:p>
    <w:p w14:paraId="36AAD55E" w14:textId="77777777" w:rsidR="00C33A9F" w:rsidRPr="004D45B3" w:rsidRDefault="00C33A9F">
      <w:pPr>
        <w:spacing w:before="280" w:after="14"/>
        <w:rPr>
          <w:rFonts w:eastAsia="Arial" w:cs="Arial"/>
          <w:color w:val="000000" w:themeColor="text1"/>
          <w:szCs w:val="24"/>
        </w:rPr>
      </w:pPr>
    </w:p>
    <w:p w14:paraId="6C57818A" w14:textId="30BF519E" w:rsidR="00BE776A" w:rsidRPr="004D45B3" w:rsidRDefault="0007681E">
      <w:pPr>
        <w:spacing w:before="280" w:after="14"/>
        <w:rPr>
          <w:color w:val="000000" w:themeColor="text1"/>
        </w:rPr>
      </w:pPr>
      <w:r w:rsidRPr="004D45B3">
        <w:rPr>
          <w:rFonts w:eastAsia="Arial" w:cs="Arial"/>
          <w:color w:val="000000" w:themeColor="text1"/>
          <w:szCs w:val="24"/>
        </w:rPr>
        <w:t xml:space="preserve">NHS England identifies ethnic minority communities as a priority population under Core20PLUS5 because of continuing disparities across areas including maternity care, mental health, cancer and cardiovascular care (Elliott </w:t>
      </w:r>
      <w:r w:rsidRPr="004D45B3">
        <w:rPr>
          <w:rFonts w:eastAsia="Arial" w:cs="Arial"/>
          <w:i/>
          <w:color w:val="000000" w:themeColor="text1"/>
          <w:szCs w:val="24"/>
        </w:rPr>
        <w:t>et al</w:t>
      </w:r>
      <w:r w:rsidRPr="004D45B3">
        <w:rPr>
          <w:rFonts w:eastAsia="Arial" w:cs="Arial"/>
          <w:color w:val="000000" w:themeColor="text1"/>
          <w:szCs w:val="24"/>
        </w:rPr>
        <w:t>., 2025). Furthermore, García and Thomas (2024) reported that areas with the highest proportions of ethnic minority residents had 34 GPs per 100,000 population, around 29 fewer than areas with predominantly White British populations. This indicates an area-level difference in the availability of primary healthcare services.</w:t>
      </w:r>
    </w:p>
    <w:p w14:paraId="6B492B00" w14:textId="77777777" w:rsidR="00C33A9F" w:rsidRPr="004D45B3" w:rsidRDefault="00C33A9F">
      <w:pPr>
        <w:pStyle w:val="Heading3"/>
        <w:jc w:val="left"/>
        <w:rPr>
          <w:rFonts w:ascii="Aptos Display" w:hAnsi="Aptos Display"/>
          <w:b/>
          <w:bCs/>
          <w:color w:val="000000" w:themeColor="text1"/>
        </w:rPr>
      </w:pPr>
    </w:p>
    <w:p w14:paraId="74118783" w14:textId="52C85A9D" w:rsidR="00BE776A" w:rsidRPr="004D45B3" w:rsidRDefault="0007681E">
      <w:pPr>
        <w:pStyle w:val="Heading3"/>
        <w:jc w:val="left"/>
        <w:rPr>
          <w:color w:val="000000" w:themeColor="text1"/>
        </w:rPr>
      </w:pPr>
      <w:bookmarkStart w:id="16" w:name="_Toc241190006"/>
      <w:r w:rsidRPr="004D45B3">
        <w:rPr>
          <w:rFonts w:ascii="Aptos Display" w:hAnsi="Aptos Display"/>
          <w:b/>
          <w:bCs/>
          <w:color w:val="000000" w:themeColor="text1"/>
        </w:rPr>
        <w:t>2.4 How culturally competent care can help reduce health inequalities among ethnic minorities</w:t>
      </w:r>
      <w:bookmarkEnd w:id="16"/>
    </w:p>
    <w:p w14:paraId="5F889A82" w14:textId="77777777"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Joo and Liu (2020) suggest that culturally customised interventions can improve the context of healthcare provision and interaction with cultural minorities. However, the impact on their long-term health outcomes is incomparable unless accompanied by organisational or structural modifications. Consequently, Takeshita et al. (2020) emphasise that the effectiveness of culturally competent care should be measured not only in terms of patient satisfaction but also its impact on enhancing equity in healthcare access clinical outcomes and service utilisation.</w:t>
      </w:r>
    </w:p>
    <w:p w14:paraId="64BDBA2D"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169C590D" w14:textId="342AB064"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Similarly, Lauwers et al. (2024) in their systematic review concluded that culturally responsive interventions such as language support and shared decision-making consistently improve healthcare experiences for diverse populations. However, the review was limited to studies conducted in Western (OECD) healthcare settings which may restrict the generalisability of its findings to non-Western contexts.</w:t>
      </w:r>
    </w:p>
    <w:p w14:paraId="4F35B521"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071109D0" w14:textId="5D9C45FC" w:rsidR="00BE776A" w:rsidRPr="004D45B3" w:rsidRDefault="0007681E">
      <w:pPr>
        <w:spacing w:before="280" w:after="14"/>
        <w:rPr>
          <w:color w:val="000000" w:themeColor="text1"/>
        </w:rPr>
      </w:pPr>
      <w:proofErr w:type="spellStart"/>
      <w:r w:rsidRPr="004D45B3">
        <w:rPr>
          <w:rFonts w:ascii="Helvetica" w:eastAsia="Aptos" w:hAnsi="Helvetica" w:cs="Helvetica"/>
          <w:color w:val="000000" w:themeColor="text1"/>
          <w:kern w:val="0"/>
          <w:szCs w:val="24"/>
          <w:lang w:eastAsia="en-US"/>
        </w:rPr>
        <w:t>Pisavadia</w:t>
      </w:r>
      <w:proofErr w:type="spellEnd"/>
      <w:r w:rsidRPr="004D45B3">
        <w:rPr>
          <w:rFonts w:ascii="Helvetica" w:eastAsia="Aptos" w:hAnsi="Helvetica" w:cs="Helvetica"/>
          <w:color w:val="000000" w:themeColor="text1"/>
          <w:kern w:val="0"/>
          <w:szCs w:val="24"/>
          <w:lang w:eastAsia="en-US"/>
        </w:rPr>
        <w:t xml:space="preserve"> et al. (2025) argue that culturally competent interventions do not directly impact the reduction of health inequalities as most studies measure short-term behavioural outcomes rather than long-term population-level health improvement. Similarly, Antón-Solanas et al. (2022) suggest that cultural competence training is a common educational challenge for healthcare organisations. However, without organisational reforms, it also limits their capacity to combat institutional discrimination and unequal resource distribution. An environmental scan by Doherty et al. (2021) demonstrates that culturally competent care can be more effective when integrated into broader organisational approaches such as leadership dedication, workforce diversity, communal collaboration and justifiable service design. These perspectives imply that cultural competence should be an organisational-wide approach rather than a clinical competence on an individual basis.</w:t>
      </w:r>
    </w:p>
    <w:p w14:paraId="7857C9C3" w14:textId="77777777" w:rsidR="00C33A9F" w:rsidRPr="004D45B3" w:rsidRDefault="00C33A9F">
      <w:pPr>
        <w:spacing w:before="280" w:after="14"/>
        <w:rPr>
          <w:rFonts w:eastAsia="Arial" w:cs="Arial"/>
          <w:color w:val="000000" w:themeColor="text1"/>
          <w:szCs w:val="24"/>
        </w:rPr>
      </w:pPr>
    </w:p>
    <w:p w14:paraId="33B22BFB" w14:textId="5A7291FF" w:rsidR="00BE776A" w:rsidRPr="004D45B3" w:rsidRDefault="0007681E">
      <w:pPr>
        <w:spacing w:before="280" w:after="14"/>
        <w:rPr>
          <w:rFonts w:eastAsia="Arial" w:cs="Arial"/>
          <w:color w:val="000000" w:themeColor="text1"/>
          <w:szCs w:val="24"/>
        </w:rPr>
      </w:pPr>
      <w:r w:rsidRPr="004D45B3">
        <w:rPr>
          <w:rFonts w:eastAsia="Arial" w:cs="Arial"/>
          <w:color w:val="000000" w:themeColor="text1"/>
          <w:szCs w:val="24"/>
        </w:rPr>
        <w:t>The Core20PLUS5 programme represents a recent UK policy approach to reducing healthcare inequalities, with ethnic minority communities identified among the priority populations requiring targeted action. The framework supports culturally responsive care by encouraging healthcare services to adapt pathways and interventions to the needs of underserved groups, particularly across maternity care, mental health, cardiovascular disease and early cancer diagnosis (Gardner et al., 2024). By identifying groups experiencing poorer outcomes and directing services towards priority clinical areas, Core20PLUS5 can support more equitable access to screening, prevention, treatment and ongoing care. The framework is also relevant to Integrated Care Systems (ICSs), which bring together NHS organisations, local authorities and other partners within defined geographical areas to plan and coordinate healthcare services (Pawson et al., 2026). Within these systems, identifying ethnic minority communities as priority populations can encourage culturally appropriate pathways and coordinated interventions that address differences in access and health outcomes.</w:t>
      </w:r>
    </w:p>
    <w:p w14:paraId="7EBD39BA" w14:textId="77777777" w:rsidR="00C33A9F" w:rsidRPr="004D45B3" w:rsidRDefault="00C33A9F">
      <w:pPr>
        <w:pStyle w:val="Heading3"/>
        <w:rPr>
          <w:rFonts w:ascii="Aptos Display" w:hAnsi="Aptos Display"/>
          <w:b/>
          <w:bCs/>
          <w:color w:val="000000" w:themeColor="text1"/>
        </w:rPr>
      </w:pPr>
    </w:p>
    <w:p w14:paraId="554E1798" w14:textId="5AE42DC8" w:rsidR="00BE776A" w:rsidRPr="004D45B3" w:rsidRDefault="0007681E">
      <w:pPr>
        <w:pStyle w:val="Heading3"/>
        <w:rPr>
          <w:color w:val="000000" w:themeColor="text1"/>
        </w:rPr>
      </w:pPr>
      <w:bookmarkStart w:id="17" w:name="_Toc241190007"/>
      <w:r w:rsidRPr="004D45B3">
        <w:rPr>
          <w:rFonts w:ascii="Aptos Display" w:hAnsi="Aptos Display"/>
          <w:b/>
          <w:bCs/>
          <w:color w:val="000000" w:themeColor="text1"/>
        </w:rPr>
        <w:t>2.5 Barriers influencing implementation within the UK</w:t>
      </w:r>
      <w:bookmarkEnd w:id="17"/>
    </w:p>
    <w:p w14:paraId="3BA83FA9" w14:textId="77777777" w:rsidR="004D45B3" w:rsidRDefault="0007681E">
      <w:pPr>
        <w:spacing w:before="280" w:after="14"/>
        <w:rPr>
          <w:rFonts w:eastAsia="Arial" w:cs="Arial"/>
          <w:color w:val="000000" w:themeColor="text1"/>
          <w:szCs w:val="24"/>
        </w:rPr>
      </w:pPr>
      <w:r w:rsidRPr="004D45B3">
        <w:rPr>
          <w:rFonts w:eastAsia="Arial" w:cs="Arial"/>
          <w:color w:val="000000" w:themeColor="text1"/>
          <w:szCs w:val="24"/>
        </w:rPr>
        <w:t>Although the concept of culturally competent care (CCC) has gained momentum in response to health inequalities, its implementation across the UK healthcare sector continues to face organisational, professional and structural barriers. These include limited cultural competence training, language and communication difficulties, stereotyping and insufficient organisational support for culturally responsive practice (Antón-Solanas et al., 2022). UK policies, including the Equality Act 2010 and NHS England’s Core20PLUS5 approach, require healthcare organisations to address discrimination, promote equality and reduce inequalities in access and outcomes. However, translating these requirements into consistent clinical practice remains challenging.</w:t>
      </w:r>
    </w:p>
    <w:p w14:paraId="31A33AF2" w14:textId="77777777" w:rsidR="004D45B3" w:rsidRDefault="004D45B3">
      <w:pPr>
        <w:spacing w:before="280" w:after="14"/>
        <w:rPr>
          <w:rFonts w:eastAsia="Arial" w:cs="Arial"/>
          <w:color w:val="000000" w:themeColor="text1"/>
          <w:szCs w:val="24"/>
        </w:rPr>
      </w:pPr>
    </w:p>
    <w:p w14:paraId="2FEC1323" w14:textId="409F12DB" w:rsidR="00BE776A" w:rsidRPr="004D45B3" w:rsidRDefault="0007681E">
      <w:pPr>
        <w:spacing w:before="280" w:after="14"/>
        <w:rPr>
          <w:color w:val="000000" w:themeColor="text1"/>
        </w:rPr>
      </w:pPr>
      <w:r w:rsidRPr="004D45B3">
        <w:rPr>
          <w:rFonts w:eastAsia="Arial" w:cs="Arial"/>
          <w:color w:val="000000" w:themeColor="text1"/>
          <w:szCs w:val="24"/>
        </w:rPr>
        <w:t xml:space="preserve"> A significant barrier is limited education and professional development in cultural competence. Antón-Solanas et al. (2022) found that nurses identified inadequate training, ethnocentrism, prejudice and stereotyping as challenges to culturally competent care. </w:t>
      </w:r>
      <w:r w:rsidRPr="004D45B3">
        <w:rPr>
          <w:rFonts w:ascii="Helvetica" w:eastAsia="Aptos" w:hAnsi="Helvetica" w:cs="Helvetica"/>
          <w:color w:val="000000" w:themeColor="text1"/>
          <w:kern w:val="0"/>
          <w:szCs w:val="24"/>
          <w:lang w:eastAsia="en-US"/>
        </w:rPr>
        <w:t>Conversely, Wood et al. (2021) argue that no significant change can be realised in investing in training alone when organisations that contribute to the learning process based on leadership and accountability and ongoing professional development are absent. This analogy demonstrates that workforce education is only one aspect of successful implementation and is not a solution in itself (Kirschner and Stoyanov, 2020).</w:t>
      </w:r>
    </w:p>
    <w:p w14:paraId="487C0DD1"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361CEDFA" w14:textId="3AECB5CF" w:rsidR="00BE776A" w:rsidRPr="004D45B3" w:rsidRDefault="0007681E">
      <w:pPr>
        <w:spacing w:before="280" w:after="14"/>
        <w:rPr>
          <w:rFonts w:ascii="Helvetica" w:eastAsia="Aptos" w:hAnsi="Helvetica" w:cs="Helvetica"/>
          <w:color w:val="000000" w:themeColor="text1"/>
          <w:kern w:val="0"/>
          <w:szCs w:val="24"/>
          <w:lang w:eastAsia="en-US"/>
        </w:rPr>
      </w:pPr>
      <w:r w:rsidRPr="004D45B3">
        <w:rPr>
          <w:rFonts w:ascii="Helvetica" w:eastAsia="Aptos" w:hAnsi="Helvetica" w:cs="Helvetica"/>
          <w:color w:val="000000" w:themeColor="text1"/>
          <w:kern w:val="0"/>
          <w:szCs w:val="24"/>
          <w:lang w:eastAsia="en-US"/>
        </w:rPr>
        <w:t>Significant challenges related to institutional policies and organisational culture have their own implications. For example, Hughes et al. (2020) found that operational efficiency, performance targets and resource management are central to healthcare organisations at the expense of culturally individualised care. This results in clinicians having limited time to customise services in response to patients’ cultural requirements. Conversely, Yu et al. (2024) argue that organisations that uphold the principles of inclusive leadership workforce diversity and culturally responsive governance experience a more sustainable implementation. This is because the concept of cultural competence would be integrated into organisational decision-making processes rather than being a clinical task handled in isolation. These contrasting views suggest that organisational commitment is a key factor in the success of implementation strategies.</w:t>
      </w:r>
    </w:p>
    <w:p w14:paraId="660514FE"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0EE25E59" w14:textId="29A625CE"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Resource constraints and barriers expected, as per a scoping review by Khatri and Assefa (2022). The lack of funding, staffing and the increasing demand for information services typically leads to fewer opportunities to offer interpreters community-participation programmes and continuous cultural competency training. However, the authors acknowledge that the thematic synthesis may have overlooked the detailed findings and unique experiences of specific CALD subgroups. Nevertheless, Rogers et al. (2021) assert that financial constraints should not be perceived as the sole barrier and that without effective organisational planning and fragmented policy implementation, existing resources are rarely used effectively.</w:t>
      </w:r>
    </w:p>
    <w:p w14:paraId="54CFD4E2" w14:textId="77777777" w:rsidR="00C33A9F" w:rsidRPr="004D45B3" w:rsidRDefault="00C33A9F">
      <w:pPr>
        <w:rPr>
          <w:rFonts w:ascii="Helvetica" w:eastAsia="Aptos" w:hAnsi="Helvetica" w:cs="Helvetica"/>
          <w:color w:val="000000" w:themeColor="text1"/>
          <w:kern w:val="0"/>
          <w:lang w:eastAsia="en-US"/>
        </w:rPr>
      </w:pPr>
    </w:p>
    <w:p w14:paraId="1D4A3D99" w14:textId="134F51D5" w:rsidR="00BE776A" w:rsidRPr="004D45B3" w:rsidRDefault="0007681E">
      <w:pPr>
        <w:rPr>
          <w:rFonts w:ascii="Times New Roman" w:hAnsi="Times New Roman"/>
          <w:color w:val="000000" w:themeColor="text1"/>
          <w:kern w:val="0"/>
          <w:lang w:val="en-US" w:eastAsia="en-US"/>
        </w:rPr>
      </w:pPr>
      <w:r w:rsidRPr="004D45B3">
        <w:rPr>
          <w:rFonts w:ascii="Helvetica" w:eastAsia="Aptos" w:hAnsi="Helvetica" w:cs="Helvetica"/>
          <w:color w:val="000000" w:themeColor="text1"/>
          <w:kern w:val="0"/>
          <w:lang w:eastAsia="en-US"/>
        </w:rPr>
        <w:t xml:space="preserve">A further obstacle lies in the potential lack of patient and community involvement in healthcare planning. </w:t>
      </w:r>
      <w:r w:rsidRPr="004D45B3">
        <w:rPr>
          <w:rFonts w:eastAsia="Arial"/>
          <w:color w:val="000000" w:themeColor="text1"/>
        </w:rPr>
        <w:t xml:space="preserve">Though healthcare organisations are paying increased attention to the significance of a patient-centred approach, Lauwers </w:t>
      </w:r>
      <w:r w:rsidRPr="004D45B3">
        <w:rPr>
          <w:rFonts w:eastAsia="Arial"/>
          <w:i/>
          <w:iCs/>
          <w:color w:val="000000" w:themeColor="text1"/>
        </w:rPr>
        <w:t>et al.</w:t>
      </w:r>
      <w:r w:rsidRPr="004D45B3">
        <w:rPr>
          <w:rFonts w:eastAsia="Arial"/>
          <w:color w:val="000000" w:themeColor="text1"/>
        </w:rPr>
        <w:t xml:space="preserve"> (2024) argue that a considerable number of culturally competent interventions remain planned based on the institutional viewpoint instead of a real partnership with ethnic minority groups such</w:t>
      </w:r>
      <w:r w:rsidR="000B596F" w:rsidRPr="004D45B3">
        <w:rPr>
          <w:rFonts w:eastAsia="Arial"/>
          <w:color w:val="000000" w:themeColor="text1"/>
        </w:rPr>
        <w:t xml:space="preserve"> as Black African, Black Caribbean, Indian, Pakistani and Bangladeshi communities.</w:t>
      </w:r>
      <w:r w:rsidRPr="004D45B3">
        <w:rPr>
          <w:rFonts w:eastAsia="Arial"/>
          <w:color w:val="000000" w:themeColor="text1"/>
        </w:rPr>
        <w:t xml:space="preserve"> This leads to decreased cultural applicability and acceptability of interventions. Nevertheless, Albert</w:t>
      </w:r>
      <w:r w:rsidRPr="004D45B3">
        <w:rPr>
          <w:rFonts w:eastAsia="Arial"/>
          <w:i/>
          <w:iCs/>
          <w:color w:val="000000" w:themeColor="text1"/>
        </w:rPr>
        <w:t xml:space="preserve"> et al. </w:t>
      </w:r>
      <w:r w:rsidRPr="004D45B3">
        <w:rPr>
          <w:rFonts w:eastAsia="Arial"/>
          <w:color w:val="000000" w:themeColor="text1"/>
        </w:rPr>
        <w:t xml:space="preserve">(2023) also indicate that co-production among the community organisations, patients and health providers leads to more trust, responsiveness to the service and long-term successful implementation. Therefore, a united workforce development, organisational leadership, polytheistic integration of policies, and community-based collaboration are essential in a sustainable implementation of culturally competent healthcare </w:t>
      </w:r>
      <w:r w:rsidRPr="004D45B3">
        <w:rPr>
          <w:rFonts w:ascii="Times New Roman" w:hAnsi="Times New Roman"/>
          <w:color w:val="000000" w:themeColor="text1"/>
          <w:kern w:val="0"/>
          <w:lang w:val="en-US" w:eastAsia="en-US"/>
        </w:rPr>
        <w:t>(</w:t>
      </w:r>
      <w:r w:rsidRPr="004D45B3">
        <w:rPr>
          <w:color w:val="000000" w:themeColor="text1"/>
        </w:rPr>
        <w:t>Marques</w:t>
      </w:r>
      <w:r w:rsidRPr="004D45B3">
        <w:rPr>
          <w:rFonts w:ascii="Times New Roman" w:hAnsi="Times New Roman"/>
          <w:color w:val="000000" w:themeColor="text1"/>
          <w:kern w:val="0"/>
          <w:lang w:val="en-US" w:eastAsia="en-US"/>
        </w:rPr>
        <w:t xml:space="preserve">, </w:t>
      </w:r>
      <w:r w:rsidRPr="004D45B3">
        <w:rPr>
          <w:color w:val="000000" w:themeColor="text1"/>
        </w:rPr>
        <w:t>2026</w:t>
      </w:r>
      <w:r w:rsidRPr="004D45B3">
        <w:rPr>
          <w:rFonts w:ascii="Times New Roman" w:hAnsi="Times New Roman"/>
          <w:color w:val="000000" w:themeColor="text1"/>
          <w:kern w:val="0"/>
          <w:lang w:val="en-US" w:eastAsia="en-US"/>
        </w:rPr>
        <w:t>).</w:t>
      </w:r>
    </w:p>
    <w:p w14:paraId="1D0A9DF7" w14:textId="77777777" w:rsidR="00C33A9F" w:rsidRPr="004D45B3" w:rsidRDefault="00C33A9F">
      <w:pPr>
        <w:rPr>
          <w:color w:val="000000" w:themeColor="text1"/>
        </w:rPr>
      </w:pPr>
    </w:p>
    <w:p w14:paraId="4429D213" w14:textId="77777777" w:rsidR="00BE776A" w:rsidRPr="004D45B3" w:rsidRDefault="0007681E">
      <w:pPr>
        <w:pStyle w:val="Heading3"/>
        <w:rPr>
          <w:color w:val="000000" w:themeColor="text1"/>
        </w:rPr>
      </w:pPr>
      <w:bookmarkStart w:id="18" w:name="_Toc241190008"/>
      <w:r w:rsidRPr="004D45B3">
        <w:rPr>
          <w:rFonts w:ascii="Aptos Display" w:hAnsi="Aptos Display"/>
          <w:b/>
          <w:bCs/>
          <w:color w:val="000000" w:themeColor="text1"/>
        </w:rPr>
        <w:t>2.6 Facilitators influencing implementation within the UK</w:t>
      </w:r>
      <w:bookmarkEnd w:id="18"/>
    </w:p>
    <w:p w14:paraId="587087F3" w14:textId="4DCB01B2" w:rsidR="00BE776A" w:rsidRPr="004D45B3" w:rsidRDefault="0007681E">
      <w:pPr>
        <w:spacing w:before="280" w:after="14"/>
        <w:rPr>
          <w:rFonts w:ascii="Helvetica" w:eastAsia="Aptos" w:hAnsi="Helvetica" w:cs="Helvetica"/>
          <w:color w:val="000000" w:themeColor="text1"/>
          <w:kern w:val="0"/>
          <w:szCs w:val="24"/>
          <w:lang w:eastAsia="en-US"/>
        </w:rPr>
      </w:pPr>
      <w:r w:rsidRPr="004D45B3">
        <w:rPr>
          <w:rFonts w:ascii="Helvetica" w:eastAsia="Aptos" w:hAnsi="Helvetica" w:cs="Helvetica"/>
          <w:color w:val="000000" w:themeColor="text1"/>
          <w:kern w:val="0"/>
          <w:szCs w:val="24"/>
          <w:lang w:eastAsia="en-US"/>
        </w:rPr>
        <w:t>The successful implementation of culturally competent healthcare (CCH) in the UK depends on numerous organisational, professional and communication-level facilitators that would enable healthcare services to meet the needs of ethnically diverse groups effectively. While Vandecasteele et al. (2024) agree that culturally competent care can reduce healthcare inequalities, they disagree on the factors most impacting its implementation.</w:t>
      </w:r>
      <w:r w:rsidR="00634BD0" w:rsidRPr="004D45B3">
        <w:rPr>
          <w:rFonts w:ascii="Helvetica" w:eastAsia="Aptos" w:hAnsi="Helvetica" w:cs="Helvetica"/>
          <w:color w:val="000000" w:themeColor="text1"/>
          <w:kern w:val="0"/>
          <w:szCs w:val="24"/>
          <w:lang w:eastAsia="en-US"/>
        </w:rPr>
        <w:t xml:space="preserve"> </w:t>
      </w:r>
      <w:r w:rsidR="00634BD0" w:rsidRPr="004D45B3">
        <w:rPr>
          <w:rFonts w:eastAsia="Arial" w:cs="Arial"/>
          <w:color w:val="000000" w:themeColor="text1"/>
          <w:szCs w:val="24"/>
        </w:rPr>
        <w:t>Whereas</w:t>
      </w:r>
      <w:r w:rsidRPr="004D45B3">
        <w:rPr>
          <w:rFonts w:eastAsia="Arial" w:cs="Arial"/>
          <w:color w:val="000000" w:themeColor="text1"/>
          <w:szCs w:val="24"/>
        </w:rPr>
        <w:t xml:space="preserve"> </w:t>
      </w:r>
      <w:r w:rsidRPr="004D45B3">
        <w:rPr>
          <w:rFonts w:ascii="Helvetica" w:eastAsia="Aptos" w:hAnsi="Helvetica" w:cs="Helvetica"/>
          <w:color w:val="000000" w:themeColor="text1"/>
          <w:kern w:val="0"/>
          <w:szCs w:val="24"/>
          <w:lang w:eastAsia="en-US"/>
        </w:rPr>
        <w:t>Moore et al. (2023) suggest that Integrated Care Systems, organisational leadership and collaborative governance may be crucial to achieving sustainable improvements (see figure 2). The figure shows how Integrated Care Systems (ICSs) coordinate NHS organisations, local authorities and community partners through integrated care boards and partnerships to plan and deliver healthcare services across different geographical levels.</w:t>
      </w:r>
    </w:p>
    <w:p w14:paraId="701C6B96" w14:textId="323BCA96" w:rsidR="00BE776A" w:rsidRPr="004D45B3" w:rsidRDefault="00A412A9">
      <w:pPr>
        <w:spacing w:before="280" w:after="14"/>
        <w:jc w:val="center"/>
        <w:rPr>
          <w:color w:val="000000" w:themeColor="text1"/>
        </w:rPr>
      </w:pPr>
      <w:r w:rsidRPr="004D45B3">
        <w:rPr>
          <w:rFonts w:eastAsia="Arial" w:cs="Arial"/>
          <w:noProof/>
          <w:color w:val="000000" w:themeColor="text1"/>
          <w:szCs w:val="24"/>
        </w:rPr>
        <w:drawing>
          <wp:inline distT="0" distB="0" distL="0" distR="0" wp14:anchorId="3AD7A925" wp14:editId="6BB4980E">
            <wp:extent cx="5731510" cy="3524885"/>
            <wp:effectExtent l="0" t="0" r="2540" b="0"/>
            <wp:docPr id="1445394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394897" name=""/>
                    <pic:cNvPicPr/>
                  </pic:nvPicPr>
                  <pic:blipFill>
                    <a:blip r:embed="rId9"/>
                    <a:stretch>
                      <a:fillRect/>
                    </a:stretch>
                  </pic:blipFill>
                  <pic:spPr>
                    <a:xfrm>
                      <a:off x="0" y="0"/>
                      <a:ext cx="5731510" cy="3524885"/>
                    </a:xfrm>
                    <a:prstGeom prst="rect">
                      <a:avLst/>
                    </a:prstGeom>
                  </pic:spPr>
                </pic:pic>
              </a:graphicData>
            </a:graphic>
          </wp:inline>
        </w:drawing>
      </w:r>
      <w:r w:rsidRPr="004D45B3">
        <w:rPr>
          <w:rFonts w:eastAsia="Arial" w:cs="Arial"/>
          <w:color w:val="000000" w:themeColor="text1"/>
          <w:szCs w:val="24"/>
        </w:rPr>
        <w:t xml:space="preserve"> </w:t>
      </w:r>
    </w:p>
    <w:p w14:paraId="66D774EE" w14:textId="37DC1081" w:rsidR="00C33A9F" w:rsidRPr="004D45B3" w:rsidRDefault="0032671A" w:rsidP="000B596F">
      <w:pPr>
        <w:pStyle w:val="Heading4"/>
        <w:jc w:val="center"/>
        <w:rPr>
          <w:color w:val="000000" w:themeColor="text1"/>
        </w:rPr>
      </w:pPr>
      <w:bookmarkStart w:id="19" w:name="_Toc240899413"/>
      <w:r w:rsidRPr="004D45B3">
        <w:rPr>
          <w:bCs/>
          <w:color w:val="000000" w:themeColor="text1"/>
          <w:sz w:val="22"/>
          <w:szCs w:val="21"/>
        </w:rPr>
        <w:t>Figure 2: Integrated Care Systems (Moore et al., 2023)</w:t>
      </w:r>
      <w:bookmarkEnd w:id="19"/>
      <w:r w:rsidRPr="004D45B3">
        <w:rPr>
          <w:bCs/>
          <w:color w:val="000000" w:themeColor="text1"/>
          <w:sz w:val="22"/>
          <w:szCs w:val="21"/>
        </w:rPr>
        <w:t xml:space="preserve"> </w:t>
      </w:r>
    </w:p>
    <w:p w14:paraId="416AD5B2" w14:textId="1E8CD9E8" w:rsidR="00C33A9F"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A study by Sanyal (2024) suggests that effective leadership and organisational commitment facilitate this process.  Yu et al. (2024) further believe inclusive leadership can promote the integration of cultural competence within healthcare organisations’ strategic planning clinical governance and quality improvement processes.</w:t>
      </w:r>
      <w:r w:rsidR="00634BD0" w:rsidRPr="004D45B3">
        <w:rPr>
          <w:color w:val="000000" w:themeColor="text1"/>
        </w:rPr>
        <w:t xml:space="preserve"> </w:t>
      </w:r>
      <w:r w:rsidRPr="004D45B3">
        <w:rPr>
          <w:rFonts w:eastAsia="Arial" w:cs="Arial"/>
          <w:color w:val="000000" w:themeColor="text1"/>
          <w:szCs w:val="24"/>
        </w:rPr>
        <w:t xml:space="preserve">Conversely, </w:t>
      </w:r>
      <w:proofErr w:type="spellStart"/>
      <w:r w:rsidRPr="004D45B3">
        <w:rPr>
          <w:rFonts w:eastAsia="Arial" w:cs="Arial"/>
          <w:color w:val="000000" w:themeColor="text1"/>
          <w:szCs w:val="24"/>
        </w:rPr>
        <w:t>Pelasoja</w:t>
      </w:r>
      <w:proofErr w:type="spellEnd"/>
      <w:r w:rsidRPr="004D45B3">
        <w:rPr>
          <w:rFonts w:eastAsia="Arial" w:cs="Arial"/>
          <w:color w:val="000000" w:themeColor="text1"/>
          <w:szCs w:val="24"/>
        </w:rPr>
        <w:t xml:space="preserve"> et al. (2025) highlight that proactive leaders who promote equality and diversity can foster organisational cultures in which culturally responsive practice becomes a continuous approach to supporting culturally and linguistically diverse healthcare workers, rather than an optional practice. Continuous workforce education and professional development are another crucial facilitator. For instance, the WHO, (2022) assert that ongoing training related to cultural competence enables medical professionals to become more competent in their intercultural communication, perceive unconscious bias, and provide more people-centred care. </w:t>
      </w:r>
    </w:p>
    <w:p w14:paraId="54732CA1" w14:textId="6D71CA4D"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However, Lupton and Leahy (2021) argue that training programmes should be conducted in an aesthetic and reflective environment with teamwork by a multidisciplinary team rather than individual educational programmes. They contend that long-term learning opportunities are more effective in promoting behaviour change than traditional classroom methods. Consequently, healthcare careers should not be viewed as a one-time training requirement but should instead incorporate continuous professional development.</w:t>
      </w:r>
    </w:p>
    <w:p w14:paraId="7F36FDE0"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61840B9B" w14:textId="6A95AD53" w:rsidR="00BE776A" w:rsidRPr="004D45B3" w:rsidRDefault="0007681E">
      <w:pPr>
        <w:spacing w:before="280" w:after="14"/>
        <w:rPr>
          <w:rFonts w:ascii="Helvetica" w:eastAsia="Aptos" w:hAnsi="Helvetica" w:cs="Helvetica"/>
          <w:color w:val="000000" w:themeColor="text1"/>
          <w:kern w:val="0"/>
          <w:szCs w:val="24"/>
          <w:lang w:eastAsia="en-US"/>
        </w:rPr>
      </w:pPr>
      <w:r w:rsidRPr="004D45B3">
        <w:rPr>
          <w:rFonts w:ascii="Helvetica" w:eastAsia="Aptos" w:hAnsi="Helvetica" w:cs="Helvetica"/>
          <w:color w:val="000000" w:themeColor="text1"/>
          <w:kern w:val="0"/>
          <w:szCs w:val="24"/>
          <w:lang w:eastAsia="en-US"/>
        </w:rPr>
        <w:t>The engagement of ethnic minority groups in cooperative activities is also considered a strong facilitator. For example, Pedersen et al. (2021) used seven databases to suggest that it is the involvement of patients in planning and designing services community leaders’ voluntary organisations and advocacy groups that makes healthcare interventions more culturally relevant accessible and usable.</w:t>
      </w:r>
      <w:r w:rsidRPr="004D45B3">
        <w:rPr>
          <w:rFonts w:eastAsia="Arial" w:cs="Arial"/>
          <w:color w:val="000000" w:themeColor="text1"/>
          <w:szCs w:val="24"/>
        </w:rPr>
        <w:br/>
      </w:r>
      <w:r w:rsidRPr="004D45B3">
        <w:rPr>
          <w:rFonts w:ascii="Helvetica" w:eastAsia="Aptos" w:hAnsi="Helvetica" w:cs="Helvetica"/>
          <w:color w:val="000000" w:themeColor="text1"/>
          <w:kern w:val="0"/>
          <w:szCs w:val="24"/>
          <w:lang w:eastAsia="en-US"/>
        </w:rPr>
        <w:t xml:space="preserve">Furthermore, </w:t>
      </w:r>
      <w:proofErr w:type="spellStart"/>
      <w:r w:rsidRPr="004D45B3">
        <w:rPr>
          <w:rFonts w:ascii="Helvetica" w:eastAsia="Aptos" w:hAnsi="Helvetica" w:cs="Helvetica"/>
          <w:color w:val="000000" w:themeColor="text1"/>
          <w:kern w:val="0"/>
          <w:szCs w:val="24"/>
          <w:lang w:eastAsia="en-US"/>
        </w:rPr>
        <w:t>Mthembu</w:t>
      </w:r>
      <w:proofErr w:type="spellEnd"/>
      <w:r w:rsidRPr="004D45B3">
        <w:rPr>
          <w:rFonts w:ascii="Helvetica" w:eastAsia="Aptos" w:hAnsi="Helvetica" w:cs="Helvetica"/>
          <w:color w:val="000000" w:themeColor="text1"/>
          <w:kern w:val="0"/>
          <w:szCs w:val="24"/>
          <w:lang w:eastAsia="en-US"/>
        </w:rPr>
        <w:t xml:space="preserve"> and </w:t>
      </w:r>
      <w:proofErr w:type="spellStart"/>
      <w:r w:rsidRPr="004D45B3">
        <w:rPr>
          <w:rFonts w:ascii="Helvetica" w:eastAsia="Aptos" w:hAnsi="Helvetica" w:cs="Helvetica"/>
          <w:color w:val="000000" w:themeColor="text1"/>
          <w:kern w:val="0"/>
          <w:szCs w:val="24"/>
          <w:lang w:eastAsia="en-US"/>
        </w:rPr>
        <w:t>Chimbari</w:t>
      </w:r>
      <w:proofErr w:type="spellEnd"/>
      <w:r w:rsidRPr="004D45B3">
        <w:rPr>
          <w:rFonts w:ascii="Helvetica" w:eastAsia="Aptos" w:hAnsi="Helvetica" w:cs="Helvetica"/>
          <w:color w:val="000000" w:themeColor="text1"/>
          <w:kern w:val="0"/>
          <w:szCs w:val="24"/>
          <w:lang w:eastAsia="en-US"/>
        </w:rPr>
        <w:t xml:space="preserve"> (2023) found that community engagement is risky if it is highly advice-giving rather than participatory, as communities are not very involved in the decision-making process in healthcare. A key strength of the study is its use of a large randomly selected sample of 339 household heads and standardised face-to-face questionnaires which enhances the reliability of the findings. These opposing views demonstrate that meaningful co-production, beyond symbolic consultation, is necessary to develop culturally responsive services. Digital innovation and collaborative efforts across various disciplines support implementation.</w:t>
      </w:r>
    </w:p>
    <w:p w14:paraId="78E806F8" w14:textId="77777777" w:rsidR="00C33A9F" w:rsidRPr="004D45B3" w:rsidRDefault="00C33A9F">
      <w:pPr>
        <w:spacing w:before="280" w:after="14"/>
        <w:rPr>
          <w:rFonts w:eastAsia="Arial" w:cs="Arial"/>
          <w:color w:val="000000" w:themeColor="text1"/>
          <w:szCs w:val="24"/>
        </w:rPr>
      </w:pPr>
    </w:p>
    <w:p w14:paraId="2053CDF3" w14:textId="03F206D0" w:rsidR="00634BD0" w:rsidRPr="004D45B3" w:rsidRDefault="000B596F" w:rsidP="00634BD0">
      <w:pPr>
        <w:spacing w:before="280" w:after="14"/>
        <w:rPr>
          <w:rFonts w:eastAsia="Arial" w:cs="Arial"/>
          <w:color w:val="000000" w:themeColor="text1"/>
          <w:szCs w:val="24"/>
        </w:rPr>
      </w:pPr>
      <w:r w:rsidRPr="004D45B3">
        <w:rPr>
          <w:rFonts w:eastAsia="Arial" w:cs="Arial"/>
          <w:color w:val="000000" w:themeColor="text1"/>
          <w:szCs w:val="24"/>
        </w:rPr>
        <w:t xml:space="preserve">Additionally, </w:t>
      </w:r>
      <w:proofErr w:type="spellStart"/>
      <w:r w:rsidRPr="004D45B3">
        <w:rPr>
          <w:rFonts w:eastAsia="Arial" w:cs="Arial"/>
          <w:color w:val="000000" w:themeColor="text1"/>
          <w:szCs w:val="24"/>
        </w:rPr>
        <w:t>Olowomeye</w:t>
      </w:r>
      <w:proofErr w:type="spellEnd"/>
      <w:r w:rsidRPr="004D45B3">
        <w:rPr>
          <w:rFonts w:eastAsia="Arial" w:cs="Arial"/>
          <w:color w:val="000000" w:themeColor="text1"/>
          <w:szCs w:val="24"/>
        </w:rPr>
        <w:t xml:space="preserve"> (2025) provides evidence that integrated electronic patient records, coordinated multidisciplinary teams, and culturally adapted health information resources can improve continuity of care and communication among ethnic minority and culturally diverse populations. </w:t>
      </w:r>
    </w:p>
    <w:p w14:paraId="4F9F2BFB" w14:textId="7D4880E9" w:rsidR="00C33A9F" w:rsidRPr="004D45B3" w:rsidRDefault="00634BD0" w:rsidP="00634BD0">
      <w:pPr>
        <w:suppressAutoHyphens w:val="0"/>
        <w:spacing w:line="276" w:lineRule="auto"/>
        <w:jc w:val="left"/>
        <w:rPr>
          <w:rFonts w:eastAsia="Arial" w:cs="Arial"/>
          <w:color w:val="000000" w:themeColor="text1"/>
          <w:szCs w:val="24"/>
        </w:rPr>
      </w:pPr>
      <w:r w:rsidRPr="004D45B3">
        <w:rPr>
          <w:rFonts w:eastAsia="Arial" w:cs="Arial"/>
          <w:color w:val="000000" w:themeColor="text1"/>
          <w:szCs w:val="24"/>
        </w:rPr>
        <w:br w:type="page"/>
      </w:r>
    </w:p>
    <w:p w14:paraId="17CE3DFE" w14:textId="78604569" w:rsidR="00BE776A" w:rsidRPr="004D45B3" w:rsidRDefault="0007681E">
      <w:pPr>
        <w:pStyle w:val="Heading3"/>
        <w:rPr>
          <w:color w:val="000000" w:themeColor="text1"/>
        </w:rPr>
      </w:pPr>
      <w:bookmarkStart w:id="20" w:name="_Toc241190009"/>
      <w:r w:rsidRPr="004D45B3">
        <w:rPr>
          <w:rFonts w:ascii="Aptos Display" w:hAnsi="Aptos Display"/>
          <w:b/>
          <w:bCs/>
          <w:color w:val="000000" w:themeColor="text1"/>
        </w:rPr>
        <w:t>2.7 Improvements to culturally competent healthcare practices within the UK</w:t>
      </w:r>
      <w:bookmarkEnd w:id="20"/>
    </w:p>
    <w:p w14:paraId="5E2CEE19" w14:textId="2729EEE1"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In recent literature, it has been recognised that the topic of upgrading culturally competent healthcare requires a shift towards combinatorial and system-wide approaches to address organisational culture and workforce capacity in conjunction with health policy (Wilson et al., 2025).</w:t>
      </w:r>
      <w:r w:rsidRPr="004D45B3">
        <w:rPr>
          <w:rFonts w:eastAsia="Arial" w:cs="Arial"/>
          <w:color w:val="000000" w:themeColor="text1"/>
          <w:szCs w:val="24"/>
        </w:rPr>
        <w:t xml:space="preserve"> Although Hussain </w:t>
      </w:r>
      <w:r w:rsidRPr="004D45B3">
        <w:rPr>
          <w:rFonts w:eastAsia="Arial" w:cs="Arial"/>
          <w:i/>
          <w:iCs/>
          <w:color w:val="000000" w:themeColor="text1"/>
          <w:szCs w:val="24"/>
        </w:rPr>
        <w:t>et al.</w:t>
      </w:r>
      <w:r w:rsidRPr="004D45B3">
        <w:rPr>
          <w:rFonts w:eastAsia="Arial" w:cs="Arial"/>
          <w:color w:val="000000" w:themeColor="text1"/>
          <w:szCs w:val="24"/>
        </w:rPr>
        <w:t xml:space="preserve"> (2020) stress the need to improve cultural competence in the NHS, </w:t>
      </w:r>
      <w:r w:rsidRPr="004D45B3">
        <w:rPr>
          <w:rFonts w:ascii="Helvetica" w:eastAsia="Aptos" w:hAnsi="Helvetica" w:cs="Helvetica"/>
          <w:color w:val="000000" w:themeColor="text1"/>
          <w:kern w:val="0"/>
          <w:szCs w:val="24"/>
          <w:lang w:eastAsia="en-US"/>
        </w:rPr>
        <w:t>there has been a division among researchers regarding the most effective areas for improvement and the most sustainable approaches. While Kleinman et al. (2021) argue that workforce education is a crucial factor, Ortiz et al. (2020) state that community partnerships and structural reform are more beneficial in the long term for reducing health disparities.</w:t>
      </w:r>
      <w:r w:rsidRPr="004D45B3">
        <w:rPr>
          <w:rFonts w:eastAsia="Arial" w:cs="Arial"/>
          <w:color w:val="000000" w:themeColor="text1"/>
          <w:szCs w:val="24"/>
        </w:rPr>
        <w:t xml:space="preserve"> </w:t>
      </w:r>
    </w:p>
    <w:p w14:paraId="7AD8ABBF"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156A13F9" w14:textId="376C91B9" w:rsidR="00C33A9F" w:rsidRPr="004D45B3" w:rsidRDefault="0007681E" w:rsidP="00634BD0">
      <w:pPr>
        <w:spacing w:before="280" w:after="14"/>
        <w:rPr>
          <w:color w:val="000000" w:themeColor="text1"/>
        </w:rPr>
      </w:pPr>
      <w:r w:rsidRPr="004D45B3">
        <w:rPr>
          <w:rFonts w:ascii="Helvetica" w:eastAsia="Aptos" w:hAnsi="Helvetica" w:cs="Helvetica"/>
          <w:color w:val="000000" w:themeColor="text1"/>
          <w:kern w:val="0"/>
          <w:szCs w:val="24"/>
          <w:lang w:eastAsia="en-US"/>
        </w:rPr>
        <w:t xml:space="preserve">Cultural competence should be a core part of professional education and lifelong learning, as is often advised, for instance, according to a study by </w:t>
      </w:r>
      <w:r w:rsidRPr="004D45B3">
        <w:rPr>
          <w:rFonts w:eastAsia="Arial" w:cs="Arial"/>
          <w:color w:val="000000" w:themeColor="text1"/>
          <w:szCs w:val="24"/>
        </w:rPr>
        <w:t>Liu</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(2022), </w:t>
      </w:r>
      <w:r w:rsidRPr="004D45B3">
        <w:rPr>
          <w:rFonts w:ascii="Helvetica" w:eastAsia="Aptos" w:hAnsi="Helvetica" w:cs="Helvetica"/>
          <w:color w:val="000000" w:themeColor="text1"/>
          <w:kern w:val="0"/>
          <w:szCs w:val="24"/>
          <w:lang w:eastAsia="en-US"/>
        </w:rPr>
        <w:t>cultural competence should be discussed alongside clinical competencies during the undergraduate programme and as part of continuing professional development to prepare medical professionals to manage increasingly diverse patient populations.</w:t>
      </w:r>
      <w:r w:rsidR="00634BD0" w:rsidRPr="004D45B3">
        <w:rPr>
          <w:color w:val="000000" w:themeColor="text1"/>
        </w:rPr>
        <w:t xml:space="preserve"> </w:t>
      </w:r>
      <w:r w:rsidRPr="004D45B3">
        <w:rPr>
          <w:rFonts w:ascii="Helvetica" w:eastAsia="Aptos" w:hAnsi="Helvetica" w:cs="Helvetica"/>
          <w:color w:val="000000" w:themeColor="text1"/>
          <w:kern w:val="0"/>
          <w:szCs w:val="24"/>
          <w:lang w:eastAsia="en-US"/>
        </w:rPr>
        <w:t xml:space="preserve">Another useful recommendation is related to organisational accountability. According to Vargas et al. (2023) healthcare organisations should institutionalise cultural competence in governance mechanisms by establishing leadership dedication, equality execution metrics, workforce diversity plans and a culture of regular service appraisal. However, Lekas </w:t>
      </w:r>
      <w:r w:rsidRPr="004D45B3">
        <w:rPr>
          <w:rFonts w:ascii="Helvetica" w:eastAsia="Aptos" w:hAnsi="Helvetica" w:cs="Helvetica"/>
          <w:i/>
          <w:iCs/>
          <w:color w:val="000000" w:themeColor="text1"/>
          <w:kern w:val="0"/>
          <w:szCs w:val="24"/>
          <w:lang w:eastAsia="en-US"/>
        </w:rPr>
        <w:t>et al.</w:t>
      </w:r>
      <w:r w:rsidRPr="004D45B3">
        <w:rPr>
          <w:rFonts w:ascii="Helvetica" w:eastAsia="Aptos" w:hAnsi="Helvetica" w:cs="Helvetica"/>
          <w:color w:val="000000" w:themeColor="text1"/>
          <w:kern w:val="0"/>
          <w:szCs w:val="24"/>
          <w:lang w:eastAsia="en-US"/>
        </w:rPr>
        <w:t xml:space="preserve"> (2020) argue that cultural competence education should go beyond simple cultural awareness. It should also encourage cultural humility, reflective practice and anti-discriminatory decision-making among healthcare professionals. In contrast Hill-Briggs et al. (2020) argue that significant change will not occur without national healthcare policies mandating the reporting of equity outcomes in quantifiable terms rather than focusing primarily on service efficiency and clinical outcomes. This divergence suggests that responsibility should be shared between organisational and policy levels with all NHS organisations having a universal responsibility.</w:t>
      </w:r>
    </w:p>
    <w:p w14:paraId="23A17F14" w14:textId="4B123AE4" w:rsidR="00BE776A" w:rsidRPr="004D45B3" w:rsidRDefault="0007681E">
      <w:pPr>
        <w:pStyle w:val="Heading2"/>
        <w:rPr>
          <w:color w:val="000000" w:themeColor="text1"/>
        </w:rPr>
      </w:pPr>
      <w:bookmarkStart w:id="21" w:name="_Toc241190010"/>
      <w:r w:rsidRPr="004D45B3">
        <w:rPr>
          <w:b/>
          <w:color w:val="000000" w:themeColor="text1"/>
          <w:sz w:val="28"/>
          <w:szCs w:val="28"/>
        </w:rPr>
        <w:t>2.8 Research Gap</w:t>
      </w:r>
      <w:bookmarkEnd w:id="21"/>
      <w:r w:rsidRPr="004D45B3">
        <w:rPr>
          <w:b/>
          <w:color w:val="000000" w:themeColor="text1"/>
          <w:sz w:val="28"/>
          <w:szCs w:val="28"/>
        </w:rPr>
        <w:t xml:space="preserve"> </w:t>
      </w:r>
    </w:p>
    <w:p w14:paraId="0F515406" w14:textId="2674EB8B" w:rsidR="00C33A9F" w:rsidRPr="004D45B3" w:rsidRDefault="000B596F">
      <w:pPr>
        <w:spacing w:before="280" w:after="14"/>
        <w:rPr>
          <w:color w:val="000000" w:themeColor="text1"/>
        </w:rPr>
      </w:pPr>
      <w:r w:rsidRPr="004D45B3">
        <w:rPr>
          <w:rFonts w:ascii="Helvetica" w:eastAsia="Aptos" w:hAnsi="Helvetica" w:cs="Helvetica"/>
          <w:color w:val="000000" w:themeColor="text1"/>
          <w:kern w:val="0"/>
          <w:szCs w:val="24"/>
          <w:lang w:eastAsia="en-US"/>
        </w:rPr>
        <w:t>Firstly, much of the existing literature focuses on individual elements of culturally competent care, such as communication strategies or cultural competence training, rather than examining how multiple components work together to reduce health inequalities among ethnic minority groups (Siddiqui et al., 2025; Antón-Solanas et al., 2022). Secondly, a substantial portion of the existing evidence, such as that by Churchwell et al. (2020), is based on international settings and is therefore not easily applicable to the UK healthcare system. Finally, existing research frequently concentrates on short-term outcomes, including patient experience, communication, healthcare utilisation and staff knowledge, while evidence concerning sustained improvements in clinical outcomes and long-term reductions in health inequalities remains limited (</w:t>
      </w:r>
      <w:proofErr w:type="spellStart"/>
      <w:r w:rsidRPr="004D45B3">
        <w:rPr>
          <w:rFonts w:ascii="Helvetica" w:eastAsia="Aptos" w:hAnsi="Helvetica" w:cs="Helvetica"/>
          <w:color w:val="000000" w:themeColor="text1"/>
          <w:kern w:val="0"/>
          <w:szCs w:val="24"/>
          <w:lang w:eastAsia="en-US"/>
        </w:rPr>
        <w:t>Pisavadia</w:t>
      </w:r>
      <w:proofErr w:type="spellEnd"/>
      <w:r w:rsidRPr="004D45B3">
        <w:rPr>
          <w:rFonts w:ascii="Helvetica" w:eastAsia="Aptos" w:hAnsi="Helvetica" w:cs="Helvetica"/>
          <w:color w:val="000000" w:themeColor="text1"/>
          <w:kern w:val="0"/>
          <w:szCs w:val="24"/>
          <w:lang w:eastAsia="en-US"/>
        </w:rPr>
        <w:t xml:space="preserve"> et al., 2025; Siddiqui et al., 2025). Differences in study methods, intervention designs and outcome measures also make it difficult to compare findings and determine which culturally competent practices are most effective.</w:t>
      </w:r>
    </w:p>
    <w:p w14:paraId="0913F9FB" w14:textId="5A08F317" w:rsidR="00BE776A" w:rsidRPr="004D45B3" w:rsidRDefault="000B596F">
      <w:pPr>
        <w:spacing w:before="280" w:after="14"/>
        <w:rPr>
          <w:rFonts w:ascii="Helvetica" w:eastAsia="Aptos" w:hAnsi="Helvetica" w:cs="Helvetica"/>
          <w:color w:val="000000" w:themeColor="text1"/>
          <w:kern w:val="0"/>
          <w:szCs w:val="24"/>
          <w:lang w:eastAsia="en-US"/>
        </w:rPr>
      </w:pPr>
      <w:r w:rsidRPr="004D45B3">
        <w:rPr>
          <w:rFonts w:ascii="Helvetica" w:eastAsia="Aptos" w:hAnsi="Helvetica" w:cs="Helvetica"/>
          <w:color w:val="000000" w:themeColor="text1"/>
          <w:kern w:val="0"/>
          <w:szCs w:val="24"/>
          <w:lang w:eastAsia="en-US"/>
        </w:rPr>
        <w:t>This systematic review addresses these gaps by critically synthesising recent evidence on culturally competent care within the UK. It examines the effectiveness of interventions in reducing health inequalities among ethnic minority populations, identifies barriers and facilitators affecting implementation, and develops evidence-based recommendations for healthcare practice and future research.</w:t>
      </w:r>
    </w:p>
    <w:p w14:paraId="734AB0AE" w14:textId="77777777" w:rsidR="00634BD0" w:rsidRPr="004D45B3" w:rsidRDefault="00634BD0">
      <w:pPr>
        <w:spacing w:before="280" w:after="14"/>
        <w:rPr>
          <w:rFonts w:ascii="Aptos Display" w:hAnsi="Aptos Display"/>
          <w:b/>
          <w:color w:val="000000" w:themeColor="text1"/>
          <w:sz w:val="28"/>
          <w:szCs w:val="28"/>
        </w:rPr>
      </w:pPr>
    </w:p>
    <w:p w14:paraId="5E69D924" w14:textId="27BC064E" w:rsidR="00BE776A" w:rsidRPr="004D45B3" w:rsidRDefault="0007681E">
      <w:pPr>
        <w:spacing w:before="280" w:after="14"/>
        <w:rPr>
          <w:rFonts w:ascii="Aptos Display" w:hAnsi="Aptos Display"/>
          <w:b/>
          <w:color w:val="000000" w:themeColor="text1"/>
          <w:sz w:val="28"/>
          <w:szCs w:val="28"/>
        </w:rPr>
      </w:pPr>
      <w:r w:rsidRPr="004D45B3">
        <w:rPr>
          <w:rFonts w:ascii="Aptos Display" w:hAnsi="Aptos Display"/>
          <w:b/>
          <w:color w:val="000000" w:themeColor="text1"/>
          <w:sz w:val="28"/>
          <w:szCs w:val="28"/>
        </w:rPr>
        <w:t xml:space="preserve">2.8 Theoretical Frameworks </w:t>
      </w:r>
    </w:p>
    <w:p w14:paraId="1DBC1472" w14:textId="77777777"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 xml:space="preserve">The social determinants of health framework (see Figure 3) is an integral component of promoting a better understanding of the biological and individual factors that influence health outcomes. It also promotes a better understanding of social, economic and political conditions that influence health outcomes and unequal health distribution. The SDH Framework is recognised by the World Health Organisation as it helps to explore health inequalities access to care and population-level outcomes (Bull and </w:t>
      </w:r>
      <w:proofErr w:type="spellStart"/>
      <w:r w:rsidRPr="004D45B3">
        <w:rPr>
          <w:rFonts w:ascii="Helvetica" w:eastAsia="Aptos" w:hAnsi="Helvetica" w:cs="Helvetica"/>
          <w:color w:val="000000" w:themeColor="text1"/>
          <w:kern w:val="0"/>
          <w:szCs w:val="24"/>
          <w:lang w:eastAsia="en-US"/>
        </w:rPr>
        <w:t>Mittelmark</w:t>
      </w:r>
      <w:proofErr w:type="spellEnd"/>
      <w:r w:rsidRPr="004D45B3">
        <w:rPr>
          <w:rFonts w:ascii="Helvetica" w:eastAsia="Aptos" w:hAnsi="Helvetica" w:cs="Helvetica"/>
          <w:color w:val="000000" w:themeColor="text1"/>
          <w:kern w:val="0"/>
          <w:szCs w:val="24"/>
          <w:lang w:eastAsia="en-US"/>
        </w:rPr>
        <w:t>, 2016). After rapid evolution, the main focus shifts from individual responsibility to structural influences making these frameworks more adaptable to measure public health outcomes and conduct social science research.</w:t>
      </w:r>
    </w:p>
    <w:p w14:paraId="31862963" w14:textId="77777777" w:rsidR="00C33A9F" w:rsidRPr="004D45B3" w:rsidRDefault="00C33A9F">
      <w:pPr>
        <w:spacing w:before="280" w:after="14"/>
        <w:rPr>
          <w:b/>
          <w:bCs/>
          <w:color w:val="000000" w:themeColor="text1"/>
          <w:szCs w:val="24"/>
        </w:rPr>
      </w:pPr>
    </w:p>
    <w:p w14:paraId="53690F23" w14:textId="3E111CAF" w:rsidR="00BE776A" w:rsidRPr="004D45B3" w:rsidRDefault="0007681E">
      <w:pPr>
        <w:spacing w:before="280" w:after="14"/>
        <w:rPr>
          <w:color w:val="000000" w:themeColor="text1"/>
        </w:rPr>
      </w:pPr>
      <w:r w:rsidRPr="004D45B3">
        <w:rPr>
          <w:b/>
          <w:bCs/>
          <w:color w:val="000000" w:themeColor="text1"/>
          <w:szCs w:val="24"/>
        </w:rPr>
        <w:t>Social Determinants of Health (SDH) Framework</w:t>
      </w:r>
    </w:p>
    <w:p w14:paraId="007694A0" w14:textId="77777777" w:rsidR="00BE776A" w:rsidRPr="004D45B3" w:rsidRDefault="0007681E">
      <w:pPr>
        <w:spacing w:before="280" w:after="14"/>
        <w:jc w:val="center"/>
        <w:rPr>
          <w:color w:val="000000" w:themeColor="text1"/>
        </w:rPr>
      </w:pPr>
      <w:r w:rsidRPr="004D45B3">
        <w:rPr>
          <w:noProof/>
          <w:color w:val="000000" w:themeColor="text1"/>
          <w:lang w:val="en-US" w:eastAsia="en-US"/>
        </w:rPr>
        <w:drawing>
          <wp:inline distT="0" distB="0" distL="0" distR="0" wp14:anchorId="53446891" wp14:editId="026C62D9">
            <wp:extent cx="5727701" cy="3702048"/>
            <wp:effectExtent l="0" t="0" r="6349" b="0"/>
            <wp:docPr id="715387211"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27701" cy="3702048"/>
                    </a:xfrm>
                    <a:prstGeom prst="rect">
                      <a:avLst/>
                    </a:prstGeom>
                    <a:noFill/>
                    <a:ln>
                      <a:noFill/>
                      <a:prstDash/>
                    </a:ln>
                  </pic:spPr>
                </pic:pic>
              </a:graphicData>
            </a:graphic>
          </wp:inline>
        </w:drawing>
      </w:r>
      <w:r w:rsidRPr="004D45B3">
        <w:rPr>
          <w:rFonts w:eastAsia="Arial" w:cs="Arial"/>
          <w:color w:val="000000" w:themeColor="text1"/>
          <w:szCs w:val="24"/>
        </w:rPr>
        <w:t xml:space="preserve"> </w:t>
      </w:r>
    </w:p>
    <w:p w14:paraId="6030689C" w14:textId="77777777" w:rsidR="00BE776A" w:rsidRPr="004D45B3" w:rsidRDefault="0007681E">
      <w:pPr>
        <w:pStyle w:val="Heading4"/>
        <w:jc w:val="center"/>
        <w:rPr>
          <w:bCs/>
          <w:color w:val="000000" w:themeColor="text1"/>
          <w:sz w:val="22"/>
          <w:szCs w:val="21"/>
        </w:rPr>
      </w:pPr>
      <w:bookmarkStart w:id="22" w:name="_Toc240899414"/>
      <w:r w:rsidRPr="004D45B3">
        <w:rPr>
          <w:bCs/>
          <w:color w:val="000000" w:themeColor="text1"/>
          <w:sz w:val="22"/>
          <w:szCs w:val="21"/>
        </w:rPr>
        <w:t xml:space="preserve">Figure 3: SDH Framework (Bull and </w:t>
      </w:r>
      <w:proofErr w:type="spellStart"/>
      <w:r w:rsidRPr="004D45B3">
        <w:rPr>
          <w:bCs/>
          <w:color w:val="000000" w:themeColor="text1"/>
          <w:sz w:val="22"/>
          <w:szCs w:val="21"/>
        </w:rPr>
        <w:t>Mittelmark</w:t>
      </w:r>
      <w:proofErr w:type="spellEnd"/>
      <w:r w:rsidRPr="004D45B3">
        <w:rPr>
          <w:bCs/>
          <w:color w:val="000000" w:themeColor="text1"/>
          <w:sz w:val="22"/>
          <w:szCs w:val="21"/>
        </w:rPr>
        <w:t>, 2016)</w:t>
      </w:r>
      <w:bookmarkEnd w:id="22"/>
    </w:p>
    <w:p w14:paraId="0ABCF875" w14:textId="77777777" w:rsidR="00C33A9F" w:rsidRPr="004D45B3" w:rsidRDefault="00C33A9F">
      <w:pPr>
        <w:spacing w:before="240" w:after="14"/>
        <w:rPr>
          <w:rFonts w:ascii="Helvetica" w:eastAsia="Aptos" w:hAnsi="Helvetica" w:cs="Helvetica"/>
          <w:color w:val="000000" w:themeColor="text1"/>
          <w:kern w:val="0"/>
          <w:szCs w:val="24"/>
          <w:lang w:eastAsia="en-US"/>
        </w:rPr>
      </w:pPr>
    </w:p>
    <w:p w14:paraId="3C2A0223" w14:textId="07455AE7" w:rsidR="00BE776A" w:rsidRPr="004D45B3" w:rsidRDefault="0007681E">
      <w:pPr>
        <w:spacing w:before="240" w:after="14"/>
        <w:rPr>
          <w:color w:val="000000" w:themeColor="text1"/>
        </w:rPr>
      </w:pPr>
      <w:r w:rsidRPr="004D45B3">
        <w:rPr>
          <w:rFonts w:ascii="Helvetica" w:eastAsia="Aptos" w:hAnsi="Helvetica" w:cs="Helvetica"/>
          <w:color w:val="000000" w:themeColor="text1"/>
          <w:kern w:val="0"/>
          <w:szCs w:val="24"/>
          <w:lang w:eastAsia="en-US"/>
        </w:rPr>
        <w:t xml:space="preserve">At the core of this framework is social epistemology which promotes societal structures and relationships that lead to certain outcomes. The SDF theory is based on the unequal distribution of opportunities, resources and power (Carroll et al., 2022). Consequently, the government must promote better policy, cultural norms and systems to ensure a fair distribution of resources, power and opportunities to improve healthcare access. In this context, the use of this theory is particularly relevant as it facilitates a more thorough investigation of disparities across groups based on income, gender and ethnicity. This will enable the identification of the causes of healthcare inequalities and the development of new solutions or interventions to address existing service gaps.  </w:t>
      </w:r>
      <w:r w:rsidRPr="004D45B3">
        <w:rPr>
          <w:rFonts w:eastAsia="Arial" w:cs="Arial"/>
          <w:color w:val="000000" w:themeColor="text1"/>
          <w:szCs w:val="24"/>
        </w:rPr>
        <w:t xml:space="preserve"> </w:t>
      </w:r>
    </w:p>
    <w:p w14:paraId="06492D69" w14:textId="77777777" w:rsidR="00C33A9F" w:rsidRPr="004D45B3" w:rsidRDefault="00C33A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240" w:after="0"/>
        <w:rPr>
          <w:rFonts w:eastAsia="Aptos" w:cs="Arial"/>
          <w:color w:val="000000" w:themeColor="text1"/>
          <w:kern w:val="0"/>
          <w:szCs w:val="24"/>
          <w:lang w:eastAsia="en-US"/>
        </w:rPr>
      </w:pPr>
    </w:p>
    <w:p w14:paraId="32A0D960" w14:textId="5CC17F9A" w:rsidR="00BE776A" w:rsidRPr="004D45B3" w:rsidRDefault="000768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240" w:after="0"/>
        <w:rPr>
          <w:rFonts w:eastAsia="Aptos" w:cs="Arial"/>
          <w:color w:val="000000" w:themeColor="text1"/>
          <w:kern w:val="0"/>
          <w:szCs w:val="24"/>
          <w:lang w:eastAsia="en-US"/>
        </w:rPr>
      </w:pPr>
      <w:r w:rsidRPr="004D45B3">
        <w:rPr>
          <w:rFonts w:eastAsia="Aptos" w:cs="Arial"/>
          <w:color w:val="000000" w:themeColor="text1"/>
          <w:kern w:val="0"/>
          <w:szCs w:val="24"/>
          <w:lang w:eastAsia="en-US"/>
        </w:rPr>
        <w:t>This research promotes a better understanding of why ethnic minority populations in the UK experience poorer physical health, poorer mental health, reduced quality of life and unequal access to healthcare, with these outcomes linked to discrimination, socioeconomic disadvantage and structural inequalities. Findings from Ahmad et al. (2022) further indicate that disparities in mental health and quality of life are associated with structural disadvantages. For example, individuals with lower socioeconomic status may experience restricted access to healthcare services and delayed treatment, which can contribute to poorer health outcomes among minority populations.</w:t>
      </w:r>
    </w:p>
    <w:p w14:paraId="5FBFF77D" w14:textId="77777777" w:rsidR="00BE776A" w:rsidRPr="004D45B3" w:rsidRDefault="00BE77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jc w:val="left"/>
        <w:rPr>
          <w:rFonts w:eastAsia="Aptos" w:cs="Arial"/>
          <w:color w:val="000000" w:themeColor="text1"/>
          <w:kern w:val="0"/>
          <w:szCs w:val="24"/>
          <w:lang w:eastAsia="en-US"/>
        </w:rPr>
      </w:pPr>
    </w:p>
    <w:p w14:paraId="36A021ED" w14:textId="77777777" w:rsidR="00C33A9F" w:rsidRPr="004D45B3" w:rsidRDefault="00C33A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rPr>
          <w:rFonts w:eastAsia="Aptos" w:cs="Arial"/>
          <w:color w:val="000000" w:themeColor="text1"/>
          <w:kern w:val="0"/>
          <w:szCs w:val="24"/>
          <w:lang w:eastAsia="en-US"/>
        </w:rPr>
      </w:pPr>
    </w:p>
    <w:p w14:paraId="6286586A" w14:textId="405FCF4A" w:rsidR="00BE776A" w:rsidRPr="004D45B3" w:rsidRDefault="000768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rPr>
          <w:rFonts w:eastAsia="Aptos" w:cs="Arial"/>
          <w:color w:val="000000" w:themeColor="text1"/>
          <w:kern w:val="0"/>
          <w:szCs w:val="24"/>
          <w:lang w:eastAsia="en-US"/>
        </w:rPr>
      </w:pPr>
      <w:r w:rsidRPr="004D45B3">
        <w:rPr>
          <w:rFonts w:eastAsia="Aptos" w:cs="Arial"/>
          <w:color w:val="000000" w:themeColor="text1"/>
          <w:kern w:val="0"/>
          <w:szCs w:val="24"/>
          <w:lang w:eastAsia="en-US"/>
        </w:rPr>
        <w:t xml:space="preserve">The SDH age framework can identify minor factors influencing healthcare inequalities in the UK but may present challenges in finding practical solutions. Conversely, Thana et al. (2026) highlight that systemic barriers and biased inferences in healthcare outcomes contribute to an unequal distribution of health services and treatment solutions. Ethnic minority patients are the primary victims of this unequal health treatment. Despite the limitations of this framework, it is more reliable for finding quality solutions to promote a better understanding of the root causes of ethnic health inequalities and inform policy interventions in the UK to address the increasing health inequality issue. </w:t>
      </w:r>
    </w:p>
    <w:p w14:paraId="3C8A0424" w14:textId="77777777" w:rsidR="00634BD0" w:rsidRPr="004D45B3" w:rsidRDefault="00634BD0">
      <w:pPr>
        <w:spacing w:before="280" w:after="14"/>
        <w:rPr>
          <w:rFonts w:ascii="Helvetica" w:eastAsia="Aptos" w:hAnsi="Helvetica" w:cs="Helvetica"/>
          <w:color w:val="000000" w:themeColor="text1"/>
          <w:kern w:val="0"/>
          <w:szCs w:val="24"/>
          <w:lang w:eastAsia="en-US"/>
        </w:rPr>
      </w:pPr>
    </w:p>
    <w:p w14:paraId="56FACAD3" w14:textId="1368F4F5"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The fundamental cause theory (FCT) (see figure 4) provides a structured framework for identifying multiple health outcomes and existing health disparities over time and space. Its adoption for this research is more reliable as it aims to understand and address healthcare inequalities. The FCT posits that social conditions such as socioeconomic inequalities affect individuals’ quality of life. In the UK, deprivation in income, employment and education is identified as the socioeconomic factors that create healthcare access inequalities. This results in limited access to resources which in turn increases health outcomes among minority ethnic groups. Chidambaram et al. (2024) further argue that a lack of health literacy and weak social networks also contribute to disparities and influence the effective distribution of healthcare services in the UK.</w:t>
      </w:r>
    </w:p>
    <w:p w14:paraId="615D40C0" w14:textId="77777777" w:rsidR="00C33A9F" w:rsidRPr="004D45B3" w:rsidRDefault="00C33A9F">
      <w:pPr>
        <w:pStyle w:val="Heading3"/>
        <w:rPr>
          <w:b/>
          <w:bCs/>
          <w:color w:val="000000" w:themeColor="text1"/>
          <w:sz w:val="24"/>
          <w:szCs w:val="24"/>
        </w:rPr>
      </w:pPr>
    </w:p>
    <w:p w14:paraId="6E43E534" w14:textId="384244FC" w:rsidR="00BE776A" w:rsidRPr="004D45B3" w:rsidRDefault="0007681E">
      <w:pPr>
        <w:pStyle w:val="Heading3"/>
        <w:rPr>
          <w:color w:val="000000" w:themeColor="text1"/>
        </w:rPr>
      </w:pPr>
      <w:bookmarkStart w:id="23" w:name="_Toc241190011"/>
      <w:r w:rsidRPr="004D45B3">
        <w:rPr>
          <w:b/>
          <w:bCs/>
          <w:color w:val="000000" w:themeColor="text1"/>
          <w:sz w:val="24"/>
          <w:szCs w:val="24"/>
        </w:rPr>
        <w:t>Fundamental Cause Theory (FCT)</w:t>
      </w:r>
      <w:bookmarkEnd w:id="23"/>
    </w:p>
    <w:p w14:paraId="3DBCF2F4" w14:textId="77777777" w:rsidR="00BE776A" w:rsidRPr="004D45B3" w:rsidRDefault="0007681E">
      <w:pPr>
        <w:spacing w:before="280" w:after="14"/>
        <w:jc w:val="center"/>
        <w:rPr>
          <w:color w:val="000000" w:themeColor="text1"/>
        </w:rPr>
      </w:pPr>
      <w:r w:rsidRPr="004D45B3">
        <w:rPr>
          <w:noProof/>
          <w:color w:val="000000" w:themeColor="text1"/>
          <w:lang w:val="en-US" w:eastAsia="en-US"/>
        </w:rPr>
        <w:drawing>
          <wp:inline distT="0" distB="0" distL="0" distR="0" wp14:anchorId="1318D3BC" wp14:editId="3A7F8FEB">
            <wp:extent cx="5727701" cy="3251204"/>
            <wp:effectExtent l="0" t="0" r="6349" b="6346"/>
            <wp:docPr id="1571665194"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27701" cy="3251204"/>
                    </a:xfrm>
                    <a:prstGeom prst="rect">
                      <a:avLst/>
                    </a:prstGeom>
                    <a:noFill/>
                    <a:ln>
                      <a:noFill/>
                      <a:prstDash/>
                    </a:ln>
                  </pic:spPr>
                </pic:pic>
              </a:graphicData>
            </a:graphic>
          </wp:inline>
        </w:drawing>
      </w:r>
      <w:r w:rsidRPr="004D45B3">
        <w:rPr>
          <w:rFonts w:eastAsia="Arial" w:cs="Arial"/>
          <w:color w:val="000000" w:themeColor="text1"/>
          <w:szCs w:val="24"/>
        </w:rPr>
        <w:t xml:space="preserve"> </w:t>
      </w:r>
    </w:p>
    <w:p w14:paraId="14C1463F" w14:textId="77777777" w:rsidR="00BE776A" w:rsidRPr="004D45B3" w:rsidRDefault="0007681E">
      <w:pPr>
        <w:pStyle w:val="Heading4"/>
        <w:jc w:val="center"/>
        <w:rPr>
          <w:color w:val="000000" w:themeColor="text1"/>
        </w:rPr>
      </w:pPr>
      <w:bookmarkStart w:id="24" w:name="_Toc240899415"/>
      <w:r w:rsidRPr="004D45B3">
        <w:rPr>
          <w:bCs/>
          <w:color w:val="000000" w:themeColor="text1"/>
          <w:sz w:val="22"/>
          <w:szCs w:val="21"/>
        </w:rPr>
        <w:t>Figure 4: Fundamental Cause Theory (Jimoh Amzat, 2024)</w:t>
      </w:r>
      <w:bookmarkEnd w:id="24"/>
    </w:p>
    <w:p w14:paraId="33FCB6E1"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55B09CED" w14:textId="5189F159"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 xml:space="preserve">Furthermore, the FCT emphasises the use of multiple mechanisms in addressing healthcare inequalities. The proposed mechanism operates through various channels including health behaviour, environmental exposure, access to care and stress. These findings of the theory help to explore how inequalities manifest in actual health outcomes within the UK community. The FCT also promotes a better understanding of other similar factors such as poor housing, an unhealthy diet and limited preventive care which critically influence the health outcomes of people from the ethnic minority group </w:t>
      </w:r>
      <w:r w:rsidRPr="004D45B3">
        <w:rPr>
          <w:rFonts w:eastAsia="Arial" w:cs="Arial"/>
          <w:color w:val="000000" w:themeColor="text1"/>
          <w:szCs w:val="24"/>
        </w:rPr>
        <w:t>(Jimoh Amzat, 2024).</w:t>
      </w:r>
    </w:p>
    <w:p w14:paraId="0FA7D19C"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73811938" w14:textId="01009D86"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This theory also addresses various health inequality outcomes including chronic diseases mental health issues and reduced life expectancy. Importantly, it promotes a broader understanding of the root causes and consequences of healthcare inequality (</w:t>
      </w:r>
      <w:proofErr w:type="spellStart"/>
      <w:r w:rsidRPr="004D45B3">
        <w:rPr>
          <w:rFonts w:ascii="Helvetica" w:eastAsia="Aptos" w:hAnsi="Helvetica" w:cs="Helvetica"/>
          <w:color w:val="000000" w:themeColor="text1"/>
          <w:kern w:val="0"/>
          <w:szCs w:val="24"/>
          <w:lang w:eastAsia="en-US"/>
        </w:rPr>
        <w:t>Nousak</w:t>
      </w:r>
      <w:proofErr w:type="spellEnd"/>
      <w:r w:rsidRPr="004D45B3">
        <w:rPr>
          <w:rFonts w:ascii="Helvetica" w:eastAsia="Aptos" w:hAnsi="Helvetica" w:cs="Helvetica"/>
          <w:color w:val="000000" w:themeColor="text1"/>
          <w:kern w:val="0"/>
          <w:szCs w:val="24"/>
          <w:lang w:eastAsia="en-US"/>
        </w:rPr>
        <w:t>, 2025). In this case, the effective use of FCT fosters a deeper understanding of the root causes and outcomes and generates more effective solutions and interventions that help to prevent the ultimate negative health outcome (Jimoh Amzat, 2024).</w:t>
      </w:r>
    </w:p>
    <w:p w14:paraId="7080D41F" w14:textId="77777777" w:rsidR="00C33A9F" w:rsidRPr="004D45B3" w:rsidRDefault="00C33A9F">
      <w:pPr>
        <w:spacing w:before="280" w:after="14"/>
        <w:rPr>
          <w:rFonts w:ascii="Helvetica" w:eastAsia="Aptos" w:hAnsi="Helvetica" w:cs="Helvetica"/>
          <w:color w:val="000000" w:themeColor="text1"/>
          <w:kern w:val="0"/>
          <w:szCs w:val="24"/>
          <w:lang w:eastAsia="en-US"/>
        </w:rPr>
      </w:pPr>
    </w:p>
    <w:p w14:paraId="02DA63DF" w14:textId="77777777" w:rsidR="004D45B3" w:rsidRDefault="0007681E">
      <w:pPr>
        <w:spacing w:before="280" w:after="14"/>
        <w:rPr>
          <w:rFonts w:ascii="Helvetica" w:eastAsia="Aptos" w:hAnsi="Helvetica" w:cs="Helvetica"/>
          <w:color w:val="000000" w:themeColor="text1"/>
          <w:kern w:val="0"/>
          <w:szCs w:val="24"/>
          <w:lang w:eastAsia="en-US"/>
        </w:rPr>
      </w:pPr>
      <w:r w:rsidRPr="004D45B3">
        <w:rPr>
          <w:rFonts w:ascii="Helvetica" w:eastAsia="Aptos" w:hAnsi="Helvetica" w:cs="Helvetica"/>
          <w:color w:val="000000" w:themeColor="text1"/>
          <w:kern w:val="0"/>
          <w:szCs w:val="24"/>
          <w:lang w:eastAsia="en-US"/>
        </w:rPr>
        <w:t>Despite the FCT’s strong understanding and knowledge improving health inequalities, it has several limitations. For instance, providing deterministic information can limit the usefulness of behavioural interventions which are more important for promoting public health outcomes (Rydland et al., 2023). Furthermore, it is difficult to operate or implement theoretical solutions in real life. Concepts such as mechanisms and resource distribution are complex and challenging in practice as these factors are influenced by structure and government activities (</w:t>
      </w:r>
      <w:proofErr w:type="spellStart"/>
      <w:r w:rsidRPr="004D45B3">
        <w:rPr>
          <w:rFonts w:ascii="Helvetica" w:eastAsia="Aptos" w:hAnsi="Helvetica" w:cs="Helvetica"/>
          <w:color w:val="000000" w:themeColor="text1"/>
          <w:kern w:val="0"/>
          <w:szCs w:val="24"/>
          <w:lang w:eastAsia="en-US"/>
        </w:rPr>
        <w:t>Nousak</w:t>
      </w:r>
      <w:proofErr w:type="spellEnd"/>
      <w:r w:rsidRPr="004D45B3">
        <w:rPr>
          <w:rFonts w:ascii="Helvetica" w:eastAsia="Aptos" w:hAnsi="Helvetica" w:cs="Helvetica"/>
          <w:color w:val="000000" w:themeColor="text1"/>
          <w:kern w:val="0"/>
          <w:szCs w:val="24"/>
          <w:lang w:eastAsia="en-US"/>
        </w:rPr>
        <w:t xml:space="preserve">, 2025). </w:t>
      </w:r>
    </w:p>
    <w:p w14:paraId="2B4D3248" w14:textId="77777777" w:rsidR="004D45B3" w:rsidRDefault="004D45B3">
      <w:pPr>
        <w:spacing w:before="280" w:after="14"/>
        <w:rPr>
          <w:rFonts w:ascii="Helvetica" w:eastAsia="Aptos" w:hAnsi="Helvetica" w:cs="Helvetica"/>
          <w:color w:val="000000" w:themeColor="text1"/>
          <w:kern w:val="0"/>
          <w:szCs w:val="24"/>
          <w:lang w:eastAsia="en-US"/>
        </w:rPr>
      </w:pPr>
    </w:p>
    <w:p w14:paraId="3AB1737A" w14:textId="0F36259A"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This may make it difficult to implement these solutions effectively to achieve the desired outcomes. Additionally, FCT does not always provide detailed strategies for implementation, leaving policymakers to interpret how to act better to create more effective policy interventions (Jimoh Amzat, 2024). Despite these limitations, the use of theory promotes a better understanding of healthcare performance and enhances knowledge and policy interventions to improve overall healthcare access quality and the lifestyle of ethnic minority people in the UK (Chidambaram et al., 2024).</w:t>
      </w:r>
    </w:p>
    <w:p w14:paraId="0DBAA58A" w14:textId="77777777" w:rsidR="00634BD0" w:rsidRPr="004D45B3" w:rsidRDefault="00634BD0">
      <w:pPr>
        <w:spacing w:before="280" w:after="14"/>
        <w:rPr>
          <w:rFonts w:ascii="Helvetica" w:eastAsia="Aptos" w:hAnsi="Helvetica" w:cs="Helvetica"/>
          <w:color w:val="000000" w:themeColor="text1"/>
          <w:kern w:val="0"/>
          <w:szCs w:val="24"/>
          <w:lang w:eastAsia="en-US"/>
        </w:rPr>
      </w:pPr>
    </w:p>
    <w:p w14:paraId="44A7EC28" w14:textId="15CDA835"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The use of both the SDH framework and FCT provides a comprehensive understanding of the root causes of healthcare inequalities in the UK. This enables more effective decision-making and policy interventions to promote critical solution resolution and improve the quality of life and health outcomes of ethnic minority people (Thana et al. 2026). T</w:t>
      </w:r>
      <w:r w:rsidRPr="004D45B3">
        <w:rPr>
          <w:rFonts w:eastAsia="Arial" w:cs="Arial"/>
          <w:color w:val="000000" w:themeColor="text1"/>
          <w:szCs w:val="24"/>
        </w:rPr>
        <w:t xml:space="preserve">his chapter reviewed the existing literature on culturally competent care and its impact on reducing health disparities among ethnic minority groups in the UK. It synthesised findings on key healthcare practices, intervention effectiveness, implementation barriers and facilitators, and offered improvement suggestions while highlighting significant gaps in the literature.  </w:t>
      </w:r>
    </w:p>
    <w:p w14:paraId="2D7AB2D3" w14:textId="77777777" w:rsidR="00C33A9F" w:rsidRPr="004D45B3" w:rsidRDefault="00C33A9F">
      <w:pPr>
        <w:pStyle w:val="Heading1"/>
        <w:rPr>
          <w:rFonts w:eastAsia="Arial"/>
          <w:color w:val="000000" w:themeColor="text1"/>
        </w:rPr>
      </w:pPr>
    </w:p>
    <w:p w14:paraId="29FFCE2B" w14:textId="77777777" w:rsidR="00C33A9F" w:rsidRPr="004D45B3" w:rsidRDefault="00C33A9F" w:rsidP="00C33A9F">
      <w:pPr>
        <w:rPr>
          <w:color w:val="000000" w:themeColor="text1"/>
        </w:rPr>
      </w:pPr>
    </w:p>
    <w:p w14:paraId="506614C3" w14:textId="77777777" w:rsidR="00C33A9F" w:rsidRPr="004D45B3" w:rsidRDefault="00C33A9F" w:rsidP="00C33A9F">
      <w:pPr>
        <w:rPr>
          <w:color w:val="000000" w:themeColor="text1"/>
        </w:rPr>
      </w:pPr>
    </w:p>
    <w:p w14:paraId="20334C53" w14:textId="6B03DF8C" w:rsidR="00C33A9F" w:rsidRPr="004D45B3" w:rsidRDefault="00C33A9F">
      <w:pPr>
        <w:suppressAutoHyphens w:val="0"/>
        <w:spacing w:line="276" w:lineRule="auto"/>
        <w:jc w:val="left"/>
        <w:rPr>
          <w:color w:val="000000" w:themeColor="text1"/>
        </w:rPr>
      </w:pPr>
      <w:r w:rsidRPr="004D45B3">
        <w:rPr>
          <w:color w:val="000000" w:themeColor="text1"/>
        </w:rPr>
        <w:br w:type="page"/>
      </w:r>
    </w:p>
    <w:p w14:paraId="32656EB1" w14:textId="1956AEC0" w:rsidR="00BE776A" w:rsidRPr="004D45B3" w:rsidRDefault="0007681E">
      <w:pPr>
        <w:pStyle w:val="Heading1"/>
        <w:rPr>
          <w:b/>
          <w:bCs/>
          <w:color w:val="000000" w:themeColor="text1"/>
        </w:rPr>
      </w:pPr>
      <w:bookmarkStart w:id="25" w:name="_Toc241190012"/>
      <w:r w:rsidRPr="004D45B3">
        <w:rPr>
          <w:rFonts w:eastAsia="Arial"/>
          <w:b/>
          <w:bCs/>
          <w:color w:val="000000" w:themeColor="text1"/>
        </w:rPr>
        <w:t>Chapter 3: Research Methodology</w:t>
      </w:r>
      <w:bookmarkEnd w:id="25"/>
      <w:r w:rsidRPr="004D45B3">
        <w:rPr>
          <w:rFonts w:eastAsia="Arial"/>
          <w:b/>
          <w:bCs/>
          <w:color w:val="000000" w:themeColor="text1"/>
        </w:rPr>
        <w:t xml:space="preserve"> </w:t>
      </w:r>
    </w:p>
    <w:p w14:paraId="78545995" w14:textId="77777777" w:rsidR="00BE776A" w:rsidRPr="004D45B3" w:rsidRDefault="0007681E">
      <w:pPr>
        <w:spacing w:before="280" w:after="0"/>
        <w:rPr>
          <w:rFonts w:eastAsia="Arial" w:cs="Arial"/>
          <w:color w:val="000000" w:themeColor="text1"/>
          <w:szCs w:val="24"/>
        </w:rPr>
      </w:pPr>
      <w:r w:rsidRPr="004D45B3">
        <w:rPr>
          <w:rFonts w:eastAsia="Arial" w:cs="Arial"/>
          <w:color w:val="000000" w:themeColor="text1"/>
          <w:szCs w:val="24"/>
        </w:rPr>
        <w:t xml:space="preserve">This chapter outlines the method used in this secondary data analysis and employs the steps of a qualitative approach employed in the systematic review. It explains the coding and thematic analysis used to analyse the extensive search. </w:t>
      </w:r>
    </w:p>
    <w:p w14:paraId="55A6381F" w14:textId="77777777" w:rsidR="00C33A9F" w:rsidRPr="004D45B3" w:rsidRDefault="00C33A9F">
      <w:pPr>
        <w:pStyle w:val="Heading2"/>
        <w:rPr>
          <w:b/>
          <w:bCs/>
          <w:color w:val="000000" w:themeColor="text1"/>
          <w:sz w:val="28"/>
          <w:szCs w:val="28"/>
        </w:rPr>
      </w:pPr>
    </w:p>
    <w:p w14:paraId="56FDAECD" w14:textId="3F8B14B5" w:rsidR="00BE776A" w:rsidRPr="004D45B3" w:rsidRDefault="0007681E">
      <w:pPr>
        <w:pStyle w:val="Heading2"/>
        <w:rPr>
          <w:color w:val="000000" w:themeColor="text1"/>
        </w:rPr>
      </w:pPr>
      <w:bookmarkStart w:id="26" w:name="_Toc241190013"/>
      <w:r w:rsidRPr="004D45B3">
        <w:rPr>
          <w:b/>
          <w:bCs/>
          <w:color w:val="000000" w:themeColor="text1"/>
          <w:sz w:val="28"/>
          <w:szCs w:val="28"/>
        </w:rPr>
        <w:t>3.1 Research Philosophy</w:t>
      </w:r>
      <w:bookmarkEnd w:id="26"/>
    </w:p>
    <w:p w14:paraId="5D27CA1C" w14:textId="77777777" w:rsidR="00BE776A" w:rsidRPr="004D45B3" w:rsidRDefault="0007681E">
      <w:pPr>
        <w:spacing w:before="280" w:after="0"/>
        <w:rPr>
          <w:color w:val="000000" w:themeColor="text1"/>
        </w:rPr>
      </w:pPr>
      <w:r w:rsidRPr="004D45B3">
        <w:rPr>
          <w:rFonts w:ascii="Helvetica" w:eastAsia="Aptos" w:hAnsi="Helvetica" w:cs="Helvetica"/>
          <w:color w:val="000000" w:themeColor="text1"/>
          <w:kern w:val="0"/>
          <w:szCs w:val="24"/>
          <w:lang w:eastAsia="en-US"/>
        </w:rPr>
        <w:t>Choosing a research philosophy is crucial for gaining valuable knowledge and effectively collecting better data. It also helps in finding reliable solutions to research questions (</w:t>
      </w:r>
      <w:proofErr w:type="spellStart"/>
      <w:r w:rsidRPr="004D45B3">
        <w:rPr>
          <w:rFonts w:ascii="Helvetica" w:eastAsia="Aptos" w:hAnsi="Helvetica" w:cs="Helvetica"/>
          <w:color w:val="000000" w:themeColor="text1"/>
          <w:kern w:val="0"/>
          <w:szCs w:val="24"/>
          <w:lang w:eastAsia="en-US"/>
        </w:rPr>
        <w:t>Mbanaso</w:t>
      </w:r>
      <w:proofErr w:type="spellEnd"/>
      <w:r w:rsidRPr="004D45B3">
        <w:rPr>
          <w:rFonts w:ascii="Helvetica" w:eastAsia="Aptos" w:hAnsi="Helvetica" w:cs="Helvetica"/>
          <w:color w:val="000000" w:themeColor="text1"/>
          <w:kern w:val="0"/>
          <w:szCs w:val="24"/>
          <w:lang w:eastAsia="en-US"/>
        </w:rPr>
        <w:t xml:space="preserve"> Abrahams and </w:t>
      </w:r>
      <w:proofErr w:type="spellStart"/>
      <w:r w:rsidRPr="004D45B3">
        <w:rPr>
          <w:rFonts w:ascii="Helvetica" w:eastAsia="Aptos" w:hAnsi="Helvetica" w:cs="Helvetica"/>
          <w:color w:val="000000" w:themeColor="text1"/>
          <w:kern w:val="0"/>
          <w:szCs w:val="24"/>
          <w:lang w:eastAsia="en-US"/>
        </w:rPr>
        <w:t>Okafor</w:t>
      </w:r>
      <w:proofErr w:type="spellEnd"/>
      <w:r w:rsidRPr="004D45B3">
        <w:rPr>
          <w:rFonts w:ascii="Helvetica" w:eastAsia="Aptos" w:hAnsi="Helvetica" w:cs="Helvetica"/>
          <w:color w:val="000000" w:themeColor="text1"/>
          <w:kern w:val="0"/>
          <w:szCs w:val="24"/>
          <w:lang w:eastAsia="en-US"/>
        </w:rPr>
        <w:t xml:space="preserve"> 2023). Various research philosophies exist including positivism interpretivism realism and pragmatism.  Each philosophy has distinct characteristics guiding data collection.  </w:t>
      </w:r>
      <w:proofErr w:type="spellStart"/>
      <w:r w:rsidRPr="004D45B3">
        <w:rPr>
          <w:rFonts w:ascii="Helvetica" w:eastAsia="Aptos" w:hAnsi="Helvetica" w:cs="Helvetica"/>
          <w:color w:val="000000" w:themeColor="text1"/>
          <w:kern w:val="0"/>
          <w:szCs w:val="24"/>
          <w:lang w:eastAsia="en-US"/>
        </w:rPr>
        <w:t>Junjie</w:t>
      </w:r>
      <w:proofErr w:type="spellEnd"/>
      <w:r w:rsidRPr="004D45B3">
        <w:rPr>
          <w:rFonts w:ascii="Helvetica" w:eastAsia="Aptos" w:hAnsi="Helvetica" w:cs="Helvetica"/>
          <w:color w:val="000000" w:themeColor="text1"/>
          <w:kern w:val="0"/>
          <w:szCs w:val="24"/>
          <w:lang w:eastAsia="en-US"/>
        </w:rPr>
        <w:t xml:space="preserve"> and </w:t>
      </w:r>
      <w:proofErr w:type="spellStart"/>
      <w:r w:rsidRPr="004D45B3">
        <w:rPr>
          <w:rFonts w:ascii="Helvetica" w:eastAsia="Aptos" w:hAnsi="Helvetica" w:cs="Helvetica"/>
          <w:color w:val="000000" w:themeColor="text1"/>
          <w:kern w:val="0"/>
          <w:szCs w:val="24"/>
          <w:lang w:eastAsia="en-US"/>
        </w:rPr>
        <w:t>Yingxin</w:t>
      </w:r>
      <w:proofErr w:type="spellEnd"/>
      <w:r w:rsidRPr="004D45B3">
        <w:rPr>
          <w:rFonts w:ascii="Helvetica" w:eastAsia="Aptos" w:hAnsi="Helvetica" w:cs="Helvetica"/>
          <w:color w:val="000000" w:themeColor="text1"/>
          <w:kern w:val="0"/>
          <w:szCs w:val="24"/>
          <w:lang w:eastAsia="en-US"/>
        </w:rPr>
        <w:t xml:space="preserve"> (2022) found </w:t>
      </w:r>
      <w:proofErr w:type="spellStart"/>
      <w:r w:rsidRPr="004D45B3">
        <w:rPr>
          <w:rFonts w:ascii="Helvetica" w:eastAsia="Aptos" w:hAnsi="Helvetica" w:cs="Helvetica"/>
          <w:color w:val="000000" w:themeColor="text1"/>
          <w:kern w:val="0"/>
          <w:szCs w:val="24"/>
          <w:lang w:eastAsia="en-US"/>
        </w:rPr>
        <w:t>interpretivism</w:t>
      </w:r>
      <w:proofErr w:type="spellEnd"/>
      <w:r w:rsidRPr="004D45B3">
        <w:rPr>
          <w:rFonts w:ascii="Helvetica" w:eastAsia="Aptos" w:hAnsi="Helvetica" w:cs="Helvetica"/>
          <w:color w:val="000000" w:themeColor="text1"/>
          <w:kern w:val="0"/>
          <w:szCs w:val="24"/>
          <w:lang w:eastAsia="en-US"/>
        </w:rPr>
        <w:t xml:space="preserve"> useful for understanding the link between human participation intellect and cultural values in healthcare.  Pragmatism, meanwhile, facilitates qualitative data collection and deeper insights into social phenomena through subjective experience interpretation meaning and context.  Therefore, interpretivism is justified for this research as it examines culturally competent care, focusing on men and women’s interaction values and enhancing understanding of cultural competence’s impact on health outcomes in the UK.</w:t>
      </w:r>
    </w:p>
    <w:p w14:paraId="4B27EF33" w14:textId="77777777" w:rsidR="00C33A9F" w:rsidRPr="004D45B3" w:rsidRDefault="00C33A9F">
      <w:pPr>
        <w:pStyle w:val="Heading2"/>
        <w:rPr>
          <w:b/>
          <w:bCs/>
          <w:color w:val="000000" w:themeColor="text1"/>
          <w:sz w:val="28"/>
          <w:szCs w:val="28"/>
        </w:rPr>
      </w:pPr>
    </w:p>
    <w:p w14:paraId="5A8173A1" w14:textId="64C3EB54" w:rsidR="00BE776A" w:rsidRPr="004D45B3" w:rsidRDefault="0007681E">
      <w:pPr>
        <w:pStyle w:val="Heading2"/>
        <w:rPr>
          <w:color w:val="000000" w:themeColor="text1"/>
        </w:rPr>
      </w:pPr>
      <w:bookmarkStart w:id="27" w:name="_Toc241190014"/>
      <w:r w:rsidRPr="004D45B3">
        <w:rPr>
          <w:b/>
          <w:bCs/>
          <w:color w:val="000000" w:themeColor="text1"/>
          <w:sz w:val="28"/>
          <w:szCs w:val="28"/>
        </w:rPr>
        <w:t>3.2 Research Approach</w:t>
      </w:r>
      <w:bookmarkEnd w:id="27"/>
    </w:p>
    <w:p w14:paraId="333DD110" w14:textId="4C6D6005" w:rsidR="00BE776A" w:rsidRPr="004D45B3" w:rsidRDefault="0007681E">
      <w:pPr>
        <w:spacing w:before="280" w:after="0"/>
        <w:rPr>
          <w:color w:val="000000" w:themeColor="text1"/>
        </w:rPr>
      </w:pPr>
      <w:r w:rsidRPr="004D45B3">
        <w:rPr>
          <w:rFonts w:ascii="Helvetica" w:eastAsia="Aptos" w:hAnsi="Helvetica" w:cs="Helvetica"/>
          <w:color w:val="000000" w:themeColor="text1"/>
          <w:kern w:val="0"/>
          <w:szCs w:val="24"/>
          <w:lang w:eastAsia="en-US"/>
        </w:rPr>
        <w:t>Research approaches enhance our understanding of existing theories and knowledge.  Various approaches exist including deductive, inductive and abductive research. This study specifically adopted an inductive approach (</w:t>
      </w:r>
      <w:proofErr w:type="spellStart"/>
      <w:r w:rsidRPr="004D45B3">
        <w:rPr>
          <w:rFonts w:ascii="Helvetica" w:eastAsia="Aptos" w:hAnsi="Helvetica" w:cs="Helvetica"/>
          <w:color w:val="000000" w:themeColor="text1"/>
          <w:kern w:val="0"/>
          <w:szCs w:val="24"/>
          <w:lang w:eastAsia="en-US"/>
        </w:rPr>
        <w:t>Taherdoost</w:t>
      </w:r>
      <w:proofErr w:type="spellEnd"/>
      <w:r w:rsidRPr="004D45B3">
        <w:rPr>
          <w:rFonts w:ascii="Helvetica" w:eastAsia="Aptos" w:hAnsi="Helvetica" w:cs="Helvetica"/>
          <w:color w:val="000000" w:themeColor="text1"/>
          <w:kern w:val="0"/>
          <w:szCs w:val="24"/>
          <w:lang w:eastAsia="en-US"/>
        </w:rPr>
        <w:t>, 2022). The primary goal of choosing the inductive research approach is to develop and refine new health inequality theories rather than simply synthesising existing literature. This review of empirical studies ultimately enhances the effectiveness of culturally competent interventions within the UK healthcare system (</w:t>
      </w:r>
      <w:proofErr w:type="spellStart"/>
      <w:r w:rsidRPr="004D45B3">
        <w:rPr>
          <w:rFonts w:ascii="Helvetica" w:eastAsia="Aptos" w:hAnsi="Helvetica" w:cs="Helvetica"/>
          <w:color w:val="000000" w:themeColor="text1"/>
          <w:kern w:val="0"/>
          <w:szCs w:val="24"/>
          <w:lang w:eastAsia="en-US"/>
        </w:rPr>
        <w:t>Taherdoost</w:t>
      </w:r>
      <w:proofErr w:type="spellEnd"/>
      <w:r w:rsidRPr="004D45B3">
        <w:rPr>
          <w:rFonts w:ascii="Helvetica" w:eastAsia="Aptos" w:hAnsi="Helvetica" w:cs="Helvetica"/>
          <w:color w:val="000000" w:themeColor="text1"/>
          <w:kern w:val="0"/>
          <w:szCs w:val="24"/>
          <w:lang w:eastAsia="en-US"/>
        </w:rPr>
        <w:t xml:space="preserve">, 2022). </w:t>
      </w:r>
      <w:r w:rsidRPr="004D45B3">
        <w:rPr>
          <w:rFonts w:eastAsia="Arial" w:cs="Arial"/>
          <w:color w:val="000000" w:themeColor="text1"/>
          <w:szCs w:val="24"/>
        </w:rPr>
        <w:t xml:space="preserve"> </w:t>
      </w:r>
    </w:p>
    <w:p w14:paraId="658A2A07" w14:textId="77777777" w:rsidR="00BE776A" w:rsidRPr="004D45B3" w:rsidRDefault="0007681E">
      <w:pPr>
        <w:pStyle w:val="Heading2"/>
        <w:rPr>
          <w:color w:val="000000" w:themeColor="text1"/>
        </w:rPr>
      </w:pPr>
      <w:bookmarkStart w:id="28" w:name="_Toc241190015"/>
      <w:r w:rsidRPr="004D45B3">
        <w:rPr>
          <w:b/>
          <w:bCs/>
          <w:color w:val="000000" w:themeColor="text1"/>
          <w:sz w:val="28"/>
          <w:szCs w:val="28"/>
        </w:rPr>
        <w:t>3.3 Research Design: Systematic Literature Review</w:t>
      </w:r>
      <w:bookmarkEnd w:id="28"/>
    </w:p>
    <w:p w14:paraId="007B38DF" w14:textId="77777777" w:rsidR="00BE776A" w:rsidRPr="004D45B3" w:rsidRDefault="0007681E">
      <w:pPr>
        <w:spacing w:before="280" w:after="0"/>
        <w:rPr>
          <w:color w:val="000000" w:themeColor="text1"/>
        </w:rPr>
      </w:pPr>
      <w:r w:rsidRPr="004D45B3">
        <w:rPr>
          <w:rFonts w:eastAsia="Arial" w:cs="Arial"/>
          <w:color w:val="000000" w:themeColor="text1"/>
          <w:szCs w:val="24"/>
        </w:rPr>
        <w:t xml:space="preserve">This research study adopted a qualitative approach by synthesising qualitative evidence from existing literature also known as a secondary data analysis. Qualitative data comprise non-numerical information describing experiences and perspectives, while secondary data are information previously collected by other researchers; both are suitable for this systematic review because they enable synthesis of existing evidence on ethnic minorities’ experiences, inequalities and culturally competent care. </w:t>
      </w:r>
      <w:r w:rsidRPr="004D45B3">
        <w:rPr>
          <w:rFonts w:ascii="Helvetica" w:eastAsia="Aptos" w:hAnsi="Helvetica" w:cs="Helvetica"/>
          <w:color w:val="000000" w:themeColor="text1"/>
          <w:kern w:val="0"/>
          <w:szCs w:val="24"/>
          <w:lang w:eastAsia="en-US"/>
        </w:rPr>
        <w:t>Adopting a systematic literature review offers a structured and rigorous approach to identifying evaluating and synthesising relevant research evidence on a specific topic.  This method also enhances transparency and minimises bias in research processes, ultimately boosting the credibility, validity and reliability of the findings.  Furthermore, systematic literature reviews encourage the use of established guidelines like PRISMA and secondary databases such as PubMed, Scopus and Google Scholar to gather high-quality evidence (Chigbu, Atiku and Du Plessis, 2023). Therefore, conducting a systematic literature review was justified for this research to ensure reliable and valid results.</w:t>
      </w:r>
    </w:p>
    <w:p w14:paraId="4AF755DB" w14:textId="77777777" w:rsidR="00C33A9F" w:rsidRPr="004D45B3" w:rsidRDefault="00C33A9F">
      <w:pPr>
        <w:pStyle w:val="Heading2"/>
        <w:rPr>
          <w:b/>
          <w:bCs/>
          <w:color w:val="000000" w:themeColor="text1"/>
          <w:sz w:val="28"/>
          <w:szCs w:val="28"/>
        </w:rPr>
      </w:pPr>
    </w:p>
    <w:p w14:paraId="12416CD3" w14:textId="561050C4" w:rsidR="00BE776A" w:rsidRPr="004D45B3" w:rsidRDefault="0007681E">
      <w:pPr>
        <w:pStyle w:val="Heading2"/>
        <w:rPr>
          <w:color w:val="000000" w:themeColor="text1"/>
        </w:rPr>
      </w:pPr>
      <w:bookmarkStart w:id="29" w:name="_Toc241190016"/>
      <w:r w:rsidRPr="004D45B3">
        <w:rPr>
          <w:b/>
          <w:bCs/>
          <w:color w:val="000000" w:themeColor="text1"/>
          <w:sz w:val="28"/>
          <w:szCs w:val="28"/>
        </w:rPr>
        <w:t>3.4 Review Protocol and Reporting Guideline (PRISMA)</w:t>
      </w:r>
      <w:bookmarkEnd w:id="29"/>
    </w:p>
    <w:p w14:paraId="72F89BC3" w14:textId="71C9CCF1" w:rsidR="00BE776A" w:rsidRPr="004D45B3" w:rsidRDefault="0007681E">
      <w:pPr>
        <w:spacing w:before="280" w:after="0"/>
        <w:rPr>
          <w:color w:val="000000" w:themeColor="text1"/>
        </w:rPr>
      </w:pPr>
      <w:r w:rsidRPr="004D45B3">
        <w:rPr>
          <w:rFonts w:ascii="Helvetica" w:eastAsia="Aptos" w:hAnsi="Helvetica" w:cs="Helvetica"/>
          <w:color w:val="000000" w:themeColor="text1"/>
          <w:kern w:val="0"/>
          <w:szCs w:val="24"/>
          <w:lang w:eastAsia="en-US"/>
        </w:rPr>
        <w:t xml:space="preserve">PRISMA offers a structured approach to systematic literature reviews by promoting transparency, consistency and replicability in reporting research findings (David et al., 2023). The framework follows a clear sequence of steps to identify and synthesise relevant evidence. First, researchers identify records through database searching and other sources. Second, duplicate records are removed. Third, titles and abstracts are screened against the eligibility criteria. Fourth, potentially relevant studies are assessed through full-text screening. Finally, eligible studies are included in the </w:t>
      </w:r>
      <w:r w:rsidR="00634BD0" w:rsidRPr="004D45B3">
        <w:rPr>
          <w:rFonts w:ascii="Helvetica" w:eastAsia="Aptos" w:hAnsi="Helvetica" w:cs="Helvetica"/>
          <w:color w:val="000000" w:themeColor="text1"/>
          <w:kern w:val="0"/>
          <w:szCs w:val="24"/>
          <w:lang w:eastAsia="en-US"/>
        </w:rPr>
        <w:t>review,</w:t>
      </w:r>
      <w:r w:rsidRPr="004D45B3">
        <w:rPr>
          <w:rFonts w:ascii="Helvetica" w:eastAsia="Aptos" w:hAnsi="Helvetica" w:cs="Helvetica"/>
          <w:color w:val="000000" w:themeColor="text1"/>
          <w:kern w:val="0"/>
          <w:szCs w:val="24"/>
          <w:lang w:eastAsia="en-US"/>
        </w:rPr>
        <w:t xml:space="preserve"> and their findings are extracted, analysed and synthesised. This process enables researchers to document study selection systematically and provides a transparent basis for reporting the final evidence. This enables researchers to effectively collect peer-reviewed journal articles and achieve better quality outcomes. This aligns with research objectives through the use of inclusion and exclusion criteria.</w:t>
      </w:r>
    </w:p>
    <w:p w14:paraId="467C8DA0" w14:textId="77777777" w:rsidR="00BE776A" w:rsidRPr="004D45B3" w:rsidRDefault="0007681E">
      <w:pPr>
        <w:pStyle w:val="Heading2"/>
        <w:rPr>
          <w:b/>
          <w:bCs/>
          <w:color w:val="000000" w:themeColor="text1"/>
          <w:sz w:val="28"/>
          <w:szCs w:val="28"/>
        </w:rPr>
      </w:pPr>
      <w:bookmarkStart w:id="30" w:name="_Toc241190017"/>
      <w:r w:rsidRPr="004D45B3">
        <w:rPr>
          <w:b/>
          <w:bCs/>
          <w:color w:val="000000" w:themeColor="text1"/>
          <w:sz w:val="28"/>
          <w:szCs w:val="28"/>
        </w:rPr>
        <w:t>3.5 Search Strategy</w:t>
      </w:r>
      <w:bookmarkEnd w:id="30"/>
    </w:p>
    <w:p w14:paraId="33520612" w14:textId="77777777" w:rsidR="00BE776A" w:rsidRPr="004D45B3" w:rsidRDefault="0007681E">
      <w:pPr>
        <w:spacing w:before="280" w:after="14"/>
        <w:rPr>
          <w:color w:val="000000" w:themeColor="text1"/>
        </w:rPr>
      </w:pPr>
      <w:r w:rsidRPr="004D45B3">
        <w:rPr>
          <w:rFonts w:ascii="Helvetica" w:eastAsia="Aptos" w:hAnsi="Helvetica" w:cs="Helvetica"/>
          <w:color w:val="000000" w:themeColor="text1"/>
          <w:kern w:val="0"/>
          <w:szCs w:val="24"/>
          <w:lang w:eastAsia="en-US"/>
        </w:rPr>
        <w:t>To ensure the effectiveness and efficiency of the systematic search strategy, a nonselective approach was developed to locate all relevant peer-reviewed literature. The strategy was transparent and reproducible. Searches were conducted in five major academic databases from 2016 to 2026: Scopus, PubMed, and Google Scholar. Keywords used with Boolean operators (AND/OR) included ‘culturally competent care’, ‘cultural competence’, ‘health inequalities’, ‘health disparities’, ‘ethnic minority communities’, ‘racial and ethnic minorities’, ‘healthcare access’, ‘patient outcomes’ and ‘the United Kingdom’.</w:t>
      </w:r>
    </w:p>
    <w:p w14:paraId="2227C0D1" w14:textId="77777777" w:rsidR="00C33A9F" w:rsidRPr="004D45B3" w:rsidRDefault="00C33A9F">
      <w:pPr>
        <w:spacing w:before="280" w:after="14"/>
        <w:rPr>
          <w:rFonts w:eastAsia="Arial" w:cs="Arial"/>
          <w:color w:val="000000" w:themeColor="text1"/>
          <w:szCs w:val="24"/>
        </w:rPr>
      </w:pPr>
    </w:p>
    <w:p w14:paraId="6CBFBD4C" w14:textId="0DA5868E" w:rsidR="00BE776A" w:rsidRPr="004D45B3" w:rsidRDefault="0007681E">
      <w:pPr>
        <w:spacing w:before="280" w:after="14"/>
        <w:rPr>
          <w:rFonts w:eastAsia="Arial" w:cs="Arial"/>
          <w:color w:val="000000" w:themeColor="text1"/>
          <w:szCs w:val="24"/>
        </w:rPr>
      </w:pPr>
      <w:r w:rsidRPr="004D45B3">
        <w:rPr>
          <w:rFonts w:eastAsia="Arial" w:cs="Arial"/>
          <w:color w:val="000000" w:themeColor="text1"/>
          <w:szCs w:val="24"/>
        </w:rPr>
        <w:t xml:space="preserve">The review included peer-reviewed journal articles written in English in the UK healthcare setting, and published in 2016-2026, and comprising the results of the culturally competent intervention. Perpetual studies encompassed systematic reviews, meta-analyses, quantitative and qualitative empirical studies as well as mixed-method studies and landmark articles which contributed to the evidence base. Abstracts of the conferences, editorials/opinion papers, studies conducted or carried out outside the UK and not transferable in terms of their findings were filtered out. The process of filtering titles and abstracts, reading full-text and analysing quality using the Critical Appraisal Skills Programme (CASP) checklist was applied to select the most relevant articles. </w:t>
      </w:r>
    </w:p>
    <w:p w14:paraId="6EEA39C6" w14:textId="77777777" w:rsidR="00C33A9F" w:rsidRPr="004D45B3" w:rsidRDefault="00C33A9F">
      <w:pPr>
        <w:spacing w:before="280" w:after="0"/>
        <w:rPr>
          <w:rFonts w:eastAsia="Arial" w:cs="Arial"/>
          <w:color w:val="000000" w:themeColor="text1"/>
          <w:szCs w:val="24"/>
        </w:rPr>
      </w:pPr>
    </w:p>
    <w:p w14:paraId="12CE07DF" w14:textId="6A1CD37C" w:rsidR="00BE776A" w:rsidRPr="004D45B3" w:rsidRDefault="0007681E">
      <w:pPr>
        <w:spacing w:before="280" w:after="0"/>
        <w:rPr>
          <w:rFonts w:eastAsia="Arial" w:cs="Arial"/>
          <w:color w:val="000000" w:themeColor="text1"/>
          <w:szCs w:val="24"/>
        </w:rPr>
      </w:pPr>
      <w:r w:rsidRPr="004D45B3">
        <w:rPr>
          <w:rFonts w:eastAsia="Arial" w:cs="Arial"/>
          <w:color w:val="000000" w:themeColor="text1"/>
          <w:szCs w:val="24"/>
        </w:rPr>
        <w:t xml:space="preserve">A search strategy is used to systematically identify, locate and retrieve relevant studies that address the research question (MacFarlane, Russell-Rose and </w:t>
      </w:r>
      <w:proofErr w:type="spellStart"/>
      <w:r w:rsidRPr="004D45B3">
        <w:rPr>
          <w:rFonts w:eastAsia="Arial" w:cs="Arial"/>
          <w:color w:val="000000" w:themeColor="text1"/>
          <w:szCs w:val="24"/>
        </w:rPr>
        <w:t>Shokraneh</w:t>
      </w:r>
      <w:proofErr w:type="spellEnd"/>
      <w:r w:rsidRPr="004D45B3">
        <w:rPr>
          <w:rFonts w:eastAsia="Arial" w:cs="Arial"/>
          <w:color w:val="000000" w:themeColor="text1"/>
          <w:szCs w:val="24"/>
        </w:rPr>
        <w:t xml:space="preserve">, 2022). It effectively promotes a systematic process to identify, locate and collect relevant data from relevant sources. A fast strategy promotes a better data collection process transparently, comprehensively, and reproducibly (MacFarlane, Russell-Rose and </w:t>
      </w:r>
      <w:proofErr w:type="spellStart"/>
      <w:r w:rsidRPr="004D45B3">
        <w:rPr>
          <w:rFonts w:eastAsia="Arial" w:cs="Arial"/>
          <w:color w:val="000000" w:themeColor="text1"/>
          <w:szCs w:val="24"/>
        </w:rPr>
        <w:t>Shokraneh</w:t>
      </w:r>
      <w:proofErr w:type="spellEnd"/>
      <w:r w:rsidRPr="004D45B3">
        <w:rPr>
          <w:rFonts w:eastAsia="Arial" w:cs="Arial"/>
          <w:color w:val="000000" w:themeColor="text1"/>
          <w:szCs w:val="24"/>
        </w:rPr>
        <w:t xml:space="preserve">, 2023). This research study has implemented an extensive database search strategy using the following keywords found in table 1.                               </w:t>
      </w:r>
    </w:p>
    <w:tbl>
      <w:tblPr>
        <w:tblW w:w="5000" w:type="pct"/>
        <w:tblLayout w:type="fixed"/>
        <w:tblCellMar>
          <w:left w:w="10" w:type="dxa"/>
          <w:right w:w="10" w:type="dxa"/>
        </w:tblCellMar>
        <w:tblLook w:val="0000" w:firstRow="0" w:lastRow="0" w:firstColumn="0" w:lastColumn="0" w:noHBand="0" w:noVBand="0"/>
      </w:tblPr>
      <w:tblGrid>
        <w:gridCol w:w="2050"/>
        <w:gridCol w:w="6956"/>
      </w:tblGrid>
      <w:tr w:rsidR="00BE776A" w:rsidRPr="004D45B3" w14:paraId="123FB82D" w14:textId="77777777">
        <w:trPr>
          <w:trHeight w:val="500"/>
        </w:trPr>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0A1D9" w14:textId="77777777" w:rsidR="00BE776A" w:rsidRPr="004D45B3" w:rsidRDefault="0007681E">
            <w:pPr>
              <w:spacing w:after="0"/>
              <w:jc w:val="center"/>
              <w:rPr>
                <w:rFonts w:eastAsia="Arial" w:cs="Arial"/>
                <w:b/>
                <w:bCs/>
                <w:color w:val="000000" w:themeColor="text1"/>
                <w:szCs w:val="24"/>
              </w:rPr>
            </w:pPr>
            <w:r w:rsidRPr="004D45B3">
              <w:rPr>
                <w:rFonts w:eastAsia="Arial" w:cs="Arial"/>
                <w:b/>
                <w:bCs/>
                <w:color w:val="000000" w:themeColor="text1"/>
                <w:szCs w:val="24"/>
              </w:rPr>
              <w:t>Concept</w:t>
            </w:r>
          </w:p>
        </w:tc>
        <w:tc>
          <w:tcPr>
            <w:tcW w:w="695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A1DBF45" w14:textId="77777777" w:rsidR="00BE776A" w:rsidRPr="004D45B3" w:rsidRDefault="0007681E">
            <w:pPr>
              <w:spacing w:after="0"/>
              <w:jc w:val="center"/>
              <w:rPr>
                <w:rFonts w:eastAsia="Arial" w:cs="Arial"/>
                <w:b/>
                <w:bCs/>
                <w:color w:val="000000" w:themeColor="text1"/>
                <w:szCs w:val="24"/>
              </w:rPr>
            </w:pPr>
            <w:r w:rsidRPr="004D45B3">
              <w:rPr>
                <w:rFonts w:eastAsia="Arial" w:cs="Arial"/>
                <w:b/>
                <w:bCs/>
                <w:color w:val="000000" w:themeColor="text1"/>
                <w:szCs w:val="24"/>
              </w:rPr>
              <w:t>Search Terms</w:t>
            </w:r>
          </w:p>
        </w:tc>
      </w:tr>
      <w:tr w:rsidR="00BE776A" w:rsidRPr="004D45B3" w14:paraId="61780145" w14:textId="77777777">
        <w:trPr>
          <w:trHeight w:val="770"/>
        </w:trPr>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893E5C"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Culturally Competent Care</w:t>
            </w:r>
          </w:p>
        </w:tc>
        <w:tc>
          <w:tcPr>
            <w:tcW w:w="695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92A291C"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"cultural competence" OR "culturally competent care" OR "culturally tailored care" OR "cross-cultural care"</w:t>
            </w:r>
          </w:p>
        </w:tc>
      </w:tr>
      <w:tr w:rsidR="00BE776A" w:rsidRPr="004D45B3" w14:paraId="06F844AA" w14:textId="77777777">
        <w:trPr>
          <w:trHeight w:val="500"/>
        </w:trPr>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D595B2"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Health Inequalities</w:t>
            </w:r>
          </w:p>
        </w:tc>
        <w:tc>
          <w:tcPr>
            <w:tcW w:w="695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3DCC181"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"health inequality" OR "health disparity" OR "health inequity"</w:t>
            </w:r>
          </w:p>
        </w:tc>
      </w:tr>
      <w:tr w:rsidR="00BE776A" w:rsidRPr="004D45B3" w14:paraId="1381E322" w14:textId="77777777">
        <w:trPr>
          <w:trHeight w:val="770"/>
        </w:trPr>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6ED637"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Ethnic Minority Communities</w:t>
            </w:r>
          </w:p>
        </w:tc>
        <w:tc>
          <w:tcPr>
            <w:tcW w:w="695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01CFF7B"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"ethnic minority" OR "BAME" OR "migrant population*" OR "immigrant"</w:t>
            </w:r>
          </w:p>
        </w:tc>
      </w:tr>
      <w:tr w:rsidR="00BE776A" w:rsidRPr="004D45B3" w14:paraId="2DC66E95" w14:textId="77777777">
        <w:trPr>
          <w:trHeight w:val="500"/>
        </w:trPr>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F353D5"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UK Context</w:t>
            </w:r>
          </w:p>
        </w:tc>
        <w:tc>
          <w:tcPr>
            <w:tcW w:w="695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9E41355"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"United Kingdom" OR "UK" OR "England" OR "Scotland"</w:t>
            </w:r>
          </w:p>
        </w:tc>
      </w:tr>
      <w:tr w:rsidR="00BE776A" w:rsidRPr="004D45B3" w14:paraId="71B6273B" w14:textId="77777777">
        <w:trPr>
          <w:trHeight w:val="1040"/>
        </w:trPr>
        <w:tc>
          <w:tcPr>
            <w:tcW w:w="2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D27A4"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Final Search String</w:t>
            </w:r>
          </w:p>
        </w:tc>
        <w:tc>
          <w:tcPr>
            <w:tcW w:w="695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2368C6E"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("cultural competence" OR "culturally competent care") AND ("health inequality" OR "health disparity") AND ("ethnic minority" OR "BAME") AND ("United Kingdom" OR "UK")</w:t>
            </w:r>
          </w:p>
        </w:tc>
      </w:tr>
    </w:tbl>
    <w:p w14:paraId="740C0960" w14:textId="77777777" w:rsidR="00BE776A" w:rsidRPr="004D45B3" w:rsidRDefault="0007681E">
      <w:pPr>
        <w:pStyle w:val="Heading5"/>
        <w:jc w:val="center"/>
        <w:rPr>
          <w:color w:val="000000" w:themeColor="text1"/>
        </w:rPr>
      </w:pPr>
      <w:bookmarkStart w:id="31" w:name="_Toc240899405"/>
      <w:r w:rsidRPr="004D45B3">
        <w:rPr>
          <w:i/>
          <w:iCs/>
          <w:color w:val="000000" w:themeColor="text1"/>
          <w:sz w:val="22"/>
          <w:szCs w:val="21"/>
        </w:rPr>
        <w:t>Table 1: Boolean words used in search strategy</w:t>
      </w:r>
      <w:bookmarkEnd w:id="31"/>
    </w:p>
    <w:p w14:paraId="56E574CE" w14:textId="77777777" w:rsidR="00C33A9F" w:rsidRPr="004D45B3" w:rsidRDefault="00C33A9F">
      <w:pPr>
        <w:spacing w:before="280" w:after="0"/>
        <w:rPr>
          <w:rFonts w:ascii="Helvetica" w:eastAsia="Aptos" w:hAnsi="Helvetica" w:cs="Helvetica"/>
          <w:color w:val="000000" w:themeColor="text1"/>
          <w:kern w:val="0"/>
          <w:szCs w:val="24"/>
          <w:lang w:eastAsia="en-US"/>
        </w:rPr>
      </w:pPr>
    </w:p>
    <w:p w14:paraId="0CD0AD53" w14:textId="0CB4FB16" w:rsidR="00BE776A" w:rsidRPr="004D45B3" w:rsidRDefault="0007681E">
      <w:pPr>
        <w:spacing w:before="280" w:after="0"/>
        <w:rPr>
          <w:color w:val="000000" w:themeColor="text1"/>
        </w:rPr>
      </w:pPr>
      <w:r w:rsidRPr="004D45B3">
        <w:rPr>
          <w:rFonts w:ascii="Helvetica" w:eastAsia="Aptos" w:hAnsi="Helvetica" w:cs="Helvetica"/>
          <w:color w:val="000000" w:themeColor="text1"/>
          <w:kern w:val="0"/>
          <w:szCs w:val="24"/>
          <w:lang w:eastAsia="en-US"/>
        </w:rPr>
        <w:t xml:space="preserve">A thorough search employing specific keywords </w:t>
      </w:r>
      <w:r w:rsidRPr="004D45B3">
        <w:rPr>
          <w:rFonts w:eastAsia="Arial" w:cs="Arial"/>
          <w:color w:val="000000" w:themeColor="text1"/>
          <w:szCs w:val="24"/>
        </w:rPr>
        <w:t xml:space="preserve">called Boolean operators like “AND” and “OR” relevant to the research topic </w:t>
      </w:r>
      <w:r w:rsidR="00C33A9F" w:rsidRPr="004D45B3">
        <w:rPr>
          <w:rFonts w:eastAsia="Arial" w:cs="Arial"/>
          <w:color w:val="000000" w:themeColor="text1"/>
          <w:szCs w:val="24"/>
        </w:rPr>
        <w:t>of Exploring</w:t>
      </w:r>
      <w:r w:rsidRPr="004D45B3">
        <w:rPr>
          <w:rFonts w:eastAsia="Arial" w:cs="Arial"/>
          <w:color w:val="000000" w:themeColor="text1"/>
          <w:szCs w:val="24"/>
        </w:rPr>
        <w:t xml:space="preserve"> the Effectiveness of Culturally Competent Care in Reducing Health Inequalities among Ethnic Minority Communities in the UK: A Systematic Literature Review. A search train where search in the available databases such as Google Scholar, ProQuest and PubMed. This research has selected these databases as they ensure broad coverage of medical, nursing, and social science research relevant article channels and books, which help to address culturally competent care and health inequalities present in the UK (</w:t>
      </w:r>
      <w:proofErr w:type="spellStart"/>
      <w:r w:rsidRPr="004D45B3">
        <w:rPr>
          <w:rFonts w:eastAsia="Arial" w:cs="Arial"/>
          <w:color w:val="000000" w:themeColor="text1"/>
          <w:szCs w:val="24"/>
        </w:rPr>
        <w:t>Gusenbauer</w:t>
      </w:r>
      <w:proofErr w:type="spellEnd"/>
      <w:r w:rsidRPr="004D45B3">
        <w:rPr>
          <w:rFonts w:eastAsia="Arial" w:cs="Arial"/>
          <w:color w:val="000000" w:themeColor="text1"/>
          <w:szCs w:val="24"/>
        </w:rPr>
        <w:t xml:space="preserve"> and </w:t>
      </w:r>
      <w:proofErr w:type="spellStart"/>
      <w:r w:rsidRPr="004D45B3">
        <w:rPr>
          <w:rFonts w:eastAsia="Arial" w:cs="Arial"/>
          <w:color w:val="000000" w:themeColor="text1"/>
          <w:szCs w:val="24"/>
        </w:rPr>
        <w:t>Haddaway</w:t>
      </w:r>
      <w:proofErr w:type="spellEnd"/>
      <w:r w:rsidRPr="004D45B3">
        <w:rPr>
          <w:rFonts w:eastAsia="Arial" w:cs="Arial"/>
          <w:color w:val="000000" w:themeColor="text1"/>
          <w:szCs w:val="24"/>
        </w:rPr>
        <w:t>, 2020).</w:t>
      </w:r>
    </w:p>
    <w:p w14:paraId="037ACDB9" w14:textId="77777777" w:rsidR="00C33A9F" w:rsidRPr="004D45B3" w:rsidRDefault="00C33A9F">
      <w:pPr>
        <w:pStyle w:val="Heading2"/>
        <w:rPr>
          <w:b/>
          <w:bCs/>
          <w:color w:val="000000" w:themeColor="text1"/>
          <w:sz w:val="28"/>
          <w:szCs w:val="28"/>
        </w:rPr>
      </w:pPr>
    </w:p>
    <w:p w14:paraId="50DEE314" w14:textId="77777777" w:rsidR="00C33A9F" w:rsidRPr="004D45B3" w:rsidRDefault="00C33A9F">
      <w:pPr>
        <w:suppressAutoHyphens w:val="0"/>
        <w:spacing w:line="276" w:lineRule="auto"/>
        <w:jc w:val="left"/>
        <w:rPr>
          <w:rFonts w:ascii="Aptos Display" w:hAnsi="Aptos Display"/>
          <w:b/>
          <w:bCs/>
          <w:color w:val="000000" w:themeColor="text1"/>
          <w:sz w:val="28"/>
          <w:szCs w:val="28"/>
        </w:rPr>
      </w:pPr>
      <w:r w:rsidRPr="004D45B3">
        <w:rPr>
          <w:b/>
          <w:bCs/>
          <w:color w:val="000000" w:themeColor="text1"/>
          <w:sz w:val="28"/>
          <w:szCs w:val="28"/>
        </w:rPr>
        <w:br w:type="page"/>
      </w:r>
    </w:p>
    <w:p w14:paraId="3C960FF6" w14:textId="78C8F7FF" w:rsidR="00BE776A" w:rsidRPr="004D45B3" w:rsidRDefault="0007681E">
      <w:pPr>
        <w:pStyle w:val="Heading2"/>
        <w:rPr>
          <w:color w:val="000000" w:themeColor="text1"/>
        </w:rPr>
      </w:pPr>
      <w:bookmarkStart w:id="32" w:name="_Toc241190018"/>
      <w:r w:rsidRPr="004D45B3">
        <w:rPr>
          <w:b/>
          <w:bCs/>
          <w:color w:val="000000" w:themeColor="text1"/>
          <w:sz w:val="28"/>
          <w:szCs w:val="28"/>
        </w:rPr>
        <w:t>3.6 Inclusion and Exclusion Criteria</w:t>
      </w:r>
      <w:bookmarkEnd w:id="32"/>
    </w:p>
    <w:tbl>
      <w:tblPr>
        <w:tblW w:w="9345" w:type="dxa"/>
        <w:tblInd w:w="16" w:type="dxa"/>
        <w:tblLayout w:type="fixed"/>
        <w:tblCellMar>
          <w:left w:w="10" w:type="dxa"/>
          <w:right w:w="10" w:type="dxa"/>
        </w:tblCellMar>
        <w:tblLook w:val="0000" w:firstRow="0" w:lastRow="0" w:firstColumn="0" w:lastColumn="0" w:noHBand="0" w:noVBand="0"/>
      </w:tblPr>
      <w:tblGrid>
        <w:gridCol w:w="1365"/>
        <w:gridCol w:w="4110"/>
        <w:gridCol w:w="3870"/>
      </w:tblGrid>
      <w:tr w:rsidR="00BE776A" w:rsidRPr="004D45B3" w14:paraId="1A256258" w14:textId="77777777">
        <w:trPr>
          <w:trHeight w:val="500"/>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EF1CCB" w14:textId="77777777" w:rsidR="00BE776A" w:rsidRPr="004D45B3" w:rsidRDefault="0007681E">
            <w:pPr>
              <w:spacing w:after="0"/>
              <w:jc w:val="center"/>
              <w:rPr>
                <w:rFonts w:eastAsia="Arial" w:cs="Arial"/>
                <w:b/>
                <w:bCs/>
                <w:color w:val="000000" w:themeColor="text1"/>
                <w:szCs w:val="24"/>
              </w:rPr>
            </w:pPr>
            <w:r w:rsidRPr="004D45B3">
              <w:rPr>
                <w:rFonts w:eastAsia="Arial" w:cs="Arial"/>
                <w:b/>
                <w:bCs/>
                <w:color w:val="000000" w:themeColor="text1"/>
                <w:szCs w:val="24"/>
              </w:rPr>
              <w:t>Criteria</w:t>
            </w:r>
          </w:p>
        </w:tc>
        <w:tc>
          <w:tcPr>
            <w:tcW w:w="411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7307C13" w14:textId="77777777" w:rsidR="00BE776A" w:rsidRPr="004D45B3" w:rsidRDefault="0007681E">
            <w:pPr>
              <w:spacing w:after="0"/>
              <w:jc w:val="center"/>
              <w:rPr>
                <w:rFonts w:eastAsia="Arial" w:cs="Arial"/>
                <w:b/>
                <w:bCs/>
                <w:color w:val="000000" w:themeColor="text1"/>
                <w:szCs w:val="24"/>
              </w:rPr>
            </w:pPr>
            <w:r w:rsidRPr="004D45B3">
              <w:rPr>
                <w:rFonts w:eastAsia="Arial" w:cs="Arial"/>
                <w:b/>
                <w:bCs/>
                <w:color w:val="000000" w:themeColor="text1"/>
                <w:szCs w:val="24"/>
              </w:rPr>
              <w:t>Inclusion Criteria</w:t>
            </w:r>
          </w:p>
        </w:tc>
        <w:tc>
          <w:tcPr>
            <w:tcW w:w="38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A14C70F" w14:textId="77777777" w:rsidR="00BE776A" w:rsidRPr="004D45B3" w:rsidRDefault="0007681E">
            <w:pPr>
              <w:spacing w:after="0"/>
              <w:jc w:val="center"/>
              <w:rPr>
                <w:rFonts w:eastAsia="Arial" w:cs="Arial"/>
                <w:b/>
                <w:bCs/>
                <w:color w:val="000000" w:themeColor="text1"/>
                <w:szCs w:val="24"/>
              </w:rPr>
            </w:pPr>
            <w:r w:rsidRPr="004D45B3">
              <w:rPr>
                <w:rFonts w:eastAsia="Arial" w:cs="Arial"/>
                <w:b/>
                <w:bCs/>
                <w:color w:val="000000" w:themeColor="text1"/>
                <w:szCs w:val="24"/>
              </w:rPr>
              <w:t>Exclusion Criteria</w:t>
            </w:r>
          </w:p>
        </w:tc>
      </w:tr>
      <w:tr w:rsidR="00BE776A" w:rsidRPr="004D45B3" w14:paraId="761F1584" w14:textId="77777777">
        <w:trPr>
          <w:trHeight w:val="1040"/>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A7FEB"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Study Type</w:t>
            </w:r>
          </w:p>
        </w:tc>
        <w:tc>
          <w:tcPr>
            <w:tcW w:w="411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A4A2BD2"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Peer-reviewed empirical studies (such as randomised controlled trials, cohort studies, mixed-methods studies)</w:t>
            </w:r>
          </w:p>
        </w:tc>
        <w:tc>
          <w:tcPr>
            <w:tcW w:w="38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A7FDBC6"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Editorials, opinion pieces, book reviews, and grey literature</w:t>
            </w:r>
          </w:p>
        </w:tc>
      </w:tr>
      <w:tr w:rsidR="00BE776A" w:rsidRPr="004D45B3" w14:paraId="4677F038" w14:textId="77777777">
        <w:trPr>
          <w:trHeight w:val="770"/>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959F2"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Language</w:t>
            </w:r>
          </w:p>
        </w:tc>
        <w:tc>
          <w:tcPr>
            <w:tcW w:w="411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D4C6F75"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Studies published in English</w:t>
            </w:r>
          </w:p>
        </w:tc>
        <w:tc>
          <w:tcPr>
            <w:tcW w:w="38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85CAD79"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Non-English studies without verified translations</w:t>
            </w:r>
          </w:p>
        </w:tc>
      </w:tr>
      <w:tr w:rsidR="00BE776A" w:rsidRPr="004D45B3" w14:paraId="783B1D4A" w14:textId="77777777">
        <w:trPr>
          <w:trHeight w:val="1040"/>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477874"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Focus</w:t>
            </w:r>
          </w:p>
        </w:tc>
        <w:tc>
          <w:tcPr>
            <w:tcW w:w="411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AE4A108"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Studies directly evaluating cultural competence interventions and their impact on ethnic minority health outcomes</w:t>
            </w:r>
          </w:p>
        </w:tc>
        <w:tc>
          <w:tcPr>
            <w:tcW w:w="38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0026DCE"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Studies discussing general health inequalities without focus on cultural care</w:t>
            </w:r>
          </w:p>
        </w:tc>
      </w:tr>
      <w:tr w:rsidR="00BE776A" w:rsidRPr="004D45B3" w14:paraId="1DB02AFD" w14:textId="77777777">
        <w:trPr>
          <w:trHeight w:val="500"/>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F89F0"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Timeframe</w:t>
            </w:r>
          </w:p>
        </w:tc>
        <w:tc>
          <w:tcPr>
            <w:tcW w:w="411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0BB85D8"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Studies published between 2016 and 2026</w:t>
            </w:r>
          </w:p>
        </w:tc>
        <w:tc>
          <w:tcPr>
            <w:tcW w:w="38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50A7827"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Studies published before 2016</w:t>
            </w:r>
          </w:p>
        </w:tc>
      </w:tr>
    </w:tbl>
    <w:p w14:paraId="0A6DF5F1" w14:textId="77777777" w:rsidR="00BE776A" w:rsidRPr="004D45B3" w:rsidRDefault="0007681E">
      <w:pPr>
        <w:pStyle w:val="Heading5"/>
        <w:jc w:val="center"/>
        <w:rPr>
          <w:color w:val="000000" w:themeColor="text1"/>
        </w:rPr>
      </w:pPr>
      <w:bookmarkStart w:id="33" w:name="_Toc240899406"/>
      <w:r w:rsidRPr="004D45B3">
        <w:rPr>
          <w:i/>
          <w:iCs/>
          <w:color w:val="000000" w:themeColor="text1"/>
          <w:sz w:val="22"/>
          <w:szCs w:val="21"/>
        </w:rPr>
        <w:t>Table 2: Inclusion and Exclusion Criteria</w:t>
      </w:r>
      <w:bookmarkEnd w:id="33"/>
    </w:p>
    <w:p w14:paraId="33A5AD39" w14:textId="77777777" w:rsidR="00C33A9F" w:rsidRPr="004D45B3" w:rsidRDefault="00C33A9F">
      <w:pPr>
        <w:spacing w:before="280" w:after="0"/>
        <w:rPr>
          <w:rFonts w:eastAsia="Arial" w:cs="Arial"/>
          <w:color w:val="000000" w:themeColor="text1"/>
          <w:szCs w:val="24"/>
        </w:rPr>
      </w:pPr>
    </w:p>
    <w:p w14:paraId="3780E3B6" w14:textId="11BA5042" w:rsidR="00BE776A" w:rsidRPr="004D45B3" w:rsidRDefault="0007681E">
      <w:pPr>
        <w:spacing w:before="280" w:after="0"/>
        <w:rPr>
          <w:color w:val="000000" w:themeColor="text1"/>
        </w:rPr>
      </w:pPr>
      <w:r w:rsidRPr="004D45B3">
        <w:rPr>
          <w:rFonts w:eastAsia="Arial" w:cs="Arial"/>
          <w:color w:val="000000" w:themeColor="text1"/>
          <w:szCs w:val="24"/>
        </w:rPr>
        <w:t xml:space="preserve">The inclusion and exclusion criteria were established to ensure that studies were selected in a clear, consistent and relevant manner (White </w:t>
      </w:r>
      <w:r w:rsidRPr="004D45B3">
        <w:rPr>
          <w:rFonts w:eastAsia="Arial" w:cs="Arial"/>
          <w:i/>
          <w:iCs/>
          <w:color w:val="000000" w:themeColor="text1"/>
          <w:szCs w:val="24"/>
        </w:rPr>
        <w:t>et al</w:t>
      </w:r>
      <w:r w:rsidRPr="004D45B3">
        <w:rPr>
          <w:rFonts w:eastAsia="Arial" w:cs="Arial"/>
          <w:color w:val="000000" w:themeColor="text1"/>
          <w:szCs w:val="24"/>
        </w:rPr>
        <w:t xml:space="preserve">., 2024). Studies were included if they were published in English between 2016 and 2026 and directly examined culturally competent care interventions and their impact on ethnic minority health outcomes. Eligible research included randomised controlled trials, qualitative studies, quantitative studies and mixed-methods studies. Studies were excluded if they were not published in English, were published before 2016, or only discussed general health inequalities without a clear focus on culturally competent care. Editorials, opinion papers and other sources that did not provide suitable research evidence were also excluded. Applying these criteria helped ensure that the final studies were closely aligned with the research aim and questions and provided appropriate evidence for the systematic literature review. </w:t>
      </w:r>
    </w:p>
    <w:p w14:paraId="66AC89B1" w14:textId="77777777" w:rsidR="00BE776A" w:rsidRPr="004D45B3" w:rsidRDefault="0007681E">
      <w:pPr>
        <w:pStyle w:val="Heading2"/>
        <w:rPr>
          <w:color w:val="000000" w:themeColor="text1"/>
        </w:rPr>
      </w:pPr>
      <w:bookmarkStart w:id="34" w:name="_Toc241190019"/>
      <w:r w:rsidRPr="004D45B3">
        <w:rPr>
          <w:b/>
          <w:bCs/>
          <w:color w:val="000000" w:themeColor="text1"/>
          <w:sz w:val="28"/>
          <w:szCs w:val="28"/>
        </w:rPr>
        <w:t>3.7 Study Selection Process</w:t>
      </w:r>
      <w:bookmarkEnd w:id="34"/>
      <w:r w:rsidRPr="004D45B3">
        <w:rPr>
          <w:b/>
          <w:bCs/>
          <w:color w:val="000000" w:themeColor="text1"/>
          <w:sz w:val="28"/>
          <w:szCs w:val="28"/>
        </w:rPr>
        <w:t xml:space="preserve"> </w:t>
      </w:r>
    </w:p>
    <w:p w14:paraId="042B3D92" w14:textId="48C4C7AE" w:rsidR="00BE776A" w:rsidRPr="004D45B3" w:rsidRDefault="0007681E">
      <w:pPr>
        <w:spacing w:before="280" w:after="0"/>
        <w:rPr>
          <w:color w:val="000000" w:themeColor="text1"/>
        </w:rPr>
      </w:pPr>
      <w:r w:rsidRPr="004D45B3">
        <w:rPr>
          <w:rFonts w:eastAsia="Arial" w:cs="Arial"/>
          <w:color w:val="000000" w:themeColor="text1"/>
          <w:szCs w:val="24"/>
        </w:rPr>
        <w:t xml:space="preserve">The study selection process indicates a systematic procedure that helps to identify, screen and select relevant studies. The efficient study selection process provides high-quality and relevant evidence and promotes better quality and validity of the findings. This particular study has used a systematic process to collect data. First, a database was selected, such as Google Scholar, ProQuest, and PubMed. After that, they created the first train where they searched in that database to find relevant available articles and journals. Further filters were applied to select only peer-reviewed articles which focused on primary methodology and had full-text articles with abstracts. This research excluded duplicate records, and irrelevant ones were removed from the above process. After collecting articles, it was checked for the title and abstract of the article to align with the research topic and research objectives. After applying the inclusion and exclusion criteria, the relevant studies were </w:t>
      </w:r>
      <w:r w:rsidR="00634BD0" w:rsidRPr="004D45B3">
        <w:rPr>
          <w:rFonts w:eastAsia="Arial" w:cs="Arial"/>
          <w:color w:val="000000" w:themeColor="text1"/>
          <w:szCs w:val="24"/>
        </w:rPr>
        <w:t>selected and</w:t>
      </w:r>
      <w:r w:rsidRPr="004D45B3">
        <w:rPr>
          <w:rFonts w:eastAsia="Arial" w:cs="Arial"/>
          <w:color w:val="000000" w:themeColor="text1"/>
          <w:szCs w:val="24"/>
        </w:rPr>
        <w:t xml:space="preserve"> selecting a full text article which provided relevant data to understand health inequality among ethnic minority communities in the UK. Applying the PRISMA framework helped to maintain transparency and reproducibility. The selection process helped to find transparent and biased and reliable studies which align with the research topic objective and promote better solutions to address the research questions (Martinez </w:t>
      </w:r>
      <w:r w:rsidRPr="004D45B3">
        <w:rPr>
          <w:rFonts w:eastAsia="Arial" w:cs="Arial"/>
          <w:i/>
          <w:iCs/>
          <w:color w:val="000000" w:themeColor="text1"/>
          <w:szCs w:val="24"/>
        </w:rPr>
        <w:t>et al.,</w:t>
      </w:r>
      <w:r w:rsidRPr="004D45B3">
        <w:rPr>
          <w:rFonts w:eastAsia="Arial" w:cs="Arial"/>
          <w:color w:val="000000" w:themeColor="text1"/>
          <w:szCs w:val="24"/>
        </w:rPr>
        <w:t xml:space="preserve"> 2023). </w:t>
      </w:r>
    </w:p>
    <w:p w14:paraId="0E3F8489" w14:textId="77777777" w:rsidR="00C33A9F" w:rsidRPr="004D45B3" w:rsidRDefault="00C33A9F">
      <w:pPr>
        <w:spacing w:before="280" w:after="0"/>
        <w:rPr>
          <w:b/>
          <w:bCs/>
          <w:color w:val="000000" w:themeColor="text1"/>
          <w:sz w:val="28"/>
          <w:szCs w:val="28"/>
        </w:rPr>
      </w:pPr>
    </w:p>
    <w:p w14:paraId="09E5BD98" w14:textId="75F334DA" w:rsidR="00BE776A" w:rsidRPr="004D45B3" w:rsidRDefault="0007681E">
      <w:pPr>
        <w:spacing w:before="280" w:after="0"/>
        <w:rPr>
          <w:color w:val="000000" w:themeColor="text1"/>
        </w:rPr>
      </w:pPr>
      <w:r w:rsidRPr="004D45B3">
        <w:rPr>
          <w:b/>
          <w:bCs/>
          <w:color w:val="000000" w:themeColor="text1"/>
          <w:sz w:val="28"/>
          <w:szCs w:val="28"/>
        </w:rPr>
        <w:t>3.8 Quality Assessment of Included Studies</w:t>
      </w:r>
    </w:p>
    <w:p w14:paraId="77D277CF" w14:textId="604B4B31" w:rsidR="00C33A9F" w:rsidRPr="004D45B3" w:rsidRDefault="0007681E" w:rsidP="00C33A9F">
      <w:pPr>
        <w:spacing w:before="280" w:after="0"/>
        <w:rPr>
          <w:color w:val="000000" w:themeColor="text1"/>
        </w:rPr>
      </w:pPr>
      <w:r w:rsidRPr="004D45B3">
        <w:rPr>
          <w:rFonts w:eastAsia="Arial" w:cs="Arial"/>
          <w:color w:val="000000" w:themeColor="text1"/>
          <w:szCs w:val="24"/>
        </w:rPr>
        <w:t xml:space="preserve">The quality of the selected studies needs to be assessed based on the CASP checklists. </w:t>
      </w:r>
      <w:proofErr w:type="spellStart"/>
      <w:r w:rsidRPr="004D45B3">
        <w:rPr>
          <w:rFonts w:eastAsia="Arial" w:cs="Arial"/>
          <w:color w:val="000000" w:themeColor="text1"/>
          <w:szCs w:val="24"/>
        </w:rPr>
        <w:t>Humayoun</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(2024) stated that CASP provides a systematic checklist to identify relevant articles based on different study selection criteria such as aim, method, and sample. This research has performed CASP quality assessment of the selected 11 studies and categorised the articles from moderate to high-quality articles </w:t>
      </w:r>
      <w:r w:rsidRPr="004D45B3">
        <w:rPr>
          <w:rFonts w:eastAsia="Arial" w:cs="Arial"/>
          <w:b/>
          <w:bCs/>
          <w:color w:val="000000" w:themeColor="text1"/>
          <w:szCs w:val="24"/>
        </w:rPr>
        <w:t>[Refer to Appendix 1].</w:t>
      </w:r>
    </w:p>
    <w:p w14:paraId="2AD2C921" w14:textId="77777777" w:rsidR="00C33A9F" w:rsidRPr="004D45B3" w:rsidRDefault="00C33A9F">
      <w:pPr>
        <w:suppressAutoHyphens w:val="0"/>
        <w:spacing w:line="276" w:lineRule="auto"/>
        <w:jc w:val="left"/>
        <w:rPr>
          <w:rFonts w:ascii="Aptos Display" w:hAnsi="Aptos Display"/>
          <w:b/>
          <w:bCs/>
          <w:color w:val="000000" w:themeColor="text1"/>
          <w:sz w:val="28"/>
          <w:szCs w:val="28"/>
        </w:rPr>
      </w:pPr>
      <w:r w:rsidRPr="004D45B3">
        <w:rPr>
          <w:b/>
          <w:bCs/>
          <w:color w:val="000000" w:themeColor="text1"/>
          <w:sz w:val="28"/>
          <w:szCs w:val="28"/>
        </w:rPr>
        <w:br w:type="page"/>
      </w:r>
    </w:p>
    <w:p w14:paraId="1FE33768" w14:textId="340E7CB4" w:rsidR="00BE776A" w:rsidRPr="004D45B3" w:rsidRDefault="0007681E">
      <w:pPr>
        <w:pStyle w:val="Heading2"/>
        <w:rPr>
          <w:color w:val="000000" w:themeColor="text1"/>
        </w:rPr>
      </w:pPr>
      <w:bookmarkStart w:id="35" w:name="_Toc241190020"/>
      <w:r w:rsidRPr="004D45B3">
        <w:rPr>
          <w:b/>
          <w:bCs/>
          <w:color w:val="000000" w:themeColor="text1"/>
          <w:sz w:val="28"/>
          <w:szCs w:val="28"/>
        </w:rPr>
        <w:t>3.9 Data Extraction Process</w:t>
      </w:r>
      <w:bookmarkEnd w:id="35"/>
    </w:p>
    <w:p w14:paraId="6AD15F61" w14:textId="77777777" w:rsidR="00BE776A" w:rsidRPr="004D45B3" w:rsidRDefault="0007681E">
      <w:pPr>
        <w:spacing w:before="280" w:after="0"/>
        <w:rPr>
          <w:color w:val="000000" w:themeColor="text1"/>
        </w:rPr>
      </w:pPr>
      <w:r w:rsidRPr="004D45B3">
        <w:rPr>
          <w:rFonts w:eastAsia="Arial" w:cs="Arial"/>
          <w:color w:val="000000" w:themeColor="text1"/>
          <w:szCs w:val="24"/>
        </w:rPr>
        <w:t xml:space="preserve">To perform the data extraction a standardised data extraction table was created, which helped to extract all the essential information to understand the article findings and check the reliability and validity of the articles. This study extracted different data such as author name, year, study title, location, method used, study aim, sample size and key findings. The data extraction process was performed manually from the selected 11 peer-reviewed articles. After extraction of the relevant findings data, it was structured into tables to maintain approaches and prepare the data for thematic data analysis </w:t>
      </w:r>
      <w:r w:rsidRPr="004D45B3">
        <w:rPr>
          <w:rFonts w:eastAsia="Arial" w:cs="Arial"/>
          <w:b/>
          <w:bCs/>
          <w:color w:val="000000" w:themeColor="text1"/>
          <w:szCs w:val="24"/>
        </w:rPr>
        <w:t>[Refer to Appendix 2].</w:t>
      </w:r>
    </w:p>
    <w:p w14:paraId="7D44FAD4" w14:textId="77777777" w:rsidR="00BE776A" w:rsidRPr="004D45B3" w:rsidRDefault="00BE776A">
      <w:pPr>
        <w:spacing w:line="276" w:lineRule="auto"/>
        <w:jc w:val="left"/>
        <w:rPr>
          <w:b/>
          <w:bCs/>
          <w:color w:val="000000" w:themeColor="text1"/>
          <w:sz w:val="28"/>
          <w:szCs w:val="28"/>
        </w:rPr>
      </w:pPr>
    </w:p>
    <w:p w14:paraId="45155B74" w14:textId="77777777" w:rsidR="00C33A9F" w:rsidRPr="004D45B3" w:rsidRDefault="00C33A9F">
      <w:pPr>
        <w:spacing w:line="276" w:lineRule="auto"/>
        <w:jc w:val="left"/>
        <w:rPr>
          <w:b/>
          <w:bCs/>
          <w:color w:val="000000" w:themeColor="text1"/>
          <w:sz w:val="28"/>
          <w:szCs w:val="28"/>
        </w:rPr>
      </w:pPr>
    </w:p>
    <w:p w14:paraId="5A579B1D" w14:textId="737AB241" w:rsidR="00BE776A" w:rsidRPr="004D45B3" w:rsidRDefault="0007681E">
      <w:pPr>
        <w:spacing w:line="276" w:lineRule="auto"/>
        <w:jc w:val="left"/>
        <w:rPr>
          <w:b/>
          <w:bCs/>
          <w:color w:val="000000" w:themeColor="text1"/>
          <w:sz w:val="28"/>
          <w:szCs w:val="28"/>
        </w:rPr>
      </w:pPr>
      <w:r w:rsidRPr="004D45B3">
        <w:rPr>
          <w:b/>
          <w:bCs/>
          <w:color w:val="000000" w:themeColor="text1"/>
          <w:sz w:val="28"/>
          <w:szCs w:val="28"/>
        </w:rPr>
        <w:t>3.10 Data Analysis Method</w:t>
      </w:r>
    </w:p>
    <w:p w14:paraId="6DE68A5D" w14:textId="77777777" w:rsidR="00BE776A" w:rsidRPr="004D45B3" w:rsidRDefault="00BE776A">
      <w:pPr>
        <w:spacing w:line="276" w:lineRule="auto"/>
        <w:jc w:val="left"/>
        <w:rPr>
          <w:b/>
          <w:bCs/>
          <w:color w:val="000000" w:themeColor="text1"/>
          <w:sz w:val="28"/>
          <w:szCs w:val="28"/>
        </w:rPr>
      </w:pPr>
    </w:p>
    <w:p w14:paraId="40570207" w14:textId="77777777" w:rsidR="00BE776A" w:rsidRPr="004D45B3" w:rsidRDefault="0007681E">
      <w:pPr>
        <w:rPr>
          <w:color w:val="000000" w:themeColor="text1"/>
        </w:rPr>
      </w:pPr>
      <w:r w:rsidRPr="004D45B3">
        <w:rPr>
          <w:noProof/>
          <w:color w:val="000000" w:themeColor="text1"/>
          <w:lang w:val="en-US" w:eastAsia="en-US"/>
        </w:rPr>
        <w:drawing>
          <wp:inline distT="0" distB="0" distL="0" distR="0" wp14:anchorId="4AC0F2D4" wp14:editId="67307B4A">
            <wp:extent cx="5727701" cy="2698751"/>
            <wp:effectExtent l="0" t="0" r="6349" b="6349"/>
            <wp:docPr id="580980042"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27701" cy="2698751"/>
                    </a:xfrm>
                    <a:prstGeom prst="rect">
                      <a:avLst/>
                    </a:prstGeom>
                    <a:noFill/>
                    <a:ln>
                      <a:noFill/>
                      <a:prstDash/>
                    </a:ln>
                  </pic:spPr>
                </pic:pic>
              </a:graphicData>
            </a:graphic>
          </wp:inline>
        </w:drawing>
      </w:r>
    </w:p>
    <w:p w14:paraId="64F5A447" w14:textId="77777777" w:rsidR="00BE776A" w:rsidRPr="004D45B3" w:rsidRDefault="0007681E">
      <w:pPr>
        <w:pStyle w:val="Heading4"/>
        <w:jc w:val="center"/>
        <w:rPr>
          <w:color w:val="000000" w:themeColor="text1"/>
          <w:sz w:val="22"/>
          <w:szCs w:val="21"/>
        </w:rPr>
      </w:pPr>
      <w:bookmarkStart w:id="36" w:name="_Toc240899416"/>
      <w:r w:rsidRPr="004D45B3">
        <w:rPr>
          <w:color w:val="000000" w:themeColor="text1"/>
          <w:sz w:val="22"/>
          <w:szCs w:val="21"/>
        </w:rPr>
        <w:t>Figure 5: Thematic analysis flowchart steps (Braun and Clarke, 2023)</w:t>
      </w:r>
      <w:bookmarkEnd w:id="36"/>
      <w:r w:rsidRPr="004D45B3">
        <w:rPr>
          <w:color w:val="000000" w:themeColor="text1"/>
          <w:sz w:val="22"/>
          <w:szCs w:val="21"/>
        </w:rPr>
        <w:t xml:space="preserve"> </w:t>
      </w:r>
    </w:p>
    <w:p w14:paraId="57D51D03" w14:textId="77777777" w:rsidR="00C33A9F" w:rsidRPr="004D45B3" w:rsidRDefault="00C33A9F">
      <w:pPr>
        <w:spacing w:before="280" w:after="0"/>
        <w:rPr>
          <w:rFonts w:eastAsia="Arial" w:cs="Arial"/>
          <w:color w:val="000000" w:themeColor="text1"/>
          <w:szCs w:val="24"/>
        </w:rPr>
      </w:pPr>
    </w:p>
    <w:p w14:paraId="3EAC1A8D" w14:textId="5F6243EF" w:rsidR="00BE776A" w:rsidRPr="004D45B3" w:rsidRDefault="0007681E">
      <w:pPr>
        <w:spacing w:before="280" w:after="0"/>
        <w:rPr>
          <w:rFonts w:eastAsia="Arial" w:cs="Arial"/>
          <w:color w:val="000000" w:themeColor="text1"/>
          <w:szCs w:val="24"/>
        </w:rPr>
      </w:pPr>
      <w:r w:rsidRPr="004D45B3">
        <w:rPr>
          <w:rFonts w:eastAsia="Arial" w:cs="Arial"/>
          <w:color w:val="000000" w:themeColor="text1"/>
          <w:szCs w:val="24"/>
        </w:rPr>
        <w:t xml:space="preserve">A thematic analysis method was employed for this systematic literature review. This process involved identification of the data, analysis of the data and reporting the patterns across four created themes which align with the research objectives (see figure 5). According to Braun and Clarke (2023), thematic analysis involves six stages. First, the researcher becomes familiar with the data by reading the selected studies and findings repeatedly. Second, initial codes are generated from relevant findings. Third, related codes are grouped to develop potential themes. Fourth, the themes are reviewed against the coded data to ensure consistency and relevance. Fifth, the themes are clearly defined and named according to their central meaning. Finally, the sixth stage involves presenting and reporting the themes, supported by relevant evidence from the selected studies. </w:t>
      </w:r>
    </w:p>
    <w:p w14:paraId="58885771" w14:textId="77777777" w:rsidR="00C33A9F" w:rsidRPr="004D45B3" w:rsidRDefault="00C33A9F">
      <w:pPr>
        <w:pStyle w:val="Heading2"/>
        <w:rPr>
          <w:b/>
          <w:bCs/>
          <w:color w:val="000000" w:themeColor="text1"/>
          <w:sz w:val="28"/>
          <w:szCs w:val="28"/>
        </w:rPr>
      </w:pPr>
    </w:p>
    <w:p w14:paraId="6B835622" w14:textId="25C6D93A" w:rsidR="00BE776A" w:rsidRPr="004D45B3" w:rsidRDefault="0007681E">
      <w:pPr>
        <w:pStyle w:val="Heading2"/>
        <w:rPr>
          <w:color w:val="000000" w:themeColor="text1"/>
        </w:rPr>
      </w:pPr>
      <w:bookmarkStart w:id="37" w:name="_Toc241190021"/>
      <w:r w:rsidRPr="004D45B3">
        <w:rPr>
          <w:b/>
          <w:bCs/>
          <w:color w:val="000000" w:themeColor="text1"/>
          <w:sz w:val="28"/>
          <w:szCs w:val="28"/>
        </w:rPr>
        <w:t>3.11 Reliability and Validity (Trustworthiness)</w:t>
      </w:r>
      <w:bookmarkEnd w:id="37"/>
      <w:r w:rsidRPr="004D45B3">
        <w:rPr>
          <w:b/>
          <w:bCs/>
          <w:color w:val="000000" w:themeColor="text1"/>
          <w:sz w:val="28"/>
          <w:szCs w:val="28"/>
        </w:rPr>
        <w:t xml:space="preserve"> </w:t>
      </w:r>
    </w:p>
    <w:p w14:paraId="288C380F" w14:textId="77777777" w:rsidR="00BE776A" w:rsidRPr="004D45B3" w:rsidRDefault="0007681E">
      <w:pPr>
        <w:spacing w:before="280" w:after="0"/>
        <w:rPr>
          <w:color w:val="000000" w:themeColor="text1"/>
        </w:rPr>
      </w:pPr>
      <w:r w:rsidRPr="004D45B3">
        <w:rPr>
          <w:rFonts w:eastAsia="Arial" w:cs="Arial"/>
          <w:color w:val="000000" w:themeColor="text1"/>
          <w:szCs w:val="24"/>
        </w:rPr>
        <w:t xml:space="preserve">In research, reliability and validity are important to ensure better outcomes and improve the trustworthiness and generalisability of findings. By using transparent and systematic research procedures, the trustworthiness of the systematic literature review was improved (Saharan </w:t>
      </w:r>
      <w:r w:rsidRPr="004D45B3">
        <w:rPr>
          <w:rFonts w:eastAsia="Arial" w:cs="Arial"/>
          <w:i/>
          <w:iCs/>
          <w:color w:val="000000" w:themeColor="text1"/>
          <w:szCs w:val="24"/>
        </w:rPr>
        <w:t>et al</w:t>
      </w:r>
      <w:r w:rsidRPr="004D45B3">
        <w:rPr>
          <w:rFonts w:eastAsia="Arial" w:cs="Arial"/>
          <w:color w:val="000000" w:themeColor="text1"/>
          <w:szCs w:val="24"/>
        </w:rPr>
        <w:t>., 2024). The use of a defined review protocol, the same inclusion and exclusion criteria, a structured search strategy, and standardisation of data extraction in the review further supports its reliability as a future study could be easily reproduced (Xu et al., 2022). Validity was increased by choosing peer-reviewed studies that had been published in the period in question, and by quality appraising them using the CASP checklist. In addition, the PRISMA reporting guideline helps reduce selection bias and methodological transparency, and the use of thematic analysis helps to ensure that the findings reflect the patterns found across the included studies (Xu et al., 2022).</w:t>
      </w:r>
    </w:p>
    <w:p w14:paraId="7679222B" w14:textId="77777777" w:rsidR="00C33A9F" w:rsidRPr="004D45B3" w:rsidRDefault="00C33A9F">
      <w:pPr>
        <w:pStyle w:val="Heading2"/>
        <w:rPr>
          <w:b/>
          <w:bCs/>
          <w:color w:val="000000" w:themeColor="text1"/>
          <w:sz w:val="28"/>
          <w:szCs w:val="28"/>
        </w:rPr>
      </w:pPr>
    </w:p>
    <w:p w14:paraId="264F6BE5" w14:textId="018F6DEF" w:rsidR="00BE776A" w:rsidRPr="004D45B3" w:rsidRDefault="0007681E">
      <w:pPr>
        <w:pStyle w:val="Heading2"/>
        <w:rPr>
          <w:color w:val="000000" w:themeColor="text1"/>
        </w:rPr>
      </w:pPr>
      <w:bookmarkStart w:id="38" w:name="_Toc241190022"/>
      <w:r w:rsidRPr="004D45B3">
        <w:rPr>
          <w:b/>
          <w:bCs/>
          <w:color w:val="000000" w:themeColor="text1"/>
          <w:sz w:val="28"/>
          <w:szCs w:val="28"/>
        </w:rPr>
        <w:t>3.12 Ethical Considerations</w:t>
      </w:r>
      <w:bookmarkEnd w:id="38"/>
    </w:p>
    <w:p w14:paraId="4FEAFEDE" w14:textId="61B00658" w:rsidR="00BE776A" w:rsidRPr="004D45B3" w:rsidRDefault="0007681E">
      <w:pPr>
        <w:spacing w:before="280" w:after="0"/>
        <w:rPr>
          <w:rFonts w:eastAsia="Arial" w:cs="Arial"/>
          <w:color w:val="000000" w:themeColor="text1"/>
          <w:szCs w:val="24"/>
        </w:rPr>
      </w:pPr>
      <w:r w:rsidRPr="004D45B3">
        <w:rPr>
          <w:rFonts w:eastAsia="Arial" w:cs="Arial"/>
          <w:color w:val="000000" w:themeColor="text1"/>
          <w:szCs w:val="24"/>
        </w:rPr>
        <w:t xml:space="preserve">As this study used only secondary data from published literature, no direct human participants were </w:t>
      </w:r>
      <w:r w:rsidR="00634BD0" w:rsidRPr="004D45B3">
        <w:rPr>
          <w:rFonts w:eastAsia="Arial" w:cs="Arial"/>
          <w:color w:val="000000" w:themeColor="text1"/>
          <w:szCs w:val="24"/>
        </w:rPr>
        <w:t>involved,</w:t>
      </w:r>
      <w:r w:rsidRPr="004D45B3">
        <w:rPr>
          <w:rFonts w:eastAsia="Arial" w:cs="Arial"/>
          <w:color w:val="000000" w:themeColor="text1"/>
          <w:szCs w:val="24"/>
        </w:rPr>
        <w:t xml:space="preserve"> and no personal data were collected. Therefore, risks relating to participant consent, confidentiality and harm were minimal. However, ethical standards were still followed throughout the research process. All selected studies were used responsibly, and the ideas and findings of other authors were properly cited to maintain academic integrity and avoid plagiarism. The study also followed the principles of the UK General Data Protection Regulation (UK GDPR) and the Data Protection Act 2018 where relevant to the storage and handling of research materials. </w:t>
      </w:r>
      <w:r w:rsidR="00C33A9F" w:rsidRPr="004D45B3">
        <w:rPr>
          <w:rFonts w:eastAsia="Arial" w:cs="Arial"/>
          <w:color w:val="000000" w:themeColor="text1"/>
          <w:szCs w:val="24"/>
        </w:rPr>
        <w:t>Research files</w:t>
      </w:r>
      <w:r w:rsidRPr="004D45B3">
        <w:rPr>
          <w:rFonts w:eastAsia="Arial" w:cs="Arial"/>
          <w:color w:val="000000" w:themeColor="text1"/>
          <w:szCs w:val="24"/>
        </w:rPr>
        <w:t xml:space="preserve"> extracted data and review records were stored securely using password-protected university systems to reduce the risk of unauthorised access. In addition, the researcher reported the findings accurately and avoided changing or misrepresenting evidence from the selected studies.</w:t>
      </w:r>
    </w:p>
    <w:p w14:paraId="22E255B1" w14:textId="77777777" w:rsidR="00C33A9F" w:rsidRPr="004D45B3" w:rsidRDefault="00C33A9F">
      <w:pPr>
        <w:pStyle w:val="Heading2"/>
        <w:rPr>
          <w:b/>
          <w:bCs/>
          <w:color w:val="000000" w:themeColor="text1"/>
          <w:sz w:val="28"/>
          <w:szCs w:val="28"/>
        </w:rPr>
      </w:pPr>
    </w:p>
    <w:p w14:paraId="054059DA" w14:textId="2020BC3E" w:rsidR="00BE776A" w:rsidRPr="004D45B3" w:rsidRDefault="0007681E">
      <w:pPr>
        <w:pStyle w:val="Heading2"/>
        <w:rPr>
          <w:color w:val="000000" w:themeColor="text1"/>
        </w:rPr>
      </w:pPr>
      <w:bookmarkStart w:id="39" w:name="_Toc241190023"/>
      <w:r w:rsidRPr="004D45B3">
        <w:rPr>
          <w:b/>
          <w:bCs/>
          <w:color w:val="000000" w:themeColor="text1"/>
          <w:sz w:val="28"/>
          <w:szCs w:val="28"/>
        </w:rPr>
        <w:t>3.13 Limitations of the Methodology</w:t>
      </w:r>
      <w:bookmarkEnd w:id="39"/>
    </w:p>
    <w:p w14:paraId="10C3B373" w14:textId="77777777" w:rsidR="00BE776A" w:rsidRDefault="0007681E">
      <w:pPr>
        <w:rPr>
          <w:rFonts w:eastAsia="Arial" w:cs="Arial"/>
          <w:color w:val="000000" w:themeColor="text1"/>
          <w:szCs w:val="24"/>
        </w:rPr>
      </w:pPr>
      <w:r w:rsidRPr="004D45B3">
        <w:rPr>
          <w:rFonts w:eastAsia="Arial" w:cs="Arial"/>
          <w:color w:val="000000" w:themeColor="text1"/>
          <w:szCs w:val="24"/>
        </w:rPr>
        <w:t>This methodology has several limitations. First, the systematic literature review searched only Google Scholar, PubMed and ProQuest, which may have excluded relevant studies indexed in other databases such as Scopus, CINAHL and Web of Science. Second, predefined inclusion and exclusion criteria were applied, including the requirement for studies to be published in English. This may have excluded relevant evidence published in other languages and limited the range of perspectives included in the review. Third, the review relied on secondary evidence rather than collecting primary data directly from healthcare professionals or ethnic minority communities. Therefore, the findings reflect the evidence and perspectives reported in existing studies. Finally, the research focused specifically on the UK healthcare context, which limits the transferability of the findings to healthcare systems in other countries. Despite these limitations, the use of PRISMA, structured study selection, CASP quality assessment and thematic analysis provided a systematic basis for synthesising the available evidence.</w:t>
      </w:r>
    </w:p>
    <w:p w14:paraId="3D9622EF" w14:textId="19F91DDF" w:rsidR="004D45B3" w:rsidRPr="004D45B3" w:rsidRDefault="004D45B3" w:rsidP="004D45B3">
      <w:pPr>
        <w:rPr>
          <w:rFonts w:eastAsia="Arial" w:cs="Arial"/>
          <w:color w:val="000000" w:themeColor="text1"/>
          <w:szCs w:val="24"/>
        </w:rPr>
      </w:pPr>
      <w:r w:rsidRPr="004D45B3">
        <w:rPr>
          <w:rFonts w:eastAsia="Arial" w:cs="Arial"/>
          <w:color w:val="000000" w:themeColor="text1"/>
          <w:szCs w:val="24"/>
        </w:rPr>
        <w:t>This chapter identified the thematic data analysis method, using a qualitative</w:t>
      </w:r>
      <w:r>
        <w:rPr>
          <w:rFonts w:eastAsia="Arial" w:cs="Arial"/>
          <w:color w:val="000000" w:themeColor="text1"/>
          <w:szCs w:val="24"/>
        </w:rPr>
        <w:t xml:space="preserve"> </w:t>
      </w:r>
      <w:r w:rsidRPr="004D45B3">
        <w:rPr>
          <w:rFonts w:eastAsia="Arial" w:cs="Arial"/>
          <w:color w:val="000000" w:themeColor="text1"/>
          <w:szCs w:val="24"/>
        </w:rPr>
        <w:t>approach which aligned with the selection of a systematic literature review approach.</w:t>
      </w:r>
      <w:r>
        <w:rPr>
          <w:rFonts w:eastAsia="Arial" w:cs="Arial"/>
          <w:color w:val="000000" w:themeColor="text1"/>
          <w:szCs w:val="24"/>
        </w:rPr>
        <w:t xml:space="preserve"> </w:t>
      </w:r>
      <w:r w:rsidRPr="004D45B3">
        <w:rPr>
          <w:rFonts w:eastAsia="Arial" w:cs="Arial"/>
          <w:color w:val="000000" w:themeColor="text1"/>
          <w:szCs w:val="24"/>
        </w:rPr>
        <w:t>This methodology aims to conduct an SLR by adopting an interpretivism philosophy,</w:t>
      </w:r>
      <w:r>
        <w:rPr>
          <w:rFonts w:eastAsia="Arial" w:cs="Arial"/>
          <w:color w:val="000000" w:themeColor="text1"/>
          <w:szCs w:val="24"/>
        </w:rPr>
        <w:t xml:space="preserve"> </w:t>
      </w:r>
      <w:r w:rsidRPr="004D45B3">
        <w:rPr>
          <w:rFonts w:eastAsia="Arial" w:cs="Arial"/>
          <w:color w:val="000000" w:themeColor="text1"/>
          <w:szCs w:val="24"/>
        </w:rPr>
        <w:t>an inductive approach and adopting a PRISMA framework to collect relevant and</w:t>
      </w:r>
      <w:r>
        <w:rPr>
          <w:rFonts w:eastAsia="Arial" w:cs="Arial"/>
          <w:color w:val="000000" w:themeColor="text1"/>
          <w:szCs w:val="24"/>
        </w:rPr>
        <w:t xml:space="preserve"> </w:t>
      </w:r>
      <w:r w:rsidRPr="004D45B3">
        <w:rPr>
          <w:rFonts w:eastAsia="Arial" w:cs="Arial"/>
          <w:color w:val="000000" w:themeColor="text1"/>
          <w:szCs w:val="24"/>
        </w:rPr>
        <w:t>reliable research articles aligning with the research topic and objectives. Further, the</w:t>
      </w:r>
      <w:r>
        <w:rPr>
          <w:rFonts w:eastAsia="Arial" w:cs="Arial"/>
          <w:color w:val="000000" w:themeColor="text1"/>
          <w:szCs w:val="24"/>
        </w:rPr>
        <w:t xml:space="preserve"> </w:t>
      </w:r>
      <w:r w:rsidRPr="004D45B3">
        <w:rPr>
          <w:rFonts w:eastAsia="Arial" w:cs="Arial"/>
          <w:color w:val="000000" w:themeColor="text1"/>
          <w:szCs w:val="24"/>
        </w:rPr>
        <w:t>chapter shows the research findings and performs an in-depth analysis by</w:t>
      </w:r>
      <w:r>
        <w:rPr>
          <w:rFonts w:eastAsia="Arial" w:cs="Arial"/>
          <w:color w:val="000000" w:themeColor="text1"/>
          <w:szCs w:val="24"/>
        </w:rPr>
        <w:t xml:space="preserve"> </w:t>
      </w:r>
      <w:r w:rsidRPr="004D45B3">
        <w:rPr>
          <w:rFonts w:eastAsia="Arial" w:cs="Arial"/>
          <w:color w:val="000000" w:themeColor="text1"/>
          <w:szCs w:val="24"/>
        </w:rPr>
        <w:t>conducting thematic data analysis techniques. This promotes better findings of</w:t>
      </w:r>
      <w:r>
        <w:rPr>
          <w:rFonts w:eastAsia="Arial" w:cs="Arial"/>
          <w:color w:val="000000" w:themeColor="text1"/>
          <w:szCs w:val="24"/>
        </w:rPr>
        <w:t xml:space="preserve"> </w:t>
      </w:r>
      <w:r w:rsidRPr="004D45B3">
        <w:rPr>
          <w:rFonts w:eastAsia="Arial" w:cs="Arial"/>
          <w:color w:val="000000" w:themeColor="text1"/>
          <w:szCs w:val="24"/>
        </w:rPr>
        <w:t>solutions to address the research questions and aligns with the research objectives.</w:t>
      </w:r>
    </w:p>
    <w:p w14:paraId="5183DB49" w14:textId="77777777" w:rsidR="00634BD0" w:rsidRPr="004D45B3" w:rsidRDefault="00634BD0">
      <w:pPr>
        <w:suppressAutoHyphens w:val="0"/>
        <w:spacing w:line="276" w:lineRule="auto"/>
        <w:jc w:val="left"/>
        <w:rPr>
          <w:rFonts w:eastAsia="Arial" w:cs="Arial"/>
          <w:color w:val="000000" w:themeColor="text1"/>
          <w:szCs w:val="24"/>
        </w:rPr>
      </w:pPr>
    </w:p>
    <w:p w14:paraId="18B6608F" w14:textId="77777777" w:rsidR="00634BD0" w:rsidRPr="004D45B3" w:rsidRDefault="00634BD0">
      <w:pPr>
        <w:suppressAutoHyphens w:val="0"/>
        <w:spacing w:line="276" w:lineRule="auto"/>
        <w:jc w:val="left"/>
        <w:rPr>
          <w:color w:val="000000" w:themeColor="text1"/>
        </w:rPr>
      </w:pPr>
    </w:p>
    <w:p w14:paraId="19A35D40" w14:textId="4EE98D3B" w:rsidR="00BE776A" w:rsidRPr="004D45B3" w:rsidRDefault="0007681E">
      <w:pPr>
        <w:pStyle w:val="Heading1"/>
        <w:rPr>
          <w:b/>
          <w:bCs/>
          <w:color w:val="000000" w:themeColor="text1"/>
        </w:rPr>
      </w:pPr>
      <w:bookmarkStart w:id="40" w:name="_Toc241190024"/>
      <w:r w:rsidRPr="004D45B3">
        <w:rPr>
          <w:b/>
          <w:bCs/>
          <w:color w:val="000000" w:themeColor="text1"/>
        </w:rPr>
        <w:t>Chapter 4: Results</w:t>
      </w:r>
      <w:bookmarkEnd w:id="40"/>
      <w:r w:rsidRPr="004D45B3">
        <w:rPr>
          <w:b/>
          <w:bCs/>
          <w:color w:val="000000" w:themeColor="text1"/>
        </w:rPr>
        <w:t xml:space="preserve"> </w:t>
      </w:r>
      <w:r w:rsidRPr="004D45B3">
        <w:rPr>
          <w:rFonts w:eastAsia="Arial"/>
          <w:b/>
          <w:bCs/>
          <w:color w:val="000000" w:themeColor="text1"/>
          <w:szCs w:val="24"/>
        </w:rPr>
        <w:t> </w:t>
      </w:r>
    </w:p>
    <w:p w14:paraId="2B3D2D5A" w14:textId="0EBDFFA3" w:rsidR="00BE776A" w:rsidRPr="004D45B3" w:rsidRDefault="0007681E">
      <w:pPr>
        <w:spacing w:before="280" w:after="0"/>
        <w:rPr>
          <w:rFonts w:eastAsia="Arial" w:cs="Arial"/>
          <w:color w:val="000000" w:themeColor="text1"/>
          <w:szCs w:val="24"/>
        </w:rPr>
      </w:pPr>
      <w:r w:rsidRPr="004D45B3">
        <w:rPr>
          <w:rFonts w:eastAsia="Arial" w:cs="Arial"/>
          <w:color w:val="000000" w:themeColor="text1"/>
          <w:szCs w:val="24"/>
        </w:rPr>
        <w:t>In this chapter, the PRISMA diagram is illustrated along with the results of the 11 studies, selected for the systematic literature review, are reported. Thematic analysis of the studies</w:t>
      </w:r>
      <w:r w:rsidR="002B47CA" w:rsidRPr="004D45B3">
        <w:rPr>
          <w:rFonts w:eastAsia="Arial" w:cs="Arial"/>
          <w:color w:val="000000" w:themeColor="text1"/>
          <w:szCs w:val="24"/>
        </w:rPr>
        <w:t xml:space="preserve"> was applied</w:t>
      </w:r>
      <w:r w:rsidRPr="004D45B3">
        <w:rPr>
          <w:rFonts w:eastAsia="Arial" w:cs="Arial"/>
          <w:color w:val="000000" w:themeColor="text1"/>
          <w:szCs w:val="24"/>
        </w:rPr>
        <w:t xml:space="preserve"> in accordance with the following stages: familiarisation, coding, theme generation, and review and interpretation of themes. Four major themes emerged from the analysis of the studies: culturally competent care practices; ethnic disparities in health and experiences in receiving care; efficacy of culturally competent care; barriers and facilitators to implementing such care.</w:t>
      </w:r>
    </w:p>
    <w:p w14:paraId="0C30D286" w14:textId="02C97FF4" w:rsidR="00BE776A" w:rsidRPr="004D45B3" w:rsidRDefault="0007681E" w:rsidP="002B47CA">
      <w:pPr>
        <w:spacing w:before="280" w:after="0"/>
        <w:jc w:val="center"/>
        <w:rPr>
          <w:color w:val="000000" w:themeColor="text1"/>
        </w:rPr>
      </w:pPr>
      <w:r w:rsidRPr="004D45B3">
        <w:rPr>
          <w:noProof/>
          <w:color w:val="000000" w:themeColor="text1"/>
          <w:lang w:val="en-US" w:eastAsia="en-US"/>
        </w:rPr>
        <w:drawing>
          <wp:inline distT="0" distB="0" distL="0" distR="0" wp14:anchorId="49F6C2A3" wp14:editId="1F0AF79A">
            <wp:extent cx="5431366" cy="5647267"/>
            <wp:effectExtent l="0" t="0" r="4445" b="4445"/>
            <wp:docPr id="760408261"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463071" cy="5680233"/>
                    </a:xfrm>
                    <a:prstGeom prst="rect">
                      <a:avLst/>
                    </a:prstGeom>
                    <a:noFill/>
                    <a:ln>
                      <a:noFill/>
                      <a:prstDash/>
                    </a:ln>
                  </pic:spPr>
                </pic:pic>
              </a:graphicData>
            </a:graphic>
          </wp:inline>
        </w:drawing>
      </w:r>
      <w:r w:rsidRPr="004D45B3">
        <w:rPr>
          <w:rFonts w:eastAsia="Arial" w:cs="Arial"/>
          <w:b/>
          <w:bCs/>
          <w:color w:val="000000" w:themeColor="text1"/>
          <w:szCs w:val="24"/>
        </w:rPr>
        <w:t xml:space="preserve"> </w:t>
      </w:r>
      <w:bookmarkStart w:id="41" w:name="_Toc240899417"/>
      <w:r w:rsidRPr="004D45B3">
        <w:rPr>
          <w:bCs/>
          <w:color w:val="000000" w:themeColor="text1"/>
          <w:sz w:val="22"/>
          <w:szCs w:val="21"/>
        </w:rPr>
        <w:t>Figure 6: PRISMA Diagram</w:t>
      </w:r>
      <w:bookmarkEnd w:id="41"/>
      <w:r w:rsidRPr="004D45B3">
        <w:rPr>
          <w:bCs/>
          <w:color w:val="000000" w:themeColor="text1"/>
          <w:sz w:val="22"/>
          <w:szCs w:val="21"/>
        </w:rPr>
        <w:t xml:space="preserve">  </w:t>
      </w:r>
    </w:p>
    <w:p w14:paraId="48091394" w14:textId="16112EB2" w:rsidR="00BE776A" w:rsidRPr="004D45B3" w:rsidRDefault="0007681E">
      <w:pPr>
        <w:spacing w:before="280" w:after="0"/>
        <w:rPr>
          <w:rFonts w:eastAsia="Arial" w:cs="Arial"/>
          <w:color w:val="000000" w:themeColor="text1"/>
          <w:szCs w:val="24"/>
        </w:rPr>
      </w:pPr>
      <w:r w:rsidRPr="004D45B3">
        <w:rPr>
          <w:rFonts w:eastAsia="Arial" w:cs="Arial"/>
          <w:color w:val="000000" w:themeColor="text1"/>
          <w:szCs w:val="24"/>
        </w:rPr>
        <w:t>From Figure 6, it is identified that initially 155 documents were selected from barrier data sources such as Google Scholar, PubMed and SCOPUS. After applying the inclusion-exclusion criteria, most irrelevant general articles were excluded and only the reliable articles which directly address the research objectives were selected for this research.  Finally, 11 articles were selected as relevant articles which directly address the four research objectives and are reliable for finding solutions for the research questions.</w:t>
      </w:r>
    </w:p>
    <w:p w14:paraId="5026E2D1" w14:textId="77777777" w:rsidR="00C33A9F" w:rsidRPr="004D45B3" w:rsidRDefault="00C33A9F">
      <w:pPr>
        <w:spacing w:before="280" w:after="0"/>
        <w:rPr>
          <w:rFonts w:ascii="Aptos Display" w:hAnsi="Aptos Display" w:cs="Arial"/>
          <w:b/>
          <w:bCs/>
          <w:color w:val="000000" w:themeColor="text1"/>
          <w:sz w:val="28"/>
          <w:szCs w:val="28"/>
        </w:rPr>
      </w:pPr>
    </w:p>
    <w:p w14:paraId="1F40F7C0" w14:textId="6CF00CC5" w:rsidR="00BE776A" w:rsidRPr="004D45B3" w:rsidRDefault="0007681E">
      <w:pPr>
        <w:spacing w:before="280" w:after="0"/>
        <w:rPr>
          <w:rFonts w:ascii="Aptos Display" w:hAnsi="Aptos Display" w:cs="Arial"/>
          <w:b/>
          <w:bCs/>
          <w:color w:val="000000" w:themeColor="text1"/>
          <w:sz w:val="28"/>
          <w:szCs w:val="28"/>
        </w:rPr>
      </w:pPr>
      <w:r w:rsidRPr="004D45B3">
        <w:rPr>
          <w:rFonts w:ascii="Aptos Display" w:hAnsi="Aptos Display" w:cs="Arial"/>
          <w:b/>
          <w:bCs/>
          <w:color w:val="000000" w:themeColor="text1"/>
          <w:sz w:val="28"/>
          <w:szCs w:val="28"/>
        </w:rPr>
        <w:t>4.1 Thematic Findings and Analysis </w:t>
      </w:r>
      <w:bookmarkStart w:id="42" w:name="_heading=h.4v4i6ksa73sp"/>
      <w:bookmarkEnd w:id="42"/>
    </w:p>
    <w:p w14:paraId="1A6D3235" w14:textId="77777777" w:rsidR="00BE776A" w:rsidRPr="004D45B3" w:rsidRDefault="0007681E">
      <w:pPr>
        <w:spacing w:before="280" w:after="0"/>
        <w:rPr>
          <w:color w:val="000000" w:themeColor="text1"/>
        </w:rPr>
      </w:pPr>
      <w:r w:rsidRPr="004D45B3">
        <w:rPr>
          <w:rFonts w:eastAsia="Arial" w:cs="Arial"/>
          <w:color w:val="000000" w:themeColor="text1"/>
          <w:szCs w:val="24"/>
        </w:rPr>
        <w:t>The thematic analysis process started with data familiarisation, which entailed becoming quite familiar with the findings, arguments and methodological peculiarities of the studies that were included in the systematic literature review (Naeem et al., 2023)</w:t>
      </w:r>
      <w:r w:rsidRPr="004D45B3">
        <w:rPr>
          <w:rFonts w:eastAsia="Arial" w:cs="Arial"/>
          <w:color w:val="000000" w:themeColor="text1"/>
          <w:szCs w:val="24"/>
          <w:shd w:val="clear" w:color="auto" w:fill="FFFF00"/>
        </w:rPr>
        <w:t>.</w:t>
      </w:r>
      <w:r w:rsidRPr="004D45B3">
        <w:rPr>
          <w:rFonts w:eastAsia="Arial" w:cs="Arial"/>
          <w:color w:val="000000" w:themeColor="text1"/>
          <w:szCs w:val="24"/>
        </w:rPr>
        <w:t xml:space="preserve"> Each of the selected papers was then reread a few times to develop an overall view of how culturally competent care and ethnic health disparities, healthcare experience, barriers and service ameliorations emerged across the evidence base of the UK. Attention was paid to study purposes, the specific features of the study participants, medical institutions, research procedures, crucial results and conclusions, since it was necessary to identify similarities and differences between studies before the formal codifying began to be established initially (Naeem et al., 2023)</w:t>
      </w:r>
      <w:r w:rsidRPr="004D45B3">
        <w:rPr>
          <w:rFonts w:eastAsia="Arial" w:cs="Arial"/>
          <w:color w:val="000000" w:themeColor="text1"/>
          <w:szCs w:val="24"/>
          <w:shd w:val="clear" w:color="auto" w:fill="FFFF00"/>
        </w:rPr>
        <w:t>.</w:t>
      </w:r>
    </w:p>
    <w:p w14:paraId="4BE1EBE4" w14:textId="77777777" w:rsidR="00C33A9F" w:rsidRPr="004D45B3" w:rsidRDefault="00C33A9F">
      <w:pPr>
        <w:spacing w:before="280"/>
        <w:rPr>
          <w:rFonts w:eastAsia="Arial" w:cs="Arial"/>
          <w:color w:val="000000" w:themeColor="text1"/>
          <w:szCs w:val="24"/>
        </w:rPr>
      </w:pPr>
    </w:p>
    <w:p w14:paraId="6A2BCA3B" w14:textId="7ED85280"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The findings were reviewed to identify common issues across the selected studies, including discrimination, mistrust, unequal treatment, communication barriers, structural constraints, culturally responsive care, community engagement and organisational capacity. The studies used different research methods, including qualitative interviews, longitudinal and cross-sectional analyses, Delphi techniques and participatory methods. These differences were important because each method produced different types of evidence. Quantitative studies mainly identified patterns of inequality, while qualitative studies provided detailed insights into the experiences and perspectives of patients and healthcare professionals. Considering these differences helped to interpret the findings more clearly and identify common patterns across the evidence.</w:t>
      </w:r>
    </w:p>
    <w:p w14:paraId="2820FAE6" w14:textId="77777777" w:rsidR="00C33A9F" w:rsidRPr="004D45B3" w:rsidRDefault="00C33A9F">
      <w:pPr>
        <w:pStyle w:val="Heading3"/>
        <w:rPr>
          <w:rFonts w:ascii="Aptos Display" w:hAnsi="Aptos Display"/>
          <w:b/>
          <w:bCs/>
          <w:color w:val="000000" w:themeColor="text1"/>
        </w:rPr>
      </w:pPr>
      <w:bookmarkStart w:id="43" w:name="_heading=h.duogh8a8fml4"/>
      <w:bookmarkEnd w:id="43"/>
    </w:p>
    <w:p w14:paraId="2CFA355E" w14:textId="3523592E" w:rsidR="00BE776A" w:rsidRPr="004D45B3" w:rsidRDefault="0007681E">
      <w:pPr>
        <w:pStyle w:val="Heading3"/>
        <w:rPr>
          <w:color w:val="000000" w:themeColor="text1"/>
        </w:rPr>
      </w:pPr>
      <w:bookmarkStart w:id="44" w:name="_Toc241190025"/>
      <w:r w:rsidRPr="004D45B3">
        <w:rPr>
          <w:rFonts w:ascii="Aptos Display" w:hAnsi="Aptos Display"/>
          <w:b/>
          <w:bCs/>
          <w:color w:val="000000" w:themeColor="text1"/>
        </w:rPr>
        <w:t>4.2 Thematic Coding</w:t>
      </w:r>
      <w:bookmarkEnd w:id="44"/>
      <w:r w:rsidRPr="004D45B3">
        <w:rPr>
          <w:rFonts w:ascii="Aptos Display" w:hAnsi="Aptos Display"/>
          <w:b/>
          <w:bCs/>
          <w:color w:val="000000" w:themeColor="text1"/>
        </w:rPr>
        <w:t> </w:t>
      </w:r>
    </w:p>
    <w:tbl>
      <w:tblPr>
        <w:tblW w:w="9015" w:type="dxa"/>
        <w:tblLayout w:type="fixed"/>
        <w:tblCellMar>
          <w:left w:w="10" w:type="dxa"/>
          <w:right w:w="10" w:type="dxa"/>
        </w:tblCellMar>
        <w:tblLook w:val="0000" w:firstRow="0" w:lastRow="0" w:firstColumn="0" w:lastColumn="0" w:noHBand="0" w:noVBand="0"/>
      </w:tblPr>
      <w:tblGrid>
        <w:gridCol w:w="2349"/>
        <w:gridCol w:w="6666"/>
      </w:tblGrid>
      <w:tr w:rsidR="00BE776A" w:rsidRPr="004D45B3" w14:paraId="1D72D83A" w14:textId="77777777">
        <w:trPr>
          <w:trHeight w:val="495"/>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DE1B43" w14:textId="77777777" w:rsidR="00BE776A" w:rsidRPr="004D45B3" w:rsidRDefault="0007681E">
            <w:pPr>
              <w:spacing w:after="0"/>
              <w:rPr>
                <w:color w:val="000000" w:themeColor="text1"/>
              </w:rPr>
            </w:pPr>
            <w:r w:rsidRPr="004D45B3">
              <w:rPr>
                <w:rFonts w:eastAsia="Arial" w:cs="Arial"/>
                <w:b/>
                <w:bCs/>
                <w:color w:val="000000" w:themeColor="text1"/>
                <w:szCs w:val="24"/>
              </w:rPr>
              <w:t>Author(s)</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C89117" w14:textId="77777777" w:rsidR="00BE776A" w:rsidRPr="004D45B3" w:rsidRDefault="0007681E">
            <w:pPr>
              <w:spacing w:after="0"/>
              <w:rPr>
                <w:color w:val="000000" w:themeColor="text1"/>
              </w:rPr>
            </w:pPr>
            <w:r w:rsidRPr="004D45B3">
              <w:rPr>
                <w:rFonts w:eastAsia="Arial" w:cs="Arial"/>
                <w:b/>
                <w:bCs/>
                <w:color w:val="000000" w:themeColor="text1"/>
                <w:szCs w:val="24"/>
              </w:rPr>
              <w:t>Codes</w:t>
            </w:r>
          </w:p>
        </w:tc>
      </w:tr>
      <w:tr w:rsidR="00BE776A" w:rsidRPr="004D45B3" w14:paraId="4D27505C" w14:textId="77777777">
        <w:trPr>
          <w:trHeight w:val="1035"/>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DDFDBD" w14:textId="77777777" w:rsidR="00BE776A" w:rsidRPr="004D45B3" w:rsidRDefault="0007681E">
            <w:pPr>
              <w:spacing w:after="0"/>
              <w:rPr>
                <w:color w:val="000000" w:themeColor="text1"/>
              </w:rPr>
            </w:pPr>
            <w:r w:rsidRPr="004D45B3">
              <w:rPr>
                <w:rFonts w:eastAsia="Arial" w:cs="Arial"/>
                <w:color w:val="000000" w:themeColor="text1"/>
                <w:szCs w:val="24"/>
              </w:rPr>
              <w:t xml:space="preserve">Wainwright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5C1F3E"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“Palliative care”, “End of Life”, “Ethnic minorities”, “Health inequalities”, “Research partnership network”, “Community engagement”</w:t>
            </w:r>
          </w:p>
        </w:tc>
      </w:tr>
      <w:tr w:rsidR="00BE776A" w:rsidRPr="004D45B3" w14:paraId="39D5BA51" w14:textId="77777777">
        <w:trPr>
          <w:trHeight w:val="1305"/>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42B428" w14:textId="77777777" w:rsidR="00BE776A" w:rsidRPr="004D45B3" w:rsidRDefault="0007681E">
            <w:pPr>
              <w:spacing w:after="0"/>
              <w:rPr>
                <w:color w:val="000000" w:themeColor="text1"/>
              </w:rPr>
            </w:pPr>
            <w:r w:rsidRPr="004D45B3">
              <w:rPr>
                <w:rFonts w:eastAsia="Arial" w:cs="Arial"/>
                <w:color w:val="000000" w:themeColor="text1"/>
                <w:szCs w:val="24"/>
              </w:rPr>
              <w:t xml:space="preserve">Thana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066176"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“Minoritised groups”, “healthcare-related harm”, “socioecological  study”, “unsafe care”</w:t>
            </w:r>
          </w:p>
        </w:tc>
      </w:tr>
      <w:tr w:rsidR="00BE776A" w:rsidRPr="004D45B3" w14:paraId="74AEE150" w14:textId="77777777">
        <w:trPr>
          <w:trHeight w:val="1035"/>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599615" w14:textId="77777777" w:rsidR="00BE776A" w:rsidRPr="004D45B3" w:rsidRDefault="0007681E">
            <w:pPr>
              <w:spacing w:after="0"/>
              <w:rPr>
                <w:color w:val="000000" w:themeColor="text1"/>
              </w:rPr>
            </w:pPr>
            <w:r w:rsidRPr="004D45B3">
              <w:rPr>
                <w:rFonts w:eastAsia="Arial" w:cs="Arial"/>
                <w:color w:val="000000" w:themeColor="text1"/>
                <w:szCs w:val="24"/>
              </w:rPr>
              <w:t xml:space="preserve">Dawson </w:t>
            </w:r>
            <w:r w:rsidRPr="004D45B3">
              <w:rPr>
                <w:rFonts w:eastAsia="Arial" w:cs="Arial"/>
                <w:i/>
                <w:iCs/>
                <w:color w:val="000000" w:themeColor="text1"/>
                <w:szCs w:val="24"/>
              </w:rPr>
              <w:t>et al</w:t>
            </w:r>
            <w:r w:rsidRPr="004D45B3">
              <w:rPr>
                <w:rFonts w:eastAsia="Arial" w:cs="Arial"/>
                <w:color w:val="000000" w:themeColor="text1"/>
                <w:szCs w:val="24"/>
              </w:rPr>
              <w:t xml:space="preserve">. (2025)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DF899C"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“Ethnic diversity”, “Inclusion; Equity”, “Trials”, “Recruitment”, “Retention”</w:t>
            </w:r>
          </w:p>
        </w:tc>
      </w:tr>
      <w:tr w:rsidR="00BE776A" w:rsidRPr="004D45B3" w14:paraId="61102F63" w14:textId="77777777">
        <w:trPr>
          <w:trHeight w:val="1020"/>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06AA61" w14:textId="77777777" w:rsidR="00BE776A" w:rsidRPr="004D45B3" w:rsidRDefault="0007681E">
            <w:pPr>
              <w:spacing w:after="0"/>
              <w:rPr>
                <w:color w:val="000000" w:themeColor="text1"/>
              </w:rPr>
            </w:pPr>
            <w:r w:rsidRPr="004D45B3">
              <w:rPr>
                <w:rFonts w:eastAsia="Arial" w:cs="Arial"/>
                <w:color w:val="000000" w:themeColor="text1"/>
                <w:szCs w:val="24"/>
              </w:rPr>
              <w:t xml:space="preserve">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C32FDE" w14:textId="77777777" w:rsidR="00BE776A" w:rsidRPr="004D45B3" w:rsidRDefault="0007681E">
            <w:pPr>
              <w:spacing w:after="0"/>
              <w:rPr>
                <w:color w:val="000000" w:themeColor="text1"/>
              </w:rPr>
            </w:pPr>
            <w:r w:rsidRPr="004D45B3">
              <w:rPr>
                <w:rFonts w:eastAsia="Arial" w:cs="Arial"/>
                <w:color w:val="000000" w:themeColor="text1"/>
                <w:szCs w:val="24"/>
              </w:rPr>
              <w:t>“co</w:t>
            </w:r>
            <w:r w:rsidRPr="004D45B3">
              <w:rPr>
                <w:rFonts w:ascii="Cambria Math" w:eastAsia="Cambria Math" w:hAnsi="Cambria Math" w:cs="Cambria Math"/>
                <w:color w:val="000000" w:themeColor="text1"/>
                <w:szCs w:val="24"/>
              </w:rPr>
              <w:t>‐</w:t>
            </w:r>
            <w:r w:rsidRPr="004D45B3">
              <w:rPr>
                <w:rFonts w:eastAsia="Arial" w:cs="Arial"/>
                <w:color w:val="000000" w:themeColor="text1"/>
                <w:szCs w:val="24"/>
              </w:rPr>
              <w:t>production”, “culturally competent”, “Delphi study”, “ethnic minority”, “mental health services”</w:t>
            </w:r>
          </w:p>
        </w:tc>
      </w:tr>
      <w:tr w:rsidR="00BE776A" w:rsidRPr="004D45B3" w14:paraId="2BD6155E" w14:textId="77777777">
        <w:trPr>
          <w:trHeight w:val="1050"/>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F6DDB4" w14:textId="77777777" w:rsidR="00BE776A" w:rsidRPr="004D45B3" w:rsidRDefault="0007681E">
            <w:pPr>
              <w:spacing w:after="0"/>
              <w:rPr>
                <w:color w:val="000000" w:themeColor="text1"/>
              </w:rPr>
            </w:pPr>
            <w:r w:rsidRPr="004D45B3">
              <w:rPr>
                <w:rFonts w:eastAsia="Arial" w:cs="Arial"/>
                <w:color w:val="000000" w:themeColor="text1"/>
                <w:szCs w:val="24"/>
              </w:rPr>
              <w:t xml:space="preserve">Zeh </w:t>
            </w:r>
            <w:r w:rsidRPr="004D45B3">
              <w:rPr>
                <w:rFonts w:eastAsia="Arial" w:cs="Arial"/>
                <w:i/>
                <w:iCs/>
                <w:color w:val="000000" w:themeColor="text1"/>
                <w:szCs w:val="24"/>
              </w:rPr>
              <w:t>et al</w:t>
            </w:r>
            <w:r w:rsidRPr="004D45B3">
              <w:rPr>
                <w:rFonts w:eastAsia="Arial" w:cs="Arial"/>
                <w:color w:val="000000" w:themeColor="text1"/>
                <w:szCs w:val="24"/>
              </w:rPr>
              <w:t xml:space="preserve">. (2015)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A41C14"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“culturally competent”, “primary care”, “diabetes”</w:t>
            </w:r>
          </w:p>
        </w:tc>
      </w:tr>
      <w:tr w:rsidR="00BE776A" w:rsidRPr="004D45B3" w14:paraId="2A496921" w14:textId="77777777">
        <w:trPr>
          <w:trHeight w:val="1035"/>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FE726B" w14:textId="77777777" w:rsidR="00BE776A" w:rsidRPr="004D45B3" w:rsidRDefault="0007681E">
            <w:pPr>
              <w:rPr>
                <w:color w:val="000000" w:themeColor="text1"/>
              </w:rPr>
            </w:pPr>
            <w:proofErr w:type="spellStart"/>
            <w:r w:rsidRPr="004D45B3">
              <w:rPr>
                <w:rFonts w:eastAsia="Arial" w:cs="Arial"/>
                <w:color w:val="000000" w:themeColor="text1"/>
                <w:szCs w:val="24"/>
              </w:rPr>
              <w:t>Moorthie</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(2024)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78405A"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“UK health and care professionals”, “quality of data”, “health inequalities”</w:t>
            </w:r>
          </w:p>
        </w:tc>
      </w:tr>
      <w:tr w:rsidR="00BE776A" w:rsidRPr="004D45B3" w14:paraId="577D5966" w14:textId="77777777">
        <w:trPr>
          <w:trHeight w:val="1035"/>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52E5D0" w14:textId="77777777" w:rsidR="00BE776A" w:rsidRPr="004D45B3" w:rsidRDefault="0007681E">
            <w:pPr>
              <w:spacing w:after="0"/>
              <w:rPr>
                <w:color w:val="000000" w:themeColor="text1"/>
              </w:rPr>
            </w:pPr>
            <w:r w:rsidRPr="004D45B3">
              <w:rPr>
                <w:rFonts w:eastAsia="Arial" w:cs="Arial"/>
                <w:color w:val="000000" w:themeColor="text1"/>
                <w:szCs w:val="24"/>
              </w:rPr>
              <w:t xml:space="preserve">McGreevy </w:t>
            </w:r>
            <w:r w:rsidRPr="004D45B3">
              <w:rPr>
                <w:rFonts w:eastAsia="Arial" w:cs="Arial"/>
                <w:i/>
                <w:iCs/>
                <w:color w:val="000000" w:themeColor="text1"/>
                <w:szCs w:val="24"/>
              </w:rPr>
              <w:t>et al</w:t>
            </w:r>
            <w:r w:rsidRPr="004D45B3">
              <w:rPr>
                <w:rFonts w:eastAsia="Arial" w:cs="Arial"/>
                <w:color w:val="000000" w:themeColor="text1"/>
                <w:szCs w:val="24"/>
              </w:rPr>
              <w:t xml:space="preserve">. (2023)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4739B3"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“Multimorbidity”, “Primary care”, “Long-term conditions”, “COVID-19 pandemic”, “Ethnic inequalities”</w:t>
            </w:r>
          </w:p>
        </w:tc>
      </w:tr>
      <w:tr w:rsidR="00BE776A" w:rsidRPr="004D45B3" w14:paraId="1D602E07" w14:textId="77777777">
        <w:trPr>
          <w:trHeight w:val="1035"/>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DB81EE" w14:textId="77777777" w:rsidR="00BE776A" w:rsidRPr="004D45B3" w:rsidRDefault="0007681E">
            <w:pPr>
              <w:rPr>
                <w:color w:val="000000" w:themeColor="text1"/>
              </w:rPr>
            </w:pPr>
            <w:r w:rsidRPr="004D45B3">
              <w:rPr>
                <w:rFonts w:eastAsia="Arial" w:cs="Arial"/>
                <w:color w:val="000000" w:themeColor="text1"/>
                <w:szCs w:val="24"/>
              </w:rPr>
              <w:t xml:space="preserve">Cluley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148C89"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“Racialisation”, “Critical race theory”, “Health inequality”, “Ageing lived experience”, “Photovoice”</w:t>
            </w:r>
          </w:p>
        </w:tc>
      </w:tr>
      <w:tr w:rsidR="00BE776A" w:rsidRPr="004D45B3" w14:paraId="02C3257A" w14:textId="77777777">
        <w:trPr>
          <w:trHeight w:val="1020"/>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D2763F" w14:textId="77777777" w:rsidR="00BE776A" w:rsidRPr="004D45B3" w:rsidRDefault="0007681E">
            <w:pPr>
              <w:spacing w:after="0"/>
              <w:rPr>
                <w:color w:val="000000" w:themeColor="text1"/>
              </w:rPr>
            </w:pPr>
            <w:r w:rsidRPr="004D45B3">
              <w:rPr>
                <w:rFonts w:eastAsia="Arial" w:cs="Arial"/>
                <w:color w:val="000000" w:themeColor="text1"/>
                <w:szCs w:val="24"/>
              </w:rPr>
              <w:t xml:space="preserve">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0F0F19"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“Racism, Discrimination”, “Prejudice”, “Mental health”, “Physical health”</w:t>
            </w:r>
          </w:p>
        </w:tc>
      </w:tr>
      <w:tr w:rsidR="00BE776A" w:rsidRPr="004D45B3" w14:paraId="0D77C35C" w14:textId="77777777">
        <w:trPr>
          <w:trHeight w:val="990"/>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81624F" w14:textId="77777777" w:rsidR="00BE776A" w:rsidRPr="004D45B3" w:rsidRDefault="0007681E">
            <w:pPr>
              <w:spacing w:after="0"/>
              <w:rPr>
                <w:color w:val="000000" w:themeColor="text1"/>
              </w:rPr>
            </w:pPr>
            <w:r w:rsidRPr="004D45B3">
              <w:rPr>
                <w:rFonts w:eastAsia="Arial" w:cs="Arial"/>
                <w:color w:val="000000" w:themeColor="text1"/>
                <w:szCs w:val="24"/>
              </w:rPr>
              <w:t xml:space="preserve">Watkinson </w:t>
            </w:r>
            <w:r w:rsidRPr="004D45B3">
              <w:rPr>
                <w:rFonts w:eastAsia="Arial" w:cs="Arial"/>
                <w:i/>
                <w:iCs/>
                <w:color w:val="000000" w:themeColor="text1"/>
                <w:szCs w:val="24"/>
              </w:rPr>
              <w:t>et al</w:t>
            </w:r>
            <w:r w:rsidRPr="004D45B3">
              <w:rPr>
                <w:rFonts w:eastAsia="Arial" w:cs="Arial"/>
                <w:color w:val="000000" w:themeColor="text1"/>
                <w:szCs w:val="24"/>
              </w:rPr>
              <w:t xml:space="preserve">. (2021)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A531E3"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“Ethnic inequalities”, “health-related”, “quality of life”, “older adults”</w:t>
            </w:r>
          </w:p>
        </w:tc>
      </w:tr>
      <w:tr w:rsidR="00BE776A" w:rsidRPr="004D45B3" w14:paraId="13531537" w14:textId="77777777">
        <w:trPr>
          <w:trHeight w:val="1035"/>
        </w:trPr>
        <w:tc>
          <w:tcPr>
            <w:tcW w:w="23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8E577E" w14:textId="77777777" w:rsidR="00BE776A" w:rsidRPr="004D45B3" w:rsidRDefault="0007681E">
            <w:pPr>
              <w:spacing w:after="0"/>
              <w:rPr>
                <w:color w:val="000000" w:themeColor="text1"/>
              </w:rPr>
            </w:pPr>
            <w:r w:rsidRPr="004D45B3">
              <w:rPr>
                <w:rFonts w:eastAsia="Arial" w:cs="Arial"/>
                <w:color w:val="000000" w:themeColor="text1"/>
                <w:szCs w:val="24"/>
              </w:rPr>
              <w:t xml:space="preserve">Ahmad </w:t>
            </w:r>
            <w:r w:rsidRPr="004D45B3">
              <w:rPr>
                <w:rFonts w:eastAsia="Arial" w:cs="Arial"/>
                <w:i/>
                <w:iCs/>
                <w:color w:val="000000" w:themeColor="text1"/>
                <w:szCs w:val="24"/>
              </w:rPr>
              <w:t>et al</w:t>
            </w:r>
            <w:r w:rsidRPr="004D45B3">
              <w:rPr>
                <w:rFonts w:eastAsia="Arial" w:cs="Arial"/>
                <w:color w:val="000000" w:themeColor="text1"/>
                <w:szCs w:val="24"/>
              </w:rPr>
              <w:t xml:space="preserve">. (2021) </w:t>
            </w:r>
          </w:p>
        </w:tc>
        <w:tc>
          <w:tcPr>
            <w:tcW w:w="66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BF6A04"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“Ethnicity”, “mental health inequalities”, “treatment inequalities”, “common mental disorders”, “social epidemiology”</w:t>
            </w:r>
          </w:p>
        </w:tc>
      </w:tr>
    </w:tbl>
    <w:p w14:paraId="756198D2" w14:textId="77777777" w:rsidR="00BE776A" w:rsidRPr="004D45B3" w:rsidRDefault="0007681E">
      <w:pPr>
        <w:pStyle w:val="Heading5"/>
        <w:jc w:val="center"/>
        <w:rPr>
          <w:i/>
          <w:iCs/>
          <w:color w:val="000000" w:themeColor="text1"/>
        </w:rPr>
      </w:pPr>
      <w:bookmarkStart w:id="45" w:name="_heading=h.left6ychpixe"/>
      <w:bookmarkStart w:id="46" w:name="_Toc240899407"/>
      <w:bookmarkEnd w:id="45"/>
      <w:r w:rsidRPr="004D45B3">
        <w:rPr>
          <w:i/>
          <w:iCs/>
          <w:color w:val="000000" w:themeColor="text1"/>
        </w:rPr>
        <w:t>Table 3: Thematic Coding</w:t>
      </w:r>
      <w:bookmarkEnd w:id="46"/>
    </w:p>
    <w:p w14:paraId="61F0E98D" w14:textId="77777777" w:rsidR="00C33A9F" w:rsidRPr="004D45B3" w:rsidRDefault="00C33A9F">
      <w:pPr>
        <w:spacing w:before="280"/>
        <w:rPr>
          <w:rFonts w:eastAsia="Arial" w:cs="Arial"/>
          <w:color w:val="000000" w:themeColor="text1"/>
          <w:szCs w:val="24"/>
        </w:rPr>
      </w:pPr>
    </w:p>
    <w:p w14:paraId="3C30B92F" w14:textId="14462472"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 xml:space="preserve">The evidence found in the 11 identified studies was then coded thematically to organise the evidence into analytically meaningful pieces that may be applied in culturally competent care delivery and ethnic health disparities in the UK. The initial codes, which are represented in Table 3, expressed the main ideas, population, healthcare environment and inequality-associated factors discussed in each study. </w:t>
      </w:r>
    </w:p>
    <w:p w14:paraId="1D9E376A" w14:textId="77777777" w:rsidR="00C33A9F" w:rsidRPr="004D45B3" w:rsidRDefault="00C33A9F">
      <w:pPr>
        <w:pStyle w:val="Heading3"/>
        <w:rPr>
          <w:rFonts w:ascii="Aptos Display" w:hAnsi="Aptos Display"/>
          <w:b/>
          <w:bCs/>
          <w:color w:val="000000" w:themeColor="text1"/>
        </w:rPr>
      </w:pPr>
      <w:bookmarkStart w:id="47" w:name="_heading=h.u5voe0t9l8xd"/>
      <w:bookmarkEnd w:id="47"/>
    </w:p>
    <w:p w14:paraId="343D1485" w14:textId="723CB2A4" w:rsidR="00BE776A" w:rsidRPr="004D45B3" w:rsidRDefault="0007681E">
      <w:pPr>
        <w:pStyle w:val="Heading3"/>
        <w:rPr>
          <w:color w:val="000000" w:themeColor="text1"/>
        </w:rPr>
      </w:pPr>
      <w:bookmarkStart w:id="48" w:name="_Toc241190026"/>
      <w:r w:rsidRPr="004D45B3">
        <w:rPr>
          <w:rFonts w:ascii="Aptos Display" w:hAnsi="Aptos Display"/>
          <w:b/>
          <w:bCs/>
          <w:color w:val="000000" w:themeColor="text1"/>
        </w:rPr>
        <w:t>4.3 Generating Initial Themes</w:t>
      </w:r>
      <w:bookmarkEnd w:id="48"/>
    </w:p>
    <w:tbl>
      <w:tblPr>
        <w:tblW w:w="9015" w:type="dxa"/>
        <w:tblLayout w:type="fixed"/>
        <w:tblCellMar>
          <w:left w:w="10" w:type="dxa"/>
          <w:right w:w="10" w:type="dxa"/>
        </w:tblCellMar>
        <w:tblLook w:val="0000" w:firstRow="0" w:lastRow="0" w:firstColumn="0" w:lastColumn="0" w:noHBand="0" w:noVBand="0"/>
      </w:tblPr>
      <w:tblGrid>
        <w:gridCol w:w="1753"/>
        <w:gridCol w:w="3097"/>
        <w:gridCol w:w="2281"/>
        <w:gridCol w:w="1884"/>
      </w:tblGrid>
      <w:tr w:rsidR="00BE776A" w:rsidRPr="004D45B3" w14:paraId="433DF973" w14:textId="77777777">
        <w:trPr>
          <w:trHeight w:val="480"/>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4900FE" w14:textId="77777777" w:rsidR="00BE776A" w:rsidRPr="004D45B3" w:rsidRDefault="0007681E">
            <w:pPr>
              <w:spacing w:after="0"/>
              <w:rPr>
                <w:color w:val="000000" w:themeColor="text1"/>
              </w:rPr>
            </w:pPr>
            <w:r w:rsidRPr="004D45B3">
              <w:rPr>
                <w:rFonts w:eastAsia="Arial" w:cs="Arial"/>
                <w:b/>
                <w:bCs/>
                <w:color w:val="000000" w:themeColor="text1"/>
                <w:szCs w:val="24"/>
              </w:rPr>
              <w:t>Author(s)</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B7DF79" w14:textId="77777777" w:rsidR="00BE776A" w:rsidRPr="004D45B3" w:rsidRDefault="0007681E">
            <w:pPr>
              <w:spacing w:after="0"/>
              <w:rPr>
                <w:color w:val="000000" w:themeColor="text1"/>
              </w:rPr>
            </w:pPr>
            <w:r w:rsidRPr="004D45B3">
              <w:rPr>
                <w:rFonts w:eastAsia="Arial" w:cs="Arial"/>
                <w:b/>
                <w:bCs/>
                <w:color w:val="000000" w:themeColor="text1"/>
                <w:szCs w:val="24"/>
              </w:rPr>
              <w:t>Codes (Keywords)</w:t>
            </w:r>
          </w:p>
        </w:tc>
        <w:tc>
          <w:tcPr>
            <w:tcW w:w="228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04FE91" w14:textId="77777777" w:rsidR="00BE776A" w:rsidRPr="004D45B3" w:rsidRDefault="0007681E">
            <w:pPr>
              <w:spacing w:after="0"/>
              <w:rPr>
                <w:color w:val="000000" w:themeColor="text1"/>
              </w:rPr>
            </w:pPr>
            <w:r w:rsidRPr="004D45B3">
              <w:rPr>
                <w:rFonts w:eastAsia="Arial" w:cs="Arial"/>
                <w:b/>
                <w:bCs/>
                <w:color w:val="000000" w:themeColor="text1"/>
                <w:szCs w:val="24"/>
              </w:rPr>
              <w:t>Sub-themes</w:t>
            </w:r>
          </w:p>
        </w:tc>
        <w:tc>
          <w:tcPr>
            <w:tcW w:w="18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A70A2C" w14:textId="77777777" w:rsidR="00BE776A" w:rsidRPr="004D45B3" w:rsidRDefault="0007681E">
            <w:pPr>
              <w:spacing w:after="0"/>
              <w:rPr>
                <w:color w:val="000000" w:themeColor="text1"/>
              </w:rPr>
            </w:pPr>
            <w:r w:rsidRPr="004D45B3">
              <w:rPr>
                <w:rFonts w:eastAsia="Arial" w:cs="Arial"/>
                <w:b/>
                <w:bCs/>
                <w:color w:val="000000" w:themeColor="text1"/>
                <w:szCs w:val="24"/>
              </w:rPr>
              <w:t>Candidate Themes</w:t>
            </w:r>
          </w:p>
        </w:tc>
      </w:tr>
      <w:tr w:rsidR="00BE776A" w:rsidRPr="004D45B3" w14:paraId="34314447" w14:textId="77777777">
        <w:trPr>
          <w:trHeight w:val="265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9784D9" w14:textId="77777777" w:rsidR="00BE776A" w:rsidRPr="004D45B3" w:rsidRDefault="0007681E">
            <w:pPr>
              <w:spacing w:after="0"/>
              <w:rPr>
                <w:color w:val="000000" w:themeColor="text1"/>
              </w:rPr>
            </w:pPr>
            <w:r w:rsidRPr="004D45B3">
              <w:rPr>
                <w:rFonts w:eastAsia="Arial" w:cs="Arial"/>
                <w:color w:val="000000" w:themeColor="text1"/>
                <w:szCs w:val="24"/>
              </w:rPr>
              <w:t xml:space="preserve">Wainwright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D04B07"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“Palliative care”, “End of Life”, “Ethnic minorities”, “Health inequalities”, “Research partnership network”, “Community engagement”</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7DB2F59"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Community participation and equitable end-of-life care</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EB44114"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Culturally Equitable Palliative Care</w:t>
            </w:r>
          </w:p>
        </w:tc>
      </w:tr>
      <w:tr w:rsidR="00BE776A" w:rsidRPr="004D45B3" w14:paraId="11985339" w14:textId="77777777">
        <w:trPr>
          <w:trHeight w:val="265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15317B" w14:textId="77777777" w:rsidR="00BE776A" w:rsidRPr="004D45B3" w:rsidRDefault="0007681E">
            <w:pPr>
              <w:spacing w:after="0"/>
              <w:rPr>
                <w:color w:val="000000" w:themeColor="text1"/>
              </w:rPr>
            </w:pPr>
            <w:r w:rsidRPr="004D45B3">
              <w:rPr>
                <w:rFonts w:eastAsia="Arial" w:cs="Arial"/>
                <w:color w:val="000000" w:themeColor="text1"/>
                <w:szCs w:val="24"/>
              </w:rPr>
              <w:t xml:space="preserve">Thana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1825C9"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“Minoritised groups”, “healthcare-related harm”, “socioecological  study”, “unsafe care”</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A6E4B4B"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Experiences of unsafe care among minoritised populations</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44B235C"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Ethnic Disparities in Patient Safety</w:t>
            </w:r>
          </w:p>
        </w:tc>
      </w:tr>
      <w:tr w:rsidR="00BE776A" w:rsidRPr="004D45B3" w14:paraId="50AE27D3" w14:textId="77777777">
        <w:trPr>
          <w:trHeight w:val="238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BD5A2C" w14:textId="77777777" w:rsidR="00BE776A" w:rsidRPr="004D45B3" w:rsidRDefault="0007681E">
            <w:pPr>
              <w:spacing w:after="0"/>
              <w:rPr>
                <w:color w:val="000000" w:themeColor="text1"/>
              </w:rPr>
            </w:pPr>
            <w:r w:rsidRPr="004D45B3">
              <w:rPr>
                <w:rFonts w:eastAsia="Arial" w:cs="Arial"/>
                <w:color w:val="000000" w:themeColor="text1"/>
                <w:szCs w:val="24"/>
              </w:rPr>
              <w:t xml:space="preserve">Dawson </w:t>
            </w:r>
            <w:r w:rsidRPr="004D45B3">
              <w:rPr>
                <w:rFonts w:eastAsia="Arial" w:cs="Arial"/>
                <w:i/>
                <w:iCs/>
                <w:color w:val="000000" w:themeColor="text1"/>
                <w:szCs w:val="24"/>
              </w:rPr>
              <w:t>et al</w:t>
            </w:r>
            <w:r w:rsidRPr="004D45B3">
              <w:rPr>
                <w:rFonts w:eastAsia="Arial" w:cs="Arial"/>
                <w:color w:val="000000" w:themeColor="text1"/>
                <w:szCs w:val="24"/>
              </w:rPr>
              <w:t xml:space="preserve">. (2025)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3900C2"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“Ethnic diversity”, “Inclusion; Equity”, “Trials”, “Recruitment”, “Retention”</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7DEE3DA"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Representation and participation in clinical research</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CD7DFB7"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Inclusive Clinical Research Participation</w:t>
            </w:r>
          </w:p>
        </w:tc>
      </w:tr>
      <w:tr w:rsidR="00BE776A" w:rsidRPr="004D45B3" w14:paraId="49BB3ABD" w14:textId="77777777">
        <w:trPr>
          <w:trHeight w:val="211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3ABA45" w14:textId="77777777" w:rsidR="00BE776A" w:rsidRPr="004D45B3" w:rsidRDefault="0007681E">
            <w:pPr>
              <w:spacing w:after="0"/>
              <w:rPr>
                <w:color w:val="000000" w:themeColor="text1"/>
              </w:rPr>
            </w:pPr>
            <w:r w:rsidRPr="004D45B3">
              <w:rPr>
                <w:rFonts w:eastAsia="Arial" w:cs="Arial"/>
                <w:color w:val="000000" w:themeColor="text1"/>
                <w:szCs w:val="24"/>
              </w:rPr>
              <w:t xml:space="preserve">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08C322" w14:textId="77777777" w:rsidR="00BE776A" w:rsidRPr="004D45B3" w:rsidRDefault="0007681E">
            <w:pPr>
              <w:spacing w:after="0"/>
              <w:rPr>
                <w:color w:val="000000" w:themeColor="text1"/>
              </w:rPr>
            </w:pPr>
            <w:r w:rsidRPr="004D45B3">
              <w:rPr>
                <w:rFonts w:eastAsia="Arial" w:cs="Arial"/>
                <w:color w:val="000000" w:themeColor="text1"/>
                <w:szCs w:val="24"/>
              </w:rPr>
              <w:t>“co</w:t>
            </w:r>
            <w:r w:rsidRPr="004D45B3">
              <w:rPr>
                <w:rFonts w:ascii="Cambria Math" w:eastAsia="Cambria Math" w:hAnsi="Cambria Math" w:cs="Cambria Math"/>
                <w:color w:val="000000" w:themeColor="text1"/>
                <w:szCs w:val="24"/>
              </w:rPr>
              <w:t>‐</w:t>
            </w:r>
            <w:r w:rsidRPr="004D45B3">
              <w:rPr>
                <w:rFonts w:eastAsia="Arial" w:cs="Arial"/>
                <w:color w:val="000000" w:themeColor="text1"/>
                <w:szCs w:val="24"/>
              </w:rPr>
              <w:t>production”, “culturally competent”, “Delphi study”, “ethnic minority”, “mental health services”</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732AF91"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Co-produced and culturally responsive mental healthcare</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E861AB5"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Culturally Responsive Mental Health Services</w:t>
            </w:r>
          </w:p>
        </w:tc>
      </w:tr>
      <w:tr w:rsidR="00BE776A" w:rsidRPr="004D45B3" w14:paraId="17BFC9BA" w14:textId="77777777">
        <w:trPr>
          <w:trHeight w:val="2370"/>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C94C36" w14:textId="77777777" w:rsidR="00BE776A" w:rsidRPr="004D45B3" w:rsidRDefault="0007681E">
            <w:pPr>
              <w:spacing w:after="0"/>
              <w:rPr>
                <w:color w:val="000000" w:themeColor="text1"/>
              </w:rPr>
            </w:pPr>
            <w:r w:rsidRPr="004D45B3">
              <w:rPr>
                <w:rFonts w:eastAsia="Arial" w:cs="Arial"/>
                <w:color w:val="000000" w:themeColor="text1"/>
                <w:szCs w:val="24"/>
              </w:rPr>
              <w:t xml:space="preserve">Zeh </w:t>
            </w:r>
            <w:r w:rsidRPr="004D45B3">
              <w:rPr>
                <w:rFonts w:eastAsia="Arial" w:cs="Arial"/>
                <w:i/>
                <w:iCs/>
                <w:color w:val="000000" w:themeColor="text1"/>
                <w:szCs w:val="24"/>
              </w:rPr>
              <w:t>et al</w:t>
            </w:r>
            <w:r w:rsidRPr="004D45B3">
              <w:rPr>
                <w:rFonts w:eastAsia="Arial" w:cs="Arial"/>
                <w:color w:val="000000" w:themeColor="text1"/>
                <w:szCs w:val="24"/>
              </w:rPr>
              <w:t xml:space="preserve">. (2015)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7D8E80"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“culturally competent”, “primary care”, “diabetes”</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AD0D15E"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Cultural competence in long-term condition management</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7FCC935"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Cultural Competence in Diabetes Care</w:t>
            </w:r>
          </w:p>
        </w:tc>
      </w:tr>
      <w:tr w:rsidR="00BE776A" w:rsidRPr="004D45B3" w14:paraId="351D042D" w14:textId="77777777">
        <w:trPr>
          <w:trHeight w:val="184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AAA562" w14:textId="77777777" w:rsidR="00BE776A" w:rsidRPr="004D45B3" w:rsidRDefault="0007681E">
            <w:pPr>
              <w:rPr>
                <w:color w:val="000000" w:themeColor="text1"/>
              </w:rPr>
            </w:pPr>
            <w:proofErr w:type="spellStart"/>
            <w:r w:rsidRPr="004D45B3">
              <w:rPr>
                <w:rFonts w:eastAsia="Arial" w:cs="Arial"/>
                <w:color w:val="000000" w:themeColor="text1"/>
                <w:szCs w:val="24"/>
              </w:rPr>
              <w:t>Moorthie</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(2024)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977F03"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“UK health and care professionals”, “quality of data”, “health inequalities”</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2F06AD6"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Ethnicity data quality and professional practice</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C3F57ED"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Data Quality for Health Equity</w:t>
            </w:r>
          </w:p>
        </w:tc>
      </w:tr>
      <w:tr w:rsidR="00BE776A" w:rsidRPr="004D45B3" w14:paraId="5F0F9EE6" w14:textId="77777777">
        <w:trPr>
          <w:trHeight w:val="184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360D76" w14:textId="77777777" w:rsidR="00BE776A" w:rsidRPr="004D45B3" w:rsidRDefault="0007681E">
            <w:pPr>
              <w:spacing w:after="0"/>
              <w:rPr>
                <w:color w:val="000000" w:themeColor="text1"/>
              </w:rPr>
            </w:pPr>
            <w:r w:rsidRPr="004D45B3">
              <w:rPr>
                <w:rFonts w:eastAsia="Arial" w:cs="Arial"/>
                <w:color w:val="000000" w:themeColor="text1"/>
                <w:szCs w:val="24"/>
              </w:rPr>
              <w:t xml:space="preserve">McGreevy </w:t>
            </w:r>
            <w:r w:rsidRPr="004D45B3">
              <w:rPr>
                <w:rFonts w:eastAsia="Arial" w:cs="Arial"/>
                <w:i/>
                <w:iCs/>
                <w:color w:val="000000" w:themeColor="text1"/>
                <w:szCs w:val="24"/>
              </w:rPr>
              <w:t>et al</w:t>
            </w:r>
            <w:r w:rsidRPr="004D45B3">
              <w:rPr>
                <w:rFonts w:eastAsia="Arial" w:cs="Arial"/>
                <w:color w:val="000000" w:themeColor="text1"/>
                <w:szCs w:val="24"/>
              </w:rPr>
              <w:t xml:space="preserve">. (2023)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AF3CE8"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“Multimorbidity”, “Primary care”, “Long-term conditions”, “COVID-19 pandemic”, “Ethnic inequalities”</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EC096B3"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Ethnic inequalities in multimorbidity and primary care</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D624C23"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Unequal Burden of Multimorbidity</w:t>
            </w:r>
          </w:p>
        </w:tc>
      </w:tr>
      <w:tr w:rsidR="00BE776A" w:rsidRPr="004D45B3" w14:paraId="7290DC80" w14:textId="77777777">
        <w:trPr>
          <w:trHeight w:val="2370"/>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4FC2A1" w14:textId="77777777" w:rsidR="00BE776A" w:rsidRPr="004D45B3" w:rsidRDefault="0007681E">
            <w:pPr>
              <w:rPr>
                <w:color w:val="000000" w:themeColor="text1"/>
              </w:rPr>
            </w:pPr>
            <w:r w:rsidRPr="004D45B3">
              <w:rPr>
                <w:rFonts w:eastAsia="Arial" w:cs="Arial"/>
                <w:color w:val="000000" w:themeColor="text1"/>
                <w:szCs w:val="24"/>
              </w:rPr>
              <w:t xml:space="preserve">Cluley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EA9BF8"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“Racialisation”, “Critical race theory”, “Health inequality”, “Ageing Lived experience”, “Photovoice”</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66E27C6"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Racialised experiences of ageing and healthcare</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AF8B6FD"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Racialisation Across Later Life</w:t>
            </w:r>
          </w:p>
        </w:tc>
      </w:tr>
      <w:tr w:rsidR="00BE776A" w:rsidRPr="004D45B3" w14:paraId="37CFA861" w14:textId="77777777">
        <w:trPr>
          <w:trHeight w:val="211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681D7A" w14:textId="77777777" w:rsidR="00BE776A" w:rsidRPr="004D45B3" w:rsidRDefault="0007681E">
            <w:pPr>
              <w:spacing w:after="0"/>
              <w:rPr>
                <w:color w:val="000000" w:themeColor="text1"/>
              </w:rPr>
            </w:pPr>
            <w:r w:rsidRPr="004D45B3">
              <w:rPr>
                <w:rFonts w:eastAsia="Arial" w:cs="Arial"/>
                <w:color w:val="000000" w:themeColor="text1"/>
                <w:szCs w:val="24"/>
              </w:rPr>
              <w:t xml:space="preserve">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3F9847"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“Racism, Discrimination”, “Prejudice”, “Mental health”, “Physical health”</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DC1B627"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Effects of discrimination on physical and psychological wellbeing</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B75F89E"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Health Consequences of Racism</w:t>
            </w:r>
          </w:p>
        </w:tc>
      </w:tr>
      <w:tr w:rsidR="00BE776A" w:rsidRPr="004D45B3" w14:paraId="3ABACECE" w14:textId="77777777">
        <w:trPr>
          <w:trHeight w:val="238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7B690E" w14:textId="77777777" w:rsidR="00BE776A" w:rsidRPr="004D45B3" w:rsidRDefault="0007681E">
            <w:pPr>
              <w:spacing w:after="0"/>
              <w:rPr>
                <w:color w:val="000000" w:themeColor="text1"/>
              </w:rPr>
            </w:pPr>
            <w:r w:rsidRPr="004D45B3">
              <w:rPr>
                <w:rFonts w:eastAsia="Arial" w:cs="Arial"/>
                <w:color w:val="000000" w:themeColor="text1"/>
                <w:szCs w:val="24"/>
              </w:rPr>
              <w:t xml:space="preserve">Watkinson </w:t>
            </w:r>
            <w:r w:rsidRPr="004D45B3">
              <w:rPr>
                <w:rFonts w:eastAsia="Arial" w:cs="Arial"/>
                <w:i/>
                <w:iCs/>
                <w:color w:val="000000" w:themeColor="text1"/>
                <w:szCs w:val="24"/>
              </w:rPr>
              <w:t>et al</w:t>
            </w:r>
            <w:r w:rsidRPr="004D45B3">
              <w:rPr>
                <w:rFonts w:eastAsia="Arial" w:cs="Arial"/>
                <w:color w:val="000000" w:themeColor="text1"/>
                <w:szCs w:val="24"/>
              </w:rPr>
              <w:t xml:space="preserve">. (2021)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7A136D"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“Ethnic inequalities”, “health-related”, “quality of life”, “older adults”</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F483887"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Ethnic differences in health-related quality of life</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0AD7DAB"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Ethnicity and Quality of Life in Ageing</w:t>
            </w:r>
          </w:p>
        </w:tc>
      </w:tr>
      <w:tr w:rsidR="00BE776A" w:rsidRPr="004D45B3" w14:paraId="20CC6CEB" w14:textId="77777777">
        <w:trPr>
          <w:trHeight w:val="2115"/>
        </w:trPr>
        <w:tc>
          <w:tcPr>
            <w:tcW w:w="17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9C8BD4" w14:textId="77777777" w:rsidR="00BE776A" w:rsidRPr="004D45B3" w:rsidRDefault="0007681E">
            <w:pPr>
              <w:spacing w:after="0"/>
              <w:rPr>
                <w:color w:val="000000" w:themeColor="text1"/>
              </w:rPr>
            </w:pPr>
            <w:r w:rsidRPr="004D45B3">
              <w:rPr>
                <w:rFonts w:eastAsia="Arial" w:cs="Arial"/>
                <w:color w:val="000000" w:themeColor="text1"/>
                <w:szCs w:val="24"/>
              </w:rPr>
              <w:t xml:space="preserve">Ahmad </w:t>
            </w:r>
            <w:r w:rsidRPr="004D45B3">
              <w:rPr>
                <w:rFonts w:eastAsia="Arial" w:cs="Arial"/>
                <w:i/>
                <w:iCs/>
                <w:color w:val="000000" w:themeColor="text1"/>
                <w:szCs w:val="24"/>
              </w:rPr>
              <w:t>et al</w:t>
            </w:r>
            <w:r w:rsidRPr="004D45B3">
              <w:rPr>
                <w:rFonts w:eastAsia="Arial" w:cs="Arial"/>
                <w:color w:val="000000" w:themeColor="text1"/>
                <w:szCs w:val="24"/>
              </w:rPr>
              <w:t xml:space="preserve">. (2021) </w:t>
            </w:r>
          </w:p>
        </w:tc>
        <w:tc>
          <w:tcPr>
            <w:tcW w:w="30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AD196F" w14:textId="77777777" w:rsidR="00BE776A" w:rsidRPr="004D45B3" w:rsidRDefault="0007681E">
            <w:pPr>
              <w:spacing w:after="0"/>
              <w:rPr>
                <w:rFonts w:eastAsia="Arial" w:cs="Arial"/>
                <w:color w:val="000000" w:themeColor="text1"/>
                <w:szCs w:val="24"/>
              </w:rPr>
            </w:pPr>
            <w:r w:rsidRPr="004D45B3">
              <w:rPr>
                <w:rFonts w:eastAsia="Arial" w:cs="Arial"/>
                <w:color w:val="000000" w:themeColor="text1"/>
                <w:szCs w:val="24"/>
              </w:rPr>
              <w:t>“Ethnicity”, “mental health inequalities”, “treatment inequalities”, “common mental disorders”, “social epidemiology”</w:t>
            </w:r>
          </w:p>
        </w:tc>
        <w:tc>
          <w:tcPr>
            <w:tcW w:w="228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EB593DD"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Unequal access and treatment for common mental disorders</w:t>
            </w:r>
          </w:p>
        </w:tc>
        <w:tc>
          <w:tcPr>
            <w:tcW w:w="1884"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6F64546"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Ethnic Inequalities in Mental Health Treatment</w:t>
            </w:r>
          </w:p>
        </w:tc>
      </w:tr>
    </w:tbl>
    <w:p w14:paraId="5D7B28B8" w14:textId="77777777" w:rsidR="00BE776A" w:rsidRPr="004D45B3" w:rsidRDefault="0007681E">
      <w:pPr>
        <w:pStyle w:val="Heading5"/>
        <w:jc w:val="center"/>
        <w:rPr>
          <w:i/>
          <w:iCs/>
          <w:color w:val="000000" w:themeColor="text1"/>
        </w:rPr>
      </w:pPr>
      <w:bookmarkStart w:id="49" w:name="_heading=h.tpplklj7s9y0"/>
      <w:bookmarkStart w:id="50" w:name="_Toc240899408"/>
      <w:bookmarkEnd w:id="49"/>
      <w:r w:rsidRPr="004D45B3">
        <w:rPr>
          <w:i/>
          <w:iCs/>
          <w:color w:val="000000" w:themeColor="text1"/>
        </w:rPr>
        <w:t>Table 4: Generating Initial Themes</w:t>
      </w:r>
      <w:bookmarkEnd w:id="50"/>
    </w:p>
    <w:p w14:paraId="4D868E33" w14:textId="77777777" w:rsidR="00C33A9F" w:rsidRPr="004D45B3" w:rsidRDefault="00C33A9F">
      <w:pPr>
        <w:spacing w:before="280"/>
        <w:rPr>
          <w:rFonts w:eastAsia="Arial" w:cs="Arial"/>
          <w:color w:val="000000" w:themeColor="text1"/>
          <w:szCs w:val="24"/>
        </w:rPr>
      </w:pPr>
    </w:p>
    <w:p w14:paraId="545BEA52" w14:textId="77777777" w:rsidR="004D45B3" w:rsidRDefault="0007681E">
      <w:pPr>
        <w:spacing w:before="280"/>
        <w:rPr>
          <w:rFonts w:eastAsia="Arial" w:cs="Arial"/>
          <w:color w:val="000000" w:themeColor="text1"/>
          <w:szCs w:val="24"/>
        </w:rPr>
      </w:pPr>
      <w:r w:rsidRPr="004D45B3">
        <w:rPr>
          <w:rFonts w:eastAsia="Arial" w:cs="Arial"/>
          <w:color w:val="000000" w:themeColor="text1"/>
          <w:szCs w:val="24"/>
        </w:rPr>
        <w:t xml:space="preserve">Initial theme creation included the idea of going beyond the single codes in order to find out more general patterns of meaning within the 11 studies incorporated. The related codes were first divided into sub-themes, which identified the focus of a specific study and then merged into candidate themes as shown in Table 4. This was an important move since the evidence comprised various healthcare environments, such as palliative care, mental health, diabetes, multimorbidity, ageing, patient safety and clinical research. A few of the candidate themes portrayed service-specific types of cultural competence. </w:t>
      </w:r>
    </w:p>
    <w:p w14:paraId="58D60145" w14:textId="1E523F87" w:rsidR="00BE776A" w:rsidRPr="004D45B3" w:rsidRDefault="0007681E">
      <w:pPr>
        <w:spacing w:before="280"/>
        <w:rPr>
          <w:color w:val="000000" w:themeColor="text1"/>
        </w:rPr>
      </w:pPr>
      <w:r w:rsidRPr="004D45B3">
        <w:rPr>
          <w:rFonts w:eastAsia="Arial" w:cs="Arial"/>
          <w:color w:val="000000" w:themeColor="text1"/>
          <w:szCs w:val="24"/>
        </w:rPr>
        <w:t>As one example, a theme, Culturally Equitable Palliative Care, was developed by Wainwright</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(2026), whereas Stepanova </w:t>
      </w:r>
      <w:r w:rsidRPr="004D45B3">
        <w:rPr>
          <w:rFonts w:eastAsia="Arial" w:cs="Arial"/>
          <w:i/>
          <w:iCs/>
          <w:color w:val="000000" w:themeColor="text1"/>
          <w:szCs w:val="24"/>
        </w:rPr>
        <w:t>et al</w:t>
      </w:r>
      <w:r w:rsidRPr="004D45B3">
        <w:rPr>
          <w:rFonts w:eastAsia="Arial" w:cs="Arial"/>
          <w:color w:val="000000" w:themeColor="text1"/>
          <w:szCs w:val="24"/>
        </w:rPr>
        <w:t>. (2026) and Zeh</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(2015) developed the topic of culturally responsive mental health services and diabetes care. Although these studies utilised different clinical settings, the common aspect of them was that they focused on how healthcare could fit into the cultural and social requirements of minority populations.</w:t>
      </w:r>
    </w:p>
    <w:p w14:paraId="22F8B49E" w14:textId="77777777" w:rsidR="00C33A9F" w:rsidRPr="004D45B3" w:rsidRDefault="00C33A9F">
      <w:pPr>
        <w:spacing w:before="280"/>
        <w:rPr>
          <w:rFonts w:eastAsia="Arial" w:cs="Arial"/>
          <w:color w:val="000000" w:themeColor="text1"/>
          <w:szCs w:val="24"/>
        </w:rPr>
      </w:pPr>
    </w:p>
    <w:p w14:paraId="24FB9985" w14:textId="3E0A0F46" w:rsidR="00BE776A" w:rsidRPr="004D45B3" w:rsidRDefault="0007681E">
      <w:pPr>
        <w:spacing w:before="280"/>
        <w:rPr>
          <w:color w:val="000000" w:themeColor="text1"/>
        </w:rPr>
      </w:pPr>
      <w:r w:rsidRPr="004D45B3">
        <w:rPr>
          <w:rFonts w:eastAsia="Arial" w:cs="Arial"/>
          <w:color w:val="000000" w:themeColor="text1"/>
          <w:szCs w:val="24"/>
        </w:rPr>
        <w:t xml:space="preserve">A second category of themes was structural and experiential inequalities. Thana </w:t>
      </w:r>
      <w:r w:rsidRPr="004D45B3">
        <w:rPr>
          <w:rFonts w:eastAsia="Arial" w:cs="Arial"/>
          <w:i/>
          <w:iCs/>
          <w:color w:val="000000" w:themeColor="text1"/>
          <w:szCs w:val="24"/>
        </w:rPr>
        <w:t>et al</w:t>
      </w:r>
      <w:r w:rsidRPr="004D45B3">
        <w:rPr>
          <w:rFonts w:eastAsia="Arial" w:cs="Arial"/>
          <w:color w:val="000000" w:themeColor="text1"/>
          <w:szCs w:val="24"/>
        </w:rPr>
        <w:t xml:space="preserve">. (2026), Cluley </w:t>
      </w:r>
      <w:r w:rsidRPr="004D45B3">
        <w:rPr>
          <w:rFonts w:eastAsia="Arial" w:cs="Arial"/>
          <w:i/>
          <w:iCs/>
          <w:color w:val="000000" w:themeColor="text1"/>
          <w:szCs w:val="24"/>
        </w:rPr>
        <w:t>et al.</w:t>
      </w:r>
      <w:r w:rsidRPr="004D45B3">
        <w:rPr>
          <w:rFonts w:eastAsia="Arial" w:cs="Arial"/>
          <w:color w:val="000000" w:themeColor="text1"/>
          <w:szCs w:val="24"/>
        </w:rPr>
        <w:t xml:space="preserve"> (2026) and 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identified that unsafe care, racialisation and discrimination, and inequality can be observed to play out in healthcare interactions and at a larger societal level. Similarly, McGreevy </w:t>
      </w:r>
      <w:r w:rsidRPr="004D45B3">
        <w:rPr>
          <w:rFonts w:eastAsia="Arial" w:cs="Arial"/>
          <w:i/>
          <w:iCs/>
          <w:color w:val="000000" w:themeColor="text1"/>
          <w:szCs w:val="24"/>
        </w:rPr>
        <w:t>et al.</w:t>
      </w:r>
      <w:r w:rsidRPr="004D45B3">
        <w:rPr>
          <w:rFonts w:eastAsia="Arial" w:cs="Arial"/>
          <w:color w:val="000000" w:themeColor="text1"/>
          <w:szCs w:val="24"/>
        </w:rPr>
        <w:t xml:space="preserve"> (2023), Watkinson </w:t>
      </w:r>
      <w:r w:rsidRPr="004D45B3">
        <w:rPr>
          <w:rFonts w:eastAsia="Arial" w:cs="Arial"/>
          <w:i/>
          <w:iCs/>
          <w:color w:val="000000" w:themeColor="text1"/>
          <w:szCs w:val="24"/>
        </w:rPr>
        <w:t xml:space="preserve">et al. </w:t>
      </w:r>
      <w:r w:rsidRPr="004D45B3">
        <w:rPr>
          <w:rFonts w:eastAsia="Arial" w:cs="Arial"/>
          <w:color w:val="000000" w:themeColor="text1"/>
          <w:szCs w:val="24"/>
        </w:rPr>
        <w:t xml:space="preserve">(2021) and Ahmad </w:t>
      </w:r>
      <w:r w:rsidRPr="004D45B3">
        <w:rPr>
          <w:rFonts w:eastAsia="Arial" w:cs="Arial"/>
          <w:i/>
          <w:iCs/>
          <w:color w:val="000000" w:themeColor="text1"/>
          <w:szCs w:val="24"/>
        </w:rPr>
        <w:t>et al</w:t>
      </w:r>
      <w:r w:rsidRPr="004D45B3">
        <w:rPr>
          <w:rFonts w:eastAsia="Arial" w:cs="Arial"/>
          <w:color w:val="000000" w:themeColor="text1"/>
          <w:szCs w:val="24"/>
        </w:rPr>
        <w:t xml:space="preserve">. (2021) discovered discrepancies in terms of service use, multimorbidity, and quality of life and mental health care.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and </w:t>
      </w:r>
      <w:proofErr w:type="spellStart"/>
      <w:r w:rsidRPr="004D45B3">
        <w:rPr>
          <w:rFonts w:eastAsia="Arial" w:cs="Arial"/>
          <w:color w:val="000000" w:themeColor="text1"/>
          <w:szCs w:val="24"/>
        </w:rPr>
        <w:t>Moorthie</w:t>
      </w:r>
      <w:proofErr w:type="spellEnd"/>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(2024) further developed the analysis by including the research inclusion and the quality of ethnicity data in their analyses. The original themes could therefore help not just to capture direct healthcare experiences but more expansive organisational processes which had an influence on equity, and which later informed the subsequent reviewing, combining and refining of themes into fewer overall analytical categories. </w:t>
      </w:r>
    </w:p>
    <w:p w14:paraId="3D7DC3A6" w14:textId="77777777" w:rsidR="00C33A9F" w:rsidRPr="004D45B3" w:rsidRDefault="00C33A9F">
      <w:pPr>
        <w:pStyle w:val="Heading3"/>
        <w:rPr>
          <w:rFonts w:ascii="Aptos Display" w:hAnsi="Aptos Display"/>
          <w:b/>
          <w:bCs/>
          <w:color w:val="000000" w:themeColor="text1"/>
        </w:rPr>
      </w:pPr>
      <w:bookmarkStart w:id="51" w:name="_heading=h.w6skioz7sx1u"/>
      <w:bookmarkEnd w:id="51"/>
    </w:p>
    <w:p w14:paraId="59E2EC58" w14:textId="77777777" w:rsidR="00C33A9F" w:rsidRPr="004D45B3" w:rsidRDefault="00C33A9F">
      <w:pPr>
        <w:suppressAutoHyphens w:val="0"/>
        <w:spacing w:line="276" w:lineRule="auto"/>
        <w:jc w:val="left"/>
        <w:rPr>
          <w:rFonts w:ascii="Aptos Display" w:hAnsi="Aptos Display"/>
          <w:b/>
          <w:bCs/>
          <w:color w:val="000000" w:themeColor="text1"/>
          <w:sz w:val="28"/>
          <w:szCs w:val="28"/>
        </w:rPr>
      </w:pPr>
      <w:r w:rsidRPr="004D45B3">
        <w:rPr>
          <w:rFonts w:ascii="Aptos Display" w:hAnsi="Aptos Display"/>
          <w:b/>
          <w:bCs/>
          <w:color w:val="000000" w:themeColor="text1"/>
        </w:rPr>
        <w:br w:type="page"/>
      </w:r>
    </w:p>
    <w:p w14:paraId="633D5AE8" w14:textId="36AE5AEC" w:rsidR="00BE776A" w:rsidRPr="004D45B3" w:rsidRDefault="0007681E">
      <w:pPr>
        <w:pStyle w:val="Heading3"/>
        <w:rPr>
          <w:color w:val="000000" w:themeColor="text1"/>
        </w:rPr>
      </w:pPr>
      <w:bookmarkStart w:id="52" w:name="_Toc241190027"/>
      <w:r w:rsidRPr="004D45B3">
        <w:rPr>
          <w:rFonts w:ascii="Aptos Display" w:hAnsi="Aptos Display"/>
          <w:b/>
          <w:bCs/>
          <w:color w:val="000000" w:themeColor="text1"/>
        </w:rPr>
        <w:t>4.4 Reviewing Themes</w:t>
      </w:r>
      <w:bookmarkEnd w:id="52"/>
      <w:r w:rsidRPr="004D45B3">
        <w:rPr>
          <w:rFonts w:ascii="Aptos Display" w:hAnsi="Aptos Display"/>
          <w:b/>
          <w:bCs/>
          <w:color w:val="000000" w:themeColor="text1"/>
        </w:rPr>
        <w:t> </w:t>
      </w:r>
    </w:p>
    <w:tbl>
      <w:tblPr>
        <w:tblW w:w="9015" w:type="dxa"/>
        <w:tblLayout w:type="fixed"/>
        <w:tblCellMar>
          <w:left w:w="10" w:type="dxa"/>
          <w:right w:w="10" w:type="dxa"/>
        </w:tblCellMar>
        <w:tblLook w:val="0000" w:firstRow="0" w:lastRow="0" w:firstColumn="0" w:lastColumn="0" w:noHBand="0" w:noVBand="0"/>
      </w:tblPr>
      <w:tblGrid>
        <w:gridCol w:w="2496"/>
        <w:gridCol w:w="3943"/>
        <w:gridCol w:w="2576"/>
      </w:tblGrid>
      <w:tr w:rsidR="00BE776A" w:rsidRPr="004D45B3" w14:paraId="080F3770" w14:textId="77777777">
        <w:trPr>
          <w:trHeight w:val="765"/>
        </w:trPr>
        <w:tc>
          <w:tcPr>
            <w:tcW w:w="24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D55D15" w14:textId="77777777" w:rsidR="00BE776A" w:rsidRPr="004D45B3" w:rsidRDefault="0007681E">
            <w:pPr>
              <w:spacing w:after="0"/>
              <w:rPr>
                <w:color w:val="000000" w:themeColor="text1"/>
              </w:rPr>
            </w:pPr>
            <w:r w:rsidRPr="004D45B3">
              <w:rPr>
                <w:rFonts w:eastAsia="Arial" w:cs="Arial"/>
                <w:b/>
                <w:bCs/>
                <w:color w:val="000000" w:themeColor="text1"/>
                <w:szCs w:val="24"/>
              </w:rPr>
              <w:t>Authors</w:t>
            </w:r>
          </w:p>
        </w:tc>
        <w:tc>
          <w:tcPr>
            <w:tcW w:w="39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60D08F" w14:textId="77777777" w:rsidR="00BE776A" w:rsidRPr="004D45B3" w:rsidRDefault="0007681E">
            <w:pPr>
              <w:spacing w:after="0"/>
              <w:rPr>
                <w:color w:val="000000" w:themeColor="text1"/>
              </w:rPr>
            </w:pPr>
            <w:r w:rsidRPr="004D45B3">
              <w:rPr>
                <w:rFonts w:eastAsia="Arial" w:cs="Arial"/>
                <w:b/>
                <w:bCs/>
                <w:color w:val="000000" w:themeColor="text1"/>
                <w:szCs w:val="24"/>
              </w:rPr>
              <w:t>Candidate Themes</w:t>
            </w:r>
          </w:p>
        </w:tc>
        <w:tc>
          <w:tcPr>
            <w:tcW w:w="257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2DE74C" w14:textId="77777777" w:rsidR="00BE776A" w:rsidRPr="004D45B3" w:rsidRDefault="0007681E">
            <w:pPr>
              <w:spacing w:after="0"/>
              <w:rPr>
                <w:color w:val="000000" w:themeColor="text1"/>
              </w:rPr>
            </w:pPr>
            <w:r w:rsidRPr="004D45B3">
              <w:rPr>
                <w:rFonts w:eastAsia="Arial" w:cs="Arial"/>
                <w:b/>
                <w:bCs/>
                <w:color w:val="000000" w:themeColor="text1"/>
                <w:szCs w:val="24"/>
              </w:rPr>
              <w:t>Final Theme</w:t>
            </w:r>
          </w:p>
        </w:tc>
      </w:tr>
      <w:tr w:rsidR="00BE776A" w:rsidRPr="004D45B3" w14:paraId="3CCAD7FF" w14:textId="77777777">
        <w:trPr>
          <w:trHeight w:val="1290"/>
        </w:trPr>
        <w:tc>
          <w:tcPr>
            <w:tcW w:w="249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ACE7BA9" w14:textId="77777777" w:rsidR="00BE776A" w:rsidRPr="004D45B3" w:rsidRDefault="0007681E">
            <w:pPr>
              <w:widowControl w:val="0"/>
              <w:spacing w:after="0"/>
              <w:rPr>
                <w:color w:val="000000" w:themeColor="text1"/>
              </w:rPr>
            </w:pPr>
            <w:r w:rsidRPr="004D45B3">
              <w:rPr>
                <w:rFonts w:eastAsia="Arial" w:cs="Arial"/>
                <w:color w:val="000000" w:themeColor="text1"/>
                <w:szCs w:val="24"/>
              </w:rPr>
              <w:t xml:space="preserve">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Zeh </w:t>
            </w:r>
            <w:r w:rsidRPr="004D45B3">
              <w:rPr>
                <w:rFonts w:eastAsia="Arial" w:cs="Arial"/>
                <w:i/>
                <w:iCs/>
                <w:color w:val="000000" w:themeColor="text1"/>
                <w:szCs w:val="24"/>
              </w:rPr>
              <w:t>et al</w:t>
            </w:r>
            <w:r w:rsidRPr="004D45B3">
              <w:rPr>
                <w:rFonts w:eastAsia="Arial" w:cs="Arial"/>
                <w:color w:val="000000" w:themeColor="text1"/>
                <w:szCs w:val="24"/>
              </w:rPr>
              <w:t>. (2015)</w:t>
            </w:r>
          </w:p>
        </w:tc>
        <w:tc>
          <w:tcPr>
            <w:tcW w:w="3943"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6E6AD02B"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Cultural sensitivity; culturally appropriate communication; language support; interpreters; culturally competent staff; co-production; community engagement; tailored services; inclusive healthcare</w:t>
            </w:r>
          </w:p>
        </w:tc>
        <w:tc>
          <w:tcPr>
            <w:tcW w:w="2576"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12C0F04B" w14:textId="77777777" w:rsidR="00BE776A" w:rsidRPr="004D45B3" w:rsidRDefault="0007681E">
            <w:pPr>
              <w:widowControl w:val="0"/>
              <w:spacing w:after="0"/>
              <w:rPr>
                <w:color w:val="000000" w:themeColor="text1"/>
              </w:rPr>
            </w:pPr>
            <w:r w:rsidRPr="004D45B3">
              <w:rPr>
                <w:rFonts w:eastAsia="Arial" w:cs="Arial"/>
                <w:color w:val="000000" w:themeColor="text1"/>
                <w:szCs w:val="24"/>
              </w:rPr>
              <w:t xml:space="preserve">Theme 1: </w:t>
            </w:r>
            <w:r w:rsidRPr="004D45B3">
              <w:rPr>
                <w:rFonts w:eastAsia="Arial" w:cs="Arial"/>
                <w:b/>
                <w:bCs/>
                <w:color w:val="000000" w:themeColor="text1"/>
                <w:szCs w:val="24"/>
              </w:rPr>
              <w:t>Cultural Insensitivity</w:t>
            </w:r>
          </w:p>
          <w:p w14:paraId="0ECF2BAA" w14:textId="77777777" w:rsidR="00BE776A" w:rsidRPr="004D45B3" w:rsidRDefault="00BE776A">
            <w:pPr>
              <w:widowControl w:val="0"/>
              <w:spacing w:after="0"/>
              <w:rPr>
                <w:rFonts w:eastAsia="Arial" w:cs="Arial"/>
                <w:color w:val="000000" w:themeColor="text1"/>
                <w:szCs w:val="24"/>
              </w:rPr>
            </w:pPr>
          </w:p>
        </w:tc>
      </w:tr>
      <w:tr w:rsidR="00BE776A" w:rsidRPr="004D45B3" w14:paraId="303544B1" w14:textId="77777777">
        <w:trPr>
          <w:trHeight w:val="1575"/>
        </w:trPr>
        <w:tc>
          <w:tcPr>
            <w:tcW w:w="249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4CCD372A" w14:textId="77777777" w:rsidR="00BE776A" w:rsidRPr="004D45B3" w:rsidRDefault="0007681E">
            <w:pPr>
              <w:widowControl w:val="0"/>
              <w:spacing w:after="0"/>
              <w:rPr>
                <w:color w:val="000000" w:themeColor="text1"/>
              </w:rPr>
            </w:pPr>
            <w:r w:rsidRPr="004D45B3">
              <w:rPr>
                <w:rFonts w:eastAsia="Arial" w:cs="Arial"/>
                <w:color w:val="000000" w:themeColor="text1"/>
                <w:szCs w:val="24"/>
              </w:rPr>
              <w:t xml:space="preserve">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Watkinson </w:t>
            </w:r>
            <w:r w:rsidRPr="004D45B3">
              <w:rPr>
                <w:rFonts w:eastAsia="Arial" w:cs="Arial"/>
                <w:i/>
                <w:iCs/>
                <w:color w:val="000000" w:themeColor="text1"/>
                <w:szCs w:val="24"/>
              </w:rPr>
              <w:t>et al</w:t>
            </w:r>
            <w:r w:rsidRPr="004D45B3">
              <w:rPr>
                <w:rFonts w:eastAsia="Arial" w:cs="Arial"/>
                <w:color w:val="000000" w:themeColor="text1"/>
                <w:szCs w:val="24"/>
              </w:rPr>
              <w:t xml:space="preserve">. (2021); McGreevy </w:t>
            </w:r>
            <w:r w:rsidRPr="004D45B3">
              <w:rPr>
                <w:rFonts w:eastAsia="Arial" w:cs="Arial"/>
                <w:i/>
                <w:iCs/>
                <w:color w:val="000000" w:themeColor="text1"/>
                <w:szCs w:val="24"/>
              </w:rPr>
              <w:t>et al</w:t>
            </w:r>
            <w:r w:rsidRPr="004D45B3">
              <w:rPr>
                <w:rFonts w:eastAsia="Arial" w:cs="Arial"/>
                <w:color w:val="000000" w:themeColor="text1"/>
                <w:szCs w:val="24"/>
              </w:rPr>
              <w:t>. (2023)</w:t>
            </w:r>
          </w:p>
        </w:tc>
        <w:tc>
          <w:tcPr>
            <w:tcW w:w="394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77CA24D0"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Racial discrimination; poorer physical and mental health; unequal quality of life; unequal healthcare access; multimorbidity; differences in primary-care utilisation; structural inequalities</w:t>
            </w:r>
          </w:p>
        </w:tc>
        <w:tc>
          <w:tcPr>
            <w:tcW w:w="257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20F3489C" w14:textId="77777777" w:rsidR="00BE776A" w:rsidRPr="004D45B3" w:rsidRDefault="0007681E">
            <w:pPr>
              <w:widowControl w:val="0"/>
              <w:spacing w:after="0"/>
              <w:rPr>
                <w:color w:val="000000" w:themeColor="text1"/>
              </w:rPr>
            </w:pPr>
            <w:r w:rsidRPr="004D45B3">
              <w:rPr>
                <w:rFonts w:eastAsia="Arial" w:cs="Arial"/>
                <w:color w:val="000000" w:themeColor="text1"/>
                <w:szCs w:val="24"/>
              </w:rPr>
              <w:t xml:space="preserve">Theme 2: </w:t>
            </w:r>
            <w:r w:rsidRPr="004D45B3">
              <w:rPr>
                <w:rFonts w:eastAsia="Arial" w:cs="Arial"/>
                <w:b/>
                <w:bCs/>
                <w:color w:val="000000" w:themeColor="text1"/>
                <w:szCs w:val="24"/>
              </w:rPr>
              <w:t>Inequality and Disparities</w:t>
            </w:r>
          </w:p>
        </w:tc>
      </w:tr>
      <w:tr w:rsidR="00BE776A" w:rsidRPr="004D45B3" w14:paraId="5C2E5784" w14:textId="77777777">
        <w:trPr>
          <w:trHeight w:val="1680"/>
        </w:trPr>
        <w:tc>
          <w:tcPr>
            <w:tcW w:w="249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069900BD" w14:textId="77777777" w:rsidR="00BE776A" w:rsidRPr="004D45B3" w:rsidRDefault="0007681E">
            <w:pPr>
              <w:widowControl w:val="0"/>
              <w:spacing w:after="0"/>
              <w:rPr>
                <w:color w:val="000000" w:themeColor="text1"/>
              </w:rPr>
            </w:pPr>
            <w:r w:rsidRPr="004D45B3">
              <w:rPr>
                <w:rFonts w:eastAsia="Arial" w:cs="Arial"/>
                <w:color w:val="000000" w:themeColor="text1"/>
                <w:szCs w:val="24"/>
              </w:rPr>
              <w:t xml:space="preserve">Wainwright </w:t>
            </w:r>
            <w:r w:rsidRPr="004D45B3">
              <w:rPr>
                <w:rFonts w:eastAsia="Arial" w:cs="Arial"/>
                <w:i/>
                <w:iCs/>
                <w:color w:val="000000" w:themeColor="text1"/>
                <w:szCs w:val="24"/>
              </w:rPr>
              <w:t>et al</w:t>
            </w:r>
            <w:r w:rsidRPr="004D45B3">
              <w:rPr>
                <w:rFonts w:eastAsia="Arial" w:cs="Arial"/>
                <w:color w:val="000000" w:themeColor="text1"/>
                <w:szCs w:val="24"/>
              </w:rPr>
              <w:t xml:space="preserve">. (2026); Ahmad </w:t>
            </w:r>
            <w:r w:rsidRPr="004D45B3">
              <w:rPr>
                <w:rFonts w:eastAsia="Arial" w:cs="Arial"/>
                <w:i/>
                <w:iCs/>
                <w:color w:val="000000" w:themeColor="text1"/>
                <w:szCs w:val="24"/>
              </w:rPr>
              <w:t>et al</w:t>
            </w:r>
            <w:r w:rsidRPr="004D45B3">
              <w:rPr>
                <w:rFonts w:eastAsia="Arial" w:cs="Arial"/>
                <w:color w:val="000000" w:themeColor="text1"/>
                <w:szCs w:val="24"/>
              </w:rPr>
              <w:t>. (2021)</w:t>
            </w:r>
          </w:p>
        </w:tc>
        <w:tc>
          <w:tcPr>
            <w:tcW w:w="394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6BDFC3F"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Trust-building; culturally sensitive communication; personalised care; improved engagement; access to appropriate treatment; community-responsive services; reducing disparities in healthcare utilisation</w:t>
            </w:r>
          </w:p>
        </w:tc>
        <w:tc>
          <w:tcPr>
            <w:tcW w:w="257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82CF75" w14:textId="77777777" w:rsidR="00BE776A" w:rsidRPr="004D45B3" w:rsidRDefault="0007681E">
            <w:pPr>
              <w:widowControl w:val="0"/>
              <w:spacing w:after="0"/>
              <w:rPr>
                <w:color w:val="000000" w:themeColor="text1"/>
              </w:rPr>
            </w:pPr>
            <w:r w:rsidRPr="004D45B3">
              <w:rPr>
                <w:rFonts w:eastAsia="Arial" w:cs="Arial"/>
                <w:color w:val="000000" w:themeColor="text1"/>
                <w:szCs w:val="24"/>
              </w:rPr>
              <w:t xml:space="preserve">Theme 3: </w:t>
            </w:r>
            <w:r w:rsidRPr="004D45B3">
              <w:rPr>
                <w:rFonts w:eastAsia="Arial" w:cs="Arial"/>
                <w:b/>
                <w:bCs/>
                <w:color w:val="000000" w:themeColor="text1"/>
                <w:szCs w:val="24"/>
              </w:rPr>
              <w:t>Language Barrier</w:t>
            </w:r>
          </w:p>
          <w:p w14:paraId="025D9BCA" w14:textId="77777777" w:rsidR="00BE776A" w:rsidRPr="004D45B3" w:rsidRDefault="00BE776A">
            <w:pPr>
              <w:widowControl w:val="0"/>
              <w:spacing w:after="0"/>
              <w:rPr>
                <w:rFonts w:eastAsia="Arial" w:cs="Arial"/>
                <w:color w:val="000000" w:themeColor="text1"/>
                <w:szCs w:val="24"/>
              </w:rPr>
            </w:pPr>
          </w:p>
        </w:tc>
      </w:tr>
      <w:tr w:rsidR="00BE776A" w:rsidRPr="004D45B3" w14:paraId="324A2DBC" w14:textId="77777777">
        <w:trPr>
          <w:trHeight w:val="1380"/>
        </w:trPr>
        <w:tc>
          <w:tcPr>
            <w:tcW w:w="249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78E05990" w14:textId="77777777" w:rsidR="00BE776A" w:rsidRPr="004D45B3" w:rsidRDefault="0007681E">
            <w:pPr>
              <w:widowControl w:val="0"/>
              <w:spacing w:after="0"/>
              <w:rPr>
                <w:color w:val="000000" w:themeColor="text1"/>
              </w:rPr>
            </w:pPr>
            <w:r w:rsidRPr="004D45B3">
              <w:rPr>
                <w:rFonts w:eastAsia="Arial" w:cs="Arial"/>
                <w:color w:val="000000" w:themeColor="text1"/>
                <w:szCs w:val="24"/>
              </w:rPr>
              <w:t xml:space="preserve">Thana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roofErr w:type="spellStart"/>
            <w:r w:rsidRPr="004D45B3">
              <w:rPr>
                <w:rFonts w:eastAsia="Arial" w:cs="Arial"/>
                <w:color w:val="000000" w:themeColor="text1"/>
                <w:szCs w:val="24"/>
              </w:rPr>
              <w:t>Moorthie</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(2024); Cluley </w:t>
            </w:r>
            <w:r w:rsidRPr="004D45B3">
              <w:rPr>
                <w:rFonts w:eastAsia="Arial" w:cs="Arial"/>
                <w:i/>
                <w:iCs/>
                <w:color w:val="000000" w:themeColor="text1"/>
                <w:szCs w:val="24"/>
              </w:rPr>
              <w:t>et al</w:t>
            </w:r>
            <w:r w:rsidRPr="004D45B3">
              <w:rPr>
                <w:rFonts w:eastAsia="Arial" w:cs="Arial"/>
                <w:color w:val="000000" w:themeColor="text1"/>
                <w:szCs w:val="24"/>
              </w:rPr>
              <w:t>. (2026)</w:t>
            </w:r>
          </w:p>
        </w:tc>
        <w:tc>
          <w:tcPr>
            <w:tcW w:w="394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51D8EEC2" w14:textId="77777777" w:rsidR="00BE776A" w:rsidRPr="004D45B3" w:rsidRDefault="0007681E">
            <w:pPr>
              <w:widowControl w:val="0"/>
              <w:spacing w:after="0"/>
              <w:rPr>
                <w:rFonts w:eastAsia="Arial" w:cs="Arial"/>
                <w:color w:val="000000" w:themeColor="text1"/>
                <w:szCs w:val="24"/>
              </w:rPr>
            </w:pPr>
            <w:r w:rsidRPr="004D45B3">
              <w:rPr>
                <w:rFonts w:eastAsia="Arial" w:cs="Arial"/>
                <w:color w:val="000000" w:themeColor="text1"/>
                <w:szCs w:val="24"/>
              </w:rPr>
              <w:t>Institutional discrimination; unsafe care; mistrust; powerlessness; workforce capacity; funding; data quality; organisational barriers; structural racism; systemic change and accountability</w:t>
            </w:r>
          </w:p>
        </w:tc>
        <w:tc>
          <w:tcPr>
            <w:tcW w:w="257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0A4C75A7" w14:textId="77777777" w:rsidR="00BE776A" w:rsidRPr="004D45B3" w:rsidRDefault="0007681E">
            <w:pPr>
              <w:widowControl w:val="0"/>
              <w:spacing w:after="0"/>
              <w:rPr>
                <w:color w:val="000000" w:themeColor="text1"/>
              </w:rPr>
            </w:pPr>
            <w:r w:rsidRPr="004D45B3">
              <w:rPr>
                <w:rFonts w:eastAsia="Arial" w:cs="Arial"/>
                <w:color w:val="000000" w:themeColor="text1"/>
                <w:szCs w:val="24"/>
              </w:rPr>
              <w:t xml:space="preserve">Theme 4: </w:t>
            </w:r>
            <w:r w:rsidRPr="004D45B3">
              <w:rPr>
                <w:rFonts w:eastAsia="Arial" w:cs="Arial"/>
                <w:b/>
                <w:bCs/>
                <w:color w:val="000000" w:themeColor="text1"/>
                <w:szCs w:val="24"/>
              </w:rPr>
              <w:t>Limited Resources</w:t>
            </w:r>
            <w:r w:rsidRPr="004D45B3">
              <w:rPr>
                <w:rFonts w:eastAsia="Arial" w:cs="Arial"/>
                <w:color w:val="000000" w:themeColor="text1"/>
                <w:szCs w:val="24"/>
              </w:rPr>
              <w:t xml:space="preserve"> </w:t>
            </w:r>
          </w:p>
        </w:tc>
      </w:tr>
    </w:tbl>
    <w:p w14:paraId="62C94343" w14:textId="77777777" w:rsidR="00BE776A" w:rsidRPr="004D45B3" w:rsidRDefault="0007681E">
      <w:pPr>
        <w:pStyle w:val="Heading5"/>
        <w:jc w:val="center"/>
        <w:rPr>
          <w:i/>
          <w:iCs/>
          <w:color w:val="000000" w:themeColor="text1"/>
        </w:rPr>
      </w:pPr>
      <w:bookmarkStart w:id="53" w:name="_heading=h.4bt1tdgmlllp"/>
      <w:bookmarkStart w:id="54" w:name="_Toc240899409"/>
      <w:bookmarkEnd w:id="53"/>
      <w:r w:rsidRPr="004D45B3">
        <w:rPr>
          <w:i/>
          <w:iCs/>
          <w:color w:val="000000" w:themeColor="text1"/>
        </w:rPr>
        <w:t>Table 5: Reviewing Themes</w:t>
      </w:r>
      <w:bookmarkEnd w:id="54"/>
    </w:p>
    <w:p w14:paraId="052DDAAA" w14:textId="77777777" w:rsidR="00634BD0" w:rsidRPr="004D45B3" w:rsidRDefault="00634BD0">
      <w:pPr>
        <w:spacing w:before="280"/>
        <w:rPr>
          <w:rFonts w:eastAsia="Arial" w:cs="Arial"/>
          <w:color w:val="000000" w:themeColor="text1"/>
          <w:szCs w:val="24"/>
        </w:rPr>
      </w:pPr>
    </w:p>
    <w:p w14:paraId="5E26437F" w14:textId="3EC420DF"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The reviewing step included evaluation of the adequacy of the candidate themes found in the initial analysis, the coherence and the direct relationship to the objective of the research in internal settlement. Table 5 presents a process in which there were overlapping themes between candidate themes compared across the studies and then narrowed down to four broader final themes. This procedure allowed for minimising fragmentation and making sure that similar results were not regarded as distinct themes merely due to their origin under different healthcare conditions.</w:t>
      </w:r>
    </w:p>
    <w:p w14:paraId="0349C640" w14:textId="77777777" w:rsidR="00C33A9F" w:rsidRPr="004D45B3" w:rsidRDefault="00C33A9F">
      <w:pPr>
        <w:pStyle w:val="Heading3"/>
        <w:rPr>
          <w:rFonts w:ascii="Aptos Display" w:hAnsi="Aptos Display"/>
          <w:b/>
          <w:bCs/>
          <w:color w:val="000000" w:themeColor="text1"/>
        </w:rPr>
      </w:pPr>
      <w:bookmarkStart w:id="55" w:name="_heading=h.d3jfushmejw6"/>
      <w:bookmarkEnd w:id="55"/>
    </w:p>
    <w:p w14:paraId="7CF83706" w14:textId="7191D949" w:rsidR="00BE776A" w:rsidRPr="004D45B3" w:rsidRDefault="0007681E">
      <w:pPr>
        <w:pStyle w:val="Heading3"/>
        <w:rPr>
          <w:color w:val="000000" w:themeColor="text1"/>
        </w:rPr>
      </w:pPr>
      <w:bookmarkStart w:id="56" w:name="_Toc241190028"/>
      <w:r w:rsidRPr="004D45B3">
        <w:rPr>
          <w:rFonts w:ascii="Aptos Display" w:hAnsi="Aptos Display"/>
          <w:b/>
          <w:bCs/>
          <w:color w:val="000000" w:themeColor="text1"/>
        </w:rPr>
        <w:t>4.5 Theme chart</w:t>
      </w:r>
      <w:bookmarkEnd w:id="56"/>
    </w:p>
    <w:p w14:paraId="5963E3DA" w14:textId="77777777" w:rsidR="00BE776A" w:rsidRPr="004D45B3" w:rsidRDefault="0007681E">
      <w:pPr>
        <w:jc w:val="center"/>
        <w:rPr>
          <w:color w:val="000000" w:themeColor="text1"/>
        </w:rPr>
      </w:pPr>
      <w:r w:rsidRPr="004D45B3">
        <w:rPr>
          <w:noProof/>
          <w:color w:val="000000" w:themeColor="text1"/>
          <w:lang w:val="en-US" w:eastAsia="en-US"/>
        </w:rPr>
        <w:drawing>
          <wp:inline distT="0" distB="0" distL="0" distR="0" wp14:anchorId="00974B2E" wp14:editId="472BE0B4">
            <wp:extent cx="6249878" cy="4478283"/>
            <wp:effectExtent l="0" t="0" r="0" b="0"/>
            <wp:docPr id="1395595885"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l="1034" t="5262"/>
                    <a:stretch>
                      <a:fillRect/>
                    </a:stretch>
                  </pic:blipFill>
                  <pic:spPr>
                    <a:xfrm>
                      <a:off x="0" y="0"/>
                      <a:ext cx="6249878" cy="4478283"/>
                    </a:xfrm>
                    <a:prstGeom prst="rect">
                      <a:avLst/>
                    </a:prstGeom>
                    <a:noFill/>
                    <a:ln>
                      <a:noFill/>
                      <a:prstDash/>
                    </a:ln>
                  </pic:spPr>
                </pic:pic>
              </a:graphicData>
            </a:graphic>
          </wp:inline>
        </w:drawing>
      </w:r>
    </w:p>
    <w:p w14:paraId="68291A01" w14:textId="77777777" w:rsidR="00BE776A" w:rsidRPr="004D45B3" w:rsidRDefault="0007681E">
      <w:pPr>
        <w:pStyle w:val="Heading4"/>
        <w:jc w:val="center"/>
        <w:rPr>
          <w:color w:val="000000" w:themeColor="text1"/>
        </w:rPr>
      </w:pPr>
      <w:bookmarkStart w:id="57" w:name="_Toc240899418"/>
      <w:r w:rsidRPr="004D45B3">
        <w:rPr>
          <w:color w:val="000000" w:themeColor="text1"/>
        </w:rPr>
        <w:t>Figure 7: Theme Chart</w:t>
      </w:r>
      <w:bookmarkEnd w:id="57"/>
    </w:p>
    <w:p w14:paraId="07AE455E" w14:textId="77777777" w:rsidR="00C33A9F" w:rsidRPr="004D45B3" w:rsidRDefault="00C33A9F">
      <w:pPr>
        <w:spacing w:before="280" w:after="0"/>
        <w:rPr>
          <w:rFonts w:eastAsia="Arial" w:cs="Arial"/>
          <w:b/>
          <w:bCs/>
          <w:color w:val="000000" w:themeColor="text1"/>
          <w:szCs w:val="24"/>
        </w:rPr>
      </w:pPr>
    </w:p>
    <w:p w14:paraId="340FECE9" w14:textId="77777777" w:rsidR="00634BD0" w:rsidRPr="004D45B3" w:rsidRDefault="00634BD0">
      <w:pPr>
        <w:spacing w:before="280" w:after="0"/>
        <w:rPr>
          <w:rFonts w:eastAsia="Arial" w:cs="Arial"/>
          <w:b/>
          <w:bCs/>
          <w:color w:val="000000" w:themeColor="text1"/>
          <w:szCs w:val="24"/>
        </w:rPr>
      </w:pPr>
    </w:p>
    <w:p w14:paraId="0BD78337" w14:textId="4B2A6275" w:rsidR="00BE776A" w:rsidRPr="004D45B3" w:rsidRDefault="0007681E">
      <w:pPr>
        <w:spacing w:before="280" w:after="0"/>
        <w:rPr>
          <w:rFonts w:eastAsia="Arial" w:cs="Arial"/>
          <w:b/>
          <w:bCs/>
          <w:color w:val="000000" w:themeColor="text1"/>
          <w:szCs w:val="24"/>
        </w:rPr>
      </w:pPr>
      <w:r w:rsidRPr="004D45B3">
        <w:rPr>
          <w:rFonts w:eastAsia="Arial" w:cs="Arial"/>
          <w:b/>
          <w:bCs/>
          <w:color w:val="000000" w:themeColor="text1"/>
          <w:szCs w:val="24"/>
        </w:rPr>
        <w:t>Theme 1:  Cultural Insensitivity</w:t>
      </w:r>
    </w:p>
    <w:p w14:paraId="5BE1291C" w14:textId="77777777" w:rsidR="004D45B3" w:rsidRDefault="0007681E">
      <w:pPr>
        <w:spacing w:before="280"/>
        <w:rPr>
          <w:rFonts w:eastAsia="Arial" w:cs="Arial"/>
          <w:color w:val="000000" w:themeColor="text1"/>
          <w:szCs w:val="24"/>
        </w:rPr>
      </w:pPr>
      <w:r w:rsidRPr="004D45B3">
        <w:rPr>
          <w:rFonts w:eastAsia="Arial" w:cs="Arial"/>
          <w:color w:val="000000" w:themeColor="text1"/>
          <w:szCs w:val="24"/>
        </w:rPr>
        <w:t xml:space="preserve">This topic will be applied based on the defining features, behaviours and practises in healthcare to effectively address patients with other ethnicities and cultures. Culturally competent care can be defined as care that respects differences in cultures and applies these differences in culture in a way of communication, assessment, treatment and service provision. </w:t>
      </w:r>
    </w:p>
    <w:p w14:paraId="328980E2" w14:textId="67F2EE50"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 xml:space="preserve">It transcends mere cultural awareness and demands that medical professionals and organisations customise care according to linguistic beliefs, values, religious beliefs, family organisation, and health care practices of the </w:t>
      </w:r>
      <w:proofErr w:type="spellStart"/>
      <w:r w:rsidRPr="004D45B3">
        <w:rPr>
          <w:rFonts w:eastAsia="Arial" w:cs="Arial"/>
          <w:color w:val="000000" w:themeColor="text1"/>
          <w:szCs w:val="24"/>
        </w:rPr>
        <w:t>patients.Culturally</w:t>
      </w:r>
      <w:proofErr w:type="spellEnd"/>
      <w:r w:rsidRPr="004D45B3">
        <w:rPr>
          <w:rFonts w:eastAsia="Arial" w:cs="Arial"/>
          <w:color w:val="000000" w:themeColor="text1"/>
          <w:szCs w:val="24"/>
        </w:rPr>
        <w:t xml:space="preserve"> sensitive communication, language support, proper use of interpreters, consideration of religious and cultural beliefs, person-centred decision-making, and adaptation of health information to various degrees of literacy are the major components. Cultural competence would also encompass the realisation that ethnic minority communities are not the same and that there are no assumptions or stereotypes; instead, care should be provided based on individual desires and circumstances. </w:t>
      </w:r>
    </w:p>
    <w:p w14:paraId="65E016A4" w14:textId="77777777" w:rsidR="00C33A9F" w:rsidRPr="004D45B3" w:rsidRDefault="00C33A9F">
      <w:pPr>
        <w:spacing w:before="280" w:after="0"/>
        <w:rPr>
          <w:rFonts w:eastAsia="Arial" w:cs="Arial"/>
          <w:b/>
          <w:bCs/>
          <w:color w:val="000000" w:themeColor="text1"/>
          <w:szCs w:val="24"/>
        </w:rPr>
      </w:pPr>
    </w:p>
    <w:p w14:paraId="602234A4" w14:textId="2BD6AE0E" w:rsidR="00BE776A" w:rsidRPr="004D45B3" w:rsidRDefault="0007681E">
      <w:pPr>
        <w:spacing w:before="280" w:after="0"/>
        <w:rPr>
          <w:rFonts w:eastAsia="Arial" w:cs="Arial"/>
          <w:b/>
          <w:bCs/>
          <w:color w:val="000000" w:themeColor="text1"/>
          <w:szCs w:val="24"/>
        </w:rPr>
      </w:pPr>
      <w:r w:rsidRPr="004D45B3">
        <w:rPr>
          <w:rFonts w:eastAsia="Arial" w:cs="Arial"/>
          <w:b/>
          <w:bCs/>
          <w:color w:val="000000" w:themeColor="text1"/>
          <w:szCs w:val="24"/>
        </w:rPr>
        <w:t>Theme 2: Inequality and Disparities</w:t>
      </w:r>
    </w:p>
    <w:p w14:paraId="1B4A6FEA" w14:textId="77777777"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This theme holds that there exist systematic inequalities between the health conditions, treatment experiences, and outcomes of ethnic minority groups in the population as compared to that of the other members of the population. Ethnic inequalities in health are disparities that have a pattern which is social and that can be generated by various factors like unequal exposure to socioeconomic disadvantage, discrimination, access to services, communication issues and other problematic structural-wide situations. These disparities may be manifested in physical wellbeing, mental wellbeing, prevalence of chronic diseases, quality of life, adherence to treatment and health care outcomes.</w:t>
      </w:r>
    </w:p>
    <w:p w14:paraId="5FC1BAA2" w14:textId="77777777" w:rsidR="00C33A9F" w:rsidRPr="004D45B3" w:rsidRDefault="00C33A9F">
      <w:pPr>
        <w:spacing w:before="280"/>
        <w:rPr>
          <w:rFonts w:eastAsia="Arial" w:cs="Arial"/>
          <w:color w:val="000000" w:themeColor="text1"/>
          <w:szCs w:val="24"/>
        </w:rPr>
      </w:pPr>
    </w:p>
    <w:p w14:paraId="11B432E9" w14:textId="60D17D53"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 xml:space="preserve">The unequal healthcare encounters concept has a special context on what takes place when individuals participate in healthcare systems. Inequality might be manifested in problems in getting appointments, decreased access to the right services, later diagnosis, poorer continuity of care or disparities in quality of care or safety of treatment received. Prejudice, being stereotyped, racial discrimination, or not hearing can also be a part of trust and desire to use services. </w:t>
      </w:r>
    </w:p>
    <w:p w14:paraId="779FCD26" w14:textId="77777777" w:rsidR="00C33A9F" w:rsidRPr="004D45B3" w:rsidRDefault="00C33A9F">
      <w:pPr>
        <w:spacing w:before="280" w:after="0"/>
        <w:rPr>
          <w:rFonts w:eastAsia="Arial" w:cs="Arial"/>
          <w:b/>
          <w:bCs/>
          <w:color w:val="000000" w:themeColor="text1"/>
          <w:szCs w:val="24"/>
        </w:rPr>
      </w:pPr>
    </w:p>
    <w:p w14:paraId="4911D263" w14:textId="2621BEC2" w:rsidR="00BE776A" w:rsidRPr="004D45B3" w:rsidRDefault="0007681E">
      <w:pPr>
        <w:spacing w:before="280" w:after="0"/>
        <w:rPr>
          <w:color w:val="000000" w:themeColor="text1"/>
        </w:rPr>
      </w:pPr>
      <w:r w:rsidRPr="004D45B3">
        <w:rPr>
          <w:rFonts w:eastAsia="Arial" w:cs="Arial"/>
          <w:b/>
          <w:bCs/>
          <w:color w:val="000000" w:themeColor="text1"/>
          <w:szCs w:val="24"/>
        </w:rPr>
        <w:t>Theme 3: Language Barrier</w:t>
      </w:r>
    </w:p>
    <w:p w14:paraId="4BC0ED37" w14:textId="77777777"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This theme is relevant to the extent to which culturally competent care may contribute to the minimisation of disparities in access, experience, and engagement and health outcomes among ethnic minorities. Culturally competent care would, therefore, have to be assessed by analysing whether culturally responsive practices lead to improvements in patients’ communication, trust, interaction with health care services, and their treatment experiences. The benefits may include increased communication, trust, increased use of services, better adherence to treatment, and more equitable satisfaction and health outcomes.</w:t>
      </w:r>
    </w:p>
    <w:p w14:paraId="0F5171B5" w14:textId="77777777" w:rsidR="00C33A9F" w:rsidRPr="004D45B3" w:rsidRDefault="00C33A9F">
      <w:pPr>
        <w:spacing w:before="280"/>
        <w:rPr>
          <w:rFonts w:eastAsia="Arial" w:cs="Arial"/>
          <w:color w:val="000000" w:themeColor="text1"/>
          <w:szCs w:val="24"/>
        </w:rPr>
      </w:pPr>
    </w:p>
    <w:p w14:paraId="43593B3C" w14:textId="488E1F3E"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By enabling care to be more relatable, culturally competent care can reduce inequalities based on cultural aspects since it is less challenging to disagree and highly sensitive to different needs. As an example, one can employ language-appropriate communication to maximise understanding of the treatment, utilise culturally sensitive consultations to reduce the amount of misunderstanding, and facilitate patient-to-healthcare professional relationships. The personalised services might also boost the interactions within already disengaged, or even suspicious, communities.</w:t>
      </w:r>
    </w:p>
    <w:p w14:paraId="576672CE" w14:textId="77777777" w:rsidR="00C33A9F" w:rsidRPr="004D45B3" w:rsidRDefault="00C33A9F">
      <w:pPr>
        <w:spacing w:before="280" w:after="0"/>
        <w:rPr>
          <w:rFonts w:eastAsia="Arial" w:cs="Arial"/>
          <w:b/>
          <w:bCs/>
          <w:color w:val="000000" w:themeColor="text1"/>
          <w:szCs w:val="24"/>
        </w:rPr>
      </w:pPr>
    </w:p>
    <w:p w14:paraId="514247FC" w14:textId="4283DA9C" w:rsidR="00BE776A" w:rsidRPr="004D45B3" w:rsidRDefault="0007681E">
      <w:pPr>
        <w:spacing w:before="280" w:after="0"/>
        <w:rPr>
          <w:color w:val="000000" w:themeColor="text1"/>
        </w:rPr>
      </w:pPr>
      <w:r w:rsidRPr="004D45B3">
        <w:rPr>
          <w:rFonts w:eastAsia="Arial" w:cs="Arial"/>
          <w:b/>
          <w:bCs/>
          <w:color w:val="000000" w:themeColor="text1"/>
          <w:szCs w:val="24"/>
        </w:rPr>
        <w:t xml:space="preserve">Theme 4: Limited Resources </w:t>
      </w:r>
      <w:r w:rsidRPr="004D45B3">
        <w:rPr>
          <w:color w:val="000000" w:themeColor="text1"/>
          <w:shd w:val="clear" w:color="auto" w:fill="FFFF00"/>
        </w:rPr>
        <w:t xml:space="preserve">     </w:t>
      </w:r>
    </w:p>
    <w:p w14:paraId="76D06A8E" w14:textId="2A04D826" w:rsidR="00BE776A" w:rsidRPr="004D45B3" w:rsidRDefault="0007681E">
      <w:pPr>
        <w:spacing w:before="280"/>
        <w:rPr>
          <w:color w:val="000000" w:themeColor="text1"/>
        </w:rPr>
      </w:pPr>
      <w:r w:rsidRPr="004D45B3">
        <w:rPr>
          <w:rFonts w:eastAsia="Arial" w:cs="Arial"/>
          <w:color w:val="000000" w:themeColor="text1"/>
          <w:szCs w:val="24"/>
        </w:rPr>
        <w:t xml:space="preserve">This theme examines the determinants that constrain or help establish culturally competent practices in healthcare systems. Factors that make it difficult to establish or sustain culturally competent care are known as barriers. Factors contributing to the provision of culturally responsive healthcare as discussed by Thana </w:t>
      </w:r>
      <w:r w:rsidRPr="004D45B3">
        <w:rPr>
          <w:rFonts w:eastAsia="Arial" w:cs="Arial"/>
          <w:i/>
          <w:iCs/>
          <w:color w:val="000000" w:themeColor="text1"/>
          <w:szCs w:val="24"/>
        </w:rPr>
        <w:t>et al</w:t>
      </w:r>
      <w:r w:rsidRPr="004D45B3">
        <w:rPr>
          <w:rFonts w:eastAsia="Arial" w:cs="Arial"/>
          <w:color w:val="000000" w:themeColor="text1"/>
          <w:szCs w:val="24"/>
        </w:rPr>
        <w:t xml:space="preserve">. (2026) include unsafe care, powerlessness, discrimination, and organisational barriers. </w:t>
      </w:r>
      <w:proofErr w:type="spellStart"/>
      <w:r w:rsidRPr="004D45B3">
        <w:rPr>
          <w:rFonts w:eastAsia="Arial" w:cs="Arial"/>
          <w:color w:val="000000" w:themeColor="text1"/>
          <w:szCs w:val="24"/>
        </w:rPr>
        <w:t>Moorthie</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(2024) have pointed out additional barriers such as lack of staff time, lack of finance, fragmented organisation, and poor ethnicity data as barriers to tackling health inequalities. Cluley </w:t>
      </w:r>
      <w:r w:rsidRPr="004D45B3">
        <w:rPr>
          <w:rFonts w:eastAsia="Arial" w:cs="Arial"/>
          <w:i/>
          <w:iCs/>
          <w:color w:val="000000" w:themeColor="text1"/>
          <w:szCs w:val="24"/>
        </w:rPr>
        <w:t>et al</w:t>
      </w:r>
      <w:r w:rsidRPr="004D45B3">
        <w:rPr>
          <w:rFonts w:eastAsia="Arial" w:cs="Arial"/>
          <w:color w:val="000000" w:themeColor="text1"/>
          <w:szCs w:val="24"/>
        </w:rPr>
        <w:t xml:space="preserve">. (2026) have further emphasised the need to recognise patients’ experience of the world from an organisational perspective and argue that culturally sensitive healthcare is more than professional competence. This can be due to a lack of workforce training, time, staff, funds, lack of interpretation services, poor cultural awareness, inefficient care pathways, poor data systems and resistance to change (Lewer et al., 2020). Implementation and engagement of the patient can also be limited by discrimination and lack of trust, which are more general issues (Elliott </w:t>
      </w:r>
      <w:r w:rsidRPr="004D45B3">
        <w:rPr>
          <w:rFonts w:eastAsia="Arial" w:cs="Arial"/>
          <w:i/>
          <w:color w:val="000000" w:themeColor="text1"/>
          <w:szCs w:val="24"/>
        </w:rPr>
        <w:t>et al</w:t>
      </w:r>
      <w:r w:rsidRPr="004D45B3">
        <w:rPr>
          <w:rFonts w:eastAsia="Arial" w:cs="Arial"/>
          <w:color w:val="000000" w:themeColor="text1"/>
          <w:szCs w:val="24"/>
        </w:rPr>
        <w:t xml:space="preserve">., 2025). Facilities that enable culturally competent care to be implemented are called facilitators. </w:t>
      </w:r>
    </w:p>
    <w:p w14:paraId="4734358B" w14:textId="77777777" w:rsidR="00C33A9F" w:rsidRPr="004D45B3" w:rsidRDefault="00C33A9F">
      <w:pPr>
        <w:pStyle w:val="Heading3"/>
        <w:rPr>
          <w:rFonts w:ascii="Aptos Display" w:hAnsi="Aptos Display"/>
          <w:b/>
          <w:bCs/>
          <w:color w:val="000000" w:themeColor="text1"/>
        </w:rPr>
      </w:pPr>
      <w:bookmarkStart w:id="58" w:name="_heading=h.htw60659vxgr"/>
      <w:bookmarkEnd w:id="58"/>
    </w:p>
    <w:p w14:paraId="3494CBE3" w14:textId="104F2467" w:rsidR="00BE776A" w:rsidRPr="004D45B3" w:rsidRDefault="0007681E">
      <w:pPr>
        <w:pStyle w:val="Heading3"/>
        <w:rPr>
          <w:color w:val="000000" w:themeColor="text1"/>
        </w:rPr>
      </w:pPr>
      <w:bookmarkStart w:id="59" w:name="_Toc241190029"/>
      <w:r w:rsidRPr="004D45B3">
        <w:rPr>
          <w:rFonts w:ascii="Aptos Display" w:hAnsi="Aptos Display"/>
          <w:b/>
          <w:bCs/>
          <w:color w:val="000000" w:themeColor="text1"/>
        </w:rPr>
        <w:t>4.6 Performing Thematic Analysis</w:t>
      </w:r>
      <w:bookmarkEnd w:id="59"/>
      <w:r w:rsidRPr="004D45B3">
        <w:rPr>
          <w:rFonts w:ascii="Aptos Display" w:hAnsi="Aptos Display"/>
          <w:b/>
          <w:bCs/>
          <w:color w:val="000000" w:themeColor="text1"/>
        </w:rPr>
        <w:t> </w:t>
      </w:r>
    </w:p>
    <w:p w14:paraId="4B5E9882" w14:textId="77777777" w:rsidR="00BE776A" w:rsidRPr="004D45B3" w:rsidRDefault="0007681E">
      <w:pPr>
        <w:spacing w:before="280" w:after="0"/>
        <w:rPr>
          <w:rFonts w:eastAsia="Arial" w:cs="Arial"/>
          <w:b/>
          <w:bCs/>
          <w:color w:val="000000" w:themeColor="text1"/>
          <w:szCs w:val="24"/>
        </w:rPr>
      </w:pPr>
      <w:r w:rsidRPr="004D45B3">
        <w:rPr>
          <w:rFonts w:eastAsia="Arial" w:cs="Arial"/>
          <w:b/>
          <w:bCs/>
          <w:color w:val="000000" w:themeColor="text1"/>
          <w:szCs w:val="24"/>
        </w:rPr>
        <w:t>Theme 1: Cultural Insensitivity</w:t>
      </w:r>
    </w:p>
    <w:p w14:paraId="070D934A" w14:textId="77777777" w:rsidR="00BE776A" w:rsidRPr="004D45B3" w:rsidRDefault="0007681E">
      <w:pPr>
        <w:spacing w:before="280"/>
        <w:rPr>
          <w:color w:val="000000" w:themeColor="text1"/>
        </w:rPr>
      </w:pPr>
      <w:r w:rsidRPr="004D45B3">
        <w:rPr>
          <w:rFonts w:eastAsia="Arial" w:cs="Arial"/>
          <w:color w:val="000000" w:themeColor="text1"/>
          <w:szCs w:val="24"/>
        </w:rPr>
        <w:t xml:space="preserve">The expression of cultural insensitivity in the reviewed evidence of the UK is not an individual intervention, but a combination of linguistic accessibility, culturally shared communication, community involvement, competence, and service-level workforce adaptation. The concept of culturally competent healthcare that Zeh </w:t>
      </w:r>
      <w:r w:rsidRPr="004D45B3">
        <w:rPr>
          <w:rFonts w:eastAsia="Arial" w:cs="Arial"/>
          <w:i/>
          <w:iCs/>
          <w:color w:val="000000" w:themeColor="text1"/>
          <w:szCs w:val="24"/>
        </w:rPr>
        <w:t>et al</w:t>
      </w:r>
      <w:r w:rsidRPr="004D45B3">
        <w:rPr>
          <w:rFonts w:eastAsia="Arial" w:cs="Arial"/>
          <w:color w:val="000000" w:themeColor="text1"/>
          <w:szCs w:val="24"/>
        </w:rPr>
        <w:t xml:space="preserve">. (2015) embrace is a form of care that takes into account cultural differences and develops cultural literacy and service nimbleness to the requirements of a person. Their diabetes-related studies, in particular, focus on language and religion, health literacy and culturally appropriate diet. To illustrate, the dietary education program must accommodate foods the minority communities already have but not advocate generic foods, which can be incongruent with cultural and religious beliefs. It is a disease (specifically cultural competence) centred model, namely cultural competence as a whole-service model, but as 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theorise these models culture competence as a referral pathway, continuity, community partnerships and organisational accountability as the most important conceptualisation of cultural competence, as opposed to centring it on the knowledge of individual practitioners.</w:t>
      </w:r>
    </w:p>
    <w:p w14:paraId="774245A4" w14:textId="77777777" w:rsidR="00C33A9F" w:rsidRPr="004D45B3" w:rsidRDefault="00C33A9F">
      <w:pPr>
        <w:spacing w:before="280"/>
        <w:rPr>
          <w:rFonts w:eastAsia="Arial" w:cs="Arial"/>
          <w:color w:val="000000" w:themeColor="text1"/>
          <w:szCs w:val="24"/>
        </w:rPr>
      </w:pPr>
    </w:p>
    <w:p w14:paraId="2ED82C1D" w14:textId="317B6C88" w:rsidR="00BE776A" w:rsidRPr="004D45B3" w:rsidRDefault="0007681E">
      <w:pPr>
        <w:spacing w:before="280"/>
        <w:rPr>
          <w:color w:val="000000" w:themeColor="text1"/>
        </w:rPr>
      </w:pPr>
      <w:r w:rsidRPr="004D45B3">
        <w:rPr>
          <w:rFonts w:eastAsia="Arial" w:cs="Arial"/>
          <w:color w:val="000000" w:themeColor="text1"/>
          <w:szCs w:val="24"/>
        </w:rPr>
        <w:t xml:space="preserve">One of the constant elements is language support. Language, food traditions and patient-provider cultural differences were significant barriers to implementation, whereas a lack of resources and inadequate staff training was identified as constraining. And the same authors, Stepanova </w:t>
      </w:r>
      <w:r w:rsidRPr="004D45B3">
        <w:rPr>
          <w:rFonts w:eastAsia="Arial" w:cs="Arial"/>
          <w:i/>
          <w:iCs/>
          <w:color w:val="000000" w:themeColor="text1"/>
          <w:szCs w:val="24"/>
        </w:rPr>
        <w:t>et al</w:t>
      </w:r>
      <w:r w:rsidRPr="004D45B3">
        <w:rPr>
          <w:rFonts w:eastAsia="Arial" w:cs="Arial"/>
          <w:color w:val="000000" w:themeColor="text1"/>
          <w:szCs w:val="24"/>
        </w:rPr>
        <w:t>. (2026</w:t>
      </w:r>
      <w:r w:rsidR="00634BD0" w:rsidRPr="004D45B3">
        <w:rPr>
          <w:rFonts w:eastAsia="Arial" w:cs="Arial"/>
          <w:color w:val="000000" w:themeColor="text1"/>
          <w:szCs w:val="24"/>
        </w:rPr>
        <w:t>), identify</w:t>
      </w:r>
      <w:r w:rsidRPr="004D45B3">
        <w:rPr>
          <w:rFonts w:eastAsia="Arial" w:cs="Arial"/>
          <w:color w:val="000000" w:themeColor="text1"/>
          <w:szCs w:val="24"/>
        </w:rPr>
        <w:t xml:space="preserve"> the part of interpreters as prime, but mention the ineffectiveness of translation as a phenomenon. The difference was that their participants preferred to have interpreters and clinicians share training, devoting more hours when training to interpretation and having interpreters supervised, which is where they saw treating language mediation as an element of therapeutic care, but not as a service provision.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extend this focus to the research involvement where the use of clear and </w:t>
      </w:r>
      <w:r w:rsidR="00634BD0" w:rsidRPr="004D45B3">
        <w:rPr>
          <w:rFonts w:eastAsia="Arial" w:cs="Arial"/>
          <w:color w:val="000000" w:themeColor="text1"/>
          <w:szCs w:val="24"/>
        </w:rPr>
        <w:t>culturally sensitive</w:t>
      </w:r>
      <w:r w:rsidRPr="004D45B3">
        <w:rPr>
          <w:rFonts w:eastAsia="Arial" w:cs="Arial"/>
          <w:color w:val="000000" w:themeColor="text1"/>
          <w:szCs w:val="24"/>
        </w:rPr>
        <w:t xml:space="preserve"> and transparent communication, reliable sources of information and co-designed materials can be employed to promote trust and informed decision-making among ethnic minorities.</w:t>
      </w:r>
    </w:p>
    <w:p w14:paraId="13DC1E04" w14:textId="77777777" w:rsidR="00C33A9F" w:rsidRPr="004D45B3" w:rsidRDefault="00C33A9F">
      <w:pPr>
        <w:spacing w:before="280"/>
        <w:rPr>
          <w:rFonts w:eastAsia="Arial" w:cs="Arial"/>
          <w:color w:val="000000" w:themeColor="text1"/>
          <w:szCs w:val="24"/>
        </w:rPr>
      </w:pPr>
    </w:p>
    <w:p w14:paraId="36213126" w14:textId="1959CE08" w:rsidR="00BE776A" w:rsidRPr="004D45B3" w:rsidRDefault="0007681E">
      <w:pPr>
        <w:spacing w:before="280"/>
        <w:rPr>
          <w:color w:val="000000" w:themeColor="text1"/>
        </w:rPr>
      </w:pPr>
      <w:r w:rsidRPr="004D45B3">
        <w:rPr>
          <w:rFonts w:eastAsia="Arial" w:cs="Arial"/>
          <w:color w:val="000000" w:themeColor="text1"/>
          <w:szCs w:val="24"/>
        </w:rPr>
        <w:t xml:space="preserve">More modern practices are also characterized by community involvement. According to the authors, culturally relevant care, which should not be provided in the clinical setting, is encouraged by 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who encourage collaboration with faith organisations, community leaders, peer-support networks and advocacy services. Similarly, Dawson </w:t>
      </w:r>
      <w:r w:rsidRPr="004D45B3">
        <w:rPr>
          <w:rFonts w:eastAsia="Arial" w:cs="Arial"/>
          <w:i/>
          <w:iCs/>
          <w:color w:val="000000" w:themeColor="text1"/>
          <w:szCs w:val="24"/>
        </w:rPr>
        <w:t>et al</w:t>
      </w:r>
      <w:r w:rsidRPr="004D45B3">
        <w:rPr>
          <w:rFonts w:eastAsia="Arial" w:cs="Arial"/>
          <w:color w:val="000000" w:themeColor="text1"/>
          <w:szCs w:val="24"/>
        </w:rPr>
        <w:t xml:space="preserve">. emphasize on credible relationships to communities and adaptation to culture and language needs. Conversely, Zeh </w:t>
      </w:r>
      <w:r w:rsidRPr="004D45B3">
        <w:rPr>
          <w:rFonts w:eastAsia="Arial" w:cs="Arial"/>
          <w:i/>
          <w:iCs/>
          <w:color w:val="000000" w:themeColor="text1"/>
          <w:szCs w:val="24"/>
        </w:rPr>
        <w:t>et al</w:t>
      </w:r>
      <w:r w:rsidRPr="004D45B3">
        <w:rPr>
          <w:rFonts w:eastAsia="Arial" w:cs="Arial"/>
          <w:color w:val="000000" w:themeColor="text1"/>
          <w:szCs w:val="24"/>
        </w:rPr>
        <w:t xml:space="preserve">. </w:t>
      </w:r>
      <w:r w:rsidR="00DC5845" w:rsidRPr="004D45B3">
        <w:rPr>
          <w:rFonts w:eastAsia="Arial" w:cs="Arial"/>
          <w:color w:val="000000" w:themeColor="text1"/>
          <w:szCs w:val="24"/>
        </w:rPr>
        <w:t xml:space="preserve">(2015) </w:t>
      </w:r>
      <w:r w:rsidRPr="004D45B3">
        <w:rPr>
          <w:rFonts w:eastAsia="Arial" w:cs="Arial"/>
          <w:color w:val="000000" w:themeColor="text1"/>
          <w:szCs w:val="24"/>
        </w:rPr>
        <w:t>are more concerned with GP practices and offering professional services and their attitude is less co-produced.</w:t>
      </w:r>
    </w:p>
    <w:p w14:paraId="6609F1D4" w14:textId="77777777" w:rsidR="00C33A9F" w:rsidRPr="004D45B3" w:rsidRDefault="00C33A9F">
      <w:pPr>
        <w:spacing w:before="280"/>
        <w:rPr>
          <w:rFonts w:eastAsia="Arial" w:cs="Arial"/>
          <w:color w:val="000000" w:themeColor="text1"/>
          <w:szCs w:val="24"/>
        </w:rPr>
      </w:pPr>
    </w:p>
    <w:p w14:paraId="326745C3" w14:textId="7E783EB0" w:rsidR="00BE776A" w:rsidRPr="004D45B3" w:rsidRDefault="0007681E">
      <w:pPr>
        <w:spacing w:before="280"/>
        <w:rPr>
          <w:color w:val="000000" w:themeColor="text1"/>
        </w:rPr>
      </w:pPr>
      <w:r w:rsidRPr="004D45B3">
        <w:rPr>
          <w:rFonts w:eastAsia="Arial" w:cs="Arial"/>
          <w:color w:val="000000" w:themeColor="text1"/>
          <w:szCs w:val="24"/>
        </w:rPr>
        <w:t>These differences impact the evidence strength, methodologically. The study conducted by Zeh</w:t>
      </w:r>
      <w:r w:rsidRPr="004D45B3">
        <w:rPr>
          <w:rFonts w:eastAsia="Arial" w:cs="Arial"/>
          <w:i/>
          <w:iCs/>
          <w:color w:val="000000" w:themeColor="text1"/>
          <w:szCs w:val="24"/>
        </w:rPr>
        <w:t xml:space="preserve"> et al. </w:t>
      </w:r>
      <w:r w:rsidRPr="004D45B3">
        <w:rPr>
          <w:rFonts w:eastAsia="Arial" w:cs="Arial"/>
          <w:color w:val="000000" w:themeColor="text1"/>
          <w:szCs w:val="24"/>
        </w:rPr>
        <w:t xml:space="preserve">(2015) used a survey of 66 Coventry practices (structured survey) 34 practices responded, descriptive statistics and the CCAT assessment tool and offered quantifiable comparisons of the level of service but only limited to the views of the professionals. More experiential information, though with less generalisability, was obtained through qualitative interviews involving 20 ethnically diverse adults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using maximum-variation purposive sampling. The adaptation of the Delphi methodology by Stepanova </w:t>
      </w:r>
      <w:r w:rsidRPr="004D45B3">
        <w:rPr>
          <w:rFonts w:eastAsia="Arial" w:cs="Arial"/>
          <w:i/>
          <w:iCs/>
          <w:color w:val="000000" w:themeColor="text1"/>
          <w:szCs w:val="24"/>
        </w:rPr>
        <w:t>et al</w:t>
      </w:r>
      <w:r w:rsidRPr="004D45B3">
        <w:rPr>
          <w:rFonts w:eastAsia="Arial" w:cs="Arial"/>
          <w:color w:val="000000" w:themeColor="text1"/>
          <w:szCs w:val="24"/>
        </w:rPr>
        <w:t xml:space="preserve">. was better evidence-based and integrated the lived experience with the professional perspectives to generate evidence-based recommendations or consensus building, which increased the effectiveness of its service design, but marginalization was made within the online format of the study. Collectively, the articles suggest that the achievement of cultural competence requires the staff training to occur during movement between the separation staff education to co-production, language-accessible, culturally responsive and systemic models of care (Chau </w:t>
      </w:r>
      <w:r w:rsidRPr="004D45B3">
        <w:rPr>
          <w:rFonts w:eastAsia="Arial" w:cs="Arial"/>
          <w:i/>
          <w:iCs/>
          <w:color w:val="000000" w:themeColor="text1"/>
          <w:szCs w:val="24"/>
        </w:rPr>
        <w:t>et al.,</w:t>
      </w:r>
      <w:r w:rsidRPr="004D45B3">
        <w:rPr>
          <w:rFonts w:eastAsia="Arial" w:cs="Arial"/>
          <w:color w:val="000000" w:themeColor="text1"/>
          <w:szCs w:val="24"/>
        </w:rPr>
        <w:t xml:space="preserve"> 2024).</w:t>
      </w:r>
    </w:p>
    <w:p w14:paraId="5E4A39F4" w14:textId="77777777" w:rsidR="00C33A9F" w:rsidRPr="004D45B3" w:rsidRDefault="00C33A9F">
      <w:pPr>
        <w:spacing w:before="280" w:after="0"/>
        <w:rPr>
          <w:rFonts w:eastAsia="Arial" w:cs="Arial"/>
          <w:b/>
          <w:bCs/>
          <w:color w:val="000000" w:themeColor="text1"/>
          <w:szCs w:val="24"/>
        </w:rPr>
      </w:pPr>
    </w:p>
    <w:p w14:paraId="3EEC2434" w14:textId="268F30A7" w:rsidR="00BE776A" w:rsidRPr="004D45B3" w:rsidRDefault="0007681E">
      <w:pPr>
        <w:spacing w:before="280" w:after="0"/>
        <w:rPr>
          <w:rFonts w:eastAsia="Arial" w:cs="Arial"/>
          <w:b/>
          <w:bCs/>
          <w:color w:val="000000" w:themeColor="text1"/>
          <w:szCs w:val="24"/>
        </w:rPr>
      </w:pPr>
      <w:r w:rsidRPr="004D45B3">
        <w:rPr>
          <w:rFonts w:eastAsia="Arial" w:cs="Arial"/>
          <w:b/>
          <w:bCs/>
          <w:color w:val="000000" w:themeColor="text1"/>
          <w:szCs w:val="24"/>
        </w:rPr>
        <w:t>Theme 2: Inequality and Disparities</w:t>
      </w:r>
    </w:p>
    <w:p w14:paraId="0435BAFB" w14:textId="6D6F8D05" w:rsidR="00BE776A" w:rsidRPr="004D45B3" w:rsidRDefault="0007681E">
      <w:pPr>
        <w:spacing w:before="280"/>
        <w:rPr>
          <w:color w:val="000000" w:themeColor="text1"/>
        </w:rPr>
      </w:pPr>
      <w:r w:rsidRPr="004D45B3">
        <w:rPr>
          <w:rFonts w:eastAsia="Arial" w:cs="Arial"/>
          <w:color w:val="000000" w:themeColor="text1"/>
          <w:szCs w:val="24"/>
        </w:rPr>
        <w:t xml:space="preserve">Based on the evidence by Watkinson </w:t>
      </w:r>
      <w:r w:rsidRPr="004D45B3">
        <w:rPr>
          <w:rFonts w:eastAsia="Arial" w:cs="Arial"/>
          <w:i/>
          <w:iCs/>
          <w:color w:val="000000" w:themeColor="text1"/>
          <w:szCs w:val="24"/>
        </w:rPr>
        <w:t>et al</w:t>
      </w:r>
      <w:r w:rsidRPr="004D45B3">
        <w:rPr>
          <w:rFonts w:eastAsia="Arial" w:cs="Arial"/>
          <w:color w:val="000000" w:themeColor="text1"/>
          <w:szCs w:val="24"/>
        </w:rPr>
        <w:t xml:space="preserve">. (2021), 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McGreevy </w:t>
      </w:r>
      <w:r w:rsidRPr="004D45B3">
        <w:rPr>
          <w:rFonts w:eastAsia="Arial" w:cs="Arial"/>
          <w:i/>
          <w:iCs/>
          <w:color w:val="000000" w:themeColor="text1"/>
          <w:szCs w:val="24"/>
        </w:rPr>
        <w:t xml:space="preserve">et al. </w:t>
      </w:r>
      <w:r w:rsidRPr="004D45B3">
        <w:rPr>
          <w:rFonts w:eastAsia="Arial" w:cs="Arial"/>
          <w:color w:val="000000" w:themeColor="text1"/>
          <w:szCs w:val="24"/>
        </w:rPr>
        <w:t>(2023</w:t>
      </w:r>
      <w:r w:rsidR="00634BD0" w:rsidRPr="004D45B3">
        <w:rPr>
          <w:rFonts w:eastAsia="Arial" w:cs="Arial"/>
          <w:color w:val="000000" w:themeColor="text1"/>
          <w:szCs w:val="24"/>
        </w:rPr>
        <w:t>),</w:t>
      </w:r>
      <w:r w:rsidRPr="004D45B3">
        <w:rPr>
          <w:rFonts w:eastAsia="Arial" w:cs="Arial"/>
          <w:color w:val="000000" w:themeColor="text1"/>
          <w:szCs w:val="24"/>
        </w:rPr>
        <w:t xml:space="preserve"> they examined, the ethnic health disparities in the UK are not only limited to the variation in prevalence of the diseases but also to the variation in health outcomes, discrimination and not only the socioeconomic deprivation and unequal experience of healthcare services access. For instance, Watkinson </w:t>
      </w:r>
      <w:r w:rsidRPr="004D45B3">
        <w:rPr>
          <w:rFonts w:eastAsia="Arial" w:cs="Arial"/>
          <w:i/>
          <w:iCs/>
          <w:color w:val="000000" w:themeColor="text1"/>
          <w:szCs w:val="24"/>
        </w:rPr>
        <w:t>et al</w:t>
      </w:r>
      <w:r w:rsidRPr="004D45B3">
        <w:rPr>
          <w:rFonts w:eastAsia="Arial" w:cs="Arial"/>
          <w:color w:val="000000" w:themeColor="text1"/>
          <w:szCs w:val="24"/>
        </w:rPr>
        <w:t>. (2021) offer an example of poorer health-related quality of life (</w:t>
      </w:r>
      <w:proofErr w:type="spellStart"/>
      <w:r w:rsidRPr="004D45B3">
        <w:rPr>
          <w:rFonts w:eastAsia="Arial" w:cs="Arial"/>
          <w:color w:val="000000" w:themeColor="text1"/>
          <w:szCs w:val="24"/>
        </w:rPr>
        <w:t>HRQoL</w:t>
      </w:r>
      <w:proofErr w:type="spellEnd"/>
      <w:r w:rsidRPr="004D45B3">
        <w:rPr>
          <w:rFonts w:eastAsia="Arial" w:cs="Arial"/>
          <w:color w:val="000000" w:themeColor="text1"/>
          <w:szCs w:val="24"/>
        </w:rPr>
        <w:t>), which they found in 15 out of 17 minority ethnic groups, in adults aged 55 years and above in England. The inequalities were denied particularly in Gypsy or Irish Traveller, Bangladeshi, Pakistani and Arab groups and were more likely to be greater in women. These related to a higher level of multimorbidity, less favourable primary-care experiences, less local-service support and more area-level deprivation. Interestingly, this poses a challenge to any such direction of considering ethnic minorities as a homogeneous group as the level and flow of inequalities across groups differed dramatically.</w:t>
      </w:r>
    </w:p>
    <w:p w14:paraId="2DD13BDB" w14:textId="77777777" w:rsidR="00C33A9F" w:rsidRPr="004D45B3" w:rsidRDefault="00C33A9F">
      <w:pPr>
        <w:spacing w:before="280"/>
        <w:rPr>
          <w:rFonts w:eastAsia="Arial" w:cs="Arial"/>
          <w:color w:val="000000" w:themeColor="text1"/>
          <w:szCs w:val="24"/>
        </w:rPr>
      </w:pPr>
    </w:p>
    <w:p w14:paraId="1C52EBBA" w14:textId="609E23D3" w:rsidR="00BE776A" w:rsidRPr="004D45B3" w:rsidRDefault="0007681E">
      <w:pPr>
        <w:spacing w:before="280"/>
        <w:rPr>
          <w:color w:val="000000" w:themeColor="text1"/>
        </w:rPr>
      </w:pPr>
      <w:r w:rsidRPr="004D45B3">
        <w:rPr>
          <w:rFonts w:eastAsia="Arial" w:cs="Arial"/>
          <w:color w:val="000000" w:themeColor="text1"/>
          <w:szCs w:val="24"/>
        </w:rPr>
        <w:t xml:space="preserve">The explanation given by 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can be considered complementary since the authors point out racial discrimination as a significant social determinant of unequal health. Among 4,883 adults who were ethnic minorities, and in one-fifth of all, there was a report of racial discrimination. Discrimination reporters had lower self-rated health, were psychologically distressed, poorer functioning (both mental and physical) and more likely to have long standing illness; the relationships were also noted to exist 2 years later. Whereas Watkinson </w:t>
      </w:r>
      <w:r w:rsidRPr="004D45B3">
        <w:rPr>
          <w:rFonts w:eastAsia="Arial" w:cs="Arial"/>
          <w:i/>
          <w:iCs/>
          <w:color w:val="000000" w:themeColor="text1"/>
          <w:szCs w:val="24"/>
        </w:rPr>
        <w:t>et al</w:t>
      </w:r>
      <w:r w:rsidRPr="004D45B3">
        <w:rPr>
          <w:rFonts w:eastAsia="Arial" w:cs="Arial"/>
          <w:color w:val="000000" w:themeColor="text1"/>
          <w:szCs w:val="24"/>
        </w:rPr>
        <w:t xml:space="preserve">. reveal inequities at the population level, 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reveal one of the possible ways, in which inequities can build up. However, self-reported discrimination is not able to fully capture the personal experiences of racism and the authors acknowledge that the conventional introduction of social economic position can bias the complex relationship that exists between racism and racial inequality.</w:t>
      </w:r>
    </w:p>
    <w:p w14:paraId="37871CC4" w14:textId="77777777" w:rsidR="00C33A9F" w:rsidRPr="004D45B3" w:rsidRDefault="00C33A9F">
      <w:pPr>
        <w:spacing w:before="280"/>
        <w:rPr>
          <w:rFonts w:eastAsia="Arial" w:cs="Arial"/>
          <w:color w:val="000000" w:themeColor="text1"/>
          <w:szCs w:val="24"/>
        </w:rPr>
      </w:pPr>
    </w:p>
    <w:p w14:paraId="342A0F6B" w14:textId="4EF2111B" w:rsidR="00BE776A" w:rsidRPr="004D45B3" w:rsidRDefault="0007681E">
      <w:pPr>
        <w:spacing w:before="280"/>
        <w:rPr>
          <w:color w:val="000000" w:themeColor="text1"/>
        </w:rPr>
      </w:pPr>
      <w:r w:rsidRPr="004D45B3">
        <w:rPr>
          <w:rFonts w:eastAsia="Arial" w:cs="Arial"/>
          <w:color w:val="000000" w:themeColor="text1"/>
          <w:szCs w:val="24"/>
        </w:rPr>
        <w:t xml:space="preserve">Inequality with regard to experience is also evident in healthcare utilisation. This is in line with McGreevy </w:t>
      </w:r>
      <w:r w:rsidRPr="004D45B3">
        <w:rPr>
          <w:rFonts w:eastAsia="Arial" w:cs="Arial"/>
          <w:i/>
          <w:iCs/>
          <w:color w:val="000000" w:themeColor="text1"/>
          <w:szCs w:val="24"/>
        </w:rPr>
        <w:t xml:space="preserve">et al. </w:t>
      </w:r>
      <w:r w:rsidRPr="004D45B3">
        <w:rPr>
          <w:rFonts w:eastAsia="Arial" w:cs="Arial"/>
          <w:color w:val="000000" w:themeColor="text1"/>
          <w:szCs w:val="24"/>
        </w:rPr>
        <w:t>(2023) who inferred that ethnic minority patients with multimorbidity were more disrupted during COVID-19 due to variations across primary care. Asian patients using face-to-face consultations had the highest decline, 676 per 1,000 patients in February 2020 and 348 in April and did not shift their preference to telephone consultation as egregiously as White patients. It is important as less personal interaction could limit the ability to build relationships and collect information, which can compound existing disparities in which language barriers, access to or complicated conditions already exist.</w:t>
      </w:r>
    </w:p>
    <w:p w14:paraId="76A29672" w14:textId="77777777" w:rsidR="00C33A9F" w:rsidRPr="004D45B3" w:rsidRDefault="00C33A9F">
      <w:pPr>
        <w:spacing w:before="280"/>
        <w:rPr>
          <w:rFonts w:eastAsia="Arial" w:cs="Arial"/>
          <w:color w:val="000000" w:themeColor="text1"/>
          <w:szCs w:val="24"/>
        </w:rPr>
      </w:pPr>
    </w:p>
    <w:p w14:paraId="4C9E5556" w14:textId="55674A84" w:rsidR="00BE776A" w:rsidRPr="004D45B3" w:rsidRDefault="0007681E">
      <w:pPr>
        <w:spacing w:before="280"/>
        <w:rPr>
          <w:color w:val="000000" w:themeColor="text1"/>
        </w:rPr>
      </w:pPr>
      <w:r w:rsidRPr="004D45B3">
        <w:rPr>
          <w:rFonts w:eastAsia="Arial" w:cs="Arial"/>
          <w:color w:val="000000" w:themeColor="text1"/>
          <w:szCs w:val="24"/>
        </w:rPr>
        <w:t xml:space="preserve">The studies by Watkinson </w:t>
      </w:r>
      <w:r w:rsidRPr="004D45B3">
        <w:rPr>
          <w:rFonts w:eastAsia="Arial" w:cs="Arial"/>
          <w:i/>
          <w:iCs/>
          <w:color w:val="000000" w:themeColor="text1"/>
          <w:szCs w:val="24"/>
        </w:rPr>
        <w:t>et al</w:t>
      </w:r>
      <w:r w:rsidRPr="004D45B3">
        <w:rPr>
          <w:rFonts w:eastAsia="Arial" w:cs="Arial"/>
          <w:color w:val="000000" w:themeColor="text1"/>
          <w:szCs w:val="24"/>
        </w:rPr>
        <w:t xml:space="preserve">. (2021), 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and McGreevy </w:t>
      </w:r>
      <w:r w:rsidRPr="004D45B3">
        <w:rPr>
          <w:rFonts w:eastAsia="Arial" w:cs="Arial"/>
          <w:i/>
          <w:iCs/>
          <w:color w:val="000000" w:themeColor="text1"/>
          <w:szCs w:val="24"/>
        </w:rPr>
        <w:t>et al</w:t>
      </w:r>
      <w:r w:rsidRPr="004D45B3">
        <w:rPr>
          <w:rFonts w:eastAsia="Arial" w:cs="Arial"/>
          <w:color w:val="000000" w:themeColor="text1"/>
          <w:szCs w:val="24"/>
        </w:rPr>
        <w:t xml:space="preserve">. (2023) illustrate various methodological advantages and disadvantages. The cross-sectional representative national sample of almost 1.4 million older adults by Watkinson </w:t>
      </w:r>
      <w:r w:rsidRPr="004D45B3">
        <w:rPr>
          <w:rFonts w:eastAsia="Arial" w:cs="Arial"/>
          <w:i/>
          <w:iCs/>
          <w:color w:val="000000" w:themeColor="text1"/>
          <w:szCs w:val="24"/>
        </w:rPr>
        <w:t>et al</w:t>
      </w:r>
      <w:r w:rsidRPr="004D45B3">
        <w:rPr>
          <w:rFonts w:eastAsia="Arial" w:cs="Arial"/>
          <w:color w:val="000000" w:themeColor="text1"/>
          <w:szCs w:val="24"/>
        </w:rPr>
        <w:t xml:space="preserve">. (2021) allowed making detailed comparisons between smaller ethnic groups that could not be used as indicators to determine causation. The prospective cohort by Hackett </w:t>
      </w:r>
      <w:r w:rsidRPr="004D45B3">
        <w:rPr>
          <w:rFonts w:eastAsia="Arial" w:cs="Arial"/>
          <w:i/>
          <w:iCs/>
          <w:color w:val="000000" w:themeColor="text1"/>
          <w:szCs w:val="24"/>
        </w:rPr>
        <w:t>et al</w:t>
      </w:r>
      <w:r w:rsidRPr="004D45B3">
        <w:rPr>
          <w:rFonts w:eastAsia="Arial" w:cs="Arial"/>
          <w:color w:val="000000" w:themeColor="text1"/>
          <w:szCs w:val="24"/>
        </w:rPr>
        <w:t xml:space="preserve">. enhances interpretation over time but relies a lot on subjective reporting. By contrast, McGreevy </w:t>
      </w:r>
      <w:r w:rsidRPr="004D45B3">
        <w:rPr>
          <w:rFonts w:eastAsia="Arial" w:cs="Arial"/>
          <w:i/>
          <w:iCs/>
          <w:color w:val="000000" w:themeColor="text1"/>
          <w:szCs w:val="24"/>
        </w:rPr>
        <w:t>et al</w:t>
      </w:r>
      <w:r w:rsidRPr="004D45B3">
        <w:rPr>
          <w:rFonts w:eastAsia="Arial" w:cs="Arial"/>
          <w:color w:val="000000" w:themeColor="text1"/>
          <w:szCs w:val="24"/>
        </w:rPr>
        <w:t xml:space="preserve">. (2023) analysed longitudinal electronic records of 460,084 patients through interrupted time-series modelling that provides objective evidence on service-utilisation but the location (South London) limits the national generalisability of this investigation. The combination of all the evidence indicates that ethnic inequalities are shaped through interplay of clinical, socioeconomic, discriminatory and healthcare-system factors and not ethnicity. </w:t>
      </w:r>
    </w:p>
    <w:p w14:paraId="04ACE51D" w14:textId="77777777" w:rsidR="00C33A9F" w:rsidRPr="004D45B3" w:rsidRDefault="00C33A9F">
      <w:pPr>
        <w:spacing w:before="280" w:after="0"/>
        <w:rPr>
          <w:rFonts w:eastAsia="Arial" w:cs="Arial"/>
          <w:b/>
          <w:bCs/>
          <w:color w:val="000000" w:themeColor="text1"/>
          <w:szCs w:val="24"/>
        </w:rPr>
      </w:pPr>
    </w:p>
    <w:p w14:paraId="713C996F" w14:textId="56729437" w:rsidR="00BE776A" w:rsidRPr="004D45B3" w:rsidRDefault="0007681E">
      <w:pPr>
        <w:spacing w:before="280" w:after="0"/>
        <w:rPr>
          <w:rFonts w:eastAsia="Arial" w:cs="Arial"/>
          <w:b/>
          <w:bCs/>
          <w:color w:val="000000" w:themeColor="text1"/>
          <w:szCs w:val="24"/>
        </w:rPr>
      </w:pPr>
      <w:r w:rsidRPr="004D45B3">
        <w:rPr>
          <w:rFonts w:eastAsia="Arial" w:cs="Arial"/>
          <w:b/>
          <w:bCs/>
          <w:color w:val="000000" w:themeColor="text1"/>
          <w:szCs w:val="24"/>
        </w:rPr>
        <w:t>Theme 3: Language Barrier</w:t>
      </w:r>
    </w:p>
    <w:p w14:paraId="3CD72552" w14:textId="77777777" w:rsidR="00BE776A" w:rsidRPr="004D45B3" w:rsidRDefault="0007681E">
      <w:pPr>
        <w:spacing w:before="280"/>
        <w:rPr>
          <w:color w:val="000000" w:themeColor="text1"/>
        </w:rPr>
      </w:pPr>
      <w:r w:rsidRPr="004D45B3">
        <w:rPr>
          <w:rFonts w:eastAsia="Arial" w:cs="Arial"/>
          <w:color w:val="000000" w:themeColor="text1"/>
          <w:szCs w:val="24"/>
        </w:rPr>
        <w:t>The reviewed evidence suggests that culturally competent care has high potential of reducing ethnic health disparities, particularly through increasing engagement; trust and appropriateness of services; however, there is minimal evidence to demonstrate direct and sustained reduction in health outcomes that pertain to culturally competent care. Wainwright</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(2026) elaborate such a difference in the field of palliative and end-of-life care. Individualised styles viewed as culturally responsive were viewed as responsive by the professionals promoted accessibility and engagement as the professionals had the ability to evoke the beliefs, preferences and expectations of the patients into the care process rather than rely on prescriptive models. Community-led programs that used the local people who were known to people were also considered effective in raising awareness. </w:t>
      </w:r>
    </w:p>
    <w:p w14:paraId="25A07933" w14:textId="77777777" w:rsidR="00C33A9F" w:rsidRPr="004D45B3" w:rsidRDefault="00C33A9F">
      <w:pPr>
        <w:spacing w:before="280"/>
        <w:rPr>
          <w:rFonts w:eastAsia="Arial" w:cs="Arial"/>
          <w:color w:val="000000" w:themeColor="text1"/>
          <w:szCs w:val="24"/>
        </w:rPr>
      </w:pPr>
    </w:p>
    <w:p w14:paraId="24BF8725" w14:textId="77DE48EC" w:rsidR="00BE776A" w:rsidRPr="004D45B3" w:rsidRDefault="0007681E">
      <w:pPr>
        <w:spacing w:before="280"/>
        <w:rPr>
          <w:color w:val="000000" w:themeColor="text1"/>
        </w:rPr>
      </w:pPr>
      <w:r w:rsidRPr="004D45B3">
        <w:rPr>
          <w:rFonts w:eastAsia="Arial" w:cs="Arial"/>
          <w:color w:val="000000" w:themeColor="text1"/>
          <w:szCs w:val="24"/>
        </w:rPr>
        <w:t xml:space="preserve">There is valid contradiction between the continuation of inequalities discussed by Ahmad </w:t>
      </w:r>
      <w:r w:rsidRPr="004D45B3">
        <w:rPr>
          <w:rFonts w:eastAsia="Arial" w:cs="Arial"/>
          <w:i/>
          <w:iCs/>
          <w:color w:val="000000" w:themeColor="text1"/>
          <w:szCs w:val="24"/>
        </w:rPr>
        <w:t xml:space="preserve">et al. </w:t>
      </w:r>
      <w:r w:rsidRPr="004D45B3">
        <w:rPr>
          <w:rFonts w:eastAsia="Arial" w:cs="Arial"/>
          <w:color w:val="000000" w:themeColor="text1"/>
          <w:szCs w:val="24"/>
        </w:rPr>
        <w:t>(2021), in their nationwide examination also revealed that the ethnic differences in the prevalence of common mental disorder were significantly lessened after the demographic and socioeconomic modulation procedure was performed, yet disparities in obtaining treatment remained. Asian surveyed respondents had only 0.23 as high a chance in the year 2014 of Black respondents as compared to White British respondents to lack treatment and treatment reduction. This implies that clinical encounters that are culturally competent, alone cannot eradicate inequalities that have been created by referral systems, the availability of services and expanded institutional contexts. Equally, socioeconomic interventions have the ability to reduce mental-health disparities, but appear to have no effect on treatment disparities.</w:t>
      </w:r>
    </w:p>
    <w:p w14:paraId="471074C5" w14:textId="77777777" w:rsidR="00C33A9F" w:rsidRPr="004D45B3" w:rsidRDefault="00C33A9F">
      <w:pPr>
        <w:spacing w:before="280"/>
        <w:rPr>
          <w:rFonts w:eastAsia="Arial" w:cs="Arial"/>
          <w:color w:val="000000" w:themeColor="text1"/>
          <w:szCs w:val="24"/>
        </w:rPr>
      </w:pPr>
    </w:p>
    <w:p w14:paraId="62B04D70" w14:textId="18566FEC" w:rsidR="00BE776A" w:rsidRPr="004D45B3" w:rsidRDefault="0007681E">
      <w:pPr>
        <w:spacing w:before="280"/>
        <w:rPr>
          <w:color w:val="000000" w:themeColor="text1"/>
        </w:rPr>
      </w:pPr>
      <w:r w:rsidRPr="004D45B3">
        <w:rPr>
          <w:rFonts w:eastAsia="Arial" w:cs="Arial"/>
          <w:color w:val="000000" w:themeColor="text1"/>
          <w:szCs w:val="24"/>
        </w:rPr>
        <w:t xml:space="preserve">A similar warning is raised by Wainwright </w:t>
      </w:r>
      <w:r w:rsidRPr="004D45B3">
        <w:rPr>
          <w:rFonts w:eastAsia="Arial" w:cs="Arial"/>
          <w:i/>
          <w:iCs/>
          <w:color w:val="000000" w:themeColor="text1"/>
          <w:szCs w:val="24"/>
        </w:rPr>
        <w:t>et al.</w:t>
      </w:r>
      <w:r w:rsidRPr="004D45B3">
        <w:rPr>
          <w:rFonts w:eastAsia="Arial" w:cs="Arial"/>
          <w:color w:val="000000" w:themeColor="text1"/>
          <w:szCs w:val="24"/>
        </w:rPr>
        <w:t xml:space="preserve"> (2026) about the finding of an effectiveness at practitioner level. Despite the fact that KEEPNET made it possible to provide professional and community-based discussion and definition of priorities that could be applied on a local level, the problem of staffing, lack of models of service and fragmented pathways remained an inhibitory factor in culturally responsive provision. Due to this, the accessibility, continuity and organisational resources are bound to lead to fewer inequalities when combined with cultural competence.</w:t>
      </w:r>
    </w:p>
    <w:p w14:paraId="40C2831C" w14:textId="77777777" w:rsidR="00C33A9F" w:rsidRPr="004D45B3" w:rsidRDefault="00C33A9F">
      <w:pPr>
        <w:spacing w:before="280"/>
        <w:rPr>
          <w:rFonts w:eastAsia="Arial" w:cs="Arial"/>
          <w:color w:val="000000" w:themeColor="text1"/>
          <w:szCs w:val="24"/>
        </w:rPr>
      </w:pPr>
    </w:p>
    <w:p w14:paraId="2097A7F8" w14:textId="5D5C80B5" w:rsidR="00BE776A" w:rsidRPr="004D45B3" w:rsidRDefault="0007681E">
      <w:pPr>
        <w:spacing w:before="280"/>
        <w:rPr>
          <w:color w:val="000000" w:themeColor="text1"/>
        </w:rPr>
      </w:pPr>
      <w:r w:rsidRPr="004D45B3">
        <w:rPr>
          <w:rFonts w:eastAsia="Arial" w:cs="Arial"/>
          <w:color w:val="000000" w:themeColor="text1"/>
          <w:szCs w:val="24"/>
        </w:rPr>
        <w:t>Effectiveness evidence is however not even, methodologically. Ahmad</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(2021) carried out repeated nationally representative cross-sectional surveys, with a sample size of 7,187 and 7,413 respondents respectively, in which multivariate regression was applicable to compare the populations across time in a strong manner. Nevertheless, the measure that was tested was trends in inequalities and does not test a culturally competent intervention. </w:t>
      </w:r>
    </w:p>
    <w:p w14:paraId="27A1C555" w14:textId="77777777" w:rsidR="00C33A9F" w:rsidRPr="004D45B3" w:rsidRDefault="00C33A9F">
      <w:pPr>
        <w:spacing w:before="280" w:after="0"/>
        <w:rPr>
          <w:rFonts w:eastAsia="Arial" w:cs="Arial"/>
          <w:b/>
          <w:bCs/>
          <w:color w:val="000000" w:themeColor="text1"/>
          <w:szCs w:val="24"/>
        </w:rPr>
      </w:pPr>
    </w:p>
    <w:p w14:paraId="7513863E" w14:textId="012C9D78" w:rsidR="00BE776A" w:rsidRPr="004D45B3" w:rsidRDefault="0007681E">
      <w:pPr>
        <w:spacing w:before="280" w:after="0"/>
        <w:rPr>
          <w:rFonts w:eastAsia="Arial" w:cs="Arial"/>
          <w:b/>
          <w:bCs/>
          <w:color w:val="000000" w:themeColor="text1"/>
          <w:szCs w:val="24"/>
        </w:rPr>
      </w:pPr>
      <w:r w:rsidRPr="004D45B3">
        <w:rPr>
          <w:rFonts w:eastAsia="Arial" w:cs="Arial"/>
          <w:b/>
          <w:bCs/>
          <w:color w:val="000000" w:themeColor="text1"/>
          <w:szCs w:val="24"/>
        </w:rPr>
        <w:t>Theme 4: Limited Resources</w:t>
      </w:r>
    </w:p>
    <w:p w14:paraId="0911FEB9" w14:textId="77777777" w:rsidR="00BE776A" w:rsidRPr="004D45B3" w:rsidRDefault="0007681E">
      <w:pPr>
        <w:spacing w:before="280"/>
        <w:rPr>
          <w:color w:val="000000" w:themeColor="text1"/>
        </w:rPr>
      </w:pPr>
      <w:r w:rsidRPr="004D45B3">
        <w:rPr>
          <w:rFonts w:eastAsia="Arial" w:cs="Arial"/>
          <w:color w:val="000000" w:themeColor="text1"/>
          <w:szCs w:val="24"/>
        </w:rPr>
        <w:t xml:space="preserve">Implementation of culturally competent healthcare in UK is limited by those barriers that act on a higher level than a level of behaviour of the particular clinician. The works of Thana </w:t>
      </w:r>
      <w:r w:rsidRPr="004D45B3">
        <w:rPr>
          <w:rFonts w:eastAsia="Arial" w:cs="Arial"/>
          <w:i/>
          <w:iCs/>
          <w:color w:val="000000" w:themeColor="text1"/>
          <w:szCs w:val="24"/>
        </w:rPr>
        <w:t>et al.</w:t>
      </w:r>
      <w:r w:rsidRPr="004D45B3">
        <w:rPr>
          <w:rFonts w:eastAsia="Arial" w:cs="Arial"/>
          <w:color w:val="000000" w:themeColor="text1"/>
          <w:szCs w:val="24"/>
        </w:rPr>
        <w:t xml:space="preserve"> (2026) reveal that the unsafe care in minority population is reciprocating individual, interpersonal, community, organisational and societal causes of it. Their constituents complained about their perception of powerlessness, unpleasant experiences of the past and the use of technical messages as contributing to their inability to participate actively in care and stereotyping, discrimination and inability to coordinate contributed to their issues. </w:t>
      </w:r>
    </w:p>
    <w:p w14:paraId="46D09F28" w14:textId="77777777" w:rsidR="00C33A9F" w:rsidRPr="004D45B3" w:rsidRDefault="00C33A9F">
      <w:pPr>
        <w:spacing w:before="280"/>
        <w:rPr>
          <w:rFonts w:eastAsia="Arial" w:cs="Arial"/>
          <w:color w:val="000000" w:themeColor="text1"/>
          <w:szCs w:val="24"/>
        </w:rPr>
      </w:pPr>
    </w:p>
    <w:p w14:paraId="1265BEF9" w14:textId="041C2553" w:rsidR="00BE776A" w:rsidRPr="004D45B3" w:rsidRDefault="0007681E">
      <w:pPr>
        <w:spacing w:before="280"/>
        <w:rPr>
          <w:color w:val="000000" w:themeColor="text1"/>
        </w:rPr>
      </w:pPr>
      <w:r w:rsidRPr="004D45B3">
        <w:rPr>
          <w:rFonts w:eastAsia="Arial" w:cs="Arial"/>
          <w:color w:val="000000" w:themeColor="text1"/>
          <w:szCs w:val="24"/>
        </w:rPr>
        <w:t xml:space="preserve">Poor organisational capacity to initiate inequality identification and tracking represents an implementation barrier described by </w:t>
      </w:r>
      <w:proofErr w:type="spellStart"/>
      <w:r w:rsidRPr="004D45B3">
        <w:rPr>
          <w:rFonts w:eastAsia="Arial" w:cs="Arial"/>
          <w:color w:val="000000" w:themeColor="text1"/>
          <w:szCs w:val="24"/>
        </w:rPr>
        <w:t>Moorthie</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(2024), although in the less common but complementary form of information sources. Workforce time, insufficient funds, fragmented organisations and quality data collection on demographics were issues that impeded organisations in transforming inequality goals into action. Further, it is hard to compare and be accountable because there is a variation in definitions of health inequalities and inconsistent categorisation of ethnicity.</w:t>
      </w:r>
    </w:p>
    <w:p w14:paraId="645C2009" w14:textId="3373D581" w:rsidR="00BE776A" w:rsidRPr="004D45B3" w:rsidRDefault="0007681E">
      <w:pPr>
        <w:spacing w:before="280"/>
        <w:rPr>
          <w:color w:val="000000" w:themeColor="text1"/>
        </w:rPr>
      </w:pPr>
      <w:r w:rsidRPr="004D45B3">
        <w:rPr>
          <w:rFonts w:eastAsia="Arial" w:cs="Arial"/>
          <w:color w:val="000000" w:themeColor="text1"/>
          <w:szCs w:val="24"/>
        </w:rPr>
        <w:t xml:space="preserve">Conversely, the research of Cluley </w:t>
      </w:r>
      <w:r w:rsidRPr="004D45B3">
        <w:rPr>
          <w:rFonts w:eastAsia="Arial" w:cs="Arial"/>
          <w:i/>
          <w:iCs/>
          <w:color w:val="000000" w:themeColor="text1"/>
          <w:szCs w:val="24"/>
        </w:rPr>
        <w:t>et al</w:t>
      </w:r>
      <w:r w:rsidRPr="004D45B3">
        <w:rPr>
          <w:rFonts w:eastAsia="Arial" w:cs="Arial"/>
          <w:color w:val="000000" w:themeColor="text1"/>
          <w:szCs w:val="24"/>
        </w:rPr>
        <w:t>. (2026) also indicates that the problem of knowledge that is appreciated must also be looked at as an organisational improvement job. Symptom dismissal was reported, and different treatment by racially oriented subjects of older age and it was found that apparently culturally sensitive systems may also be unjust when it becomes necessary to neglect the experiential knowledge on the patients (</w:t>
      </w:r>
      <w:proofErr w:type="spellStart"/>
      <w:r w:rsidRPr="004D45B3">
        <w:rPr>
          <w:rFonts w:eastAsia="Arial" w:cs="Arial"/>
          <w:color w:val="000000" w:themeColor="text1"/>
          <w:szCs w:val="24"/>
        </w:rPr>
        <w:t>Cluley</w:t>
      </w:r>
      <w:proofErr w:type="spellEnd"/>
      <w:r w:rsidRPr="004D45B3">
        <w:rPr>
          <w:rFonts w:eastAsia="Arial" w:cs="Arial"/>
          <w:color w:val="000000" w:themeColor="text1"/>
          <w:szCs w:val="24"/>
        </w:rPr>
        <w:t>, Thomas-</w:t>
      </w:r>
      <w:proofErr w:type="spellStart"/>
      <w:r w:rsidRPr="004D45B3">
        <w:rPr>
          <w:rFonts w:eastAsia="Arial" w:cs="Arial"/>
          <w:color w:val="000000" w:themeColor="text1"/>
          <w:szCs w:val="24"/>
        </w:rPr>
        <w:t>Ekweh</w:t>
      </w:r>
      <w:proofErr w:type="spellEnd"/>
      <w:r w:rsidRPr="004D45B3">
        <w:rPr>
          <w:rFonts w:eastAsia="Arial" w:cs="Arial"/>
          <w:color w:val="000000" w:themeColor="text1"/>
          <w:szCs w:val="24"/>
        </w:rPr>
        <w:t xml:space="preserve"> and </w:t>
      </w:r>
      <w:proofErr w:type="spellStart"/>
      <w:r w:rsidRPr="004D45B3">
        <w:rPr>
          <w:rFonts w:eastAsia="Arial" w:cs="Arial"/>
          <w:color w:val="000000" w:themeColor="text1"/>
          <w:szCs w:val="24"/>
        </w:rPr>
        <w:t>Oli</w:t>
      </w:r>
      <w:proofErr w:type="spellEnd"/>
      <w:r w:rsidRPr="004D45B3">
        <w:rPr>
          <w:rFonts w:eastAsia="Arial" w:cs="Arial"/>
          <w:color w:val="000000" w:themeColor="text1"/>
          <w:szCs w:val="24"/>
        </w:rPr>
        <w:t>, 2026</w:t>
      </w:r>
      <w:r w:rsidR="00C33A9F" w:rsidRPr="004D45B3">
        <w:rPr>
          <w:rFonts w:eastAsia="Arial" w:cs="Arial"/>
          <w:color w:val="000000" w:themeColor="text1"/>
          <w:szCs w:val="24"/>
        </w:rPr>
        <w:t>).</w:t>
      </w:r>
      <w:r w:rsidRPr="004D45B3">
        <w:rPr>
          <w:rFonts w:eastAsia="Arial" w:cs="Arial"/>
          <w:color w:val="000000" w:themeColor="text1"/>
          <w:szCs w:val="24"/>
        </w:rPr>
        <w:t xml:space="preserve"> </w:t>
      </w:r>
      <w:r w:rsidR="00C33A9F" w:rsidRPr="004D45B3">
        <w:rPr>
          <w:rFonts w:eastAsia="Arial" w:cs="Arial"/>
          <w:color w:val="000000" w:themeColor="text1"/>
          <w:szCs w:val="24"/>
        </w:rPr>
        <w:t>Their envisioned NHS communication tool</w:t>
      </w:r>
      <w:r w:rsidRPr="004D45B3">
        <w:rPr>
          <w:rFonts w:eastAsia="Arial" w:cs="Arial"/>
          <w:color w:val="000000" w:themeColor="text1"/>
          <w:szCs w:val="24"/>
        </w:rPr>
        <w:t xml:space="preserve"> constructed based on narratives of participants, photographs and videos offers a more potent facilitator than generic education about cultural differences since it is created to reflectively practice with lived experiences.</w:t>
      </w:r>
    </w:p>
    <w:p w14:paraId="1113A73F" w14:textId="77777777" w:rsidR="00C33A9F" w:rsidRPr="004D45B3" w:rsidRDefault="00C33A9F">
      <w:pPr>
        <w:spacing w:before="280"/>
        <w:rPr>
          <w:rFonts w:eastAsia="Arial" w:cs="Arial"/>
          <w:color w:val="000000" w:themeColor="text1"/>
          <w:szCs w:val="24"/>
        </w:rPr>
      </w:pPr>
    </w:p>
    <w:p w14:paraId="3D45E158" w14:textId="7DD28A61" w:rsidR="00BE776A" w:rsidRPr="004D45B3" w:rsidRDefault="0007681E">
      <w:pPr>
        <w:spacing w:before="280"/>
        <w:rPr>
          <w:color w:val="000000" w:themeColor="text1"/>
        </w:rPr>
      </w:pPr>
      <w:r w:rsidRPr="004D45B3">
        <w:rPr>
          <w:rFonts w:eastAsia="Arial" w:cs="Arial"/>
          <w:color w:val="000000" w:themeColor="text1"/>
          <w:szCs w:val="24"/>
        </w:rPr>
        <w:t xml:space="preserve">A study by Thana </w:t>
      </w:r>
      <w:r w:rsidRPr="004D45B3">
        <w:rPr>
          <w:rFonts w:eastAsia="Arial" w:cs="Arial"/>
          <w:i/>
          <w:iCs/>
          <w:color w:val="000000" w:themeColor="text1"/>
          <w:szCs w:val="24"/>
        </w:rPr>
        <w:t>et al</w:t>
      </w:r>
      <w:r w:rsidRPr="004D45B3">
        <w:rPr>
          <w:rFonts w:eastAsia="Arial" w:cs="Arial"/>
          <w:color w:val="000000" w:themeColor="text1"/>
          <w:szCs w:val="24"/>
        </w:rPr>
        <w:t xml:space="preserve">.'s study (2026) offered a multilevel understanding of barriers to culturally competent care, which was informed by 48 in-depth interviews and a socioecological examination. The participation of advisory panels helped make the study stronger through including multiple viewpoints; however, retrospective self-reporting could be a problem for their study. The interviews by </w:t>
      </w:r>
      <w:proofErr w:type="spellStart"/>
      <w:r w:rsidRPr="004D45B3">
        <w:rPr>
          <w:rFonts w:eastAsia="Arial" w:cs="Arial"/>
          <w:color w:val="000000" w:themeColor="text1"/>
          <w:szCs w:val="24"/>
        </w:rPr>
        <w:t>Moorthie</w:t>
      </w:r>
      <w:proofErr w:type="spellEnd"/>
      <w:r w:rsidRPr="004D45B3">
        <w:rPr>
          <w:rFonts w:eastAsia="Arial" w:cs="Arial"/>
          <w:color w:val="000000" w:themeColor="text1"/>
          <w:szCs w:val="24"/>
        </w:rPr>
        <w:t xml:space="preserve"> and 16 professionals to some degree give an insight into the operational limits, but are predominantly East of England based and do not include patients and the general population, which could be slanted towards organisationally oriented perspectives. Conversely, this type of photovoice by Cluley a priori predicts the lived experience of 69 participants, and material evidence of the lived experience, but recruitment was based on the availability of community groups, which may have discriminated against more remote people. </w:t>
      </w:r>
    </w:p>
    <w:p w14:paraId="42C34B97" w14:textId="77777777" w:rsidR="00C33A9F" w:rsidRPr="004D45B3" w:rsidRDefault="00C33A9F">
      <w:pPr>
        <w:rPr>
          <w:rFonts w:eastAsia="Arial" w:cs="Arial"/>
          <w:color w:val="000000" w:themeColor="text1"/>
          <w:szCs w:val="24"/>
        </w:rPr>
      </w:pPr>
    </w:p>
    <w:p w14:paraId="3CE2D246" w14:textId="5937BB57" w:rsidR="00BE776A" w:rsidRPr="004D45B3" w:rsidRDefault="0007681E">
      <w:pPr>
        <w:rPr>
          <w:color w:val="000000" w:themeColor="text1"/>
        </w:rPr>
      </w:pPr>
      <w:r w:rsidRPr="004D45B3">
        <w:rPr>
          <w:rFonts w:eastAsia="Arial" w:cs="Arial"/>
          <w:color w:val="000000" w:themeColor="text1"/>
          <w:szCs w:val="24"/>
        </w:rPr>
        <w:t>This chapter identified four interconnected themes showing that culturally competent care can improve communication, trust, engagement and responsiveness among ethnic minority communities. However, structural and organisational inequalities continue to affect access, safety, treatment and health outcomes. Effective implementation therefore requires community co-production, reliable interpreting, stronger data systems, adequate resources and organisational accountability. Overall, culturally competent care is most effective when integrated into wider efforts to reduce health inequalities.</w:t>
      </w:r>
    </w:p>
    <w:p w14:paraId="64A99115" w14:textId="77777777" w:rsidR="00BE776A" w:rsidRPr="004D45B3" w:rsidRDefault="0007681E">
      <w:pPr>
        <w:pStyle w:val="Heading1"/>
        <w:pageBreakBefore/>
        <w:rPr>
          <w:b/>
          <w:bCs/>
          <w:color w:val="000000" w:themeColor="text1"/>
        </w:rPr>
      </w:pPr>
      <w:bookmarkStart w:id="60" w:name="_heading=h.162gbmg3b2pl"/>
      <w:bookmarkStart w:id="61" w:name="_Toc241190030"/>
      <w:bookmarkEnd w:id="60"/>
      <w:r w:rsidRPr="004D45B3">
        <w:rPr>
          <w:b/>
          <w:bCs/>
          <w:color w:val="000000" w:themeColor="text1"/>
        </w:rPr>
        <w:t>Chapter 5: Discussion</w:t>
      </w:r>
      <w:bookmarkEnd w:id="61"/>
    </w:p>
    <w:p w14:paraId="582FC1AC" w14:textId="77777777" w:rsidR="00BE776A" w:rsidRPr="004D45B3" w:rsidRDefault="0007681E">
      <w:pPr>
        <w:spacing w:before="280"/>
        <w:rPr>
          <w:color w:val="000000" w:themeColor="text1"/>
        </w:rPr>
      </w:pPr>
      <w:r w:rsidRPr="004D45B3">
        <w:rPr>
          <w:color w:val="000000" w:themeColor="text1"/>
        </w:rPr>
        <w:t xml:space="preserve">This chapter discusses the main findings of the systematic literature review on culturally competent care and health inequalities among ethnic minority communities in the UK. It interprets Chapter 4 findings in relation to the research objectives, previous literature and theoretical frameworks. It also considers implications for healthcare practice, NHS organisations and policy. Finally, the chapter outlines the study’s limitations and provides a brief summary. </w:t>
      </w:r>
    </w:p>
    <w:p w14:paraId="7EC90349" w14:textId="77777777" w:rsidR="00C33A9F" w:rsidRPr="004D45B3" w:rsidRDefault="00C33A9F">
      <w:pPr>
        <w:spacing w:before="280"/>
        <w:rPr>
          <w:rFonts w:eastAsia="Arial" w:cs="Arial"/>
          <w:color w:val="000000" w:themeColor="text1"/>
          <w:szCs w:val="24"/>
        </w:rPr>
      </w:pPr>
    </w:p>
    <w:p w14:paraId="3B25C4AB" w14:textId="7AED5B00" w:rsidR="00BE776A" w:rsidRPr="004D45B3" w:rsidRDefault="0007681E">
      <w:pPr>
        <w:spacing w:before="280"/>
        <w:rPr>
          <w:color w:val="000000" w:themeColor="text1"/>
        </w:rPr>
      </w:pPr>
      <w:r w:rsidRPr="004D45B3">
        <w:rPr>
          <w:rFonts w:eastAsia="Arial" w:cs="Arial"/>
          <w:color w:val="000000" w:themeColor="text1"/>
          <w:szCs w:val="24"/>
        </w:rPr>
        <w:t xml:space="preserve">The findings indicate that culturally competent care (CCC) can be used to reduce ethnic health disparities, but its effectiveness relies on the level of its thorough implementation. Objective 1, to identify key components and practices for culturally competent care in UK healthcare, was met successfully by the systematic review. The following core practices were presented in thematic area 1, and among other studies, 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and Zeh </w:t>
      </w:r>
      <w:r w:rsidRPr="004D45B3">
        <w:rPr>
          <w:rFonts w:eastAsia="Arial" w:cs="Arial"/>
          <w:i/>
          <w:iCs/>
          <w:color w:val="000000" w:themeColor="text1"/>
          <w:szCs w:val="24"/>
        </w:rPr>
        <w:t>et al</w:t>
      </w:r>
      <w:r w:rsidRPr="004D45B3">
        <w:rPr>
          <w:rFonts w:eastAsia="Arial" w:cs="Arial"/>
          <w:color w:val="000000" w:themeColor="text1"/>
          <w:szCs w:val="24"/>
        </w:rPr>
        <w:t>. (2015) listed the following core practices: culturally sensitive communication, language support, interpreter, co-production, community engagement, and tailored services.</w:t>
      </w:r>
    </w:p>
    <w:p w14:paraId="2FFB1C2A" w14:textId="77777777" w:rsidR="00C33A9F" w:rsidRPr="004D45B3" w:rsidRDefault="00C33A9F">
      <w:pPr>
        <w:spacing w:before="280"/>
        <w:rPr>
          <w:rFonts w:eastAsia="Arial" w:cs="Arial"/>
          <w:color w:val="000000" w:themeColor="text1"/>
          <w:szCs w:val="24"/>
        </w:rPr>
      </w:pPr>
    </w:p>
    <w:p w14:paraId="32F69E27" w14:textId="00900421" w:rsidR="00BE776A" w:rsidRPr="004D45B3" w:rsidRDefault="0007681E">
      <w:pPr>
        <w:spacing w:before="280"/>
        <w:rPr>
          <w:color w:val="000000" w:themeColor="text1"/>
        </w:rPr>
      </w:pPr>
      <w:r w:rsidRPr="004D45B3">
        <w:rPr>
          <w:rFonts w:eastAsia="Arial" w:cs="Arial"/>
          <w:color w:val="000000" w:themeColor="text1"/>
          <w:szCs w:val="24"/>
        </w:rPr>
        <w:t xml:space="preserve">The results are very closely aligned with the literature review, as the authors of Robinson </w:t>
      </w:r>
      <w:r w:rsidRPr="004D45B3">
        <w:rPr>
          <w:rFonts w:eastAsia="Arial" w:cs="Arial"/>
          <w:i/>
          <w:iCs/>
          <w:color w:val="000000" w:themeColor="text1"/>
          <w:szCs w:val="24"/>
        </w:rPr>
        <w:t>et al</w:t>
      </w:r>
      <w:r w:rsidRPr="004D45B3">
        <w:rPr>
          <w:rFonts w:eastAsia="Arial" w:cs="Arial"/>
          <w:color w:val="000000" w:themeColor="text1"/>
          <w:szCs w:val="24"/>
        </w:rPr>
        <w:t xml:space="preserve">. (2021) and Thomas </w:t>
      </w:r>
      <w:r w:rsidRPr="004D45B3">
        <w:rPr>
          <w:rFonts w:eastAsia="Arial" w:cs="Arial"/>
          <w:i/>
          <w:iCs/>
          <w:color w:val="000000" w:themeColor="text1"/>
          <w:szCs w:val="24"/>
        </w:rPr>
        <w:t>et al</w:t>
      </w:r>
      <w:r w:rsidRPr="004D45B3">
        <w:rPr>
          <w:rFonts w:eastAsia="Arial" w:cs="Arial"/>
          <w:color w:val="000000" w:themeColor="text1"/>
          <w:szCs w:val="24"/>
        </w:rPr>
        <w:t xml:space="preserve">. (2021) related culturally responsive communication and interpretation with better trust and access to healthcare, and the former authors and Thomas </w:t>
      </w:r>
      <w:r w:rsidRPr="004D45B3">
        <w:rPr>
          <w:rFonts w:eastAsia="Arial" w:cs="Arial"/>
          <w:i/>
          <w:iCs/>
          <w:color w:val="000000" w:themeColor="text1"/>
          <w:szCs w:val="24"/>
        </w:rPr>
        <w:t>et al</w:t>
      </w:r>
      <w:r w:rsidRPr="004D45B3">
        <w:rPr>
          <w:rFonts w:eastAsia="Arial" w:cs="Arial"/>
          <w:color w:val="000000" w:themeColor="text1"/>
          <w:szCs w:val="24"/>
        </w:rPr>
        <w:t xml:space="preserve">. (2021) focused on services designed by the community. In addition to that, the second goal that involved analysing the inequalities in health among the ethnic minorities in the UK has been successfully met. The literature review uncovered the health disparities among various ethnic groups in terms of health, care and social circumstances. Faizan Siddiqui </w:t>
      </w:r>
      <w:r w:rsidRPr="004D45B3">
        <w:rPr>
          <w:rFonts w:eastAsia="Arial" w:cs="Arial"/>
          <w:i/>
          <w:iCs/>
          <w:color w:val="000000" w:themeColor="text1"/>
          <w:szCs w:val="24"/>
        </w:rPr>
        <w:t>et al</w:t>
      </w:r>
      <w:r w:rsidRPr="004D45B3">
        <w:rPr>
          <w:rFonts w:eastAsia="Arial" w:cs="Arial"/>
          <w:color w:val="000000" w:themeColor="text1"/>
          <w:szCs w:val="24"/>
        </w:rPr>
        <w:t xml:space="preserve">. (2025) were, however, sceptical about the possibility of sustained and long-term benefits on behaviour and health through training. </w:t>
      </w:r>
    </w:p>
    <w:p w14:paraId="387855E0" w14:textId="77777777" w:rsidR="00C33A9F" w:rsidRPr="004D45B3" w:rsidRDefault="00C33A9F">
      <w:pPr>
        <w:spacing w:before="280"/>
        <w:rPr>
          <w:rFonts w:eastAsia="Arial" w:cs="Arial"/>
          <w:color w:val="000000" w:themeColor="text1"/>
          <w:szCs w:val="24"/>
        </w:rPr>
      </w:pPr>
    </w:p>
    <w:p w14:paraId="3A1E0354" w14:textId="4F74373F"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The third objective, which was critical evaluation of effectiveness of CCC as a tool in mitigating health inequalities, has also been covered, but with a partial rather than conclusive outcome. Therefore, the findings indicate that CCC can be viewed as interpersonal practices along with organisational adaptation rather than an overlaid staff cultural-awareness training. The fourth objective was accomplished by identifying barriers and facilitators, such as organizational barriers, human resources, discrimination, community participation, and organizational commitment, which were used to formulate recommendations for this research. On the whole, it can be concluded that the systematic review successfully met its objective in showing how CCC can contribute to narrowing ethnic health inequalities, but the effectiveness of CCC is also contingent upon its continued implementation and addressing inequalities.</w:t>
      </w:r>
    </w:p>
    <w:p w14:paraId="73CB3149" w14:textId="77777777" w:rsidR="00C33A9F" w:rsidRPr="004D45B3" w:rsidRDefault="00C33A9F">
      <w:pPr>
        <w:spacing w:before="280"/>
        <w:rPr>
          <w:rFonts w:eastAsia="Arial" w:cs="Arial"/>
          <w:b/>
          <w:bCs/>
          <w:i/>
          <w:iCs/>
          <w:color w:val="000000" w:themeColor="text1"/>
          <w:szCs w:val="24"/>
        </w:rPr>
      </w:pPr>
    </w:p>
    <w:p w14:paraId="2C727A18" w14:textId="7B833668" w:rsidR="00BE776A" w:rsidRPr="004D45B3" w:rsidRDefault="0007681E">
      <w:pPr>
        <w:spacing w:before="280"/>
        <w:rPr>
          <w:rFonts w:eastAsia="Arial" w:cs="Arial"/>
          <w:b/>
          <w:bCs/>
          <w:i/>
          <w:iCs/>
          <w:color w:val="000000" w:themeColor="text1"/>
          <w:szCs w:val="24"/>
        </w:rPr>
      </w:pPr>
      <w:r w:rsidRPr="004D45B3">
        <w:rPr>
          <w:rFonts w:eastAsia="Arial" w:cs="Arial"/>
          <w:b/>
          <w:bCs/>
          <w:i/>
          <w:iCs/>
          <w:color w:val="000000" w:themeColor="text1"/>
          <w:szCs w:val="24"/>
        </w:rPr>
        <w:t xml:space="preserve">Comparison with Expectations and Literature </w:t>
      </w:r>
    </w:p>
    <w:p w14:paraId="3EC2B69F" w14:textId="77777777" w:rsidR="00BE776A" w:rsidRPr="004D45B3" w:rsidRDefault="0007681E">
      <w:pPr>
        <w:spacing w:before="280"/>
        <w:rPr>
          <w:color w:val="000000" w:themeColor="text1"/>
        </w:rPr>
      </w:pPr>
      <w:r w:rsidRPr="004D45B3">
        <w:rPr>
          <w:rFonts w:eastAsia="Arial" w:cs="Arial"/>
          <w:color w:val="000000" w:themeColor="text1"/>
          <w:szCs w:val="24"/>
        </w:rPr>
        <w:t xml:space="preserve">These findings were very much expected, as the literature investigation had hypothesised that culturally competent strategies would enhance communication, the experience of engagement, and healthcare. Likewise, theme 3 also identified trust-building, personalised care, improved engagement and access to suitable treatment as the areas where inequalities can be kept to the bare minimum. It is similar to the works by Theodosopoulos </w:t>
      </w:r>
      <w:r w:rsidRPr="004D45B3">
        <w:rPr>
          <w:rFonts w:eastAsia="Arial" w:cs="Arial"/>
          <w:i/>
          <w:iCs/>
          <w:color w:val="000000" w:themeColor="text1"/>
          <w:szCs w:val="24"/>
        </w:rPr>
        <w:t>et al</w:t>
      </w:r>
      <w:r w:rsidRPr="004D45B3">
        <w:rPr>
          <w:rFonts w:eastAsia="Arial" w:cs="Arial"/>
          <w:color w:val="000000" w:themeColor="text1"/>
          <w:szCs w:val="24"/>
        </w:rPr>
        <w:t xml:space="preserve">. (2024), who have linked CCC with trust and treatment adherence and satisfaction and Lauwers </w:t>
      </w:r>
      <w:r w:rsidRPr="004D45B3">
        <w:rPr>
          <w:rFonts w:eastAsia="Arial" w:cs="Arial"/>
          <w:i/>
          <w:iCs/>
          <w:color w:val="000000" w:themeColor="text1"/>
          <w:szCs w:val="24"/>
        </w:rPr>
        <w:t>et al</w:t>
      </w:r>
      <w:r w:rsidRPr="004D45B3">
        <w:rPr>
          <w:rFonts w:eastAsia="Arial" w:cs="Arial"/>
          <w:color w:val="000000" w:themeColor="text1"/>
          <w:szCs w:val="24"/>
        </w:rPr>
        <w:t xml:space="preserve">. (2024), who have found the advantages of language support and shared decision-making. However, the results were not as conclusive about long-term health conditions. This is in line with the perspectives of </w:t>
      </w:r>
      <w:proofErr w:type="spellStart"/>
      <w:r w:rsidRPr="004D45B3">
        <w:rPr>
          <w:rFonts w:eastAsia="Arial" w:cs="Arial"/>
          <w:color w:val="000000" w:themeColor="text1"/>
          <w:szCs w:val="24"/>
        </w:rPr>
        <w:t>Pisavadia</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(2025), who felt that the available evidence is more concerned with short-term behavioural alterations rather than the possible inequality reduction that can be measured in the entire population. </w:t>
      </w:r>
    </w:p>
    <w:p w14:paraId="78E1659D" w14:textId="77777777" w:rsidR="00C33A9F" w:rsidRPr="004D45B3" w:rsidRDefault="00C33A9F">
      <w:pPr>
        <w:spacing w:before="280"/>
        <w:rPr>
          <w:rFonts w:eastAsia="Arial" w:cs="Arial"/>
          <w:color w:val="000000" w:themeColor="text1"/>
          <w:szCs w:val="24"/>
        </w:rPr>
      </w:pPr>
    </w:p>
    <w:p w14:paraId="4EE4CBAD" w14:textId="552EA0F3" w:rsidR="00BE776A" w:rsidRPr="004D45B3" w:rsidRDefault="0007681E">
      <w:pPr>
        <w:spacing w:before="280"/>
        <w:rPr>
          <w:color w:val="000000" w:themeColor="text1"/>
        </w:rPr>
      </w:pPr>
      <w:r w:rsidRPr="004D45B3">
        <w:rPr>
          <w:rFonts w:eastAsia="Arial" w:cs="Arial"/>
          <w:color w:val="000000" w:themeColor="text1"/>
          <w:szCs w:val="24"/>
        </w:rPr>
        <w:t xml:space="preserve">The first concluding theme, Cultural Insensitivity was a synthesis of the information connected with cultural sensitivity, communication and interpreters, co-production, community involvement and customised services. These were implemented in 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and Zeh </w:t>
      </w:r>
      <w:r w:rsidRPr="004D45B3">
        <w:rPr>
          <w:rFonts w:eastAsia="Arial" w:cs="Arial"/>
          <w:i/>
          <w:iCs/>
          <w:color w:val="000000" w:themeColor="text1"/>
          <w:szCs w:val="24"/>
        </w:rPr>
        <w:t xml:space="preserve">et al. </w:t>
      </w:r>
      <w:r w:rsidRPr="004D45B3">
        <w:rPr>
          <w:rFonts w:eastAsia="Arial" w:cs="Arial"/>
          <w:color w:val="000000" w:themeColor="text1"/>
          <w:szCs w:val="24"/>
        </w:rPr>
        <w:t xml:space="preserve">(2015) and were thus conceptually compatible. The second theme, Inequalities and Disparities, brought together the results of 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Watkinson </w:t>
      </w:r>
      <w:r w:rsidRPr="004D45B3">
        <w:rPr>
          <w:rFonts w:eastAsia="Arial" w:cs="Arial"/>
          <w:i/>
          <w:iCs/>
          <w:color w:val="000000" w:themeColor="text1"/>
          <w:szCs w:val="24"/>
        </w:rPr>
        <w:t>et al</w:t>
      </w:r>
      <w:r w:rsidRPr="004D45B3">
        <w:rPr>
          <w:rFonts w:eastAsia="Arial" w:cs="Arial"/>
          <w:color w:val="000000" w:themeColor="text1"/>
          <w:szCs w:val="24"/>
        </w:rPr>
        <w:t xml:space="preserve">. (2021) and McGreevy </w:t>
      </w:r>
      <w:r w:rsidRPr="004D45B3">
        <w:rPr>
          <w:rFonts w:eastAsia="Arial" w:cs="Arial"/>
          <w:i/>
          <w:iCs/>
          <w:color w:val="000000" w:themeColor="text1"/>
          <w:szCs w:val="24"/>
        </w:rPr>
        <w:t>et al.</w:t>
      </w:r>
      <w:r w:rsidRPr="004D45B3">
        <w:rPr>
          <w:rFonts w:eastAsia="Arial" w:cs="Arial"/>
          <w:color w:val="000000" w:themeColor="text1"/>
          <w:szCs w:val="24"/>
        </w:rPr>
        <w:t xml:space="preserve"> (2023) regarding the problem of discrimination, poor health outcomes, multimorbidity, and disparities in the use of healthcare.</w:t>
      </w:r>
    </w:p>
    <w:p w14:paraId="0B98943F" w14:textId="77777777" w:rsidR="00C33A9F" w:rsidRPr="004D45B3" w:rsidRDefault="00C33A9F">
      <w:pPr>
        <w:spacing w:before="280"/>
        <w:rPr>
          <w:rFonts w:eastAsia="Arial" w:cs="Arial"/>
          <w:color w:val="000000" w:themeColor="text1"/>
          <w:szCs w:val="24"/>
        </w:rPr>
      </w:pPr>
    </w:p>
    <w:p w14:paraId="3A66847D" w14:textId="7A0421FB" w:rsidR="00BE776A" w:rsidRPr="004D45B3" w:rsidRDefault="0007681E">
      <w:pPr>
        <w:spacing w:before="280"/>
        <w:rPr>
          <w:color w:val="000000" w:themeColor="text1"/>
        </w:rPr>
      </w:pPr>
      <w:r w:rsidRPr="004D45B3">
        <w:rPr>
          <w:rFonts w:eastAsia="Arial" w:cs="Arial"/>
          <w:color w:val="000000" w:themeColor="text1"/>
          <w:szCs w:val="24"/>
        </w:rPr>
        <w:t>The third theme was particularly focused on the Language Barrier, using Wainwright</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(2026) and Ahmad </w:t>
      </w:r>
      <w:r w:rsidRPr="004D45B3">
        <w:rPr>
          <w:rFonts w:eastAsia="Arial" w:cs="Arial"/>
          <w:i/>
          <w:iCs/>
          <w:color w:val="000000" w:themeColor="text1"/>
          <w:szCs w:val="24"/>
        </w:rPr>
        <w:t>et al</w:t>
      </w:r>
      <w:r w:rsidRPr="004D45B3">
        <w:rPr>
          <w:rFonts w:eastAsia="Arial" w:cs="Arial"/>
          <w:color w:val="000000" w:themeColor="text1"/>
          <w:szCs w:val="24"/>
        </w:rPr>
        <w:t xml:space="preserve">. (2021) to find out the potential of culturally responsive practices as a method of facilitating trust, engagement and access. However, to avoid duplication, this theme was analytically observed to be found distinctively with respect to shared components of cultural competence. The fourth theme involved limited resources of Thana </w:t>
      </w:r>
      <w:r w:rsidRPr="004D45B3">
        <w:rPr>
          <w:rFonts w:eastAsia="Arial" w:cs="Arial"/>
          <w:i/>
          <w:iCs/>
          <w:color w:val="000000" w:themeColor="text1"/>
          <w:szCs w:val="24"/>
        </w:rPr>
        <w:t>et al.</w:t>
      </w:r>
      <w:r w:rsidRPr="004D45B3">
        <w:rPr>
          <w:rFonts w:eastAsia="Arial" w:cs="Arial"/>
          <w:color w:val="000000" w:themeColor="text1"/>
          <w:szCs w:val="24"/>
        </w:rPr>
        <w:t xml:space="preserve"> (2026), </w:t>
      </w:r>
      <w:proofErr w:type="spellStart"/>
      <w:r w:rsidRPr="004D45B3">
        <w:rPr>
          <w:rFonts w:eastAsia="Arial" w:cs="Arial"/>
          <w:color w:val="000000" w:themeColor="text1"/>
          <w:szCs w:val="24"/>
        </w:rPr>
        <w:t>Moorthie</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(2024) and Cluley </w:t>
      </w:r>
      <w:r w:rsidRPr="004D45B3">
        <w:rPr>
          <w:rFonts w:eastAsia="Arial" w:cs="Arial"/>
          <w:i/>
          <w:iCs/>
          <w:color w:val="000000" w:themeColor="text1"/>
          <w:szCs w:val="24"/>
        </w:rPr>
        <w:t>et al.</w:t>
      </w:r>
      <w:r w:rsidRPr="004D45B3">
        <w:rPr>
          <w:rFonts w:eastAsia="Arial" w:cs="Arial"/>
          <w:color w:val="000000" w:themeColor="text1"/>
          <w:szCs w:val="24"/>
        </w:rPr>
        <w:t xml:space="preserve"> (2026), which are institutional discrimination, workforce constraints, data quality, mistrust and systemic accountability. Altogether, the discussion of the themes helped to develop analytical knowledge and create a coherent outline of the study of the research objectives.</w:t>
      </w:r>
    </w:p>
    <w:p w14:paraId="66F2D070" w14:textId="77777777" w:rsidR="00C33A9F" w:rsidRPr="004D45B3" w:rsidRDefault="00C33A9F">
      <w:pPr>
        <w:spacing w:before="280"/>
        <w:rPr>
          <w:rFonts w:eastAsia="Arial" w:cs="Arial"/>
          <w:b/>
          <w:bCs/>
          <w:i/>
          <w:iCs/>
          <w:color w:val="000000" w:themeColor="text1"/>
          <w:szCs w:val="24"/>
        </w:rPr>
      </w:pPr>
    </w:p>
    <w:p w14:paraId="09F584AF" w14:textId="777BE450" w:rsidR="00BE776A" w:rsidRPr="004D45B3" w:rsidRDefault="0007681E">
      <w:pPr>
        <w:spacing w:before="280"/>
        <w:rPr>
          <w:rFonts w:eastAsia="Arial" w:cs="Arial"/>
          <w:b/>
          <w:bCs/>
          <w:i/>
          <w:iCs/>
          <w:color w:val="000000" w:themeColor="text1"/>
          <w:szCs w:val="24"/>
        </w:rPr>
      </w:pPr>
      <w:r w:rsidRPr="004D45B3">
        <w:rPr>
          <w:rFonts w:eastAsia="Arial" w:cs="Arial"/>
          <w:b/>
          <w:bCs/>
          <w:i/>
          <w:iCs/>
          <w:color w:val="000000" w:themeColor="text1"/>
          <w:szCs w:val="24"/>
        </w:rPr>
        <w:t xml:space="preserve">Alternative Explanations and Wider Structural Factors </w:t>
      </w:r>
    </w:p>
    <w:p w14:paraId="2AEFD5D0" w14:textId="77777777" w:rsidR="00BE776A" w:rsidRPr="004D45B3" w:rsidRDefault="0007681E">
      <w:pPr>
        <w:spacing w:before="280"/>
        <w:rPr>
          <w:color w:val="000000" w:themeColor="text1"/>
        </w:rPr>
      </w:pPr>
      <w:r w:rsidRPr="004D45B3">
        <w:rPr>
          <w:rFonts w:eastAsia="Arial" w:cs="Arial"/>
          <w:color w:val="000000" w:themeColor="text1"/>
          <w:szCs w:val="24"/>
        </w:rPr>
        <w:t xml:space="preserve">The alternative option is that the gains attributed to cultural competence could be due to the overarching organisational and socioeconomic changes. Theme 2 represented that ethnic minority experiences, discrimination, poor mental and physical health, unequal access to healthcare, and multimorbidity are interspersed. In addition, Theme 4 was concerned with the issue of institutional discrimination, unsafe care, low data quality, and limited funding and structural racism. Thus, cultural competence, in and of itself, does not have the ability to eliminate inequalities created by poverty, resource allocation, or institutional practice. It is based on Joo and Liu (2020) and Antón-Solanas </w:t>
      </w:r>
      <w:r w:rsidRPr="004D45B3">
        <w:rPr>
          <w:rFonts w:eastAsia="Arial" w:cs="Arial"/>
          <w:i/>
          <w:iCs/>
          <w:color w:val="000000" w:themeColor="text1"/>
          <w:szCs w:val="24"/>
        </w:rPr>
        <w:t>et al</w:t>
      </w:r>
      <w:r w:rsidRPr="004D45B3">
        <w:rPr>
          <w:rFonts w:eastAsia="Arial" w:cs="Arial"/>
          <w:color w:val="000000" w:themeColor="text1"/>
          <w:szCs w:val="24"/>
        </w:rPr>
        <w:t xml:space="preserve">. (2022), who consider the need to implement a larger structural and organisational transformation to realise sustainable equity in carrying out culturally responsive interventions. Generally, the results complement, and not disprove, the literature: CCC seems useful, but it has the most significant effect when implemented in a system-wide change. </w:t>
      </w:r>
    </w:p>
    <w:p w14:paraId="4DEA54CB" w14:textId="77777777" w:rsidR="00BE776A" w:rsidRPr="004D45B3" w:rsidRDefault="0007681E">
      <w:pPr>
        <w:pStyle w:val="Heading2"/>
        <w:rPr>
          <w:color w:val="000000" w:themeColor="text1"/>
        </w:rPr>
      </w:pPr>
      <w:bookmarkStart w:id="62" w:name="_heading=h.rslhb3i8brl"/>
      <w:bookmarkStart w:id="63" w:name="_Toc241190031"/>
      <w:bookmarkEnd w:id="62"/>
      <w:r w:rsidRPr="004D45B3">
        <w:rPr>
          <w:b/>
          <w:bCs/>
          <w:color w:val="000000" w:themeColor="text1"/>
          <w:sz w:val="28"/>
          <w:szCs w:val="28"/>
        </w:rPr>
        <w:t>5.1 Implications of the research</w:t>
      </w:r>
      <w:bookmarkEnd w:id="63"/>
    </w:p>
    <w:p w14:paraId="31C3CD7C" w14:textId="77777777" w:rsidR="00BE776A" w:rsidRPr="004D45B3" w:rsidRDefault="0007681E">
      <w:pPr>
        <w:spacing w:before="280"/>
        <w:rPr>
          <w:rFonts w:eastAsia="Arial" w:cs="Arial"/>
          <w:b/>
          <w:bCs/>
          <w:i/>
          <w:iCs/>
          <w:color w:val="000000" w:themeColor="text1"/>
          <w:szCs w:val="24"/>
        </w:rPr>
      </w:pPr>
      <w:r w:rsidRPr="004D45B3">
        <w:rPr>
          <w:rFonts w:eastAsia="Arial" w:cs="Arial"/>
          <w:b/>
          <w:bCs/>
          <w:i/>
          <w:iCs/>
          <w:color w:val="000000" w:themeColor="text1"/>
          <w:szCs w:val="24"/>
        </w:rPr>
        <w:t xml:space="preserve">Consistency with Previous Literature </w:t>
      </w:r>
    </w:p>
    <w:p w14:paraId="3FAECA70" w14:textId="77777777" w:rsidR="00BE776A" w:rsidRPr="004D45B3" w:rsidRDefault="0007681E">
      <w:pPr>
        <w:spacing w:before="280"/>
        <w:rPr>
          <w:color w:val="000000" w:themeColor="text1"/>
        </w:rPr>
      </w:pPr>
      <w:r w:rsidRPr="004D45B3">
        <w:rPr>
          <w:rFonts w:eastAsia="Arial" w:cs="Arial"/>
          <w:color w:val="000000" w:themeColor="text1"/>
          <w:szCs w:val="24"/>
        </w:rPr>
        <w:t xml:space="preserve">The results are relatively in line with the available body of literature overall, but they do make the argument that culturally competent care (CCC) should not be considered to be localised to the behaviour of individual practitioners alone. The thematic analysis revealed that culturally sensitive communication, interpreters, co-production, community engagement, and tailored services were themes that were present in 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and Zeh </w:t>
      </w:r>
      <w:r w:rsidRPr="004D45B3">
        <w:rPr>
          <w:rFonts w:eastAsia="Arial" w:cs="Arial"/>
          <w:i/>
          <w:iCs/>
          <w:color w:val="000000" w:themeColor="text1"/>
          <w:szCs w:val="24"/>
        </w:rPr>
        <w:t>et al</w:t>
      </w:r>
      <w:r w:rsidRPr="004D45B3">
        <w:rPr>
          <w:rFonts w:eastAsia="Arial" w:cs="Arial"/>
          <w:color w:val="000000" w:themeColor="text1"/>
          <w:szCs w:val="24"/>
        </w:rPr>
        <w:t xml:space="preserve">. (2015). This is in line with other studies that have found that responsive communication and community participation are associated with increased trust, ease of access, and patient experience (Robinson </w:t>
      </w:r>
      <w:r w:rsidRPr="004D45B3">
        <w:rPr>
          <w:rFonts w:eastAsia="Arial" w:cs="Arial"/>
          <w:i/>
          <w:iCs/>
          <w:color w:val="000000" w:themeColor="text1"/>
          <w:szCs w:val="24"/>
        </w:rPr>
        <w:t>et al</w:t>
      </w:r>
      <w:r w:rsidRPr="004D45B3">
        <w:rPr>
          <w:rFonts w:eastAsia="Arial" w:cs="Arial"/>
          <w:color w:val="000000" w:themeColor="text1"/>
          <w:szCs w:val="24"/>
        </w:rPr>
        <w:t xml:space="preserve">., 2021; Thomas </w:t>
      </w:r>
      <w:r w:rsidRPr="004D45B3">
        <w:rPr>
          <w:rFonts w:eastAsia="Arial" w:cs="Arial"/>
          <w:i/>
          <w:iCs/>
          <w:color w:val="000000" w:themeColor="text1"/>
          <w:szCs w:val="24"/>
        </w:rPr>
        <w:t>et al</w:t>
      </w:r>
      <w:r w:rsidRPr="004D45B3">
        <w:rPr>
          <w:rFonts w:eastAsia="Arial" w:cs="Arial"/>
          <w:color w:val="000000" w:themeColor="text1"/>
          <w:szCs w:val="24"/>
        </w:rPr>
        <w:t xml:space="preserve">., 2021; and Lauwers </w:t>
      </w:r>
      <w:r w:rsidRPr="004D45B3">
        <w:rPr>
          <w:rFonts w:eastAsia="Arial" w:cs="Arial"/>
          <w:i/>
          <w:iCs/>
          <w:color w:val="000000" w:themeColor="text1"/>
          <w:szCs w:val="24"/>
        </w:rPr>
        <w:t>et al</w:t>
      </w:r>
      <w:r w:rsidRPr="004D45B3">
        <w:rPr>
          <w:rFonts w:eastAsia="Arial" w:cs="Arial"/>
          <w:color w:val="000000" w:themeColor="text1"/>
          <w:szCs w:val="24"/>
        </w:rPr>
        <w:t xml:space="preserve">., 2024). However, these results have added to existing fears that the same is not always true when it comes to improvements in health inequalities, especially when discrimination and unequal resource distribution within institutions continue to exist. However to such findings, these study findings also contribute to past worries that those gains are not always accompanied by inequalities in the course of health in the long run, in particular in the prevalence of institutional discrimination and inequality of assets.  </w:t>
      </w:r>
    </w:p>
    <w:p w14:paraId="27AF8278" w14:textId="77777777" w:rsidR="00C33A9F" w:rsidRPr="004D45B3" w:rsidRDefault="00C33A9F">
      <w:pPr>
        <w:spacing w:before="280"/>
        <w:rPr>
          <w:rFonts w:eastAsia="Arial" w:cs="Arial"/>
          <w:color w:val="000000" w:themeColor="text1"/>
          <w:szCs w:val="24"/>
        </w:rPr>
      </w:pPr>
    </w:p>
    <w:p w14:paraId="2F9913F7" w14:textId="0C3350CD" w:rsidR="00BE776A" w:rsidRPr="004D45B3" w:rsidRDefault="0007681E">
      <w:pPr>
        <w:spacing w:before="280"/>
        <w:rPr>
          <w:color w:val="000000" w:themeColor="text1"/>
        </w:rPr>
      </w:pPr>
      <w:r w:rsidRPr="004D45B3">
        <w:rPr>
          <w:rFonts w:eastAsia="Arial" w:cs="Arial"/>
          <w:color w:val="000000" w:themeColor="text1"/>
          <w:szCs w:val="24"/>
        </w:rPr>
        <w:t>There were numerous patterns repeated throughout the dataset. Other codes such as the following were employed: ethnic minorities, ethnic inequalities, health inequalities, treatment inequalities, racism and discrimination; there was a continuous interest in unequal healthcare experiences and outcomes. Although the authors of the studies, such as Wainwright</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(2026), McGreevy </w:t>
      </w:r>
      <w:r w:rsidRPr="004D45B3">
        <w:rPr>
          <w:rFonts w:eastAsia="Arial" w:cs="Arial"/>
          <w:i/>
          <w:iCs/>
          <w:color w:val="000000" w:themeColor="text1"/>
          <w:szCs w:val="24"/>
        </w:rPr>
        <w:t>et al.</w:t>
      </w:r>
      <w:r w:rsidRPr="004D45B3">
        <w:rPr>
          <w:rFonts w:eastAsia="Arial" w:cs="Arial"/>
          <w:color w:val="000000" w:themeColor="text1"/>
          <w:szCs w:val="24"/>
        </w:rPr>
        <w:t xml:space="preserve"> (2023), Watkinson </w:t>
      </w:r>
      <w:r w:rsidRPr="004D45B3">
        <w:rPr>
          <w:rFonts w:eastAsia="Arial" w:cs="Arial"/>
          <w:i/>
          <w:iCs/>
          <w:color w:val="000000" w:themeColor="text1"/>
          <w:szCs w:val="24"/>
        </w:rPr>
        <w:t>et al</w:t>
      </w:r>
      <w:r w:rsidRPr="004D45B3">
        <w:rPr>
          <w:rFonts w:eastAsia="Arial" w:cs="Arial"/>
          <w:color w:val="000000" w:themeColor="text1"/>
          <w:szCs w:val="24"/>
        </w:rPr>
        <w:t xml:space="preserve">. (2021) and Ahmad </w:t>
      </w:r>
      <w:r w:rsidRPr="004D45B3">
        <w:rPr>
          <w:rFonts w:eastAsia="Arial" w:cs="Arial"/>
          <w:i/>
          <w:iCs/>
          <w:color w:val="000000" w:themeColor="text1"/>
          <w:szCs w:val="24"/>
        </w:rPr>
        <w:t>et al</w:t>
      </w:r>
      <w:r w:rsidRPr="004D45B3">
        <w:rPr>
          <w:rFonts w:eastAsia="Arial" w:cs="Arial"/>
          <w:color w:val="000000" w:themeColor="text1"/>
          <w:szCs w:val="24"/>
        </w:rPr>
        <w:t xml:space="preserve">. (2021), focus on different settings and clinical issues, all provided evidence pertaining to disparities in access, utilisation or health outcomes. Hackett </w:t>
      </w:r>
      <w:r w:rsidRPr="004D45B3">
        <w:rPr>
          <w:rFonts w:eastAsia="Arial" w:cs="Arial"/>
          <w:i/>
          <w:iCs/>
          <w:color w:val="000000" w:themeColor="text1"/>
          <w:szCs w:val="24"/>
        </w:rPr>
        <w:t>et al</w:t>
      </w:r>
      <w:r w:rsidRPr="004D45B3">
        <w:rPr>
          <w:rFonts w:eastAsia="Arial" w:cs="Arial"/>
          <w:color w:val="000000" w:themeColor="text1"/>
          <w:szCs w:val="24"/>
        </w:rPr>
        <w:t xml:space="preserve">. (2020) and Cluley </w:t>
      </w:r>
      <w:r w:rsidRPr="004D45B3">
        <w:rPr>
          <w:rFonts w:eastAsia="Arial" w:cs="Arial"/>
          <w:i/>
          <w:iCs/>
          <w:color w:val="000000" w:themeColor="text1"/>
          <w:szCs w:val="24"/>
        </w:rPr>
        <w:t>et al</w:t>
      </w:r>
      <w:r w:rsidRPr="004D45B3">
        <w:rPr>
          <w:rFonts w:eastAsia="Arial" w:cs="Arial"/>
          <w:color w:val="000000" w:themeColor="text1"/>
          <w:szCs w:val="24"/>
        </w:rPr>
        <w:t xml:space="preserve">. (2026) offered more vigorous impact on racism, racialisation and lived experience as drivers of inequality in contrast. </w:t>
      </w:r>
    </w:p>
    <w:p w14:paraId="405A4228" w14:textId="77777777" w:rsidR="00C33A9F" w:rsidRPr="004D45B3" w:rsidRDefault="00C33A9F">
      <w:pPr>
        <w:spacing w:before="280"/>
        <w:rPr>
          <w:rFonts w:eastAsia="Arial" w:cs="Arial"/>
          <w:color w:val="000000" w:themeColor="text1"/>
          <w:szCs w:val="24"/>
        </w:rPr>
      </w:pPr>
    </w:p>
    <w:p w14:paraId="1E9FA613" w14:textId="132CFFB3" w:rsidR="00BE776A" w:rsidRPr="004D45B3" w:rsidRDefault="0007681E">
      <w:pPr>
        <w:spacing w:before="280"/>
        <w:rPr>
          <w:color w:val="000000" w:themeColor="text1"/>
        </w:rPr>
      </w:pPr>
      <w:r w:rsidRPr="004D45B3">
        <w:rPr>
          <w:rFonts w:eastAsia="Arial" w:cs="Arial"/>
          <w:color w:val="000000" w:themeColor="text1"/>
          <w:szCs w:val="24"/>
        </w:rPr>
        <w:t xml:space="preserve">The second cluster had to do with culturally responsive service delivery. 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Zeh </w:t>
      </w:r>
      <w:r w:rsidRPr="004D45B3">
        <w:rPr>
          <w:rFonts w:eastAsia="Arial" w:cs="Arial"/>
          <w:i/>
          <w:iCs/>
          <w:color w:val="000000" w:themeColor="text1"/>
          <w:szCs w:val="24"/>
        </w:rPr>
        <w:t>et al</w:t>
      </w:r>
      <w:r w:rsidRPr="004D45B3">
        <w:rPr>
          <w:rFonts w:eastAsia="Arial" w:cs="Arial"/>
          <w:color w:val="000000" w:themeColor="text1"/>
          <w:szCs w:val="24"/>
        </w:rPr>
        <w:t>. (2015), Dawson</w:t>
      </w:r>
      <w:r w:rsidRPr="004D45B3">
        <w:rPr>
          <w:rFonts w:eastAsia="Arial" w:cs="Arial"/>
          <w:i/>
          <w:iCs/>
          <w:color w:val="000000" w:themeColor="text1"/>
          <w:szCs w:val="24"/>
        </w:rPr>
        <w:t xml:space="preserve"> et al.</w:t>
      </w:r>
      <w:r w:rsidRPr="004D45B3">
        <w:rPr>
          <w:rFonts w:eastAsia="Arial" w:cs="Arial"/>
          <w:color w:val="000000" w:themeColor="text1"/>
          <w:szCs w:val="24"/>
        </w:rPr>
        <w:t xml:space="preserve"> (2025) and Wainwright </w:t>
      </w:r>
      <w:r w:rsidRPr="004D45B3">
        <w:rPr>
          <w:rFonts w:eastAsia="Arial" w:cs="Arial"/>
          <w:i/>
          <w:iCs/>
          <w:color w:val="000000" w:themeColor="text1"/>
          <w:szCs w:val="24"/>
        </w:rPr>
        <w:t>et al.</w:t>
      </w:r>
      <w:r w:rsidRPr="004D45B3">
        <w:rPr>
          <w:rFonts w:eastAsia="Arial" w:cs="Arial"/>
          <w:color w:val="000000" w:themeColor="text1"/>
          <w:szCs w:val="24"/>
        </w:rPr>
        <w:t xml:space="preserve"> (2026) included codes like culturally competent, co-production, community engagement, inclusion and equity. Such studies have identified strategies that strive to make sure that communities are more responsive to healthcare and research.</w:t>
      </w:r>
    </w:p>
    <w:p w14:paraId="22007630" w14:textId="77777777" w:rsidR="00C33A9F" w:rsidRPr="004D45B3" w:rsidRDefault="00C33A9F">
      <w:pPr>
        <w:spacing w:before="280"/>
        <w:rPr>
          <w:rFonts w:eastAsia="Arial" w:cs="Arial"/>
          <w:b/>
          <w:bCs/>
          <w:i/>
          <w:iCs/>
          <w:color w:val="000000" w:themeColor="text1"/>
          <w:szCs w:val="24"/>
        </w:rPr>
      </w:pPr>
    </w:p>
    <w:p w14:paraId="6DB2FB58" w14:textId="61A8C0FC" w:rsidR="00BE776A" w:rsidRPr="004D45B3" w:rsidRDefault="0007681E">
      <w:pPr>
        <w:spacing w:before="280"/>
        <w:rPr>
          <w:rFonts w:eastAsia="Arial" w:cs="Arial"/>
          <w:b/>
          <w:bCs/>
          <w:i/>
          <w:iCs/>
          <w:color w:val="000000" w:themeColor="text1"/>
          <w:szCs w:val="24"/>
        </w:rPr>
      </w:pPr>
      <w:r w:rsidRPr="004D45B3">
        <w:rPr>
          <w:rFonts w:eastAsia="Arial" w:cs="Arial"/>
          <w:b/>
          <w:bCs/>
          <w:i/>
          <w:iCs/>
          <w:color w:val="000000" w:themeColor="text1"/>
          <w:szCs w:val="24"/>
        </w:rPr>
        <w:t xml:space="preserve">Implications for Existing Theory </w:t>
      </w:r>
    </w:p>
    <w:p w14:paraId="06615403" w14:textId="77777777"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 xml:space="preserve">The results are generally consistent with the Social Determinants of Health (SDH) framework, which suggests that the distribution of resources, opportunities, social conditions and power, and not individual factors, determines health outcomes. In discussing the impact of socioeconomic and political situations on the disparities in healthcare outcomes, the literature review adopts this framework. These results argue in favour of this theoretical position, as Theme 2 discovered discrimination, multimorbidity, and inadequate access to medical care, and Theme 4 discovered structural racism, institutional barriers, and powerlessness. However, the outcomes go beyond the model, implying that culturally responsive healthcare per se is possibly a process in which some of the disparities existing at service levels can be alleviated. </w:t>
      </w:r>
    </w:p>
    <w:p w14:paraId="7DF7E069" w14:textId="77777777" w:rsidR="00C33A9F" w:rsidRPr="004D45B3" w:rsidRDefault="00C33A9F">
      <w:pPr>
        <w:spacing w:before="280"/>
        <w:rPr>
          <w:rFonts w:eastAsia="Arial" w:cs="Arial"/>
          <w:b/>
          <w:bCs/>
          <w:i/>
          <w:iCs/>
          <w:color w:val="000000" w:themeColor="text1"/>
          <w:szCs w:val="24"/>
        </w:rPr>
      </w:pPr>
    </w:p>
    <w:p w14:paraId="5EE0A013" w14:textId="06C2E5D5" w:rsidR="00BE776A" w:rsidRPr="004D45B3" w:rsidRDefault="0007681E">
      <w:pPr>
        <w:spacing w:before="280"/>
        <w:rPr>
          <w:rFonts w:eastAsia="Arial" w:cs="Arial"/>
          <w:b/>
          <w:bCs/>
          <w:i/>
          <w:iCs/>
          <w:color w:val="000000" w:themeColor="text1"/>
          <w:szCs w:val="24"/>
        </w:rPr>
      </w:pPr>
      <w:r w:rsidRPr="004D45B3">
        <w:rPr>
          <w:rFonts w:eastAsia="Arial" w:cs="Arial"/>
          <w:b/>
          <w:bCs/>
          <w:i/>
          <w:iCs/>
          <w:color w:val="000000" w:themeColor="text1"/>
          <w:szCs w:val="24"/>
        </w:rPr>
        <w:t xml:space="preserve">Significance of the Results </w:t>
      </w:r>
    </w:p>
    <w:p w14:paraId="6A69E073" w14:textId="77777777" w:rsidR="00BE776A" w:rsidRPr="004D45B3" w:rsidRDefault="0007681E">
      <w:pPr>
        <w:spacing w:before="280"/>
        <w:rPr>
          <w:rFonts w:eastAsia="Arial" w:cs="Arial"/>
          <w:color w:val="000000" w:themeColor="text1"/>
          <w:szCs w:val="24"/>
        </w:rPr>
      </w:pPr>
      <w:r w:rsidRPr="004D45B3">
        <w:rPr>
          <w:rFonts w:eastAsia="Arial" w:cs="Arial"/>
          <w:color w:val="000000" w:themeColor="text1"/>
          <w:szCs w:val="24"/>
        </w:rPr>
        <w:t xml:space="preserve">Such outcomes are significant, as they prove that enhancing cultural competence cannot be addressed with the same seriousness as an aspect of equality or a communication practice. The repetitive disparities in the treatment, safety, access, and health outcomes suggest that the culturally inappropriate systems may be contributing to the reproduction of the inequalities. The results in turn alter the focus of the debate as to whether CCC is favourable to the situations in which it can bring about any noticeable changes. </w:t>
      </w:r>
    </w:p>
    <w:p w14:paraId="4009D8BC" w14:textId="77777777" w:rsidR="00C33A9F" w:rsidRPr="004D45B3" w:rsidRDefault="00C33A9F">
      <w:pPr>
        <w:spacing w:before="280"/>
        <w:rPr>
          <w:rFonts w:eastAsia="Arial" w:cs="Arial"/>
          <w:b/>
          <w:bCs/>
          <w:i/>
          <w:iCs/>
          <w:color w:val="000000" w:themeColor="text1"/>
          <w:szCs w:val="24"/>
        </w:rPr>
      </w:pPr>
    </w:p>
    <w:p w14:paraId="444673EE" w14:textId="77777777" w:rsidR="00C33A9F" w:rsidRPr="004D45B3" w:rsidRDefault="00C33A9F">
      <w:pPr>
        <w:spacing w:before="280"/>
        <w:rPr>
          <w:rFonts w:eastAsia="Arial" w:cs="Arial"/>
          <w:b/>
          <w:bCs/>
          <w:i/>
          <w:iCs/>
          <w:color w:val="000000" w:themeColor="text1"/>
          <w:szCs w:val="24"/>
        </w:rPr>
      </w:pPr>
    </w:p>
    <w:p w14:paraId="7AD49D06" w14:textId="54CC7F8F" w:rsidR="00BE776A" w:rsidRPr="004D45B3" w:rsidRDefault="0007681E">
      <w:pPr>
        <w:spacing w:before="280"/>
        <w:rPr>
          <w:rFonts w:eastAsia="Arial" w:cs="Arial"/>
          <w:b/>
          <w:bCs/>
          <w:i/>
          <w:iCs/>
          <w:color w:val="000000" w:themeColor="text1"/>
          <w:szCs w:val="24"/>
        </w:rPr>
      </w:pPr>
      <w:r w:rsidRPr="004D45B3">
        <w:rPr>
          <w:rFonts w:eastAsia="Arial" w:cs="Arial"/>
          <w:b/>
          <w:bCs/>
          <w:i/>
          <w:iCs/>
          <w:color w:val="000000" w:themeColor="text1"/>
          <w:szCs w:val="24"/>
        </w:rPr>
        <w:t xml:space="preserve">Practical Implications for UK Healthcare </w:t>
      </w:r>
    </w:p>
    <w:p w14:paraId="4998FC0B" w14:textId="77777777" w:rsidR="00BE776A" w:rsidRPr="004D45B3" w:rsidRDefault="0007681E">
      <w:pPr>
        <w:spacing w:before="280"/>
        <w:rPr>
          <w:color w:val="000000" w:themeColor="text1"/>
        </w:rPr>
      </w:pPr>
      <w:r w:rsidRPr="004D45B3">
        <w:rPr>
          <w:rFonts w:eastAsia="Arial" w:cs="Arial"/>
          <w:color w:val="000000" w:themeColor="text1"/>
          <w:szCs w:val="24"/>
        </w:rPr>
        <w:t xml:space="preserve">Practically, NHS organisations should consider embedding a continuity of cultural competencies development with effective interpreting services, co-production, inclusive leadership, and a stronger ethnicity-data framework. The analysis operationalises the findings in line with data quality, capacity of workforce, funding, and accountability as key matters of implementation. This contributes to </w:t>
      </w:r>
      <w:proofErr w:type="spellStart"/>
      <w:r w:rsidRPr="004D45B3">
        <w:rPr>
          <w:rFonts w:eastAsia="Arial" w:cs="Arial"/>
          <w:color w:val="000000" w:themeColor="text1"/>
          <w:szCs w:val="24"/>
        </w:rPr>
        <w:t>Moorthie</w:t>
      </w:r>
      <w:proofErr w:type="spellEnd"/>
      <w:r w:rsidRPr="004D45B3">
        <w:rPr>
          <w:rFonts w:eastAsia="Arial" w:cs="Arial"/>
          <w:color w:val="000000" w:themeColor="text1"/>
          <w:szCs w:val="24"/>
        </w:rPr>
        <w:t xml:space="preserve"> </w:t>
      </w:r>
      <w:r w:rsidRPr="004D45B3">
        <w:rPr>
          <w:rFonts w:eastAsia="Arial" w:cs="Arial"/>
          <w:i/>
          <w:iCs/>
          <w:color w:val="000000" w:themeColor="text1"/>
          <w:szCs w:val="24"/>
        </w:rPr>
        <w:t>et al</w:t>
      </w:r>
      <w:r w:rsidRPr="004D45B3">
        <w:rPr>
          <w:rFonts w:eastAsia="Arial" w:cs="Arial"/>
          <w:color w:val="000000" w:themeColor="text1"/>
          <w:szCs w:val="24"/>
        </w:rPr>
        <w:t xml:space="preserve">. (2024), which established that improving health disparities monitoring requires better data systems. It follows that health practitioners must pay attention to the measure of equity instead of solely focusing on the completion of the staff training and engaging ethnic minorities in service design and evaluation. This would help in changing cultural competence as an individual professional competence into an organisational culture of delivering equal healthcare. </w:t>
      </w:r>
    </w:p>
    <w:p w14:paraId="1A39FE24" w14:textId="77777777" w:rsidR="00C33A9F" w:rsidRPr="004D45B3" w:rsidRDefault="00C33A9F">
      <w:pPr>
        <w:pStyle w:val="Heading2"/>
        <w:rPr>
          <w:b/>
          <w:bCs/>
          <w:color w:val="000000" w:themeColor="text1"/>
          <w:sz w:val="28"/>
          <w:szCs w:val="28"/>
        </w:rPr>
      </w:pPr>
      <w:bookmarkStart w:id="64" w:name="_heading=h.q9na1uzf7peu"/>
      <w:bookmarkEnd w:id="64"/>
    </w:p>
    <w:p w14:paraId="0D0A1E6C" w14:textId="5DDA4947" w:rsidR="00BE776A" w:rsidRPr="004D45B3" w:rsidRDefault="0007681E">
      <w:pPr>
        <w:pStyle w:val="Heading2"/>
        <w:rPr>
          <w:color w:val="000000" w:themeColor="text1"/>
        </w:rPr>
      </w:pPr>
      <w:bookmarkStart w:id="65" w:name="_Toc241190032"/>
      <w:r w:rsidRPr="004D45B3">
        <w:rPr>
          <w:b/>
          <w:bCs/>
          <w:color w:val="000000" w:themeColor="text1"/>
          <w:sz w:val="28"/>
          <w:szCs w:val="28"/>
        </w:rPr>
        <w:t>5.2 Limitations</w:t>
      </w:r>
      <w:bookmarkEnd w:id="65"/>
      <w:r w:rsidRPr="004D45B3">
        <w:rPr>
          <w:b/>
          <w:bCs/>
          <w:color w:val="000000" w:themeColor="text1"/>
          <w:sz w:val="28"/>
          <w:szCs w:val="28"/>
        </w:rPr>
        <w:t xml:space="preserve"> </w:t>
      </w:r>
    </w:p>
    <w:p w14:paraId="583DC257" w14:textId="77777777" w:rsidR="00BE776A" w:rsidRPr="004D45B3" w:rsidRDefault="0007681E">
      <w:pPr>
        <w:spacing w:before="280"/>
        <w:rPr>
          <w:color w:val="000000" w:themeColor="text1"/>
        </w:rPr>
      </w:pPr>
      <w:r w:rsidRPr="004D45B3">
        <w:rPr>
          <w:rFonts w:eastAsia="Arial" w:cs="Arial"/>
          <w:color w:val="000000" w:themeColor="text1"/>
          <w:szCs w:val="24"/>
        </w:rPr>
        <w:t xml:space="preserve">The findings provide a very useful description of culturally competent care in the UK but cannot find any direct causal pathway to reducing ethnic health disparities by any particular interventions. Various studies with different designs, settings, and outcome measures and studies of both qualitative and quantitative data (such as interviews and Delphi methodologies, as well as large-scale surveys) can be found in the reviewed articles. As an example, Stepanova </w:t>
      </w:r>
      <w:r w:rsidRPr="004D45B3">
        <w:rPr>
          <w:rFonts w:eastAsia="Arial" w:cs="Arial"/>
          <w:i/>
          <w:iCs/>
          <w:color w:val="000000" w:themeColor="text1"/>
          <w:szCs w:val="24"/>
        </w:rPr>
        <w:t>et al</w:t>
      </w:r>
      <w:r w:rsidRPr="004D45B3">
        <w:rPr>
          <w:rFonts w:eastAsia="Arial" w:cs="Arial"/>
          <w:color w:val="000000" w:themeColor="text1"/>
          <w:szCs w:val="24"/>
        </w:rPr>
        <w:t xml:space="preserve">. (2026) relied on a Delphi-based mixed-method design, and Zeh </w:t>
      </w:r>
      <w:r w:rsidRPr="004D45B3">
        <w:rPr>
          <w:rFonts w:eastAsia="Arial" w:cs="Arial"/>
          <w:i/>
          <w:iCs/>
          <w:color w:val="000000" w:themeColor="text1"/>
          <w:szCs w:val="24"/>
        </w:rPr>
        <w:t>et al</w:t>
      </w:r>
      <w:r w:rsidRPr="004D45B3">
        <w:rPr>
          <w:rFonts w:eastAsia="Arial" w:cs="Arial"/>
          <w:color w:val="000000" w:themeColor="text1"/>
          <w:szCs w:val="24"/>
        </w:rPr>
        <w:t xml:space="preserve">. (2015) investigated culturally competent diabetes services with the help of a survey. Neither can the improvements in communication or trust, or service interaction, be presumed automatically to indicate permanent improvements in morbidity or mortality or population-level equity. There was also methodological inconsistency and lack of evidence regarding the long-term clinical outcomes in the literature review itself.  </w:t>
      </w:r>
    </w:p>
    <w:p w14:paraId="09AF66A2" w14:textId="77777777" w:rsidR="00C33A9F" w:rsidRPr="004D45B3" w:rsidRDefault="00C33A9F">
      <w:pPr>
        <w:spacing w:before="280"/>
        <w:rPr>
          <w:rFonts w:eastAsia="Arial" w:cs="Arial"/>
          <w:b/>
          <w:bCs/>
          <w:i/>
          <w:iCs/>
          <w:color w:val="000000" w:themeColor="text1"/>
          <w:szCs w:val="24"/>
        </w:rPr>
      </w:pPr>
    </w:p>
    <w:p w14:paraId="284D28D1" w14:textId="77777777" w:rsidR="00C33A9F" w:rsidRPr="004D45B3" w:rsidRDefault="00C33A9F">
      <w:pPr>
        <w:spacing w:before="280"/>
        <w:rPr>
          <w:rFonts w:eastAsia="Arial" w:cs="Arial"/>
          <w:b/>
          <w:bCs/>
          <w:i/>
          <w:iCs/>
          <w:color w:val="000000" w:themeColor="text1"/>
          <w:szCs w:val="24"/>
        </w:rPr>
      </w:pPr>
    </w:p>
    <w:p w14:paraId="7AEDE0CC" w14:textId="77777777" w:rsidR="00C33A9F" w:rsidRPr="004D45B3" w:rsidRDefault="00C33A9F">
      <w:pPr>
        <w:spacing w:before="280"/>
        <w:rPr>
          <w:rFonts w:eastAsia="Arial" w:cs="Arial"/>
          <w:b/>
          <w:bCs/>
          <w:i/>
          <w:iCs/>
          <w:color w:val="000000" w:themeColor="text1"/>
          <w:szCs w:val="24"/>
        </w:rPr>
      </w:pPr>
    </w:p>
    <w:p w14:paraId="54556AC8" w14:textId="3323AE99" w:rsidR="00BE776A" w:rsidRPr="004D45B3" w:rsidRDefault="0007681E">
      <w:pPr>
        <w:spacing w:before="280"/>
        <w:rPr>
          <w:rFonts w:eastAsia="Arial" w:cs="Arial"/>
          <w:b/>
          <w:bCs/>
          <w:i/>
          <w:iCs/>
          <w:color w:val="000000" w:themeColor="text1"/>
          <w:szCs w:val="24"/>
        </w:rPr>
      </w:pPr>
      <w:r w:rsidRPr="004D45B3">
        <w:rPr>
          <w:rFonts w:eastAsia="Arial" w:cs="Arial"/>
          <w:b/>
          <w:bCs/>
          <w:i/>
          <w:iCs/>
          <w:color w:val="000000" w:themeColor="text1"/>
          <w:szCs w:val="24"/>
        </w:rPr>
        <w:t xml:space="preserve">Generalisability of the Evidence </w:t>
      </w:r>
    </w:p>
    <w:p w14:paraId="6BEE5910" w14:textId="77777777" w:rsidR="00BE776A" w:rsidRPr="004D45B3" w:rsidRDefault="0007681E">
      <w:pPr>
        <w:spacing w:before="280"/>
        <w:rPr>
          <w:color w:val="000000" w:themeColor="text1"/>
        </w:rPr>
      </w:pPr>
      <w:r w:rsidRPr="004D45B3">
        <w:rPr>
          <w:rFonts w:eastAsia="Arial" w:cs="Arial"/>
          <w:color w:val="000000" w:themeColor="text1"/>
          <w:szCs w:val="24"/>
        </w:rPr>
        <w:t xml:space="preserve">Both the systematic literature review design and heterogeneity of the evidence included limit generalisability. Some of the others employed quite small or geographically specific samples. As a case in point, the investigation by Zeh </w:t>
      </w:r>
      <w:r w:rsidRPr="004D45B3">
        <w:rPr>
          <w:rFonts w:eastAsia="Arial" w:cs="Arial"/>
          <w:i/>
          <w:iCs/>
          <w:color w:val="000000" w:themeColor="text1"/>
          <w:szCs w:val="24"/>
        </w:rPr>
        <w:t>et al</w:t>
      </w:r>
      <w:r w:rsidRPr="004D45B3">
        <w:rPr>
          <w:rFonts w:eastAsia="Arial" w:cs="Arial"/>
          <w:color w:val="000000" w:themeColor="text1"/>
          <w:szCs w:val="24"/>
        </w:rPr>
        <w:t xml:space="preserve">. (2015) involved 66 participants within the region of a single city in the UK, and 20 were interviewees in the research of Dawson </w:t>
      </w:r>
      <w:r w:rsidRPr="004D45B3">
        <w:rPr>
          <w:rFonts w:eastAsia="Arial" w:cs="Arial"/>
          <w:i/>
          <w:iCs/>
          <w:color w:val="000000" w:themeColor="text1"/>
          <w:szCs w:val="24"/>
        </w:rPr>
        <w:t>et al</w:t>
      </w:r>
      <w:r w:rsidRPr="004D45B3">
        <w:rPr>
          <w:rFonts w:eastAsia="Arial" w:cs="Arial"/>
          <w:color w:val="000000" w:themeColor="text1"/>
          <w:szCs w:val="24"/>
        </w:rPr>
        <w:t xml:space="preserve">. (2025). This evidence may provide some information, although it does not necessarily provide comprehensive contextual information for all the ethnic minority groups in England, Scotland, Wales, and Northern Ireland. Also, the ethnic minority groups were researched in every other service organisation and setting, such as diabetes and mental health, palliative care, and clinical research. These societies could not be considered culturally and socially homogenous. The fact that the review considered solely the research available in English might also have eliminated what could have been a valuable piece of evidence, not to mention that their preset inclusion criteria were sure to affect which kinds of views were included in the review. </w:t>
      </w:r>
    </w:p>
    <w:p w14:paraId="314B4070" w14:textId="77777777" w:rsidR="00C33A9F" w:rsidRPr="004D45B3" w:rsidRDefault="00C33A9F">
      <w:pPr>
        <w:spacing w:before="280"/>
        <w:rPr>
          <w:rFonts w:eastAsia="Arial" w:cs="Arial"/>
          <w:b/>
          <w:bCs/>
          <w:i/>
          <w:iCs/>
          <w:color w:val="000000" w:themeColor="text1"/>
          <w:szCs w:val="24"/>
        </w:rPr>
      </w:pPr>
    </w:p>
    <w:p w14:paraId="31DBB5EC" w14:textId="12D5DB50" w:rsidR="00BE776A" w:rsidRPr="004D45B3" w:rsidRDefault="0007681E">
      <w:pPr>
        <w:spacing w:before="280"/>
        <w:rPr>
          <w:rFonts w:eastAsia="Arial" w:cs="Arial"/>
          <w:b/>
          <w:bCs/>
          <w:i/>
          <w:iCs/>
          <w:color w:val="000000" w:themeColor="text1"/>
          <w:szCs w:val="24"/>
        </w:rPr>
      </w:pPr>
      <w:r w:rsidRPr="004D45B3">
        <w:rPr>
          <w:rFonts w:eastAsia="Arial" w:cs="Arial"/>
          <w:b/>
          <w:bCs/>
          <w:i/>
          <w:iCs/>
          <w:color w:val="000000" w:themeColor="text1"/>
          <w:szCs w:val="24"/>
        </w:rPr>
        <w:t xml:space="preserve">Variables Not Fully Accounted For </w:t>
      </w:r>
    </w:p>
    <w:p w14:paraId="54DEE2FE" w14:textId="77777777" w:rsidR="00BE776A" w:rsidRPr="004D45B3" w:rsidRDefault="0007681E">
      <w:pPr>
        <w:spacing w:before="280"/>
        <w:rPr>
          <w:color w:val="000000" w:themeColor="text1"/>
        </w:rPr>
      </w:pPr>
      <w:r w:rsidRPr="004D45B3">
        <w:rPr>
          <w:rFonts w:eastAsia="Arial" w:cs="Arial"/>
          <w:color w:val="000000" w:themeColor="text1"/>
          <w:szCs w:val="24"/>
        </w:rPr>
        <w:t>Other values might have been important, which were not always researched, as they were not the same across the secondary studies. Socioeconomic factors, migration history, generation, religion, English-language proficiency, geographical location, age, gender, disability, and health literacy are the cultural factors that can co-interact and influence access, as well as trust and outcomes. The outcome could not distinguish the effects of cultural competence and workforce levels, continuity of care or service provision or broader NHS resource demands. This is of particular concern, as the results discovered structural racism, funding, workforce capacity, and data quality to be connective factors in implementation. This means that the results can only be interpreted as a sign of trends and correlations rather than an indication that a one-size-fits-all culturally competent intervention can affect all the healthcare settings in the UK.</w:t>
      </w:r>
      <w:r w:rsidRPr="004D45B3">
        <w:rPr>
          <w:rFonts w:eastAsia="Arial" w:cs="Arial"/>
          <w:b/>
          <w:bCs/>
          <w:color w:val="000000" w:themeColor="text1"/>
          <w:szCs w:val="24"/>
        </w:rPr>
        <w:t xml:space="preserve"> </w:t>
      </w:r>
    </w:p>
    <w:p w14:paraId="05B71653" w14:textId="77777777" w:rsidR="00BE776A" w:rsidRPr="004D45B3" w:rsidRDefault="0007681E">
      <w:pPr>
        <w:rPr>
          <w:rFonts w:cs="Arial"/>
          <w:color w:val="000000" w:themeColor="text1"/>
          <w:szCs w:val="24"/>
        </w:rPr>
      </w:pPr>
      <w:bookmarkStart w:id="66" w:name="_heading=h.c959pesnmef3"/>
      <w:bookmarkEnd w:id="66"/>
      <w:r w:rsidRPr="004D45B3">
        <w:rPr>
          <w:rFonts w:cs="Arial"/>
          <w:color w:val="000000" w:themeColor="text1"/>
          <w:szCs w:val="24"/>
        </w:rPr>
        <w:t xml:space="preserve">This chapter discussed the findings, and it was concluded that culturally competent care can help to improve communication, trust, engagement and access to health for ethnic minorities in the UK, but its effect on long-lasting health inequalities cannot be confirmed because effectiveness relies on continuous implementation by organisations. The discussion linked culturally fluent communication, interpretation, co-creation and tailored health services with literature and the Social Determinants of Health concept. </w:t>
      </w:r>
    </w:p>
    <w:p w14:paraId="5BE01EC8" w14:textId="77777777" w:rsidR="00BE776A" w:rsidRPr="004D45B3" w:rsidRDefault="0007681E">
      <w:pPr>
        <w:spacing w:after="142" w:line="244" w:lineRule="auto"/>
        <w:rPr>
          <w:rFonts w:cs="Arial"/>
          <w:color w:val="000000" w:themeColor="text1"/>
        </w:rPr>
      </w:pPr>
      <w:r w:rsidRPr="004D45B3">
        <w:rPr>
          <w:rFonts w:cs="Arial"/>
          <w:color w:val="000000" w:themeColor="text1"/>
        </w:rPr>
        <w:t xml:space="preserve"> </w:t>
      </w:r>
    </w:p>
    <w:p w14:paraId="4009B413" w14:textId="77777777" w:rsidR="00BE776A" w:rsidRPr="004D45B3" w:rsidRDefault="0007681E">
      <w:pPr>
        <w:spacing w:after="0"/>
        <w:rPr>
          <w:color w:val="000000" w:themeColor="text1"/>
        </w:rPr>
      </w:pPr>
      <w:r w:rsidRPr="004D45B3">
        <w:rPr>
          <w:rFonts w:eastAsia="Calibri" w:cs="Arial"/>
          <w:color w:val="000000" w:themeColor="text1"/>
        </w:rPr>
        <w:t xml:space="preserve"> </w:t>
      </w:r>
      <w:r w:rsidRPr="004D45B3">
        <w:rPr>
          <w:rFonts w:eastAsia="Calibri" w:cs="Arial"/>
          <w:color w:val="000000" w:themeColor="text1"/>
        </w:rPr>
        <w:tab/>
      </w:r>
      <w:r w:rsidRPr="004D45B3">
        <w:rPr>
          <w:rFonts w:cs="Arial"/>
          <w:b/>
          <w:color w:val="000000" w:themeColor="text1"/>
        </w:rPr>
        <w:t xml:space="preserve"> </w:t>
      </w:r>
    </w:p>
    <w:p w14:paraId="3E0B17A2" w14:textId="77777777" w:rsidR="00C33A9F" w:rsidRPr="004D45B3" w:rsidRDefault="00C33A9F">
      <w:pPr>
        <w:suppressAutoHyphens w:val="0"/>
        <w:spacing w:line="276" w:lineRule="auto"/>
        <w:jc w:val="left"/>
        <w:rPr>
          <w:rFonts w:ascii="Aptos Display" w:eastAsia="Arial" w:hAnsi="Aptos Display" w:cs="Arial"/>
          <w:bCs/>
          <w:color w:val="000000" w:themeColor="text1"/>
          <w:sz w:val="40"/>
          <w:szCs w:val="36"/>
        </w:rPr>
      </w:pPr>
      <w:r w:rsidRPr="004D45B3">
        <w:rPr>
          <w:rFonts w:eastAsia="Arial" w:cs="Arial"/>
          <w:bCs/>
          <w:color w:val="000000" w:themeColor="text1"/>
          <w:szCs w:val="36"/>
        </w:rPr>
        <w:br w:type="page"/>
      </w:r>
    </w:p>
    <w:p w14:paraId="0232C40B" w14:textId="437A1882" w:rsidR="00BE776A" w:rsidRPr="004D45B3" w:rsidRDefault="0007681E" w:rsidP="00C33A9F">
      <w:pPr>
        <w:pStyle w:val="Heading1"/>
        <w:ind w:right="3"/>
        <w:rPr>
          <w:b/>
          <w:color w:val="000000" w:themeColor="text1"/>
        </w:rPr>
      </w:pPr>
      <w:bookmarkStart w:id="67" w:name="_Toc241190033"/>
      <w:r w:rsidRPr="004D45B3">
        <w:rPr>
          <w:rFonts w:eastAsia="Arial" w:cs="Arial"/>
          <w:b/>
          <w:color w:val="000000" w:themeColor="text1"/>
          <w:szCs w:val="36"/>
        </w:rPr>
        <w:t>Chapter 6: Conclusion</w:t>
      </w:r>
      <w:bookmarkEnd w:id="67"/>
      <w:r w:rsidRPr="004D45B3">
        <w:rPr>
          <w:rFonts w:eastAsia="Arial" w:cs="Arial"/>
          <w:b/>
          <w:color w:val="000000" w:themeColor="text1"/>
          <w:szCs w:val="36"/>
        </w:rPr>
        <w:t xml:space="preserve"> </w:t>
      </w:r>
    </w:p>
    <w:p w14:paraId="01CD649E" w14:textId="6DAD566A" w:rsidR="00BE776A" w:rsidRPr="004D45B3" w:rsidRDefault="0007681E">
      <w:pPr>
        <w:spacing w:before="280" w:after="275"/>
        <w:rPr>
          <w:rFonts w:eastAsia="Arial" w:cs="Arial"/>
          <w:color w:val="000000" w:themeColor="text1"/>
          <w:szCs w:val="24"/>
        </w:rPr>
      </w:pPr>
      <w:r w:rsidRPr="004D45B3">
        <w:rPr>
          <w:rFonts w:eastAsia="Arial" w:cs="Arial"/>
          <w:color w:val="000000" w:themeColor="text1"/>
          <w:szCs w:val="24"/>
        </w:rPr>
        <w:t xml:space="preserve">This research study has examined that culturally competent care can contribute to reducing health inequalities among ethnic minority communities in the UK. The interventions examined included culturally responsive communication, professional interpreter services, continuous cultural competence training for healthcare staff, community co-production, shared decision-making, tailored service delivery and inclusive organisational leadership. However, their effectiveness depends on consistent implementation and support from healthcare organisations. The evidence suggests that these interventions are more effective when combined as part of a system-wide approach rather than delivered as isolated or one-off </w:t>
      </w:r>
      <w:proofErr w:type="spellStart"/>
      <w:r w:rsidRPr="004D45B3">
        <w:rPr>
          <w:rFonts w:eastAsia="Arial" w:cs="Arial"/>
          <w:color w:val="000000" w:themeColor="text1"/>
          <w:szCs w:val="24"/>
        </w:rPr>
        <w:t>programmes.Among</w:t>
      </w:r>
      <w:proofErr w:type="spellEnd"/>
      <w:r w:rsidRPr="004D45B3">
        <w:rPr>
          <w:rFonts w:eastAsia="Arial" w:cs="Arial"/>
          <w:color w:val="000000" w:themeColor="text1"/>
          <w:szCs w:val="24"/>
        </w:rPr>
        <w:t xml:space="preserve"> the key findings is that culture or ethnicity on its own cannot be said to be a source of disparate health outcomes. Structural discrimination, combined with socioeconomic disadvantage, unequal access to services, and institutional practices, interacts to affect healthcare experiences, which means that culturally competent care must be linked with more equity-attractive shifts. The rationale, therefore, of this review is that staff training, as desirable as it is, cannot be maintained unless supported by organisational accountability, workforce diversity, community co-production, and equal distribution of resources.</w:t>
      </w:r>
    </w:p>
    <w:p w14:paraId="22D26F9B" w14:textId="77777777" w:rsidR="00C33A9F" w:rsidRPr="004D45B3" w:rsidRDefault="00C33A9F">
      <w:pPr>
        <w:spacing w:before="280" w:after="275"/>
        <w:rPr>
          <w:rFonts w:eastAsia="Arial" w:cs="Arial"/>
          <w:color w:val="000000" w:themeColor="text1"/>
          <w:szCs w:val="24"/>
        </w:rPr>
      </w:pPr>
    </w:p>
    <w:p w14:paraId="3F99B22D" w14:textId="10A4F187" w:rsidR="00BE776A" w:rsidRPr="004D45B3" w:rsidRDefault="0007681E">
      <w:pPr>
        <w:spacing w:before="280" w:after="275"/>
        <w:rPr>
          <w:rFonts w:eastAsia="Arial" w:cs="Arial"/>
          <w:color w:val="000000" w:themeColor="text1"/>
          <w:szCs w:val="24"/>
        </w:rPr>
      </w:pPr>
      <w:r w:rsidRPr="004D45B3">
        <w:rPr>
          <w:rFonts w:eastAsia="Arial" w:cs="Arial"/>
          <w:color w:val="000000" w:themeColor="text1"/>
          <w:szCs w:val="24"/>
        </w:rPr>
        <w:t xml:space="preserve">The research also illustrates that more powerful signs of clinical outcomes at a long-term level are yet to be obtained since much available research considers the short-term effects of knowledge and satisfaction or communication instead of the long-term effects of reducing inequality at the population level. The best solution to this NHS practice problem in the future lies, therefore, in the combination of cultural responsiveness and equitable outcomes that can be measured in ways that they take place over time and in which minority communities are consulted in designing the services and making decisions. </w:t>
      </w:r>
    </w:p>
    <w:p w14:paraId="114623B1" w14:textId="4E8E89FA" w:rsidR="00BE776A" w:rsidRPr="004D45B3" w:rsidRDefault="0007681E">
      <w:pPr>
        <w:spacing w:before="280" w:after="275"/>
        <w:rPr>
          <w:color w:val="000000" w:themeColor="text1"/>
        </w:rPr>
      </w:pPr>
      <w:r w:rsidRPr="004D45B3">
        <w:rPr>
          <w:rFonts w:eastAsia="Arial" w:cs="Arial"/>
          <w:color w:val="000000" w:themeColor="text1"/>
          <w:szCs w:val="24"/>
        </w:rPr>
        <w:t xml:space="preserve">The overall research question was: </w:t>
      </w:r>
      <w:r w:rsidRPr="004D45B3">
        <w:rPr>
          <w:rFonts w:eastAsia="Arial" w:cs="Arial"/>
          <w:color w:val="000000" w:themeColor="text1"/>
          <w:szCs w:val="24"/>
          <w:shd w:val="clear" w:color="auto" w:fill="FFFFFF"/>
        </w:rPr>
        <w:t xml:space="preserve">How effective is culturally competent care in reducing health inequalities among ethnic minority communities within the UK healthcare system? </w:t>
      </w:r>
      <w:r w:rsidRPr="004D45B3">
        <w:rPr>
          <w:rFonts w:eastAsia="Arial" w:cs="Arial"/>
          <w:color w:val="000000" w:themeColor="text1"/>
          <w:szCs w:val="24"/>
        </w:rPr>
        <w:t xml:space="preserve">Based on the findings, culturally competent care may help reduce health inequalities through improved communication, responsiveness, participation, and appropriate care; however, the findings do not show that it can independently eliminate health </w:t>
      </w:r>
      <w:proofErr w:type="spellStart"/>
      <w:r w:rsidRPr="004D45B3">
        <w:rPr>
          <w:rFonts w:eastAsia="Arial" w:cs="Arial"/>
          <w:color w:val="000000" w:themeColor="text1"/>
          <w:szCs w:val="24"/>
        </w:rPr>
        <w:t>inequalities.The</w:t>
      </w:r>
      <w:proofErr w:type="spellEnd"/>
      <w:r w:rsidRPr="004D45B3">
        <w:rPr>
          <w:rFonts w:eastAsia="Arial" w:cs="Arial"/>
          <w:color w:val="000000" w:themeColor="text1"/>
          <w:szCs w:val="24"/>
        </w:rPr>
        <w:t xml:space="preserve"> results show that the success of culturally competent care depends on the healthcare setting, population needs, and implementation of its various elements. According to Stepanova et al. (2026), there is a need to consider the cultural needs of ethnic minorities in terms of their service users, carers, and health professionals when designing culturally sensitive mental health services. This is in line with the previous analysis of how culturally responsive service designs can be more responsive to the specific needs of certain populations. In the same way, Dawson et al. (2025) observed that specific interventions were necessary for increasing the participation of ethnic minorities in clinical trials. </w:t>
      </w:r>
    </w:p>
    <w:p w14:paraId="4B17E59C" w14:textId="77777777" w:rsidR="00C33A9F" w:rsidRPr="004D45B3" w:rsidRDefault="00C33A9F">
      <w:pPr>
        <w:spacing w:before="280" w:after="275"/>
        <w:rPr>
          <w:rFonts w:eastAsia="Arial" w:cs="Arial"/>
          <w:color w:val="000000" w:themeColor="text1"/>
          <w:szCs w:val="24"/>
        </w:rPr>
      </w:pPr>
    </w:p>
    <w:p w14:paraId="4069CCB9" w14:textId="7FCBF54D" w:rsidR="00BE776A" w:rsidRPr="004D45B3" w:rsidRDefault="0007681E">
      <w:pPr>
        <w:spacing w:before="280" w:after="275"/>
        <w:rPr>
          <w:rFonts w:eastAsia="Arial" w:cs="Arial"/>
          <w:color w:val="000000" w:themeColor="text1"/>
          <w:szCs w:val="24"/>
        </w:rPr>
      </w:pPr>
      <w:r w:rsidRPr="004D45B3">
        <w:rPr>
          <w:rFonts w:eastAsia="Arial" w:cs="Arial"/>
          <w:color w:val="000000" w:themeColor="text1"/>
          <w:szCs w:val="24"/>
        </w:rPr>
        <w:t xml:space="preserve">However, the results have also shown that cultural responsiveness is not sufficient to overcome the already existing health disparities. According to Thana et al. (2026), there were discrepancies in the reporting of the existence of unsafe healthcare encounters for minorities, indicating that such disparities are partly due to problems with the healthcare system itself. This further proves the more general point about cultural competence not only being seen as a trait of individual health professionals but also as an organisational aspect. Likewise, Wainwright et al. (2026) have found some difficulties in delivering culturally appropriate care for people at the end of life or for people in need of palliative care. This further proves that the presence of culturally competent principles does not guarantee consistent application of these principles in health organisations. Zeh et al. have found the same problem in culturally competent diabetes </w:t>
      </w:r>
      <w:proofErr w:type="spellStart"/>
      <w:r w:rsidRPr="004D45B3">
        <w:rPr>
          <w:rFonts w:eastAsia="Arial" w:cs="Arial"/>
          <w:color w:val="000000" w:themeColor="text1"/>
          <w:szCs w:val="24"/>
        </w:rPr>
        <w:t>care.Overall</w:t>
      </w:r>
      <w:proofErr w:type="spellEnd"/>
      <w:r w:rsidRPr="004D45B3">
        <w:rPr>
          <w:rFonts w:eastAsia="Arial" w:cs="Arial"/>
          <w:color w:val="000000" w:themeColor="text1"/>
          <w:szCs w:val="24"/>
        </w:rPr>
        <w:t xml:space="preserve">, the question posed at the start of this discussion can be answered in a qualified way. </w:t>
      </w:r>
    </w:p>
    <w:p w14:paraId="572CF137" w14:textId="77777777" w:rsidR="00C33A9F" w:rsidRPr="004D45B3" w:rsidRDefault="00C33A9F">
      <w:pPr>
        <w:pStyle w:val="Heading2"/>
        <w:rPr>
          <w:b/>
          <w:bCs/>
          <w:color w:val="000000" w:themeColor="text1"/>
          <w:sz w:val="28"/>
          <w:szCs w:val="28"/>
        </w:rPr>
      </w:pPr>
    </w:p>
    <w:p w14:paraId="35DFADFF" w14:textId="1A15F38C" w:rsidR="00BE776A" w:rsidRPr="004D45B3" w:rsidRDefault="0007681E">
      <w:pPr>
        <w:pStyle w:val="Heading2"/>
        <w:rPr>
          <w:color w:val="000000" w:themeColor="text1"/>
        </w:rPr>
      </w:pPr>
      <w:bookmarkStart w:id="68" w:name="_Toc241190034"/>
      <w:r w:rsidRPr="004D45B3">
        <w:rPr>
          <w:b/>
          <w:bCs/>
          <w:color w:val="000000" w:themeColor="text1"/>
          <w:sz w:val="28"/>
          <w:szCs w:val="28"/>
        </w:rPr>
        <w:t>6.1 Reflection on the research study</w:t>
      </w:r>
      <w:bookmarkEnd w:id="68"/>
    </w:p>
    <w:p w14:paraId="6122F2D7" w14:textId="77777777" w:rsidR="00BE776A" w:rsidRPr="004D45B3" w:rsidRDefault="0007681E">
      <w:pPr>
        <w:spacing w:before="280" w:after="275"/>
        <w:rPr>
          <w:rFonts w:eastAsia="Arial" w:cs="Arial"/>
          <w:color w:val="000000" w:themeColor="text1"/>
          <w:szCs w:val="24"/>
        </w:rPr>
      </w:pPr>
      <w:r w:rsidRPr="004D45B3">
        <w:rPr>
          <w:rFonts w:eastAsia="Arial" w:cs="Arial"/>
          <w:color w:val="000000" w:themeColor="text1"/>
          <w:szCs w:val="24"/>
        </w:rPr>
        <w:t>The systematic literature review was appropriate for this research because it allowed evidence from different UK healthcare settings to be examined rather than focusing on one ethnic group or clinical area (Dawson, 2025). The interpretivist philosophy and inductive approach helped me understand culturally competent care through patient experiences, professional practice and organisational factors. PRISMA provided a transparent and systematic process for selecting relevant studies. The review broadened my understanding of cultural competence from communication to wider organisational systems, participation and structural conditions (Thana, 2026). However, the study relied on English-language secondary evidence from the UK, and differences in methodologies and outcomes limited direct comparison. Therefore, the findings indicate how culturally competent care may contribute to reducing health inequalities rather than establishing causal effects.</w:t>
      </w:r>
    </w:p>
    <w:p w14:paraId="14CB0ED4" w14:textId="5443E4B2" w:rsidR="00BE776A" w:rsidRPr="004D45B3" w:rsidRDefault="0007681E">
      <w:pPr>
        <w:pStyle w:val="Heading2"/>
        <w:rPr>
          <w:color w:val="000000" w:themeColor="text1"/>
        </w:rPr>
      </w:pPr>
      <w:bookmarkStart w:id="69" w:name="_Toc241190035"/>
      <w:r w:rsidRPr="004D45B3">
        <w:rPr>
          <w:b/>
          <w:bCs/>
          <w:color w:val="000000" w:themeColor="text1"/>
          <w:sz w:val="28"/>
          <w:szCs w:val="28"/>
        </w:rPr>
        <w:t>6.2 Recommendations</w:t>
      </w:r>
      <w:bookmarkEnd w:id="69"/>
    </w:p>
    <w:p w14:paraId="50319ED7" w14:textId="0CED665C" w:rsidR="00C33A9F" w:rsidRPr="004D45B3" w:rsidRDefault="0007681E">
      <w:pPr>
        <w:spacing w:before="280" w:after="275"/>
        <w:rPr>
          <w:rFonts w:eastAsia="Arial" w:cs="Arial"/>
          <w:color w:val="000000" w:themeColor="text1"/>
          <w:szCs w:val="24"/>
        </w:rPr>
      </w:pPr>
      <w:r w:rsidRPr="004D45B3">
        <w:rPr>
          <w:rFonts w:eastAsia="Arial" w:cs="Arial"/>
          <w:color w:val="000000" w:themeColor="text1"/>
          <w:szCs w:val="24"/>
        </w:rPr>
        <w:t xml:space="preserve">The findings of this systematic literature review demonstrate that cultural competency should be </w:t>
      </w:r>
      <w:r w:rsidR="00C33A9F" w:rsidRPr="004D45B3">
        <w:rPr>
          <w:rFonts w:eastAsia="Arial" w:cs="Arial"/>
          <w:color w:val="000000" w:themeColor="text1"/>
          <w:szCs w:val="24"/>
        </w:rPr>
        <w:t>integrated,</w:t>
      </w:r>
      <w:r w:rsidRPr="004D45B3">
        <w:rPr>
          <w:rFonts w:eastAsia="Arial" w:cs="Arial"/>
          <w:color w:val="000000" w:themeColor="text1"/>
          <w:szCs w:val="24"/>
        </w:rPr>
        <w:t xml:space="preserve"> and the following recommendations have been put forward</w:t>
      </w:r>
      <w:r w:rsidR="00FD352C" w:rsidRPr="004D45B3">
        <w:rPr>
          <w:rFonts w:eastAsia="Arial" w:cs="Arial"/>
          <w:color w:val="000000" w:themeColor="text1"/>
          <w:szCs w:val="24"/>
        </w:rPr>
        <w:t xml:space="preserve">. </w:t>
      </w:r>
    </w:p>
    <w:p w14:paraId="7A391310" w14:textId="77777777" w:rsidR="00EA0B39" w:rsidRPr="004D45B3" w:rsidRDefault="00EA0B39">
      <w:pPr>
        <w:spacing w:before="280" w:after="275"/>
        <w:rPr>
          <w:rFonts w:eastAsia="Arial" w:cs="Arial"/>
          <w:color w:val="000000" w:themeColor="text1"/>
          <w:szCs w:val="24"/>
        </w:rPr>
      </w:pPr>
      <w:r w:rsidRPr="004D45B3">
        <w:rPr>
          <w:rFonts w:eastAsia="Arial" w:cs="Arial"/>
          <w:color w:val="000000" w:themeColor="text1"/>
          <w:szCs w:val="24"/>
        </w:rPr>
        <w:t xml:space="preserve">Firstly, NHS organisations should strengthen organisational accountability by embedding cultural competence within clinical governance and quality-improvement processes. Ethnicity-specific indicators should be used to monitor healthcare access, patient experiences, engagement and health outcomes. These results should be regularly reviewed by NHS leadership and used to identify inequalities and improve service delivery. </w:t>
      </w:r>
    </w:p>
    <w:p w14:paraId="623AF59B" w14:textId="3C489FA2" w:rsidR="00C33A9F" w:rsidRPr="004D45B3" w:rsidRDefault="00EA0B39">
      <w:pPr>
        <w:spacing w:before="280" w:after="275"/>
        <w:rPr>
          <w:color w:val="000000" w:themeColor="text1"/>
        </w:rPr>
      </w:pPr>
      <w:r w:rsidRPr="004D45B3">
        <w:rPr>
          <w:rFonts w:eastAsia="Arial" w:cs="Arial"/>
          <w:color w:val="000000" w:themeColor="text1"/>
          <w:szCs w:val="24"/>
        </w:rPr>
        <w:t>Furthermore, one-off cultural competence training should be replaced with continuous professional development. Healthcare professionals should receive regular education in culturally responsive communication, unconscious bias, cultural humility and anti-discriminatory practice. Training should also include reflective learning and practical application so that cultural competence becomes part of everyday clinical practice rather than simply a mandatory training requirement.</w:t>
      </w:r>
    </w:p>
    <w:p w14:paraId="44FD9CB8" w14:textId="6ADDED70" w:rsidR="00C33A9F" w:rsidRPr="004D45B3" w:rsidRDefault="00EA0B39">
      <w:pPr>
        <w:spacing w:before="280" w:after="275"/>
        <w:rPr>
          <w:color w:val="000000" w:themeColor="text1"/>
        </w:rPr>
      </w:pPr>
      <w:r w:rsidRPr="004D45B3">
        <w:rPr>
          <w:rFonts w:eastAsia="Arial" w:cs="Arial"/>
          <w:color w:val="000000" w:themeColor="text1"/>
          <w:szCs w:val="24"/>
        </w:rPr>
        <w:t>Thirdly, healthcare providers from the NHS need to incorporate ethnic minority patients, their careers, and community groups into the planning, delivery, and evaluation of healthcare services. This engagement goes beyond consultation and involves communities having some say in the delivery of services. This approach of co-production helps in improving the cultural relevancy and responsiveness of services among others.</w:t>
      </w:r>
    </w:p>
    <w:p w14:paraId="58AEF20C" w14:textId="3E94EA3D" w:rsidR="00BE776A" w:rsidRPr="004D45B3" w:rsidRDefault="00EA0B39">
      <w:pPr>
        <w:spacing w:before="280" w:after="275"/>
        <w:rPr>
          <w:color w:val="000000" w:themeColor="text1"/>
        </w:rPr>
      </w:pPr>
      <w:r w:rsidRPr="004D45B3">
        <w:rPr>
          <w:rFonts w:eastAsia="Arial" w:cs="Arial"/>
          <w:color w:val="000000" w:themeColor="text1"/>
          <w:szCs w:val="24"/>
        </w:rPr>
        <w:t>Finally, Future studies may conduct themselves longitudinally and through the mixed-method approach to assess if enhanced patient experience and engagement result in measurable changes in terms of clinical outcomes and healthcare service access. Comparative studies between ethnic groups, regions and various healthcare settings may assist in establishing culturally competent strategies that work well in certain situations and organizational contexts.</w:t>
      </w:r>
    </w:p>
    <w:p w14:paraId="4A88A361" w14:textId="50720726" w:rsidR="00BE776A" w:rsidRPr="004D45B3" w:rsidRDefault="0007681E">
      <w:pPr>
        <w:pStyle w:val="Heading2"/>
        <w:rPr>
          <w:color w:val="000000" w:themeColor="text1"/>
        </w:rPr>
      </w:pPr>
      <w:bookmarkStart w:id="70" w:name="_Toc241190036"/>
      <w:r w:rsidRPr="004D45B3">
        <w:rPr>
          <w:b/>
          <w:bCs/>
          <w:color w:val="000000" w:themeColor="text1"/>
          <w:sz w:val="28"/>
          <w:szCs w:val="28"/>
        </w:rPr>
        <w:t>6.3 Contribution of the Study</w:t>
      </w:r>
      <w:bookmarkEnd w:id="70"/>
    </w:p>
    <w:p w14:paraId="76F0A517" w14:textId="77777777" w:rsidR="00BE776A" w:rsidRPr="004D45B3" w:rsidRDefault="0007681E">
      <w:pPr>
        <w:spacing w:before="280" w:after="275"/>
        <w:rPr>
          <w:rFonts w:eastAsia="Arial" w:cs="Arial"/>
          <w:color w:val="000000" w:themeColor="text1"/>
          <w:szCs w:val="24"/>
        </w:rPr>
      </w:pPr>
      <w:r w:rsidRPr="004D45B3">
        <w:rPr>
          <w:rFonts w:eastAsia="Arial" w:cs="Arial"/>
          <w:color w:val="000000" w:themeColor="text1"/>
          <w:szCs w:val="24"/>
        </w:rPr>
        <w:t xml:space="preserve">This study contributes to existing knowledge by bringing together UK evidence on culturally competent care and health inequalities among ethnic minority communities. The findings show that culturally competent care is not based on one single action. Its effectiveness depends on several connected factors, including clear communication, community engagement, organisational support, workforce training and fair access to healthcare services. The study also contributes to practice by showing that culturally appropriate care should be supported by strong organisational policies and suitable allocation of resources. This can help healthcare organisations improve patient trust, participation and access to services. In addition, the study provides useful direction for future research. It highlights the need for more long-term evidence to examine whether culturally responsive healthcare can reduce differences in clinical outcomes and healthcare access over time. Overall, the study provides an integrated understanding of culturally competent care within the UK healthcare system. </w:t>
      </w:r>
    </w:p>
    <w:p w14:paraId="08FA4FEE" w14:textId="77777777" w:rsidR="00BE776A" w:rsidRPr="004D45B3" w:rsidRDefault="0007681E">
      <w:pPr>
        <w:spacing w:after="275"/>
        <w:rPr>
          <w:color w:val="000000" w:themeColor="text1"/>
        </w:rPr>
      </w:pPr>
      <w:r w:rsidRPr="004D45B3">
        <w:rPr>
          <w:rFonts w:cs="Arial"/>
          <w:b/>
          <w:bCs/>
          <w:color w:val="000000" w:themeColor="text1"/>
          <w:szCs w:val="24"/>
          <w:lang w:val="en-IN"/>
        </w:rPr>
        <w:t> </w:t>
      </w:r>
    </w:p>
    <w:p w14:paraId="142C1F93" w14:textId="77777777" w:rsidR="00C33A9F" w:rsidRPr="004D45B3" w:rsidRDefault="00C33A9F">
      <w:pPr>
        <w:suppressAutoHyphens w:val="0"/>
        <w:spacing w:line="276" w:lineRule="auto"/>
        <w:jc w:val="left"/>
        <w:rPr>
          <w:rFonts w:ascii="Aptos Display" w:hAnsi="Aptos Display"/>
          <w:color w:val="000000" w:themeColor="text1"/>
          <w:sz w:val="40"/>
          <w:szCs w:val="40"/>
        </w:rPr>
      </w:pPr>
      <w:bookmarkStart w:id="71" w:name="_Toc237877264"/>
      <w:r w:rsidRPr="004D45B3">
        <w:rPr>
          <w:color w:val="000000" w:themeColor="text1"/>
        </w:rPr>
        <w:br w:type="page"/>
      </w:r>
    </w:p>
    <w:p w14:paraId="05D91895" w14:textId="44D756DC" w:rsidR="00BE776A" w:rsidRPr="004D45B3" w:rsidRDefault="0007681E">
      <w:pPr>
        <w:pStyle w:val="Heading1"/>
        <w:rPr>
          <w:b/>
          <w:bCs/>
          <w:color w:val="000000" w:themeColor="text1"/>
        </w:rPr>
      </w:pPr>
      <w:bookmarkStart w:id="72" w:name="_Toc241190037"/>
      <w:r w:rsidRPr="004D45B3">
        <w:rPr>
          <w:b/>
          <w:bCs/>
          <w:color w:val="000000" w:themeColor="text1"/>
        </w:rPr>
        <w:t>Reference list</w:t>
      </w:r>
      <w:bookmarkEnd w:id="71"/>
      <w:bookmarkEnd w:id="72"/>
      <w:r w:rsidRPr="004D45B3">
        <w:rPr>
          <w:b/>
          <w:bCs/>
          <w:color w:val="000000" w:themeColor="text1"/>
        </w:rPr>
        <w:t xml:space="preserve"> </w:t>
      </w:r>
    </w:p>
    <w:p w14:paraId="7490CBAA" w14:textId="77777777" w:rsidR="00BE776A" w:rsidRPr="004D45B3" w:rsidRDefault="0007681E">
      <w:pPr>
        <w:rPr>
          <w:color w:val="000000" w:themeColor="text1"/>
        </w:rPr>
      </w:pPr>
      <w:r w:rsidRPr="004D45B3">
        <w:rPr>
          <w:rFonts w:cs="Arial"/>
          <w:color w:val="000000" w:themeColor="text1"/>
          <w:szCs w:val="24"/>
          <w:shd w:val="clear" w:color="auto" w:fill="FFFFFF"/>
        </w:rPr>
        <w:t xml:space="preserve">Ahmad, G., McManus, S., Cooper, C., Hatch, S.L. and Das-Munshi, J., 2022. Prevalence of common mental disorders and treatment receipt for people from ethnic minority backgrounds in England: repeated cross-sectional surveys of the general population in 2007 and 2014. </w:t>
      </w:r>
      <w:r w:rsidRPr="004D45B3">
        <w:rPr>
          <w:rFonts w:cs="Arial"/>
          <w:i/>
          <w:iCs/>
          <w:color w:val="000000" w:themeColor="text1"/>
          <w:szCs w:val="24"/>
          <w:shd w:val="clear" w:color="auto" w:fill="FFFFFF"/>
        </w:rPr>
        <w:t>The British Journal of Psychiatry</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221</w:t>
      </w:r>
      <w:r w:rsidRPr="004D45B3">
        <w:rPr>
          <w:rFonts w:cs="Arial"/>
          <w:color w:val="000000" w:themeColor="text1"/>
          <w:szCs w:val="24"/>
          <w:shd w:val="clear" w:color="auto" w:fill="FFFFFF"/>
        </w:rPr>
        <w:t xml:space="preserve">(3), pp.520-527. Doi: </w:t>
      </w:r>
      <w:hyperlink r:id="rId15" w:history="1">
        <w:r w:rsidR="00BE776A" w:rsidRPr="004D45B3">
          <w:rPr>
            <w:rStyle w:val="Hyperlink"/>
            <w:rFonts w:cs="Arial"/>
            <w:color w:val="000000" w:themeColor="text1"/>
            <w:szCs w:val="24"/>
            <w:shd w:val="clear" w:color="auto" w:fill="FFFFFF"/>
          </w:rPr>
          <w:t>https://doi.org/10.1192/bjp.2021.179</w:t>
        </w:r>
      </w:hyperlink>
      <w:r w:rsidRPr="004D45B3">
        <w:rPr>
          <w:rFonts w:cs="Arial"/>
          <w:color w:val="000000" w:themeColor="text1"/>
          <w:szCs w:val="24"/>
          <w:shd w:val="clear" w:color="auto" w:fill="FFFFFF"/>
        </w:rPr>
        <w:t xml:space="preserve"> </w:t>
      </w:r>
    </w:p>
    <w:p w14:paraId="71E23A28" w14:textId="77777777" w:rsidR="00BE776A" w:rsidRPr="004D45B3" w:rsidRDefault="0007681E">
      <w:pPr>
        <w:spacing w:after="240"/>
        <w:rPr>
          <w:color w:val="000000" w:themeColor="text1"/>
        </w:rPr>
      </w:pPr>
      <w:r w:rsidRPr="004D45B3">
        <w:rPr>
          <w:rFonts w:cs="Arial"/>
          <w:color w:val="000000" w:themeColor="text1"/>
          <w:szCs w:val="24"/>
          <w:lang w:val="en-IN"/>
        </w:rPr>
        <w:t xml:space="preserve">Alba, C., Zheng, Z. and </w:t>
      </w:r>
      <w:proofErr w:type="spellStart"/>
      <w:r w:rsidRPr="004D45B3">
        <w:rPr>
          <w:rFonts w:cs="Arial"/>
          <w:color w:val="000000" w:themeColor="text1"/>
          <w:szCs w:val="24"/>
          <w:lang w:val="en-IN"/>
        </w:rPr>
        <w:t>Wadhera</w:t>
      </w:r>
      <w:proofErr w:type="spellEnd"/>
      <w:r w:rsidRPr="004D45B3">
        <w:rPr>
          <w:rFonts w:cs="Arial"/>
          <w:color w:val="000000" w:themeColor="text1"/>
          <w:szCs w:val="24"/>
          <w:lang w:val="en-IN"/>
        </w:rPr>
        <w:t xml:space="preserve">, R.K. (2024). Changes in Health care access and preventive health screenings by Race and ethnicity. </w:t>
      </w:r>
      <w:r w:rsidRPr="004D45B3">
        <w:rPr>
          <w:rFonts w:cs="Arial"/>
          <w:i/>
          <w:iCs/>
          <w:color w:val="000000" w:themeColor="text1"/>
          <w:szCs w:val="24"/>
          <w:lang w:val="en-IN"/>
        </w:rPr>
        <w:t>JAMA health forum</w:t>
      </w:r>
      <w:r w:rsidRPr="004D45B3">
        <w:rPr>
          <w:rFonts w:cs="Arial"/>
          <w:color w:val="000000" w:themeColor="text1"/>
          <w:szCs w:val="24"/>
          <w:lang w:val="en-IN"/>
        </w:rPr>
        <w:t>, [online] 5(2), p.e235058. doi:10.1001/jamahealthforum.2023.5058.</w:t>
      </w:r>
    </w:p>
    <w:p w14:paraId="0EDE050C" w14:textId="77777777" w:rsidR="00BE776A" w:rsidRPr="004D45B3" w:rsidRDefault="0007681E">
      <w:pPr>
        <w:spacing w:after="240"/>
        <w:rPr>
          <w:color w:val="000000" w:themeColor="text1"/>
        </w:rPr>
      </w:pPr>
      <w:r w:rsidRPr="004D45B3">
        <w:rPr>
          <w:rFonts w:cs="Arial"/>
          <w:color w:val="000000" w:themeColor="text1"/>
          <w:szCs w:val="24"/>
          <w:lang w:val="en-IN"/>
        </w:rPr>
        <w:t xml:space="preserve">Albert, A., Islam, S., </w:t>
      </w:r>
      <w:proofErr w:type="spellStart"/>
      <w:r w:rsidRPr="004D45B3">
        <w:rPr>
          <w:rFonts w:cs="Arial"/>
          <w:color w:val="000000" w:themeColor="text1"/>
          <w:szCs w:val="24"/>
          <w:lang w:val="en-IN"/>
        </w:rPr>
        <w:t>Haklay</w:t>
      </w:r>
      <w:proofErr w:type="spellEnd"/>
      <w:r w:rsidRPr="004D45B3">
        <w:rPr>
          <w:rFonts w:cs="Arial"/>
          <w:color w:val="000000" w:themeColor="text1"/>
          <w:szCs w:val="24"/>
          <w:lang w:val="en-IN"/>
        </w:rPr>
        <w:t>, M. and McEachan, R.R.C. (2023). Nothing about us without us: A co</w:t>
      </w:r>
      <w:r w:rsidRPr="004D45B3">
        <w:rPr>
          <w:rFonts w:ascii="Cambria Math" w:hAnsi="Cambria Math" w:cs="Cambria Math"/>
          <w:color w:val="000000" w:themeColor="text1"/>
          <w:szCs w:val="24"/>
          <w:lang w:val="en-IN"/>
        </w:rPr>
        <w:t>‐</w:t>
      </w:r>
      <w:r w:rsidRPr="004D45B3">
        <w:rPr>
          <w:rFonts w:cs="Arial"/>
          <w:color w:val="000000" w:themeColor="text1"/>
          <w:szCs w:val="24"/>
          <w:lang w:val="en-IN"/>
        </w:rPr>
        <w:t xml:space="preserve">production strategy for communities, researchers and stakeholders to identify ways of improving health and reducing inequalities. </w:t>
      </w:r>
      <w:r w:rsidRPr="004D45B3">
        <w:rPr>
          <w:rFonts w:cs="Arial"/>
          <w:i/>
          <w:iCs/>
          <w:color w:val="000000" w:themeColor="text1"/>
          <w:szCs w:val="24"/>
          <w:lang w:val="en-IN"/>
        </w:rPr>
        <w:t>Health expectations</w:t>
      </w:r>
      <w:r w:rsidRPr="004D45B3">
        <w:rPr>
          <w:rFonts w:cs="Arial"/>
          <w:color w:val="000000" w:themeColor="text1"/>
          <w:szCs w:val="24"/>
          <w:lang w:val="en-IN"/>
        </w:rPr>
        <w:t>, [online] 26(2). doi:10.1111/hex.13709.</w:t>
      </w:r>
    </w:p>
    <w:p w14:paraId="76746237" w14:textId="77777777" w:rsidR="00BE776A" w:rsidRPr="004D45B3" w:rsidRDefault="0007681E">
      <w:pPr>
        <w:spacing w:after="240"/>
        <w:rPr>
          <w:color w:val="000000" w:themeColor="text1"/>
        </w:rPr>
      </w:pPr>
      <w:r w:rsidRPr="004D45B3">
        <w:rPr>
          <w:rFonts w:cs="Arial"/>
          <w:color w:val="000000" w:themeColor="text1"/>
          <w:szCs w:val="24"/>
          <w:lang w:val="en-IN"/>
        </w:rPr>
        <w:t xml:space="preserve">Antón-Solanas, I., Rodríguez-Roca, B., </w:t>
      </w:r>
      <w:proofErr w:type="spellStart"/>
      <w:r w:rsidRPr="004D45B3">
        <w:rPr>
          <w:rFonts w:cs="Arial"/>
          <w:color w:val="000000" w:themeColor="text1"/>
          <w:szCs w:val="24"/>
          <w:lang w:val="en-IN"/>
        </w:rPr>
        <w:t>Vanceulebroeck</w:t>
      </w:r>
      <w:proofErr w:type="spellEnd"/>
      <w:r w:rsidRPr="004D45B3">
        <w:rPr>
          <w:rFonts w:cs="Arial"/>
          <w:color w:val="000000" w:themeColor="text1"/>
          <w:szCs w:val="24"/>
          <w:lang w:val="en-IN"/>
        </w:rPr>
        <w:t xml:space="preserve">, V., Kömürcü, N., Kalkan, I., Tambo-Lizalde, E., </w:t>
      </w:r>
      <w:proofErr w:type="spellStart"/>
      <w:r w:rsidRPr="004D45B3">
        <w:rPr>
          <w:rFonts w:cs="Arial"/>
          <w:color w:val="000000" w:themeColor="text1"/>
          <w:szCs w:val="24"/>
          <w:lang w:val="en-IN"/>
        </w:rPr>
        <w:t>Huércanos</w:t>
      </w:r>
      <w:proofErr w:type="spellEnd"/>
      <w:r w:rsidRPr="004D45B3">
        <w:rPr>
          <w:rFonts w:cs="Arial"/>
          <w:color w:val="000000" w:themeColor="text1"/>
          <w:szCs w:val="24"/>
          <w:lang w:val="en-IN"/>
        </w:rPr>
        <w:t xml:space="preserve">-Esparza, I., Casa Nova, A., Hamam-Alcober, N., Coelho, M., Coelho, T., Van Gils, Y., Öz, S.D., Kavala, A. and </w:t>
      </w:r>
      <w:proofErr w:type="spellStart"/>
      <w:r w:rsidRPr="004D45B3">
        <w:rPr>
          <w:rFonts w:cs="Arial"/>
          <w:color w:val="000000" w:themeColor="text1"/>
          <w:szCs w:val="24"/>
          <w:lang w:val="en-IN"/>
        </w:rPr>
        <w:t>Subirón</w:t>
      </w:r>
      <w:proofErr w:type="spellEnd"/>
      <w:r w:rsidRPr="004D45B3">
        <w:rPr>
          <w:rFonts w:cs="Arial"/>
          <w:color w:val="000000" w:themeColor="text1"/>
          <w:szCs w:val="24"/>
          <w:lang w:val="en-IN"/>
        </w:rPr>
        <w:t xml:space="preserve">-Valera, A.B. (2022). Qualified nurses’ perceptions of Cultural competence and experiences of Caring for Culturally diverse patients: A qualitative study in four </w:t>
      </w:r>
      <w:proofErr w:type="spellStart"/>
      <w:r w:rsidRPr="004D45B3">
        <w:rPr>
          <w:rFonts w:cs="Arial"/>
          <w:color w:val="000000" w:themeColor="text1"/>
          <w:szCs w:val="24"/>
          <w:lang w:val="en-IN"/>
        </w:rPr>
        <w:t>european</w:t>
      </w:r>
      <w:proofErr w:type="spellEnd"/>
      <w:r w:rsidRPr="004D45B3">
        <w:rPr>
          <w:rFonts w:cs="Arial"/>
          <w:color w:val="000000" w:themeColor="text1"/>
          <w:szCs w:val="24"/>
          <w:lang w:val="en-IN"/>
        </w:rPr>
        <w:t xml:space="preserve"> countries. </w:t>
      </w:r>
      <w:r w:rsidRPr="004D45B3">
        <w:rPr>
          <w:rFonts w:cs="Arial"/>
          <w:i/>
          <w:iCs/>
          <w:color w:val="000000" w:themeColor="text1"/>
          <w:szCs w:val="24"/>
          <w:lang w:val="en-IN"/>
        </w:rPr>
        <w:t>Nursing reports</w:t>
      </w:r>
      <w:r w:rsidRPr="004D45B3">
        <w:rPr>
          <w:rFonts w:cs="Arial"/>
          <w:color w:val="000000" w:themeColor="text1"/>
          <w:szCs w:val="24"/>
          <w:lang w:val="en-IN"/>
        </w:rPr>
        <w:t>, [online] 12(2), pp.348–364. doi:10.3390/nursrep12020034.</w:t>
      </w:r>
    </w:p>
    <w:p w14:paraId="69E8D569" w14:textId="77777777" w:rsidR="00BE776A" w:rsidRPr="004D45B3" w:rsidRDefault="0007681E">
      <w:pPr>
        <w:rPr>
          <w:color w:val="000000" w:themeColor="text1"/>
        </w:rPr>
      </w:pPr>
      <w:r w:rsidRPr="004D45B3">
        <w:rPr>
          <w:color w:val="000000" w:themeColor="text1"/>
        </w:rPr>
        <w:t xml:space="preserve">Antón-Solanas, I., Rodríguez-Roca, B., </w:t>
      </w:r>
      <w:proofErr w:type="spellStart"/>
      <w:r w:rsidRPr="004D45B3">
        <w:rPr>
          <w:color w:val="000000" w:themeColor="text1"/>
        </w:rPr>
        <w:t>Vanceulebroeck</w:t>
      </w:r>
      <w:proofErr w:type="spellEnd"/>
      <w:r w:rsidRPr="004D45B3">
        <w:rPr>
          <w:color w:val="000000" w:themeColor="text1"/>
        </w:rPr>
        <w:t xml:space="preserve">, V., Kömürcü, N., Kalkan, I., Tambo-Lizalde, E., </w:t>
      </w:r>
      <w:proofErr w:type="spellStart"/>
      <w:r w:rsidRPr="004D45B3">
        <w:rPr>
          <w:color w:val="000000" w:themeColor="text1"/>
        </w:rPr>
        <w:t>Huércanos</w:t>
      </w:r>
      <w:proofErr w:type="spellEnd"/>
      <w:r w:rsidRPr="004D45B3">
        <w:rPr>
          <w:color w:val="000000" w:themeColor="text1"/>
        </w:rPr>
        <w:t xml:space="preserve">-Esparza, I., Casa Nova, A., Hamam-Alcober, N., Coelho, M., Coelho, T., Van Gils, Y., Öz, S.D., Kavala, A. and </w:t>
      </w:r>
      <w:proofErr w:type="spellStart"/>
      <w:r w:rsidRPr="004D45B3">
        <w:rPr>
          <w:color w:val="000000" w:themeColor="text1"/>
        </w:rPr>
        <w:t>Subirón</w:t>
      </w:r>
      <w:proofErr w:type="spellEnd"/>
      <w:r w:rsidRPr="004D45B3">
        <w:rPr>
          <w:color w:val="000000" w:themeColor="text1"/>
        </w:rPr>
        <w:t xml:space="preserve">-Valera, A.B. (2022). Qualified nurses’ perceptions of cultural competence and experiences of caring for culturally diverse patients: A qualitative study in four European countries. </w:t>
      </w:r>
      <w:r w:rsidRPr="004D45B3">
        <w:rPr>
          <w:i/>
          <w:iCs/>
          <w:color w:val="000000" w:themeColor="text1"/>
        </w:rPr>
        <w:t>Nursing Reports</w:t>
      </w:r>
      <w:r w:rsidRPr="004D45B3">
        <w:rPr>
          <w:color w:val="000000" w:themeColor="text1"/>
        </w:rPr>
        <w:t>, [online] 12(2), pp.348–364. doi:10.3390/nursrep12020034.</w:t>
      </w:r>
    </w:p>
    <w:p w14:paraId="244FF9AF" w14:textId="77777777" w:rsidR="00BE776A" w:rsidRPr="004D45B3" w:rsidRDefault="0007681E">
      <w:pPr>
        <w:spacing w:after="240"/>
        <w:rPr>
          <w:color w:val="000000" w:themeColor="text1"/>
        </w:rPr>
      </w:pPr>
      <w:r w:rsidRPr="004D45B3">
        <w:rPr>
          <w:rFonts w:cs="Arial"/>
          <w:color w:val="000000" w:themeColor="text1"/>
          <w:szCs w:val="24"/>
        </w:rPr>
        <w:t xml:space="preserve">Bansal, N. </w:t>
      </w:r>
      <w:r w:rsidRPr="004D45B3">
        <w:rPr>
          <w:rFonts w:cs="Arial"/>
          <w:i/>
          <w:iCs/>
          <w:color w:val="000000" w:themeColor="text1"/>
          <w:szCs w:val="24"/>
        </w:rPr>
        <w:t>et al.</w:t>
      </w:r>
      <w:r w:rsidRPr="004D45B3">
        <w:rPr>
          <w:rFonts w:cs="Arial"/>
          <w:color w:val="000000" w:themeColor="text1"/>
          <w:szCs w:val="24"/>
        </w:rPr>
        <w:t xml:space="preserve"> (2022) “Understanding ethnic inequalities in Mental healthcare in the UK: A meta-ethnography,” </w:t>
      </w:r>
      <w:r w:rsidRPr="004D45B3">
        <w:rPr>
          <w:rFonts w:cs="Arial"/>
          <w:i/>
          <w:iCs/>
          <w:color w:val="000000" w:themeColor="text1"/>
          <w:szCs w:val="24"/>
        </w:rPr>
        <w:t>PLOS medicine</w:t>
      </w:r>
      <w:r w:rsidRPr="004D45B3">
        <w:rPr>
          <w:rFonts w:cs="Arial"/>
          <w:color w:val="000000" w:themeColor="text1"/>
          <w:szCs w:val="24"/>
        </w:rPr>
        <w:t xml:space="preserve">, 19(12), pp. 1–36. Available at: </w:t>
      </w:r>
      <w:hyperlink r:id="rId16" w:history="1">
        <w:r w:rsidR="00BE776A" w:rsidRPr="004D45B3">
          <w:rPr>
            <w:rStyle w:val="Hyperlink"/>
            <w:rFonts w:cs="Arial"/>
            <w:color w:val="000000" w:themeColor="text1"/>
            <w:szCs w:val="24"/>
          </w:rPr>
          <w:t>https://doi.org/10.1371/journal.pmed.1004139</w:t>
        </w:r>
      </w:hyperlink>
      <w:r w:rsidRPr="004D45B3">
        <w:rPr>
          <w:rFonts w:cs="Arial"/>
          <w:color w:val="000000" w:themeColor="text1"/>
          <w:szCs w:val="24"/>
        </w:rPr>
        <w:t xml:space="preserve">. </w:t>
      </w:r>
    </w:p>
    <w:p w14:paraId="2B2A6E91" w14:textId="77777777" w:rsidR="00BE776A" w:rsidRPr="004D45B3" w:rsidRDefault="0007681E">
      <w:pPr>
        <w:spacing w:after="240"/>
        <w:rPr>
          <w:color w:val="000000" w:themeColor="text1"/>
        </w:rPr>
      </w:pPr>
      <w:r w:rsidRPr="004D45B3">
        <w:rPr>
          <w:rFonts w:cs="Arial"/>
          <w:color w:val="000000" w:themeColor="text1"/>
          <w:szCs w:val="24"/>
        </w:rPr>
        <w:t xml:space="preserve">Bennett, D. (2003). </w:t>
      </w:r>
      <w:r w:rsidRPr="004D45B3">
        <w:rPr>
          <w:rFonts w:cs="Arial"/>
          <w:i/>
          <w:iCs/>
          <w:color w:val="000000" w:themeColor="text1"/>
          <w:szCs w:val="24"/>
        </w:rPr>
        <w:t>Independent Inquiry into the death of David Bennett</w:t>
      </w:r>
      <w:r w:rsidRPr="004D45B3">
        <w:rPr>
          <w:rFonts w:cs="Arial"/>
          <w:color w:val="000000" w:themeColor="text1"/>
          <w:szCs w:val="24"/>
        </w:rPr>
        <w:t>. [online] Available at: https://image.guardian.co.uk/sys-files/Society/documents/2004/02/12/Bennett.pdf [Accessed 21 Sept. 2026].</w:t>
      </w:r>
    </w:p>
    <w:p w14:paraId="15E068CD" w14:textId="77777777" w:rsidR="00BE776A" w:rsidRPr="004D45B3" w:rsidRDefault="0007681E">
      <w:pPr>
        <w:rPr>
          <w:color w:val="000000" w:themeColor="text1"/>
        </w:rPr>
      </w:pPr>
      <w:r w:rsidRPr="004D45B3">
        <w:rPr>
          <w:rFonts w:cs="Arial"/>
          <w:color w:val="000000" w:themeColor="text1"/>
          <w:szCs w:val="24"/>
          <w:shd w:val="clear" w:color="auto" w:fill="FFFFFF"/>
        </w:rPr>
        <w:t xml:space="preserve">Braun, V. and Clarke, V., (2023). Toward good practice in thematic analysis: Avoiding common problems and be (com) </w:t>
      </w:r>
      <w:proofErr w:type="spellStart"/>
      <w:r w:rsidRPr="004D45B3">
        <w:rPr>
          <w:rFonts w:cs="Arial"/>
          <w:color w:val="000000" w:themeColor="text1"/>
          <w:szCs w:val="24"/>
          <w:shd w:val="clear" w:color="auto" w:fill="FFFFFF"/>
        </w:rPr>
        <w:t>ing</w:t>
      </w:r>
      <w:proofErr w:type="spellEnd"/>
      <w:r w:rsidRPr="004D45B3">
        <w:rPr>
          <w:rFonts w:cs="Arial"/>
          <w:color w:val="000000" w:themeColor="text1"/>
          <w:szCs w:val="24"/>
          <w:shd w:val="clear" w:color="auto" w:fill="FFFFFF"/>
        </w:rPr>
        <w:t xml:space="preserve"> a knowing researcher. </w:t>
      </w:r>
      <w:r w:rsidRPr="004D45B3">
        <w:rPr>
          <w:rFonts w:cs="Arial"/>
          <w:i/>
          <w:iCs/>
          <w:color w:val="000000" w:themeColor="text1"/>
          <w:szCs w:val="24"/>
          <w:shd w:val="clear" w:color="auto" w:fill="FFFFFF"/>
        </w:rPr>
        <w:t>International journal of transgender health</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24</w:t>
      </w:r>
      <w:r w:rsidRPr="004D45B3">
        <w:rPr>
          <w:rFonts w:cs="Arial"/>
          <w:color w:val="000000" w:themeColor="text1"/>
          <w:szCs w:val="24"/>
          <w:shd w:val="clear" w:color="auto" w:fill="FFFFFF"/>
        </w:rPr>
        <w:t>(1), pp.1-6.</w:t>
      </w:r>
      <w:r w:rsidRPr="004D45B3">
        <w:rPr>
          <w:rFonts w:cs="Arial"/>
          <w:color w:val="000000" w:themeColor="text1"/>
          <w:szCs w:val="24"/>
        </w:rPr>
        <w:t xml:space="preserve"> </w:t>
      </w:r>
      <w:hyperlink r:id="rId17" w:history="1">
        <w:r w:rsidR="00BE776A" w:rsidRPr="004D45B3">
          <w:rPr>
            <w:rStyle w:val="Hyperlink"/>
            <w:rFonts w:cs="Arial"/>
            <w:color w:val="000000" w:themeColor="text1"/>
            <w:szCs w:val="24"/>
          </w:rPr>
          <w:t>https://www.tandfonline.com/doi/pdf/10.1080/26895269.2022.2129597</w:t>
        </w:r>
      </w:hyperlink>
    </w:p>
    <w:p w14:paraId="5D2135D2" w14:textId="77777777" w:rsidR="00BE776A" w:rsidRPr="004D45B3" w:rsidRDefault="0007681E">
      <w:pPr>
        <w:pStyle w:val="NormalWeb"/>
        <w:spacing w:before="0" w:after="240" w:line="360" w:lineRule="auto"/>
        <w:rPr>
          <w:color w:val="000000" w:themeColor="text1"/>
        </w:rPr>
      </w:pPr>
      <w:r w:rsidRPr="004D45B3">
        <w:rPr>
          <w:rFonts w:ascii="Arial" w:hAnsi="Arial" w:cs="Arial"/>
          <w:color w:val="000000" w:themeColor="text1"/>
          <w:shd w:val="clear" w:color="auto" w:fill="FFFFFF"/>
        </w:rPr>
        <w:t xml:space="preserve">Bull and </w:t>
      </w:r>
      <w:proofErr w:type="spellStart"/>
      <w:r w:rsidRPr="004D45B3">
        <w:rPr>
          <w:rFonts w:ascii="Arial" w:hAnsi="Arial" w:cs="Arial"/>
          <w:color w:val="000000" w:themeColor="text1"/>
          <w:shd w:val="clear" w:color="auto" w:fill="FFFFFF"/>
        </w:rPr>
        <w:t>Mittelmark</w:t>
      </w:r>
      <w:proofErr w:type="spellEnd"/>
      <w:r w:rsidRPr="004D45B3">
        <w:rPr>
          <w:rFonts w:ascii="Arial" w:hAnsi="Arial" w:cs="Arial"/>
          <w:color w:val="000000" w:themeColor="text1"/>
          <w:shd w:val="clear" w:color="auto" w:fill="FFFFFF"/>
        </w:rPr>
        <w:t xml:space="preserve"> (2016). Living conditions and determinants of Social position amongst women of child-bearing age in Very poor </w:t>
      </w:r>
      <w:proofErr w:type="spellStart"/>
      <w:r w:rsidRPr="004D45B3">
        <w:rPr>
          <w:rFonts w:ascii="Arial" w:hAnsi="Arial" w:cs="Arial"/>
          <w:color w:val="000000" w:themeColor="text1"/>
          <w:shd w:val="clear" w:color="auto" w:fill="FFFFFF"/>
        </w:rPr>
        <w:t>ruralities</w:t>
      </w:r>
      <w:proofErr w:type="spellEnd"/>
      <w:r w:rsidRPr="004D45B3">
        <w:rPr>
          <w:rFonts w:ascii="Arial" w:hAnsi="Arial" w:cs="Arial"/>
          <w:color w:val="000000" w:themeColor="text1"/>
          <w:shd w:val="clear" w:color="auto" w:fill="FFFFFF"/>
        </w:rPr>
        <w:t xml:space="preserve">: Qualitative exploratory studies in India, </w:t>
      </w:r>
      <w:proofErr w:type="spellStart"/>
      <w:r w:rsidRPr="004D45B3">
        <w:rPr>
          <w:rFonts w:ascii="Arial" w:hAnsi="Arial" w:cs="Arial"/>
          <w:color w:val="000000" w:themeColor="text1"/>
          <w:shd w:val="clear" w:color="auto" w:fill="FFFFFF"/>
        </w:rPr>
        <w:t>ghana</w:t>
      </w:r>
      <w:proofErr w:type="spellEnd"/>
      <w:r w:rsidRPr="004D45B3">
        <w:rPr>
          <w:rFonts w:ascii="Arial" w:hAnsi="Arial" w:cs="Arial"/>
          <w:color w:val="000000" w:themeColor="text1"/>
          <w:shd w:val="clear" w:color="auto" w:fill="FFFFFF"/>
        </w:rPr>
        <w:t xml:space="preserve">, and </w:t>
      </w:r>
      <w:proofErr w:type="spellStart"/>
      <w:r w:rsidRPr="004D45B3">
        <w:rPr>
          <w:rFonts w:ascii="Arial" w:hAnsi="Arial" w:cs="Arial"/>
          <w:color w:val="000000" w:themeColor="text1"/>
          <w:shd w:val="clear" w:color="auto" w:fill="FFFFFF"/>
        </w:rPr>
        <w:t>haiti</w:t>
      </w:r>
      <w:proofErr w:type="spellEnd"/>
      <w:r w:rsidRPr="004D45B3">
        <w:rPr>
          <w:rFonts w:ascii="Arial" w:hAnsi="Arial" w:cs="Arial"/>
          <w:color w:val="000000" w:themeColor="text1"/>
          <w:shd w:val="clear" w:color="auto" w:fill="FFFFFF"/>
        </w:rPr>
        <w:t>. [online] 5(1). Available at: https://www.researchgate.net/publication/234022871_living_conditions_and_determinants_of_social_position_amongst_women_of_child-bearing_age_in_very_poor_ruralities_qualitative_exploratory_studies_in_india_ghana_and_haiti [Accessed 24 July 2026].</w:t>
      </w:r>
    </w:p>
    <w:p w14:paraId="5E1A9FB7" w14:textId="77777777" w:rsidR="00BE776A" w:rsidRPr="004D45B3" w:rsidRDefault="0007681E">
      <w:pPr>
        <w:pStyle w:val="NormalWeb"/>
        <w:spacing w:before="240" w:after="0" w:line="360" w:lineRule="auto"/>
        <w:rPr>
          <w:color w:val="000000" w:themeColor="text1"/>
        </w:rPr>
      </w:pPr>
      <w:r w:rsidRPr="004D45B3">
        <w:rPr>
          <w:rFonts w:ascii="Arial" w:hAnsi="Arial" w:cs="Arial"/>
          <w:color w:val="000000" w:themeColor="text1"/>
          <w:shd w:val="clear" w:color="auto" w:fill="FFFFFF"/>
        </w:rPr>
        <w:t xml:space="preserve">Carroll, S.R., Suina, M., Jäger, M.B., Black, J., Cornell, S., Gonzales, A.A., Jorgensen, M., </w:t>
      </w:r>
      <w:proofErr w:type="spellStart"/>
      <w:r w:rsidRPr="004D45B3">
        <w:rPr>
          <w:rFonts w:ascii="Arial" w:hAnsi="Arial" w:cs="Arial"/>
          <w:color w:val="000000" w:themeColor="text1"/>
          <w:shd w:val="clear" w:color="auto" w:fill="FFFFFF"/>
        </w:rPr>
        <w:t>Palmanteer</w:t>
      </w:r>
      <w:proofErr w:type="spellEnd"/>
      <w:r w:rsidRPr="004D45B3">
        <w:rPr>
          <w:rFonts w:ascii="Arial" w:hAnsi="Arial" w:cs="Arial"/>
          <w:color w:val="000000" w:themeColor="text1"/>
          <w:shd w:val="clear" w:color="auto" w:fill="FFFFFF"/>
        </w:rPr>
        <w:t xml:space="preserve">-Holder, N.L., De La Rosa, J.S. and Teufel-Shone, N.I., (2022). Reclaiming indigenous health in the US: moving beyond the social determinants of health. </w:t>
      </w:r>
      <w:r w:rsidRPr="004D45B3">
        <w:rPr>
          <w:rFonts w:ascii="Arial" w:hAnsi="Arial" w:cs="Arial"/>
          <w:i/>
          <w:iCs/>
          <w:color w:val="000000" w:themeColor="text1"/>
          <w:shd w:val="clear" w:color="auto" w:fill="FFFFFF"/>
        </w:rPr>
        <w:t>International Journal of Environmental Research and Public Health</w:t>
      </w:r>
      <w:r w:rsidRPr="004D45B3">
        <w:rPr>
          <w:rFonts w:ascii="Arial" w:hAnsi="Arial" w:cs="Arial"/>
          <w:color w:val="000000" w:themeColor="text1"/>
          <w:shd w:val="clear" w:color="auto" w:fill="FFFFFF"/>
        </w:rPr>
        <w:t xml:space="preserve">, </w:t>
      </w:r>
      <w:r w:rsidRPr="004D45B3">
        <w:rPr>
          <w:rFonts w:ascii="Arial" w:hAnsi="Arial" w:cs="Arial"/>
          <w:i/>
          <w:iCs/>
          <w:color w:val="000000" w:themeColor="text1"/>
          <w:shd w:val="clear" w:color="auto" w:fill="FFFFFF"/>
        </w:rPr>
        <w:t>19</w:t>
      </w:r>
      <w:r w:rsidRPr="004D45B3">
        <w:rPr>
          <w:rFonts w:ascii="Arial" w:hAnsi="Arial" w:cs="Arial"/>
          <w:color w:val="000000" w:themeColor="text1"/>
          <w:shd w:val="clear" w:color="auto" w:fill="FFFFFF"/>
        </w:rPr>
        <w:t xml:space="preserve">(12), p.7495. </w:t>
      </w:r>
      <w:hyperlink r:id="rId18" w:history="1">
        <w:r w:rsidR="00BE776A" w:rsidRPr="004D45B3">
          <w:rPr>
            <w:rStyle w:val="Hyperlink"/>
            <w:rFonts w:ascii="Arial" w:hAnsi="Arial" w:cs="Arial"/>
            <w:color w:val="000000" w:themeColor="text1"/>
            <w:shd w:val="clear" w:color="auto" w:fill="FFFFFF"/>
          </w:rPr>
          <w:t>https://www.mdpi.com/1660-4601/19/12/7495</w:t>
        </w:r>
      </w:hyperlink>
    </w:p>
    <w:p w14:paraId="3E6E14EF" w14:textId="77777777" w:rsidR="00BE776A" w:rsidRPr="004D45B3" w:rsidRDefault="0007681E">
      <w:pPr>
        <w:spacing w:before="240" w:after="240"/>
        <w:rPr>
          <w:color w:val="000000" w:themeColor="text1"/>
        </w:rPr>
      </w:pPr>
      <w:r w:rsidRPr="004D45B3">
        <w:rPr>
          <w:rFonts w:cs="Arial"/>
          <w:color w:val="000000" w:themeColor="text1"/>
          <w:szCs w:val="24"/>
          <w:lang w:val="en-IN"/>
        </w:rPr>
        <w:t xml:space="preserve">Chau, S., Hyde, E., Knapp, K. and Hayre, C. eds., (2024). </w:t>
      </w:r>
      <w:r w:rsidRPr="004D45B3">
        <w:rPr>
          <w:rFonts w:cs="Arial"/>
          <w:i/>
          <w:iCs/>
          <w:color w:val="000000" w:themeColor="text1"/>
          <w:szCs w:val="24"/>
          <w:lang w:val="en-IN"/>
        </w:rPr>
        <w:t>Person-centred care in radiology: international perspectives on high-quality care</w:t>
      </w:r>
      <w:r w:rsidRPr="004D45B3">
        <w:rPr>
          <w:rFonts w:cs="Arial"/>
          <w:color w:val="000000" w:themeColor="text1"/>
          <w:szCs w:val="24"/>
          <w:lang w:val="en-IN"/>
        </w:rPr>
        <w:t xml:space="preserve">. CRC Press. </w:t>
      </w:r>
      <w:hyperlink r:id="rId19" w:history="1">
        <w:r w:rsidR="00BE776A" w:rsidRPr="004D45B3">
          <w:rPr>
            <w:rStyle w:val="Hyperlink"/>
            <w:rFonts w:cs="Arial"/>
            <w:color w:val="000000" w:themeColor="text1"/>
            <w:szCs w:val="24"/>
            <w:lang w:val="en-IN"/>
          </w:rPr>
          <w:t>https://books.google.com/books?hl=en&amp;lr=&amp;id=EWX1EAAAQBAJ&amp;oi=fnd&amp;pg=PA1987&amp;dq=culturally+competent+care+(CCC)++entail+the+ability+of+healthcare+providers+to+deliver+respectful,+fair+and+person-centred+care+sensitive+to+cultural+beliefs,+linguistic+and+cultural+values+of+language+&amp;ots=cgrFX5sFfK&amp;sig=gHdEkGK99Lb-4LmubstHVxrDD1k</w:t>
        </w:r>
      </w:hyperlink>
    </w:p>
    <w:p w14:paraId="2025EC6B" w14:textId="77777777" w:rsidR="00BE776A" w:rsidRPr="004D45B3" w:rsidRDefault="0007681E">
      <w:pPr>
        <w:spacing w:after="240"/>
        <w:rPr>
          <w:color w:val="000000" w:themeColor="text1"/>
        </w:rPr>
      </w:pPr>
      <w:r w:rsidRPr="004D45B3">
        <w:rPr>
          <w:rFonts w:cs="Arial"/>
          <w:color w:val="000000" w:themeColor="text1"/>
          <w:szCs w:val="24"/>
        </w:rPr>
        <w:t xml:space="preserve">Chigbu, U.E., Atiku, S.O. and Du Plessis, C.C. (2023). The science of literature reviews: Searching, identifying, selecting, and synthesising. </w:t>
      </w:r>
      <w:r w:rsidRPr="004D45B3">
        <w:rPr>
          <w:rFonts w:cs="Arial"/>
          <w:i/>
          <w:iCs/>
          <w:color w:val="000000" w:themeColor="text1"/>
          <w:szCs w:val="24"/>
        </w:rPr>
        <w:t>Publications</w:t>
      </w:r>
      <w:r w:rsidRPr="004D45B3">
        <w:rPr>
          <w:rFonts w:cs="Arial"/>
          <w:color w:val="000000" w:themeColor="text1"/>
          <w:szCs w:val="24"/>
        </w:rPr>
        <w:t xml:space="preserve">, [online] 11(1), p.2. </w:t>
      </w:r>
      <w:proofErr w:type="spellStart"/>
      <w:r w:rsidRPr="004D45B3">
        <w:rPr>
          <w:rFonts w:cs="Arial"/>
          <w:color w:val="000000" w:themeColor="text1"/>
          <w:szCs w:val="24"/>
        </w:rPr>
        <w:t>doi:https</w:t>
      </w:r>
      <w:proofErr w:type="spellEnd"/>
      <w:r w:rsidRPr="004D45B3">
        <w:rPr>
          <w:rFonts w:cs="Arial"/>
          <w:color w:val="000000" w:themeColor="text1"/>
          <w:szCs w:val="24"/>
        </w:rPr>
        <w:t>://doi.org/10.3390/publications11010002.</w:t>
      </w:r>
    </w:p>
    <w:p w14:paraId="69EB854F" w14:textId="77777777" w:rsidR="00BE776A" w:rsidRPr="004D45B3" w:rsidRDefault="0007681E">
      <w:pPr>
        <w:spacing w:after="240"/>
        <w:rPr>
          <w:color w:val="000000" w:themeColor="text1"/>
        </w:rPr>
      </w:pPr>
      <w:r w:rsidRPr="004D45B3">
        <w:rPr>
          <w:rFonts w:cs="Arial"/>
          <w:color w:val="000000" w:themeColor="text1"/>
          <w:szCs w:val="24"/>
          <w:lang w:val="en-IN"/>
        </w:rPr>
        <w:t xml:space="preserve">Churchwell, K., Elkind, M.S.V., Benjamin, R.M., Carson, A.P., Chang, E.K., Lawrence, W., Mills, A., Odom, T.M., Rodriguez, C.J., Rodriguez, F., Sanchez, E., Sharrief, A.Z., Sims, M. and Williams, O. (2020). Call to action: Structural racism as a fundamental driver of Health disparities: A presidential advisory from the </w:t>
      </w:r>
      <w:proofErr w:type="spellStart"/>
      <w:r w:rsidRPr="004D45B3">
        <w:rPr>
          <w:rFonts w:cs="Arial"/>
          <w:color w:val="000000" w:themeColor="text1"/>
          <w:szCs w:val="24"/>
          <w:lang w:val="en-IN"/>
        </w:rPr>
        <w:t>american</w:t>
      </w:r>
      <w:proofErr w:type="spellEnd"/>
      <w:r w:rsidRPr="004D45B3">
        <w:rPr>
          <w:rFonts w:cs="Arial"/>
          <w:color w:val="000000" w:themeColor="text1"/>
          <w:szCs w:val="24"/>
          <w:lang w:val="en-IN"/>
        </w:rPr>
        <w:t xml:space="preserve"> heart association. </w:t>
      </w:r>
      <w:r w:rsidRPr="004D45B3">
        <w:rPr>
          <w:rFonts w:cs="Arial"/>
          <w:i/>
          <w:iCs/>
          <w:color w:val="000000" w:themeColor="text1"/>
          <w:szCs w:val="24"/>
          <w:lang w:val="en-IN"/>
        </w:rPr>
        <w:t>Circulation</w:t>
      </w:r>
      <w:r w:rsidRPr="004D45B3">
        <w:rPr>
          <w:rFonts w:cs="Arial"/>
          <w:color w:val="000000" w:themeColor="text1"/>
          <w:szCs w:val="24"/>
          <w:lang w:val="en-IN"/>
        </w:rPr>
        <w:t>, 142(24), pp.454–468. doi:10.1161/cir.0000000000000936.</w:t>
      </w:r>
    </w:p>
    <w:p w14:paraId="0B6609A2" w14:textId="77777777" w:rsidR="00BE776A" w:rsidRPr="004D45B3" w:rsidRDefault="0007681E">
      <w:pPr>
        <w:spacing w:after="240"/>
        <w:rPr>
          <w:color w:val="000000" w:themeColor="text1"/>
        </w:rPr>
      </w:pPr>
      <w:r w:rsidRPr="004D45B3">
        <w:rPr>
          <w:rFonts w:cs="Arial"/>
          <w:color w:val="000000" w:themeColor="text1"/>
          <w:szCs w:val="24"/>
          <w:lang w:val="en-IN"/>
        </w:rPr>
        <w:t xml:space="preserve">Cluley, V., Thomas-Ekweh, G. and Oli, U. (2026). Exploring the relationship between race, older age, and health inequality in the UK: The experience of racialised minority older adults living in the UK. </w:t>
      </w:r>
      <w:r w:rsidRPr="004D45B3">
        <w:rPr>
          <w:rFonts w:cs="Arial"/>
          <w:i/>
          <w:iCs/>
          <w:color w:val="000000" w:themeColor="text1"/>
          <w:szCs w:val="24"/>
          <w:lang w:val="en-IN"/>
        </w:rPr>
        <w:t>Social Science &amp; Medicine</w:t>
      </w:r>
      <w:r w:rsidRPr="004D45B3">
        <w:rPr>
          <w:rFonts w:cs="Arial"/>
          <w:color w:val="000000" w:themeColor="text1"/>
          <w:szCs w:val="24"/>
          <w:lang w:val="en-IN"/>
        </w:rPr>
        <w:t>, [online] 400, p.119313. doi:10.1016/j.socscimed.2026.119313.</w:t>
      </w:r>
    </w:p>
    <w:p w14:paraId="648C4ED6" w14:textId="77777777" w:rsidR="00BE776A" w:rsidRPr="004D45B3" w:rsidRDefault="0007681E">
      <w:pPr>
        <w:spacing w:after="240"/>
        <w:rPr>
          <w:color w:val="000000" w:themeColor="text1"/>
        </w:rPr>
      </w:pPr>
      <w:r w:rsidRPr="004D45B3">
        <w:rPr>
          <w:rFonts w:cs="Arial"/>
          <w:color w:val="000000" w:themeColor="text1"/>
          <w:szCs w:val="24"/>
          <w:lang w:val="en-IN"/>
        </w:rPr>
        <w:t xml:space="preserve">Coates, M., Shah, A.B., Igwe, R. and Wan, Y.I., (2024). The relationship between ethnicity and socioeconomic deprivation as determinants of health: a systematic review. </w:t>
      </w:r>
      <w:proofErr w:type="spellStart"/>
      <w:r w:rsidRPr="004D45B3">
        <w:rPr>
          <w:rFonts w:cs="Arial"/>
          <w:i/>
          <w:iCs/>
          <w:color w:val="000000" w:themeColor="text1"/>
          <w:szCs w:val="24"/>
          <w:lang w:val="en-IN"/>
        </w:rPr>
        <w:t>medRxiv</w:t>
      </w:r>
      <w:proofErr w:type="spellEnd"/>
      <w:r w:rsidRPr="004D45B3">
        <w:rPr>
          <w:rFonts w:cs="Arial"/>
          <w:color w:val="000000" w:themeColor="text1"/>
          <w:szCs w:val="24"/>
          <w:lang w:val="en-IN"/>
        </w:rPr>
        <w:t>, pp.2024-03. doi:10.1101/2024.03.06.24303819.</w:t>
      </w:r>
    </w:p>
    <w:p w14:paraId="75B9506A" w14:textId="77777777" w:rsidR="00BE776A" w:rsidRPr="004D45B3" w:rsidRDefault="0007681E">
      <w:pPr>
        <w:rPr>
          <w:color w:val="000000" w:themeColor="text1"/>
        </w:rPr>
      </w:pPr>
      <w:r w:rsidRPr="004D45B3">
        <w:rPr>
          <w:rFonts w:cs="Arial"/>
          <w:color w:val="000000" w:themeColor="text1"/>
          <w:szCs w:val="24"/>
          <w:shd w:val="clear" w:color="auto" w:fill="FFFFFF"/>
        </w:rPr>
        <w:t xml:space="preserve">David, A., </w:t>
      </w:r>
      <w:proofErr w:type="spellStart"/>
      <w:r w:rsidRPr="004D45B3">
        <w:rPr>
          <w:rFonts w:cs="Arial"/>
          <w:color w:val="000000" w:themeColor="text1"/>
          <w:szCs w:val="24"/>
          <w:shd w:val="clear" w:color="auto" w:fill="FFFFFF"/>
        </w:rPr>
        <w:t>Yigitcanlar</w:t>
      </w:r>
      <w:proofErr w:type="spellEnd"/>
      <w:r w:rsidRPr="004D45B3">
        <w:rPr>
          <w:rFonts w:cs="Arial"/>
          <w:color w:val="000000" w:themeColor="text1"/>
          <w:szCs w:val="24"/>
          <w:shd w:val="clear" w:color="auto" w:fill="FFFFFF"/>
        </w:rPr>
        <w:t xml:space="preserve">, T., Li, R.Y.M., Corchado, J.M., Cheong, P.H., Mossberger, K. and Mehmood, R., (2023). Understanding local government digital technology adoption strategies: A PRISMA review. </w:t>
      </w:r>
      <w:r w:rsidRPr="004D45B3">
        <w:rPr>
          <w:rFonts w:cs="Arial"/>
          <w:i/>
          <w:iCs/>
          <w:color w:val="000000" w:themeColor="text1"/>
          <w:szCs w:val="24"/>
          <w:shd w:val="clear" w:color="auto" w:fill="FFFFFF"/>
        </w:rPr>
        <w:t>Sustainability</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15</w:t>
      </w:r>
      <w:r w:rsidRPr="004D45B3">
        <w:rPr>
          <w:rFonts w:cs="Arial"/>
          <w:color w:val="000000" w:themeColor="text1"/>
          <w:szCs w:val="24"/>
          <w:shd w:val="clear" w:color="auto" w:fill="FFFFFF"/>
        </w:rPr>
        <w:t>(12), p.9645.</w:t>
      </w:r>
      <w:r w:rsidRPr="004D45B3">
        <w:rPr>
          <w:rFonts w:cs="Arial"/>
          <w:color w:val="000000" w:themeColor="text1"/>
          <w:szCs w:val="24"/>
        </w:rPr>
        <w:t xml:space="preserve"> </w:t>
      </w:r>
      <w:hyperlink r:id="rId20" w:history="1">
        <w:r w:rsidR="00BE776A" w:rsidRPr="004D45B3">
          <w:rPr>
            <w:rStyle w:val="Hyperlink"/>
            <w:rFonts w:cs="Arial"/>
            <w:color w:val="000000" w:themeColor="text1"/>
            <w:szCs w:val="24"/>
          </w:rPr>
          <w:t>https://www.mdpi.com/2071-1050/15/12/9645</w:t>
        </w:r>
      </w:hyperlink>
    </w:p>
    <w:p w14:paraId="614EE931" w14:textId="77777777" w:rsidR="00BE776A" w:rsidRPr="004D45B3" w:rsidRDefault="0007681E">
      <w:pPr>
        <w:spacing w:after="240"/>
        <w:rPr>
          <w:color w:val="000000" w:themeColor="text1"/>
        </w:rPr>
      </w:pPr>
      <w:r w:rsidRPr="004D45B3">
        <w:rPr>
          <w:rFonts w:cs="Arial"/>
          <w:color w:val="000000" w:themeColor="text1"/>
          <w:szCs w:val="24"/>
          <w:lang w:val="en-IN"/>
        </w:rPr>
        <w:t xml:space="preserve">Dawson, S., </w:t>
      </w:r>
      <w:proofErr w:type="spellStart"/>
      <w:r w:rsidRPr="004D45B3">
        <w:rPr>
          <w:rFonts w:cs="Arial"/>
          <w:color w:val="000000" w:themeColor="text1"/>
          <w:szCs w:val="24"/>
          <w:lang w:val="en-IN"/>
        </w:rPr>
        <w:t>Ostrovska</w:t>
      </w:r>
      <w:proofErr w:type="spellEnd"/>
      <w:r w:rsidRPr="004D45B3">
        <w:rPr>
          <w:rFonts w:cs="Arial"/>
          <w:color w:val="000000" w:themeColor="text1"/>
          <w:szCs w:val="24"/>
          <w:lang w:val="en-IN"/>
        </w:rPr>
        <w:t xml:space="preserve">, B., Treweek, S., Gillies, K., Witham, M., Devane, D., </w:t>
      </w:r>
      <w:proofErr w:type="spellStart"/>
      <w:r w:rsidRPr="004D45B3">
        <w:rPr>
          <w:rFonts w:cs="Arial"/>
          <w:color w:val="000000" w:themeColor="text1"/>
          <w:szCs w:val="24"/>
          <w:lang w:val="en-IN"/>
        </w:rPr>
        <w:t>Khunti</w:t>
      </w:r>
      <w:proofErr w:type="spellEnd"/>
      <w:r w:rsidRPr="004D45B3">
        <w:rPr>
          <w:rFonts w:cs="Arial"/>
          <w:color w:val="000000" w:themeColor="text1"/>
          <w:szCs w:val="24"/>
          <w:lang w:val="en-IN"/>
        </w:rPr>
        <w:t xml:space="preserve">, K., Bower, P., Parker, A., Soulsby, I. and Green, H., (2025). Sometimes different, often the same: guidance on how recruitment and retention in trials need to be tailored to enhance participation of ethnic minority groups: a qualitative interview study in England. </w:t>
      </w:r>
      <w:r w:rsidRPr="004D45B3">
        <w:rPr>
          <w:rFonts w:cs="Arial"/>
          <w:i/>
          <w:iCs/>
          <w:color w:val="000000" w:themeColor="text1"/>
          <w:szCs w:val="24"/>
          <w:lang w:val="en-IN"/>
        </w:rPr>
        <w:t>J Clin Epidemiol</w:t>
      </w:r>
      <w:r w:rsidRPr="004D45B3">
        <w:rPr>
          <w:rFonts w:cs="Arial"/>
          <w:color w:val="000000" w:themeColor="text1"/>
          <w:szCs w:val="24"/>
          <w:lang w:val="en-IN"/>
        </w:rPr>
        <w:t xml:space="preserve">, </w:t>
      </w:r>
      <w:r w:rsidRPr="004D45B3">
        <w:rPr>
          <w:rFonts w:cs="Arial"/>
          <w:i/>
          <w:iCs/>
          <w:color w:val="000000" w:themeColor="text1"/>
          <w:szCs w:val="24"/>
          <w:lang w:val="en-IN"/>
        </w:rPr>
        <w:t>188</w:t>
      </w:r>
      <w:r w:rsidRPr="004D45B3">
        <w:rPr>
          <w:rFonts w:cs="Arial"/>
          <w:color w:val="000000" w:themeColor="text1"/>
          <w:szCs w:val="24"/>
          <w:lang w:val="en-IN"/>
        </w:rPr>
        <w:t>, p.112005. doi:10.1016/j.jclinepi.2025.112005.</w:t>
      </w:r>
    </w:p>
    <w:p w14:paraId="2B54F237" w14:textId="77777777" w:rsidR="00BE776A" w:rsidRPr="004D45B3" w:rsidRDefault="0007681E">
      <w:pPr>
        <w:spacing w:after="240"/>
        <w:rPr>
          <w:color w:val="000000" w:themeColor="text1"/>
        </w:rPr>
      </w:pPr>
      <w:r w:rsidRPr="004D45B3">
        <w:rPr>
          <w:rFonts w:cs="Arial"/>
          <w:color w:val="000000" w:themeColor="text1"/>
          <w:szCs w:val="24"/>
        </w:rPr>
        <w:t xml:space="preserve">Devonport, T.J., Ward, G., Morrissey, H., Burt, C., Harris, J., Burt, S., Patel, R., Manning, R., Paredes, R. and Nicholls, W. (2022). A systematic review of inequalities in the mental health experiences of black African, black </w:t>
      </w:r>
      <w:proofErr w:type="spellStart"/>
      <w:r w:rsidRPr="004D45B3">
        <w:rPr>
          <w:rFonts w:cs="Arial"/>
          <w:color w:val="000000" w:themeColor="text1"/>
          <w:szCs w:val="24"/>
        </w:rPr>
        <w:t>caribbean</w:t>
      </w:r>
      <w:proofErr w:type="spellEnd"/>
      <w:r w:rsidRPr="004D45B3">
        <w:rPr>
          <w:rFonts w:cs="Arial"/>
          <w:color w:val="000000" w:themeColor="text1"/>
          <w:szCs w:val="24"/>
        </w:rPr>
        <w:t xml:space="preserve"> and black-mixed UK populations: Implications for action. </w:t>
      </w:r>
      <w:r w:rsidRPr="004D45B3">
        <w:rPr>
          <w:rFonts w:cs="Arial"/>
          <w:i/>
          <w:iCs/>
          <w:color w:val="000000" w:themeColor="text1"/>
          <w:szCs w:val="24"/>
        </w:rPr>
        <w:t>Journal of Racial and Ethnic Health Disparities</w:t>
      </w:r>
      <w:r w:rsidRPr="004D45B3">
        <w:rPr>
          <w:rFonts w:cs="Arial"/>
          <w:color w:val="000000" w:themeColor="text1"/>
          <w:szCs w:val="24"/>
        </w:rPr>
        <w:t>, [online] 10(4). doi:10.1007/s40615-022-01352-0.</w:t>
      </w:r>
    </w:p>
    <w:p w14:paraId="74DCF3A8" w14:textId="77777777" w:rsidR="00BE776A" w:rsidRPr="004D45B3" w:rsidRDefault="0007681E">
      <w:pPr>
        <w:spacing w:before="240" w:after="240"/>
        <w:rPr>
          <w:color w:val="000000" w:themeColor="text1"/>
        </w:rPr>
      </w:pPr>
      <w:r w:rsidRPr="004D45B3">
        <w:rPr>
          <w:rFonts w:cs="Arial"/>
          <w:color w:val="000000" w:themeColor="text1"/>
          <w:szCs w:val="24"/>
        </w:rPr>
        <w:t xml:space="preserve">Digital.nhs.uk, (2025). </w:t>
      </w:r>
      <w:r w:rsidRPr="004D45B3">
        <w:rPr>
          <w:rFonts w:cs="Arial"/>
          <w:i/>
          <w:iCs/>
          <w:color w:val="000000" w:themeColor="text1"/>
          <w:szCs w:val="24"/>
        </w:rPr>
        <w:t>Mental Health Act Statistics, Annual Figures, 2024-25.</w:t>
      </w:r>
      <w:r w:rsidRPr="004D45B3">
        <w:rPr>
          <w:rFonts w:cs="Arial"/>
          <w:color w:val="000000" w:themeColor="text1"/>
          <w:szCs w:val="24"/>
        </w:rPr>
        <w:t xml:space="preserve"> Digital.nhs.uk. Available at: </w:t>
      </w:r>
      <w:hyperlink r:id="rId21" w:history="1">
        <w:r w:rsidR="00BE776A" w:rsidRPr="004D45B3">
          <w:rPr>
            <w:rStyle w:val="Hyperlink"/>
            <w:rFonts w:cs="Arial"/>
            <w:color w:val="000000" w:themeColor="text1"/>
            <w:szCs w:val="24"/>
          </w:rPr>
          <w:t>https://digital.nhs.uk/data-and-information/publications/statistical/mental-health-act-statistics-annual-figures/2024-25-annual-figures/detentions-differences-between-groups-of-people</w:t>
        </w:r>
      </w:hyperlink>
      <w:r w:rsidRPr="004D45B3">
        <w:rPr>
          <w:rFonts w:cs="Arial"/>
          <w:color w:val="000000" w:themeColor="text1"/>
          <w:szCs w:val="24"/>
        </w:rPr>
        <w:t xml:space="preserve"> (Accessed: Sept 21, 2026)</w:t>
      </w:r>
    </w:p>
    <w:p w14:paraId="5B7C5F67" w14:textId="77777777" w:rsidR="00BE776A" w:rsidRPr="004D45B3" w:rsidRDefault="0007681E">
      <w:pPr>
        <w:spacing w:after="240"/>
        <w:rPr>
          <w:color w:val="000000" w:themeColor="text1"/>
        </w:rPr>
      </w:pPr>
      <w:r w:rsidRPr="004D45B3">
        <w:rPr>
          <w:rFonts w:cs="Arial"/>
          <w:color w:val="000000" w:themeColor="text1"/>
          <w:szCs w:val="24"/>
          <w:lang w:val="en-IN"/>
        </w:rPr>
        <w:t xml:space="preserve">Doherty, J.A., Johnson, M. and McPheron, H. (2021). Advancing health equity through organizational change. </w:t>
      </w:r>
      <w:r w:rsidRPr="004D45B3">
        <w:rPr>
          <w:rFonts w:cs="Arial"/>
          <w:i/>
          <w:iCs/>
          <w:color w:val="000000" w:themeColor="text1"/>
          <w:szCs w:val="24"/>
          <w:lang w:val="en-IN"/>
        </w:rPr>
        <w:t>Health care management review</w:t>
      </w:r>
      <w:r w:rsidRPr="004D45B3">
        <w:rPr>
          <w:rFonts w:cs="Arial"/>
          <w:color w:val="000000" w:themeColor="text1"/>
          <w:szCs w:val="24"/>
          <w:lang w:val="en-IN"/>
        </w:rPr>
        <w:t>, [online] 47(3). doi:10.1097/hmr.0000000000000326.</w:t>
      </w:r>
    </w:p>
    <w:p w14:paraId="4D64D77F" w14:textId="77777777" w:rsidR="00BE776A" w:rsidRPr="004D45B3" w:rsidRDefault="0007681E">
      <w:pPr>
        <w:spacing w:after="240"/>
        <w:rPr>
          <w:color w:val="000000" w:themeColor="text1"/>
        </w:rPr>
      </w:pPr>
      <w:r w:rsidRPr="004D45B3">
        <w:rPr>
          <w:rFonts w:cs="Arial"/>
          <w:color w:val="000000" w:themeColor="text1"/>
          <w:szCs w:val="24"/>
        </w:rPr>
        <w:t xml:space="preserve">Ekezie, W., Maxwell, A., Byron, M., </w:t>
      </w:r>
      <w:proofErr w:type="spellStart"/>
      <w:r w:rsidRPr="004D45B3">
        <w:rPr>
          <w:rFonts w:cs="Arial"/>
          <w:color w:val="000000" w:themeColor="text1"/>
          <w:szCs w:val="24"/>
        </w:rPr>
        <w:t>Czyznikowska</w:t>
      </w:r>
      <w:proofErr w:type="spellEnd"/>
      <w:r w:rsidRPr="004D45B3">
        <w:rPr>
          <w:rFonts w:cs="Arial"/>
          <w:color w:val="000000" w:themeColor="text1"/>
          <w:szCs w:val="24"/>
        </w:rPr>
        <w:t xml:space="preserve">, B., Osman, I., Moylan, K., Gong, S. and Pareek, M. (2022). Health communication and inequalities in primary care access during the COVID-19 pandemic among ethnic minorities in the United Kingdom: Lived experiences and recommendations. </w:t>
      </w:r>
      <w:r w:rsidRPr="004D45B3">
        <w:rPr>
          <w:rFonts w:cs="Arial"/>
          <w:i/>
          <w:iCs/>
          <w:color w:val="000000" w:themeColor="text1"/>
          <w:szCs w:val="24"/>
        </w:rPr>
        <w:t>International Journal of Environmental Research and Public Health</w:t>
      </w:r>
      <w:r w:rsidRPr="004D45B3">
        <w:rPr>
          <w:rFonts w:cs="Arial"/>
          <w:color w:val="000000" w:themeColor="text1"/>
          <w:szCs w:val="24"/>
        </w:rPr>
        <w:t>, [online] 19(22), p.15166. doi:10.3390/ijerph192215166.</w:t>
      </w:r>
    </w:p>
    <w:p w14:paraId="30ABFE40" w14:textId="77777777" w:rsidR="00BE776A" w:rsidRPr="004D45B3" w:rsidRDefault="0007681E">
      <w:pPr>
        <w:spacing w:after="240"/>
        <w:rPr>
          <w:color w:val="000000" w:themeColor="text1"/>
        </w:rPr>
      </w:pPr>
      <w:r w:rsidRPr="004D45B3">
        <w:rPr>
          <w:rFonts w:cs="Arial"/>
          <w:color w:val="000000" w:themeColor="text1"/>
          <w:szCs w:val="24"/>
          <w:lang w:val="en-IN"/>
        </w:rPr>
        <w:t xml:space="preserve">Elliott, H., Tozer, C., Fenton, A., Powers, C., Lines, C., Hill, M., Owolabi, B. and Ford, J.A. (2025). From policy to action: A document content analysis reviewing the adoption of the healthcare inequalities programme in local health system plans in England. </w:t>
      </w:r>
      <w:r w:rsidRPr="004D45B3">
        <w:rPr>
          <w:rFonts w:cs="Arial"/>
          <w:i/>
          <w:iCs/>
          <w:color w:val="000000" w:themeColor="text1"/>
          <w:szCs w:val="24"/>
          <w:lang w:val="en-IN"/>
        </w:rPr>
        <w:t>BMJ open</w:t>
      </w:r>
      <w:r w:rsidRPr="004D45B3">
        <w:rPr>
          <w:rFonts w:cs="Arial"/>
          <w:color w:val="000000" w:themeColor="text1"/>
          <w:szCs w:val="24"/>
          <w:lang w:val="en-IN"/>
        </w:rPr>
        <w:t>, 15(10), p.e102163. doi:10.1136/bmjopen-2025-102163.</w:t>
      </w:r>
    </w:p>
    <w:p w14:paraId="5145B24B" w14:textId="77777777" w:rsidR="00BE776A" w:rsidRPr="004D45B3" w:rsidRDefault="0007681E">
      <w:pPr>
        <w:spacing w:after="240"/>
        <w:rPr>
          <w:color w:val="000000" w:themeColor="text1"/>
        </w:rPr>
      </w:pPr>
      <w:r w:rsidRPr="004D45B3">
        <w:rPr>
          <w:rFonts w:cs="Arial"/>
          <w:color w:val="000000" w:themeColor="text1"/>
          <w:szCs w:val="24"/>
          <w:lang w:val="en-IN"/>
        </w:rPr>
        <w:t xml:space="preserve">Faizan Siddiqui, M., Jabeen, S., </w:t>
      </w:r>
      <w:proofErr w:type="spellStart"/>
      <w:r w:rsidRPr="004D45B3">
        <w:rPr>
          <w:rFonts w:cs="Arial"/>
          <w:color w:val="000000" w:themeColor="text1"/>
          <w:szCs w:val="24"/>
          <w:lang w:val="en-IN"/>
        </w:rPr>
        <w:t>Alwazzan</w:t>
      </w:r>
      <w:proofErr w:type="spellEnd"/>
      <w:r w:rsidRPr="004D45B3">
        <w:rPr>
          <w:rFonts w:cs="Arial"/>
          <w:color w:val="000000" w:themeColor="text1"/>
          <w:szCs w:val="24"/>
          <w:lang w:val="en-IN"/>
        </w:rPr>
        <w:t xml:space="preserve">, A., Vacca, S., Dalal, L., Al-Haddad, B., Jaber, A., </w:t>
      </w:r>
      <w:proofErr w:type="spellStart"/>
      <w:r w:rsidRPr="004D45B3">
        <w:rPr>
          <w:rFonts w:cs="Arial"/>
          <w:color w:val="000000" w:themeColor="text1"/>
          <w:szCs w:val="24"/>
          <w:lang w:val="en-IN"/>
        </w:rPr>
        <w:t>Ballout</w:t>
      </w:r>
      <w:proofErr w:type="spellEnd"/>
      <w:r w:rsidRPr="004D45B3">
        <w:rPr>
          <w:rFonts w:cs="Arial"/>
          <w:color w:val="000000" w:themeColor="text1"/>
          <w:szCs w:val="24"/>
          <w:lang w:val="en-IN"/>
        </w:rPr>
        <w:t xml:space="preserve">, F.F., </w:t>
      </w:r>
      <w:proofErr w:type="spellStart"/>
      <w:r w:rsidRPr="004D45B3">
        <w:rPr>
          <w:rFonts w:cs="Arial"/>
          <w:color w:val="000000" w:themeColor="text1"/>
          <w:szCs w:val="24"/>
          <w:lang w:val="en-IN"/>
        </w:rPr>
        <w:t>Abou</w:t>
      </w:r>
      <w:proofErr w:type="spellEnd"/>
      <w:r w:rsidRPr="004D45B3">
        <w:rPr>
          <w:rFonts w:cs="Arial"/>
          <w:color w:val="000000" w:themeColor="text1"/>
          <w:szCs w:val="24"/>
          <w:lang w:val="en-IN"/>
        </w:rPr>
        <w:t xml:space="preserve"> </w:t>
      </w:r>
      <w:proofErr w:type="spellStart"/>
      <w:r w:rsidRPr="004D45B3">
        <w:rPr>
          <w:rFonts w:cs="Arial"/>
          <w:color w:val="000000" w:themeColor="text1"/>
          <w:szCs w:val="24"/>
          <w:lang w:val="en-IN"/>
        </w:rPr>
        <w:t>Zeid</w:t>
      </w:r>
      <w:proofErr w:type="spellEnd"/>
      <w:r w:rsidRPr="004D45B3">
        <w:rPr>
          <w:rFonts w:cs="Arial"/>
          <w:color w:val="000000" w:themeColor="text1"/>
          <w:szCs w:val="24"/>
          <w:lang w:val="en-IN"/>
        </w:rPr>
        <w:t xml:space="preserve">, H.K., </w:t>
      </w:r>
      <w:proofErr w:type="spellStart"/>
      <w:r w:rsidRPr="004D45B3">
        <w:rPr>
          <w:rFonts w:cs="Arial"/>
          <w:color w:val="000000" w:themeColor="text1"/>
          <w:szCs w:val="24"/>
          <w:lang w:val="en-IN"/>
        </w:rPr>
        <w:t>Haydamous</w:t>
      </w:r>
      <w:proofErr w:type="spellEnd"/>
      <w:r w:rsidRPr="004D45B3">
        <w:rPr>
          <w:rFonts w:cs="Arial"/>
          <w:color w:val="000000" w:themeColor="text1"/>
          <w:szCs w:val="24"/>
          <w:lang w:val="en-IN"/>
        </w:rPr>
        <w:t xml:space="preserve">, J., El Hajj Chehade, R. and </w:t>
      </w:r>
      <w:proofErr w:type="spellStart"/>
      <w:r w:rsidRPr="004D45B3">
        <w:rPr>
          <w:rFonts w:cs="Arial"/>
          <w:color w:val="000000" w:themeColor="text1"/>
          <w:szCs w:val="24"/>
          <w:lang w:val="en-IN"/>
        </w:rPr>
        <w:t>Kalmatov</w:t>
      </w:r>
      <w:proofErr w:type="spellEnd"/>
      <w:r w:rsidRPr="004D45B3">
        <w:rPr>
          <w:rFonts w:cs="Arial"/>
          <w:color w:val="000000" w:themeColor="text1"/>
          <w:szCs w:val="24"/>
          <w:lang w:val="en-IN"/>
        </w:rPr>
        <w:t xml:space="preserve">, R. (2025). Integration of Augmented reality, virtual reality, and extended reality in Healthcare and medical education: A glimpse into the emerging horizon in LMICs-A systematic review. </w:t>
      </w:r>
      <w:r w:rsidRPr="004D45B3">
        <w:rPr>
          <w:rFonts w:cs="Arial"/>
          <w:i/>
          <w:iCs/>
          <w:color w:val="000000" w:themeColor="text1"/>
          <w:szCs w:val="24"/>
          <w:lang w:val="en-IN"/>
        </w:rPr>
        <w:t>Journal of medical education and curricular development</w:t>
      </w:r>
      <w:r w:rsidRPr="004D45B3">
        <w:rPr>
          <w:rFonts w:cs="Arial"/>
          <w:color w:val="000000" w:themeColor="text1"/>
          <w:szCs w:val="24"/>
          <w:lang w:val="en-IN"/>
        </w:rPr>
        <w:t>, [online] 12, p.23821205251342315. doi:10.1177/23821205251342315.</w:t>
      </w:r>
    </w:p>
    <w:p w14:paraId="79D5C74D" w14:textId="77777777" w:rsidR="00BE776A" w:rsidRPr="004D45B3" w:rsidRDefault="0007681E">
      <w:pPr>
        <w:spacing w:after="240"/>
        <w:rPr>
          <w:color w:val="000000" w:themeColor="text1"/>
        </w:rPr>
      </w:pPr>
      <w:r w:rsidRPr="004D45B3">
        <w:rPr>
          <w:rFonts w:cs="Arial"/>
          <w:color w:val="000000" w:themeColor="text1"/>
          <w:szCs w:val="24"/>
          <w:lang w:val="en-IN"/>
        </w:rPr>
        <w:t xml:space="preserve">García, C.A. and Thomas, T. (2024). Ethnic minorities in England have worse access to GPs. </w:t>
      </w:r>
      <w:r w:rsidRPr="004D45B3">
        <w:rPr>
          <w:rFonts w:cs="Arial"/>
          <w:i/>
          <w:iCs/>
          <w:color w:val="000000" w:themeColor="text1"/>
          <w:szCs w:val="24"/>
          <w:lang w:val="en-IN"/>
        </w:rPr>
        <w:t>The guardian</w:t>
      </w:r>
      <w:r w:rsidRPr="004D45B3">
        <w:rPr>
          <w:rFonts w:cs="Arial"/>
          <w:color w:val="000000" w:themeColor="text1"/>
          <w:szCs w:val="24"/>
          <w:lang w:val="en-IN"/>
        </w:rPr>
        <w:t>. [online] 15 Feb. Available at: https://www.theguardian.com/society/2024/feb/15/ethnic-minorities-in-england-have-worse-access-to-gps [Accessed 24 July 2026].</w:t>
      </w:r>
    </w:p>
    <w:p w14:paraId="194BCFEF" w14:textId="77777777" w:rsidR="00BE776A" w:rsidRPr="004D45B3" w:rsidRDefault="0007681E">
      <w:pPr>
        <w:spacing w:after="240"/>
        <w:rPr>
          <w:color w:val="000000" w:themeColor="text1"/>
        </w:rPr>
      </w:pPr>
      <w:r w:rsidRPr="004D45B3">
        <w:rPr>
          <w:rFonts w:cs="Arial"/>
          <w:color w:val="000000" w:themeColor="text1"/>
          <w:szCs w:val="24"/>
          <w:lang w:val="en-IN"/>
        </w:rPr>
        <w:t xml:space="preserve">Gardner, A., Oduola, S. and Teague, B. (2024). Culturally sensitive perinatal mental health care: Experiences of Women from Minority ethnic groups. </w:t>
      </w:r>
      <w:r w:rsidRPr="004D45B3">
        <w:rPr>
          <w:rFonts w:cs="Arial"/>
          <w:i/>
          <w:iCs/>
          <w:color w:val="000000" w:themeColor="text1"/>
          <w:szCs w:val="24"/>
          <w:lang w:val="en-IN"/>
        </w:rPr>
        <w:t>Health expectations</w:t>
      </w:r>
      <w:r w:rsidRPr="004D45B3">
        <w:rPr>
          <w:rFonts w:cs="Arial"/>
          <w:color w:val="000000" w:themeColor="text1"/>
          <w:szCs w:val="24"/>
          <w:lang w:val="en-IN"/>
        </w:rPr>
        <w:t>, [online] 27(4). doi:10.1111/hex.14160.</w:t>
      </w:r>
    </w:p>
    <w:p w14:paraId="0C74BA27" w14:textId="77777777" w:rsidR="00BE776A" w:rsidRPr="004D45B3" w:rsidRDefault="0007681E">
      <w:pPr>
        <w:spacing w:after="240"/>
        <w:rPr>
          <w:color w:val="000000" w:themeColor="text1"/>
        </w:rPr>
      </w:pPr>
      <w:proofErr w:type="spellStart"/>
      <w:r w:rsidRPr="004D45B3">
        <w:rPr>
          <w:rFonts w:cs="Arial"/>
          <w:color w:val="000000" w:themeColor="text1"/>
          <w:szCs w:val="24"/>
        </w:rPr>
        <w:t>Gkiouleka</w:t>
      </w:r>
      <w:proofErr w:type="spellEnd"/>
      <w:r w:rsidRPr="004D45B3">
        <w:rPr>
          <w:rFonts w:cs="Arial"/>
          <w:color w:val="000000" w:themeColor="text1"/>
          <w:szCs w:val="24"/>
        </w:rPr>
        <w:t xml:space="preserve">, A., Wong, G., Sowden, S., Bambra, C., </w:t>
      </w:r>
      <w:proofErr w:type="spellStart"/>
      <w:r w:rsidRPr="004D45B3">
        <w:rPr>
          <w:rFonts w:cs="Arial"/>
          <w:color w:val="000000" w:themeColor="text1"/>
          <w:szCs w:val="24"/>
        </w:rPr>
        <w:t>Siersbaek</w:t>
      </w:r>
      <w:proofErr w:type="spellEnd"/>
      <w:r w:rsidRPr="004D45B3">
        <w:rPr>
          <w:rFonts w:cs="Arial"/>
          <w:color w:val="000000" w:themeColor="text1"/>
          <w:szCs w:val="24"/>
        </w:rPr>
        <w:t xml:space="preserve">, R., Manji, S., Moseley, A., Harmston, R., Kuhn, I. and Ford, J. (2023). Reducing health inequalities through general practice. </w:t>
      </w:r>
      <w:r w:rsidRPr="004D45B3">
        <w:rPr>
          <w:rFonts w:cs="Arial"/>
          <w:i/>
          <w:iCs/>
          <w:color w:val="000000" w:themeColor="text1"/>
          <w:szCs w:val="24"/>
        </w:rPr>
        <w:t>Reducing health inequalities through general practice</w:t>
      </w:r>
      <w:r w:rsidRPr="004D45B3">
        <w:rPr>
          <w:rFonts w:cs="Arial"/>
          <w:color w:val="000000" w:themeColor="text1"/>
          <w:szCs w:val="24"/>
        </w:rPr>
        <w:t>, 8(6), pp.e463-e472. doi:10.1016/s2468-2667(23)00093-2.</w:t>
      </w:r>
    </w:p>
    <w:p w14:paraId="751611BA" w14:textId="77777777" w:rsidR="00BE776A" w:rsidRPr="004D45B3" w:rsidRDefault="0007681E">
      <w:pPr>
        <w:spacing w:after="240"/>
        <w:rPr>
          <w:color w:val="000000" w:themeColor="text1"/>
        </w:rPr>
      </w:pPr>
      <w:r w:rsidRPr="004D45B3">
        <w:rPr>
          <w:rFonts w:cs="Arial"/>
          <w:color w:val="000000" w:themeColor="text1"/>
          <w:szCs w:val="24"/>
        </w:rPr>
        <w:t xml:space="preserve">GOV.UK (2018). </w:t>
      </w:r>
      <w:r w:rsidRPr="004D45B3">
        <w:rPr>
          <w:rFonts w:cs="Arial"/>
          <w:i/>
          <w:iCs/>
          <w:color w:val="000000" w:themeColor="text1"/>
          <w:szCs w:val="24"/>
        </w:rPr>
        <w:t>Data protection act 2018</w:t>
      </w:r>
      <w:r w:rsidRPr="004D45B3">
        <w:rPr>
          <w:rFonts w:cs="Arial"/>
          <w:color w:val="000000" w:themeColor="text1"/>
          <w:szCs w:val="24"/>
        </w:rPr>
        <w:t xml:space="preserve">. [online] </w:t>
      </w:r>
      <w:r w:rsidRPr="004D45B3">
        <w:rPr>
          <w:rFonts w:cs="Arial"/>
          <w:i/>
          <w:iCs/>
          <w:color w:val="000000" w:themeColor="text1"/>
          <w:szCs w:val="24"/>
        </w:rPr>
        <w:t>legislation.gov.uk</w:t>
      </w:r>
      <w:r w:rsidRPr="004D45B3">
        <w:rPr>
          <w:rFonts w:cs="Arial"/>
          <w:color w:val="000000" w:themeColor="text1"/>
          <w:szCs w:val="24"/>
        </w:rPr>
        <w:t>. Available at: https://www.legislation.gov.uk/ukpga/2018/12/contents [Accessed 24 July 2026].</w:t>
      </w:r>
    </w:p>
    <w:p w14:paraId="6AB3092C" w14:textId="77777777" w:rsidR="00BE776A" w:rsidRPr="004D45B3" w:rsidRDefault="0007681E">
      <w:pPr>
        <w:spacing w:after="240"/>
        <w:rPr>
          <w:color w:val="000000" w:themeColor="text1"/>
        </w:rPr>
      </w:pPr>
      <w:r w:rsidRPr="004D45B3">
        <w:rPr>
          <w:rFonts w:cs="Arial"/>
          <w:color w:val="000000" w:themeColor="text1"/>
          <w:szCs w:val="24"/>
          <w:lang w:val="en-IN"/>
        </w:rPr>
        <w:t xml:space="preserve">Hackett, R.A., Ronaldson, A., </w:t>
      </w:r>
      <w:proofErr w:type="spellStart"/>
      <w:r w:rsidRPr="004D45B3">
        <w:rPr>
          <w:rFonts w:cs="Arial"/>
          <w:color w:val="000000" w:themeColor="text1"/>
          <w:szCs w:val="24"/>
          <w:lang w:val="en-IN"/>
        </w:rPr>
        <w:t>Bhui</w:t>
      </w:r>
      <w:proofErr w:type="spellEnd"/>
      <w:r w:rsidRPr="004D45B3">
        <w:rPr>
          <w:rFonts w:cs="Arial"/>
          <w:color w:val="000000" w:themeColor="text1"/>
          <w:szCs w:val="24"/>
          <w:lang w:val="en-IN"/>
        </w:rPr>
        <w:t xml:space="preserve">, K., Steptoe, A. and Jackson, S.E. (2020). Racial discrimination and health: A prospective study of ethnic minorities in the United Kingdom. </w:t>
      </w:r>
      <w:r w:rsidRPr="004D45B3">
        <w:rPr>
          <w:rFonts w:cs="Arial"/>
          <w:i/>
          <w:iCs/>
          <w:color w:val="000000" w:themeColor="text1"/>
          <w:szCs w:val="24"/>
          <w:lang w:val="en-IN"/>
        </w:rPr>
        <w:t>BMC Public Health</w:t>
      </w:r>
      <w:r w:rsidRPr="004D45B3">
        <w:rPr>
          <w:rFonts w:cs="Arial"/>
          <w:color w:val="000000" w:themeColor="text1"/>
          <w:szCs w:val="24"/>
          <w:lang w:val="en-IN"/>
        </w:rPr>
        <w:t>, [online] 20(1). doi:10.1186/s12889-020-09792-1.</w:t>
      </w:r>
    </w:p>
    <w:p w14:paraId="7173DFE2" w14:textId="77777777" w:rsidR="00BE776A" w:rsidRPr="004D45B3" w:rsidRDefault="0007681E">
      <w:pPr>
        <w:spacing w:after="240"/>
        <w:rPr>
          <w:color w:val="000000" w:themeColor="text1"/>
        </w:rPr>
      </w:pPr>
      <w:proofErr w:type="spellStart"/>
      <w:r w:rsidRPr="004D45B3">
        <w:rPr>
          <w:rFonts w:cs="Arial"/>
          <w:color w:val="000000" w:themeColor="text1"/>
          <w:szCs w:val="24"/>
        </w:rPr>
        <w:t>Hayanga</w:t>
      </w:r>
      <w:proofErr w:type="spellEnd"/>
      <w:r w:rsidRPr="004D45B3">
        <w:rPr>
          <w:rFonts w:cs="Arial"/>
          <w:color w:val="000000" w:themeColor="text1"/>
          <w:szCs w:val="24"/>
        </w:rPr>
        <w:t xml:space="preserve">, B., Stafford, M. and </w:t>
      </w:r>
      <w:proofErr w:type="spellStart"/>
      <w:r w:rsidRPr="004D45B3">
        <w:rPr>
          <w:rFonts w:cs="Arial"/>
          <w:color w:val="000000" w:themeColor="text1"/>
          <w:szCs w:val="24"/>
        </w:rPr>
        <w:t>Bécares</w:t>
      </w:r>
      <w:proofErr w:type="spellEnd"/>
      <w:r w:rsidRPr="004D45B3">
        <w:rPr>
          <w:rFonts w:cs="Arial"/>
          <w:color w:val="000000" w:themeColor="text1"/>
          <w:szCs w:val="24"/>
        </w:rPr>
        <w:t xml:space="preserve">, L. (2021) “Ethnic inequalities in Healthcare use and care quality among people with multiple Long-Term health conditions living in the united kingdom: A systematic review and narrative synthesis,” </w:t>
      </w:r>
      <w:r w:rsidRPr="004D45B3">
        <w:rPr>
          <w:rFonts w:cs="Arial"/>
          <w:i/>
          <w:iCs/>
          <w:color w:val="000000" w:themeColor="text1"/>
          <w:szCs w:val="24"/>
        </w:rPr>
        <w:t>International journal of Environmental research and public health</w:t>
      </w:r>
      <w:r w:rsidRPr="004D45B3">
        <w:rPr>
          <w:rFonts w:cs="Arial"/>
          <w:color w:val="000000" w:themeColor="text1"/>
          <w:szCs w:val="24"/>
        </w:rPr>
        <w:t xml:space="preserve">, 18(23), p. 12599. Available at: </w:t>
      </w:r>
      <w:hyperlink r:id="rId22" w:history="1">
        <w:r w:rsidR="00BE776A" w:rsidRPr="004D45B3">
          <w:rPr>
            <w:rStyle w:val="Hyperlink"/>
            <w:rFonts w:cs="Arial"/>
            <w:color w:val="000000" w:themeColor="text1"/>
            <w:szCs w:val="24"/>
          </w:rPr>
          <w:t>https://doi.org/10.3390/ijerph182312599</w:t>
        </w:r>
      </w:hyperlink>
      <w:r w:rsidRPr="004D45B3">
        <w:rPr>
          <w:rFonts w:cs="Arial"/>
          <w:color w:val="000000" w:themeColor="text1"/>
          <w:szCs w:val="24"/>
        </w:rPr>
        <w:t xml:space="preserve">. </w:t>
      </w:r>
    </w:p>
    <w:p w14:paraId="0560C775" w14:textId="77777777" w:rsidR="00BE776A" w:rsidRPr="004D45B3" w:rsidRDefault="0007681E">
      <w:pPr>
        <w:spacing w:after="240"/>
        <w:rPr>
          <w:color w:val="000000" w:themeColor="text1"/>
        </w:rPr>
      </w:pPr>
      <w:r w:rsidRPr="004D45B3">
        <w:rPr>
          <w:rFonts w:cs="Arial"/>
          <w:color w:val="000000" w:themeColor="text1"/>
          <w:szCs w:val="24"/>
          <w:lang w:val="en-IN"/>
        </w:rPr>
        <w:t xml:space="preserve">Hill-Briggs, F., Adler, N.E., Berkowitz, S.A., Chin, M.H., Gary-Webb, T.L., </w:t>
      </w:r>
      <w:proofErr w:type="spellStart"/>
      <w:r w:rsidRPr="004D45B3">
        <w:rPr>
          <w:rFonts w:cs="Arial"/>
          <w:color w:val="000000" w:themeColor="text1"/>
          <w:szCs w:val="24"/>
          <w:lang w:val="en-IN"/>
        </w:rPr>
        <w:t>Navas-Acien</w:t>
      </w:r>
      <w:proofErr w:type="spellEnd"/>
      <w:r w:rsidRPr="004D45B3">
        <w:rPr>
          <w:rFonts w:cs="Arial"/>
          <w:color w:val="000000" w:themeColor="text1"/>
          <w:szCs w:val="24"/>
          <w:lang w:val="en-IN"/>
        </w:rPr>
        <w:t xml:space="preserve">, A., Thornton, P.L. and Haire-Joshu, D., (2020). Social determinants of health and diabetes: a scientific review. </w:t>
      </w:r>
      <w:r w:rsidRPr="004D45B3">
        <w:rPr>
          <w:rFonts w:cs="Arial"/>
          <w:i/>
          <w:iCs/>
          <w:color w:val="000000" w:themeColor="text1"/>
          <w:szCs w:val="24"/>
          <w:lang w:val="en-IN"/>
        </w:rPr>
        <w:t>Diabetes care</w:t>
      </w:r>
      <w:r w:rsidRPr="004D45B3">
        <w:rPr>
          <w:rFonts w:cs="Arial"/>
          <w:color w:val="000000" w:themeColor="text1"/>
          <w:szCs w:val="24"/>
          <w:lang w:val="en-IN"/>
        </w:rPr>
        <w:t xml:space="preserve">, </w:t>
      </w:r>
      <w:r w:rsidRPr="004D45B3">
        <w:rPr>
          <w:rFonts w:cs="Arial"/>
          <w:i/>
          <w:iCs/>
          <w:color w:val="000000" w:themeColor="text1"/>
          <w:szCs w:val="24"/>
          <w:lang w:val="en-IN"/>
        </w:rPr>
        <w:t>44</w:t>
      </w:r>
      <w:r w:rsidRPr="004D45B3">
        <w:rPr>
          <w:rFonts w:cs="Arial"/>
          <w:color w:val="000000" w:themeColor="text1"/>
          <w:szCs w:val="24"/>
          <w:lang w:val="en-IN"/>
        </w:rPr>
        <w:t xml:space="preserve">(1), p.258. </w:t>
      </w:r>
      <w:hyperlink r:id="rId23" w:history="1">
        <w:r w:rsidR="00BE776A" w:rsidRPr="004D45B3">
          <w:rPr>
            <w:rStyle w:val="Hyperlink"/>
            <w:rFonts w:cs="Arial"/>
            <w:color w:val="000000" w:themeColor="text1"/>
            <w:szCs w:val="24"/>
            <w:lang w:val="en-IN"/>
          </w:rPr>
          <w:t>https://pmc.ncbi.nlm.nih.gov/articles/PMC7783927/</w:t>
        </w:r>
      </w:hyperlink>
      <w:r w:rsidRPr="004D45B3">
        <w:rPr>
          <w:rFonts w:cs="Arial"/>
          <w:color w:val="000000" w:themeColor="text1"/>
          <w:szCs w:val="24"/>
          <w:lang w:val="en-IN"/>
        </w:rPr>
        <w:t> </w:t>
      </w:r>
    </w:p>
    <w:p w14:paraId="6CD08BC6" w14:textId="77777777" w:rsidR="00BE776A" w:rsidRPr="004D45B3" w:rsidRDefault="0007681E">
      <w:pPr>
        <w:spacing w:after="240"/>
        <w:rPr>
          <w:color w:val="000000" w:themeColor="text1"/>
        </w:rPr>
      </w:pPr>
      <w:r w:rsidRPr="004D45B3">
        <w:rPr>
          <w:rFonts w:cs="Arial"/>
          <w:color w:val="000000" w:themeColor="text1"/>
          <w:szCs w:val="24"/>
          <w:lang w:val="en-IN"/>
        </w:rPr>
        <w:t xml:space="preserve">Hughes, G., Shaw, S. and Greenhalgh, T. (2020). Rethinking integrated care: A systematic hermeneutic review of the literature on integrated care strategies and concepts. </w:t>
      </w:r>
      <w:r w:rsidRPr="004D45B3">
        <w:rPr>
          <w:rFonts w:cs="Arial"/>
          <w:i/>
          <w:iCs/>
          <w:color w:val="000000" w:themeColor="text1"/>
          <w:szCs w:val="24"/>
          <w:lang w:val="en-IN"/>
        </w:rPr>
        <w:t xml:space="preserve">The </w:t>
      </w:r>
      <w:proofErr w:type="spellStart"/>
      <w:r w:rsidRPr="004D45B3">
        <w:rPr>
          <w:rFonts w:cs="Arial"/>
          <w:i/>
          <w:iCs/>
          <w:color w:val="000000" w:themeColor="text1"/>
          <w:szCs w:val="24"/>
          <w:lang w:val="en-IN"/>
        </w:rPr>
        <w:t>milbank</w:t>
      </w:r>
      <w:proofErr w:type="spellEnd"/>
      <w:r w:rsidRPr="004D45B3">
        <w:rPr>
          <w:rFonts w:cs="Arial"/>
          <w:i/>
          <w:iCs/>
          <w:color w:val="000000" w:themeColor="text1"/>
          <w:szCs w:val="24"/>
          <w:lang w:val="en-IN"/>
        </w:rPr>
        <w:t xml:space="preserve"> quarterly</w:t>
      </w:r>
      <w:r w:rsidRPr="004D45B3">
        <w:rPr>
          <w:rFonts w:cs="Arial"/>
          <w:color w:val="000000" w:themeColor="text1"/>
          <w:szCs w:val="24"/>
          <w:lang w:val="en-IN"/>
        </w:rPr>
        <w:t>, [online] 98(2), pp.446–492. doi:10.1111/1468-0009.12459.</w:t>
      </w:r>
    </w:p>
    <w:p w14:paraId="178F1495" w14:textId="77777777" w:rsidR="00BE776A" w:rsidRPr="004D45B3" w:rsidRDefault="0007681E">
      <w:pPr>
        <w:rPr>
          <w:color w:val="000000" w:themeColor="text1"/>
        </w:rPr>
      </w:pPr>
      <w:proofErr w:type="spellStart"/>
      <w:r w:rsidRPr="004D45B3">
        <w:rPr>
          <w:rFonts w:eastAsia="Arial" w:cs="Arial"/>
          <w:color w:val="000000" w:themeColor="text1"/>
          <w:szCs w:val="24"/>
          <w:shd w:val="clear" w:color="auto" w:fill="FFFFFF"/>
        </w:rPr>
        <w:t>Humayoun</w:t>
      </w:r>
      <w:proofErr w:type="spellEnd"/>
      <w:r w:rsidRPr="004D45B3">
        <w:rPr>
          <w:rFonts w:eastAsia="Arial" w:cs="Arial"/>
          <w:color w:val="000000" w:themeColor="text1"/>
          <w:szCs w:val="24"/>
          <w:shd w:val="clear" w:color="auto" w:fill="FFFFFF"/>
        </w:rPr>
        <w:t xml:space="preserve">, S., Yaqoob, B., Abbasi, N., Sajid, M., Aman, K. and Noor, N., (2024). Critical appraisal of a qualitative review: A systematic review. </w:t>
      </w:r>
      <w:r w:rsidRPr="004D45B3">
        <w:rPr>
          <w:rFonts w:eastAsia="Arial" w:cs="Arial"/>
          <w:i/>
          <w:iCs/>
          <w:color w:val="000000" w:themeColor="text1"/>
          <w:szCs w:val="24"/>
          <w:shd w:val="clear" w:color="auto" w:fill="FFFFFF"/>
        </w:rPr>
        <w:t>Pakistan Oral &amp; Dental Journal</w:t>
      </w:r>
      <w:r w:rsidRPr="004D45B3">
        <w:rPr>
          <w:rFonts w:eastAsia="Arial" w:cs="Arial"/>
          <w:color w:val="000000" w:themeColor="text1"/>
          <w:szCs w:val="24"/>
          <w:shd w:val="clear" w:color="auto" w:fill="FFFFFF"/>
        </w:rPr>
        <w:t xml:space="preserve">, </w:t>
      </w:r>
      <w:r w:rsidRPr="004D45B3">
        <w:rPr>
          <w:rFonts w:eastAsia="Arial" w:cs="Arial"/>
          <w:i/>
          <w:iCs/>
          <w:color w:val="000000" w:themeColor="text1"/>
          <w:szCs w:val="24"/>
          <w:shd w:val="clear" w:color="auto" w:fill="FFFFFF"/>
        </w:rPr>
        <w:t>44</w:t>
      </w:r>
      <w:r w:rsidRPr="004D45B3">
        <w:rPr>
          <w:rFonts w:eastAsia="Arial" w:cs="Arial"/>
          <w:color w:val="000000" w:themeColor="text1"/>
          <w:szCs w:val="24"/>
          <w:shd w:val="clear" w:color="auto" w:fill="FFFFFF"/>
        </w:rPr>
        <w:t>(4), pp.9-18.</w:t>
      </w:r>
      <w:r w:rsidRPr="004D45B3">
        <w:rPr>
          <w:rFonts w:cs="Arial"/>
          <w:color w:val="000000" w:themeColor="text1"/>
          <w:szCs w:val="24"/>
        </w:rPr>
        <w:t xml:space="preserve"> </w:t>
      </w:r>
      <w:hyperlink r:id="rId24" w:history="1">
        <w:r w:rsidR="00BE776A" w:rsidRPr="004D45B3">
          <w:rPr>
            <w:rStyle w:val="Hyperlink"/>
            <w:rFonts w:cs="Arial"/>
            <w:color w:val="000000" w:themeColor="text1"/>
            <w:szCs w:val="24"/>
          </w:rPr>
          <w:t>https://www.podj.com.pk/index.php/podj/article/download/811/592/</w:t>
        </w:r>
      </w:hyperlink>
    </w:p>
    <w:p w14:paraId="67155019" w14:textId="77777777" w:rsidR="00BE776A" w:rsidRPr="004D45B3" w:rsidRDefault="0007681E">
      <w:pPr>
        <w:spacing w:after="240"/>
        <w:rPr>
          <w:color w:val="000000" w:themeColor="text1"/>
        </w:rPr>
      </w:pPr>
      <w:r w:rsidRPr="004D45B3">
        <w:rPr>
          <w:rFonts w:cs="Arial"/>
          <w:color w:val="000000" w:themeColor="text1"/>
          <w:szCs w:val="24"/>
          <w:lang w:val="en-IN"/>
        </w:rPr>
        <w:t xml:space="preserve">Hussain, B., Sheikh, A., Timmons, S., Stickley, T. and Repper, J. (2020). Workforce diversity, diversity training and ethnic minorities: The case of the UK national health service. </w:t>
      </w:r>
      <w:r w:rsidRPr="004D45B3">
        <w:rPr>
          <w:rFonts w:cs="Arial"/>
          <w:i/>
          <w:iCs/>
          <w:color w:val="000000" w:themeColor="text1"/>
          <w:szCs w:val="24"/>
          <w:lang w:val="en-IN"/>
        </w:rPr>
        <w:t>International journal of Cross cultural management</w:t>
      </w:r>
      <w:r w:rsidRPr="004D45B3">
        <w:rPr>
          <w:rFonts w:cs="Arial"/>
          <w:color w:val="000000" w:themeColor="text1"/>
          <w:szCs w:val="24"/>
          <w:lang w:val="en-IN"/>
        </w:rPr>
        <w:t>, [online] 20(2), p.147059582093841. doi:10.1177/1470595820938412.</w:t>
      </w:r>
    </w:p>
    <w:p w14:paraId="37AEC339" w14:textId="77777777" w:rsidR="00BE776A" w:rsidRPr="004D45B3" w:rsidRDefault="0007681E">
      <w:pPr>
        <w:pStyle w:val="NormalWeb"/>
        <w:spacing w:before="0" w:after="240" w:line="360" w:lineRule="auto"/>
        <w:rPr>
          <w:color w:val="000000" w:themeColor="text1"/>
        </w:rPr>
      </w:pPr>
      <w:r w:rsidRPr="004D45B3">
        <w:rPr>
          <w:rFonts w:ascii="Arial" w:hAnsi="Arial" w:cs="Arial"/>
          <w:color w:val="000000" w:themeColor="text1"/>
        </w:rPr>
        <w:t xml:space="preserve">Jimoh Amzat (2024). </w:t>
      </w:r>
      <w:r w:rsidRPr="004D45B3">
        <w:rPr>
          <w:rFonts w:ascii="Arial" w:hAnsi="Arial" w:cs="Arial"/>
          <w:i/>
          <w:iCs/>
          <w:color w:val="000000" w:themeColor="text1"/>
        </w:rPr>
        <w:t>Doing community diagnosis: A sociological gaze into human health and illness</w:t>
      </w:r>
      <w:r w:rsidRPr="004D45B3">
        <w:rPr>
          <w:rFonts w:ascii="Arial" w:hAnsi="Arial" w:cs="Arial"/>
          <w:color w:val="000000" w:themeColor="text1"/>
        </w:rPr>
        <w:t>. [online] Available at: https://www.researchgate.net/publication/378825466_Doing_Community_Diagnosis_A_Sociological_Gaze_into_Human_Health_and_Illness [Accessed 24 July 2026].</w:t>
      </w:r>
    </w:p>
    <w:p w14:paraId="46842A03" w14:textId="77777777" w:rsidR="00BE776A" w:rsidRPr="004D45B3" w:rsidRDefault="0007681E">
      <w:pPr>
        <w:spacing w:after="240"/>
        <w:rPr>
          <w:color w:val="000000" w:themeColor="text1"/>
        </w:rPr>
      </w:pPr>
      <w:r w:rsidRPr="004D45B3">
        <w:rPr>
          <w:rFonts w:cs="Arial"/>
          <w:color w:val="000000" w:themeColor="text1"/>
          <w:szCs w:val="24"/>
          <w:lang w:val="en-IN"/>
        </w:rPr>
        <w:t xml:space="preserve">Joo, J.Y. and Liu, M.F. (2020). Culturally tailored interventions for ethnic minorities: A scoping review. </w:t>
      </w:r>
      <w:r w:rsidRPr="004D45B3">
        <w:rPr>
          <w:rFonts w:cs="Arial"/>
          <w:i/>
          <w:iCs/>
          <w:color w:val="000000" w:themeColor="text1"/>
          <w:szCs w:val="24"/>
          <w:lang w:val="en-IN"/>
        </w:rPr>
        <w:t>Nursing open</w:t>
      </w:r>
      <w:r w:rsidRPr="004D45B3">
        <w:rPr>
          <w:rFonts w:cs="Arial"/>
          <w:color w:val="000000" w:themeColor="text1"/>
          <w:szCs w:val="24"/>
          <w:lang w:val="en-IN"/>
        </w:rPr>
        <w:t>, [online] 8(5), pp.2078–2090. doi:10.1002/nop2.733.</w:t>
      </w:r>
    </w:p>
    <w:p w14:paraId="574C99CB" w14:textId="77777777" w:rsidR="00BE776A" w:rsidRPr="004D45B3" w:rsidRDefault="0007681E">
      <w:pPr>
        <w:rPr>
          <w:color w:val="000000" w:themeColor="text1"/>
        </w:rPr>
      </w:pPr>
      <w:r w:rsidRPr="004D45B3">
        <w:rPr>
          <w:rFonts w:cs="Arial"/>
          <w:color w:val="000000" w:themeColor="text1"/>
          <w:szCs w:val="24"/>
          <w:shd w:val="clear" w:color="auto" w:fill="FFFFFF"/>
        </w:rPr>
        <w:t xml:space="preserve">Junjie, M. and </w:t>
      </w:r>
      <w:proofErr w:type="spellStart"/>
      <w:r w:rsidRPr="004D45B3">
        <w:rPr>
          <w:rFonts w:cs="Arial"/>
          <w:color w:val="000000" w:themeColor="text1"/>
          <w:szCs w:val="24"/>
          <w:shd w:val="clear" w:color="auto" w:fill="FFFFFF"/>
        </w:rPr>
        <w:t>Yingxin</w:t>
      </w:r>
      <w:proofErr w:type="spellEnd"/>
      <w:r w:rsidRPr="004D45B3">
        <w:rPr>
          <w:rFonts w:cs="Arial"/>
          <w:color w:val="000000" w:themeColor="text1"/>
          <w:szCs w:val="24"/>
          <w:shd w:val="clear" w:color="auto" w:fill="FFFFFF"/>
        </w:rPr>
        <w:t xml:space="preserve">, M., (2022). The Discussions of Positivism and Interpretivism. </w:t>
      </w:r>
      <w:r w:rsidRPr="004D45B3">
        <w:rPr>
          <w:rFonts w:cs="Arial"/>
          <w:i/>
          <w:iCs/>
          <w:color w:val="000000" w:themeColor="text1"/>
          <w:szCs w:val="24"/>
          <w:shd w:val="clear" w:color="auto" w:fill="FFFFFF"/>
        </w:rPr>
        <w:t>Online Submission</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4</w:t>
      </w:r>
      <w:r w:rsidRPr="004D45B3">
        <w:rPr>
          <w:rFonts w:cs="Arial"/>
          <w:color w:val="000000" w:themeColor="text1"/>
          <w:szCs w:val="24"/>
          <w:shd w:val="clear" w:color="auto" w:fill="FFFFFF"/>
        </w:rPr>
        <w:t>(1), pp.10-14.</w:t>
      </w:r>
      <w:r w:rsidRPr="004D45B3">
        <w:rPr>
          <w:rFonts w:cs="Arial"/>
          <w:color w:val="000000" w:themeColor="text1"/>
          <w:szCs w:val="24"/>
        </w:rPr>
        <w:t xml:space="preserve"> </w:t>
      </w:r>
      <w:hyperlink r:id="rId25" w:history="1">
        <w:r w:rsidR="00BE776A" w:rsidRPr="004D45B3">
          <w:rPr>
            <w:rStyle w:val="Hyperlink"/>
            <w:rFonts w:cs="Arial"/>
            <w:color w:val="000000" w:themeColor="text1"/>
            <w:szCs w:val="24"/>
          </w:rPr>
          <w:t>https://files.eric.ed.gov/fulltext/ED619359.pdf</w:t>
        </w:r>
      </w:hyperlink>
    </w:p>
    <w:p w14:paraId="30B4DF62" w14:textId="77777777" w:rsidR="00BE776A" w:rsidRPr="004D45B3" w:rsidRDefault="0007681E">
      <w:pPr>
        <w:spacing w:after="240"/>
        <w:rPr>
          <w:color w:val="000000" w:themeColor="text1"/>
        </w:rPr>
      </w:pPr>
      <w:r w:rsidRPr="004D45B3">
        <w:rPr>
          <w:rFonts w:cs="Arial"/>
          <w:color w:val="000000" w:themeColor="text1"/>
          <w:szCs w:val="24"/>
          <w:lang w:val="en-IN"/>
        </w:rPr>
        <w:t xml:space="preserve">Kale, S., Hirani, S., Vardhan, S., Mishra, A., </w:t>
      </w:r>
      <w:proofErr w:type="spellStart"/>
      <w:r w:rsidRPr="004D45B3">
        <w:rPr>
          <w:rFonts w:cs="Arial"/>
          <w:color w:val="000000" w:themeColor="text1"/>
          <w:szCs w:val="24"/>
          <w:lang w:val="en-IN"/>
        </w:rPr>
        <w:t>Ghode</w:t>
      </w:r>
      <w:proofErr w:type="spellEnd"/>
      <w:r w:rsidRPr="004D45B3">
        <w:rPr>
          <w:rFonts w:cs="Arial"/>
          <w:color w:val="000000" w:themeColor="text1"/>
          <w:szCs w:val="24"/>
          <w:lang w:val="en-IN"/>
        </w:rPr>
        <w:t xml:space="preserve">, D.B., Prasad, R. and Wanjari, M. (2023). Addressing cancer disparities through community engagement: Lessons and best practices. </w:t>
      </w:r>
      <w:r w:rsidRPr="004D45B3">
        <w:rPr>
          <w:rFonts w:cs="Arial"/>
          <w:i/>
          <w:iCs/>
          <w:color w:val="000000" w:themeColor="text1"/>
          <w:szCs w:val="24"/>
          <w:lang w:val="en-IN"/>
        </w:rPr>
        <w:t>Cureus</w:t>
      </w:r>
      <w:r w:rsidRPr="004D45B3">
        <w:rPr>
          <w:rFonts w:cs="Arial"/>
          <w:color w:val="000000" w:themeColor="text1"/>
          <w:szCs w:val="24"/>
          <w:lang w:val="en-IN"/>
        </w:rPr>
        <w:t>, [online] 15(8). doi:10.7759/cureus.43445.</w:t>
      </w:r>
    </w:p>
    <w:p w14:paraId="25EA75E4" w14:textId="77777777" w:rsidR="00BE776A" w:rsidRPr="004D45B3" w:rsidRDefault="0007681E">
      <w:pPr>
        <w:spacing w:after="240"/>
        <w:rPr>
          <w:color w:val="000000" w:themeColor="text1"/>
        </w:rPr>
      </w:pPr>
      <w:r w:rsidRPr="004D45B3">
        <w:rPr>
          <w:rFonts w:cs="Arial"/>
          <w:color w:val="000000" w:themeColor="text1"/>
          <w:szCs w:val="24"/>
        </w:rPr>
        <w:t xml:space="preserve">Khalil, H., Welch, V., Grainger, M. and Campbell, F. (2025). Methodology for mapping reviews, evidence maps, and gap maps. </w:t>
      </w:r>
      <w:r w:rsidRPr="004D45B3">
        <w:rPr>
          <w:rFonts w:cs="Arial"/>
          <w:i/>
          <w:iCs/>
          <w:color w:val="000000" w:themeColor="text1"/>
          <w:szCs w:val="24"/>
        </w:rPr>
        <w:t>Research Synthesis Methods</w:t>
      </w:r>
      <w:r w:rsidRPr="004D45B3">
        <w:rPr>
          <w:rFonts w:cs="Arial"/>
          <w:color w:val="000000" w:themeColor="text1"/>
          <w:szCs w:val="24"/>
        </w:rPr>
        <w:t>, [online] pp.1–11. doi:10.1017/rsm.2025.25.</w:t>
      </w:r>
    </w:p>
    <w:p w14:paraId="2EB963A7" w14:textId="77777777" w:rsidR="00BE776A" w:rsidRPr="004D45B3" w:rsidRDefault="0007681E">
      <w:pPr>
        <w:spacing w:after="240"/>
        <w:rPr>
          <w:color w:val="000000" w:themeColor="text1"/>
        </w:rPr>
      </w:pPr>
      <w:r w:rsidRPr="004D45B3">
        <w:rPr>
          <w:rFonts w:cs="Arial"/>
          <w:color w:val="000000" w:themeColor="text1"/>
          <w:szCs w:val="24"/>
          <w:lang w:val="en-IN"/>
        </w:rPr>
        <w:t xml:space="preserve">Khatri, R.B. and Assefa, Y. (2022). Access to Health services among culturally and linguistically diverse populations in the </w:t>
      </w:r>
      <w:proofErr w:type="spellStart"/>
      <w:r w:rsidRPr="004D45B3">
        <w:rPr>
          <w:rFonts w:cs="Arial"/>
          <w:color w:val="000000" w:themeColor="text1"/>
          <w:szCs w:val="24"/>
          <w:lang w:val="en-IN"/>
        </w:rPr>
        <w:t>australian</w:t>
      </w:r>
      <w:proofErr w:type="spellEnd"/>
      <w:r w:rsidRPr="004D45B3">
        <w:rPr>
          <w:rFonts w:cs="Arial"/>
          <w:color w:val="000000" w:themeColor="text1"/>
          <w:szCs w:val="24"/>
          <w:lang w:val="en-IN"/>
        </w:rPr>
        <w:t xml:space="preserve"> universal health care system: Issues and challenges. </w:t>
      </w:r>
      <w:r w:rsidRPr="004D45B3">
        <w:rPr>
          <w:rFonts w:cs="Arial"/>
          <w:i/>
          <w:iCs/>
          <w:color w:val="000000" w:themeColor="text1"/>
          <w:szCs w:val="24"/>
          <w:lang w:val="en-IN"/>
        </w:rPr>
        <w:t>BMC public health</w:t>
      </w:r>
      <w:r w:rsidRPr="004D45B3">
        <w:rPr>
          <w:rFonts w:cs="Arial"/>
          <w:color w:val="000000" w:themeColor="text1"/>
          <w:szCs w:val="24"/>
          <w:lang w:val="en-IN"/>
        </w:rPr>
        <w:t>, 22(1), pp.1–14. doi:10.1186/s12889-022-13256-z.</w:t>
      </w:r>
    </w:p>
    <w:p w14:paraId="1930BD82" w14:textId="77777777" w:rsidR="00BE776A" w:rsidRPr="004D45B3" w:rsidRDefault="0007681E">
      <w:pPr>
        <w:spacing w:after="240"/>
        <w:rPr>
          <w:color w:val="000000" w:themeColor="text1"/>
        </w:rPr>
      </w:pPr>
      <w:r w:rsidRPr="004D45B3">
        <w:rPr>
          <w:rFonts w:cs="Arial"/>
          <w:color w:val="000000" w:themeColor="text1"/>
          <w:szCs w:val="24"/>
          <w:lang w:val="en-IN"/>
        </w:rPr>
        <w:t xml:space="preserve">Kisa, A. and Kisa, S. (2025). Structural racism as a fundamental cause of health inequities: A scoping review. </w:t>
      </w:r>
      <w:r w:rsidRPr="004D45B3">
        <w:rPr>
          <w:rFonts w:cs="Arial"/>
          <w:i/>
          <w:iCs/>
          <w:color w:val="000000" w:themeColor="text1"/>
          <w:szCs w:val="24"/>
          <w:lang w:val="en-IN"/>
        </w:rPr>
        <w:t>International journal for Equity in Health</w:t>
      </w:r>
      <w:r w:rsidRPr="004D45B3">
        <w:rPr>
          <w:rFonts w:cs="Arial"/>
          <w:color w:val="000000" w:themeColor="text1"/>
          <w:szCs w:val="24"/>
          <w:lang w:val="en-IN"/>
        </w:rPr>
        <w:t>, 24(1). doi:10.1186/s12939-025-02644-7.</w:t>
      </w:r>
    </w:p>
    <w:p w14:paraId="7DE2F4C5" w14:textId="77777777" w:rsidR="00BE776A" w:rsidRPr="004D45B3" w:rsidRDefault="0007681E">
      <w:pPr>
        <w:spacing w:after="240"/>
        <w:rPr>
          <w:color w:val="000000" w:themeColor="text1"/>
        </w:rPr>
      </w:pPr>
      <w:r w:rsidRPr="004D45B3">
        <w:rPr>
          <w:rFonts w:cs="Arial"/>
          <w:color w:val="000000" w:themeColor="text1"/>
          <w:szCs w:val="24"/>
          <w:lang w:val="en-IN"/>
        </w:rPr>
        <w:t xml:space="preserve">Kleinman, D.V., Pronk, N., Gómez, C.A., Gordon, G.L.W., Ochiai, E., Blakey, C., Johnson, A. and Brewer, K.H. (2021). Addressing health equity and social determinants of health through healthy people 2030. </w:t>
      </w:r>
      <w:r w:rsidRPr="004D45B3">
        <w:rPr>
          <w:rFonts w:cs="Arial"/>
          <w:i/>
          <w:iCs/>
          <w:color w:val="000000" w:themeColor="text1"/>
          <w:szCs w:val="24"/>
          <w:lang w:val="en-IN"/>
        </w:rPr>
        <w:t>Journal of Public health management and practice</w:t>
      </w:r>
      <w:r w:rsidRPr="004D45B3">
        <w:rPr>
          <w:rFonts w:cs="Arial"/>
          <w:color w:val="000000" w:themeColor="text1"/>
          <w:szCs w:val="24"/>
          <w:lang w:val="en-IN"/>
        </w:rPr>
        <w:t>, 27(6), pp.249–257. doi:10.1097/PHH.0000000000001297.</w:t>
      </w:r>
    </w:p>
    <w:p w14:paraId="06D533E3" w14:textId="77777777" w:rsidR="00BE776A" w:rsidRPr="004D45B3" w:rsidRDefault="0007681E">
      <w:pPr>
        <w:spacing w:after="240"/>
        <w:rPr>
          <w:color w:val="000000" w:themeColor="text1"/>
        </w:rPr>
      </w:pPr>
      <w:r w:rsidRPr="004D45B3">
        <w:rPr>
          <w:rFonts w:cs="Arial"/>
          <w:color w:val="000000" w:themeColor="text1"/>
          <w:szCs w:val="24"/>
          <w:lang w:val="en-IN"/>
        </w:rPr>
        <w:t xml:space="preserve">Lauwers, L., Vandecasteele, R., McMahon, M., </w:t>
      </w:r>
      <w:proofErr w:type="spellStart"/>
      <w:r w:rsidRPr="004D45B3">
        <w:rPr>
          <w:rFonts w:cs="Arial"/>
          <w:color w:val="000000" w:themeColor="text1"/>
          <w:szCs w:val="24"/>
          <w:lang w:val="en-IN"/>
        </w:rPr>
        <w:t>Maesschalck</w:t>
      </w:r>
      <w:proofErr w:type="spellEnd"/>
      <w:r w:rsidRPr="004D45B3">
        <w:rPr>
          <w:rFonts w:cs="Arial"/>
          <w:color w:val="000000" w:themeColor="text1"/>
          <w:szCs w:val="24"/>
          <w:lang w:val="en-IN"/>
        </w:rPr>
        <w:t xml:space="preserve">, S. De and Willems, S. (2024). The patient perspective on diversity-sensitive care: A systematic review. </w:t>
      </w:r>
      <w:r w:rsidRPr="004D45B3">
        <w:rPr>
          <w:rFonts w:cs="Arial"/>
          <w:i/>
          <w:iCs/>
          <w:color w:val="000000" w:themeColor="text1"/>
          <w:szCs w:val="24"/>
          <w:lang w:val="en-IN"/>
        </w:rPr>
        <w:t>International journal for Equity in Health</w:t>
      </w:r>
      <w:r w:rsidRPr="004D45B3">
        <w:rPr>
          <w:rFonts w:cs="Arial"/>
          <w:color w:val="000000" w:themeColor="text1"/>
          <w:szCs w:val="24"/>
          <w:lang w:val="en-IN"/>
        </w:rPr>
        <w:t>, 23(1), pp.1–18. doi:10.1186/s12939-024-02189-1.</w:t>
      </w:r>
    </w:p>
    <w:p w14:paraId="3C344AEE" w14:textId="77777777" w:rsidR="00BE776A" w:rsidRPr="004D45B3" w:rsidRDefault="0007681E">
      <w:pPr>
        <w:spacing w:after="240"/>
        <w:rPr>
          <w:color w:val="000000" w:themeColor="text1"/>
        </w:rPr>
      </w:pPr>
      <w:r w:rsidRPr="004D45B3">
        <w:rPr>
          <w:rFonts w:cs="Arial"/>
          <w:color w:val="000000" w:themeColor="text1"/>
          <w:szCs w:val="24"/>
        </w:rPr>
        <w:t xml:space="preserve">Legislation.gov.uk (2022). </w:t>
      </w:r>
      <w:r w:rsidRPr="004D45B3">
        <w:rPr>
          <w:rFonts w:cs="Arial"/>
          <w:i/>
          <w:iCs/>
          <w:color w:val="000000" w:themeColor="text1"/>
          <w:szCs w:val="24"/>
        </w:rPr>
        <w:t>Health and care act 2022</w:t>
      </w:r>
      <w:r w:rsidRPr="004D45B3">
        <w:rPr>
          <w:rFonts w:cs="Arial"/>
          <w:color w:val="000000" w:themeColor="text1"/>
          <w:szCs w:val="24"/>
        </w:rPr>
        <w:t>. [online] Legislation.gov.uk. Available at: https://www.legislation.gov.uk/ukpga/2022/31/notes/division/5/index.htm [Accessed 21 Sept. 2026].</w:t>
      </w:r>
    </w:p>
    <w:p w14:paraId="3D2B6088" w14:textId="77777777" w:rsidR="00BE776A" w:rsidRPr="004D45B3" w:rsidRDefault="0007681E">
      <w:pPr>
        <w:spacing w:after="240"/>
        <w:rPr>
          <w:color w:val="000000" w:themeColor="text1"/>
        </w:rPr>
      </w:pPr>
      <w:r w:rsidRPr="004D45B3">
        <w:rPr>
          <w:rFonts w:cs="Arial"/>
          <w:color w:val="000000" w:themeColor="text1"/>
          <w:szCs w:val="24"/>
          <w:lang w:val="en-IN"/>
        </w:rPr>
        <w:t xml:space="preserve">Lekas, H.-M., Pahl, K. and Fuller Lewis, C. (2020). Rethinking cultural competence: Shifting to cultural humility. </w:t>
      </w:r>
      <w:r w:rsidRPr="004D45B3">
        <w:rPr>
          <w:rFonts w:cs="Arial"/>
          <w:i/>
          <w:iCs/>
          <w:color w:val="000000" w:themeColor="text1"/>
          <w:szCs w:val="24"/>
          <w:lang w:val="en-IN"/>
        </w:rPr>
        <w:t>Health services insights</w:t>
      </w:r>
      <w:r w:rsidRPr="004D45B3">
        <w:rPr>
          <w:rFonts w:cs="Arial"/>
          <w:color w:val="000000" w:themeColor="text1"/>
          <w:szCs w:val="24"/>
          <w:lang w:val="en-IN"/>
        </w:rPr>
        <w:t>, [online] 13(13). doi:10.1177/1178632920970580.</w:t>
      </w:r>
    </w:p>
    <w:p w14:paraId="4423139A" w14:textId="77777777" w:rsidR="00BE776A" w:rsidRPr="004D45B3" w:rsidRDefault="0007681E">
      <w:pPr>
        <w:spacing w:after="240"/>
        <w:rPr>
          <w:color w:val="000000" w:themeColor="text1"/>
        </w:rPr>
      </w:pPr>
      <w:r w:rsidRPr="004D45B3">
        <w:rPr>
          <w:rFonts w:cs="Arial"/>
          <w:color w:val="000000" w:themeColor="text1"/>
          <w:szCs w:val="24"/>
          <w:lang w:val="en-IN"/>
        </w:rPr>
        <w:t xml:space="preserve">Lewer, D., </w:t>
      </w:r>
      <w:proofErr w:type="spellStart"/>
      <w:r w:rsidRPr="004D45B3">
        <w:rPr>
          <w:rFonts w:cs="Arial"/>
          <w:color w:val="000000" w:themeColor="text1"/>
          <w:szCs w:val="24"/>
          <w:lang w:val="en-IN"/>
        </w:rPr>
        <w:t>Jayatunga</w:t>
      </w:r>
      <w:proofErr w:type="spellEnd"/>
      <w:r w:rsidRPr="004D45B3">
        <w:rPr>
          <w:rFonts w:cs="Arial"/>
          <w:color w:val="000000" w:themeColor="text1"/>
          <w:szCs w:val="24"/>
          <w:lang w:val="en-IN"/>
        </w:rPr>
        <w:t xml:space="preserve">, W., Aldridge, R.W., Edge, C., Marmot, M., Story, A. and Hayward, A. (2020). Premature mortality attributable to socioeconomic inequality in England between 2003 and 2018: An observational study. </w:t>
      </w:r>
      <w:r w:rsidRPr="004D45B3">
        <w:rPr>
          <w:rFonts w:cs="Arial"/>
          <w:i/>
          <w:iCs/>
          <w:color w:val="000000" w:themeColor="text1"/>
          <w:szCs w:val="24"/>
          <w:lang w:val="en-IN"/>
        </w:rPr>
        <w:t>The lancet public health</w:t>
      </w:r>
      <w:r w:rsidRPr="004D45B3">
        <w:rPr>
          <w:rFonts w:cs="Arial"/>
          <w:color w:val="000000" w:themeColor="text1"/>
          <w:szCs w:val="24"/>
          <w:lang w:val="en-IN"/>
        </w:rPr>
        <w:t>, [online] 5(1), pp.e33-e41. doi:10.1016/s2468-2667(19)30219-1.</w:t>
      </w:r>
    </w:p>
    <w:p w14:paraId="10B3DEC1" w14:textId="77777777" w:rsidR="00BE776A" w:rsidRPr="004D45B3" w:rsidRDefault="0007681E">
      <w:pPr>
        <w:spacing w:after="240"/>
        <w:rPr>
          <w:color w:val="000000" w:themeColor="text1"/>
        </w:rPr>
      </w:pPr>
      <w:r w:rsidRPr="004D45B3">
        <w:rPr>
          <w:rFonts w:cs="Arial"/>
          <w:color w:val="000000" w:themeColor="text1"/>
          <w:szCs w:val="24"/>
          <w:lang w:val="en-IN"/>
        </w:rPr>
        <w:t xml:space="preserve">Liu, J., Miles, K. and Li, S. (2022). Cultural competence education for undergraduate medical students: An ethnographic study. </w:t>
      </w:r>
      <w:r w:rsidRPr="004D45B3">
        <w:rPr>
          <w:rFonts w:cs="Arial"/>
          <w:i/>
          <w:iCs/>
          <w:color w:val="000000" w:themeColor="text1"/>
          <w:szCs w:val="24"/>
          <w:lang w:val="en-IN"/>
        </w:rPr>
        <w:t>Frontiers in Education</w:t>
      </w:r>
      <w:r w:rsidRPr="004D45B3">
        <w:rPr>
          <w:rFonts w:cs="Arial"/>
          <w:color w:val="000000" w:themeColor="text1"/>
          <w:szCs w:val="24"/>
          <w:lang w:val="en-IN"/>
        </w:rPr>
        <w:t>, 7. doi:10.3389/feduc.2022.980633.</w:t>
      </w:r>
    </w:p>
    <w:p w14:paraId="5F75437D" w14:textId="77777777" w:rsidR="00BE776A" w:rsidRPr="004D45B3" w:rsidRDefault="0007681E">
      <w:pPr>
        <w:spacing w:after="240"/>
        <w:rPr>
          <w:color w:val="000000" w:themeColor="text1"/>
        </w:rPr>
      </w:pPr>
      <w:r w:rsidRPr="004D45B3">
        <w:rPr>
          <w:rFonts w:cs="Arial"/>
          <w:color w:val="000000" w:themeColor="text1"/>
          <w:szCs w:val="24"/>
          <w:lang w:val="en-IN"/>
        </w:rPr>
        <w:t xml:space="preserve">Lupton, D. and Leahy, D. eds., (2021). </w:t>
      </w:r>
      <w:r w:rsidRPr="004D45B3">
        <w:rPr>
          <w:rFonts w:cs="Arial"/>
          <w:i/>
          <w:iCs/>
          <w:color w:val="000000" w:themeColor="text1"/>
          <w:szCs w:val="24"/>
          <w:lang w:val="en-IN"/>
        </w:rPr>
        <w:t>Creative approaches to health education: New ways of thinking, making, doing, teaching and learning</w:t>
      </w:r>
      <w:r w:rsidRPr="004D45B3">
        <w:rPr>
          <w:rFonts w:cs="Arial"/>
          <w:color w:val="000000" w:themeColor="text1"/>
          <w:szCs w:val="24"/>
          <w:lang w:val="en-IN"/>
        </w:rPr>
        <w:t xml:space="preserve">. Routledge. </w:t>
      </w:r>
      <w:hyperlink r:id="rId26" w:history="1">
        <w:r w:rsidR="00BE776A" w:rsidRPr="004D45B3">
          <w:rPr>
            <w:rStyle w:val="Hyperlink"/>
            <w:rFonts w:cs="Arial"/>
            <w:color w:val="000000" w:themeColor="text1"/>
            <w:szCs w:val="24"/>
            <w:lang w:val="en-IN"/>
          </w:rPr>
          <w:t>https://books.google.com/books?hl=en&amp;lr=&amp;id=3fVJEAAAQBAJ&amp;oi=fnd&amp;pg=PA2021&amp;dq=training+programmes+in+healthare+are+supposed+to+be+done+on+an+aesthetic+and+reflective+background,+with+teamwork+by+a+multidisciplinary+team+as+opposed+to+individual+educational+programs.+&amp;ots=qEA-QkUMPG&amp;sig=btmCv0zXfHhWaTUibezN9cSuEtw</w:t>
        </w:r>
      </w:hyperlink>
    </w:p>
    <w:p w14:paraId="30AB0726" w14:textId="77777777" w:rsidR="00BE776A" w:rsidRPr="004D45B3" w:rsidRDefault="0007681E">
      <w:pPr>
        <w:rPr>
          <w:color w:val="000000" w:themeColor="text1"/>
        </w:rPr>
      </w:pPr>
      <w:r w:rsidRPr="004D45B3">
        <w:rPr>
          <w:rFonts w:cs="Arial"/>
          <w:color w:val="000000" w:themeColor="text1"/>
          <w:szCs w:val="24"/>
          <w:shd w:val="clear" w:color="auto" w:fill="FFFFFF"/>
        </w:rPr>
        <w:t xml:space="preserve">MacFarlane, A., Russell-Rose, T. and </w:t>
      </w:r>
      <w:proofErr w:type="spellStart"/>
      <w:r w:rsidRPr="004D45B3">
        <w:rPr>
          <w:rFonts w:cs="Arial"/>
          <w:color w:val="000000" w:themeColor="text1"/>
          <w:szCs w:val="24"/>
          <w:shd w:val="clear" w:color="auto" w:fill="FFFFFF"/>
        </w:rPr>
        <w:t>Shokraneh</w:t>
      </w:r>
      <w:proofErr w:type="spellEnd"/>
      <w:r w:rsidRPr="004D45B3">
        <w:rPr>
          <w:rFonts w:cs="Arial"/>
          <w:color w:val="000000" w:themeColor="text1"/>
          <w:szCs w:val="24"/>
          <w:shd w:val="clear" w:color="auto" w:fill="FFFFFF"/>
        </w:rPr>
        <w:t xml:space="preserve">, F., (2022). Search strategy formulation for systematic reviews: Issues, challenges and opportunities. </w:t>
      </w:r>
      <w:r w:rsidRPr="004D45B3">
        <w:rPr>
          <w:rFonts w:cs="Arial"/>
          <w:i/>
          <w:iCs/>
          <w:color w:val="000000" w:themeColor="text1"/>
          <w:szCs w:val="24"/>
          <w:shd w:val="clear" w:color="auto" w:fill="FFFFFF"/>
        </w:rPr>
        <w:t>Intelligent Systems with Applications</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15</w:t>
      </w:r>
      <w:r w:rsidRPr="004D45B3">
        <w:rPr>
          <w:rFonts w:cs="Arial"/>
          <w:color w:val="000000" w:themeColor="text1"/>
          <w:szCs w:val="24"/>
          <w:shd w:val="clear" w:color="auto" w:fill="FFFFFF"/>
        </w:rPr>
        <w:t>, p.200091.</w:t>
      </w:r>
      <w:r w:rsidRPr="004D45B3">
        <w:rPr>
          <w:rFonts w:cs="Arial"/>
          <w:color w:val="000000" w:themeColor="text1"/>
          <w:szCs w:val="24"/>
        </w:rPr>
        <w:t xml:space="preserve"> </w:t>
      </w:r>
      <w:hyperlink r:id="rId27" w:history="1">
        <w:r w:rsidR="00BE776A" w:rsidRPr="004D45B3">
          <w:rPr>
            <w:rStyle w:val="Hyperlink"/>
            <w:rFonts w:cs="Arial"/>
            <w:color w:val="000000" w:themeColor="text1"/>
            <w:szCs w:val="24"/>
          </w:rPr>
          <w:t>https://www.sciencedirect.com/science/article/pii/S266730532200031X</w:t>
        </w:r>
      </w:hyperlink>
    </w:p>
    <w:p w14:paraId="2C3E167F" w14:textId="77777777" w:rsidR="00BE776A" w:rsidRPr="004D45B3" w:rsidRDefault="0007681E">
      <w:pPr>
        <w:rPr>
          <w:color w:val="000000" w:themeColor="text1"/>
        </w:rPr>
      </w:pPr>
      <w:r w:rsidRPr="004D45B3">
        <w:rPr>
          <w:color w:val="000000" w:themeColor="text1"/>
        </w:rPr>
        <w:t xml:space="preserve">Marques, J. (2026). </w:t>
      </w:r>
      <w:proofErr w:type="spellStart"/>
      <w:r w:rsidRPr="004D45B3">
        <w:rPr>
          <w:i/>
          <w:iCs/>
          <w:color w:val="000000" w:themeColor="text1"/>
        </w:rPr>
        <w:t>Encyclopedia</w:t>
      </w:r>
      <w:proofErr w:type="spellEnd"/>
      <w:r w:rsidRPr="004D45B3">
        <w:rPr>
          <w:i/>
          <w:iCs/>
          <w:color w:val="000000" w:themeColor="text1"/>
        </w:rPr>
        <w:t xml:space="preserve"> of diversity, equity, inclusion and spirituality</w:t>
      </w:r>
      <w:r w:rsidRPr="004D45B3">
        <w:rPr>
          <w:color w:val="000000" w:themeColor="text1"/>
        </w:rPr>
        <w:t>. Springer Nature.</w:t>
      </w:r>
    </w:p>
    <w:p w14:paraId="64F1C9DF" w14:textId="77777777" w:rsidR="00BE776A" w:rsidRPr="004D45B3" w:rsidRDefault="0007681E">
      <w:pPr>
        <w:rPr>
          <w:color w:val="000000" w:themeColor="text1"/>
        </w:rPr>
      </w:pPr>
      <w:proofErr w:type="spellStart"/>
      <w:r w:rsidRPr="004D45B3">
        <w:rPr>
          <w:rFonts w:cs="Arial"/>
          <w:color w:val="000000" w:themeColor="text1"/>
          <w:szCs w:val="24"/>
          <w:shd w:val="clear" w:color="auto" w:fill="FFFFFF"/>
        </w:rPr>
        <w:t>Mbanaso</w:t>
      </w:r>
      <w:proofErr w:type="spellEnd"/>
      <w:r w:rsidRPr="004D45B3">
        <w:rPr>
          <w:rFonts w:cs="Arial"/>
          <w:color w:val="000000" w:themeColor="text1"/>
          <w:szCs w:val="24"/>
          <w:shd w:val="clear" w:color="auto" w:fill="FFFFFF"/>
        </w:rPr>
        <w:t xml:space="preserve">, U.M., Abrahams, L. and Okafor, K.C., (2023). Research philosophy, design and methodology. In </w:t>
      </w:r>
      <w:r w:rsidRPr="004D45B3">
        <w:rPr>
          <w:rFonts w:cs="Arial"/>
          <w:i/>
          <w:iCs/>
          <w:color w:val="000000" w:themeColor="text1"/>
          <w:szCs w:val="24"/>
          <w:shd w:val="clear" w:color="auto" w:fill="FFFFFF"/>
        </w:rPr>
        <w:t>Research techniques for computer science, information systems and cybersecurity</w:t>
      </w:r>
      <w:r w:rsidRPr="004D45B3">
        <w:rPr>
          <w:rFonts w:cs="Arial"/>
          <w:color w:val="000000" w:themeColor="text1"/>
          <w:szCs w:val="24"/>
          <w:shd w:val="clear" w:color="auto" w:fill="FFFFFF"/>
        </w:rPr>
        <w:t xml:space="preserve"> (pp. 81-113). Cham: Springer Nature Switzerland.</w:t>
      </w:r>
      <w:r w:rsidRPr="004D45B3">
        <w:rPr>
          <w:rFonts w:cs="Arial"/>
          <w:color w:val="000000" w:themeColor="text1"/>
          <w:szCs w:val="24"/>
        </w:rPr>
        <w:t xml:space="preserve"> </w:t>
      </w:r>
      <w:hyperlink r:id="rId28" w:history="1">
        <w:r w:rsidR="00BE776A" w:rsidRPr="004D45B3">
          <w:rPr>
            <w:rStyle w:val="Hyperlink"/>
            <w:rFonts w:cs="Arial"/>
            <w:color w:val="000000" w:themeColor="text1"/>
            <w:szCs w:val="24"/>
          </w:rPr>
          <w:t>https://link.springer.com/chapter/10.1007/978-3-031-30031-8_6</w:t>
        </w:r>
      </w:hyperlink>
    </w:p>
    <w:p w14:paraId="2ADA51A5" w14:textId="77777777" w:rsidR="00BE776A" w:rsidRPr="004D45B3" w:rsidRDefault="0007681E">
      <w:pPr>
        <w:spacing w:after="240"/>
        <w:rPr>
          <w:color w:val="000000" w:themeColor="text1"/>
        </w:rPr>
      </w:pPr>
      <w:r w:rsidRPr="004D45B3">
        <w:rPr>
          <w:rFonts w:cs="Arial"/>
          <w:color w:val="000000" w:themeColor="text1"/>
          <w:szCs w:val="24"/>
          <w:lang w:val="en-IN"/>
        </w:rPr>
        <w:t xml:space="preserve">McGreevy, A., Soley-Bori, M., Ashworth, M., Wang, Y., Rezel-Potts, E., </w:t>
      </w:r>
      <w:proofErr w:type="spellStart"/>
      <w:r w:rsidRPr="004D45B3">
        <w:rPr>
          <w:rFonts w:cs="Arial"/>
          <w:color w:val="000000" w:themeColor="text1"/>
          <w:szCs w:val="24"/>
          <w:lang w:val="en-IN"/>
        </w:rPr>
        <w:t>Durbaba</w:t>
      </w:r>
      <w:proofErr w:type="spellEnd"/>
      <w:r w:rsidRPr="004D45B3">
        <w:rPr>
          <w:rFonts w:cs="Arial"/>
          <w:color w:val="000000" w:themeColor="text1"/>
          <w:szCs w:val="24"/>
          <w:lang w:val="en-IN"/>
        </w:rPr>
        <w:t xml:space="preserve">, S., </w:t>
      </w:r>
      <w:proofErr w:type="spellStart"/>
      <w:r w:rsidRPr="004D45B3">
        <w:rPr>
          <w:rFonts w:cs="Arial"/>
          <w:color w:val="000000" w:themeColor="text1"/>
          <w:szCs w:val="24"/>
          <w:lang w:val="en-IN"/>
        </w:rPr>
        <w:t>Dodhia</w:t>
      </w:r>
      <w:proofErr w:type="spellEnd"/>
      <w:r w:rsidRPr="004D45B3">
        <w:rPr>
          <w:rFonts w:cs="Arial"/>
          <w:color w:val="000000" w:themeColor="text1"/>
          <w:szCs w:val="24"/>
          <w:lang w:val="en-IN"/>
        </w:rPr>
        <w:t xml:space="preserve">, H. and Fox-Rushby, J. (2023). Ethnic inequalities in the impact of COVID-19 on primary care consultations: A time series analysis of 460,084 individuals with multimorbidity in South London. </w:t>
      </w:r>
      <w:r w:rsidRPr="004D45B3">
        <w:rPr>
          <w:rFonts w:cs="Arial"/>
          <w:i/>
          <w:iCs/>
          <w:color w:val="000000" w:themeColor="text1"/>
          <w:szCs w:val="24"/>
          <w:lang w:val="en-IN"/>
        </w:rPr>
        <w:t>BMC Medicine</w:t>
      </w:r>
      <w:r w:rsidRPr="004D45B3">
        <w:rPr>
          <w:rFonts w:cs="Arial"/>
          <w:color w:val="000000" w:themeColor="text1"/>
          <w:szCs w:val="24"/>
          <w:lang w:val="en-IN"/>
        </w:rPr>
        <w:t>, 21(1). doi:10.1186/s12916-022-02720-7.</w:t>
      </w:r>
    </w:p>
    <w:p w14:paraId="147AF46C" w14:textId="77777777" w:rsidR="00BE776A" w:rsidRPr="004D45B3" w:rsidRDefault="0007681E">
      <w:pPr>
        <w:spacing w:after="240"/>
        <w:rPr>
          <w:color w:val="000000" w:themeColor="text1"/>
        </w:rPr>
      </w:pPr>
      <w:r w:rsidRPr="004D45B3">
        <w:rPr>
          <w:rFonts w:cs="Arial"/>
          <w:color w:val="000000" w:themeColor="text1"/>
          <w:szCs w:val="24"/>
        </w:rPr>
        <w:t xml:space="preserve">Mirza, H.S. and Warwick, R. (2024). Race and ethnic inequalities. </w:t>
      </w:r>
      <w:r w:rsidRPr="004D45B3">
        <w:rPr>
          <w:rFonts w:cs="Arial"/>
          <w:i/>
          <w:iCs/>
          <w:color w:val="000000" w:themeColor="text1"/>
          <w:szCs w:val="24"/>
        </w:rPr>
        <w:t>Oxford open economics</w:t>
      </w:r>
      <w:r w:rsidRPr="004D45B3">
        <w:rPr>
          <w:rFonts w:cs="Arial"/>
          <w:color w:val="000000" w:themeColor="text1"/>
          <w:szCs w:val="24"/>
        </w:rPr>
        <w:t>, [online] 3(Supplement_1), pp.i365-i452. doi:10.1093/</w:t>
      </w:r>
      <w:proofErr w:type="spellStart"/>
      <w:r w:rsidRPr="004D45B3">
        <w:rPr>
          <w:rFonts w:cs="Arial"/>
          <w:color w:val="000000" w:themeColor="text1"/>
          <w:szCs w:val="24"/>
        </w:rPr>
        <w:t>ooec</w:t>
      </w:r>
      <w:proofErr w:type="spellEnd"/>
      <w:r w:rsidRPr="004D45B3">
        <w:rPr>
          <w:rFonts w:cs="Arial"/>
          <w:color w:val="000000" w:themeColor="text1"/>
          <w:szCs w:val="24"/>
        </w:rPr>
        <w:t>/odad026.</w:t>
      </w:r>
    </w:p>
    <w:p w14:paraId="4BFF7FAB" w14:textId="77777777" w:rsidR="00BE776A" w:rsidRPr="004D45B3" w:rsidRDefault="0007681E">
      <w:pPr>
        <w:spacing w:after="240"/>
        <w:rPr>
          <w:color w:val="000000" w:themeColor="text1"/>
        </w:rPr>
      </w:pPr>
      <w:r w:rsidRPr="004D45B3">
        <w:rPr>
          <w:rFonts w:cs="Arial"/>
          <w:color w:val="000000" w:themeColor="text1"/>
          <w:szCs w:val="24"/>
          <w:lang w:val="en-IN"/>
        </w:rPr>
        <w:t xml:space="preserve">Moore, J., Elliott, I. and </w:t>
      </w:r>
      <w:proofErr w:type="spellStart"/>
      <w:r w:rsidRPr="004D45B3">
        <w:rPr>
          <w:rFonts w:cs="Arial"/>
          <w:color w:val="000000" w:themeColor="text1"/>
          <w:szCs w:val="24"/>
          <w:lang w:val="en-IN"/>
        </w:rPr>
        <w:t>Hesselgreaves</w:t>
      </w:r>
      <w:proofErr w:type="spellEnd"/>
      <w:r w:rsidRPr="004D45B3">
        <w:rPr>
          <w:rFonts w:cs="Arial"/>
          <w:color w:val="000000" w:themeColor="text1"/>
          <w:szCs w:val="24"/>
          <w:lang w:val="en-IN"/>
        </w:rPr>
        <w:t xml:space="preserve">, H. (2023). Collaborative leadership in integrated care systems; creating leadership for the common good. </w:t>
      </w:r>
      <w:r w:rsidRPr="004D45B3">
        <w:rPr>
          <w:rFonts w:cs="Arial"/>
          <w:i/>
          <w:iCs/>
          <w:color w:val="000000" w:themeColor="text1"/>
          <w:szCs w:val="24"/>
          <w:lang w:val="en-IN"/>
        </w:rPr>
        <w:t>Journal of Change management</w:t>
      </w:r>
      <w:r w:rsidRPr="004D45B3">
        <w:rPr>
          <w:rFonts w:cs="Arial"/>
          <w:color w:val="000000" w:themeColor="text1"/>
          <w:szCs w:val="24"/>
          <w:lang w:val="en-IN"/>
        </w:rPr>
        <w:t>, 23(4), pp.1–16. doi:10.1080/14697017.2023.2261126.</w:t>
      </w:r>
    </w:p>
    <w:p w14:paraId="23D191F3" w14:textId="77777777" w:rsidR="00BE776A" w:rsidRPr="004D45B3" w:rsidRDefault="0007681E">
      <w:pPr>
        <w:spacing w:after="240"/>
        <w:rPr>
          <w:color w:val="000000" w:themeColor="text1"/>
        </w:rPr>
      </w:pPr>
      <w:proofErr w:type="spellStart"/>
      <w:r w:rsidRPr="004D45B3">
        <w:rPr>
          <w:rFonts w:cs="Arial"/>
          <w:color w:val="000000" w:themeColor="text1"/>
          <w:szCs w:val="24"/>
          <w:lang w:val="en-IN"/>
        </w:rPr>
        <w:t>Moorthie</w:t>
      </w:r>
      <w:proofErr w:type="spellEnd"/>
      <w:r w:rsidRPr="004D45B3">
        <w:rPr>
          <w:rFonts w:cs="Arial"/>
          <w:color w:val="000000" w:themeColor="text1"/>
          <w:szCs w:val="24"/>
          <w:lang w:val="en-IN"/>
        </w:rPr>
        <w:t xml:space="preserve">, S., </w:t>
      </w:r>
      <w:proofErr w:type="spellStart"/>
      <w:r w:rsidRPr="004D45B3">
        <w:rPr>
          <w:rFonts w:cs="Arial"/>
          <w:color w:val="000000" w:themeColor="text1"/>
          <w:szCs w:val="24"/>
          <w:lang w:val="en-IN"/>
        </w:rPr>
        <w:t>Oguzman</w:t>
      </w:r>
      <w:proofErr w:type="spellEnd"/>
      <w:r w:rsidRPr="004D45B3">
        <w:rPr>
          <w:rFonts w:cs="Arial"/>
          <w:color w:val="000000" w:themeColor="text1"/>
          <w:szCs w:val="24"/>
          <w:lang w:val="en-IN"/>
        </w:rPr>
        <w:t xml:space="preserve">, E., Evans, S., </w:t>
      </w:r>
      <w:proofErr w:type="spellStart"/>
      <w:r w:rsidRPr="004D45B3">
        <w:rPr>
          <w:rFonts w:cs="Arial"/>
          <w:color w:val="000000" w:themeColor="text1"/>
          <w:szCs w:val="24"/>
          <w:lang w:val="en-IN"/>
        </w:rPr>
        <w:t>Brayne</w:t>
      </w:r>
      <w:proofErr w:type="spellEnd"/>
      <w:r w:rsidRPr="004D45B3">
        <w:rPr>
          <w:rFonts w:cs="Arial"/>
          <w:color w:val="000000" w:themeColor="text1"/>
          <w:szCs w:val="24"/>
          <w:lang w:val="en-IN"/>
        </w:rPr>
        <w:t xml:space="preserve">, C. and LaFortune, L. (2024). Qualitative study of UK health and care professionals to determine resources and processes that can support actions to improve quality of data used to address and monitor health inequalities. </w:t>
      </w:r>
      <w:r w:rsidRPr="004D45B3">
        <w:rPr>
          <w:rFonts w:cs="Arial"/>
          <w:i/>
          <w:iCs/>
          <w:color w:val="000000" w:themeColor="text1"/>
          <w:szCs w:val="24"/>
          <w:lang w:val="en-IN"/>
        </w:rPr>
        <w:t>BMJ Open</w:t>
      </w:r>
      <w:r w:rsidRPr="004D45B3">
        <w:rPr>
          <w:rFonts w:cs="Arial"/>
          <w:color w:val="000000" w:themeColor="text1"/>
          <w:szCs w:val="24"/>
          <w:lang w:val="en-IN"/>
        </w:rPr>
        <w:t>, 14(9), pp.e084352-e084352. doi:10.1136/bmjopen-2024-084352.</w:t>
      </w:r>
    </w:p>
    <w:p w14:paraId="39D8CE0D" w14:textId="77777777" w:rsidR="00BE776A" w:rsidRPr="004D45B3" w:rsidRDefault="0007681E">
      <w:pPr>
        <w:spacing w:after="240"/>
        <w:rPr>
          <w:color w:val="000000" w:themeColor="text1"/>
        </w:rPr>
      </w:pPr>
      <w:r w:rsidRPr="004D45B3">
        <w:rPr>
          <w:rFonts w:cs="Arial"/>
          <w:color w:val="000000" w:themeColor="text1"/>
          <w:szCs w:val="24"/>
          <w:lang w:val="en-IN"/>
        </w:rPr>
        <w:t xml:space="preserve">Mthembu, Z. and </w:t>
      </w:r>
      <w:proofErr w:type="spellStart"/>
      <w:r w:rsidRPr="004D45B3">
        <w:rPr>
          <w:rFonts w:cs="Arial"/>
          <w:color w:val="000000" w:themeColor="text1"/>
          <w:szCs w:val="24"/>
          <w:lang w:val="en-IN"/>
        </w:rPr>
        <w:t>Chimbari</w:t>
      </w:r>
      <w:proofErr w:type="spellEnd"/>
      <w:r w:rsidRPr="004D45B3">
        <w:rPr>
          <w:rFonts w:cs="Arial"/>
          <w:color w:val="000000" w:themeColor="text1"/>
          <w:szCs w:val="24"/>
          <w:lang w:val="en-IN"/>
        </w:rPr>
        <w:t xml:space="preserve">, M.J. (2023). Community engagement: Health research through informing, consultation, involving and empowerment in Ingwavuma community. </w:t>
      </w:r>
      <w:r w:rsidRPr="004D45B3">
        <w:rPr>
          <w:rFonts w:cs="Arial"/>
          <w:i/>
          <w:iCs/>
          <w:color w:val="000000" w:themeColor="text1"/>
          <w:szCs w:val="24"/>
          <w:lang w:val="en-IN"/>
        </w:rPr>
        <w:t>Frontiers in Public health</w:t>
      </w:r>
      <w:r w:rsidRPr="004D45B3">
        <w:rPr>
          <w:rFonts w:cs="Arial"/>
          <w:color w:val="000000" w:themeColor="text1"/>
          <w:szCs w:val="24"/>
          <w:lang w:val="en-IN"/>
        </w:rPr>
        <w:t>, 11. doi:10.3389/fpubh.2023.1050589.</w:t>
      </w:r>
    </w:p>
    <w:p w14:paraId="4D659A18" w14:textId="77777777" w:rsidR="00BE776A" w:rsidRPr="004D45B3" w:rsidRDefault="0007681E">
      <w:pPr>
        <w:rPr>
          <w:color w:val="000000" w:themeColor="text1"/>
        </w:rPr>
      </w:pPr>
      <w:r w:rsidRPr="004D45B3">
        <w:rPr>
          <w:color w:val="000000" w:themeColor="text1"/>
        </w:rPr>
        <w:t xml:space="preserve">Naeem, M., </w:t>
      </w:r>
      <w:proofErr w:type="spellStart"/>
      <w:r w:rsidRPr="004D45B3">
        <w:rPr>
          <w:color w:val="000000" w:themeColor="text1"/>
        </w:rPr>
        <w:t>Ozuem</w:t>
      </w:r>
      <w:proofErr w:type="spellEnd"/>
      <w:r w:rsidRPr="004D45B3">
        <w:rPr>
          <w:color w:val="000000" w:themeColor="text1"/>
        </w:rPr>
        <w:t xml:space="preserve">, W., Howell, K. and Ranfagni, S. (2023). A step-by-step process of thematic analysis to develop a conceptual model in qualitative research. </w:t>
      </w:r>
      <w:r w:rsidRPr="004D45B3">
        <w:rPr>
          <w:i/>
          <w:iCs/>
          <w:color w:val="000000" w:themeColor="text1"/>
        </w:rPr>
        <w:t>International Journal of Qualitative Methods</w:t>
      </w:r>
      <w:r w:rsidRPr="004D45B3">
        <w:rPr>
          <w:color w:val="000000" w:themeColor="text1"/>
        </w:rPr>
        <w:t>, 22(1), pp.1–18. doi:10.1177/16094069231205789.</w:t>
      </w:r>
    </w:p>
    <w:p w14:paraId="4DD56E99" w14:textId="77777777" w:rsidR="00BE776A" w:rsidRPr="004D45B3" w:rsidRDefault="0007681E">
      <w:pPr>
        <w:spacing w:after="240"/>
        <w:rPr>
          <w:color w:val="000000" w:themeColor="text1"/>
        </w:rPr>
      </w:pPr>
      <w:r w:rsidRPr="004D45B3">
        <w:rPr>
          <w:rFonts w:cs="Arial"/>
          <w:color w:val="000000" w:themeColor="text1"/>
          <w:szCs w:val="24"/>
          <w:lang w:val="en-IN"/>
        </w:rPr>
        <w:t xml:space="preserve">NHS (2023). </w:t>
      </w:r>
      <w:r w:rsidRPr="004D45B3">
        <w:rPr>
          <w:rFonts w:cs="Arial"/>
          <w:i/>
          <w:iCs/>
          <w:color w:val="000000" w:themeColor="text1"/>
          <w:szCs w:val="24"/>
          <w:lang w:val="en-IN"/>
        </w:rPr>
        <w:t>NHS - race and health observatory</w:t>
      </w:r>
      <w:r w:rsidRPr="004D45B3">
        <w:rPr>
          <w:rFonts w:cs="Arial"/>
          <w:color w:val="000000" w:themeColor="text1"/>
          <w:szCs w:val="24"/>
          <w:lang w:val="en-IN"/>
        </w:rPr>
        <w:t xml:space="preserve">. [online] </w:t>
      </w:r>
      <w:r w:rsidRPr="004D45B3">
        <w:rPr>
          <w:rFonts w:cs="Arial"/>
          <w:i/>
          <w:iCs/>
          <w:color w:val="000000" w:themeColor="text1"/>
          <w:szCs w:val="24"/>
          <w:lang w:val="en-IN"/>
        </w:rPr>
        <w:t>NHS – Race and Health Observatory</w:t>
      </w:r>
      <w:r w:rsidRPr="004D45B3">
        <w:rPr>
          <w:rFonts w:cs="Arial"/>
          <w:color w:val="000000" w:themeColor="text1"/>
          <w:szCs w:val="24"/>
          <w:lang w:val="en-IN"/>
        </w:rPr>
        <w:t>. Available at: https://nhsrho.org/ [Accessed 24 July 2026].</w:t>
      </w:r>
    </w:p>
    <w:p w14:paraId="1000C24B" w14:textId="77777777" w:rsidR="00BE776A" w:rsidRPr="004D45B3" w:rsidRDefault="0007681E">
      <w:pPr>
        <w:spacing w:after="240"/>
        <w:rPr>
          <w:color w:val="000000" w:themeColor="text1"/>
        </w:rPr>
      </w:pPr>
      <w:r w:rsidRPr="004D45B3">
        <w:rPr>
          <w:rFonts w:cs="Arial"/>
          <w:color w:val="000000" w:themeColor="text1"/>
          <w:szCs w:val="24"/>
        </w:rPr>
        <w:t xml:space="preserve">NHS England (2021). </w:t>
      </w:r>
      <w:r w:rsidRPr="004D45B3">
        <w:rPr>
          <w:rFonts w:cs="Arial"/>
          <w:i/>
          <w:iCs/>
          <w:color w:val="000000" w:themeColor="text1"/>
          <w:szCs w:val="24"/>
        </w:rPr>
        <w:t xml:space="preserve">Core20PLUS5 </w:t>
      </w:r>
      <w:proofErr w:type="spellStart"/>
      <w:r w:rsidRPr="004D45B3">
        <w:rPr>
          <w:rFonts w:cs="Arial"/>
          <w:i/>
          <w:iCs/>
          <w:color w:val="000000" w:themeColor="text1"/>
          <w:szCs w:val="24"/>
        </w:rPr>
        <w:t>aN</w:t>
      </w:r>
      <w:proofErr w:type="spellEnd"/>
      <w:r w:rsidRPr="004D45B3">
        <w:rPr>
          <w:rFonts w:cs="Arial"/>
          <w:i/>
          <w:iCs/>
          <w:color w:val="000000" w:themeColor="text1"/>
          <w:szCs w:val="24"/>
        </w:rPr>
        <w:t xml:space="preserve"> approach to reducing health inequalities</w:t>
      </w:r>
      <w:r w:rsidRPr="004D45B3">
        <w:rPr>
          <w:rFonts w:cs="Arial"/>
          <w:color w:val="000000" w:themeColor="text1"/>
          <w:szCs w:val="24"/>
        </w:rPr>
        <w:t>. [online] www.england.nhs.uk. Available at: https://www.england.nhs.uk/about/equality/equality-hub/national-healthcare-inequalities-improvement-programme/core20plus5/ [Accessed 21 Sept. 2026].</w:t>
      </w:r>
    </w:p>
    <w:p w14:paraId="082A8181" w14:textId="77777777" w:rsidR="00BE776A" w:rsidRPr="004D45B3" w:rsidRDefault="0007681E">
      <w:pPr>
        <w:spacing w:after="240"/>
        <w:rPr>
          <w:color w:val="000000" w:themeColor="text1"/>
        </w:rPr>
      </w:pPr>
      <w:r w:rsidRPr="004D45B3">
        <w:rPr>
          <w:rFonts w:cs="Arial"/>
          <w:color w:val="000000" w:themeColor="text1"/>
          <w:szCs w:val="24"/>
        </w:rPr>
        <w:t xml:space="preserve">NHS England (2023) </w:t>
      </w:r>
      <w:r w:rsidRPr="004D45B3">
        <w:rPr>
          <w:rFonts w:cs="Arial"/>
          <w:i/>
          <w:iCs/>
          <w:color w:val="000000" w:themeColor="text1"/>
          <w:szCs w:val="24"/>
        </w:rPr>
        <w:t>NHS England » patient and carer race equality framework</w:t>
      </w:r>
      <w:r w:rsidRPr="004D45B3">
        <w:rPr>
          <w:rFonts w:cs="Arial"/>
          <w:color w:val="000000" w:themeColor="text1"/>
          <w:szCs w:val="24"/>
        </w:rPr>
        <w:t xml:space="preserve">, </w:t>
      </w:r>
      <w:r w:rsidRPr="004D45B3">
        <w:rPr>
          <w:rFonts w:cs="Arial"/>
          <w:i/>
          <w:iCs/>
          <w:color w:val="000000" w:themeColor="text1"/>
          <w:szCs w:val="24"/>
        </w:rPr>
        <w:t>www.england.nhs.uk</w:t>
      </w:r>
      <w:r w:rsidRPr="004D45B3">
        <w:rPr>
          <w:rFonts w:cs="Arial"/>
          <w:color w:val="000000" w:themeColor="text1"/>
          <w:szCs w:val="24"/>
        </w:rPr>
        <w:t xml:space="preserve">. Available at: </w:t>
      </w:r>
      <w:hyperlink r:id="rId29" w:history="1">
        <w:r w:rsidR="00BE776A" w:rsidRPr="004D45B3">
          <w:rPr>
            <w:rStyle w:val="Hyperlink"/>
            <w:rFonts w:cs="Arial"/>
            <w:color w:val="000000" w:themeColor="text1"/>
            <w:szCs w:val="24"/>
          </w:rPr>
          <w:t>https://www.england.nhs.uk/long-read/patient-and-carer-race-equality-framework/</w:t>
        </w:r>
      </w:hyperlink>
      <w:r w:rsidRPr="004D45B3">
        <w:rPr>
          <w:rFonts w:cs="Arial"/>
          <w:color w:val="000000" w:themeColor="text1"/>
          <w:szCs w:val="24"/>
        </w:rPr>
        <w:t xml:space="preserve">  (Accessed: July 24, 2026).</w:t>
      </w:r>
    </w:p>
    <w:p w14:paraId="61B6E590" w14:textId="77777777" w:rsidR="00BE776A" w:rsidRPr="004D45B3" w:rsidRDefault="0007681E">
      <w:pPr>
        <w:spacing w:before="240" w:after="240"/>
        <w:rPr>
          <w:color w:val="000000" w:themeColor="text1"/>
        </w:rPr>
      </w:pPr>
      <w:r w:rsidRPr="004D45B3">
        <w:rPr>
          <w:rFonts w:cs="Arial"/>
          <w:color w:val="000000" w:themeColor="text1"/>
          <w:szCs w:val="24"/>
        </w:rPr>
        <w:t xml:space="preserve">NHS England (2025) </w:t>
      </w:r>
      <w:r w:rsidRPr="004D45B3">
        <w:rPr>
          <w:rFonts w:cs="Arial"/>
          <w:i/>
          <w:iCs/>
          <w:color w:val="000000" w:themeColor="text1"/>
          <w:szCs w:val="24"/>
        </w:rPr>
        <w:t>NHS England » patient safety healthcare inequalities reduction framework</w:t>
      </w:r>
      <w:r w:rsidRPr="004D45B3">
        <w:rPr>
          <w:rFonts w:cs="Arial"/>
          <w:color w:val="000000" w:themeColor="text1"/>
          <w:szCs w:val="24"/>
        </w:rPr>
        <w:t xml:space="preserve">, </w:t>
      </w:r>
      <w:r w:rsidRPr="004D45B3">
        <w:rPr>
          <w:rFonts w:cs="Arial"/>
          <w:i/>
          <w:iCs/>
          <w:color w:val="000000" w:themeColor="text1"/>
          <w:szCs w:val="24"/>
        </w:rPr>
        <w:t>England.nhs.uk</w:t>
      </w:r>
      <w:r w:rsidRPr="004D45B3">
        <w:rPr>
          <w:rFonts w:cs="Arial"/>
          <w:color w:val="000000" w:themeColor="text1"/>
          <w:szCs w:val="24"/>
        </w:rPr>
        <w:t xml:space="preserve">. Available at: </w:t>
      </w:r>
      <w:hyperlink r:id="rId30" w:history="1">
        <w:r w:rsidR="00BE776A" w:rsidRPr="004D45B3">
          <w:rPr>
            <w:rStyle w:val="Hyperlink"/>
            <w:rFonts w:cs="Arial"/>
            <w:color w:val="000000" w:themeColor="text1"/>
            <w:szCs w:val="24"/>
          </w:rPr>
          <w:t>https://www.england.nhs.uk/long-read/patient-safety-healthcare-inequalities-reduction-framework/</w:t>
        </w:r>
      </w:hyperlink>
      <w:r w:rsidRPr="004D45B3">
        <w:rPr>
          <w:rFonts w:cs="Arial"/>
          <w:color w:val="000000" w:themeColor="text1"/>
          <w:szCs w:val="24"/>
        </w:rPr>
        <w:t xml:space="preserve">  (Accessed: July 24, 2026).</w:t>
      </w:r>
    </w:p>
    <w:p w14:paraId="4091ABE4" w14:textId="77777777" w:rsidR="00BE776A" w:rsidRPr="004D45B3" w:rsidRDefault="0007681E">
      <w:pPr>
        <w:rPr>
          <w:color w:val="000000" w:themeColor="text1"/>
        </w:rPr>
      </w:pPr>
      <w:r w:rsidRPr="004D45B3">
        <w:rPr>
          <w:color w:val="000000" w:themeColor="text1"/>
        </w:rPr>
        <w:t xml:space="preserve">NHS England (2025). </w:t>
      </w:r>
      <w:r w:rsidRPr="004D45B3">
        <w:rPr>
          <w:i/>
          <w:iCs/>
          <w:color w:val="000000" w:themeColor="text1"/>
        </w:rPr>
        <w:t>NHS England » review of progress in 2025/26: Delivering the equality objectives and meeting the wider equality requirements</w:t>
      </w:r>
      <w:r w:rsidRPr="004D45B3">
        <w:rPr>
          <w:color w:val="000000" w:themeColor="text1"/>
        </w:rPr>
        <w:t>. [online] England.nhs.uk. Available at: https://www.england.nhs.uk/long-read/review-progress-2025-26-equality-delivering-objectives-meeting-requirements/ [Accessed 21 Sept. 2026].</w:t>
      </w:r>
    </w:p>
    <w:p w14:paraId="2F7C16DB" w14:textId="77777777" w:rsidR="00BE776A" w:rsidRPr="004D45B3" w:rsidRDefault="0007681E">
      <w:pPr>
        <w:pStyle w:val="NormalWeb"/>
        <w:spacing w:before="240" w:after="0" w:line="360" w:lineRule="auto"/>
        <w:rPr>
          <w:color w:val="000000" w:themeColor="text1"/>
        </w:rPr>
      </w:pPr>
      <w:proofErr w:type="spellStart"/>
      <w:r w:rsidRPr="004D45B3">
        <w:rPr>
          <w:rFonts w:ascii="Arial" w:hAnsi="Arial" w:cs="Arial"/>
          <w:color w:val="000000" w:themeColor="text1"/>
          <w:shd w:val="clear" w:color="auto" w:fill="FFFFFF"/>
        </w:rPr>
        <w:t>Nousak</w:t>
      </w:r>
      <w:proofErr w:type="spellEnd"/>
      <w:r w:rsidRPr="004D45B3">
        <w:rPr>
          <w:rFonts w:ascii="Arial" w:hAnsi="Arial" w:cs="Arial"/>
          <w:color w:val="000000" w:themeColor="text1"/>
          <w:shd w:val="clear" w:color="auto" w:fill="FFFFFF"/>
        </w:rPr>
        <w:t xml:space="preserve">, S., (2025). Extending Fundamental Cause Theory to Holistic Health. </w:t>
      </w:r>
      <w:r w:rsidRPr="004D45B3">
        <w:rPr>
          <w:rFonts w:ascii="Arial" w:hAnsi="Arial" w:cs="Arial"/>
          <w:i/>
          <w:iCs/>
          <w:color w:val="000000" w:themeColor="text1"/>
          <w:shd w:val="clear" w:color="auto" w:fill="FFFFFF"/>
        </w:rPr>
        <w:t>Sociology of Health &amp; Illness</w:t>
      </w:r>
      <w:r w:rsidRPr="004D45B3">
        <w:rPr>
          <w:rFonts w:ascii="Arial" w:hAnsi="Arial" w:cs="Arial"/>
          <w:color w:val="000000" w:themeColor="text1"/>
          <w:shd w:val="clear" w:color="auto" w:fill="FFFFFF"/>
        </w:rPr>
        <w:t xml:space="preserve">, </w:t>
      </w:r>
      <w:r w:rsidRPr="004D45B3">
        <w:rPr>
          <w:rFonts w:ascii="Arial" w:hAnsi="Arial" w:cs="Arial"/>
          <w:i/>
          <w:iCs/>
          <w:color w:val="000000" w:themeColor="text1"/>
          <w:shd w:val="clear" w:color="auto" w:fill="FFFFFF"/>
        </w:rPr>
        <w:t>47</w:t>
      </w:r>
      <w:r w:rsidRPr="004D45B3">
        <w:rPr>
          <w:rFonts w:ascii="Arial" w:hAnsi="Arial" w:cs="Arial"/>
          <w:color w:val="000000" w:themeColor="text1"/>
          <w:shd w:val="clear" w:color="auto" w:fill="FFFFFF"/>
        </w:rPr>
        <w:t xml:space="preserve">(1), p.e13875. </w:t>
      </w:r>
      <w:hyperlink r:id="rId31" w:history="1">
        <w:r w:rsidR="00BE776A" w:rsidRPr="004D45B3">
          <w:rPr>
            <w:rStyle w:val="Hyperlink"/>
            <w:rFonts w:ascii="Arial" w:hAnsi="Arial" w:cs="Arial"/>
            <w:color w:val="000000" w:themeColor="text1"/>
            <w:shd w:val="clear" w:color="auto" w:fill="FFFFFF"/>
          </w:rPr>
          <w:t>https://onlinelibrary.wiley.com/doi/pdf/10.1111/1467-9566.13875</w:t>
        </w:r>
      </w:hyperlink>
    </w:p>
    <w:p w14:paraId="46859EE8" w14:textId="77777777" w:rsidR="00BE776A" w:rsidRPr="004D45B3" w:rsidRDefault="0007681E">
      <w:pPr>
        <w:spacing w:before="240" w:after="240"/>
        <w:rPr>
          <w:color w:val="000000" w:themeColor="text1"/>
        </w:rPr>
      </w:pPr>
      <w:proofErr w:type="spellStart"/>
      <w:r w:rsidRPr="004D45B3">
        <w:rPr>
          <w:rFonts w:cs="Arial"/>
          <w:color w:val="000000" w:themeColor="text1"/>
          <w:szCs w:val="24"/>
          <w:lang w:val="en-IN"/>
        </w:rPr>
        <w:t>Olowomeye</w:t>
      </w:r>
      <w:proofErr w:type="spellEnd"/>
      <w:r w:rsidRPr="004D45B3">
        <w:rPr>
          <w:rFonts w:cs="Arial"/>
          <w:color w:val="000000" w:themeColor="text1"/>
          <w:szCs w:val="24"/>
          <w:lang w:val="en-IN"/>
        </w:rPr>
        <w:t>, E., (2025). Exploring interdisciplinary family medicine approaches to improve chronic disease management and patient-</w:t>
      </w:r>
      <w:proofErr w:type="spellStart"/>
      <w:r w:rsidRPr="004D45B3">
        <w:rPr>
          <w:rFonts w:cs="Arial"/>
          <w:color w:val="000000" w:themeColor="text1"/>
          <w:szCs w:val="24"/>
          <w:lang w:val="en-IN"/>
        </w:rPr>
        <w:t>centered</w:t>
      </w:r>
      <w:proofErr w:type="spellEnd"/>
      <w:r w:rsidRPr="004D45B3">
        <w:rPr>
          <w:rFonts w:cs="Arial"/>
          <w:color w:val="000000" w:themeColor="text1"/>
          <w:szCs w:val="24"/>
          <w:lang w:val="en-IN"/>
        </w:rPr>
        <w:t xml:space="preserve"> outcomes. </w:t>
      </w:r>
      <w:proofErr w:type="spellStart"/>
      <w:r w:rsidRPr="004D45B3">
        <w:rPr>
          <w:rFonts w:cs="Arial"/>
          <w:i/>
          <w:iCs/>
          <w:color w:val="000000" w:themeColor="text1"/>
          <w:szCs w:val="24"/>
          <w:lang w:val="en-IN"/>
        </w:rPr>
        <w:t>Int</w:t>
      </w:r>
      <w:proofErr w:type="spellEnd"/>
      <w:r w:rsidRPr="004D45B3">
        <w:rPr>
          <w:rFonts w:cs="Arial"/>
          <w:i/>
          <w:iCs/>
          <w:color w:val="000000" w:themeColor="text1"/>
          <w:szCs w:val="24"/>
          <w:lang w:val="en-IN"/>
        </w:rPr>
        <w:t xml:space="preserve"> J Res </w:t>
      </w:r>
      <w:proofErr w:type="spellStart"/>
      <w:r w:rsidRPr="004D45B3">
        <w:rPr>
          <w:rFonts w:cs="Arial"/>
          <w:i/>
          <w:iCs/>
          <w:color w:val="000000" w:themeColor="text1"/>
          <w:szCs w:val="24"/>
          <w:lang w:val="en-IN"/>
        </w:rPr>
        <w:t>Publ</w:t>
      </w:r>
      <w:proofErr w:type="spellEnd"/>
      <w:r w:rsidRPr="004D45B3">
        <w:rPr>
          <w:rFonts w:cs="Arial"/>
          <w:i/>
          <w:iCs/>
          <w:color w:val="000000" w:themeColor="text1"/>
          <w:szCs w:val="24"/>
          <w:lang w:val="en-IN"/>
        </w:rPr>
        <w:t xml:space="preserve"> Rev</w:t>
      </w:r>
      <w:r w:rsidRPr="004D45B3">
        <w:rPr>
          <w:rFonts w:cs="Arial"/>
          <w:color w:val="000000" w:themeColor="text1"/>
          <w:szCs w:val="24"/>
          <w:lang w:val="en-IN"/>
        </w:rPr>
        <w:t xml:space="preserve">, </w:t>
      </w:r>
      <w:r w:rsidRPr="004D45B3">
        <w:rPr>
          <w:rFonts w:cs="Arial"/>
          <w:i/>
          <w:iCs/>
          <w:color w:val="000000" w:themeColor="text1"/>
          <w:szCs w:val="24"/>
          <w:lang w:val="en-IN"/>
        </w:rPr>
        <w:t>6</w:t>
      </w:r>
      <w:r w:rsidRPr="004D45B3">
        <w:rPr>
          <w:rFonts w:cs="Arial"/>
          <w:color w:val="000000" w:themeColor="text1"/>
          <w:szCs w:val="24"/>
          <w:lang w:val="en-IN"/>
        </w:rPr>
        <w:t xml:space="preserve">(5), pp.12378-12395. </w:t>
      </w:r>
      <w:hyperlink r:id="rId32" w:history="1">
        <w:r w:rsidR="00BE776A" w:rsidRPr="004D45B3">
          <w:rPr>
            <w:rStyle w:val="Hyperlink"/>
            <w:rFonts w:cs="Arial"/>
            <w:color w:val="000000" w:themeColor="text1"/>
            <w:szCs w:val="24"/>
            <w:lang w:val="en-IN"/>
          </w:rPr>
          <w:t>https://www.academia.edu/download/123269634/Family_Medicine_Approaches_to_Improve_Chronic_Disease_Mangement_and_Patient_Centered_Outcomes_by_Eunice_Olowomeye.pdf</w:t>
        </w:r>
      </w:hyperlink>
    </w:p>
    <w:p w14:paraId="0F2E11D6" w14:textId="77777777" w:rsidR="00BE776A" w:rsidRPr="004D45B3" w:rsidRDefault="0007681E">
      <w:pPr>
        <w:rPr>
          <w:color w:val="000000" w:themeColor="text1"/>
        </w:rPr>
      </w:pPr>
      <w:r w:rsidRPr="004D45B3">
        <w:rPr>
          <w:color w:val="000000" w:themeColor="text1"/>
        </w:rPr>
        <w:t xml:space="preserve">Ortiz, K., Nash, J., Shea, L., Oetzel, J., Garoutte, J., Sanchez-Youngman, S. and Wallerstein, N. (2020). Partnerships, processes, and outcomes: A health equity-focused scoping meta-review of community-engaged scholarship. </w:t>
      </w:r>
      <w:r w:rsidRPr="004D45B3">
        <w:rPr>
          <w:i/>
          <w:iCs/>
          <w:color w:val="000000" w:themeColor="text1"/>
        </w:rPr>
        <w:t>Annual Review of Public Health</w:t>
      </w:r>
      <w:r w:rsidRPr="004D45B3">
        <w:rPr>
          <w:color w:val="000000" w:themeColor="text1"/>
        </w:rPr>
        <w:t>, [online] 41, pp.177–199. doi:10.1146/annurev-publhealth-040119-094220.</w:t>
      </w:r>
    </w:p>
    <w:p w14:paraId="756EF344" w14:textId="77777777" w:rsidR="00BE776A" w:rsidRPr="004D45B3" w:rsidRDefault="0007681E">
      <w:pPr>
        <w:spacing w:after="240"/>
        <w:rPr>
          <w:color w:val="000000" w:themeColor="text1"/>
        </w:rPr>
      </w:pPr>
      <w:r w:rsidRPr="004D45B3">
        <w:rPr>
          <w:rFonts w:cs="Arial"/>
          <w:color w:val="000000" w:themeColor="text1"/>
          <w:szCs w:val="24"/>
          <w:lang w:val="en-IN"/>
        </w:rPr>
        <w:t xml:space="preserve">Pandey, M., </w:t>
      </w:r>
      <w:proofErr w:type="spellStart"/>
      <w:r w:rsidRPr="004D45B3">
        <w:rPr>
          <w:rFonts w:cs="Arial"/>
          <w:color w:val="000000" w:themeColor="text1"/>
          <w:szCs w:val="24"/>
          <w:lang w:val="en-IN"/>
        </w:rPr>
        <w:t>Maina</w:t>
      </w:r>
      <w:proofErr w:type="spellEnd"/>
      <w:r w:rsidRPr="004D45B3">
        <w:rPr>
          <w:rFonts w:cs="Arial"/>
          <w:color w:val="000000" w:themeColor="text1"/>
          <w:szCs w:val="24"/>
          <w:lang w:val="en-IN"/>
        </w:rPr>
        <w:t xml:space="preserve">, R.G., </w:t>
      </w:r>
      <w:proofErr w:type="spellStart"/>
      <w:r w:rsidRPr="004D45B3">
        <w:rPr>
          <w:rFonts w:cs="Arial"/>
          <w:color w:val="000000" w:themeColor="text1"/>
          <w:szCs w:val="24"/>
          <w:lang w:val="en-IN"/>
        </w:rPr>
        <w:t>Amoyaw</w:t>
      </w:r>
      <w:proofErr w:type="spellEnd"/>
      <w:r w:rsidRPr="004D45B3">
        <w:rPr>
          <w:rFonts w:cs="Arial"/>
          <w:color w:val="000000" w:themeColor="text1"/>
          <w:szCs w:val="24"/>
          <w:lang w:val="en-IN"/>
        </w:rPr>
        <w:t xml:space="preserve">, J., Li, Y., Kamrul, R., Michaels, C.R. and Maroof, R. (2021). Impacts of English language proficiency on healthcare access, use, and outcomes among immigrants: A qualitative study. </w:t>
      </w:r>
      <w:r w:rsidRPr="004D45B3">
        <w:rPr>
          <w:rFonts w:cs="Arial"/>
          <w:i/>
          <w:iCs/>
          <w:color w:val="000000" w:themeColor="text1"/>
          <w:szCs w:val="24"/>
          <w:lang w:val="en-IN"/>
        </w:rPr>
        <w:t>BMC health services research</w:t>
      </w:r>
      <w:r w:rsidRPr="004D45B3">
        <w:rPr>
          <w:rFonts w:cs="Arial"/>
          <w:color w:val="000000" w:themeColor="text1"/>
          <w:szCs w:val="24"/>
          <w:lang w:val="en-IN"/>
        </w:rPr>
        <w:t>, 21(1), pp.1–13. doi:10.1186/s12913-021-06750-4.</w:t>
      </w:r>
    </w:p>
    <w:p w14:paraId="3C775E35" w14:textId="77777777" w:rsidR="00BE776A" w:rsidRPr="004D45B3" w:rsidRDefault="0007681E">
      <w:pPr>
        <w:spacing w:after="240"/>
        <w:rPr>
          <w:color w:val="000000" w:themeColor="text1"/>
        </w:rPr>
      </w:pPr>
      <w:r w:rsidRPr="004D45B3">
        <w:rPr>
          <w:rFonts w:cs="Arial"/>
          <w:color w:val="000000" w:themeColor="text1"/>
          <w:szCs w:val="24"/>
        </w:rPr>
        <w:t xml:space="preserve">Patel, S. </w:t>
      </w:r>
      <w:r w:rsidRPr="004D45B3">
        <w:rPr>
          <w:rFonts w:cs="Arial"/>
          <w:i/>
          <w:iCs/>
          <w:color w:val="000000" w:themeColor="text1"/>
          <w:szCs w:val="24"/>
        </w:rPr>
        <w:t>et al.</w:t>
      </w:r>
      <w:r w:rsidRPr="004D45B3">
        <w:rPr>
          <w:rFonts w:cs="Arial"/>
          <w:color w:val="000000" w:themeColor="text1"/>
          <w:szCs w:val="24"/>
        </w:rPr>
        <w:t xml:space="preserve"> (2026) “Navigating cultural barriers: A qualitative study exploring clinicians’ experiences of providing mental health support for ethnic minority groups in England,” </w:t>
      </w:r>
      <w:r w:rsidRPr="004D45B3">
        <w:rPr>
          <w:rFonts w:cs="Arial"/>
          <w:i/>
          <w:iCs/>
          <w:color w:val="000000" w:themeColor="text1"/>
          <w:szCs w:val="24"/>
        </w:rPr>
        <w:t>BMC health services research</w:t>
      </w:r>
      <w:r w:rsidRPr="004D45B3">
        <w:rPr>
          <w:rFonts w:cs="Arial"/>
          <w:color w:val="000000" w:themeColor="text1"/>
          <w:szCs w:val="24"/>
        </w:rPr>
        <w:t xml:space="preserve"> [Preprint]. Available at: </w:t>
      </w:r>
      <w:hyperlink r:id="rId33" w:history="1">
        <w:r w:rsidR="00BE776A" w:rsidRPr="004D45B3">
          <w:rPr>
            <w:rStyle w:val="Hyperlink"/>
            <w:rFonts w:cs="Arial"/>
            <w:color w:val="000000" w:themeColor="text1"/>
            <w:szCs w:val="24"/>
          </w:rPr>
          <w:t>https://doi.org/10.1186/s12913-026-14146-5</w:t>
        </w:r>
      </w:hyperlink>
      <w:r w:rsidRPr="004D45B3">
        <w:rPr>
          <w:rFonts w:cs="Arial"/>
          <w:color w:val="000000" w:themeColor="text1"/>
          <w:szCs w:val="24"/>
        </w:rPr>
        <w:t xml:space="preserve">. </w:t>
      </w:r>
    </w:p>
    <w:p w14:paraId="4A65DD50" w14:textId="77777777" w:rsidR="00BE776A" w:rsidRPr="004D45B3" w:rsidRDefault="0007681E">
      <w:pPr>
        <w:spacing w:after="240"/>
        <w:rPr>
          <w:color w:val="000000" w:themeColor="text1"/>
        </w:rPr>
      </w:pPr>
      <w:r w:rsidRPr="004D45B3">
        <w:rPr>
          <w:rFonts w:cs="Arial"/>
          <w:color w:val="000000" w:themeColor="text1"/>
          <w:szCs w:val="24"/>
          <w:lang w:val="en-IN"/>
        </w:rPr>
        <w:t xml:space="preserve">Pedersen, J.F., Egilstrød, B., Overgaard, C. and Petersen, K.S. (2021). Public involvement in the planning, development and implementation of community health services: A scoping review of Public involvement methods. </w:t>
      </w:r>
      <w:r w:rsidRPr="004D45B3">
        <w:rPr>
          <w:rFonts w:cs="Arial"/>
          <w:i/>
          <w:iCs/>
          <w:color w:val="000000" w:themeColor="text1"/>
          <w:szCs w:val="24"/>
          <w:lang w:val="en-IN"/>
        </w:rPr>
        <w:t>Health &amp; social care in the community</w:t>
      </w:r>
      <w:r w:rsidRPr="004D45B3">
        <w:rPr>
          <w:rFonts w:cs="Arial"/>
          <w:color w:val="000000" w:themeColor="text1"/>
          <w:szCs w:val="24"/>
          <w:lang w:val="en-IN"/>
        </w:rPr>
        <w:t>, 30(3). doi:10.1111/hsc.13528.</w:t>
      </w:r>
    </w:p>
    <w:p w14:paraId="40E81988" w14:textId="77777777" w:rsidR="00BE776A" w:rsidRPr="004D45B3" w:rsidRDefault="0007681E">
      <w:pPr>
        <w:spacing w:after="240"/>
        <w:rPr>
          <w:color w:val="000000" w:themeColor="text1"/>
        </w:rPr>
      </w:pPr>
      <w:proofErr w:type="spellStart"/>
      <w:r w:rsidRPr="004D45B3">
        <w:rPr>
          <w:rFonts w:cs="Arial"/>
          <w:color w:val="000000" w:themeColor="text1"/>
          <w:szCs w:val="24"/>
          <w:lang w:val="en-IN"/>
        </w:rPr>
        <w:t>Pelasoja</w:t>
      </w:r>
      <w:proofErr w:type="spellEnd"/>
      <w:r w:rsidRPr="004D45B3">
        <w:rPr>
          <w:rFonts w:cs="Arial"/>
          <w:color w:val="000000" w:themeColor="text1"/>
          <w:szCs w:val="24"/>
          <w:lang w:val="en-IN"/>
        </w:rPr>
        <w:t xml:space="preserve">, M., </w:t>
      </w:r>
      <w:proofErr w:type="spellStart"/>
      <w:r w:rsidRPr="004D45B3">
        <w:rPr>
          <w:rFonts w:cs="Arial"/>
          <w:color w:val="000000" w:themeColor="text1"/>
          <w:szCs w:val="24"/>
          <w:lang w:val="en-IN"/>
        </w:rPr>
        <w:t>Vähä</w:t>
      </w:r>
      <w:proofErr w:type="spellEnd"/>
      <w:r w:rsidRPr="004D45B3">
        <w:rPr>
          <w:rFonts w:cs="Arial"/>
          <w:color w:val="000000" w:themeColor="text1"/>
          <w:szCs w:val="24"/>
          <w:lang w:val="en-IN"/>
        </w:rPr>
        <w:t xml:space="preserve">, J., Kuha, S., Mikkonen, K. and </w:t>
      </w:r>
      <w:proofErr w:type="spellStart"/>
      <w:r w:rsidRPr="004D45B3">
        <w:rPr>
          <w:rFonts w:cs="Arial"/>
          <w:color w:val="000000" w:themeColor="text1"/>
          <w:szCs w:val="24"/>
          <w:lang w:val="en-IN"/>
        </w:rPr>
        <w:t>Kanste</w:t>
      </w:r>
      <w:proofErr w:type="spellEnd"/>
      <w:r w:rsidRPr="004D45B3">
        <w:rPr>
          <w:rFonts w:cs="Arial"/>
          <w:color w:val="000000" w:themeColor="text1"/>
          <w:szCs w:val="24"/>
          <w:lang w:val="en-IN"/>
        </w:rPr>
        <w:t xml:space="preserve">, O. (2025). Leadership in Culturally and linguistically diverse healthcare workplaces: A scoping review. </w:t>
      </w:r>
      <w:r w:rsidRPr="004D45B3">
        <w:rPr>
          <w:rFonts w:cs="Arial"/>
          <w:i/>
          <w:iCs/>
          <w:color w:val="000000" w:themeColor="text1"/>
          <w:szCs w:val="24"/>
          <w:lang w:val="en-IN"/>
        </w:rPr>
        <w:t>Journal of Advanced nursing</w:t>
      </w:r>
      <w:r w:rsidRPr="004D45B3">
        <w:rPr>
          <w:rFonts w:cs="Arial"/>
          <w:color w:val="000000" w:themeColor="text1"/>
          <w:szCs w:val="24"/>
          <w:lang w:val="en-IN"/>
        </w:rPr>
        <w:t>. doi:10.1111/jan.16909.</w:t>
      </w:r>
    </w:p>
    <w:p w14:paraId="23285D96" w14:textId="77777777" w:rsidR="00BE776A" w:rsidRPr="004D45B3" w:rsidRDefault="0007681E">
      <w:pPr>
        <w:spacing w:after="240"/>
        <w:rPr>
          <w:color w:val="000000" w:themeColor="text1"/>
        </w:rPr>
      </w:pPr>
      <w:proofErr w:type="spellStart"/>
      <w:r w:rsidRPr="004D45B3">
        <w:rPr>
          <w:rFonts w:cs="Arial"/>
          <w:color w:val="000000" w:themeColor="text1"/>
          <w:szCs w:val="24"/>
          <w:lang w:val="en-IN"/>
        </w:rPr>
        <w:t>Perchyk</w:t>
      </w:r>
      <w:proofErr w:type="spellEnd"/>
      <w:r w:rsidRPr="004D45B3">
        <w:rPr>
          <w:rFonts w:cs="Arial"/>
          <w:color w:val="000000" w:themeColor="text1"/>
          <w:szCs w:val="24"/>
          <w:lang w:val="en-IN"/>
        </w:rPr>
        <w:t xml:space="preserve">, T., de Vere Hunt, I.J., Nicholson, B.D., Mounce, L., Sykes, K., </w:t>
      </w:r>
      <w:proofErr w:type="spellStart"/>
      <w:r w:rsidRPr="004D45B3">
        <w:rPr>
          <w:rFonts w:cs="Arial"/>
          <w:color w:val="000000" w:themeColor="text1"/>
          <w:szCs w:val="24"/>
          <w:lang w:val="en-IN"/>
        </w:rPr>
        <w:t>Lyratzopoulos</w:t>
      </w:r>
      <w:proofErr w:type="spellEnd"/>
      <w:r w:rsidRPr="004D45B3">
        <w:rPr>
          <w:rFonts w:cs="Arial"/>
          <w:color w:val="000000" w:themeColor="text1"/>
          <w:szCs w:val="24"/>
          <w:lang w:val="en-IN"/>
        </w:rPr>
        <w:t xml:space="preserve">, G., </w:t>
      </w:r>
      <w:proofErr w:type="spellStart"/>
      <w:r w:rsidRPr="004D45B3">
        <w:rPr>
          <w:rFonts w:cs="Arial"/>
          <w:color w:val="000000" w:themeColor="text1"/>
          <w:szCs w:val="24"/>
          <w:lang w:val="en-IN"/>
        </w:rPr>
        <w:t>Lemanska</w:t>
      </w:r>
      <w:proofErr w:type="spellEnd"/>
      <w:r w:rsidRPr="004D45B3">
        <w:rPr>
          <w:rFonts w:cs="Arial"/>
          <w:color w:val="000000" w:themeColor="text1"/>
          <w:szCs w:val="24"/>
          <w:lang w:val="en-IN"/>
        </w:rPr>
        <w:t xml:space="preserve">, A., Whitaker, K.L. and Kerrison, R.S., (2025). How well are marginalised groups represented in electronic records? A </w:t>
      </w:r>
      <w:proofErr w:type="spellStart"/>
      <w:r w:rsidRPr="004D45B3">
        <w:rPr>
          <w:rFonts w:cs="Arial"/>
          <w:color w:val="000000" w:themeColor="text1"/>
          <w:szCs w:val="24"/>
          <w:lang w:val="en-IN"/>
        </w:rPr>
        <w:t>codelist</w:t>
      </w:r>
      <w:proofErr w:type="spellEnd"/>
      <w:r w:rsidRPr="004D45B3">
        <w:rPr>
          <w:rFonts w:cs="Arial"/>
          <w:color w:val="000000" w:themeColor="text1"/>
          <w:szCs w:val="24"/>
          <w:lang w:val="en-IN"/>
        </w:rPr>
        <w:t xml:space="preserve"> development project and cross-sectional analysis of UK electronic health records. </w:t>
      </w:r>
      <w:r w:rsidRPr="004D45B3">
        <w:rPr>
          <w:rFonts w:cs="Arial"/>
          <w:i/>
          <w:iCs/>
          <w:color w:val="000000" w:themeColor="text1"/>
          <w:szCs w:val="24"/>
          <w:lang w:val="en-IN"/>
        </w:rPr>
        <w:t>BMJ open</w:t>
      </w:r>
      <w:r w:rsidRPr="004D45B3">
        <w:rPr>
          <w:rFonts w:cs="Arial"/>
          <w:color w:val="000000" w:themeColor="text1"/>
          <w:szCs w:val="24"/>
          <w:lang w:val="en-IN"/>
        </w:rPr>
        <w:t xml:space="preserve">, </w:t>
      </w:r>
      <w:r w:rsidRPr="004D45B3">
        <w:rPr>
          <w:rFonts w:cs="Arial"/>
          <w:i/>
          <w:iCs/>
          <w:color w:val="000000" w:themeColor="text1"/>
          <w:szCs w:val="24"/>
          <w:lang w:val="en-IN"/>
        </w:rPr>
        <w:t>15</w:t>
      </w:r>
      <w:r w:rsidRPr="004D45B3">
        <w:rPr>
          <w:rFonts w:cs="Arial"/>
          <w:color w:val="000000" w:themeColor="text1"/>
          <w:szCs w:val="24"/>
          <w:lang w:val="en-IN"/>
        </w:rPr>
        <w:t>(8), p.e098305. doi:10.1136/bmjopen-2024-098305.</w:t>
      </w:r>
    </w:p>
    <w:p w14:paraId="5E9AFB89" w14:textId="77777777" w:rsidR="00BE776A" w:rsidRPr="004D45B3" w:rsidRDefault="0007681E">
      <w:pPr>
        <w:spacing w:after="240"/>
        <w:rPr>
          <w:color w:val="000000" w:themeColor="text1"/>
        </w:rPr>
      </w:pPr>
      <w:proofErr w:type="spellStart"/>
      <w:r w:rsidRPr="004D45B3">
        <w:rPr>
          <w:rFonts w:cs="Arial"/>
          <w:color w:val="000000" w:themeColor="text1"/>
          <w:szCs w:val="24"/>
          <w:lang w:val="en-IN"/>
        </w:rPr>
        <w:t>Pisavadia</w:t>
      </w:r>
      <w:proofErr w:type="spellEnd"/>
      <w:r w:rsidRPr="004D45B3">
        <w:rPr>
          <w:rFonts w:cs="Arial"/>
          <w:color w:val="000000" w:themeColor="text1"/>
          <w:szCs w:val="24"/>
          <w:lang w:val="en-IN"/>
        </w:rPr>
        <w:t xml:space="preserve">, K., Edwards, R.T., Davies, C.T., Gould, A. and Parkinson, J. (2025). Preventative behavioural interventions that reduce health inequities: A systematic review using the theoretical domains framework. </w:t>
      </w:r>
      <w:r w:rsidRPr="004D45B3">
        <w:rPr>
          <w:rFonts w:cs="Arial"/>
          <w:i/>
          <w:iCs/>
          <w:color w:val="000000" w:themeColor="text1"/>
          <w:szCs w:val="24"/>
          <w:lang w:val="en-IN"/>
        </w:rPr>
        <w:t>BMC public health</w:t>
      </w:r>
      <w:r w:rsidRPr="004D45B3">
        <w:rPr>
          <w:rFonts w:cs="Arial"/>
          <w:color w:val="000000" w:themeColor="text1"/>
          <w:szCs w:val="24"/>
          <w:lang w:val="en-IN"/>
        </w:rPr>
        <w:t>, 25(1). doi:10.1186/s12889-025-22740-1.</w:t>
      </w:r>
    </w:p>
    <w:p w14:paraId="7AB0B1E0" w14:textId="77777777" w:rsidR="00BE776A" w:rsidRPr="004D45B3" w:rsidRDefault="0007681E">
      <w:pPr>
        <w:spacing w:after="240"/>
        <w:rPr>
          <w:color w:val="000000" w:themeColor="text1"/>
        </w:rPr>
      </w:pPr>
      <w:r w:rsidRPr="004D45B3">
        <w:rPr>
          <w:rFonts w:cs="Arial"/>
          <w:color w:val="000000" w:themeColor="text1"/>
          <w:szCs w:val="24"/>
        </w:rPr>
        <w:t xml:space="preserve">Raleigh, V. (2023) </w:t>
      </w:r>
      <w:r w:rsidRPr="004D45B3">
        <w:rPr>
          <w:rFonts w:cs="Arial"/>
          <w:i/>
          <w:iCs/>
          <w:color w:val="000000" w:themeColor="text1"/>
          <w:szCs w:val="24"/>
        </w:rPr>
        <w:t>The health of people from ethnic minority groups in England</w:t>
      </w:r>
      <w:r w:rsidRPr="004D45B3">
        <w:rPr>
          <w:rFonts w:cs="Arial"/>
          <w:color w:val="000000" w:themeColor="text1"/>
          <w:szCs w:val="24"/>
        </w:rPr>
        <w:t xml:space="preserve">, </w:t>
      </w:r>
      <w:r w:rsidRPr="004D45B3">
        <w:rPr>
          <w:rFonts w:cs="Arial"/>
          <w:i/>
          <w:iCs/>
          <w:color w:val="000000" w:themeColor="text1"/>
          <w:szCs w:val="24"/>
        </w:rPr>
        <w:t>The King’s Fund</w:t>
      </w:r>
      <w:r w:rsidRPr="004D45B3">
        <w:rPr>
          <w:rFonts w:cs="Arial"/>
          <w:color w:val="000000" w:themeColor="text1"/>
          <w:szCs w:val="24"/>
        </w:rPr>
        <w:t xml:space="preserve">. The King’s Fund. Available at: </w:t>
      </w:r>
      <w:hyperlink r:id="rId34" w:history="1">
        <w:r w:rsidR="00BE776A" w:rsidRPr="004D45B3">
          <w:rPr>
            <w:rStyle w:val="Hyperlink"/>
            <w:rFonts w:cs="Arial"/>
            <w:color w:val="000000" w:themeColor="text1"/>
            <w:szCs w:val="24"/>
          </w:rPr>
          <w:t>https://www.kingsfund.org.uk/insight-and-analysis/long-reads/health-people-ethnic-minority-groups-england</w:t>
        </w:r>
      </w:hyperlink>
      <w:r w:rsidRPr="004D45B3">
        <w:rPr>
          <w:rFonts w:cs="Arial"/>
          <w:color w:val="000000" w:themeColor="text1"/>
          <w:szCs w:val="24"/>
        </w:rPr>
        <w:t xml:space="preserve">  (Accessed: July 24, 2026).</w:t>
      </w:r>
    </w:p>
    <w:p w14:paraId="67A4C8EC" w14:textId="77777777" w:rsidR="00BE776A" w:rsidRPr="004D45B3" w:rsidRDefault="0007681E">
      <w:pPr>
        <w:spacing w:after="240"/>
        <w:rPr>
          <w:color w:val="000000" w:themeColor="text1"/>
        </w:rPr>
      </w:pPr>
      <w:r w:rsidRPr="004D45B3">
        <w:rPr>
          <w:rFonts w:cs="Arial"/>
          <w:color w:val="000000" w:themeColor="text1"/>
          <w:szCs w:val="24"/>
        </w:rPr>
        <w:t xml:space="preserve">Raleigh, V. (2023). </w:t>
      </w:r>
      <w:r w:rsidRPr="004D45B3">
        <w:rPr>
          <w:rFonts w:cs="Arial"/>
          <w:i/>
          <w:iCs/>
          <w:color w:val="000000" w:themeColor="text1"/>
          <w:szCs w:val="24"/>
        </w:rPr>
        <w:t>The health of people from ethnic minority groups in England</w:t>
      </w:r>
      <w:r w:rsidRPr="004D45B3">
        <w:rPr>
          <w:rFonts w:cs="Arial"/>
          <w:color w:val="000000" w:themeColor="text1"/>
          <w:szCs w:val="24"/>
        </w:rPr>
        <w:t>. [online] The King’s Fund. Available at: https://www.kingsfund.org.uk/insight-and-analysis/long-reads/health-people-ethnic-minority-groups-england [Accessed 21 Sept. 2026].</w:t>
      </w:r>
    </w:p>
    <w:p w14:paraId="37BCEAF7" w14:textId="77777777" w:rsidR="00BE776A" w:rsidRPr="004D45B3" w:rsidRDefault="0007681E">
      <w:pPr>
        <w:spacing w:after="240"/>
        <w:rPr>
          <w:color w:val="000000" w:themeColor="text1"/>
        </w:rPr>
      </w:pPr>
      <w:r w:rsidRPr="004D45B3">
        <w:rPr>
          <w:rFonts w:cs="Arial"/>
          <w:color w:val="000000" w:themeColor="text1"/>
          <w:szCs w:val="24"/>
        </w:rPr>
        <w:t xml:space="preserve">Razzaq, N., Eesha Farzeen Khan and Razzaq, S. (2023). </w:t>
      </w:r>
      <w:proofErr w:type="spellStart"/>
      <w:r w:rsidRPr="004D45B3">
        <w:rPr>
          <w:rFonts w:cs="Arial"/>
          <w:color w:val="000000" w:themeColor="text1"/>
          <w:szCs w:val="24"/>
        </w:rPr>
        <w:t>Analyzing</w:t>
      </w:r>
      <w:proofErr w:type="spellEnd"/>
      <w:r w:rsidRPr="004D45B3">
        <w:rPr>
          <w:rFonts w:cs="Arial"/>
          <w:color w:val="000000" w:themeColor="text1"/>
          <w:szCs w:val="24"/>
        </w:rPr>
        <w:t xml:space="preserve"> the role of language and religion in culturally competent healthcare: An interdisciplinary perspective. </w:t>
      </w:r>
      <w:r w:rsidRPr="004D45B3">
        <w:rPr>
          <w:rFonts w:cs="Arial"/>
          <w:i/>
          <w:iCs/>
          <w:color w:val="000000" w:themeColor="text1"/>
          <w:szCs w:val="24"/>
        </w:rPr>
        <w:t>Annals of innovation in medicine</w:t>
      </w:r>
      <w:r w:rsidRPr="004D45B3">
        <w:rPr>
          <w:rFonts w:cs="Arial"/>
          <w:color w:val="000000" w:themeColor="text1"/>
          <w:szCs w:val="24"/>
        </w:rPr>
        <w:t>, 1(3). doi:10.59652/aim.v1i3.61.</w:t>
      </w:r>
    </w:p>
    <w:p w14:paraId="658EC86A" w14:textId="77777777" w:rsidR="00BE776A" w:rsidRPr="004D45B3" w:rsidRDefault="0007681E">
      <w:pPr>
        <w:spacing w:after="240"/>
        <w:rPr>
          <w:color w:val="000000" w:themeColor="text1"/>
        </w:rPr>
      </w:pPr>
      <w:r w:rsidRPr="004D45B3">
        <w:rPr>
          <w:rFonts w:cs="Arial"/>
          <w:color w:val="000000" w:themeColor="text1"/>
          <w:szCs w:val="24"/>
          <w:lang w:val="en-IN"/>
        </w:rPr>
        <w:t xml:space="preserve">Robinson, A., Elarbi, M., Todd, A. and Husband, A. (2021). A qualitative exploration of the barriers and facilitators affecting ethnic minority patient groups when accessing medicine review services: Perspectives of healthcare professionals. </w:t>
      </w:r>
      <w:r w:rsidRPr="004D45B3">
        <w:rPr>
          <w:rFonts w:cs="Arial"/>
          <w:i/>
          <w:iCs/>
          <w:color w:val="000000" w:themeColor="text1"/>
          <w:szCs w:val="24"/>
          <w:lang w:val="en-IN"/>
        </w:rPr>
        <w:t>Health expectations</w:t>
      </w:r>
      <w:r w:rsidRPr="004D45B3">
        <w:rPr>
          <w:rFonts w:cs="Arial"/>
          <w:color w:val="000000" w:themeColor="text1"/>
          <w:szCs w:val="24"/>
          <w:lang w:val="en-IN"/>
        </w:rPr>
        <w:t>, [online] 25(2). doi:10.1111/hex.13410.</w:t>
      </w:r>
    </w:p>
    <w:p w14:paraId="31AB7DAC" w14:textId="77777777" w:rsidR="00BE776A" w:rsidRPr="004D45B3" w:rsidRDefault="0007681E">
      <w:pPr>
        <w:spacing w:after="240"/>
        <w:rPr>
          <w:color w:val="000000" w:themeColor="text1"/>
        </w:rPr>
      </w:pPr>
      <w:r w:rsidRPr="004D45B3">
        <w:rPr>
          <w:rFonts w:cs="Arial"/>
          <w:color w:val="000000" w:themeColor="text1"/>
          <w:szCs w:val="24"/>
          <w:lang w:val="en-IN"/>
        </w:rPr>
        <w:t xml:space="preserve">Rogers, H.L., Pablo Hernando, S., Núñez - Fernández, S., Sanchez, A., Martos, C., Moreno, M. and Grandes, G. (2021). Barriers and facilitators in the implementation of an evidence-based health promotion intervention in a primary care setting: A qualitative study. </w:t>
      </w:r>
      <w:r w:rsidRPr="004D45B3">
        <w:rPr>
          <w:rFonts w:cs="Arial"/>
          <w:i/>
          <w:iCs/>
          <w:color w:val="000000" w:themeColor="text1"/>
          <w:szCs w:val="24"/>
          <w:lang w:val="en-IN"/>
        </w:rPr>
        <w:t>Journal of Health organization and management</w:t>
      </w:r>
      <w:r w:rsidRPr="004D45B3">
        <w:rPr>
          <w:rFonts w:cs="Arial"/>
          <w:color w:val="000000" w:themeColor="text1"/>
          <w:szCs w:val="24"/>
          <w:lang w:val="en-IN"/>
        </w:rPr>
        <w:t>, [online] 35(9), pp.349–367. doi:10.1108/jhom-12-2020-0512.</w:t>
      </w:r>
    </w:p>
    <w:p w14:paraId="1B01104B" w14:textId="77777777" w:rsidR="00BE776A" w:rsidRPr="004D45B3" w:rsidRDefault="0007681E">
      <w:pPr>
        <w:pStyle w:val="NormalWeb"/>
        <w:spacing w:before="240" w:after="0" w:line="360" w:lineRule="auto"/>
        <w:rPr>
          <w:color w:val="000000" w:themeColor="text1"/>
        </w:rPr>
      </w:pPr>
      <w:r w:rsidRPr="004D45B3">
        <w:rPr>
          <w:rFonts w:ascii="Arial" w:hAnsi="Arial" w:cs="Arial"/>
          <w:color w:val="000000" w:themeColor="text1"/>
          <w:shd w:val="clear" w:color="auto" w:fill="FFFFFF"/>
        </w:rPr>
        <w:t xml:space="preserve">Rydland, H.T., Friedman, J., </w:t>
      </w:r>
      <w:proofErr w:type="spellStart"/>
      <w:r w:rsidRPr="004D45B3">
        <w:rPr>
          <w:rFonts w:ascii="Arial" w:hAnsi="Arial" w:cs="Arial"/>
          <w:color w:val="000000" w:themeColor="text1"/>
          <w:shd w:val="clear" w:color="auto" w:fill="FFFFFF"/>
        </w:rPr>
        <w:t>Stringhini</w:t>
      </w:r>
      <w:proofErr w:type="spellEnd"/>
      <w:r w:rsidRPr="004D45B3">
        <w:rPr>
          <w:rFonts w:ascii="Arial" w:hAnsi="Arial" w:cs="Arial"/>
          <w:color w:val="000000" w:themeColor="text1"/>
          <w:shd w:val="clear" w:color="auto" w:fill="FFFFFF"/>
        </w:rPr>
        <w:t xml:space="preserve">, S., Link, B.G. and Eikemo, T.A., (2022). The radically unequal distribution of Covid-19 vaccinations: a predictable yet avoidable symptom of the fundamental causes of inequality. </w:t>
      </w:r>
      <w:r w:rsidRPr="004D45B3">
        <w:rPr>
          <w:rFonts w:ascii="Arial" w:hAnsi="Arial" w:cs="Arial"/>
          <w:i/>
          <w:iCs/>
          <w:color w:val="000000" w:themeColor="text1"/>
          <w:shd w:val="clear" w:color="auto" w:fill="FFFFFF"/>
        </w:rPr>
        <w:t>Humanities and Social Sciences Communications</w:t>
      </w:r>
      <w:r w:rsidRPr="004D45B3">
        <w:rPr>
          <w:rFonts w:ascii="Arial" w:hAnsi="Arial" w:cs="Arial"/>
          <w:color w:val="000000" w:themeColor="text1"/>
          <w:shd w:val="clear" w:color="auto" w:fill="FFFFFF"/>
        </w:rPr>
        <w:t xml:space="preserve">, </w:t>
      </w:r>
      <w:r w:rsidRPr="004D45B3">
        <w:rPr>
          <w:rFonts w:ascii="Arial" w:hAnsi="Arial" w:cs="Arial"/>
          <w:i/>
          <w:iCs/>
          <w:color w:val="000000" w:themeColor="text1"/>
          <w:shd w:val="clear" w:color="auto" w:fill="FFFFFF"/>
        </w:rPr>
        <w:t>9</w:t>
      </w:r>
      <w:r w:rsidRPr="004D45B3">
        <w:rPr>
          <w:rFonts w:ascii="Arial" w:hAnsi="Arial" w:cs="Arial"/>
          <w:color w:val="000000" w:themeColor="text1"/>
          <w:shd w:val="clear" w:color="auto" w:fill="FFFFFF"/>
        </w:rPr>
        <w:t xml:space="preserve">(1). </w:t>
      </w:r>
      <w:hyperlink r:id="rId35" w:history="1">
        <w:r w:rsidR="00BE776A" w:rsidRPr="004D45B3">
          <w:rPr>
            <w:rStyle w:val="Hyperlink"/>
            <w:rFonts w:ascii="Arial" w:hAnsi="Arial" w:cs="Arial"/>
            <w:color w:val="000000" w:themeColor="text1"/>
            <w:shd w:val="clear" w:color="auto" w:fill="FFFFFF"/>
          </w:rPr>
          <w:t>https://www.nature.com/articles/s41599-022-01073-z.pdf</w:t>
        </w:r>
      </w:hyperlink>
    </w:p>
    <w:p w14:paraId="12DADACD" w14:textId="77777777" w:rsidR="00BE776A" w:rsidRPr="004D45B3" w:rsidRDefault="0007681E">
      <w:pPr>
        <w:spacing w:before="240"/>
        <w:rPr>
          <w:color w:val="000000" w:themeColor="text1"/>
        </w:rPr>
      </w:pPr>
      <w:r w:rsidRPr="004D45B3">
        <w:rPr>
          <w:rFonts w:cs="Arial"/>
          <w:color w:val="000000" w:themeColor="text1"/>
          <w:szCs w:val="24"/>
          <w:shd w:val="clear" w:color="auto" w:fill="FFFFFF"/>
        </w:rPr>
        <w:t xml:space="preserve">Saharan, V.A., </w:t>
      </w:r>
      <w:proofErr w:type="spellStart"/>
      <w:r w:rsidRPr="004D45B3">
        <w:rPr>
          <w:rFonts w:cs="Arial"/>
          <w:color w:val="000000" w:themeColor="text1"/>
          <w:szCs w:val="24"/>
          <w:shd w:val="clear" w:color="auto" w:fill="FFFFFF"/>
        </w:rPr>
        <w:t>Kulhari</w:t>
      </w:r>
      <w:proofErr w:type="spellEnd"/>
      <w:r w:rsidRPr="004D45B3">
        <w:rPr>
          <w:rFonts w:cs="Arial"/>
          <w:color w:val="000000" w:themeColor="text1"/>
          <w:szCs w:val="24"/>
          <w:shd w:val="clear" w:color="auto" w:fill="FFFFFF"/>
        </w:rPr>
        <w:t xml:space="preserve">, H., Jadhav, H., Pooja, D., Banerjee, S. and Singh, A., (2024). Introduction to research methodology. In </w:t>
      </w:r>
      <w:r w:rsidRPr="004D45B3">
        <w:rPr>
          <w:rFonts w:cs="Arial"/>
          <w:i/>
          <w:iCs/>
          <w:color w:val="000000" w:themeColor="text1"/>
          <w:szCs w:val="24"/>
          <w:shd w:val="clear" w:color="auto" w:fill="FFFFFF"/>
        </w:rPr>
        <w:t>Principles of research methodology and ethics in pharmaceutical sciences</w:t>
      </w:r>
      <w:r w:rsidRPr="004D45B3">
        <w:rPr>
          <w:rFonts w:cs="Arial"/>
          <w:color w:val="000000" w:themeColor="text1"/>
          <w:szCs w:val="24"/>
          <w:shd w:val="clear" w:color="auto" w:fill="FFFFFF"/>
        </w:rPr>
        <w:t xml:space="preserve"> (pp. 1-46). CRC Press.</w:t>
      </w:r>
      <w:r w:rsidRPr="004D45B3">
        <w:rPr>
          <w:rFonts w:cs="Arial"/>
          <w:color w:val="000000" w:themeColor="text1"/>
          <w:szCs w:val="24"/>
        </w:rPr>
        <w:t xml:space="preserve"> </w:t>
      </w:r>
      <w:hyperlink r:id="rId36" w:history="1">
        <w:r w:rsidR="00BE776A" w:rsidRPr="004D45B3">
          <w:rPr>
            <w:rStyle w:val="Hyperlink"/>
            <w:rFonts w:cs="Arial"/>
            <w:color w:val="000000" w:themeColor="text1"/>
            <w:szCs w:val="24"/>
          </w:rPr>
          <w:t>https://www.taylorfrancis.com/chapters/edit/10.1201/9781003088226-1/introduction-research-methodology-vikas-anand-saharan-hitesh-kulhari-hemant-jadhav-deep-pooja-surojit-banerjee-anupama-singh</w:t>
        </w:r>
      </w:hyperlink>
    </w:p>
    <w:p w14:paraId="71089DDF" w14:textId="77777777" w:rsidR="00BE776A" w:rsidRPr="004D45B3" w:rsidRDefault="0007681E">
      <w:pPr>
        <w:rPr>
          <w:color w:val="000000" w:themeColor="text1"/>
        </w:rPr>
      </w:pPr>
      <w:r w:rsidRPr="004D45B3">
        <w:rPr>
          <w:rFonts w:cs="Arial"/>
          <w:color w:val="000000" w:themeColor="text1"/>
          <w:szCs w:val="24"/>
        </w:rPr>
        <w:t xml:space="preserve">Sowmiya Moorthie, Emre Oguzman, Evans, S., </w:t>
      </w:r>
      <w:proofErr w:type="spellStart"/>
      <w:r w:rsidRPr="004D45B3">
        <w:rPr>
          <w:rFonts w:cs="Arial"/>
          <w:color w:val="000000" w:themeColor="text1"/>
          <w:szCs w:val="24"/>
        </w:rPr>
        <w:t>Brayne</w:t>
      </w:r>
      <w:proofErr w:type="spellEnd"/>
      <w:r w:rsidRPr="004D45B3">
        <w:rPr>
          <w:rFonts w:cs="Arial"/>
          <w:color w:val="000000" w:themeColor="text1"/>
          <w:szCs w:val="24"/>
        </w:rPr>
        <w:t xml:space="preserve">, C. and LaFortune, L. (2024). Qualitative study of UK health and care professionals to determine resources and processes that can support actions to improve quality of data used to address and monitor health inequalities. </w:t>
      </w:r>
      <w:r w:rsidRPr="004D45B3">
        <w:rPr>
          <w:rFonts w:cs="Arial"/>
          <w:i/>
          <w:iCs/>
          <w:color w:val="000000" w:themeColor="text1"/>
          <w:szCs w:val="24"/>
        </w:rPr>
        <w:t>BMJ open</w:t>
      </w:r>
      <w:r w:rsidRPr="004D45B3">
        <w:rPr>
          <w:rFonts w:cs="Arial"/>
          <w:color w:val="000000" w:themeColor="text1"/>
          <w:szCs w:val="24"/>
        </w:rPr>
        <w:t xml:space="preserve">, 14(9), pp.e084352-e084352. doi:10.1136/bmjopen-2024-084352 </w:t>
      </w:r>
    </w:p>
    <w:p w14:paraId="729D6513" w14:textId="77777777" w:rsidR="00BE776A" w:rsidRPr="004D45B3" w:rsidRDefault="0007681E">
      <w:pPr>
        <w:spacing w:after="240"/>
        <w:rPr>
          <w:color w:val="000000" w:themeColor="text1"/>
        </w:rPr>
      </w:pPr>
      <w:r w:rsidRPr="004D45B3">
        <w:rPr>
          <w:rFonts w:cs="Arial"/>
          <w:color w:val="000000" w:themeColor="text1"/>
          <w:szCs w:val="24"/>
          <w:lang w:val="en-IN"/>
        </w:rPr>
        <w:t xml:space="preserve">Stepanova, E., Croke, S., </w:t>
      </w:r>
      <w:proofErr w:type="spellStart"/>
      <w:r w:rsidRPr="004D45B3">
        <w:rPr>
          <w:rFonts w:cs="Arial"/>
          <w:color w:val="000000" w:themeColor="text1"/>
          <w:szCs w:val="24"/>
          <w:lang w:val="en-IN"/>
        </w:rPr>
        <w:t>Panagioti</w:t>
      </w:r>
      <w:proofErr w:type="spellEnd"/>
      <w:r w:rsidRPr="004D45B3">
        <w:rPr>
          <w:rFonts w:cs="Arial"/>
          <w:color w:val="000000" w:themeColor="text1"/>
          <w:szCs w:val="24"/>
          <w:lang w:val="en-IN"/>
        </w:rPr>
        <w:t xml:space="preserve">, M., Yu, G. and Fu, Y. (2026). Consensus on culturally competent Mental Health Services Recommendations: A modified Delphi Consensus study with ethnic minorities, carers, public advisors and health professionals. </w:t>
      </w:r>
      <w:r w:rsidRPr="004D45B3">
        <w:rPr>
          <w:rFonts w:cs="Arial"/>
          <w:i/>
          <w:iCs/>
          <w:color w:val="000000" w:themeColor="text1"/>
          <w:szCs w:val="24"/>
          <w:lang w:val="en-IN"/>
        </w:rPr>
        <w:t>Health expectations : an international journal of public participation in health care and health policy</w:t>
      </w:r>
      <w:r w:rsidRPr="004D45B3">
        <w:rPr>
          <w:rFonts w:cs="Arial"/>
          <w:color w:val="000000" w:themeColor="text1"/>
          <w:szCs w:val="24"/>
          <w:lang w:val="en-IN"/>
        </w:rPr>
        <w:t>, [online] 29(1), p.e70567. doi:10.1111/hex.70567.</w:t>
      </w:r>
    </w:p>
    <w:p w14:paraId="1B3B8DDB" w14:textId="77777777" w:rsidR="00BE776A" w:rsidRPr="004D45B3" w:rsidRDefault="0007681E">
      <w:pPr>
        <w:rPr>
          <w:color w:val="000000" w:themeColor="text1"/>
        </w:rPr>
      </w:pPr>
      <w:proofErr w:type="spellStart"/>
      <w:r w:rsidRPr="004D45B3">
        <w:rPr>
          <w:rFonts w:cs="Arial"/>
          <w:color w:val="000000" w:themeColor="text1"/>
          <w:szCs w:val="24"/>
          <w:shd w:val="clear" w:color="auto" w:fill="FFFFFF"/>
        </w:rPr>
        <w:t>Taherdoost</w:t>
      </w:r>
      <w:proofErr w:type="spellEnd"/>
      <w:r w:rsidRPr="004D45B3">
        <w:rPr>
          <w:rFonts w:cs="Arial"/>
          <w:color w:val="000000" w:themeColor="text1"/>
          <w:szCs w:val="24"/>
          <w:shd w:val="clear" w:color="auto" w:fill="FFFFFF"/>
        </w:rPr>
        <w:t xml:space="preserve">, H., (2022). What are different research approaches? Comprehensive review of qualitative, quantitative, and mixed method research, their applications, types, and limitations. </w:t>
      </w:r>
      <w:r w:rsidRPr="004D45B3">
        <w:rPr>
          <w:rFonts w:cs="Arial"/>
          <w:i/>
          <w:iCs/>
          <w:color w:val="000000" w:themeColor="text1"/>
          <w:szCs w:val="24"/>
          <w:shd w:val="clear" w:color="auto" w:fill="FFFFFF"/>
        </w:rPr>
        <w:t>Journal of management science &amp; engineering research</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5</w:t>
      </w:r>
      <w:r w:rsidRPr="004D45B3">
        <w:rPr>
          <w:rFonts w:cs="Arial"/>
          <w:color w:val="000000" w:themeColor="text1"/>
          <w:szCs w:val="24"/>
          <w:shd w:val="clear" w:color="auto" w:fill="FFFFFF"/>
        </w:rPr>
        <w:t>(1), pp.53-63.</w:t>
      </w:r>
      <w:r w:rsidRPr="004D45B3">
        <w:rPr>
          <w:rFonts w:cs="Arial"/>
          <w:color w:val="000000" w:themeColor="text1"/>
          <w:szCs w:val="24"/>
        </w:rPr>
        <w:t xml:space="preserve"> </w:t>
      </w:r>
      <w:hyperlink r:id="rId37" w:history="1">
        <w:r w:rsidR="00BE776A" w:rsidRPr="004D45B3">
          <w:rPr>
            <w:rStyle w:val="Hyperlink"/>
            <w:rFonts w:cs="Arial"/>
            <w:color w:val="000000" w:themeColor="text1"/>
            <w:szCs w:val="24"/>
          </w:rPr>
          <w:t>https://hal.science/hal-03741840/document</w:t>
        </w:r>
      </w:hyperlink>
    </w:p>
    <w:p w14:paraId="56BDB917" w14:textId="77777777" w:rsidR="00BE776A" w:rsidRPr="004D45B3" w:rsidRDefault="0007681E">
      <w:pPr>
        <w:spacing w:after="240"/>
        <w:rPr>
          <w:color w:val="000000" w:themeColor="text1"/>
        </w:rPr>
      </w:pPr>
      <w:r w:rsidRPr="004D45B3">
        <w:rPr>
          <w:rFonts w:cs="Arial"/>
          <w:color w:val="000000" w:themeColor="text1"/>
          <w:szCs w:val="24"/>
          <w:lang w:val="en-IN"/>
        </w:rPr>
        <w:t xml:space="preserve">Takeshita, J., Wang, S., Loren, A.W., Mitra, N., Shults, J., Shin, D.B. and Sawinski, D.L. (2020). Association of Racial/Ethnic and gender concordance between patients and physicians with patient experience ratings. </w:t>
      </w:r>
      <w:r w:rsidRPr="004D45B3">
        <w:rPr>
          <w:rFonts w:cs="Arial"/>
          <w:i/>
          <w:iCs/>
          <w:color w:val="000000" w:themeColor="text1"/>
          <w:szCs w:val="24"/>
          <w:lang w:val="en-IN"/>
        </w:rPr>
        <w:t>JAMA network open</w:t>
      </w:r>
      <w:r w:rsidRPr="004D45B3">
        <w:rPr>
          <w:rFonts w:cs="Arial"/>
          <w:color w:val="000000" w:themeColor="text1"/>
          <w:szCs w:val="24"/>
          <w:lang w:val="en-IN"/>
        </w:rPr>
        <w:t>, 3(11), p.e2024583. doi:10.1001/jamanetworkopen.2020.24583.</w:t>
      </w:r>
    </w:p>
    <w:p w14:paraId="4772797A" w14:textId="77777777" w:rsidR="00BE776A" w:rsidRPr="004D45B3" w:rsidRDefault="0007681E">
      <w:pPr>
        <w:spacing w:after="240"/>
        <w:rPr>
          <w:color w:val="000000" w:themeColor="text1"/>
        </w:rPr>
      </w:pPr>
      <w:r w:rsidRPr="004D45B3">
        <w:rPr>
          <w:rFonts w:cs="Arial"/>
          <w:color w:val="000000" w:themeColor="text1"/>
          <w:szCs w:val="24"/>
        </w:rPr>
        <w:t xml:space="preserve">Thana, L., Crocker, H., Modha, S., Mulcahy, L., Hickson, F., Pope, C., Vincent, C., Hogan, H. and Peters, M. (2026). Experiences of people from minoritised groups who report healthcare-related harm in the UK: A qualitative socioecological study exploring factors contributing to unsafe care. </w:t>
      </w:r>
      <w:r w:rsidRPr="004D45B3">
        <w:rPr>
          <w:rFonts w:cs="Arial"/>
          <w:i/>
          <w:iCs/>
          <w:color w:val="000000" w:themeColor="text1"/>
          <w:szCs w:val="24"/>
        </w:rPr>
        <w:t>BMJ open quality</w:t>
      </w:r>
      <w:r w:rsidRPr="004D45B3">
        <w:rPr>
          <w:rFonts w:cs="Arial"/>
          <w:color w:val="000000" w:themeColor="text1"/>
          <w:szCs w:val="24"/>
        </w:rPr>
        <w:t>, 15(1), p.e003851. doi:10.1136/bmjoq-2025-003851.</w:t>
      </w:r>
    </w:p>
    <w:p w14:paraId="0DAB1A29" w14:textId="77777777" w:rsidR="00BE776A" w:rsidRPr="004D45B3" w:rsidRDefault="0007681E">
      <w:pPr>
        <w:spacing w:after="240"/>
        <w:rPr>
          <w:color w:val="000000" w:themeColor="text1"/>
        </w:rPr>
      </w:pPr>
      <w:r w:rsidRPr="004D45B3">
        <w:rPr>
          <w:rFonts w:cs="Arial"/>
          <w:color w:val="000000" w:themeColor="text1"/>
          <w:szCs w:val="24"/>
          <w:lang w:val="en-IN"/>
        </w:rPr>
        <w:t xml:space="preserve">Theodosopoulos, L., </w:t>
      </w:r>
      <w:proofErr w:type="spellStart"/>
      <w:r w:rsidRPr="004D45B3">
        <w:rPr>
          <w:rFonts w:cs="Arial"/>
          <w:color w:val="000000" w:themeColor="text1"/>
          <w:szCs w:val="24"/>
          <w:lang w:val="en-IN"/>
        </w:rPr>
        <w:t>Fradelos</w:t>
      </w:r>
      <w:proofErr w:type="spellEnd"/>
      <w:r w:rsidRPr="004D45B3">
        <w:rPr>
          <w:rFonts w:cs="Arial"/>
          <w:color w:val="000000" w:themeColor="text1"/>
          <w:szCs w:val="24"/>
          <w:lang w:val="en-IN"/>
        </w:rPr>
        <w:t xml:space="preserve">, E.C., </w:t>
      </w:r>
      <w:proofErr w:type="spellStart"/>
      <w:r w:rsidRPr="004D45B3">
        <w:rPr>
          <w:rFonts w:cs="Arial"/>
          <w:color w:val="000000" w:themeColor="text1"/>
          <w:szCs w:val="24"/>
          <w:lang w:val="en-IN"/>
        </w:rPr>
        <w:t>Panagiotou</w:t>
      </w:r>
      <w:proofErr w:type="spellEnd"/>
      <w:r w:rsidRPr="004D45B3">
        <w:rPr>
          <w:rFonts w:cs="Arial"/>
          <w:color w:val="000000" w:themeColor="text1"/>
          <w:szCs w:val="24"/>
          <w:lang w:val="en-IN"/>
        </w:rPr>
        <w:t xml:space="preserve">, A., </w:t>
      </w:r>
      <w:proofErr w:type="spellStart"/>
      <w:r w:rsidRPr="004D45B3">
        <w:rPr>
          <w:rFonts w:cs="Arial"/>
          <w:color w:val="000000" w:themeColor="text1"/>
          <w:szCs w:val="24"/>
          <w:lang w:val="en-IN"/>
        </w:rPr>
        <w:t>Dreliozi</w:t>
      </w:r>
      <w:proofErr w:type="spellEnd"/>
      <w:r w:rsidRPr="004D45B3">
        <w:rPr>
          <w:rFonts w:cs="Arial"/>
          <w:color w:val="000000" w:themeColor="text1"/>
          <w:szCs w:val="24"/>
          <w:lang w:val="en-IN"/>
        </w:rPr>
        <w:t xml:space="preserve">, A. and Tzavella, F. (2024). Delivering culturally competent care to migrants by Healthcare personnel: A crucial aspect of delivering culturally sensitive care. </w:t>
      </w:r>
      <w:r w:rsidRPr="004D45B3">
        <w:rPr>
          <w:rFonts w:cs="Arial"/>
          <w:i/>
          <w:iCs/>
          <w:color w:val="000000" w:themeColor="text1"/>
          <w:szCs w:val="24"/>
          <w:lang w:val="en-IN"/>
        </w:rPr>
        <w:t>Social sciences</w:t>
      </w:r>
      <w:r w:rsidRPr="004D45B3">
        <w:rPr>
          <w:rFonts w:cs="Arial"/>
          <w:color w:val="000000" w:themeColor="text1"/>
          <w:szCs w:val="24"/>
          <w:lang w:val="en-IN"/>
        </w:rPr>
        <w:t>, 13(10), pp.530–530. doi:10.3390/socsci13100530.</w:t>
      </w:r>
    </w:p>
    <w:p w14:paraId="78174C64" w14:textId="77777777" w:rsidR="00BE776A" w:rsidRPr="004D45B3" w:rsidRDefault="0007681E">
      <w:pPr>
        <w:spacing w:after="240"/>
        <w:rPr>
          <w:color w:val="000000" w:themeColor="text1"/>
        </w:rPr>
      </w:pPr>
      <w:r w:rsidRPr="004D45B3">
        <w:rPr>
          <w:rFonts w:cs="Arial"/>
          <w:color w:val="000000" w:themeColor="text1"/>
          <w:szCs w:val="24"/>
          <w:lang w:val="en-IN"/>
        </w:rPr>
        <w:t xml:space="preserve">Thomas, G., Lynch, M. and Spencer, L.H. (2021). A systematic review to examine the evidence in Developing social prescribing interventions that apply a Co-Productive, Co-Designed approach to improve Well-Being outcomes in a community setting. </w:t>
      </w:r>
      <w:r w:rsidRPr="004D45B3">
        <w:rPr>
          <w:rFonts w:cs="Arial"/>
          <w:i/>
          <w:iCs/>
          <w:color w:val="000000" w:themeColor="text1"/>
          <w:szCs w:val="24"/>
          <w:lang w:val="en-IN"/>
        </w:rPr>
        <w:t>International journal of Environmental research and public health</w:t>
      </w:r>
      <w:r w:rsidRPr="004D45B3">
        <w:rPr>
          <w:rFonts w:cs="Arial"/>
          <w:color w:val="000000" w:themeColor="text1"/>
          <w:szCs w:val="24"/>
          <w:lang w:val="en-IN"/>
        </w:rPr>
        <w:t>, 18(8), p.3896. doi:10.3390/ijerph18083896.</w:t>
      </w:r>
    </w:p>
    <w:p w14:paraId="30DA8CB1" w14:textId="77777777" w:rsidR="00BE776A" w:rsidRPr="004D45B3" w:rsidRDefault="0007681E">
      <w:pPr>
        <w:spacing w:after="240"/>
        <w:rPr>
          <w:color w:val="000000" w:themeColor="text1"/>
        </w:rPr>
      </w:pPr>
      <w:proofErr w:type="spellStart"/>
      <w:r w:rsidRPr="004D45B3">
        <w:rPr>
          <w:rFonts w:cs="Arial"/>
          <w:color w:val="000000" w:themeColor="text1"/>
          <w:szCs w:val="24"/>
          <w:lang w:val="en-IN"/>
        </w:rPr>
        <w:t>Touzel</w:t>
      </w:r>
      <w:proofErr w:type="spellEnd"/>
      <w:r w:rsidRPr="004D45B3">
        <w:rPr>
          <w:rFonts w:cs="Arial"/>
          <w:color w:val="000000" w:themeColor="text1"/>
          <w:szCs w:val="24"/>
          <w:lang w:val="en-IN"/>
        </w:rPr>
        <w:t xml:space="preserve">, V., Duda, A., Bartz, L. and </w:t>
      </w:r>
      <w:proofErr w:type="spellStart"/>
      <w:r w:rsidRPr="004D45B3">
        <w:rPr>
          <w:rFonts w:cs="Arial"/>
          <w:color w:val="000000" w:themeColor="text1"/>
          <w:szCs w:val="24"/>
          <w:lang w:val="en-IN"/>
        </w:rPr>
        <w:t>Reifegerste</w:t>
      </w:r>
      <w:proofErr w:type="spellEnd"/>
      <w:r w:rsidRPr="004D45B3">
        <w:rPr>
          <w:rFonts w:cs="Arial"/>
          <w:color w:val="000000" w:themeColor="text1"/>
          <w:szCs w:val="24"/>
          <w:lang w:val="en-IN"/>
        </w:rPr>
        <w:t xml:space="preserve">, D. (2026). Health system lessons from community practice: A qualitative study rethinking the role of social prescribing for refugee populations. </w:t>
      </w:r>
      <w:r w:rsidRPr="004D45B3">
        <w:rPr>
          <w:rFonts w:cs="Arial"/>
          <w:i/>
          <w:iCs/>
          <w:color w:val="000000" w:themeColor="text1"/>
          <w:szCs w:val="24"/>
          <w:lang w:val="en-IN"/>
        </w:rPr>
        <w:t>Frontiers in Public health</w:t>
      </w:r>
      <w:r w:rsidRPr="004D45B3">
        <w:rPr>
          <w:rFonts w:cs="Arial"/>
          <w:color w:val="000000" w:themeColor="text1"/>
          <w:szCs w:val="24"/>
          <w:lang w:val="en-IN"/>
        </w:rPr>
        <w:t>, 13. doi:10.3389/fpubh.2025.1739953.</w:t>
      </w:r>
    </w:p>
    <w:p w14:paraId="4B543F96" w14:textId="77777777" w:rsidR="00BE776A" w:rsidRPr="004D45B3" w:rsidRDefault="0007681E">
      <w:pPr>
        <w:spacing w:after="240"/>
        <w:rPr>
          <w:color w:val="000000" w:themeColor="text1"/>
        </w:rPr>
      </w:pPr>
      <w:r w:rsidRPr="004D45B3">
        <w:rPr>
          <w:rFonts w:cs="Arial"/>
          <w:color w:val="000000" w:themeColor="text1"/>
          <w:szCs w:val="24"/>
        </w:rPr>
        <w:t xml:space="preserve">Vandecasteele, R. </w:t>
      </w:r>
      <w:r w:rsidRPr="004D45B3">
        <w:rPr>
          <w:rFonts w:cs="Arial"/>
          <w:i/>
          <w:iCs/>
          <w:color w:val="000000" w:themeColor="text1"/>
          <w:szCs w:val="24"/>
        </w:rPr>
        <w:t>et al.</w:t>
      </w:r>
      <w:r w:rsidRPr="004D45B3">
        <w:rPr>
          <w:rFonts w:cs="Arial"/>
          <w:color w:val="000000" w:themeColor="text1"/>
          <w:szCs w:val="24"/>
        </w:rPr>
        <w:t xml:space="preserve"> (2024) “Barriers and facilitators to Culturally sensitive care in general practice: A reflexive thematic analysis,” </w:t>
      </w:r>
      <w:r w:rsidRPr="004D45B3">
        <w:rPr>
          <w:rFonts w:cs="Arial"/>
          <w:i/>
          <w:iCs/>
          <w:color w:val="000000" w:themeColor="text1"/>
          <w:szCs w:val="24"/>
        </w:rPr>
        <w:t>BMC primary care</w:t>
      </w:r>
      <w:r w:rsidRPr="004D45B3">
        <w:rPr>
          <w:rFonts w:cs="Arial"/>
          <w:color w:val="000000" w:themeColor="text1"/>
          <w:szCs w:val="24"/>
        </w:rPr>
        <w:t xml:space="preserve">, 25(1). Available at: </w:t>
      </w:r>
      <w:hyperlink r:id="rId38" w:history="1">
        <w:r w:rsidR="00BE776A" w:rsidRPr="004D45B3">
          <w:rPr>
            <w:rStyle w:val="Hyperlink"/>
            <w:rFonts w:cs="Arial"/>
            <w:color w:val="000000" w:themeColor="text1"/>
            <w:szCs w:val="24"/>
          </w:rPr>
          <w:t>https://doi.org/10.1186/s12875-024-02630-y</w:t>
        </w:r>
      </w:hyperlink>
      <w:r w:rsidRPr="004D45B3">
        <w:rPr>
          <w:rFonts w:cs="Arial"/>
          <w:color w:val="000000" w:themeColor="text1"/>
          <w:szCs w:val="24"/>
        </w:rPr>
        <w:t xml:space="preserve">. </w:t>
      </w:r>
    </w:p>
    <w:p w14:paraId="7A183CCC" w14:textId="77777777" w:rsidR="00BE776A" w:rsidRPr="004D45B3" w:rsidRDefault="0007681E">
      <w:pPr>
        <w:spacing w:after="240"/>
        <w:rPr>
          <w:color w:val="000000" w:themeColor="text1"/>
        </w:rPr>
      </w:pPr>
      <w:r w:rsidRPr="004D45B3">
        <w:rPr>
          <w:rFonts w:cs="Arial"/>
          <w:color w:val="000000" w:themeColor="text1"/>
          <w:szCs w:val="24"/>
          <w:lang w:val="en-IN"/>
        </w:rPr>
        <w:t xml:space="preserve">Vargas, E.A., Scherer, L.A., Fiske, S.T., Barabino, G.A. and National Academies of Sciences, Engineering, and Medicine, (2023). Understanding organizations and the role of leadership in developing a culture of antiracism, diversity, equity, and inclusion. In </w:t>
      </w:r>
      <w:r w:rsidRPr="004D45B3">
        <w:rPr>
          <w:rFonts w:cs="Arial"/>
          <w:i/>
          <w:iCs/>
          <w:color w:val="000000" w:themeColor="text1"/>
          <w:szCs w:val="24"/>
          <w:lang w:val="en-IN"/>
        </w:rPr>
        <w:t>Advancing Antiracism, Diversity, Equity, and Inclusion in STEMM Organizations: Beyond Broadening Participation</w:t>
      </w:r>
      <w:r w:rsidRPr="004D45B3">
        <w:rPr>
          <w:rFonts w:cs="Arial"/>
          <w:color w:val="000000" w:themeColor="text1"/>
          <w:szCs w:val="24"/>
          <w:lang w:val="en-IN"/>
        </w:rPr>
        <w:t>. National Academies Press (US). Available at: https://www.ncbi.nlm.nih.gov/books/NBK593016/ [Accessed 24 July 2026].</w:t>
      </w:r>
    </w:p>
    <w:p w14:paraId="0EE1601D" w14:textId="77777777" w:rsidR="00BE776A" w:rsidRPr="004D45B3" w:rsidRDefault="0007681E">
      <w:pPr>
        <w:spacing w:after="240"/>
        <w:rPr>
          <w:color w:val="000000" w:themeColor="text1"/>
        </w:rPr>
      </w:pPr>
      <w:r w:rsidRPr="004D45B3">
        <w:rPr>
          <w:rFonts w:cs="Arial"/>
          <w:color w:val="000000" w:themeColor="text1"/>
          <w:szCs w:val="24"/>
          <w:lang w:val="en-IN"/>
        </w:rPr>
        <w:t xml:space="preserve">Wainwright, J.E., Cook, E.J., Haslam, C., Tolliday, E., Ali, N., Suleman, M., Wilkinson, E. and Randhawa, G. (2026). Healthcare professionals’ experiences of delivering palliative and end-of-life care in ethnically diverse communities: A qualitative study. </w:t>
      </w:r>
      <w:r w:rsidRPr="004D45B3">
        <w:rPr>
          <w:rFonts w:cs="Arial"/>
          <w:i/>
          <w:iCs/>
          <w:color w:val="000000" w:themeColor="text1"/>
          <w:szCs w:val="24"/>
          <w:lang w:val="en-IN"/>
        </w:rPr>
        <w:t>BMC Palliative Care</w:t>
      </w:r>
      <w:r w:rsidRPr="004D45B3">
        <w:rPr>
          <w:rFonts w:cs="Arial"/>
          <w:color w:val="000000" w:themeColor="text1"/>
          <w:szCs w:val="24"/>
          <w:lang w:val="en-IN"/>
        </w:rPr>
        <w:t>. doi:10.1186/s12904-026-02082-4.</w:t>
      </w:r>
    </w:p>
    <w:p w14:paraId="7730F1B4" w14:textId="77777777" w:rsidR="00BE776A" w:rsidRPr="004D45B3" w:rsidRDefault="0007681E">
      <w:pPr>
        <w:spacing w:after="240"/>
        <w:rPr>
          <w:color w:val="000000" w:themeColor="text1"/>
        </w:rPr>
      </w:pPr>
      <w:r w:rsidRPr="004D45B3">
        <w:rPr>
          <w:rFonts w:cs="Arial"/>
          <w:color w:val="000000" w:themeColor="text1"/>
          <w:szCs w:val="24"/>
          <w:lang w:val="en-IN"/>
        </w:rPr>
        <w:t xml:space="preserve">Walkowska, A., </w:t>
      </w:r>
      <w:proofErr w:type="spellStart"/>
      <w:r w:rsidRPr="004D45B3">
        <w:rPr>
          <w:rFonts w:cs="Arial"/>
          <w:color w:val="000000" w:themeColor="text1"/>
          <w:szCs w:val="24"/>
          <w:lang w:val="en-IN"/>
        </w:rPr>
        <w:t>Przymuszała</w:t>
      </w:r>
      <w:proofErr w:type="spellEnd"/>
      <w:r w:rsidRPr="004D45B3">
        <w:rPr>
          <w:rFonts w:cs="Arial"/>
          <w:color w:val="000000" w:themeColor="text1"/>
          <w:szCs w:val="24"/>
          <w:lang w:val="en-IN"/>
        </w:rPr>
        <w:t xml:space="preserve">, P., </w:t>
      </w:r>
      <w:proofErr w:type="spellStart"/>
      <w:r w:rsidRPr="004D45B3">
        <w:rPr>
          <w:rFonts w:cs="Arial"/>
          <w:color w:val="000000" w:themeColor="text1"/>
          <w:szCs w:val="24"/>
          <w:lang w:val="en-IN"/>
        </w:rPr>
        <w:t>Stępak</w:t>
      </w:r>
      <w:proofErr w:type="spellEnd"/>
      <w:r w:rsidRPr="004D45B3">
        <w:rPr>
          <w:rFonts w:cs="Arial"/>
          <w:color w:val="000000" w:themeColor="text1"/>
          <w:szCs w:val="24"/>
          <w:lang w:val="en-IN"/>
        </w:rPr>
        <w:t xml:space="preserve">, P.M., </w:t>
      </w:r>
      <w:proofErr w:type="spellStart"/>
      <w:r w:rsidRPr="004D45B3">
        <w:rPr>
          <w:rFonts w:cs="Arial"/>
          <w:color w:val="000000" w:themeColor="text1"/>
          <w:szCs w:val="24"/>
          <w:lang w:val="en-IN"/>
        </w:rPr>
        <w:t>Nowosadko</w:t>
      </w:r>
      <w:proofErr w:type="spellEnd"/>
      <w:r w:rsidRPr="004D45B3">
        <w:rPr>
          <w:rFonts w:cs="Arial"/>
          <w:color w:val="000000" w:themeColor="text1"/>
          <w:szCs w:val="24"/>
          <w:lang w:val="en-IN"/>
        </w:rPr>
        <w:t xml:space="preserve">, M. and Baum, E. (2023). Enhancing cross-cultural competence of medical and healthcare students with the use of simulated patients—a systematic review. </w:t>
      </w:r>
      <w:r w:rsidRPr="004D45B3">
        <w:rPr>
          <w:rFonts w:cs="Arial"/>
          <w:i/>
          <w:iCs/>
          <w:color w:val="000000" w:themeColor="text1"/>
          <w:szCs w:val="24"/>
          <w:lang w:val="en-IN"/>
        </w:rPr>
        <w:t>International journal of Environmental research and public health</w:t>
      </w:r>
      <w:r w:rsidRPr="004D45B3">
        <w:rPr>
          <w:rFonts w:cs="Arial"/>
          <w:color w:val="000000" w:themeColor="text1"/>
          <w:szCs w:val="24"/>
          <w:lang w:val="en-IN"/>
        </w:rPr>
        <w:t>, [online] 20(3). doi:10.3390/ijerph20032505.</w:t>
      </w:r>
    </w:p>
    <w:p w14:paraId="2BB576EF" w14:textId="77777777" w:rsidR="00BE776A" w:rsidRPr="004D45B3" w:rsidRDefault="0007681E">
      <w:pPr>
        <w:spacing w:after="240"/>
        <w:rPr>
          <w:color w:val="000000" w:themeColor="text1"/>
        </w:rPr>
      </w:pPr>
      <w:r w:rsidRPr="004D45B3">
        <w:rPr>
          <w:rFonts w:cs="Arial"/>
          <w:color w:val="000000" w:themeColor="text1"/>
          <w:szCs w:val="24"/>
          <w:lang w:val="en-IN"/>
        </w:rPr>
        <w:t xml:space="preserve">Watkinson, R.E., Sutton, M. and Turner, A.J. (2021). Ethnic inequalities in health-related quality of life among older adults in England: Secondary analysis of a national cross-sectional survey. </w:t>
      </w:r>
      <w:r w:rsidRPr="004D45B3">
        <w:rPr>
          <w:rFonts w:cs="Arial"/>
          <w:i/>
          <w:iCs/>
          <w:color w:val="000000" w:themeColor="text1"/>
          <w:szCs w:val="24"/>
          <w:lang w:val="en-IN"/>
        </w:rPr>
        <w:t>The Lancet Public Health</w:t>
      </w:r>
      <w:r w:rsidRPr="004D45B3">
        <w:rPr>
          <w:rFonts w:cs="Arial"/>
          <w:color w:val="000000" w:themeColor="text1"/>
          <w:szCs w:val="24"/>
          <w:lang w:val="en-IN"/>
        </w:rPr>
        <w:t>, 6(3). doi:10.1016/s2468-2667(20)30287-5.</w:t>
      </w:r>
    </w:p>
    <w:p w14:paraId="6BA08211" w14:textId="77777777" w:rsidR="00BE776A" w:rsidRPr="004D45B3" w:rsidRDefault="0007681E">
      <w:pPr>
        <w:rPr>
          <w:color w:val="000000" w:themeColor="text1"/>
        </w:rPr>
      </w:pPr>
      <w:r w:rsidRPr="004D45B3">
        <w:rPr>
          <w:rFonts w:cs="Arial"/>
          <w:color w:val="000000" w:themeColor="text1"/>
          <w:szCs w:val="24"/>
          <w:shd w:val="clear" w:color="auto" w:fill="FFFFFF"/>
        </w:rPr>
        <w:t xml:space="preserve">Watkinson, R.E., Sutton, M. and Turner, A.J., 2021. Ethnic inequalities in health-related quality of life among older adults in England: secondary analysis of a national cross-sectional survey. </w:t>
      </w:r>
      <w:r w:rsidRPr="004D45B3">
        <w:rPr>
          <w:rFonts w:cs="Arial"/>
          <w:i/>
          <w:iCs/>
          <w:color w:val="000000" w:themeColor="text1"/>
          <w:szCs w:val="24"/>
          <w:shd w:val="clear" w:color="auto" w:fill="FFFFFF"/>
        </w:rPr>
        <w:t>The Lancet Public Health</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6</w:t>
      </w:r>
      <w:r w:rsidRPr="004D45B3">
        <w:rPr>
          <w:rFonts w:cs="Arial"/>
          <w:color w:val="000000" w:themeColor="text1"/>
          <w:szCs w:val="24"/>
          <w:shd w:val="clear" w:color="auto" w:fill="FFFFFF"/>
        </w:rPr>
        <w:t>(3), pp.e145-e154.</w:t>
      </w:r>
      <w:r w:rsidRPr="004D45B3">
        <w:rPr>
          <w:rFonts w:cs="Arial"/>
          <w:color w:val="000000" w:themeColor="text1"/>
          <w:szCs w:val="24"/>
        </w:rPr>
        <w:t xml:space="preserve"> </w:t>
      </w:r>
      <w:r w:rsidRPr="004D45B3">
        <w:rPr>
          <w:rFonts w:cs="Arial"/>
          <w:color w:val="000000" w:themeColor="text1"/>
          <w:szCs w:val="24"/>
          <w:shd w:val="clear" w:color="auto" w:fill="F5F5F5"/>
        </w:rPr>
        <w:t xml:space="preserve">DOI: </w:t>
      </w:r>
      <w:hyperlink r:id="rId39" w:history="1">
        <w:r w:rsidR="00BE776A" w:rsidRPr="004D45B3">
          <w:rPr>
            <w:rStyle w:val="Hyperlink"/>
            <w:rFonts w:cs="Arial"/>
            <w:color w:val="000000" w:themeColor="text1"/>
            <w:szCs w:val="24"/>
            <w:u w:val="none"/>
            <w:shd w:val="clear" w:color="auto" w:fill="F5F5F5"/>
          </w:rPr>
          <w:t xml:space="preserve">10.1016/S2468-2667(20)30287-5 </w:t>
        </w:r>
      </w:hyperlink>
      <w:r w:rsidRPr="004D45B3">
        <w:rPr>
          <w:rFonts w:cs="Arial"/>
          <w:color w:val="000000" w:themeColor="text1"/>
          <w:szCs w:val="24"/>
        </w:rPr>
        <w:t xml:space="preserve"> </w:t>
      </w:r>
    </w:p>
    <w:p w14:paraId="07AABED0" w14:textId="77777777" w:rsidR="00BE776A" w:rsidRPr="004D45B3" w:rsidRDefault="0007681E">
      <w:pPr>
        <w:rPr>
          <w:color w:val="000000" w:themeColor="text1"/>
        </w:rPr>
      </w:pPr>
      <w:r w:rsidRPr="004D45B3">
        <w:rPr>
          <w:rFonts w:cs="Arial"/>
          <w:color w:val="000000" w:themeColor="text1"/>
          <w:szCs w:val="24"/>
          <w:shd w:val="clear" w:color="auto" w:fill="FFFFFF"/>
        </w:rPr>
        <w:t xml:space="preserve">White, J., Zhukovsky, S., Cliff, E.R.S., Chakraborty, R., Costa, L., Van </w:t>
      </w:r>
      <w:proofErr w:type="spellStart"/>
      <w:r w:rsidRPr="004D45B3">
        <w:rPr>
          <w:rFonts w:cs="Arial"/>
          <w:color w:val="000000" w:themeColor="text1"/>
          <w:szCs w:val="24"/>
          <w:shd w:val="clear" w:color="auto" w:fill="FFFFFF"/>
        </w:rPr>
        <w:t>Oekelen</w:t>
      </w:r>
      <w:proofErr w:type="spellEnd"/>
      <w:r w:rsidRPr="004D45B3">
        <w:rPr>
          <w:rFonts w:cs="Arial"/>
          <w:color w:val="000000" w:themeColor="text1"/>
          <w:szCs w:val="24"/>
          <w:shd w:val="clear" w:color="auto" w:fill="FFFFFF"/>
        </w:rPr>
        <w:t xml:space="preserve">, O., Sborov, D. and Mohyuddin, G.R., (2023). Prevalence of exclusion criteria in multiple myeloma randomized controlled trials: a systematic review. </w:t>
      </w:r>
      <w:r w:rsidRPr="004D45B3">
        <w:rPr>
          <w:rFonts w:cs="Arial"/>
          <w:i/>
          <w:iCs/>
          <w:color w:val="000000" w:themeColor="text1"/>
          <w:szCs w:val="24"/>
          <w:shd w:val="clear" w:color="auto" w:fill="FFFFFF"/>
        </w:rPr>
        <w:t>Blood</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142</w:t>
      </w:r>
      <w:r w:rsidRPr="004D45B3">
        <w:rPr>
          <w:rFonts w:cs="Arial"/>
          <w:color w:val="000000" w:themeColor="text1"/>
          <w:szCs w:val="24"/>
          <w:shd w:val="clear" w:color="auto" w:fill="FFFFFF"/>
        </w:rPr>
        <w:t>, p.2402.</w:t>
      </w:r>
      <w:r w:rsidRPr="004D45B3">
        <w:rPr>
          <w:rFonts w:cs="Arial"/>
          <w:color w:val="000000" w:themeColor="text1"/>
          <w:szCs w:val="24"/>
        </w:rPr>
        <w:t xml:space="preserve"> </w:t>
      </w:r>
      <w:hyperlink r:id="rId40" w:history="1">
        <w:r w:rsidR="00BE776A" w:rsidRPr="004D45B3">
          <w:rPr>
            <w:rStyle w:val="Hyperlink"/>
            <w:rFonts w:cs="Arial"/>
            <w:color w:val="000000" w:themeColor="text1"/>
            <w:szCs w:val="24"/>
          </w:rPr>
          <w:t>https://www.sciencedirect.com/science/article/pii/S0006497123090043</w:t>
        </w:r>
      </w:hyperlink>
    </w:p>
    <w:p w14:paraId="3C66F61F" w14:textId="77777777" w:rsidR="00BE776A" w:rsidRPr="004D45B3" w:rsidRDefault="0007681E">
      <w:pPr>
        <w:rPr>
          <w:color w:val="000000" w:themeColor="text1"/>
        </w:rPr>
      </w:pPr>
      <w:r w:rsidRPr="004D45B3">
        <w:rPr>
          <w:rFonts w:cs="Arial"/>
          <w:color w:val="000000" w:themeColor="text1"/>
          <w:szCs w:val="24"/>
          <w:shd w:val="clear" w:color="auto" w:fill="FFFFFF"/>
        </w:rPr>
        <w:t xml:space="preserve">Wohlin, C., Kalinowski, M., Felizardo, K.R. and Mendes, E., (2022). Successful combination of database search and snowballing for identification of primary studies in systematic literature studies. </w:t>
      </w:r>
      <w:r w:rsidRPr="004D45B3">
        <w:rPr>
          <w:rFonts w:cs="Arial"/>
          <w:i/>
          <w:iCs/>
          <w:color w:val="000000" w:themeColor="text1"/>
          <w:szCs w:val="24"/>
          <w:shd w:val="clear" w:color="auto" w:fill="FFFFFF"/>
        </w:rPr>
        <w:t>Information and software technology</w:t>
      </w:r>
      <w:r w:rsidRPr="004D45B3">
        <w:rPr>
          <w:rFonts w:cs="Arial"/>
          <w:color w:val="000000" w:themeColor="text1"/>
          <w:szCs w:val="24"/>
          <w:shd w:val="clear" w:color="auto" w:fill="FFFFFF"/>
        </w:rPr>
        <w:t xml:space="preserve">, </w:t>
      </w:r>
      <w:r w:rsidRPr="004D45B3">
        <w:rPr>
          <w:rFonts w:cs="Arial"/>
          <w:i/>
          <w:iCs/>
          <w:color w:val="000000" w:themeColor="text1"/>
          <w:szCs w:val="24"/>
          <w:shd w:val="clear" w:color="auto" w:fill="FFFFFF"/>
        </w:rPr>
        <w:t>147</w:t>
      </w:r>
      <w:r w:rsidRPr="004D45B3">
        <w:rPr>
          <w:rFonts w:cs="Arial"/>
          <w:color w:val="000000" w:themeColor="text1"/>
          <w:szCs w:val="24"/>
          <w:shd w:val="clear" w:color="auto" w:fill="FFFFFF"/>
        </w:rPr>
        <w:t>, p.106908.</w:t>
      </w:r>
      <w:r w:rsidRPr="004D45B3">
        <w:rPr>
          <w:rFonts w:cs="Arial"/>
          <w:color w:val="000000" w:themeColor="text1"/>
          <w:szCs w:val="24"/>
        </w:rPr>
        <w:t xml:space="preserve"> </w:t>
      </w:r>
      <w:hyperlink r:id="rId41" w:history="1">
        <w:r w:rsidR="00BE776A" w:rsidRPr="004D45B3">
          <w:rPr>
            <w:rStyle w:val="Hyperlink"/>
            <w:rFonts w:cs="Arial"/>
            <w:color w:val="000000" w:themeColor="text1"/>
            <w:szCs w:val="24"/>
          </w:rPr>
          <w:t>https://www.sciencedirect.com/science/article/pii/S0950584922000659</w:t>
        </w:r>
      </w:hyperlink>
    </w:p>
    <w:p w14:paraId="54FCE4D1" w14:textId="77777777" w:rsidR="00BE776A" w:rsidRPr="004D45B3" w:rsidRDefault="0007681E">
      <w:pPr>
        <w:spacing w:after="240"/>
        <w:rPr>
          <w:color w:val="000000" w:themeColor="text1"/>
        </w:rPr>
      </w:pPr>
      <w:r w:rsidRPr="004D45B3">
        <w:rPr>
          <w:rFonts w:cs="Arial"/>
          <w:color w:val="000000" w:themeColor="text1"/>
          <w:szCs w:val="24"/>
          <w:lang w:val="en-IN"/>
        </w:rPr>
        <w:t xml:space="preserve">Wood, B., Fitzgerald, M., Kendall, C. and Cameron, E. (2021). Integrating socially accountable health professional education and learning health systems to transform community health and health systems. </w:t>
      </w:r>
      <w:r w:rsidRPr="004D45B3">
        <w:rPr>
          <w:rFonts w:cs="Arial"/>
          <w:i/>
          <w:iCs/>
          <w:color w:val="000000" w:themeColor="text1"/>
          <w:szCs w:val="24"/>
          <w:lang w:val="en-IN"/>
        </w:rPr>
        <w:t>Learning health systems</w:t>
      </w:r>
      <w:r w:rsidRPr="004D45B3">
        <w:rPr>
          <w:rFonts w:cs="Arial"/>
          <w:color w:val="000000" w:themeColor="text1"/>
          <w:szCs w:val="24"/>
          <w:lang w:val="en-IN"/>
        </w:rPr>
        <w:t>, 5(3), pp.1–1. doi:10.1002/lrh2.10277.</w:t>
      </w:r>
    </w:p>
    <w:p w14:paraId="04E312CD" w14:textId="77777777" w:rsidR="00BE776A" w:rsidRPr="004D45B3" w:rsidRDefault="0007681E">
      <w:pPr>
        <w:spacing w:after="240"/>
        <w:rPr>
          <w:color w:val="000000" w:themeColor="text1"/>
        </w:rPr>
      </w:pPr>
      <w:r w:rsidRPr="004D45B3">
        <w:rPr>
          <w:rFonts w:cs="Arial"/>
          <w:color w:val="000000" w:themeColor="text1"/>
          <w:szCs w:val="24"/>
          <w:lang w:val="en-IN"/>
        </w:rPr>
        <w:t xml:space="preserve">World Health Organization, (2022). </w:t>
      </w:r>
      <w:r w:rsidRPr="004D45B3">
        <w:rPr>
          <w:rFonts w:cs="Arial"/>
          <w:i/>
          <w:iCs/>
          <w:color w:val="000000" w:themeColor="text1"/>
          <w:szCs w:val="24"/>
          <w:lang w:val="en-IN"/>
        </w:rPr>
        <w:t>Strengthening primary health care to tackle racial discrimination, promote intercultural services and reduce health inequities: research brief</w:t>
      </w:r>
      <w:r w:rsidRPr="004D45B3">
        <w:rPr>
          <w:rFonts w:cs="Arial"/>
          <w:color w:val="000000" w:themeColor="text1"/>
          <w:szCs w:val="24"/>
          <w:lang w:val="en-IN"/>
        </w:rPr>
        <w:t xml:space="preserve">. World Health Organization. </w:t>
      </w:r>
      <w:hyperlink r:id="rId42" w:history="1">
        <w:r w:rsidR="00BE776A" w:rsidRPr="004D45B3">
          <w:rPr>
            <w:rStyle w:val="Hyperlink"/>
            <w:rFonts w:cs="Arial"/>
            <w:color w:val="000000" w:themeColor="text1"/>
            <w:szCs w:val="24"/>
            <w:lang w:val="en-IN"/>
          </w:rPr>
          <w:t>https://books.google.com/books?hl=en&amp;lr=&amp;id=kHsOEQAAQBAJ&amp;oi=fnd&amp;pg=PR6&amp;dq=ongoing+training+related+to+cultural+competence+enables+medical+professionals+to+become+more+competent+in+their+intercultural+communication,+perceive+unconscious+bias,+and+provide+more+people-centred+care&amp;ots=urK8GOikO8&amp;sig=7FSBN0ws4Mz5OsY_qmq97HhzYtc</w:t>
        </w:r>
      </w:hyperlink>
      <w:r w:rsidRPr="004D45B3">
        <w:rPr>
          <w:rFonts w:cs="Arial"/>
          <w:color w:val="000000" w:themeColor="text1"/>
          <w:szCs w:val="24"/>
          <w:lang w:val="en-IN"/>
        </w:rPr>
        <w:t> </w:t>
      </w:r>
    </w:p>
    <w:p w14:paraId="1654F307" w14:textId="77777777" w:rsidR="00BE776A" w:rsidRPr="004D45B3" w:rsidRDefault="0007681E">
      <w:pPr>
        <w:rPr>
          <w:color w:val="000000" w:themeColor="text1"/>
        </w:rPr>
      </w:pPr>
      <w:r w:rsidRPr="004D45B3">
        <w:rPr>
          <w:color w:val="000000" w:themeColor="text1"/>
        </w:rPr>
        <w:t xml:space="preserve">Xu, C., Yu, T., Furuya-Kanamori, L., Lin, L., </w:t>
      </w:r>
      <w:proofErr w:type="spellStart"/>
      <w:r w:rsidRPr="004D45B3">
        <w:rPr>
          <w:color w:val="000000" w:themeColor="text1"/>
        </w:rPr>
        <w:t>Zorzela</w:t>
      </w:r>
      <w:proofErr w:type="spellEnd"/>
      <w:r w:rsidRPr="004D45B3">
        <w:rPr>
          <w:color w:val="000000" w:themeColor="text1"/>
        </w:rPr>
        <w:t xml:space="preserve">, L., Zhou, X., Dai, H., Loke, Y. and Vohra, S. (2022). Validity of data extraction in evidence synthesis practice of adverse events: Reproducibility study. </w:t>
      </w:r>
      <w:r w:rsidRPr="004D45B3">
        <w:rPr>
          <w:i/>
          <w:iCs/>
          <w:color w:val="000000" w:themeColor="text1"/>
        </w:rPr>
        <w:t>BMJ</w:t>
      </w:r>
      <w:r w:rsidRPr="004D45B3">
        <w:rPr>
          <w:color w:val="000000" w:themeColor="text1"/>
        </w:rPr>
        <w:t>, 377, p.e069155. doi:10.1136/bmj-2021-069155.</w:t>
      </w:r>
    </w:p>
    <w:p w14:paraId="53FC21FE" w14:textId="77777777" w:rsidR="00BE776A" w:rsidRPr="004D45B3" w:rsidRDefault="0007681E">
      <w:pPr>
        <w:spacing w:after="240"/>
        <w:rPr>
          <w:color w:val="000000" w:themeColor="text1"/>
        </w:rPr>
      </w:pPr>
      <w:r w:rsidRPr="004D45B3">
        <w:rPr>
          <w:rFonts w:cs="Arial"/>
          <w:color w:val="000000" w:themeColor="text1"/>
          <w:szCs w:val="24"/>
          <w:lang w:val="en-IN"/>
        </w:rPr>
        <w:t xml:space="preserve">Yu, H., Ancheta, A.J., Flores, D.D., Bonett, S., </w:t>
      </w:r>
      <w:proofErr w:type="spellStart"/>
      <w:r w:rsidRPr="004D45B3">
        <w:rPr>
          <w:rFonts w:cs="Arial"/>
          <w:color w:val="000000" w:themeColor="text1"/>
          <w:szCs w:val="24"/>
          <w:lang w:val="en-IN"/>
        </w:rPr>
        <w:t>Meanley</w:t>
      </w:r>
      <w:proofErr w:type="spellEnd"/>
      <w:r w:rsidRPr="004D45B3">
        <w:rPr>
          <w:rFonts w:cs="Arial"/>
          <w:color w:val="000000" w:themeColor="text1"/>
          <w:szCs w:val="24"/>
          <w:lang w:val="en-IN"/>
        </w:rPr>
        <w:t xml:space="preserve">, S., Choi, S.K. and Bauermeister, J.A. (2024). Nurse leaders’ recommendations for implementing </w:t>
      </w:r>
      <w:proofErr w:type="spellStart"/>
      <w:r w:rsidRPr="004D45B3">
        <w:rPr>
          <w:rFonts w:cs="Arial"/>
          <w:color w:val="000000" w:themeColor="text1"/>
          <w:szCs w:val="24"/>
          <w:lang w:val="en-IN"/>
        </w:rPr>
        <w:t>lgbtq</w:t>
      </w:r>
      <w:proofErr w:type="spellEnd"/>
      <w:r w:rsidRPr="004D45B3">
        <w:rPr>
          <w:rFonts w:cs="Arial"/>
          <w:color w:val="000000" w:themeColor="text1"/>
          <w:szCs w:val="24"/>
          <w:lang w:val="en-IN"/>
        </w:rPr>
        <w:t xml:space="preserve">+ inclusive practices in health systems: A qualitative descriptive study. </w:t>
      </w:r>
      <w:r w:rsidRPr="004D45B3">
        <w:rPr>
          <w:rFonts w:cs="Arial"/>
          <w:i/>
          <w:iCs/>
          <w:color w:val="000000" w:themeColor="text1"/>
          <w:szCs w:val="24"/>
          <w:lang w:val="en-IN"/>
        </w:rPr>
        <w:t>International journal of Nursing studies advances</w:t>
      </w:r>
      <w:r w:rsidRPr="004D45B3">
        <w:rPr>
          <w:rFonts w:cs="Arial"/>
          <w:color w:val="000000" w:themeColor="text1"/>
          <w:szCs w:val="24"/>
          <w:lang w:val="en-IN"/>
        </w:rPr>
        <w:t>, 7, p.100262. doi:10.1016/j.ijnsa.2024.100262.</w:t>
      </w:r>
    </w:p>
    <w:p w14:paraId="08050FB3" w14:textId="2541B7F7" w:rsidR="00BE776A" w:rsidRPr="004D45B3" w:rsidRDefault="0007681E" w:rsidP="00DC5845">
      <w:pPr>
        <w:spacing w:after="240"/>
        <w:rPr>
          <w:color w:val="000000" w:themeColor="text1"/>
        </w:rPr>
        <w:sectPr w:rsidR="00BE776A" w:rsidRPr="004D45B3" w:rsidSect="004D45B3">
          <w:footerReference w:type="default" r:id="rId43"/>
          <w:pgSz w:w="11906" w:h="16838"/>
          <w:pgMar w:top="1440" w:right="1440" w:bottom="1440" w:left="1440" w:header="720" w:footer="720" w:gutter="0"/>
          <w:cols w:space="720"/>
          <w:titlePg/>
          <w:docGrid w:linePitch="326"/>
        </w:sectPr>
      </w:pPr>
      <w:r w:rsidRPr="004D45B3">
        <w:rPr>
          <w:rFonts w:cs="Arial"/>
          <w:color w:val="000000" w:themeColor="text1"/>
          <w:szCs w:val="24"/>
          <w:lang w:val="en-IN"/>
        </w:rPr>
        <w:t xml:space="preserve">Zeh, P., Sandhu, H.K., </w:t>
      </w:r>
      <w:proofErr w:type="spellStart"/>
      <w:r w:rsidRPr="004D45B3">
        <w:rPr>
          <w:rFonts w:cs="Arial"/>
          <w:color w:val="000000" w:themeColor="text1"/>
          <w:szCs w:val="24"/>
          <w:lang w:val="en-IN"/>
        </w:rPr>
        <w:t>Cannaby</w:t>
      </w:r>
      <w:proofErr w:type="spellEnd"/>
      <w:r w:rsidRPr="004D45B3">
        <w:rPr>
          <w:rFonts w:cs="Arial"/>
          <w:color w:val="000000" w:themeColor="text1"/>
          <w:szCs w:val="24"/>
          <w:lang w:val="en-IN"/>
        </w:rPr>
        <w:t xml:space="preserve">, A.M., Warwick, J. and Sturt, J.A. (2015). Exploring culturally competent primary care diabetes services: A single-city survey. </w:t>
      </w:r>
      <w:r w:rsidRPr="004D45B3">
        <w:rPr>
          <w:rFonts w:cs="Arial"/>
          <w:i/>
          <w:iCs/>
          <w:color w:val="000000" w:themeColor="text1"/>
          <w:szCs w:val="24"/>
          <w:lang w:val="en-IN"/>
        </w:rPr>
        <w:t>Diabetic Medicine</w:t>
      </w:r>
      <w:r w:rsidRPr="004D45B3">
        <w:rPr>
          <w:rFonts w:cs="Arial"/>
          <w:color w:val="000000" w:themeColor="text1"/>
          <w:szCs w:val="24"/>
          <w:lang w:val="en-IN"/>
        </w:rPr>
        <w:t>, 33(6), pp.786–793. doi:10.1111/dme.13000.</w:t>
      </w:r>
    </w:p>
    <w:p w14:paraId="4537E99E" w14:textId="77777777" w:rsidR="00BE776A" w:rsidRPr="004D45B3" w:rsidRDefault="0007681E">
      <w:pPr>
        <w:pStyle w:val="Heading1"/>
        <w:ind w:left="12"/>
        <w:rPr>
          <w:color w:val="000000" w:themeColor="text1"/>
        </w:rPr>
      </w:pPr>
      <w:bookmarkStart w:id="73" w:name="_Toc241190038"/>
      <w:bookmarkStart w:id="74" w:name="_Toc237877266"/>
      <w:r w:rsidRPr="004D45B3">
        <w:rPr>
          <w:rFonts w:cs="Arial"/>
          <w:color w:val="000000" w:themeColor="text1"/>
        </w:rPr>
        <w:t>Appendices</w:t>
      </w:r>
      <w:bookmarkEnd w:id="73"/>
    </w:p>
    <w:p w14:paraId="0D0A36F5" w14:textId="77777777" w:rsidR="00BE776A" w:rsidRPr="004D45B3" w:rsidRDefault="0007681E">
      <w:pPr>
        <w:pStyle w:val="Heading2"/>
        <w:rPr>
          <w:color w:val="000000" w:themeColor="text1"/>
        </w:rPr>
      </w:pPr>
      <w:bookmarkStart w:id="75" w:name="_Toc241190039"/>
      <w:r w:rsidRPr="004D45B3">
        <w:rPr>
          <w:color w:val="000000" w:themeColor="text1"/>
        </w:rPr>
        <w:t>Appendix 1: CASP Table</w:t>
      </w:r>
      <w:bookmarkEnd w:id="75"/>
    </w:p>
    <w:p w14:paraId="5BEAFF56" w14:textId="77777777" w:rsidR="00BE776A" w:rsidRPr="004D45B3" w:rsidRDefault="0007681E">
      <w:pPr>
        <w:spacing w:after="0"/>
        <w:rPr>
          <w:color w:val="000000" w:themeColor="text1"/>
        </w:rPr>
      </w:pPr>
      <w:r w:rsidRPr="004D45B3">
        <w:rPr>
          <w:rFonts w:eastAsia="Calibri" w:cs="Arial"/>
          <w:color w:val="000000" w:themeColor="text1"/>
        </w:rPr>
        <w:tab/>
      </w:r>
    </w:p>
    <w:tbl>
      <w:tblPr>
        <w:tblW w:w="9639" w:type="dxa"/>
        <w:tblLayout w:type="fixed"/>
        <w:tblCellMar>
          <w:left w:w="10" w:type="dxa"/>
          <w:right w:w="10" w:type="dxa"/>
        </w:tblCellMar>
        <w:tblLook w:val="0000" w:firstRow="0" w:lastRow="0" w:firstColumn="0" w:lastColumn="0" w:noHBand="0" w:noVBand="0"/>
      </w:tblPr>
      <w:tblGrid>
        <w:gridCol w:w="287"/>
        <w:gridCol w:w="1173"/>
        <w:gridCol w:w="491"/>
        <w:gridCol w:w="1086"/>
        <w:gridCol w:w="811"/>
        <w:gridCol w:w="1024"/>
        <w:gridCol w:w="864"/>
        <w:gridCol w:w="971"/>
        <w:gridCol w:w="615"/>
        <w:gridCol w:w="749"/>
        <w:gridCol w:w="757"/>
        <w:gridCol w:w="811"/>
      </w:tblGrid>
      <w:tr w:rsidR="00BE776A" w:rsidRPr="004D45B3" w14:paraId="223A8476"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1527822"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ID</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3D78DCA"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Author</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F674543"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Clear Aim</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7D91519"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Appropriate Methodology</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E0B405E"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Research Design</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0B11948"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Recruitment Strategy</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523D5C6"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Data Collection</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ACCAEA6"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Reflexivity Considered</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954E61B"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Ethical Issues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90C5E72"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Data Analysis Rigour</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A8FFD94"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Clear Findings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0FFD926"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Research Value</w:t>
            </w:r>
          </w:p>
        </w:tc>
      </w:tr>
      <w:tr w:rsidR="00BE776A" w:rsidRPr="004D45B3" w14:paraId="766FA9DB"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9F86DD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A9BD70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Ahmad et al. (2022)</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79531A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19E0AF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7185E6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CEA951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E66A75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32E847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A9D2E4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B058AE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EAF68D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A5693C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213FAF00"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4D426BA"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9DE844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Watkinson et al. (2021)</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884DE3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C4F03E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E55C03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ABBA4C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BADDD0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8055B3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089289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8E814D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A74FF2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56C929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1E0E74EB"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329632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3</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5CE767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Hackett et al. (2020)</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CA360C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2C4E9A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74424A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C3DE51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D8B9C5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FF8C95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650B00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07DB07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0E7C0B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5D8ED2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0E39C8D5"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BA8122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4</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9CCE6D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Cluley et al. (2026)</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4BF9D7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607D6C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5C6C11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4EA8FD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59DB21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DC67EB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2F8023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F7968E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FBAEC0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0FD3DD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4AA310D9"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9DA4C8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5</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6B792E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McGreevy et al. (2023)</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B8B899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32B939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9C916C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27C198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DED0BB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9E74EF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9CDFBC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E40E02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9E4105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D546B3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66B4D831"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CCA412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6</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6334E37" w14:textId="77777777" w:rsidR="00BE776A" w:rsidRPr="004D45B3" w:rsidRDefault="0007681E">
            <w:pPr>
              <w:spacing w:after="0" w:line="240" w:lineRule="auto"/>
              <w:jc w:val="center"/>
              <w:rPr>
                <w:rFonts w:cs="Arial"/>
                <w:color w:val="000000" w:themeColor="text1"/>
                <w:kern w:val="0"/>
                <w:sz w:val="16"/>
                <w:szCs w:val="16"/>
                <w:lang w:eastAsia="en-GB" w:bidi="bn-IN"/>
              </w:rPr>
            </w:pPr>
            <w:proofErr w:type="spellStart"/>
            <w:r w:rsidRPr="004D45B3">
              <w:rPr>
                <w:rFonts w:cs="Arial"/>
                <w:color w:val="000000" w:themeColor="text1"/>
                <w:kern w:val="0"/>
                <w:sz w:val="16"/>
                <w:szCs w:val="16"/>
                <w:lang w:eastAsia="en-GB" w:bidi="bn-IN"/>
              </w:rPr>
              <w:t>Moorthie</w:t>
            </w:r>
            <w:proofErr w:type="spellEnd"/>
            <w:r w:rsidRPr="004D45B3">
              <w:rPr>
                <w:rFonts w:cs="Arial"/>
                <w:color w:val="000000" w:themeColor="text1"/>
                <w:kern w:val="0"/>
                <w:sz w:val="16"/>
                <w:szCs w:val="16"/>
                <w:lang w:eastAsia="en-GB" w:bidi="bn-IN"/>
              </w:rPr>
              <w:t xml:space="preserve"> et al. (2024)</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94C58F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0FEC6EA"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921D32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1AE585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87F949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173306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B15B6D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B13350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AE579D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08057C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3FFAF0DF"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2D6BAA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7</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2C34CE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Zeh et al. (2016)</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969B7D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7BDC9D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6F4C25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6D0C59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2393C5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8CC096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69198A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A9AD9A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19D777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0FE1F1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458D0424"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8F7741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8</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82DE22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Kai et al. (2017)</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34A1B2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CFFB1D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85600F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6709DC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9610FF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BAF480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E6C378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89BD65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D7BAC3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C8997A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1FC45AE9"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DE4C4C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9</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C5CD443" w14:textId="77777777" w:rsidR="00BE776A" w:rsidRPr="004D45B3" w:rsidRDefault="0007681E">
            <w:pPr>
              <w:spacing w:after="0" w:line="240" w:lineRule="auto"/>
              <w:jc w:val="center"/>
              <w:rPr>
                <w:rFonts w:cs="Arial"/>
                <w:color w:val="000000" w:themeColor="text1"/>
                <w:kern w:val="0"/>
                <w:sz w:val="16"/>
                <w:szCs w:val="16"/>
                <w:lang w:eastAsia="en-GB" w:bidi="bn-IN"/>
              </w:rPr>
            </w:pPr>
            <w:proofErr w:type="spellStart"/>
            <w:r w:rsidRPr="004D45B3">
              <w:rPr>
                <w:rFonts w:cs="Arial"/>
                <w:color w:val="000000" w:themeColor="text1"/>
                <w:kern w:val="0"/>
                <w:sz w:val="16"/>
                <w:szCs w:val="16"/>
                <w:lang w:eastAsia="en-GB" w:bidi="bn-IN"/>
              </w:rPr>
              <w:t>Bécares</w:t>
            </w:r>
            <w:proofErr w:type="spellEnd"/>
            <w:r w:rsidRPr="004D45B3">
              <w:rPr>
                <w:rFonts w:cs="Arial"/>
                <w:color w:val="000000" w:themeColor="text1"/>
                <w:kern w:val="0"/>
                <w:sz w:val="16"/>
                <w:szCs w:val="16"/>
                <w:lang w:eastAsia="en-GB" w:bidi="bn-IN"/>
              </w:rPr>
              <w:t xml:space="preserve"> et al. (2018)</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047F85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40FE27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06F278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34C200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A75E9B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894C3CA"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E27FBD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EF550A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424FA6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9A811E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3DF08276"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AE05DC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10</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C79AF6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Salway et al. (2020)</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34AA05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0F5091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36B4E2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6A28DA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5221FA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9263D6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B0DDD6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DF2809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B3D17F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1CC83F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r w:rsidR="00BE776A" w:rsidRPr="004D45B3" w14:paraId="36878B7A" w14:textId="77777777">
        <w:trPr>
          <w:trHeight w:val="340"/>
        </w:trPr>
        <w:tc>
          <w:tcPr>
            <w:tcW w:w="28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EC9C4E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11</w:t>
            </w:r>
          </w:p>
        </w:tc>
        <w:tc>
          <w:tcPr>
            <w:tcW w:w="117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D92C7A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Papadopoulos et al. (2016)</w:t>
            </w:r>
          </w:p>
        </w:tc>
        <w:tc>
          <w:tcPr>
            <w:tcW w:w="49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3030CD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8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70F870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9BB7D3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102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8C096BA"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6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F634A4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97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F25E84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615"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C4DAFA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4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B57B5C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EE5DB5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31CE4E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Yes</w:t>
            </w:r>
          </w:p>
        </w:tc>
      </w:tr>
    </w:tbl>
    <w:p w14:paraId="08FE9B78" w14:textId="77777777" w:rsidR="00BE776A" w:rsidRPr="004D45B3" w:rsidRDefault="0007681E">
      <w:pPr>
        <w:spacing w:after="0"/>
        <w:rPr>
          <w:color w:val="000000" w:themeColor="text1"/>
        </w:rPr>
      </w:pPr>
      <w:r w:rsidRPr="004D45B3">
        <w:rPr>
          <w:rFonts w:cs="Arial"/>
          <w:b/>
          <w:color w:val="000000" w:themeColor="text1"/>
        </w:rPr>
        <w:t xml:space="preserve"> </w:t>
      </w:r>
    </w:p>
    <w:p w14:paraId="2A9EFD66" w14:textId="77777777" w:rsidR="00BE776A" w:rsidRPr="004D45B3" w:rsidRDefault="00BE776A">
      <w:pPr>
        <w:pStyle w:val="Heading2"/>
        <w:pageBreakBefore/>
        <w:rPr>
          <w:color w:val="000000" w:themeColor="text1"/>
        </w:rPr>
      </w:pPr>
    </w:p>
    <w:p w14:paraId="306BEB60" w14:textId="77777777" w:rsidR="00BE776A" w:rsidRPr="004D45B3" w:rsidRDefault="0007681E">
      <w:pPr>
        <w:pStyle w:val="Heading2"/>
        <w:jc w:val="center"/>
        <w:rPr>
          <w:color w:val="000000" w:themeColor="text1"/>
        </w:rPr>
      </w:pPr>
      <w:bookmarkStart w:id="76" w:name="_Toc241190040"/>
      <w:r w:rsidRPr="004D45B3">
        <w:rPr>
          <w:color w:val="000000" w:themeColor="text1"/>
        </w:rPr>
        <w:t>Appendix 2: Data Extraction Table</w:t>
      </w:r>
      <w:bookmarkEnd w:id="74"/>
      <w:bookmarkEnd w:id="76"/>
    </w:p>
    <w:tbl>
      <w:tblPr>
        <w:tblW w:w="5849" w:type="pct"/>
        <w:tblInd w:w="-964" w:type="dxa"/>
        <w:tblLayout w:type="fixed"/>
        <w:tblCellMar>
          <w:left w:w="10" w:type="dxa"/>
          <w:right w:w="10" w:type="dxa"/>
        </w:tblCellMar>
        <w:tblLook w:val="0000" w:firstRow="0" w:lastRow="0" w:firstColumn="0" w:lastColumn="0" w:noHBand="0" w:noVBand="0"/>
      </w:tblPr>
      <w:tblGrid>
        <w:gridCol w:w="811"/>
        <w:gridCol w:w="811"/>
        <w:gridCol w:w="812"/>
        <w:gridCol w:w="812"/>
        <w:gridCol w:w="812"/>
        <w:gridCol w:w="812"/>
        <w:gridCol w:w="811"/>
        <w:gridCol w:w="811"/>
        <w:gridCol w:w="811"/>
        <w:gridCol w:w="811"/>
        <w:gridCol w:w="811"/>
        <w:gridCol w:w="811"/>
        <w:gridCol w:w="811"/>
      </w:tblGrid>
      <w:tr w:rsidR="00BE776A" w:rsidRPr="004D45B3" w14:paraId="21C8F81C" w14:textId="77777777">
        <w:trPr>
          <w:trHeight w:val="284"/>
        </w:trPr>
        <w:tc>
          <w:tcPr>
            <w:tcW w:w="812"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373199FE"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Articles</w:t>
            </w:r>
          </w:p>
        </w:tc>
        <w:tc>
          <w:tcPr>
            <w:tcW w:w="812"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04ED7021"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Author</w:t>
            </w:r>
          </w:p>
        </w:tc>
        <w:tc>
          <w:tcPr>
            <w:tcW w:w="812"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23F36713"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Title</w:t>
            </w:r>
          </w:p>
        </w:tc>
        <w:tc>
          <w:tcPr>
            <w:tcW w:w="812"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4BC60983"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Year</w:t>
            </w:r>
          </w:p>
        </w:tc>
        <w:tc>
          <w:tcPr>
            <w:tcW w:w="812"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0767B69E"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Published Journal</w:t>
            </w:r>
          </w:p>
        </w:tc>
        <w:tc>
          <w:tcPr>
            <w:tcW w:w="812"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30D57E93"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Volume</w:t>
            </w:r>
          </w:p>
        </w:tc>
        <w:tc>
          <w:tcPr>
            <w:tcW w:w="811"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0965A991"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Issue</w:t>
            </w:r>
          </w:p>
        </w:tc>
        <w:tc>
          <w:tcPr>
            <w:tcW w:w="811"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1C26E330"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Location</w:t>
            </w:r>
          </w:p>
        </w:tc>
        <w:tc>
          <w:tcPr>
            <w:tcW w:w="811"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1AE6752B"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Type Of Study</w:t>
            </w:r>
          </w:p>
        </w:tc>
        <w:tc>
          <w:tcPr>
            <w:tcW w:w="811"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1629A61A"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Aim Of Study</w:t>
            </w:r>
          </w:p>
        </w:tc>
        <w:tc>
          <w:tcPr>
            <w:tcW w:w="811"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56D5DEC1"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Methods</w:t>
            </w:r>
          </w:p>
        </w:tc>
        <w:tc>
          <w:tcPr>
            <w:tcW w:w="811"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65CF6B80"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Sample Size</w:t>
            </w:r>
          </w:p>
        </w:tc>
        <w:tc>
          <w:tcPr>
            <w:tcW w:w="811" w:type="dxa"/>
            <w:tcBorders>
              <w:top w:val="single" w:sz="4" w:space="0" w:color="000000"/>
              <w:left w:val="single" w:sz="4" w:space="0" w:color="000000"/>
              <w:bottom w:val="single" w:sz="4" w:space="0" w:color="000000"/>
              <w:right w:val="single" w:sz="4" w:space="0" w:color="000000"/>
            </w:tcBorders>
            <w:shd w:val="clear" w:color="auto" w:fill="8EAADB"/>
            <w:tcMar>
              <w:top w:w="0" w:type="dxa"/>
              <w:left w:w="45" w:type="dxa"/>
              <w:bottom w:w="0" w:type="dxa"/>
              <w:right w:w="45" w:type="dxa"/>
            </w:tcMar>
            <w:vAlign w:val="center"/>
          </w:tcPr>
          <w:p w14:paraId="615C0216" w14:textId="77777777" w:rsidR="00BE776A" w:rsidRPr="004D45B3" w:rsidRDefault="0007681E">
            <w:pPr>
              <w:spacing w:after="0" w:line="240" w:lineRule="auto"/>
              <w:jc w:val="center"/>
              <w:rPr>
                <w:rFonts w:cs="Arial"/>
                <w:b/>
                <w:bCs/>
                <w:color w:val="000000" w:themeColor="text1"/>
                <w:kern w:val="0"/>
                <w:sz w:val="16"/>
                <w:szCs w:val="16"/>
                <w:lang w:eastAsia="en-GB" w:bidi="bn-IN"/>
              </w:rPr>
            </w:pPr>
            <w:r w:rsidRPr="004D45B3">
              <w:rPr>
                <w:rFonts w:cs="Arial"/>
                <w:b/>
                <w:bCs/>
                <w:color w:val="000000" w:themeColor="text1"/>
                <w:kern w:val="0"/>
                <w:sz w:val="16"/>
                <w:szCs w:val="16"/>
                <w:lang w:eastAsia="en-GB" w:bidi="bn-IN"/>
              </w:rPr>
              <w:t>Result/Outcomes</w:t>
            </w:r>
          </w:p>
        </w:tc>
      </w:tr>
      <w:tr w:rsidR="00BE776A" w:rsidRPr="004D45B3" w14:paraId="0219F42A"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5E3162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3D590A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Ahmad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31C847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Prevalence of common mental disorders…</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812522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2022</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1E646E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British Journal of Psychiatry</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A3A261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221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3D41FF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3</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BDB2EF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England</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2A539E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Quantitative (cross-sectional)</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7AA548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examine prevalence and treatment of mental disorders in ethnic minorities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C79156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National surveys (2007 &amp; 2014)</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C362AB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14600</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512823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Ethnic minorities had lower treatment access and variations in disorder prevalence</w:t>
            </w:r>
          </w:p>
        </w:tc>
      </w:tr>
      <w:tr w:rsidR="00BE776A" w:rsidRPr="004D45B3" w14:paraId="1CBF6F39"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8B8989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CC3C96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Watkinson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E135E4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Ethnic inequalities in health-related quality of life…</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813763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2021</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DAA37C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Lancet Public Health</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62B92E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6</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0B09E0A"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3</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2AB967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England</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BB8FD5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Quantitative (cross-sectional)</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2DCF5B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assess ethnic inequalities in quality of life</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1CA223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Primary data analysis</w:t>
            </w:r>
          </w:p>
        </w:tc>
        <w:tc>
          <w:tcPr>
            <w:tcW w:w="81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28EE06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1416793</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43090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Significant inequalities in quality of life among ethnic groups</w:t>
            </w:r>
          </w:p>
        </w:tc>
      </w:tr>
      <w:tr w:rsidR="00BE776A" w:rsidRPr="004D45B3" w14:paraId="299175B9"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71AB16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3</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614922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Hackett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E371AC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Racial discrimination and health…</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30A80B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2020</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4F87FE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BMC Public Health</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C4F030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E33FC0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B58AC9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UK</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3E266C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Quantitative (prospective cohort)</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F8E1AD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examine effects of racial discrimination on health</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9A9751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Longitudinal survey analysis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4FCCC7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4883</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13DC3E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Discrimination linked to poorer mental and physical health</w:t>
            </w:r>
          </w:p>
        </w:tc>
      </w:tr>
      <w:tr w:rsidR="00BE776A" w:rsidRPr="004D45B3" w14:paraId="2EDB3558"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C5DF6E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4</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BD5B45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Cluley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0743ED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Exploring relationship between race, older age…</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69B20F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2026</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84C3DF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Social Science &amp; Medicine</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FF1A98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23</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500C15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905C34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UK</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D22509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Quantitative</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87B899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explore experiences of racialised older adults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65AA85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Interviews / qualitative analysis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EFA0CA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68</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C4D2E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Structural inequalities and racism impact health outcomes</w:t>
            </w:r>
          </w:p>
        </w:tc>
      </w:tr>
      <w:tr w:rsidR="00BE776A" w:rsidRPr="004D45B3" w14:paraId="06B0DB34"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A9A338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5</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8B6C11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McGreevy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61A786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Ethnic inequalities in COVID-19 impact…</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089FAB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2023</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864C6A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BMC Medicine</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D26C68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39AB6D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164CD0A"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South London, UK</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31AD34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Quantitative (time series)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728DC3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assess ethnic inequalities in healthcare use during COVID-19</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594AFC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Time series analysis of health records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427321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460,084</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EB87D6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Ethnic disparities in healthcare consultations observed</w:t>
            </w:r>
          </w:p>
        </w:tc>
      </w:tr>
      <w:tr w:rsidR="00BE776A" w:rsidRPr="004D45B3" w14:paraId="0A8D4BA7"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9D5FF4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6</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1AF3922" w14:textId="77777777" w:rsidR="00BE776A" w:rsidRPr="004D45B3" w:rsidRDefault="0007681E">
            <w:pPr>
              <w:spacing w:after="0" w:line="240" w:lineRule="auto"/>
              <w:jc w:val="center"/>
              <w:rPr>
                <w:rFonts w:cs="Arial"/>
                <w:color w:val="000000" w:themeColor="text1"/>
                <w:kern w:val="0"/>
                <w:sz w:val="16"/>
                <w:szCs w:val="16"/>
                <w:lang w:eastAsia="en-GB" w:bidi="bn-IN"/>
              </w:rPr>
            </w:pPr>
            <w:proofErr w:type="spellStart"/>
            <w:r w:rsidRPr="004D45B3">
              <w:rPr>
                <w:rFonts w:cs="Arial"/>
                <w:color w:val="000000" w:themeColor="text1"/>
                <w:kern w:val="0"/>
                <w:sz w:val="16"/>
                <w:szCs w:val="16"/>
                <w:lang w:eastAsia="en-GB" w:bidi="bn-IN"/>
              </w:rPr>
              <w:t>Moorthie</w:t>
            </w:r>
            <w:proofErr w:type="spellEnd"/>
            <w:r w:rsidRPr="004D45B3">
              <w:rPr>
                <w:rFonts w:cs="Arial"/>
                <w:color w:val="000000" w:themeColor="text1"/>
                <w:kern w:val="0"/>
                <w:sz w:val="16"/>
                <w:szCs w:val="16"/>
                <w:lang w:eastAsia="en-GB" w:bidi="bn-IN"/>
              </w:rPr>
              <w:t xml:space="preserve">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A2FAE3C"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Qualitative study of UK health professionals…</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23C085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2024</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417E11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BMJ Open</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3223A9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14</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32FB06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9</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78EC2E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UK</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AD6B6F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Qualitative</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A36B07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identify ways to improve data on health inequalities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F1BE98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Interviews with professionals</w:t>
            </w:r>
          </w:p>
        </w:tc>
        <w:tc>
          <w:tcPr>
            <w:tcW w:w="81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CDA609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16</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0B77EE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Need for improved data systems to monitor inequalities</w:t>
            </w:r>
          </w:p>
        </w:tc>
      </w:tr>
      <w:tr w:rsidR="00BE776A" w:rsidRPr="004D45B3" w14:paraId="5481D3C9"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99BFB5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7</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0052E5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Zeh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1D07AC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Exploring culturally competent primary care diabetes services…</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602173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2016</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940FE9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Diabetic Medicine</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D74738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33</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781A9A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6</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4559BA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UK (single city)</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340E31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Quantitative (survey)</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B5463D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evaluate culturally competent diabetes services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F85EB7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Survey study</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FA72A5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66</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B0F497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Identified gaps in culturally competent care delivery</w:t>
            </w:r>
          </w:p>
        </w:tc>
      </w:tr>
      <w:tr w:rsidR="00BE776A" w:rsidRPr="004D45B3" w14:paraId="5A137B14"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3A6AE6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8</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C7D338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Stepanova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A2DBB6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Consensus on culturally competent mental health services…</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77B024E"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2026</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5146AC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Health Expectations</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B50A19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29</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F5312A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0FEE4A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UK</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D97F5D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Mixed methods (Delphi study)</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9C0663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develop consensus recommendations for mental health services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51E55F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Interviews</w:t>
            </w:r>
          </w:p>
        </w:tc>
        <w:tc>
          <w:tcPr>
            <w:tcW w:w="81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7D607C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34</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8F6407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Consensus reached on culturally competent service improvements</w:t>
            </w:r>
          </w:p>
        </w:tc>
      </w:tr>
      <w:tr w:rsidR="00BE776A" w:rsidRPr="004D45B3" w14:paraId="3D42B8D8"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8659F6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9</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DA13D43"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Dawson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DB7FD1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Recruitment and retention in trials…</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6746B3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2025</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B40ED8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Journal of Clinical Epidemiology</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4E411E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188</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C8FB2E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FCFBFB4"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England</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FFA509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Qualitative</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0F3199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explore recruitment barriers in ethnic minorities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92949B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Interviews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FFDAA2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1747F4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Tailored strategies needed for better participation</w:t>
            </w:r>
          </w:p>
        </w:tc>
      </w:tr>
      <w:tr w:rsidR="00BE776A" w:rsidRPr="004D45B3" w14:paraId="0B77DE86"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3B9F89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10</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082B15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Thana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0DA337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Experiences of people from minoritised groups…</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DF451E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2026</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0F74C0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BMJ Open Quality</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A2BC5F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15</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C55608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264FAC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UK</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6F6698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Qualitative</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63C59A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explore healthcare-related harm experiences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449540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Qualitative interview study</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C299F5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48</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3D347D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Identified systemic factors contributing to unsafe care</w:t>
            </w:r>
          </w:p>
        </w:tc>
      </w:tr>
      <w:tr w:rsidR="00BE776A" w:rsidRPr="004D45B3" w14:paraId="3927DD7F" w14:textId="77777777">
        <w:trPr>
          <w:trHeight w:val="170"/>
        </w:trPr>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0A05EE0"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11</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364609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Wainwright et al.</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CDA3095"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Experiences of delivering palliative care…</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986B918"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2026</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0779607"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BMC Palliative Care</w:t>
            </w:r>
          </w:p>
        </w:tc>
        <w:tc>
          <w:tcPr>
            <w:tcW w:w="81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6C348E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23</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CCFE4BD"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1</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E86E9F1"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UK</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8C9C719"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Qualitative</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FE7F05B"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To explore professionals’ experiences in diverse communities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FFCD0EF"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Qualitative interviews</w:t>
            </w:r>
          </w:p>
        </w:tc>
        <w:tc>
          <w:tcPr>
            <w:tcW w:w="81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0E86706"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6</w:t>
            </w:r>
          </w:p>
        </w:tc>
        <w:tc>
          <w:tcPr>
            <w:tcW w:w="8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EC510F2" w14:textId="77777777" w:rsidR="00BE776A" w:rsidRPr="004D45B3" w:rsidRDefault="0007681E">
            <w:pPr>
              <w:spacing w:after="0" w:line="240" w:lineRule="auto"/>
              <w:jc w:val="center"/>
              <w:rPr>
                <w:rFonts w:cs="Arial"/>
                <w:color w:val="000000" w:themeColor="text1"/>
                <w:kern w:val="0"/>
                <w:sz w:val="16"/>
                <w:szCs w:val="16"/>
                <w:lang w:eastAsia="en-GB" w:bidi="bn-IN"/>
              </w:rPr>
            </w:pPr>
            <w:r w:rsidRPr="004D45B3">
              <w:rPr>
                <w:rFonts w:cs="Arial"/>
                <w:color w:val="000000" w:themeColor="text1"/>
                <w:kern w:val="0"/>
                <w:sz w:val="16"/>
                <w:szCs w:val="16"/>
                <w:lang w:eastAsia="en-GB" w:bidi="bn-IN"/>
              </w:rPr>
              <w:t>Challenges in delivering culturally appropriate end-of-life care</w:t>
            </w:r>
          </w:p>
        </w:tc>
      </w:tr>
    </w:tbl>
    <w:p w14:paraId="5C16AC5E" w14:textId="438F60F4" w:rsidR="00BE776A" w:rsidRPr="004D45B3" w:rsidRDefault="00BE776A">
      <w:pPr>
        <w:spacing w:after="158"/>
        <w:rPr>
          <w:rFonts w:cs="Arial"/>
          <w:color w:val="000000" w:themeColor="text1"/>
        </w:rPr>
      </w:pPr>
    </w:p>
    <w:p w14:paraId="54670334" w14:textId="0EF2C639" w:rsidR="003418A6" w:rsidRPr="004D45B3" w:rsidRDefault="003418A6">
      <w:pPr>
        <w:suppressAutoHyphens w:val="0"/>
        <w:spacing w:line="276" w:lineRule="auto"/>
        <w:jc w:val="left"/>
        <w:rPr>
          <w:rFonts w:cs="Arial"/>
          <w:color w:val="000000" w:themeColor="text1"/>
        </w:rPr>
      </w:pPr>
      <w:r w:rsidRPr="004D45B3">
        <w:rPr>
          <w:rFonts w:cs="Arial"/>
          <w:color w:val="000000" w:themeColor="text1"/>
        </w:rPr>
        <w:br w:type="page"/>
      </w:r>
    </w:p>
    <w:p w14:paraId="12AB3481" w14:textId="364F4AAC" w:rsidR="003418A6" w:rsidRPr="004D45B3" w:rsidRDefault="003418A6" w:rsidP="003418A6">
      <w:pPr>
        <w:pStyle w:val="Heading2"/>
        <w:rPr>
          <w:color w:val="000000" w:themeColor="text1"/>
        </w:rPr>
      </w:pPr>
      <w:bookmarkStart w:id="77" w:name="_Toc241190041"/>
      <w:r w:rsidRPr="004D45B3">
        <w:rPr>
          <w:color w:val="000000" w:themeColor="text1"/>
        </w:rPr>
        <w:t>Appendix 3: Search Strategy</w:t>
      </w:r>
      <w:bookmarkEnd w:id="77"/>
    </w:p>
    <w:p w14:paraId="207360B6" w14:textId="77777777" w:rsidR="007E1B87" w:rsidRPr="004D45B3" w:rsidRDefault="007E1B87" w:rsidP="007E1B87">
      <w:pPr>
        <w:rPr>
          <w:b/>
          <w:bCs/>
          <w:color w:val="000000" w:themeColor="text1"/>
        </w:rPr>
      </w:pPr>
      <w:r w:rsidRPr="004D45B3">
        <w:rPr>
          <w:b/>
          <w:bCs/>
          <w:color w:val="000000" w:themeColor="text1"/>
        </w:rPr>
        <w:t>Databases Searched</w:t>
      </w:r>
    </w:p>
    <w:p w14:paraId="0551FB2A" w14:textId="77777777" w:rsidR="007E1B87" w:rsidRPr="004D45B3" w:rsidRDefault="007E1B87" w:rsidP="007E1B87">
      <w:pPr>
        <w:numPr>
          <w:ilvl w:val="0"/>
          <w:numId w:val="5"/>
        </w:numPr>
        <w:rPr>
          <w:color w:val="000000" w:themeColor="text1"/>
        </w:rPr>
      </w:pPr>
      <w:r w:rsidRPr="004D45B3">
        <w:rPr>
          <w:color w:val="000000" w:themeColor="text1"/>
        </w:rPr>
        <w:t xml:space="preserve">PubMed </w:t>
      </w:r>
    </w:p>
    <w:p w14:paraId="351D33F4" w14:textId="77777777" w:rsidR="007E1B87" w:rsidRPr="004D45B3" w:rsidRDefault="007E1B87" w:rsidP="007E1B87">
      <w:pPr>
        <w:numPr>
          <w:ilvl w:val="0"/>
          <w:numId w:val="5"/>
        </w:numPr>
        <w:rPr>
          <w:color w:val="000000" w:themeColor="text1"/>
        </w:rPr>
      </w:pPr>
      <w:r w:rsidRPr="004D45B3">
        <w:rPr>
          <w:color w:val="000000" w:themeColor="text1"/>
        </w:rPr>
        <w:t xml:space="preserve">Scopus </w:t>
      </w:r>
    </w:p>
    <w:p w14:paraId="3C5EEC3C" w14:textId="77777777" w:rsidR="007E1B87" w:rsidRPr="004D45B3" w:rsidRDefault="007E1B87" w:rsidP="007E1B87">
      <w:pPr>
        <w:numPr>
          <w:ilvl w:val="0"/>
          <w:numId w:val="5"/>
        </w:numPr>
        <w:rPr>
          <w:color w:val="000000" w:themeColor="text1"/>
        </w:rPr>
      </w:pPr>
      <w:r w:rsidRPr="004D45B3">
        <w:rPr>
          <w:color w:val="000000" w:themeColor="text1"/>
        </w:rPr>
        <w:t xml:space="preserve">Google Scholar </w:t>
      </w:r>
    </w:p>
    <w:p w14:paraId="20999669" w14:textId="77777777" w:rsidR="007E1B87" w:rsidRPr="004D45B3" w:rsidRDefault="007E1B87" w:rsidP="007E1B87">
      <w:pPr>
        <w:rPr>
          <w:b/>
          <w:bCs/>
          <w:color w:val="000000" w:themeColor="text1"/>
        </w:rPr>
      </w:pPr>
      <w:r w:rsidRPr="004D45B3">
        <w:rPr>
          <w:b/>
          <w:bCs/>
          <w:color w:val="000000" w:themeColor="text1"/>
        </w:rPr>
        <w:t>Keywords Used</w:t>
      </w:r>
    </w:p>
    <w:p w14:paraId="3F2C011A" w14:textId="77777777" w:rsidR="007E1B87" w:rsidRPr="004D45B3" w:rsidRDefault="007E1B87" w:rsidP="007E1B87">
      <w:pPr>
        <w:numPr>
          <w:ilvl w:val="0"/>
          <w:numId w:val="6"/>
        </w:numPr>
        <w:rPr>
          <w:color w:val="000000" w:themeColor="text1"/>
        </w:rPr>
      </w:pPr>
      <w:r w:rsidRPr="004D45B3">
        <w:rPr>
          <w:color w:val="000000" w:themeColor="text1"/>
        </w:rPr>
        <w:t xml:space="preserve">"Culturally competent care" AND "ethnic minority communities" </w:t>
      </w:r>
    </w:p>
    <w:p w14:paraId="16331CD0" w14:textId="77777777" w:rsidR="007E1B87" w:rsidRPr="004D45B3" w:rsidRDefault="007E1B87" w:rsidP="007E1B87">
      <w:pPr>
        <w:numPr>
          <w:ilvl w:val="0"/>
          <w:numId w:val="6"/>
        </w:numPr>
        <w:rPr>
          <w:color w:val="000000" w:themeColor="text1"/>
        </w:rPr>
      </w:pPr>
      <w:r w:rsidRPr="004D45B3">
        <w:rPr>
          <w:color w:val="000000" w:themeColor="text1"/>
        </w:rPr>
        <w:t xml:space="preserve">"Cultural competence" AND "health inequalities" </w:t>
      </w:r>
    </w:p>
    <w:p w14:paraId="41E50D49" w14:textId="77777777" w:rsidR="007E1B87" w:rsidRPr="004D45B3" w:rsidRDefault="007E1B87" w:rsidP="007E1B87">
      <w:pPr>
        <w:numPr>
          <w:ilvl w:val="0"/>
          <w:numId w:val="6"/>
        </w:numPr>
        <w:rPr>
          <w:color w:val="000000" w:themeColor="text1"/>
        </w:rPr>
      </w:pPr>
      <w:r w:rsidRPr="004D45B3">
        <w:rPr>
          <w:color w:val="000000" w:themeColor="text1"/>
        </w:rPr>
        <w:t xml:space="preserve">"Culturally competent healthcare" AND "United Kingdom" </w:t>
      </w:r>
    </w:p>
    <w:p w14:paraId="0B3B8C6E" w14:textId="77777777" w:rsidR="007E1B87" w:rsidRPr="004D45B3" w:rsidRDefault="007E1B87" w:rsidP="007E1B87">
      <w:pPr>
        <w:numPr>
          <w:ilvl w:val="0"/>
          <w:numId w:val="6"/>
        </w:numPr>
        <w:rPr>
          <w:color w:val="000000" w:themeColor="text1"/>
        </w:rPr>
      </w:pPr>
      <w:r w:rsidRPr="004D45B3">
        <w:rPr>
          <w:color w:val="000000" w:themeColor="text1"/>
        </w:rPr>
        <w:t xml:space="preserve">"Health inequalities" AND "ethnic minorities" AND "UK" </w:t>
      </w:r>
    </w:p>
    <w:p w14:paraId="06870273" w14:textId="77777777" w:rsidR="007E1B87" w:rsidRPr="004D45B3" w:rsidRDefault="007E1B87" w:rsidP="007E1B87">
      <w:pPr>
        <w:numPr>
          <w:ilvl w:val="0"/>
          <w:numId w:val="6"/>
        </w:numPr>
        <w:rPr>
          <w:color w:val="000000" w:themeColor="text1"/>
        </w:rPr>
      </w:pPr>
      <w:r w:rsidRPr="004D45B3">
        <w:rPr>
          <w:color w:val="000000" w:themeColor="text1"/>
        </w:rPr>
        <w:t xml:space="preserve">"Health disparities" AND "racial and ethnic minorities" </w:t>
      </w:r>
    </w:p>
    <w:p w14:paraId="0475A8E2" w14:textId="77777777" w:rsidR="007E1B87" w:rsidRPr="004D45B3" w:rsidRDefault="007E1B87" w:rsidP="007E1B87">
      <w:pPr>
        <w:numPr>
          <w:ilvl w:val="0"/>
          <w:numId w:val="6"/>
        </w:numPr>
        <w:rPr>
          <w:color w:val="000000" w:themeColor="text1"/>
        </w:rPr>
      </w:pPr>
      <w:r w:rsidRPr="004D45B3">
        <w:rPr>
          <w:color w:val="000000" w:themeColor="text1"/>
        </w:rPr>
        <w:t xml:space="preserve">"Healthcare access" AND "ethnic minority communities" </w:t>
      </w:r>
    </w:p>
    <w:p w14:paraId="30DC94EF" w14:textId="77777777" w:rsidR="007E1B87" w:rsidRPr="004D45B3" w:rsidRDefault="007E1B87" w:rsidP="007E1B87">
      <w:pPr>
        <w:numPr>
          <w:ilvl w:val="0"/>
          <w:numId w:val="6"/>
        </w:numPr>
        <w:rPr>
          <w:color w:val="000000" w:themeColor="text1"/>
        </w:rPr>
      </w:pPr>
      <w:r w:rsidRPr="004D45B3">
        <w:rPr>
          <w:color w:val="000000" w:themeColor="text1"/>
        </w:rPr>
        <w:t xml:space="preserve">"Cultural competence" AND "patient outcomes" </w:t>
      </w:r>
    </w:p>
    <w:p w14:paraId="194A5C75" w14:textId="77777777" w:rsidR="007E1B87" w:rsidRPr="004D45B3" w:rsidRDefault="007E1B87" w:rsidP="007E1B87">
      <w:pPr>
        <w:numPr>
          <w:ilvl w:val="0"/>
          <w:numId w:val="6"/>
        </w:numPr>
        <w:rPr>
          <w:color w:val="000000" w:themeColor="text1"/>
        </w:rPr>
      </w:pPr>
      <w:r w:rsidRPr="004D45B3">
        <w:rPr>
          <w:color w:val="000000" w:themeColor="text1"/>
        </w:rPr>
        <w:t xml:space="preserve">"Culturally responsive care" AND "ethnic minorities" </w:t>
      </w:r>
    </w:p>
    <w:p w14:paraId="54C9C0DB" w14:textId="77777777" w:rsidR="007E1B87" w:rsidRPr="004D45B3" w:rsidRDefault="007E1B87" w:rsidP="007E1B87">
      <w:pPr>
        <w:numPr>
          <w:ilvl w:val="0"/>
          <w:numId w:val="6"/>
        </w:numPr>
        <w:rPr>
          <w:color w:val="000000" w:themeColor="text1"/>
        </w:rPr>
      </w:pPr>
      <w:r w:rsidRPr="004D45B3">
        <w:rPr>
          <w:color w:val="000000" w:themeColor="text1"/>
        </w:rPr>
        <w:t xml:space="preserve">"Cultural competence training" AND "healthcare professionals" </w:t>
      </w:r>
    </w:p>
    <w:p w14:paraId="5AF86EEB" w14:textId="77777777" w:rsidR="007E1B87" w:rsidRPr="004D45B3" w:rsidRDefault="007E1B87" w:rsidP="007E1B87">
      <w:pPr>
        <w:numPr>
          <w:ilvl w:val="0"/>
          <w:numId w:val="6"/>
        </w:numPr>
        <w:rPr>
          <w:color w:val="000000" w:themeColor="text1"/>
        </w:rPr>
      </w:pPr>
      <w:r w:rsidRPr="004D45B3">
        <w:rPr>
          <w:color w:val="000000" w:themeColor="text1"/>
        </w:rPr>
        <w:t xml:space="preserve">"Community engagement" AND "culturally competent care" </w:t>
      </w:r>
    </w:p>
    <w:p w14:paraId="07C413A7" w14:textId="77777777" w:rsidR="007E1B87" w:rsidRPr="004D45B3" w:rsidRDefault="007E1B87" w:rsidP="007E1B87">
      <w:pPr>
        <w:numPr>
          <w:ilvl w:val="0"/>
          <w:numId w:val="6"/>
        </w:numPr>
        <w:rPr>
          <w:color w:val="000000" w:themeColor="text1"/>
        </w:rPr>
      </w:pPr>
      <w:r w:rsidRPr="004D45B3">
        <w:rPr>
          <w:color w:val="000000" w:themeColor="text1"/>
        </w:rPr>
        <w:t xml:space="preserve">"Language support" OR "professional interpreters" AND "ethnic minorities" </w:t>
      </w:r>
    </w:p>
    <w:p w14:paraId="08329ED3" w14:textId="77777777" w:rsidR="007E1B87" w:rsidRPr="004D45B3" w:rsidRDefault="007E1B87" w:rsidP="007E1B87">
      <w:pPr>
        <w:numPr>
          <w:ilvl w:val="0"/>
          <w:numId w:val="6"/>
        </w:numPr>
        <w:rPr>
          <w:color w:val="000000" w:themeColor="text1"/>
        </w:rPr>
      </w:pPr>
      <w:r w:rsidRPr="004D45B3">
        <w:rPr>
          <w:color w:val="000000" w:themeColor="text1"/>
        </w:rPr>
        <w:t xml:space="preserve">"Culturally competent interventions" AND "health inequalities" </w:t>
      </w:r>
    </w:p>
    <w:p w14:paraId="1903BE20" w14:textId="77777777" w:rsidR="007E1B87" w:rsidRPr="004D45B3" w:rsidRDefault="007E1B87" w:rsidP="007E1B87">
      <w:pPr>
        <w:rPr>
          <w:color w:val="000000" w:themeColor="text1"/>
        </w:rPr>
      </w:pPr>
      <w:r w:rsidRPr="004D45B3">
        <w:rPr>
          <w:b/>
          <w:bCs/>
          <w:color w:val="000000" w:themeColor="text1"/>
        </w:rPr>
        <w:t>▪ Boolean Operators Applied:</w:t>
      </w:r>
      <w:r w:rsidRPr="004D45B3">
        <w:rPr>
          <w:color w:val="000000" w:themeColor="text1"/>
        </w:rPr>
        <w:t xml:space="preserve"> AND, OR</w:t>
      </w:r>
    </w:p>
    <w:p w14:paraId="3FA19150" w14:textId="77777777" w:rsidR="007E1B87" w:rsidRPr="004D45B3" w:rsidRDefault="007E1B87" w:rsidP="007E1B87">
      <w:pPr>
        <w:rPr>
          <w:color w:val="000000" w:themeColor="text1"/>
        </w:rPr>
      </w:pPr>
      <w:r w:rsidRPr="004D45B3">
        <w:rPr>
          <w:b/>
          <w:bCs/>
          <w:color w:val="000000" w:themeColor="text1"/>
        </w:rPr>
        <w:t>▪ Publication Period:</w:t>
      </w:r>
      <w:r w:rsidRPr="004D45B3">
        <w:rPr>
          <w:color w:val="000000" w:themeColor="text1"/>
        </w:rPr>
        <w:t xml:space="preserve"> 2016–2026</w:t>
      </w:r>
    </w:p>
    <w:p w14:paraId="66AC38B1" w14:textId="77777777" w:rsidR="007E1B87" w:rsidRPr="004D45B3" w:rsidRDefault="007E1B87" w:rsidP="007E1B87">
      <w:pPr>
        <w:rPr>
          <w:color w:val="000000" w:themeColor="text1"/>
        </w:rPr>
      </w:pPr>
      <w:r w:rsidRPr="004D45B3">
        <w:rPr>
          <w:b/>
          <w:bCs/>
          <w:color w:val="000000" w:themeColor="text1"/>
        </w:rPr>
        <w:t>▪ Language:</w:t>
      </w:r>
      <w:r w:rsidRPr="004D45B3">
        <w:rPr>
          <w:color w:val="000000" w:themeColor="text1"/>
        </w:rPr>
        <w:t xml:space="preserve"> English only</w:t>
      </w:r>
    </w:p>
    <w:p w14:paraId="1225AC78" w14:textId="7807C33A" w:rsidR="007E1B87" w:rsidRPr="004D45B3" w:rsidRDefault="007E1B87" w:rsidP="007E1B87">
      <w:pPr>
        <w:pStyle w:val="ListParagraph"/>
        <w:numPr>
          <w:ilvl w:val="0"/>
          <w:numId w:val="7"/>
        </w:numPr>
        <w:rPr>
          <w:color w:val="000000" w:themeColor="text1"/>
        </w:rPr>
      </w:pPr>
      <w:r w:rsidRPr="004D45B3">
        <w:rPr>
          <w:b/>
          <w:bCs/>
          <w:color w:val="000000" w:themeColor="text1"/>
        </w:rPr>
        <w:t>Inclusion Criteria:</w:t>
      </w:r>
      <w:r w:rsidRPr="004D45B3">
        <w:rPr>
          <w:color w:val="000000" w:themeColor="text1"/>
        </w:rPr>
        <w:t xml:space="preserve"> Peer-reviewed journal articles published between 2016 and 2026 examining culturally competent care, culturally responsive interventions, health inequalities, healthcare access or outcomes among ethnic minority populations, with relevance to the UK healthcare setting. Systematic reviews, meta-analyses, qualitative, quantitative and mixed-method empirical studies were considered.</w:t>
      </w:r>
    </w:p>
    <w:p w14:paraId="4A563629" w14:textId="26FFCFED" w:rsidR="007E1B87" w:rsidRDefault="007E1B87" w:rsidP="007E1B87">
      <w:pPr>
        <w:pStyle w:val="ListParagraph"/>
        <w:numPr>
          <w:ilvl w:val="0"/>
          <w:numId w:val="7"/>
        </w:numPr>
        <w:rPr>
          <w:color w:val="000000" w:themeColor="text1"/>
        </w:rPr>
      </w:pPr>
      <w:r w:rsidRPr="004D45B3">
        <w:rPr>
          <w:b/>
          <w:bCs/>
          <w:color w:val="000000" w:themeColor="text1"/>
        </w:rPr>
        <w:t>Exclusion Criteria:</w:t>
      </w:r>
      <w:r w:rsidRPr="004D45B3">
        <w:rPr>
          <w:color w:val="000000" w:themeColor="text1"/>
        </w:rPr>
        <w:t xml:space="preserve"> Non-English publications, conference abstracts, editorials/opinion papers, studies outside the relevant publication period, studies unrelated to culturally competent healthcare or ethnic minority populations, and studies conducted outside the UK where the findings were not transferable to the UK healthcare context.</w:t>
      </w:r>
    </w:p>
    <w:p w14:paraId="57202DE2" w14:textId="77777777" w:rsidR="004047C2" w:rsidRDefault="004047C2" w:rsidP="004047C2">
      <w:pPr>
        <w:rPr>
          <w:color w:val="000000" w:themeColor="text1"/>
        </w:rPr>
      </w:pPr>
    </w:p>
    <w:p w14:paraId="46C12628" w14:textId="77777777" w:rsidR="004047C2" w:rsidRDefault="004047C2" w:rsidP="004047C2">
      <w:pPr>
        <w:rPr>
          <w:color w:val="000000" w:themeColor="text1"/>
        </w:rPr>
      </w:pPr>
    </w:p>
    <w:p w14:paraId="3FD4C3DF" w14:textId="77777777" w:rsidR="004047C2" w:rsidRDefault="004047C2" w:rsidP="004047C2">
      <w:pPr>
        <w:rPr>
          <w:color w:val="000000" w:themeColor="text1"/>
        </w:rPr>
      </w:pPr>
    </w:p>
    <w:p w14:paraId="06E79994" w14:textId="77777777" w:rsidR="004047C2" w:rsidRDefault="004047C2" w:rsidP="004047C2">
      <w:pPr>
        <w:rPr>
          <w:color w:val="000000" w:themeColor="text1"/>
        </w:rPr>
      </w:pPr>
    </w:p>
    <w:p w14:paraId="351BE15E" w14:textId="77777777" w:rsidR="004047C2" w:rsidRDefault="004047C2" w:rsidP="004047C2">
      <w:pPr>
        <w:rPr>
          <w:color w:val="000000" w:themeColor="text1"/>
        </w:rPr>
      </w:pPr>
    </w:p>
    <w:p w14:paraId="16CD21BF" w14:textId="77777777" w:rsidR="004047C2" w:rsidRDefault="004047C2" w:rsidP="004047C2">
      <w:pPr>
        <w:rPr>
          <w:color w:val="000000" w:themeColor="text1"/>
        </w:rPr>
      </w:pPr>
    </w:p>
    <w:p w14:paraId="12D42271" w14:textId="77777777" w:rsidR="004047C2" w:rsidRDefault="004047C2" w:rsidP="004047C2">
      <w:pPr>
        <w:rPr>
          <w:color w:val="000000" w:themeColor="text1"/>
        </w:rPr>
      </w:pPr>
    </w:p>
    <w:p w14:paraId="21CFB3BB" w14:textId="77777777" w:rsidR="004047C2" w:rsidRDefault="004047C2" w:rsidP="004047C2">
      <w:pPr>
        <w:rPr>
          <w:color w:val="000000" w:themeColor="text1"/>
        </w:rPr>
      </w:pPr>
    </w:p>
    <w:p w14:paraId="761F3C3A" w14:textId="77777777" w:rsidR="004047C2" w:rsidRDefault="004047C2" w:rsidP="004047C2">
      <w:pPr>
        <w:rPr>
          <w:color w:val="000000" w:themeColor="text1"/>
        </w:rPr>
      </w:pPr>
    </w:p>
    <w:p w14:paraId="387EA14E" w14:textId="77777777" w:rsidR="004047C2" w:rsidRDefault="004047C2" w:rsidP="004047C2">
      <w:pPr>
        <w:rPr>
          <w:color w:val="000000" w:themeColor="text1"/>
        </w:rPr>
      </w:pPr>
    </w:p>
    <w:p w14:paraId="0AE92762" w14:textId="77777777" w:rsidR="004047C2" w:rsidRDefault="004047C2" w:rsidP="004047C2">
      <w:pPr>
        <w:rPr>
          <w:color w:val="000000" w:themeColor="text1"/>
        </w:rPr>
      </w:pPr>
    </w:p>
    <w:p w14:paraId="4F9DF1CD" w14:textId="77777777" w:rsidR="004047C2" w:rsidRDefault="004047C2" w:rsidP="004047C2">
      <w:pPr>
        <w:rPr>
          <w:color w:val="000000" w:themeColor="text1"/>
        </w:rPr>
      </w:pPr>
    </w:p>
    <w:p w14:paraId="5E9950F5" w14:textId="77777777" w:rsidR="004047C2" w:rsidRDefault="004047C2" w:rsidP="004047C2">
      <w:pPr>
        <w:rPr>
          <w:color w:val="000000" w:themeColor="text1"/>
        </w:rPr>
      </w:pPr>
    </w:p>
    <w:p w14:paraId="7FF83960" w14:textId="77777777" w:rsidR="004047C2" w:rsidRDefault="004047C2" w:rsidP="004047C2">
      <w:pPr>
        <w:rPr>
          <w:color w:val="000000" w:themeColor="text1"/>
        </w:rPr>
      </w:pPr>
    </w:p>
    <w:p w14:paraId="48274395" w14:textId="77777777" w:rsidR="004047C2" w:rsidRDefault="004047C2" w:rsidP="004047C2">
      <w:pPr>
        <w:rPr>
          <w:color w:val="000000" w:themeColor="text1"/>
        </w:rPr>
      </w:pPr>
    </w:p>
    <w:p w14:paraId="4DFDC645" w14:textId="77777777" w:rsidR="004047C2" w:rsidRDefault="004047C2" w:rsidP="004047C2">
      <w:pPr>
        <w:rPr>
          <w:color w:val="000000" w:themeColor="text1"/>
        </w:rPr>
      </w:pPr>
    </w:p>
    <w:p w14:paraId="3353112A" w14:textId="77777777" w:rsidR="004047C2" w:rsidRDefault="004047C2" w:rsidP="004047C2">
      <w:pPr>
        <w:rPr>
          <w:color w:val="000000" w:themeColor="text1"/>
        </w:rPr>
      </w:pPr>
    </w:p>
    <w:p w14:paraId="1503B4E1" w14:textId="77777777" w:rsidR="004047C2" w:rsidRDefault="004047C2" w:rsidP="004047C2">
      <w:pPr>
        <w:rPr>
          <w:color w:val="000000" w:themeColor="text1"/>
        </w:rPr>
      </w:pPr>
    </w:p>
    <w:p w14:paraId="6A941521" w14:textId="77777777" w:rsidR="004047C2" w:rsidRDefault="004047C2" w:rsidP="004047C2">
      <w:pPr>
        <w:rPr>
          <w:color w:val="000000" w:themeColor="text1"/>
        </w:rPr>
      </w:pPr>
    </w:p>
    <w:p w14:paraId="428D870C" w14:textId="77777777" w:rsidR="004047C2" w:rsidRDefault="004047C2" w:rsidP="004047C2">
      <w:pPr>
        <w:rPr>
          <w:color w:val="000000" w:themeColor="text1"/>
        </w:rPr>
      </w:pPr>
    </w:p>
    <w:p w14:paraId="636A0B7C" w14:textId="49934E7F" w:rsidR="004047C2" w:rsidRPr="004047C2" w:rsidRDefault="004047C2" w:rsidP="004047C2">
      <w:pPr>
        <w:keepNext/>
        <w:tabs>
          <w:tab w:val="left" w:pos="5103"/>
        </w:tabs>
        <w:suppressAutoHyphens w:val="0"/>
        <w:autoSpaceDN/>
        <w:spacing w:after="0" w:line="240" w:lineRule="auto"/>
        <w:jc w:val="left"/>
        <w:outlineLvl w:val="0"/>
        <w:rPr>
          <w:rFonts w:cs="Arial"/>
          <w:b/>
          <w:bCs/>
          <w:kern w:val="0"/>
          <w:sz w:val="22"/>
          <w:lang w:eastAsia="en-US"/>
        </w:rPr>
      </w:pPr>
      <w:bookmarkStart w:id="78" w:name="_Toc241190042"/>
      <w:r>
        <w:rPr>
          <w:rFonts w:cs="Arial"/>
          <w:b/>
          <w:kern w:val="0"/>
          <w:szCs w:val="24"/>
          <w:lang w:eastAsia="en-US"/>
        </w:rPr>
        <w:t xml:space="preserve">Appendix 4: </w:t>
      </w:r>
      <w:r w:rsidRPr="004047C2">
        <w:rPr>
          <w:rFonts w:cs="Arial"/>
          <w:b/>
          <w:kern w:val="0"/>
          <w:szCs w:val="24"/>
          <w:lang w:eastAsia="en-US"/>
        </w:rPr>
        <w:t>Dissertation Supervision Record</w:t>
      </w:r>
      <w:bookmarkEnd w:id="78"/>
    </w:p>
    <w:p w14:paraId="764789D5" w14:textId="77777777" w:rsidR="004047C2" w:rsidRPr="004047C2" w:rsidRDefault="004047C2" w:rsidP="004047C2">
      <w:pPr>
        <w:tabs>
          <w:tab w:val="left" w:pos="5103"/>
        </w:tabs>
        <w:suppressAutoHyphens w:val="0"/>
        <w:autoSpaceDN/>
        <w:spacing w:after="0" w:line="240" w:lineRule="auto"/>
        <w:ind w:right="282"/>
        <w:jc w:val="center"/>
        <w:rPr>
          <w:rFonts w:cs="Arial"/>
          <w:b/>
          <w:bCs/>
          <w:kern w:val="0"/>
          <w:sz w:val="22"/>
          <w:lang w:eastAsia="en-US"/>
        </w:rPr>
      </w:pPr>
    </w:p>
    <w:p w14:paraId="317F9EE6" w14:textId="77777777" w:rsidR="004047C2" w:rsidRPr="004047C2" w:rsidRDefault="004047C2" w:rsidP="004047C2">
      <w:pPr>
        <w:tabs>
          <w:tab w:val="left" w:pos="5103"/>
        </w:tabs>
        <w:suppressAutoHyphens w:val="0"/>
        <w:autoSpaceDN/>
        <w:spacing w:after="0" w:line="240" w:lineRule="auto"/>
        <w:ind w:right="282"/>
        <w:rPr>
          <w:rFonts w:cs="Arial"/>
          <w:kern w:val="0"/>
          <w:sz w:val="22"/>
          <w:lang w:eastAsia="en-US"/>
        </w:rPr>
      </w:pPr>
      <w:r w:rsidRPr="004047C2">
        <w:rPr>
          <w:rFonts w:cs="Arial"/>
          <w:kern w:val="0"/>
          <w:sz w:val="22"/>
          <w:lang w:eastAsia="en-US"/>
        </w:rPr>
        <w:t xml:space="preserve">This form is to be used to record a summary of the outcomes of each formal meeting between the student and the dissertation supervisors for Part II of a Masters’ Programme. </w:t>
      </w:r>
    </w:p>
    <w:p w14:paraId="07FFB466" w14:textId="77777777" w:rsidR="004047C2" w:rsidRPr="004047C2" w:rsidRDefault="004047C2" w:rsidP="004047C2">
      <w:pPr>
        <w:keepNext/>
        <w:suppressAutoHyphens w:val="0"/>
        <w:autoSpaceDN/>
        <w:spacing w:after="0" w:line="240" w:lineRule="auto"/>
        <w:jc w:val="left"/>
        <w:outlineLvl w:val="3"/>
        <w:rPr>
          <w:rFonts w:cs="Arial"/>
          <w:kern w:val="0"/>
          <w:sz w:val="22"/>
          <w:lang w:eastAsia="en-US"/>
        </w:rPr>
      </w:pPr>
    </w:p>
    <w:tbl>
      <w:tblPr>
        <w:tblW w:w="96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1"/>
        <w:gridCol w:w="2694"/>
        <w:gridCol w:w="1905"/>
        <w:gridCol w:w="2799"/>
      </w:tblGrid>
      <w:tr w:rsidR="004047C2" w:rsidRPr="004047C2" w14:paraId="79BBBF02" w14:textId="77777777" w:rsidTr="004047C2">
        <w:trPr>
          <w:trHeight w:val="406"/>
          <w:jc w:val="center"/>
        </w:trPr>
        <w:tc>
          <w:tcPr>
            <w:tcW w:w="2271" w:type="dxa"/>
            <w:vAlign w:val="center"/>
          </w:tcPr>
          <w:p w14:paraId="77B87489" w14:textId="77777777" w:rsidR="004047C2" w:rsidRPr="004047C2" w:rsidRDefault="004047C2" w:rsidP="004047C2">
            <w:pPr>
              <w:suppressAutoHyphens w:val="0"/>
              <w:autoSpaceDN/>
              <w:spacing w:before="100" w:beforeAutospacing="1" w:after="100" w:afterAutospacing="1" w:line="240" w:lineRule="auto"/>
              <w:jc w:val="left"/>
              <w:rPr>
                <w:rFonts w:cs="Arial"/>
                <w:b/>
                <w:bCs/>
                <w:kern w:val="0"/>
                <w:sz w:val="20"/>
                <w:szCs w:val="20"/>
                <w:lang w:eastAsia="en-US"/>
              </w:rPr>
            </w:pPr>
            <w:r w:rsidRPr="004047C2">
              <w:rPr>
                <w:rFonts w:cs="Arial"/>
                <w:b/>
                <w:bCs/>
                <w:kern w:val="0"/>
                <w:sz w:val="20"/>
                <w:szCs w:val="20"/>
                <w:lang w:eastAsia="en-US"/>
              </w:rPr>
              <w:t>Student Name:</w:t>
            </w:r>
          </w:p>
        </w:tc>
        <w:tc>
          <w:tcPr>
            <w:tcW w:w="2694" w:type="dxa"/>
            <w:vAlign w:val="center"/>
          </w:tcPr>
          <w:p w14:paraId="7A5B908B" w14:textId="0A9CACCB" w:rsidR="004047C2" w:rsidRPr="004047C2" w:rsidRDefault="0049192E" w:rsidP="004047C2">
            <w:pPr>
              <w:suppressAutoHyphens w:val="0"/>
              <w:autoSpaceDN/>
              <w:spacing w:before="100" w:beforeAutospacing="1" w:after="100" w:afterAutospacing="1" w:line="240" w:lineRule="auto"/>
              <w:jc w:val="left"/>
              <w:rPr>
                <w:rFonts w:cs="Arial"/>
                <w:bCs/>
                <w:kern w:val="0"/>
                <w:sz w:val="20"/>
                <w:szCs w:val="20"/>
                <w:lang w:eastAsia="en-US"/>
              </w:rPr>
            </w:pPr>
            <w:r>
              <w:rPr>
                <w:rFonts w:cs="Arial"/>
                <w:bCs/>
                <w:kern w:val="0"/>
                <w:sz w:val="20"/>
                <w:szCs w:val="20"/>
                <w:lang w:eastAsia="en-US"/>
              </w:rPr>
              <w:t>Prashant Hirjibhai Gajera</w:t>
            </w:r>
          </w:p>
        </w:tc>
        <w:tc>
          <w:tcPr>
            <w:tcW w:w="1905" w:type="dxa"/>
            <w:vAlign w:val="center"/>
          </w:tcPr>
          <w:p w14:paraId="25C5308A" w14:textId="77777777" w:rsidR="004047C2" w:rsidRPr="004047C2" w:rsidRDefault="004047C2" w:rsidP="004047C2">
            <w:pPr>
              <w:suppressAutoHyphens w:val="0"/>
              <w:autoSpaceDN/>
              <w:spacing w:before="100" w:beforeAutospacing="1" w:after="100" w:afterAutospacing="1" w:line="240" w:lineRule="auto"/>
              <w:jc w:val="left"/>
              <w:rPr>
                <w:rFonts w:cs="Arial"/>
                <w:b/>
                <w:bCs/>
                <w:kern w:val="0"/>
                <w:sz w:val="20"/>
                <w:szCs w:val="20"/>
                <w:lang w:eastAsia="en-US"/>
              </w:rPr>
            </w:pPr>
            <w:r w:rsidRPr="004047C2">
              <w:rPr>
                <w:rFonts w:cs="Arial"/>
                <w:b/>
                <w:bCs/>
                <w:kern w:val="0"/>
                <w:sz w:val="20"/>
                <w:szCs w:val="20"/>
                <w:lang w:eastAsia="en-US"/>
              </w:rPr>
              <w:t>Student No:</w:t>
            </w:r>
          </w:p>
        </w:tc>
        <w:tc>
          <w:tcPr>
            <w:tcW w:w="2799" w:type="dxa"/>
            <w:vAlign w:val="center"/>
          </w:tcPr>
          <w:p w14:paraId="18E3E458" w14:textId="15FA2DD1" w:rsidR="004047C2" w:rsidRPr="004047C2" w:rsidRDefault="0049192E" w:rsidP="004047C2">
            <w:pPr>
              <w:suppressAutoHyphens w:val="0"/>
              <w:autoSpaceDN/>
              <w:spacing w:before="100" w:beforeAutospacing="1" w:after="100" w:afterAutospacing="1" w:line="240" w:lineRule="auto"/>
              <w:jc w:val="left"/>
              <w:rPr>
                <w:rFonts w:cs="Arial"/>
                <w:bCs/>
                <w:kern w:val="0"/>
                <w:sz w:val="20"/>
                <w:szCs w:val="20"/>
                <w:lang w:eastAsia="en-US"/>
              </w:rPr>
            </w:pPr>
            <w:r>
              <w:rPr>
                <w:rFonts w:cs="Arial"/>
                <w:bCs/>
                <w:kern w:val="0"/>
                <w:sz w:val="20"/>
                <w:szCs w:val="20"/>
                <w:lang w:eastAsia="en-US"/>
              </w:rPr>
              <w:t>2428140</w:t>
            </w:r>
          </w:p>
        </w:tc>
      </w:tr>
      <w:tr w:rsidR="004047C2" w:rsidRPr="004047C2" w14:paraId="1FFD374D" w14:textId="77777777" w:rsidTr="004047C2">
        <w:trPr>
          <w:trHeight w:val="406"/>
          <w:jc w:val="center"/>
        </w:trPr>
        <w:tc>
          <w:tcPr>
            <w:tcW w:w="2271" w:type="dxa"/>
            <w:vAlign w:val="center"/>
          </w:tcPr>
          <w:p w14:paraId="329BB506" w14:textId="77777777" w:rsidR="004047C2" w:rsidRPr="004047C2" w:rsidRDefault="004047C2" w:rsidP="004047C2">
            <w:pPr>
              <w:suppressAutoHyphens w:val="0"/>
              <w:autoSpaceDN/>
              <w:spacing w:before="100" w:beforeAutospacing="1" w:after="100" w:afterAutospacing="1" w:line="240" w:lineRule="auto"/>
              <w:jc w:val="left"/>
              <w:rPr>
                <w:rFonts w:cs="Arial"/>
                <w:b/>
                <w:bCs/>
                <w:kern w:val="0"/>
                <w:sz w:val="20"/>
                <w:szCs w:val="20"/>
                <w:lang w:eastAsia="en-US"/>
              </w:rPr>
            </w:pPr>
            <w:r w:rsidRPr="004047C2">
              <w:rPr>
                <w:rFonts w:cs="Arial"/>
                <w:b/>
                <w:bCs/>
                <w:kern w:val="0"/>
                <w:sz w:val="20"/>
                <w:szCs w:val="20"/>
                <w:lang w:eastAsia="en-US"/>
              </w:rPr>
              <w:t xml:space="preserve">Programme of Study: </w:t>
            </w:r>
          </w:p>
        </w:tc>
        <w:tc>
          <w:tcPr>
            <w:tcW w:w="2694" w:type="dxa"/>
            <w:vAlign w:val="center"/>
          </w:tcPr>
          <w:p w14:paraId="1A7C866B" w14:textId="47EE5CE1" w:rsidR="004047C2" w:rsidRPr="004047C2" w:rsidRDefault="0049192E" w:rsidP="004047C2">
            <w:pPr>
              <w:suppressAutoHyphens w:val="0"/>
              <w:autoSpaceDN/>
              <w:spacing w:before="100" w:beforeAutospacing="1" w:after="100" w:afterAutospacing="1" w:line="240" w:lineRule="auto"/>
              <w:jc w:val="left"/>
              <w:rPr>
                <w:rFonts w:cs="Arial"/>
                <w:bCs/>
                <w:kern w:val="0"/>
                <w:sz w:val="20"/>
                <w:szCs w:val="20"/>
                <w:lang w:eastAsia="en-US"/>
              </w:rPr>
            </w:pPr>
            <w:r>
              <w:rPr>
                <w:rFonts w:cs="Arial"/>
                <w:bCs/>
                <w:kern w:val="0"/>
                <w:sz w:val="20"/>
                <w:szCs w:val="20"/>
                <w:lang w:eastAsia="en-US"/>
              </w:rPr>
              <w:t xml:space="preserve">MSc Public health and social care in practice </w:t>
            </w:r>
          </w:p>
        </w:tc>
        <w:tc>
          <w:tcPr>
            <w:tcW w:w="1905" w:type="dxa"/>
            <w:vAlign w:val="center"/>
          </w:tcPr>
          <w:p w14:paraId="363D652D" w14:textId="77777777" w:rsidR="004047C2" w:rsidRPr="004047C2" w:rsidRDefault="004047C2" w:rsidP="004047C2">
            <w:pPr>
              <w:suppressAutoHyphens w:val="0"/>
              <w:autoSpaceDN/>
              <w:spacing w:before="100" w:beforeAutospacing="1" w:after="100" w:afterAutospacing="1" w:line="240" w:lineRule="auto"/>
              <w:jc w:val="left"/>
              <w:rPr>
                <w:rFonts w:cs="Arial"/>
                <w:b/>
                <w:bCs/>
                <w:kern w:val="0"/>
                <w:sz w:val="20"/>
                <w:szCs w:val="20"/>
                <w:lang w:eastAsia="en-US"/>
              </w:rPr>
            </w:pPr>
            <w:r w:rsidRPr="004047C2">
              <w:rPr>
                <w:rFonts w:cs="Arial"/>
                <w:b/>
                <w:bCs/>
                <w:kern w:val="0"/>
                <w:sz w:val="20"/>
                <w:szCs w:val="20"/>
                <w:lang w:eastAsia="en-US"/>
              </w:rPr>
              <w:t>Campus:</w:t>
            </w:r>
          </w:p>
        </w:tc>
        <w:tc>
          <w:tcPr>
            <w:tcW w:w="2799" w:type="dxa"/>
            <w:vAlign w:val="center"/>
          </w:tcPr>
          <w:p w14:paraId="6C5F52ED" w14:textId="47D114F2" w:rsidR="004047C2" w:rsidRPr="004047C2" w:rsidRDefault="0049192E" w:rsidP="004047C2">
            <w:pPr>
              <w:suppressAutoHyphens w:val="0"/>
              <w:autoSpaceDN/>
              <w:spacing w:before="100" w:beforeAutospacing="1" w:after="100" w:afterAutospacing="1" w:line="240" w:lineRule="auto"/>
              <w:jc w:val="left"/>
              <w:rPr>
                <w:rFonts w:cs="Arial"/>
                <w:bCs/>
                <w:kern w:val="0"/>
                <w:sz w:val="20"/>
                <w:szCs w:val="20"/>
                <w:lang w:eastAsia="en-US"/>
              </w:rPr>
            </w:pPr>
            <w:r>
              <w:rPr>
                <w:rFonts w:cs="Arial"/>
                <w:bCs/>
                <w:kern w:val="0"/>
                <w:sz w:val="20"/>
                <w:szCs w:val="20"/>
                <w:lang w:eastAsia="en-US"/>
              </w:rPr>
              <w:t>London</w:t>
            </w:r>
          </w:p>
        </w:tc>
      </w:tr>
      <w:tr w:rsidR="004047C2" w:rsidRPr="004047C2" w14:paraId="7311C202" w14:textId="77777777" w:rsidTr="004047C2">
        <w:trPr>
          <w:trHeight w:val="406"/>
          <w:jc w:val="center"/>
        </w:trPr>
        <w:tc>
          <w:tcPr>
            <w:tcW w:w="2271" w:type="dxa"/>
            <w:vAlign w:val="center"/>
          </w:tcPr>
          <w:p w14:paraId="503F3959" w14:textId="77777777" w:rsidR="004047C2" w:rsidRPr="004047C2" w:rsidRDefault="004047C2" w:rsidP="004047C2">
            <w:pPr>
              <w:suppressAutoHyphens w:val="0"/>
              <w:autoSpaceDN/>
              <w:spacing w:before="100" w:beforeAutospacing="1" w:after="100" w:afterAutospacing="1" w:line="240" w:lineRule="auto"/>
              <w:rPr>
                <w:rFonts w:cs="Arial"/>
                <w:b/>
                <w:bCs/>
                <w:kern w:val="0"/>
                <w:sz w:val="20"/>
                <w:szCs w:val="20"/>
                <w:lang w:eastAsia="en-US"/>
              </w:rPr>
            </w:pPr>
            <w:r w:rsidRPr="004047C2">
              <w:rPr>
                <w:rFonts w:cs="Arial"/>
                <w:b/>
                <w:bCs/>
                <w:kern w:val="0"/>
                <w:sz w:val="20"/>
                <w:szCs w:val="20"/>
                <w:lang w:eastAsia="en-US"/>
              </w:rPr>
              <w:t xml:space="preserve">Institute/Academic Discipline/Centre: </w:t>
            </w:r>
          </w:p>
        </w:tc>
        <w:tc>
          <w:tcPr>
            <w:tcW w:w="2694" w:type="dxa"/>
            <w:vAlign w:val="center"/>
          </w:tcPr>
          <w:p w14:paraId="2487E3E6" w14:textId="60DEA81B" w:rsidR="004047C2" w:rsidRPr="004047C2" w:rsidRDefault="0049192E" w:rsidP="004047C2">
            <w:pPr>
              <w:suppressAutoHyphens w:val="0"/>
              <w:autoSpaceDN/>
              <w:spacing w:before="100" w:beforeAutospacing="1" w:after="100" w:afterAutospacing="1" w:line="240" w:lineRule="auto"/>
              <w:jc w:val="left"/>
              <w:rPr>
                <w:rFonts w:cs="Arial"/>
                <w:bCs/>
                <w:kern w:val="0"/>
                <w:sz w:val="20"/>
                <w:szCs w:val="20"/>
                <w:lang w:eastAsia="en-US"/>
              </w:rPr>
            </w:pPr>
            <w:r>
              <w:rPr>
                <w:rFonts w:cs="Arial"/>
                <w:bCs/>
                <w:kern w:val="0"/>
                <w:sz w:val="20"/>
                <w:szCs w:val="20"/>
                <w:lang w:eastAsia="en-US"/>
              </w:rPr>
              <w:t>University of Wales Trinity Saint and Devid</w:t>
            </w:r>
          </w:p>
        </w:tc>
        <w:tc>
          <w:tcPr>
            <w:tcW w:w="1905" w:type="dxa"/>
            <w:vAlign w:val="center"/>
          </w:tcPr>
          <w:p w14:paraId="0C3EBCDC" w14:textId="77777777" w:rsidR="004047C2" w:rsidRPr="004047C2" w:rsidRDefault="004047C2" w:rsidP="004047C2">
            <w:pPr>
              <w:suppressAutoHyphens w:val="0"/>
              <w:autoSpaceDN/>
              <w:spacing w:before="100" w:beforeAutospacing="1" w:after="100" w:afterAutospacing="1" w:line="240" w:lineRule="auto"/>
              <w:jc w:val="left"/>
              <w:rPr>
                <w:rFonts w:cs="Arial"/>
                <w:b/>
                <w:bCs/>
                <w:kern w:val="0"/>
                <w:sz w:val="20"/>
                <w:szCs w:val="20"/>
                <w:lang w:eastAsia="en-US"/>
              </w:rPr>
            </w:pPr>
            <w:r w:rsidRPr="004047C2">
              <w:rPr>
                <w:rFonts w:cs="Arial"/>
                <w:b/>
                <w:bCs/>
                <w:kern w:val="0"/>
                <w:sz w:val="20"/>
                <w:szCs w:val="20"/>
                <w:lang w:eastAsia="en-US"/>
              </w:rPr>
              <w:t>Module Code:</w:t>
            </w:r>
          </w:p>
        </w:tc>
        <w:tc>
          <w:tcPr>
            <w:tcW w:w="2799" w:type="dxa"/>
            <w:vAlign w:val="center"/>
          </w:tcPr>
          <w:p w14:paraId="5DDFF047" w14:textId="692E56D2" w:rsidR="004047C2" w:rsidRPr="004047C2" w:rsidRDefault="0049192E" w:rsidP="004047C2">
            <w:pPr>
              <w:suppressAutoHyphens w:val="0"/>
              <w:autoSpaceDN/>
              <w:spacing w:before="100" w:beforeAutospacing="1" w:after="100" w:afterAutospacing="1" w:line="240" w:lineRule="auto"/>
              <w:jc w:val="left"/>
              <w:rPr>
                <w:rFonts w:cs="Arial"/>
                <w:bCs/>
                <w:kern w:val="0"/>
                <w:sz w:val="20"/>
                <w:szCs w:val="20"/>
                <w:lang w:eastAsia="en-US"/>
              </w:rPr>
            </w:pPr>
            <w:r>
              <w:rPr>
                <w:rFonts w:cs="Arial"/>
                <w:bCs/>
                <w:kern w:val="0"/>
                <w:sz w:val="20"/>
                <w:szCs w:val="20"/>
                <w:lang w:eastAsia="en-US"/>
              </w:rPr>
              <w:t>LCHS7004_LON</w:t>
            </w:r>
          </w:p>
        </w:tc>
      </w:tr>
      <w:tr w:rsidR="004047C2" w:rsidRPr="004047C2" w14:paraId="72FFC288" w14:textId="77777777" w:rsidTr="004047C2">
        <w:trPr>
          <w:trHeight w:val="406"/>
          <w:jc w:val="center"/>
        </w:trPr>
        <w:tc>
          <w:tcPr>
            <w:tcW w:w="2271" w:type="dxa"/>
            <w:vAlign w:val="center"/>
          </w:tcPr>
          <w:p w14:paraId="0B4CCE5A" w14:textId="77777777" w:rsidR="004047C2" w:rsidRPr="004047C2" w:rsidRDefault="004047C2" w:rsidP="004047C2">
            <w:pPr>
              <w:suppressAutoHyphens w:val="0"/>
              <w:autoSpaceDN/>
              <w:spacing w:before="100" w:beforeAutospacing="1" w:after="100" w:afterAutospacing="1" w:line="240" w:lineRule="auto"/>
              <w:rPr>
                <w:rFonts w:cs="Arial"/>
                <w:b/>
                <w:bCs/>
                <w:kern w:val="0"/>
                <w:sz w:val="20"/>
                <w:szCs w:val="20"/>
                <w:lang w:eastAsia="en-US"/>
              </w:rPr>
            </w:pPr>
            <w:r w:rsidRPr="004047C2">
              <w:rPr>
                <w:rFonts w:cs="Arial"/>
                <w:b/>
                <w:bCs/>
                <w:kern w:val="0"/>
                <w:sz w:val="20"/>
                <w:szCs w:val="20"/>
                <w:lang w:eastAsia="en-US"/>
              </w:rPr>
              <w:t>Mode of study:</w:t>
            </w:r>
          </w:p>
        </w:tc>
        <w:tc>
          <w:tcPr>
            <w:tcW w:w="2694" w:type="dxa"/>
            <w:vAlign w:val="center"/>
          </w:tcPr>
          <w:p w14:paraId="1C94FD55" w14:textId="31C5B84B" w:rsidR="004047C2" w:rsidRPr="004047C2" w:rsidRDefault="004047C2" w:rsidP="004047C2">
            <w:pPr>
              <w:suppressAutoHyphens w:val="0"/>
              <w:autoSpaceDN/>
              <w:spacing w:before="100" w:beforeAutospacing="1" w:after="100" w:afterAutospacing="1" w:line="240" w:lineRule="auto"/>
              <w:jc w:val="center"/>
              <w:rPr>
                <w:rFonts w:cs="Arial"/>
                <w:bCs/>
                <w:kern w:val="0"/>
                <w:sz w:val="20"/>
                <w:szCs w:val="20"/>
                <w:lang w:eastAsia="en-US"/>
              </w:rPr>
            </w:pPr>
            <w:r w:rsidRPr="004047C2">
              <w:rPr>
                <w:rFonts w:cs="Arial"/>
                <w:bCs/>
                <w:kern w:val="0"/>
                <w:sz w:val="20"/>
                <w:szCs w:val="20"/>
                <w:lang w:eastAsia="en-US"/>
              </w:rPr>
              <w:t xml:space="preserve">Full-time </w:t>
            </w:r>
          </w:p>
        </w:tc>
        <w:tc>
          <w:tcPr>
            <w:tcW w:w="1905" w:type="dxa"/>
            <w:vAlign w:val="center"/>
          </w:tcPr>
          <w:p w14:paraId="1AC766EB" w14:textId="77777777" w:rsidR="004047C2" w:rsidRPr="004047C2" w:rsidRDefault="004047C2" w:rsidP="004047C2">
            <w:pPr>
              <w:suppressAutoHyphens w:val="0"/>
              <w:autoSpaceDN/>
              <w:spacing w:before="100" w:beforeAutospacing="1" w:after="100" w:afterAutospacing="1" w:line="240" w:lineRule="auto"/>
              <w:jc w:val="left"/>
              <w:rPr>
                <w:rFonts w:cs="Arial"/>
                <w:b/>
                <w:bCs/>
                <w:kern w:val="0"/>
                <w:sz w:val="20"/>
                <w:szCs w:val="20"/>
                <w:lang w:eastAsia="en-US"/>
              </w:rPr>
            </w:pPr>
            <w:r w:rsidRPr="004047C2">
              <w:rPr>
                <w:rFonts w:cs="Arial"/>
                <w:b/>
                <w:bCs/>
                <w:kern w:val="0"/>
                <w:sz w:val="20"/>
                <w:szCs w:val="20"/>
                <w:lang w:eastAsia="en-US"/>
              </w:rPr>
              <w:t>Method of study:</w:t>
            </w:r>
          </w:p>
        </w:tc>
        <w:tc>
          <w:tcPr>
            <w:tcW w:w="2799" w:type="dxa"/>
            <w:vAlign w:val="center"/>
          </w:tcPr>
          <w:p w14:paraId="6EC41252" w14:textId="4EB30A33" w:rsidR="004047C2" w:rsidRPr="004047C2" w:rsidRDefault="004047C2" w:rsidP="004047C2">
            <w:pPr>
              <w:suppressAutoHyphens w:val="0"/>
              <w:autoSpaceDN/>
              <w:spacing w:before="100" w:beforeAutospacing="1" w:after="100" w:afterAutospacing="1" w:line="240" w:lineRule="auto"/>
              <w:jc w:val="left"/>
              <w:rPr>
                <w:rFonts w:cs="Arial"/>
                <w:bCs/>
                <w:kern w:val="0"/>
                <w:sz w:val="20"/>
                <w:szCs w:val="20"/>
                <w:lang w:eastAsia="en-US"/>
              </w:rPr>
            </w:pPr>
            <w:r w:rsidRPr="004047C2">
              <w:rPr>
                <w:rFonts w:cs="Arial"/>
                <w:bCs/>
                <w:kern w:val="0"/>
                <w:sz w:val="20"/>
                <w:szCs w:val="20"/>
                <w:lang w:eastAsia="en-US"/>
              </w:rPr>
              <w:t xml:space="preserve">Campus based </w:t>
            </w:r>
          </w:p>
        </w:tc>
      </w:tr>
    </w:tbl>
    <w:p w14:paraId="58D6C714" w14:textId="77777777" w:rsidR="004047C2" w:rsidRPr="004047C2" w:rsidRDefault="004047C2" w:rsidP="004047C2">
      <w:pPr>
        <w:tabs>
          <w:tab w:val="left" w:pos="5103"/>
        </w:tabs>
        <w:suppressAutoHyphens w:val="0"/>
        <w:autoSpaceDN/>
        <w:spacing w:after="0" w:line="240" w:lineRule="auto"/>
        <w:ind w:right="282"/>
        <w:jc w:val="left"/>
        <w:rPr>
          <w:rFonts w:cs="Arial"/>
          <w:kern w:val="0"/>
          <w:sz w:val="22"/>
          <w:lang w:eastAsia="en-US"/>
        </w:rPr>
      </w:pPr>
    </w:p>
    <w:tbl>
      <w:tblPr>
        <w:tblW w:w="10789"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720"/>
        <w:gridCol w:w="8069"/>
      </w:tblGrid>
      <w:tr w:rsidR="004047C2" w:rsidRPr="004047C2" w14:paraId="261DF7FB" w14:textId="77777777" w:rsidTr="0049192E">
        <w:trPr>
          <w:trHeight w:val="526"/>
        </w:trPr>
        <w:tc>
          <w:tcPr>
            <w:tcW w:w="2720" w:type="dxa"/>
            <w:vAlign w:val="center"/>
          </w:tcPr>
          <w:p w14:paraId="42A024DB" w14:textId="77777777" w:rsidR="004047C2" w:rsidRPr="004047C2" w:rsidRDefault="004047C2" w:rsidP="004047C2">
            <w:pPr>
              <w:suppressAutoHyphens w:val="0"/>
              <w:autoSpaceDN/>
              <w:spacing w:before="100" w:beforeAutospacing="1" w:after="100" w:afterAutospacing="1" w:line="240" w:lineRule="auto"/>
              <w:jc w:val="left"/>
              <w:rPr>
                <w:rFonts w:cs="Arial"/>
                <w:b/>
                <w:bCs/>
                <w:kern w:val="0"/>
                <w:sz w:val="22"/>
                <w:lang w:eastAsia="en-US"/>
              </w:rPr>
            </w:pPr>
            <w:r w:rsidRPr="004047C2">
              <w:rPr>
                <w:rFonts w:cs="Arial"/>
                <w:b/>
                <w:bCs/>
                <w:kern w:val="0"/>
                <w:sz w:val="22"/>
                <w:lang w:eastAsia="en-US"/>
              </w:rPr>
              <w:t>Dissertation Title:</w:t>
            </w:r>
          </w:p>
        </w:tc>
        <w:tc>
          <w:tcPr>
            <w:tcW w:w="8069" w:type="dxa"/>
            <w:vAlign w:val="center"/>
          </w:tcPr>
          <w:p w14:paraId="14B2B031" w14:textId="137D0F35" w:rsidR="004047C2" w:rsidRPr="00410E48" w:rsidRDefault="0049192E" w:rsidP="00410E48">
            <w:pPr>
              <w:spacing w:after="157"/>
              <w:ind w:left="89"/>
              <w:rPr>
                <w:rFonts w:ascii="Times New Roman" w:hAnsi="Times New Roman"/>
                <w:color w:val="000000" w:themeColor="text1"/>
                <w:sz w:val="22"/>
              </w:rPr>
            </w:pPr>
            <w:r w:rsidRPr="00410E48">
              <w:rPr>
                <w:rFonts w:ascii="Times New Roman" w:hAnsi="Times New Roman"/>
                <w:color w:val="000000" w:themeColor="text1"/>
                <w:sz w:val="22"/>
                <w:lang w:val="en-US"/>
              </w:rPr>
              <w:t>Exploring the Effectiveness of Culturally Competent Care in Reducing Health Inequalities among Ethnic Minority Communities in the UK: A Systematic Literature Review</w:t>
            </w:r>
          </w:p>
        </w:tc>
      </w:tr>
      <w:tr w:rsidR="004047C2" w:rsidRPr="004047C2" w14:paraId="5F79D310" w14:textId="77777777" w:rsidTr="0049192E">
        <w:trPr>
          <w:trHeight w:val="526"/>
        </w:trPr>
        <w:tc>
          <w:tcPr>
            <w:tcW w:w="2720" w:type="dxa"/>
            <w:vAlign w:val="center"/>
          </w:tcPr>
          <w:p w14:paraId="66BF2A27" w14:textId="2050170B" w:rsidR="004047C2" w:rsidRPr="004047C2" w:rsidRDefault="004047C2" w:rsidP="004047C2">
            <w:pPr>
              <w:suppressAutoHyphens w:val="0"/>
              <w:autoSpaceDN/>
              <w:spacing w:before="100" w:beforeAutospacing="1" w:after="100" w:afterAutospacing="1" w:line="240" w:lineRule="auto"/>
              <w:jc w:val="left"/>
              <w:rPr>
                <w:rFonts w:cs="Arial"/>
                <w:b/>
                <w:bCs/>
                <w:kern w:val="0"/>
                <w:sz w:val="22"/>
                <w:lang w:eastAsia="en-US"/>
              </w:rPr>
            </w:pPr>
            <w:r w:rsidRPr="004047C2">
              <w:rPr>
                <w:rFonts w:cs="Arial"/>
                <w:b/>
                <w:bCs/>
                <w:kern w:val="0"/>
                <w:sz w:val="22"/>
                <w:lang w:eastAsia="en-US"/>
              </w:rPr>
              <w:t xml:space="preserve">Dissertation </w:t>
            </w:r>
            <w:r w:rsidR="0049192E" w:rsidRPr="004047C2">
              <w:rPr>
                <w:rFonts w:cs="Arial"/>
                <w:b/>
                <w:bCs/>
                <w:kern w:val="0"/>
                <w:sz w:val="22"/>
                <w:lang w:eastAsia="en-US"/>
              </w:rPr>
              <w:t>Supervisor</w:t>
            </w:r>
            <w:r w:rsidRPr="004047C2">
              <w:rPr>
                <w:rFonts w:cs="Arial"/>
                <w:b/>
                <w:bCs/>
                <w:kern w:val="0"/>
                <w:sz w:val="22"/>
                <w:lang w:eastAsia="en-US"/>
              </w:rPr>
              <w:t xml:space="preserve">: </w:t>
            </w:r>
          </w:p>
        </w:tc>
        <w:tc>
          <w:tcPr>
            <w:tcW w:w="8069" w:type="dxa"/>
            <w:vAlign w:val="center"/>
          </w:tcPr>
          <w:p w14:paraId="4EC10F6E" w14:textId="56105246" w:rsidR="004047C2" w:rsidRPr="00410E48" w:rsidRDefault="0049192E" w:rsidP="004047C2">
            <w:pPr>
              <w:suppressAutoHyphens w:val="0"/>
              <w:autoSpaceDN/>
              <w:spacing w:before="100" w:beforeAutospacing="1" w:after="100" w:afterAutospacing="1" w:line="240" w:lineRule="auto"/>
              <w:jc w:val="left"/>
              <w:rPr>
                <w:rFonts w:ascii="Times New Roman" w:hAnsi="Times New Roman"/>
                <w:bCs/>
                <w:kern w:val="0"/>
                <w:sz w:val="22"/>
                <w:lang w:eastAsia="en-US"/>
              </w:rPr>
            </w:pPr>
            <w:r w:rsidRPr="00410E48">
              <w:rPr>
                <w:rFonts w:ascii="Times New Roman" w:hAnsi="Times New Roman"/>
                <w:bCs/>
                <w:kern w:val="0"/>
                <w:sz w:val="22"/>
                <w:lang w:eastAsia="en-US"/>
              </w:rPr>
              <w:t>Shaila Hussain</w:t>
            </w:r>
          </w:p>
        </w:tc>
      </w:tr>
      <w:tr w:rsidR="004047C2" w:rsidRPr="004047C2" w14:paraId="393C3B62" w14:textId="77777777" w:rsidTr="0049192E">
        <w:trPr>
          <w:trHeight w:val="526"/>
        </w:trPr>
        <w:tc>
          <w:tcPr>
            <w:tcW w:w="2720" w:type="dxa"/>
            <w:vAlign w:val="center"/>
          </w:tcPr>
          <w:p w14:paraId="5FA3006D" w14:textId="77777777" w:rsidR="004047C2" w:rsidRPr="004047C2" w:rsidRDefault="004047C2" w:rsidP="004047C2">
            <w:pPr>
              <w:suppressAutoHyphens w:val="0"/>
              <w:autoSpaceDN/>
              <w:spacing w:before="100" w:beforeAutospacing="1" w:after="100" w:afterAutospacing="1" w:line="240" w:lineRule="auto"/>
              <w:rPr>
                <w:rFonts w:cs="Arial"/>
                <w:b/>
                <w:bCs/>
                <w:kern w:val="0"/>
                <w:sz w:val="22"/>
                <w:lang w:eastAsia="en-US"/>
              </w:rPr>
            </w:pPr>
            <w:r w:rsidRPr="004047C2">
              <w:rPr>
                <w:rFonts w:cs="Arial"/>
                <w:b/>
                <w:bCs/>
                <w:kern w:val="0"/>
                <w:sz w:val="22"/>
                <w:lang w:eastAsia="en-US"/>
              </w:rPr>
              <w:t xml:space="preserve">Programme Manager: </w:t>
            </w:r>
          </w:p>
        </w:tc>
        <w:tc>
          <w:tcPr>
            <w:tcW w:w="8069" w:type="dxa"/>
            <w:vAlign w:val="center"/>
          </w:tcPr>
          <w:p w14:paraId="0B5439DB" w14:textId="529EABD3" w:rsidR="004047C2" w:rsidRPr="00410E48" w:rsidRDefault="00CA024B" w:rsidP="004047C2">
            <w:pPr>
              <w:suppressAutoHyphens w:val="0"/>
              <w:autoSpaceDN/>
              <w:spacing w:before="100" w:beforeAutospacing="1" w:after="100" w:afterAutospacing="1" w:line="240" w:lineRule="auto"/>
              <w:jc w:val="left"/>
              <w:rPr>
                <w:rFonts w:ascii="Times New Roman" w:hAnsi="Times New Roman"/>
                <w:bCs/>
                <w:kern w:val="0"/>
                <w:sz w:val="22"/>
                <w:lang w:eastAsia="en-US"/>
              </w:rPr>
            </w:pPr>
            <w:r w:rsidRPr="00410E48">
              <w:rPr>
                <w:rFonts w:ascii="Times New Roman" w:hAnsi="Times New Roman"/>
                <w:bCs/>
                <w:kern w:val="0"/>
                <w:sz w:val="22"/>
                <w:lang w:eastAsia="en-US"/>
              </w:rPr>
              <w:t>Diola Bijlhout</w:t>
            </w:r>
          </w:p>
        </w:tc>
      </w:tr>
    </w:tbl>
    <w:p w14:paraId="56BEFA9D" w14:textId="77777777" w:rsidR="004047C2" w:rsidRPr="004047C2" w:rsidRDefault="004047C2" w:rsidP="004047C2">
      <w:pPr>
        <w:suppressAutoHyphens w:val="0"/>
        <w:autoSpaceDN/>
        <w:spacing w:after="0" w:line="240" w:lineRule="auto"/>
        <w:jc w:val="left"/>
        <w:rPr>
          <w:rFonts w:cs="Arial"/>
          <w:b/>
          <w:bCs/>
          <w:kern w:val="0"/>
          <w:sz w:val="22"/>
          <w:lang w:eastAsia="en-US"/>
        </w:rPr>
      </w:pPr>
    </w:p>
    <w:p w14:paraId="77A134F8" w14:textId="77777777" w:rsidR="004047C2" w:rsidRPr="004047C2" w:rsidRDefault="004047C2" w:rsidP="004047C2">
      <w:pPr>
        <w:suppressAutoHyphens w:val="0"/>
        <w:autoSpaceDN/>
        <w:spacing w:after="0" w:line="240" w:lineRule="auto"/>
        <w:ind w:left="720" w:hanging="720"/>
        <w:jc w:val="center"/>
        <w:rPr>
          <w:rFonts w:cs="Arial"/>
          <w:b/>
          <w:bCs/>
          <w:kern w:val="0"/>
          <w:szCs w:val="24"/>
          <w:lang w:eastAsia="en-US"/>
        </w:rPr>
      </w:pPr>
      <w:r w:rsidRPr="004047C2">
        <w:rPr>
          <w:rFonts w:cs="Arial"/>
          <w:b/>
          <w:bCs/>
          <w:kern w:val="0"/>
          <w:szCs w:val="24"/>
          <w:lang w:eastAsia="en-US"/>
        </w:rPr>
        <w:t>SUPERVISION RECORD</w:t>
      </w:r>
    </w:p>
    <w:tbl>
      <w:tblPr>
        <w:tblpPr w:leftFromText="180" w:rightFromText="180" w:vertAnchor="text" w:horzAnchor="margin" w:tblpXSpec="center" w:tblpY="114"/>
        <w:tblW w:w="10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1054"/>
        <w:gridCol w:w="3402"/>
        <w:gridCol w:w="1532"/>
        <w:gridCol w:w="951"/>
        <w:gridCol w:w="1344"/>
        <w:gridCol w:w="608"/>
      </w:tblGrid>
      <w:tr w:rsidR="004047C2" w:rsidRPr="004047C2" w14:paraId="3D1835B9" w14:textId="77777777" w:rsidTr="00410E48">
        <w:trPr>
          <w:cantSplit/>
          <w:trHeight w:val="496"/>
          <w:tblHeader/>
        </w:trPr>
        <w:tc>
          <w:tcPr>
            <w:tcW w:w="1351" w:type="dxa"/>
            <w:vAlign w:val="center"/>
          </w:tcPr>
          <w:p w14:paraId="0347F932" w14:textId="77777777" w:rsidR="004047C2" w:rsidRPr="004047C2" w:rsidRDefault="004047C2" w:rsidP="004047C2">
            <w:pPr>
              <w:suppressAutoHyphens w:val="0"/>
              <w:autoSpaceDN/>
              <w:spacing w:after="0" w:line="240" w:lineRule="auto"/>
              <w:jc w:val="left"/>
              <w:rPr>
                <w:rFonts w:cs="Arial"/>
                <w:b/>
                <w:bCs/>
                <w:kern w:val="0"/>
                <w:sz w:val="20"/>
                <w:szCs w:val="20"/>
                <w:lang w:eastAsia="en-US"/>
              </w:rPr>
            </w:pPr>
            <w:r w:rsidRPr="004047C2">
              <w:rPr>
                <w:rFonts w:cs="Arial"/>
                <w:b/>
                <w:bCs/>
                <w:kern w:val="0"/>
                <w:sz w:val="20"/>
                <w:szCs w:val="20"/>
                <w:lang w:eastAsia="en-US"/>
              </w:rPr>
              <w:t>Date of meeting</w:t>
            </w:r>
          </w:p>
        </w:tc>
        <w:tc>
          <w:tcPr>
            <w:tcW w:w="1054" w:type="dxa"/>
            <w:vAlign w:val="center"/>
          </w:tcPr>
          <w:p w14:paraId="7B2FA5E3" w14:textId="77777777" w:rsidR="004047C2" w:rsidRPr="004047C2" w:rsidRDefault="004047C2" w:rsidP="004047C2">
            <w:pPr>
              <w:suppressAutoHyphens w:val="0"/>
              <w:autoSpaceDN/>
              <w:spacing w:after="0" w:line="240" w:lineRule="auto"/>
              <w:jc w:val="left"/>
              <w:rPr>
                <w:rFonts w:cs="Arial"/>
                <w:b/>
                <w:bCs/>
                <w:kern w:val="0"/>
                <w:sz w:val="20"/>
                <w:szCs w:val="20"/>
                <w:lang w:eastAsia="en-US"/>
              </w:rPr>
            </w:pPr>
            <w:r w:rsidRPr="004047C2">
              <w:rPr>
                <w:rFonts w:cs="Arial"/>
                <w:b/>
                <w:bCs/>
                <w:kern w:val="0"/>
                <w:sz w:val="20"/>
                <w:szCs w:val="20"/>
                <w:lang w:eastAsia="en-US"/>
              </w:rPr>
              <w:t>Type of meeting</w:t>
            </w:r>
          </w:p>
        </w:tc>
        <w:tc>
          <w:tcPr>
            <w:tcW w:w="3402" w:type="dxa"/>
            <w:vAlign w:val="center"/>
          </w:tcPr>
          <w:p w14:paraId="6DFBF48B" w14:textId="77777777" w:rsidR="004047C2" w:rsidRPr="004047C2" w:rsidRDefault="004047C2" w:rsidP="004047C2">
            <w:pPr>
              <w:suppressAutoHyphens w:val="0"/>
              <w:autoSpaceDN/>
              <w:spacing w:after="0" w:line="240" w:lineRule="auto"/>
              <w:jc w:val="left"/>
              <w:rPr>
                <w:rFonts w:cs="Arial"/>
                <w:b/>
                <w:bCs/>
                <w:kern w:val="0"/>
                <w:sz w:val="20"/>
                <w:szCs w:val="20"/>
                <w:lang w:eastAsia="en-US"/>
              </w:rPr>
            </w:pPr>
            <w:r w:rsidRPr="004047C2">
              <w:rPr>
                <w:rFonts w:cs="Arial"/>
                <w:b/>
                <w:bCs/>
                <w:kern w:val="0"/>
                <w:sz w:val="20"/>
                <w:szCs w:val="20"/>
                <w:lang w:eastAsia="en-US"/>
              </w:rPr>
              <w:t>Summary of outcomes</w:t>
            </w:r>
          </w:p>
        </w:tc>
        <w:tc>
          <w:tcPr>
            <w:tcW w:w="1532" w:type="dxa"/>
            <w:vAlign w:val="center"/>
          </w:tcPr>
          <w:p w14:paraId="75E16BA8" w14:textId="77777777" w:rsidR="004047C2" w:rsidRPr="004047C2" w:rsidRDefault="004047C2" w:rsidP="004047C2">
            <w:pPr>
              <w:suppressAutoHyphens w:val="0"/>
              <w:autoSpaceDN/>
              <w:spacing w:after="0" w:line="240" w:lineRule="auto"/>
              <w:jc w:val="left"/>
              <w:rPr>
                <w:rFonts w:cs="Arial"/>
                <w:b/>
                <w:bCs/>
                <w:kern w:val="0"/>
                <w:sz w:val="20"/>
                <w:szCs w:val="20"/>
                <w:lang w:eastAsia="en-US"/>
              </w:rPr>
            </w:pPr>
            <w:r w:rsidRPr="004047C2">
              <w:rPr>
                <w:rFonts w:cs="Arial"/>
                <w:b/>
                <w:bCs/>
                <w:kern w:val="0"/>
                <w:sz w:val="20"/>
                <w:szCs w:val="20"/>
                <w:lang w:eastAsia="en-US"/>
              </w:rPr>
              <w:t>Student</w:t>
            </w:r>
          </w:p>
        </w:tc>
        <w:tc>
          <w:tcPr>
            <w:tcW w:w="951" w:type="dxa"/>
            <w:vAlign w:val="center"/>
          </w:tcPr>
          <w:p w14:paraId="63EC1346" w14:textId="77777777" w:rsidR="004047C2" w:rsidRPr="004047C2" w:rsidRDefault="004047C2" w:rsidP="004047C2">
            <w:pPr>
              <w:suppressAutoHyphens w:val="0"/>
              <w:autoSpaceDN/>
              <w:spacing w:after="0" w:line="240" w:lineRule="auto"/>
              <w:jc w:val="left"/>
              <w:rPr>
                <w:rFonts w:cs="Arial"/>
                <w:b/>
                <w:bCs/>
                <w:kern w:val="0"/>
                <w:sz w:val="20"/>
                <w:szCs w:val="20"/>
                <w:lang w:eastAsia="en-US"/>
              </w:rPr>
            </w:pPr>
            <w:r w:rsidRPr="004047C2">
              <w:rPr>
                <w:rFonts w:cs="Arial"/>
                <w:b/>
                <w:bCs/>
                <w:kern w:val="0"/>
                <w:sz w:val="20"/>
                <w:szCs w:val="20"/>
                <w:lang w:eastAsia="en-US"/>
              </w:rPr>
              <w:t>Supervisor</w:t>
            </w:r>
          </w:p>
        </w:tc>
        <w:tc>
          <w:tcPr>
            <w:tcW w:w="1344" w:type="dxa"/>
            <w:vAlign w:val="center"/>
          </w:tcPr>
          <w:p w14:paraId="72AC5F62" w14:textId="77777777" w:rsidR="004047C2" w:rsidRPr="004047C2" w:rsidRDefault="004047C2" w:rsidP="004047C2">
            <w:pPr>
              <w:suppressAutoHyphens w:val="0"/>
              <w:autoSpaceDN/>
              <w:spacing w:after="0" w:line="240" w:lineRule="auto"/>
              <w:jc w:val="left"/>
              <w:rPr>
                <w:rFonts w:cs="Arial"/>
                <w:b/>
                <w:bCs/>
                <w:kern w:val="0"/>
                <w:sz w:val="20"/>
                <w:szCs w:val="20"/>
                <w:lang w:eastAsia="en-US"/>
              </w:rPr>
            </w:pPr>
            <w:r w:rsidRPr="004047C2">
              <w:rPr>
                <w:rFonts w:cs="Arial"/>
                <w:b/>
                <w:bCs/>
                <w:kern w:val="0"/>
                <w:sz w:val="20"/>
                <w:szCs w:val="20"/>
                <w:lang w:eastAsia="en-US"/>
              </w:rPr>
              <w:t>Duration of meeting</w:t>
            </w:r>
          </w:p>
        </w:tc>
        <w:tc>
          <w:tcPr>
            <w:tcW w:w="608" w:type="dxa"/>
            <w:vAlign w:val="center"/>
          </w:tcPr>
          <w:p w14:paraId="59D43593" w14:textId="77777777" w:rsidR="004047C2" w:rsidRPr="004047C2" w:rsidRDefault="004047C2" w:rsidP="004047C2">
            <w:pPr>
              <w:suppressAutoHyphens w:val="0"/>
              <w:autoSpaceDN/>
              <w:spacing w:after="0" w:line="240" w:lineRule="auto"/>
              <w:jc w:val="left"/>
              <w:rPr>
                <w:rFonts w:cs="Arial"/>
                <w:b/>
                <w:bCs/>
                <w:kern w:val="0"/>
                <w:sz w:val="20"/>
                <w:szCs w:val="20"/>
                <w:lang w:eastAsia="en-US"/>
              </w:rPr>
            </w:pPr>
            <w:r w:rsidRPr="004047C2">
              <w:rPr>
                <w:rFonts w:cs="Arial"/>
                <w:b/>
                <w:bCs/>
                <w:kern w:val="0"/>
                <w:sz w:val="20"/>
                <w:szCs w:val="20"/>
                <w:lang w:eastAsia="en-US"/>
              </w:rPr>
              <w:t>Running total</w:t>
            </w:r>
          </w:p>
        </w:tc>
      </w:tr>
      <w:tr w:rsidR="004047C2" w:rsidRPr="004047C2" w14:paraId="49B1964E" w14:textId="77777777" w:rsidTr="00410E48">
        <w:trPr>
          <w:cantSplit/>
          <w:trHeight w:val="1251"/>
        </w:trPr>
        <w:tc>
          <w:tcPr>
            <w:tcW w:w="1351" w:type="dxa"/>
            <w:vAlign w:val="center"/>
          </w:tcPr>
          <w:p w14:paraId="64D1D492" w14:textId="1FEED329" w:rsidR="004047C2" w:rsidRPr="004047C2" w:rsidRDefault="00E471BB" w:rsidP="004047C2">
            <w:pPr>
              <w:suppressAutoHyphens w:val="0"/>
              <w:autoSpaceDN/>
              <w:spacing w:after="0" w:line="240" w:lineRule="auto"/>
              <w:jc w:val="left"/>
              <w:rPr>
                <w:rFonts w:cs="Arial"/>
                <w:kern w:val="0"/>
                <w:sz w:val="20"/>
                <w:szCs w:val="20"/>
                <w:lang w:eastAsia="en-US"/>
              </w:rPr>
            </w:pPr>
            <w:r>
              <w:rPr>
                <w:rFonts w:cs="Arial"/>
                <w:kern w:val="0"/>
                <w:sz w:val="20"/>
                <w:szCs w:val="20"/>
                <w:lang w:eastAsia="en-US"/>
              </w:rPr>
              <w:t>19</w:t>
            </w:r>
            <w:r w:rsidR="00D77B75">
              <w:rPr>
                <w:rFonts w:cs="Arial"/>
                <w:kern w:val="0"/>
                <w:sz w:val="20"/>
                <w:szCs w:val="20"/>
                <w:lang w:eastAsia="en-US"/>
              </w:rPr>
              <w:t>/08/</w:t>
            </w:r>
            <w:r w:rsidR="00993FB2">
              <w:rPr>
                <w:rFonts w:cs="Arial"/>
                <w:kern w:val="0"/>
                <w:sz w:val="20"/>
                <w:szCs w:val="20"/>
                <w:lang w:eastAsia="en-US"/>
              </w:rPr>
              <w:t>/2026</w:t>
            </w:r>
          </w:p>
        </w:tc>
        <w:tc>
          <w:tcPr>
            <w:tcW w:w="1054" w:type="dxa"/>
            <w:vAlign w:val="center"/>
          </w:tcPr>
          <w:p w14:paraId="60D4C120" w14:textId="08E89973" w:rsidR="004047C2" w:rsidRPr="004047C2" w:rsidRDefault="00CA024B"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Group meeting</w:t>
            </w:r>
            <w:r w:rsidR="00993FB2">
              <w:rPr>
                <w:rFonts w:cs="Arial"/>
                <w:bCs/>
                <w:kern w:val="0"/>
                <w:sz w:val="20"/>
                <w:szCs w:val="20"/>
                <w:lang w:eastAsia="en-US"/>
              </w:rPr>
              <w:br/>
            </w:r>
            <w:r>
              <w:rPr>
                <w:rFonts w:cs="Arial"/>
                <w:bCs/>
                <w:kern w:val="0"/>
                <w:sz w:val="20"/>
                <w:szCs w:val="20"/>
                <w:lang w:eastAsia="en-US"/>
              </w:rPr>
              <w:t xml:space="preserve"> </w:t>
            </w:r>
            <w:r w:rsidR="00410E48">
              <w:rPr>
                <w:rFonts w:cs="Arial"/>
                <w:bCs/>
                <w:kern w:val="0"/>
                <w:sz w:val="20"/>
                <w:szCs w:val="20"/>
                <w:lang w:eastAsia="en-US"/>
              </w:rPr>
              <w:br/>
            </w:r>
          </w:p>
        </w:tc>
        <w:tc>
          <w:tcPr>
            <w:tcW w:w="3402" w:type="dxa"/>
            <w:vAlign w:val="center"/>
          </w:tcPr>
          <w:p w14:paraId="5D01CB87"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28E9F141"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31D92414" w14:textId="5FB78EE2" w:rsidR="004047C2" w:rsidRPr="004047C2" w:rsidRDefault="00CA024B"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Introduction and strategy </w:t>
            </w:r>
          </w:p>
          <w:p w14:paraId="7249E875"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1867BE80"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tc>
        <w:tc>
          <w:tcPr>
            <w:tcW w:w="1532" w:type="dxa"/>
            <w:vAlign w:val="center"/>
          </w:tcPr>
          <w:p w14:paraId="5F0400DA" w14:textId="4348417F"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Prashant Gajera </w:t>
            </w:r>
            <w:r>
              <w:rPr>
                <w:rFonts w:cs="Arial"/>
                <w:bCs/>
                <w:kern w:val="0"/>
                <w:sz w:val="20"/>
                <w:szCs w:val="20"/>
                <w:lang w:eastAsia="en-US"/>
              </w:rPr>
              <w:br/>
              <w:t>with other 4 group member</w:t>
            </w:r>
          </w:p>
        </w:tc>
        <w:tc>
          <w:tcPr>
            <w:tcW w:w="951" w:type="dxa"/>
            <w:vAlign w:val="center"/>
          </w:tcPr>
          <w:p w14:paraId="37A1888F" w14:textId="575B67FB"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Shaila </w:t>
            </w:r>
            <w:r>
              <w:rPr>
                <w:rFonts w:cs="Arial"/>
                <w:bCs/>
                <w:kern w:val="0"/>
                <w:sz w:val="20"/>
                <w:szCs w:val="20"/>
                <w:lang w:eastAsia="en-US"/>
              </w:rPr>
              <w:br/>
              <w:t>Hussain</w:t>
            </w:r>
          </w:p>
        </w:tc>
        <w:tc>
          <w:tcPr>
            <w:tcW w:w="1344" w:type="dxa"/>
            <w:vAlign w:val="center"/>
          </w:tcPr>
          <w:p w14:paraId="4B0095DD" w14:textId="1ECD7BA8"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12.00PM to 1</w:t>
            </w:r>
            <w:r w:rsidR="00A97C90">
              <w:rPr>
                <w:rFonts w:cs="Arial"/>
                <w:bCs/>
                <w:kern w:val="0"/>
                <w:sz w:val="20"/>
                <w:szCs w:val="20"/>
                <w:lang w:eastAsia="en-US"/>
              </w:rPr>
              <w:t>4.00P</w:t>
            </w:r>
            <w:r w:rsidR="00410E48">
              <w:rPr>
                <w:rFonts w:cs="Arial"/>
                <w:bCs/>
                <w:kern w:val="0"/>
                <w:sz w:val="20"/>
                <w:szCs w:val="20"/>
                <w:lang w:eastAsia="en-US"/>
              </w:rPr>
              <w:t>M</w:t>
            </w:r>
          </w:p>
        </w:tc>
        <w:tc>
          <w:tcPr>
            <w:tcW w:w="608" w:type="dxa"/>
            <w:vAlign w:val="center"/>
          </w:tcPr>
          <w:p w14:paraId="708216CC" w14:textId="1E50935C" w:rsidR="004047C2" w:rsidRPr="004047C2" w:rsidRDefault="00A97C90"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2</w:t>
            </w:r>
            <w:r w:rsidR="00AC1491">
              <w:rPr>
                <w:rFonts w:cs="Arial"/>
                <w:bCs/>
                <w:kern w:val="0"/>
                <w:sz w:val="20"/>
                <w:szCs w:val="20"/>
                <w:lang w:eastAsia="en-US"/>
              </w:rPr>
              <w:t xml:space="preserve"> hr</w:t>
            </w:r>
          </w:p>
        </w:tc>
      </w:tr>
      <w:tr w:rsidR="004047C2" w:rsidRPr="004047C2" w14:paraId="198B84A0" w14:textId="77777777" w:rsidTr="00410E48">
        <w:trPr>
          <w:cantSplit/>
          <w:trHeight w:val="1232"/>
        </w:trPr>
        <w:tc>
          <w:tcPr>
            <w:tcW w:w="1351" w:type="dxa"/>
            <w:vAlign w:val="center"/>
          </w:tcPr>
          <w:p w14:paraId="3CE01477" w14:textId="1A2FD9D8" w:rsidR="004047C2" w:rsidRPr="004047C2" w:rsidRDefault="00D77B75" w:rsidP="004047C2">
            <w:pPr>
              <w:suppressAutoHyphens w:val="0"/>
              <w:autoSpaceDN/>
              <w:spacing w:after="0" w:line="240" w:lineRule="auto"/>
              <w:jc w:val="left"/>
              <w:rPr>
                <w:rFonts w:cs="Arial"/>
                <w:kern w:val="0"/>
                <w:sz w:val="20"/>
                <w:szCs w:val="20"/>
                <w:lang w:eastAsia="en-US"/>
              </w:rPr>
            </w:pPr>
            <w:r>
              <w:rPr>
                <w:rFonts w:cs="Arial"/>
                <w:kern w:val="0"/>
                <w:sz w:val="20"/>
                <w:szCs w:val="20"/>
                <w:lang w:eastAsia="en-US"/>
              </w:rPr>
              <w:t>20</w:t>
            </w:r>
            <w:r w:rsidR="008A0A2C">
              <w:rPr>
                <w:rFonts w:cs="Arial"/>
                <w:kern w:val="0"/>
                <w:sz w:val="20"/>
                <w:szCs w:val="20"/>
                <w:lang w:eastAsia="en-US"/>
              </w:rPr>
              <w:t>/08/</w:t>
            </w:r>
            <w:r w:rsidR="00993FB2">
              <w:rPr>
                <w:rFonts w:cs="Arial"/>
                <w:kern w:val="0"/>
                <w:sz w:val="20"/>
                <w:szCs w:val="20"/>
                <w:lang w:eastAsia="en-US"/>
              </w:rPr>
              <w:t>2026</w:t>
            </w:r>
          </w:p>
        </w:tc>
        <w:tc>
          <w:tcPr>
            <w:tcW w:w="1054" w:type="dxa"/>
            <w:vAlign w:val="center"/>
          </w:tcPr>
          <w:p w14:paraId="7B7DE2CF" w14:textId="12074A48" w:rsidR="004047C2" w:rsidRPr="004047C2" w:rsidRDefault="00AB23B0"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In Personal </w:t>
            </w:r>
          </w:p>
        </w:tc>
        <w:tc>
          <w:tcPr>
            <w:tcW w:w="3402" w:type="dxa"/>
            <w:vAlign w:val="center"/>
          </w:tcPr>
          <w:p w14:paraId="27730747"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09B1EED3" w14:textId="267260EB" w:rsidR="004047C2" w:rsidRPr="004047C2" w:rsidRDefault="00CA024B"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Correction and review Chapter 3</w:t>
            </w:r>
          </w:p>
          <w:p w14:paraId="0A23D938"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1C50E52C"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tc>
        <w:tc>
          <w:tcPr>
            <w:tcW w:w="1532" w:type="dxa"/>
            <w:vAlign w:val="center"/>
          </w:tcPr>
          <w:p w14:paraId="6674772B" w14:textId="3DFFEBE0"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Prashant Gajera</w:t>
            </w:r>
          </w:p>
        </w:tc>
        <w:tc>
          <w:tcPr>
            <w:tcW w:w="951" w:type="dxa"/>
            <w:vAlign w:val="center"/>
          </w:tcPr>
          <w:p w14:paraId="1D0C89AF" w14:textId="151FC3F3"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Shaila </w:t>
            </w:r>
            <w:r>
              <w:rPr>
                <w:rFonts w:cs="Arial"/>
                <w:bCs/>
                <w:kern w:val="0"/>
                <w:sz w:val="20"/>
                <w:szCs w:val="20"/>
                <w:lang w:eastAsia="en-US"/>
              </w:rPr>
              <w:br/>
              <w:t>Hussain</w:t>
            </w:r>
          </w:p>
        </w:tc>
        <w:tc>
          <w:tcPr>
            <w:tcW w:w="1344" w:type="dxa"/>
            <w:vAlign w:val="center"/>
          </w:tcPr>
          <w:p w14:paraId="050AC8FB" w14:textId="5D48AAAE"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14.45PM to</w:t>
            </w:r>
            <w:r>
              <w:rPr>
                <w:rFonts w:cs="Arial"/>
                <w:bCs/>
                <w:kern w:val="0"/>
                <w:sz w:val="20"/>
                <w:szCs w:val="20"/>
                <w:lang w:eastAsia="en-US"/>
              </w:rPr>
              <w:br/>
              <w:t>15.45PM</w:t>
            </w:r>
          </w:p>
        </w:tc>
        <w:tc>
          <w:tcPr>
            <w:tcW w:w="608" w:type="dxa"/>
            <w:vAlign w:val="center"/>
          </w:tcPr>
          <w:p w14:paraId="09CD06D3" w14:textId="3564C854"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 hr</w:t>
            </w:r>
          </w:p>
        </w:tc>
      </w:tr>
      <w:tr w:rsidR="004047C2" w:rsidRPr="004047C2" w14:paraId="485EF510" w14:textId="77777777" w:rsidTr="00410E48">
        <w:trPr>
          <w:cantSplit/>
          <w:trHeight w:val="1251"/>
        </w:trPr>
        <w:tc>
          <w:tcPr>
            <w:tcW w:w="1351" w:type="dxa"/>
            <w:vAlign w:val="center"/>
          </w:tcPr>
          <w:p w14:paraId="186BBBE7" w14:textId="0DF63025"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2</w:t>
            </w:r>
            <w:r w:rsidR="008A0A2C">
              <w:rPr>
                <w:rFonts w:cs="Arial"/>
                <w:bCs/>
                <w:kern w:val="0"/>
                <w:sz w:val="20"/>
                <w:szCs w:val="20"/>
                <w:lang w:eastAsia="en-US"/>
              </w:rPr>
              <w:t>7/08/</w:t>
            </w:r>
            <w:r w:rsidR="00993FB2">
              <w:rPr>
                <w:rFonts w:cs="Arial"/>
                <w:bCs/>
                <w:kern w:val="0"/>
                <w:sz w:val="20"/>
                <w:szCs w:val="20"/>
                <w:lang w:eastAsia="en-US"/>
              </w:rPr>
              <w:t>2026</w:t>
            </w:r>
          </w:p>
        </w:tc>
        <w:tc>
          <w:tcPr>
            <w:tcW w:w="1054" w:type="dxa"/>
            <w:vAlign w:val="center"/>
          </w:tcPr>
          <w:p w14:paraId="78145538" w14:textId="67C51B3D" w:rsidR="004047C2" w:rsidRPr="004047C2" w:rsidRDefault="00AB23B0"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In Personal</w:t>
            </w:r>
          </w:p>
        </w:tc>
        <w:tc>
          <w:tcPr>
            <w:tcW w:w="3402" w:type="dxa"/>
            <w:vAlign w:val="center"/>
          </w:tcPr>
          <w:p w14:paraId="3F165069"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5617AAC7"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64FF7DF1" w14:textId="6E11623A" w:rsidR="004047C2" w:rsidRPr="004047C2" w:rsidRDefault="00CA024B"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Correction and review Chapter 1</w:t>
            </w:r>
          </w:p>
          <w:p w14:paraId="388F64BD"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7018667F"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tc>
        <w:tc>
          <w:tcPr>
            <w:tcW w:w="1532" w:type="dxa"/>
            <w:vAlign w:val="center"/>
          </w:tcPr>
          <w:p w14:paraId="73210D0C" w14:textId="50FAC065"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Prashant Gajera</w:t>
            </w:r>
          </w:p>
        </w:tc>
        <w:tc>
          <w:tcPr>
            <w:tcW w:w="951" w:type="dxa"/>
            <w:vAlign w:val="center"/>
          </w:tcPr>
          <w:p w14:paraId="55FE6963" w14:textId="5041333A"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Shaila </w:t>
            </w:r>
            <w:r>
              <w:rPr>
                <w:rFonts w:cs="Arial"/>
                <w:bCs/>
                <w:kern w:val="0"/>
                <w:sz w:val="20"/>
                <w:szCs w:val="20"/>
                <w:lang w:eastAsia="en-US"/>
              </w:rPr>
              <w:br/>
              <w:t>Hussain</w:t>
            </w:r>
          </w:p>
        </w:tc>
        <w:tc>
          <w:tcPr>
            <w:tcW w:w="1344" w:type="dxa"/>
            <w:vAlign w:val="center"/>
          </w:tcPr>
          <w:p w14:paraId="1C1DE7B0" w14:textId="02230D60"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14.45PM to</w:t>
            </w:r>
            <w:r>
              <w:rPr>
                <w:rFonts w:cs="Arial"/>
                <w:bCs/>
                <w:kern w:val="0"/>
                <w:sz w:val="20"/>
                <w:szCs w:val="20"/>
                <w:lang w:eastAsia="en-US"/>
              </w:rPr>
              <w:br/>
              <w:t>15.45PM</w:t>
            </w:r>
          </w:p>
        </w:tc>
        <w:tc>
          <w:tcPr>
            <w:tcW w:w="608" w:type="dxa"/>
            <w:vAlign w:val="center"/>
          </w:tcPr>
          <w:p w14:paraId="424E13EB" w14:textId="76660B2A"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 hr</w:t>
            </w:r>
          </w:p>
        </w:tc>
      </w:tr>
      <w:tr w:rsidR="004047C2" w:rsidRPr="004047C2" w14:paraId="13D3CD77" w14:textId="77777777" w:rsidTr="00410E48">
        <w:trPr>
          <w:cantSplit/>
          <w:trHeight w:val="1251"/>
        </w:trPr>
        <w:tc>
          <w:tcPr>
            <w:tcW w:w="1351" w:type="dxa"/>
            <w:vAlign w:val="center"/>
          </w:tcPr>
          <w:p w14:paraId="7DEC46B8" w14:textId="60B2BED2" w:rsidR="004047C2" w:rsidRPr="004047C2" w:rsidRDefault="00993FB2"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0</w:t>
            </w:r>
            <w:r w:rsidR="00F8032E">
              <w:rPr>
                <w:rFonts w:cs="Arial"/>
                <w:bCs/>
                <w:kern w:val="0"/>
                <w:sz w:val="20"/>
                <w:szCs w:val="20"/>
                <w:lang w:eastAsia="en-US"/>
              </w:rPr>
              <w:t>2/09</w:t>
            </w:r>
            <w:r>
              <w:rPr>
                <w:rFonts w:cs="Arial"/>
                <w:bCs/>
                <w:kern w:val="0"/>
                <w:sz w:val="20"/>
                <w:szCs w:val="20"/>
                <w:lang w:eastAsia="en-US"/>
              </w:rPr>
              <w:t>/2026</w:t>
            </w:r>
          </w:p>
        </w:tc>
        <w:tc>
          <w:tcPr>
            <w:tcW w:w="1054" w:type="dxa"/>
            <w:vAlign w:val="center"/>
          </w:tcPr>
          <w:p w14:paraId="6C61EDDD" w14:textId="5AC83B27" w:rsidR="004047C2" w:rsidRPr="004047C2" w:rsidRDefault="00AB23B0"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In Personal</w:t>
            </w:r>
          </w:p>
        </w:tc>
        <w:tc>
          <w:tcPr>
            <w:tcW w:w="3402" w:type="dxa"/>
            <w:vAlign w:val="center"/>
          </w:tcPr>
          <w:p w14:paraId="03EF1C38"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071A373C"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13C5B6B1" w14:textId="074D44A1" w:rsidR="004047C2" w:rsidRPr="004047C2" w:rsidRDefault="00CA024B"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Correction and review Chapter 2</w:t>
            </w:r>
          </w:p>
          <w:p w14:paraId="22FE5921"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12ADFCA4"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tc>
        <w:tc>
          <w:tcPr>
            <w:tcW w:w="1532" w:type="dxa"/>
            <w:vAlign w:val="center"/>
          </w:tcPr>
          <w:p w14:paraId="37C1D527" w14:textId="11AD6F90"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Prashant Gajera</w:t>
            </w:r>
          </w:p>
        </w:tc>
        <w:tc>
          <w:tcPr>
            <w:tcW w:w="951" w:type="dxa"/>
            <w:vAlign w:val="center"/>
          </w:tcPr>
          <w:p w14:paraId="221B0E24" w14:textId="592E541B"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Shaila </w:t>
            </w:r>
            <w:r>
              <w:rPr>
                <w:rFonts w:cs="Arial"/>
                <w:bCs/>
                <w:kern w:val="0"/>
                <w:sz w:val="20"/>
                <w:szCs w:val="20"/>
                <w:lang w:eastAsia="en-US"/>
              </w:rPr>
              <w:br/>
              <w:t>Hussain</w:t>
            </w:r>
          </w:p>
        </w:tc>
        <w:tc>
          <w:tcPr>
            <w:tcW w:w="1344" w:type="dxa"/>
            <w:vAlign w:val="center"/>
          </w:tcPr>
          <w:p w14:paraId="02FA2DCF" w14:textId="15C4BD72"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14.45PM to</w:t>
            </w:r>
            <w:r>
              <w:rPr>
                <w:rFonts w:cs="Arial"/>
                <w:bCs/>
                <w:kern w:val="0"/>
                <w:sz w:val="20"/>
                <w:szCs w:val="20"/>
                <w:lang w:eastAsia="en-US"/>
              </w:rPr>
              <w:br/>
              <w:t>15.45PM</w:t>
            </w:r>
          </w:p>
        </w:tc>
        <w:tc>
          <w:tcPr>
            <w:tcW w:w="608" w:type="dxa"/>
            <w:vAlign w:val="center"/>
          </w:tcPr>
          <w:p w14:paraId="52BC108D" w14:textId="43C7437E"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 hr</w:t>
            </w:r>
          </w:p>
        </w:tc>
      </w:tr>
      <w:tr w:rsidR="004047C2" w:rsidRPr="004047C2" w14:paraId="74D817F2" w14:textId="77777777" w:rsidTr="00410E48">
        <w:trPr>
          <w:cantSplit/>
          <w:trHeight w:val="1251"/>
        </w:trPr>
        <w:tc>
          <w:tcPr>
            <w:tcW w:w="1351" w:type="dxa"/>
            <w:vAlign w:val="center"/>
          </w:tcPr>
          <w:p w14:paraId="3F7E0959" w14:textId="13BC0E9A" w:rsidR="004047C2" w:rsidRPr="004047C2" w:rsidRDefault="00F8032E"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09/09/</w:t>
            </w:r>
            <w:r w:rsidR="00993FB2">
              <w:rPr>
                <w:rFonts w:cs="Arial"/>
                <w:bCs/>
                <w:kern w:val="0"/>
                <w:sz w:val="20"/>
                <w:szCs w:val="20"/>
                <w:lang w:eastAsia="en-US"/>
              </w:rPr>
              <w:t>2026</w:t>
            </w:r>
          </w:p>
        </w:tc>
        <w:tc>
          <w:tcPr>
            <w:tcW w:w="1054" w:type="dxa"/>
            <w:vAlign w:val="center"/>
          </w:tcPr>
          <w:p w14:paraId="6139813C" w14:textId="5798D4EE" w:rsidR="004047C2" w:rsidRPr="004047C2" w:rsidRDefault="00AB23B0"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In Personal</w:t>
            </w:r>
          </w:p>
        </w:tc>
        <w:tc>
          <w:tcPr>
            <w:tcW w:w="3402" w:type="dxa"/>
            <w:vAlign w:val="center"/>
          </w:tcPr>
          <w:p w14:paraId="761FB5D5"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398FA0D1"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5619561B" w14:textId="716404AB" w:rsidR="004047C2" w:rsidRPr="004047C2" w:rsidRDefault="00CA024B"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Correction and review Chapter 4</w:t>
            </w:r>
          </w:p>
          <w:p w14:paraId="25091E08"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69D1D2AC"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tc>
        <w:tc>
          <w:tcPr>
            <w:tcW w:w="1532" w:type="dxa"/>
            <w:vAlign w:val="center"/>
          </w:tcPr>
          <w:p w14:paraId="318C1269" w14:textId="4AD7C297"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Prashant Gajera</w:t>
            </w:r>
          </w:p>
        </w:tc>
        <w:tc>
          <w:tcPr>
            <w:tcW w:w="951" w:type="dxa"/>
            <w:vAlign w:val="center"/>
          </w:tcPr>
          <w:p w14:paraId="65AB1EA2" w14:textId="59D2BE25"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Shaila </w:t>
            </w:r>
            <w:r>
              <w:rPr>
                <w:rFonts w:cs="Arial"/>
                <w:bCs/>
                <w:kern w:val="0"/>
                <w:sz w:val="20"/>
                <w:szCs w:val="20"/>
                <w:lang w:eastAsia="en-US"/>
              </w:rPr>
              <w:br/>
              <w:t>Hussain</w:t>
            </w:r>
          </w:p>
        </w:tc>
        <w:tc>
          <w:tcPr>
            <w:tcW w:w="1344" w:type="dxa"/>
            <w:vAlign w:val="center"/>
          </w:tcPr>
          <w:p w14:paraId="70C31A8B" w14:textId="37A48047"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14.45PM to</w:t>
            </w:r>
            <w:r>
              <w:rPr>
                <w:rFonts w:cs="Arial"/>
                <w:bCs/>
                <w:kern w:val="0"/>
                <w:sz w:val="20"/>
                <w:szCs w:val="20"/>
                <w:lang w:eastAsia="en-US"/>
              </w:rPr>
              <w:br/>
              <w:t>15.45PM</w:t>
            </w:r>
          </w:p>
        </w:tc>
        <w:tc>
          <w:tcPr>
            <w:tcW w:w="608" w:type="dxa"/>
            <w:vAlign w:val="center"/>
          </w:tcPr>
          <w:p w14:paraId="07DE43B4" w14:textId="4E750EB7"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 hr</w:t>
            </w:r>
          </w:p>
        </w:tc>
      </w:tr>
      <w:tr w:rsidR="004047C2" w:rsidRPr="004047C2" w14:paraId="63404BE2" w14:textId="77777777" w:rsidTr="00410E48">
        <w:trPr>
          <w:cantSplit/>
          <w:trHeight w:val="1232"/>
        </w:trPr>
        <w:tc>
          <w:tcPr>
            <w:tcW w:w="1351" w:type="dxa"/>
            <w:vAlign w:val="center"/>
          </w:tcPr>
          <w:p w14:paraId="211B8AAA" w14:textId="3BB73B05" w:rsidR="004047C2" w:rsidRPr="004047C2" w:rsidRDefault="00302DFE"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10/</w:t>
            </w:r>
            <w:r w:rsidR="00116E5C">
              <w:rPr>
                <w:rFonts w:cs="Arial"/>
                <w:bCs/>
                <w:kern w:val="0"/>
                <w:sz w:val="20"/>
                <w:szCs w:val="20"/>
                <w:lang w:eastAsia="en-US"/>
              </w:rPr>
              <w:t>09/2026</w:t>
            </w:r>
          </w:p>
        </w:tc>
        <w:tc>
          <w:tcPr>
            <w:tcW w:w="1054" w:type="dxa"/>
            <w:vAlign w:val="center"/>
          </w:tcPr>
          <w:p w14:paraId="38A356E1" w14:textId="7A5F1AC6" w:rsidR="004047C2" w:rsidRPr="004047C2" w:rsidRDefault="00AB23B0"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In Personal</w:t>
            </w:r>
          </w:p>
        </w:tc>
        <w:tc>
          <w:tcPr>
            <w:tcW w:w="3402" w:type="dxa"/>
            <w:vAlign w:val="center"/>
          </w:tcPr>
          <w:p w14:paraId="6D48B546"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195F3FD5"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76209C87" w14:textId="0BAD84BD" w:rsidR="004047C2" w:rsidRPr="004047C2" w:rsidRDefault="00CA024B"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Correction and review Chapter 5</w:t>
            </w:r>
          </w:p>
          <w:p w14:paraId="5C21D230"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188971E7"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tc>
        <w:tc>
          <w:tcPr>
            <w:tcW w:w="1532" w:type="dxa"/>
            <w:vAlign w:val="center"/>
          </w:tcPr>
          <w:p w14:paraId="6BE3650F" w14:textId="0494BBB0"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Prashant Gajera</w:t>
            </w:r>
          </w:p>
        </w:tc>
        <w:tc>
          <w:tcPr>
            <w:tcW w:w="951" w:type="dxa"/>
            <w:vAlign w:val="center"/>
          </w:tcPr>
          <w:p w14:paraId="0DA8EEDB" w14:textId="0C9822C7"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Shaila </w:t>
            </w:r>
            <w:r>
              <w:rPr>
                <w:rFonts w:cs="Arial"/>
                <w:bCs/>
                <w:kern w:val="0"/>
                <w:sz w:val="20"/>
                <w:szCs w:val="20"/>
                <w:lang w:eastAsia="en-US"/>
              </w:rPr>
              <w:br/>
              <w:t>Hussain</w:t>
            </w:r>
          </w:p>
        </w:tc>
        <w:tc>
          <w:tcPr>
            <w:tcW w:w="1344" w:type="dxa"/>
            <w:vAlign w:val="center"/>
          </w:tcPr>
          <w:p w14:paraId="24E00B85" w14:textId="47962895"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16.00PM to</w:t>
            </w:r>
            <w:r>
              <w:rPr>
                <w:rFonts w:cs="Arial"/>
                <w:bCs/>
                <w:kern w:val="0"/>
                <w:sz w:val="20"/>
                <w:szCs w:val="20"/>
                <w:lang w:eastAsia="en-US"/>
              </w:rPr>
              <w:br/>
              <w:t>15.00PM</w:t>
            </w:r>
          </w:p>
        </w:tc>
        <w:tc>
          <w:tcPr>
            <w:tcW w:w="608" w:type="dxa"/>
            <w:vAlign w:val="center"/>
          </w:tcPr>
          <w:p w14:paraId="4226BD7D" w14:textId="7BC2696E"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 hr</w:t>
            </w:r>
          </w:p>
        </w:tc>
      </w:tr>
      <w:tr w:rsidR="004047C2" w:rsidRPr="004047C2" w14:paraId="34F56478" w14:textId="77777777" w:rsidTr="00410E48">
        <w:trPr>
          <w:cantSplit/>
          <w:trHeight w:val="1251"/>
        </w:trPr>
        <w:tc>
          <w:tcPr>
            <w:tcW w:w="1351" w:type="dxa"/>
            <w:vAlign w:val="center"/>
          </w:tcPr>
          <w:p w14:paraId="34AC1763" w14:textId="3F12A5A8" w:rsidR="004047C2" w:rsidRPr="004047C2" w:rsidRDefault="00302DFE"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15/</w:t>
            </w:r>
            <w:r w:rsidR="00116E5C">
              <w:rPr>
                <w:rFonts w:cs="Arial"/>
                <w:bCs/>
                <w:kern w:val="0"/>
                <w:sz w:val="20"/>
                <w:szCs w:val="20"/>
                <w:lang w:eastAsia="en-US"/>
              </w:rPr>
              <w:t>09/2026</w:t>
            </w:r>
          </w:p>
        </w:tc>
        <w:tc>
          <w:tcPr>
            <w:tcW w:w="1054" w:type="dxa"/>
            <w:vAlign w:val="center"/>
          </w:tcPr>
          <w:p w14:paraId="4909F539" w14:textId="00370D42" w:rsidR="004047C2" w:rsidRPr="004047C2" w:rsidRDefault="00AB23B0"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In Personal</w:t>
            </w:r>
          </w:p>
        </w:tc>
        <w:tc>
          <w:tcPr>
            <w:tcW w:w="3402" w:type="dxa"/>
            <w:vAlign w:val="center"/>
          </w:tcPr>
          <w:p w14:paraId="1E1177C2"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1F2BFE1B" w14:textId="0CAEDC3B" w:rsidR="004047C2" w:rsidRPr="004047C2" w:rsidRDefault="00CA024B"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Chapter 6 and final review </w:t>
            </w:r>
          </w:p>
          <w:p w14:paraId="75C02739"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67ADB89B"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p w14:paraId="0E8FF8BD" w14:textId="77777777" w:rsidR="004047C2" w:rsidRPr="004047C2" w:rsidRDefault="004047C2" w:rsidP="004047C2">
            <w:pPr>
              <w:suppressAutoHyphens w:val="0"/>
              <w:autoSpaceDN/>
              <w:spacing w:after="0" w:line="240" w:lineRule="auto"/>
              <w:jc w:val="left"/>
              <w:rPr>
                <w:rFonts w:cs="Arial"/>
                <w:bCs/>
                <w:kern w:val="0"/>
                <w:sz w:val="20"/>
                <w:szCs w:val="20"/>
                <w:lang w:eastAsia="en-US"/>
              </w:rPr>
            </w:pPr>
          </w:p>
        </w:tc>
        <w:tc>
          <w:tcPr>
            <w:tcW w:w="1532" w:type="dxa"/>
            <w:vAlign w:val="center"/>
          </w:tcPr>
          <w:p w14:paraId="444629C0" w14:textId="3135AB56"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Prashant Gajera</w:t>
            </w:r>
          </w:p>
        </w:tc>
        <w:tc>
          <w:tcPr>
            <w:tcW w:w="951" w:type="dxa"/>
            <w:vAlign w:val="center"/>
          </w:tcPr>
          <w:p w14:paraId="52BC8257" w14:textId="5BF2D9B8" w:rsidR="004047C2" w:rsidRPr="004047C2" w:rsidRDefault="00116E5C"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 xml:space="preserve">Shaila </w:t>
            </w:r>
            <w:r>
              <w:rPr>
                <w:rFonts w:cs="Arial"/>
                <w:bCs/>
                <w:kern w:val="0"/>
                <w:sz w:val="20"/>
                <w:szCs w:val="20"/>
                <w:lang w:eastAsia="en-US"/>
              </w:rPr>
              <w:br/>
              <w:t>Hussain</w:t>
            </w:r>
          </w:p>
        </w:tc>
        <w:tc>
          <w:tcPr>
            <w:tcW w:w="1344" w:type="dxa"/>
            <w:vAlign w:val="center"/>
          </w:tcPr>
          <w:p w14:paraId="24E12A69" w14:textId="023AFEC5"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16.00PM to</w:t>
            </w:r>
            <w:r>
              <w:rPr>
                <w:rFonts w:cs="Arial"/>
                <w:bCs/>
                <w:kern w:val="0"/>
                <w:sz w:val="20"/>
                <w:szCs w:val="20"/>
                <w:lang w:eastAsia="en-US"/>
              </w:rPr>
              <w:br/>
              <w:t>15.00PM</w:t>
            </w:r>
          </w:p>
        </w:tc>
        <w:tc>
          <w:tcPr>
            <w:tcW w:w="608" w:type="dxa"/>
            <w:vAlign w:val="center"/>
          </w:tcPr>
          <w:p w14:paraId="6D24B9B6" w14:textId="6C5390D4" w:rsidR="004047C2" w:rsidRPr="004047C2" w:rsidRDefault="00410E48" w:rsidP="004047C2">
            <w:pPr>
              <w:suppressAutoHyphens w:val="0"/>
              <w:autoSpaceDN/>
              <w:spacing w:after="0" w:line="240" w:lineRule="auto"/>
              <w:jc w:val="left"/>
              <w:rPr>
                <w:rFonts w:cs="Arial"/>
                <w:bCs/>
                <w:kern w:val="0"/>
                <w:sz w:val="20"/>
                <w:szCs w:val="20"/>
                <w:lang w:eastAsia="en-US"/>
              </w:rPr>
            </w:pPr>
            <w:r>
              <w:rPr>
                <w:rFonts w:cs="Arial"/>
                <w:bCs/>
                <w:kern w:val="0"/>
                <w:sz w:val="20"/>
                <w:szCs w:val="20"/>
                <w:lang w:eastAsia="en-US"/>
              </w:rPr>
              <w:t>1 hr</w:t>
            </w:r>
          </w:p>
        </w:tc>
      </w:tr>
    </w:tbl>
    <w:p w14:paraId="7E7A096C" w14:textId="77777777" w:rsidR="004047C2" w:rsidRPr="004047C2" w:rsidRDefault="004047C2" w:rsidP="004047C2">
      <w:pPr>
        <w:suppressAutoHyphens w:val="0"/>
        <w:autoSpaceDN/>
        <w:spacing w:after="0" w:line="240" w:lineRule="auto"/>
        <w:ind w:left="720" w:hanging="720"/>
        <w:jc w:val="center"/>
        <w:rPr>
          <w:rFonts w:cs="Arial"/>
          <w:b/>
          <w:bCs/>
          <w:kern w:val="0"/>
          <w:sz w:val="16"/>
          <w:szCs w:val="16"/>
          <w:lang w:eastAsia="en-US"/>
        </w:rPr>
      </w:pPr>
    </w:p>
    <w:p w14:paraId="0E4303EA" w14:textId="77777777" w:rsidR="004047C2" w:rsidRPr="004047C2" w:rsidRDefault="004047C2" w:rsidP="004047C2">
      <w:pPr>
        <w:suppressAutoHyphens w:val="0"/>
        <w:autoSpaceDN/>
        <w:spacing w:after="0" w:line="240" w:lineRule="auto"/>
        <w:ind w:left="720" w:hanging="720"/>
        <w:jc w:val="center"/>
        <w:rPr>
          <w:rFonts w:cs="Arial"/>
          <w:b/>
          <w:bCs/>
          <w:kern w:val="0"/>
          <w:sz w:val="16"/>
          <w:szCs w:val="16"/>
          <w:lang w:eastAsia="en-US"/>
        </w:rPr>
      </w:pPr>
    </w:p>
    <w:p w14:paraId="3BF9CFB8" w14:textId="77777777" w:rsidR="004047C2" w:rsidRPr="004047C2" w:rsidRDefault="004047C2" w:rsidP="004047C2">
      <w:pPr>
        <w:suppressAutoHyphens w:val="0"/>
        <w:autoSpaceDN/>
        <w:spacing w:after="0" w:line="240" w:lineRule="auto"/>
        <w:ind w:left="720" w:hanging="720"/>
        <w:jc w:val="center"/>
        <w:rPr>
          <w:rFonts w:cs="Arial"/>
          <w:b/>
          <w:bCs/>
          <w:kern w:val="0"/>
          <w:sz w:val="16"/>
          <w:szCs w:val="16"/>
          <w:lang w:eastAsia="en-US"/>
        </w:rPr>
      </w:pPr>
    </w:p>
    <w:p w14:paraId="79A2AA05" w14:textId="77777777" w:rsidR="004047C2" w:rsidRPr="004047C2" w:rsidRDefault="004047C2" w:rsidP="004047C2">
      <w:pPr>
        <w:suppressAutoHyphens w:val="0"/>
        <w:autoSpaceDN/>
        <w:spacing w:after="0" w:line="240" w:lineRule="auto"/>
        <w:ind w:left="720" w:hanging="720"/>
        <w:jc w:val="left"/>
        <w:rPr>
          <w:rFonts w:cs="Arial"/>
          <w:b/>
          <w:bCs/>
          <w:kern w:val="0"/>
          <w:sz w:val="22"/>
          <w:lang w:eastAsia="en-US"/>
        </w:rPr>
      </w:pPr>
      <w:r w:rsidRPr="004047C2">
        <w:rPr>
          <w:rFonts w:cs="Arial"/>
          <w:b/>
          <w:bCs/>
          <w:kern w:val="0"/>
          <w:sz w:val="22"/>
          <w:lang w:eastAsia="en-US"/>
        </w:rPr>
        <w:t>Notes on the Postgraduate Taught Dissertation Supervision Record</w:t>
      </w:r>
    </w:p>
    <w:p w14:paraId="70617C65" w14:textId="77777777" w:rsidR="004047C2" w:rsidRPr="004047C2" w:rsidRDefault="004047C2" w:rsidP="004047C2">
      <w:pPr>
        <w:suppressAutoHyphens w:val="0"/>
        <w:autoSpaceDN/>
        <w:spacing w:after="0" w:line="240" w:lineRule="auto"/>
        <w:ind w:left="720" w:hanging="720"/>
        <w:jc w:val="left"/>
        <w:rPr>
          <w:rFonts w:cs="Arial"/>
          <w:bCs/>
          <w:kern w:val="0"/>
          <w:sz w:val="22"/>
          <w:lang w:eastAsia="en-US"/>
        </w:rPr>
      </w:pPr>
      <w:r w:rsidRPr="004047C2">
        <w:rPr>
          <w:rFonts w:cs="Arial"/>
          <w:bCs/>
          <w:kern w:val="0"/>
          <w:sz w:val="22"/>
          <w:lang w:eastAsia="en-US"/>
        </w:rPr>
        <w:t>Record the date and type of meeting – e.g. face-to-face, Microsoft Teams, video conference, telephone, email, letter</w:t>
      </w:r>
    </w:p>
    <w:p w14:paraId="66EE3530" w14:textId="77777777" w:rsidR="004047C2" w:rsidRPr="004047C2" w:rsidRDefault="004047C2" w:rsidP="004047C2">
      <w:pPr>
        <w:suppressAutoHyphens w:val="0"/>
        <w:autoSpaceDN/>
        <w:spacing w:after="0" w:line="240" w:lineRule="auto"/>
        <w:ind w:left="720" w:hanging="720"/>
        <w:jc w:val="left"/>
        <w:rPr>
          <w:rFonts w:cs="Arial"/>
          <w:bCs/>
          <w:kern w:val="0"/>
          <w:sz w:val="22"/>
          <w:lang w:eastAsia="en-US"/>
        </w:rPr>
      </w:pPr>
      <w:r w:rsidRPr="004047C2">
        <w:rPr>
          <w:rFonts w:cs="Arial"/>
          <w:bCs/>
          <w:kern w:val="0"/>
          <w:sz w:val="22"/>
          <w:lang w:eastAsia="en-US"/>
        </w:rPr>
        <w:t>Note the outcomes agreed by both the student and the supervisor</w:t>
      </w:r>
    </w:p>
    <w:p w14:paraId="5B7B4E13" w14:textId="77777777" w:rsidR="004047C2" w:rsidRPr="004047C2" w:rsidRDefault="004047C2" w:rsidP="004047C2">
      <w:pPr>
        <w:suppressAutoHyphens w:val="0"/>
        <w:autoSpaceDN/>
        <w:spacing w:after="0" w:line="240" w:lineRule="auto"/>
        <w:ind w:left="720" w:hanging="720"/>
        <w:jc w:val="left"/>
        <w:rPr>
          <w:rFonts w:cs="Arial"/>
          <w:bCs/>
          <w:kern w:val="0"/>
          <w:sz w:val="22"/>
          <w:lang w:eastAsia="en-US"/>
        </w:rPr>
      </w:pPr>
      <w:r w:rsidRPr="004047C2">
        <w:rPr>
          <w:rFonts w:cs="Arial"/>
          <w:bCs/>
          <w:kern w:val="0"/>
          <w:sz w:val="22"/>
          <w:lang w:eastAsia="en-US"/>
        </w:rPr>
        <w:t xml:space="preserve">Both the student and the supervisor should initial </w:t>
      </w:r>
    </w:p>
    <w:p w14:paraId="246F0E5D" w14:textId="77777777" w:rsidR="004047C2" w:rsidRPr="004047C2" w:rsidRDefault="004047C2" w:rsidP="004047C2">
      <w:pPr>
        <w:suppressAutoHyphens w:val="0"/>
        <w:autoSpaceDN/>
        <w:spacing w:after="0" w:line="240" w:lineRule="auto"/>
        <w:ind w:left="720" w:hanging="720"/>
        <w:jc w:val="left"/>
        <w:rPr>
          <w:rFonts w:cs="Arial"/>
          <w:bCs/>
          <w:kern w:val="0"/>
          <w:sz w:val="22"/>
          <w:lang w:eastAsia="en-US"/>
        </w:rPr>
      </w:pPr>
      <w:r w:rsidRPr="004047C2">
        <w:rPr>
          <w:rFonts w:cs="Arial"/>
          <w:bCs/>
          <w:kern w:val="0"/>
          <w:sz w:val="22"/>
          <w:lang w:eastAsia="en-US"/>
        </w:rPr>
        <w:t>Record the duration of the meeting</w:t>
      </w:r>
    </w:p>
    <w:p w14:paraId="5386C8FF" w14:textId="77777777" w:rsidR="004047C2" w:rsidRPr="004047C2" w:rsidRDefault="004047C2" w:rsidP="004047C2">
      <w:pPr>
        <w:suppressAutoHyphens w:val="0"/>
        <w:autoSpaceDN/>
        <w:spacing w:after="0" w:line="240" w:lineRule="auto"/>
        <w:ind w:left="720" w:hanging="720"/>
        <w:jc w:val="left"/>
        <w:rPr>
          <w:rFonts w:cs="Arial"/>
          <w:bCs/>
          <w:kern w:val="0"/>
          <w:sz w:val="22"/>
          <w:lang w:eastAsia="en-US"/>
        </w:rPr>
      </w:pPr>
      <w:r w:rsidRPr="004047C2">
        <w:rPr>
          <w:rFonts w:cs="Arial"/>
          <w:bCs/>
          <w:kern w:val="0"/>
          <w:sz w:val="22"/>
          <w:lang w:eastAsia="en-US"/>
        </w:rPr>
        <w:t>Update the running total for duration by adding the duration of the meeting to the previous running total</w:t>
      </w:r>
    </w:p>
    <w:p w14:paraId="74D9B5DA" w14:textId="77777777" w:rsidR="004047C2" w:rsidRPr="004047C2" w:rsidRDefault="004047C2" w:rsidP="004047C2">
      <w:pPr>
        <w:suppressAutoHyphens w:val="0"/>
        <w:autoSpaceDN/>
        <w:spacing w:after="0" w:line="240" w:lineRule="auto"/>
        <w:ind w:left="720" w:hanging="720"/>
        <w:jc w:val="center"/>
        <w:rPr>
          <w:rFonts w:cs="Arial"/>
          <w:b/>
          <w:bCs/>
          <w:kern w:val="0"/>
          <w:sz w:val="16"/>
          <w:szCs w:val="16"/>
          <w:lang w:eastAsia="en-US"/>
        </w:rPr>
      </w:pPr>
    </w:p>
    <w:p w14:paraId="5F225684" w14:textId="77777777" w:rsidR="004047C2" w:rsidRPr="004047C2" w:rsidRDefault="004047C2" w:rsidP="004047C2">
      <w:pPr>
        <w:suppressAutoHyphens w:val="0"/>
        <w:autoSpaceDN/>
        <w:spacing w:after="0" w:line="240" w:lineRule="auto"/>
        <w:ind w:left="720" w:hanging="720"/>
        <w:jc w:val="center"/>
        <w:rPr>
          <w:rFonts w:cs="Arial"/>
          <w:b/>
          <w:bCs/>
          <w:kern w:val="0"/>
          <w:sz w:val="16"/>
          <w:szCs w:val="16"/>
          <w:lang w:eastAsia="en-US"/>
        </w:rPr>
      </w:pPr>
    </w:p>
    <w:p w14:paraId="14AC2DFE" w14:textId="77777777" w:rsidR="004047C2" w:rsidRPr="004047C2" w:rsidRDefault="004047C2" w:rsidP="004047C2">
      <w:pPr>
        <w:rPr>
          <w:color w:val="000000" w:themeColor="text1"/>
        </w:rPr>
      </w:pPr>
    </w:p>
    <w:p w14:paraId="374A9634" w14:textId="77777777" w:rsidR="007E1B87" w:rsidRPr="004D45B3" w:rsidRDefault="007E1B87" w:rsidP="007E1B87">
      <w:pPr>
        <w:rPr>
          <w:color w:val="000000" w:themeColor="text1"/>
        </w:rPr>
      </w:pPr>
    </w:p>
    <w:p w14:paraId="4EE23292" w14:textId="77777777" w:rsidR="003418A6" w:rsidRPr="004D45B3" w:rsidRDefault="003418A6" w:rsidP="003418A6">
      <w:pPr>
        <w:rPr>
          <w:color w:val="000000" w:themeColor="text1"/>
        </w:rPr>
      </w:pPr>
    </w:p>
    <w:p w14:paraId="6CDF8131" w14:textId="77777777" w:rsidR="00BE776A" w:rsidRPr="004D45B3" w:rsidRDefault="00BE776A">
      <w:pPr>
        <w:spacing w:after="158"/>
        <w:rPr>
          <w:rFonts w:cs="Arial"/>
          <w:color w:val="000000" w:themeColor="text1"/>
        </w:rPr>
      </w:pPr>
    </w:p>
    <w:p w14:paraId="556C15FB" w14:textId="77777777" w:rsidR="00BE776A" w:rsidRPr="004D45B3" w:rsidRDefault="00BE776A">
      <w:pPr>
        <w:rPr>
          <w:color w:val="000000" w:themeColor="text1"/>
        </w:rPr>
      </w:pPr>
    </w:p>
    <w:p w14:paraId="2E942EA7" w14:textId="77777777" w:rsidR="00BE776A" w:rsidRPr="004D45B3" w:rsidRDefault="00BE776A">
      <w:pPr>
        <w:rPr>
          <w:color w:val="000000" w:themeColor="text1"/>
        </w:rPr>
      </w:pPr>
    </w:p>
    <w:sectPr w:rsidR="00BE776A" w:rsidRPr="004D45B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05C5F" w14:textId="77777777" w:rsidR="009C5B24" w:rsidRDefault="009C5B24">
      <w:pPr>
        <w:spacing w:after="0" w:line="240" w:lineRule="auto"/>
      </w:pPr>
      <w:r>
        <w:separator/>
      </w:r>
    </w:p>
  </w:endnote>
  <w:endnote w:type="continuationSeparator" w:id="0">
    <w:p w14:paraId="1DD02A2A" w14:textId="77777777" w:rsidR="009C5B24" w:rsidRDefault="009C5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Helvetica">
    <w:altName w:val="Sylfaen"/>
    <w:panose1 w:val="020B05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C8F2" w14:textId="183B1302" w:rsidR="004D45B3" w:rsidRPr="004D45B3" w:rsidRDefault="004D45B3" w:rsidP="004D45B3">
    <w:pPr>
      <w:pStyle w:val="Footer"/>
      <w:rPr>
        <w:caps/>
        <w:noProof/>
        <w:color w:val="000000" w:themeColor="text1"/>
        <w:sz w:val="22"/>
        <w:szCs w:val="21"/>
      </w:rPr>
    </w:pPr>
    <w:r w:rsidRPr="004D45B3">
      <w:rPr>
        <w:rFonts w:cs="Arial"/>
        <w:color w:val="000000" w:themeColor="text1"/>
        <w:sz w:val="22"/>
        <w:szCs w:val="21"/>
      </w:rPr>
      <w:t>Prashant Hirjibhai Gajera</w:t>
    </w:r>
    <w:r w:rsidRPr="004D45B3">
      <w:rPr>
        <w:caps/>
        <w:color w:val="000000" w:themeColor="text1"/>
        <w:sz w:val="22"/>
        <w:szCs w:val="21"/>
      </w:rPr>
      <w:t xml:space="preserve">                       </w:t>
    </w:r>
    <w:r w:rsidRPr="004D45B3">
      <w:rPr>
        <w:color w:val="000000" w:themeColor="text1"/>
        <w:sz w:val="22"/>
        <w:szCs w:val="21"/>
      </w:rPr>
      <w:t xml:space="preserve">Dissertation </w:t>
    </w:r>
    <w:r w:rsidRPr="004D45B3">
      <w:rPr>
        <w:caps/>
        <w:color w:val="000000" w:themeColor="text1"/>
        <w:sz w:val="22"/>
        <w:szCs w:val="21"/>
      </w:rPr>
      <w:t xml:space="preserve">                                              </w:t>
    </w:r>
    <w:r w:rsidRPr="004D45B3">
      <w:rPr>
        <w:caps/>
        <w:color w:val="000000" w:themeColor="text1"/>
        <w:sz w:val="22"/>
        <w:szCs w:val="21"/>
      </w:rPr>
      <w:fldChar w:fldCharType="begin"/>
    </w:r>
    <w:r w:rsidRPr="004D45B3">
      <w:rPr>
        <w:caps/>
        <w:color w:val="000000" w:themeColor="text1"/>
        <w:sz w:val="22"/>
        <w:szCs w:val="21"/>
      </w:rPr>
      <w:instrText xml:space="preserve"> PAGE   \* MERGEFORMAT </w:instrText>
    </w:r>
    <w:r w:rsidRPr="004D45B3">
      <w:rPr>
        <w:caps/>
        <w:color w:val="000000" w:themeColor="text1"/>
        <w:sz w:val="22"/>
        <w:szCs w:val="21"/>
      </w:rPr>
      <w:fldChar w:fldCharType="separate"/>
    </w:r>
    <w:r w:rsidRPr="004D45B3">
      <w:rPr>
        <w:caps/>
        <w:noProof/>
        <w:color w:val="000000" w:themeColor="text1"/>
        <w:sz w:val="22"/>
        <w:szCs w:val="21"/>
      </w:rPr>
      <w:t>2</w:t>
    </w:r>
    <w:r w:rsidRPr="004D45B3">
      <w:rPr>
        <w:caps/>
        <w:noProof/>
        <w:color w:val="000000" w:themeColor="text1"/>
        <w:sz w:val="22"/>
        <w:szCs w:val="21"/>
      </w:rPr>
      <w:fldChar w:fldCharType="end"/>
    </w:r>
  </w:p>
  <w:p w14:paraId="32C7D0C1" w14:textId="4F2F2FE8" w:rsidR="004D45B3" w:rsidRPr="004D45B3" w:rsidRDefault="004D45B3">
    <w:pPr>
      <w:pStyle w:val="Footer"/>
      <w:rPr>
        <w:sz w:val="22"/>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75A89" w14:textId="77777777" w:rsidR="009C5B24" w:rsidRDefault="009C5B24">
      <w:pPr>
        <w:spacing w:after="0" w:line="240" w:lineRule="auto"/>
      </w:pPr>
      <w:r>
        <w:rPr>
          <w:color w:val="000000"/>
        </w:rPr>
        <w:separator/>
      </w:r>
    </w:p>
  </w:footnote>
  <w:footnote w:type="continuationSeparator" w:id="0">
    <w:p w14:paraId="3C3798C5" w14:textId="77777777" w:rsidR="009C5B24" w:rsidRDefault="009C5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B44BA"/>
    <w:multiLevelType w:val="multilevel"/>
    <w:tmpl w:val="9142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060239"/>
    <w:multiLevelType w:val="multilevel"/>
    <w:tmpl w:val="FF64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493182"/>
    <w:multiLevelType w:val="multilevel"/>
    <w:tmpl w:val="03147BA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
      <w:lvlJc w:val="left"/>
      <w:pPr>
        <w:ind w:left="1440" w:hanging="360"/>
      </w:pPr>
      <w:rPr>
        <w:rFonts w:ascii="Times New Roman" w:eastAsia="Times New Roman" w:hAnsi="Times New Roman" w:cs="Times New Roman"/>
      </w:rPr>
    </w:lvl>
    <w:lvl w:ilvl="2">
      <w:start w:val="1"/>
      <w:numFmt w:val="lowerRoman"/>
      <w:lvlText w:val="."/>
      <w:lvlJc w:val="left"/>
      <w:pPr>
        <w:ind w:left="2160" w:hanging="360"/>
      </w:pPr>
      <w:rPr>
        <w:rFonts w:ascii="Times New Roman" w:eastAsia="Times New Roman" w:hAnsi="Times New Roman" w:cs="Times New Roman"/>
      </w:rPr>
    </w:lvl>
    <w:lvl w:ilvl="3">
      <w:start w:val="1"/>
      <w:numFmt w:val="decimal"/>
      <w:lvlText w:val="."/>
      <w:lvlJc w:val="left"/>
      <w:pPr>
        <w:ind w:left="2880" w:hanging="360"/>
      </w:pPr>
      <w:rPr>
        <w:rFonts w:ascii="Times New Roman" w:eastAsia="Times New Roman" w:hAnsi="Times New Roman" w:cs="Times New Roman"/>
      </w:rPr>
    </w:lvl>
    <w:lvl w:ilvl="4">
      <w:start w:val="1"/>
      <w:numFmt w:val="lowerLetter"/>
      <w:lvlText w:val="."/>
      <w:lvlJc w:val="left"/>
      <w:pPr>
        <w:ind w:left="3600" w:hanging="360"/>
      </w:pPr>
      <w:rPr>
        <w:rFonts w:ascii="Times New Roman" w:eastAsia="Times New Roman" w:hAnsi="Times New Roman" w:cs="Times New Roman"/>
      </w:rPr>
    </w:lvl>
    <w:lvl w:ilvl="5">
      <w:start w:val="1"/>
      <w:numFmt w:val="lowerRoman"/>
      <w:lvlText w:val="."/>
      <w:lvlJc w:val="left"/>
      <w:pPr>
        <w:ind w:left="4320" w:hanging="360"/>
      </w:pPr>
      <w:rPr>
        <w:rFonts w:ascii="Times New Roman" w:eastAsia="Times New Roman" w:hAnsi="Times New Roman" w:cs="Times New Roman"/>
      </w:rPr>
    </w:lvl>
    <w:lvl w:ilvl="6">
      <w:start w:val="1"/>
      <w:numFmt w:val="decimal"/>
      <w:lvlText w:val="."/>
      <w:lvlJc w:val="left"/>
      <w:pPr>
        <w:ind w:left="5040" w:hanging="360"/>
      </w:pPr>
      <w:rPr>
        <w:rFonts w:ascii="Times New Roman" w:eastAsia="Times New Roman" w:hAnsi="Times New Roman" w:cs="Times New Roman"/>
      </w:rPr>
    </w:lvl>
    <w:lvl w:ilvl="7">
      <w:start w:val="1"/>
      <w:numFmt w:val="lowerLetter"/>
      <w:lvlText w:val="."/>
      <w:lvlJc w:val="left"/>
      <w:pPr>
        <w:ind w:left="5760" w:hanging="360"/>
      </w:pPr>
      <w:rPr>
        <w:rFonts w:ascii="Times New Roman" w:eastAsia="Times New Roman" w:hAnsi="Times New Roman" w:cs="Times New Roman"/>
      </w:rPr>
    </w:lvl>
    <w:lvl w:ilvl="8">
      <w:start w:val="1"/>
      <w:numFmt w:val="lowerRoman"/>
      <w:lvlText w:val="."/>
      <w:lvlJc w:val="left"/>
      <w:pPr>
        <w:ind w:left="6480" w:hanging="360"/>
      </w:pPr>
      <w:rPr>
        <w:rFonts w:ascii="Times New Roman" w:eastAsia="Times New Roman" w:hAnsi="Times New Roman" w:cs="Times New Roman"/>
      </w:rPr>
    </w:lvl>
  </w:abstractNum>
  <w:abstractNum w:abstractNumId="3" w15:restartNumberingAfterBreak="0">
    <w:nsid w:val="5971021A"/>
    <w:multiLevelType w:val="multilevel"/>
    <w:tmpl w:val="AFE0CD2C"/>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
      <w:lvlJc w:val="left"/>
      <w:pPr>
        <w:ind w:left="1080" w:hanging="360"/>
      </w:pPr>
      <w:rPr>
        <w:rFonts w:ascii="Times New Roman" w:eastAsia="Times New Roman" w:hAnsi="Times New Roman" w:cs="Times New Roman"/>
      </w:rPr>
    </w:lvl>
    <w:lvl w:ilvl="2">
      <w:start w:val="1"/>
      <w:numFmt w:val="lowerRoman"/>
      <w:lvlText w:val="."/>
      <w:lvlJc w:val="right"/>
      <w:pPr>
        <w:ind w:left="1800" w:hanging="360"/>
      </w:pPr>
      <w:rPr>
        <w:rFonts w:ascii="Times New Roman" w:eastAsia="Times New Roman" w:hAnsi="Times New Roman" w:cs="Times New Roman"/>
      </w:rPr>
    </w:lvl>
    <w:lvl w:ilvl="3">
      <w:start w:val="1"/>
      <w:numFmt w:val="decimal"/>
      <w:lvlText w:val="."/>
      <w:lvlJc w:val="left"/>
      <w:pPr>
        <w:ind w:left="2520" w:hanging="360"/>
      </w:pPr>
      <w:rPr>
        <w:rFonts w:ascii="Times New Roman" w:eastAsia="Times New Roman" w:hAnsi="Times New Roman" w:cs="Times New Roman"/>
      </w:rPr>
    </w:lvl>
    <w:lvl w:ilvl="4">
      <w:start w:val="1"/>
      <w:numFmt w:val="lowerLetter"/>
      <w:lvlText w:val="."/>
      <w:lvlJc w:val="left"/>
      <w:pPr>
        <w:ind w:left="3240" w:hanging="360"/>
      </w:pPr>
      <w:rPr>
        <w:rFonts w:ascii="Times New Roman" w:eastAsia="Times New Roman" w:hAnsi="Times New Roman" w:cs="Times New Roman"/>
      </w:rPr>
    </w:lvl>
    <w:lvl w:ilvl="5">
      <w:start w:val="1"/>
      <w:numFmt w:val="lowerRoman"/>
      <w:lvlText w:val="."/>
      <w:lvlJc w:val="right"/>
      <w:pPr>
        <w:ind w:left="3960" w:hanging="360"/>
      </w:pPr>
      <w:rPr>
        <w:rFonts w:ascii="Times New Roman" w:eastAsia="Times New Roman" w:hAnsi="Times New Roman" w:cs="Times New Roman"/>
      </w:rPr>
    </w:lvl>
    <w:lvl w:ilvl="6">
      <w:start w:val="1"/>
      <w:numFmt w:val="decimal"/>
      <w:lvlText w:val="."/>
      <w:lvlJc w:val="left"/>
      <w:pPr>
        <w:ind w:left="4680" w:hanging="360"/>
      </w:pPr>
      <w:rPr>
        <w:rFonts w:ascii="Times New Roman" w:eastAsia="Times New Roman" w:hAnsi="Times New Roman" w:cs="Times New Roman"/>
      </w:rPr>
    </w:lvl>
    <w:lvl w:ilvl="7">
      <w:start w:val="1"/>
      <w:numFmt w:val="lowerLetter"/>
      <w:lvlText w:val="."/>
      <w:lvlJc w:val="left"/>
      <w:pPr>
        <w:ind w:left="5400" w:hanging="360"/>
      </w:pPr>
      <w:rPr>
        <w:rFonts w:ascii="Times New Roman" w:eastAsia="Times New Roman" w:hAnsi="Times New Roman" w:cs="Times New Roman"/>
      </w:rPr>
    </w:lvl>
    <w:lvl w:ilvl="8">
      <w:start w:val="1"/>
      <w:numFmt w:val="lowerRoman"/>
      <w:lvlText w:val="."/>
      <w:lvlJc w:val="right"/>
      <w:pPr>
        <w:ind w:left="6120" w:hanging="360"/>
      </w:pPr>
      <w:rPr>
        <w:rFonts w:ascii="Times New Roman" w:eastAsia="Times New Roman" w:hAnsi="Times New Roman" w:cs="Times New Roman"/>
      </w:rPr>
    </w:lvl>
  </w:abstractNum>
  <w:abstractNum w:abstractNumId="4" w15:restartNumberingAfterBreak="0">
    <w:nsid w:val="7D422EA7"/>
    <w:multiLevelType w:val="hybridMultilevel"/>
    <w:tmpl w:val="0C8C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8038855">
    <w:abstractNumId w:val="2"/>
  </w:num>
  <w:num w:numId="2" w16cid:durableId="1165122441">
    <w:abstractNumId w:val="2"/>
    <w:lvlOverride w:ilvl="0">
      <w:startOverride w:val="1"/>
    </w:lvlOverride>
  </w:num>
  <w:num w:numId="3" w16cid:durableId="1533297227">
    <w:abstractNumId w:val="3"/>
  </w:num>
  <w:num w:numId="4" w16cid:durableId="151457938">
    <w:abstractNumId w:val="3"/>
    <w:lvlOverride w:ilvl="0">
      <w:startOverride w:val="1"/>
    </w:lvlOverride>
  </w:num>
  <w:num w:numId="5" w16cid:durableId="1521158719">
    <w:abstractNumId w:val="0"/>
  </w:num>
  <w:num w:numId="6" w16cid:durableId="1614357600">
    <w:abstractNumId w:val="1"/>
  </w:num>
  <w:num w:numId="7" w16cid:durableId="350030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GxNDM3NLCwMDY0NLFU0lEKTi0uzszPAykwrgUAWzeL0iwAAAA="/>
  </w:docVars>
  <w:rsids>
    <w:rsidRoot w:val="00BE776A"/>
    <w:rsid w:val="0007681E"/>
    <w:rsid w:val="000B596F"/>
    <w:rsid w:val="000C3B4B"/>
    <w:rsid w:val="000D0DEA"/>
    <w:rsid w:val="00116E5C"/>
    <w:rsid w:val="00156137"/>
    <w:rsid w:val="00250663"/>
    <w:rsid w:val="002B47CA"/>
    <w:rsid w:val="002F6A42"/>
    <w:rsid w:val="00302DFE"/>
    <w:rsid w:val="0032671A"/>
    <w:rsid w:val="003418A6"/>
    <w:rsid w:val="00352C32"/>
    <w:rsid w:val="003C4E27"/>
    <w:rsid w:val="004047C2"/>
    <w:rsid w:val="00410E48"/>
    <w:rsid w:val="0049192E"/>
    <w:rsid w:val="004D45B3"/>
    <w:rsid w:val="004E37BB"/>
    <w:rsid w:val="004E4379"/>
    <w:rsid w:val="004F56FB"/>
    <w:rsid w:val="00575497"/>
    <w:rsid w:val="005E3B3E"/>
    <w:rsid w:val="00634BD0"/>
    <w:rsid w:val="007E1B87"/>
    <w:rsid w:val="008A0A2C"/>
    <w:rsid w:val="00993FB2"/>
    <w:rsid w:val="009C5653"/>
    <w:rsid w:val="009C5B24"/>
    <w:rsid w:val="009F2D19"/>
    <w:rsid w:val="00A412A9"/>
    <w:rsid w:val="00A82F5E"/>
    <w:rsid w:val="00A97C90"/>
    <w:rsid w:val="00AA09E3"/>
    <w:rsid w:val="00AB23B0"/>
    <w:rsid w:val="00AC1491"/>
    <w:rsid w:val="00AD2CD0"/>
    <w:rsid w:val="00BC5F46"/>
    <w:rsid w:val="00BE776A"/>
    <w:rsid w:val="00C33A9F"/>
    <w:rsid w:val="00C37C68"/>
    <w:rsid w:val="00C7311A"/>
    <w:rsid w:val="00CA024B"/>
    <w:rsid w:val="00D25631"/>
    <w:rsid w:val="00D77B75"/>
    <w:rsid w:val="00D82593"/>
    <w:rsid w:val="00DC5845"/>
    <w:rsid w:val="00E471BB"/>
    <w:rsid w:val="00E822A6"/>
    <w:rsid w:val="00EA0B39"/>
    <w:rsid w:val="00F621CE"/>
    <w:rsid w:val="00F8032E"/>
    <w:rsid w:val="00F97504"/>
    <w:rsid w:val="00FC30E0"/>
    <w:rsid w:val="00FD352C"/>
    <w:rsid w:val="00FD7A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AC04"/>
  <w15:docId w15:val="{BF65A350-E0E6-4646-9181-E7129A00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IN"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ascii="Arial" w:eastAsia="Times New Roman" w:hAnsi="Arial"/>
      <w:szCs w:val="22"/>
      <w:lang w:val="en-GB" w:eastAsia="zh-CN"/>
    </w:rPr>
  </w:style>
  <w:style w:type="paragraph" w:styleId="Heading1">
    <w:name w:val="heading 1"/>
    <w:basedOn w:val="Normal"/>
    <w:next w:val="Normal"/>
    <w:uiPriority w:val="9"/>
    <w:qFormat/>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pPr>
      <w:keepNext/>
      <w:keepLines/>
      <w:spacing w:before="40" w:after="0"/>
      <w:outlineLvl w:val="6"/>
    </w:pPr>
    <w:rPr>
      <w:color w:val="595959"/>
    </w:rPr>
  </w:style>
  <w:style w:type="paragraph" w:styleId="Heading8">
    <w:name w:val="heading 8"/>
    <w:basedOn w:val="Normal"/>
    <w:next w:val="Normal"/>
    <w:pPr>
      <w:keepNext/>
      <w:keepLines/>
      <w:spacing w:after="0"/>
      <w:outlineLvl w:val="7"/>
    </w:pPr>
    <w:rPr>
      <w:i/>
      <w:iCs/>
      <w:color w:val="272727"/>
    </w:rPr>
  </w:style>
  <w:style w:type="paragraph" w:styleId="Heading9">
    <w:name w:val="heading 9"/>
    <w:basedOn w:val="Normal"/>
    <w:next w:val="Normal"/>
    <w:pPr>
      <w:keepNext/>
      <w:keepLines/>
      <w:spacing w:after="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eastAsia="Times New Roman" w:hAnsi="Segoe UI" w:cs="Segoe UI"/>
      <w:sz w:val="18"/>
      <w:szCs w:val="18"/>
      <w:lang w:val="en-GB" w:eastAsia="zh-CN"/>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rFonts w:ascii="Arial" w:eastAsia="Times New Roman" w:hAnsi="Arial"/>
      <w:sz w:val="20"/>
      <w:szCs w:val="20"/>
      <w:lang w:val="en-GB" w:eastAsia="zh-CN"/>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eastAsia="Times New Roman" w:hAnsi="Arial"/>
      <w:b/>
      <w:bCs/>
      <w:sz w:val="20"/>
      <w:szCs w:val="20"/>
      <w:lang w:val="en-GB" w:eastAsia="zh-CN"/>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Arial" w:eastAsia="Times New Roman" w:hAnsi="Arial"/>
      <w:szCs w:val="22"/>
      <w:lang w:val="en-GB" w:eastAsia="zh-CN"/>
    </w:rPr>
  </w:style>
  <w:style w:type="paragraph" w:styleId="NormalWeb">
    <w:name w:val="Normal (Web)"/>
    <w:basedOn w:val="Normal"/>
    <w:pPr>
      <w:spacing w:before="100" w:after="100" w:line="240" w:lineRule="auto"/>
    </w:pPr>
    <w:rPr>
      <w:rFonts w:ascii="Times New Roman" w:hAnsi="Times New Roman"/>
      <w:kern w:val="0"/>
      <w:szCs w:val="24"/>
      <w:lang w:eastAsia="en-GB" w:bidi="bn-IN"/>
    </w:rPr>
  </w:style>
  <w:style w:type="paragraph" w:styleId="TableofFigures">
    <w:name w:val="table of figures"/>
    <w:basedOn w:val="Normal"/>
    <w:next w:val="Normal"/>
    <w:pPr>
      <w:spacing w:after="0"/>
    </w:pPr>
  </w:style>
  <w:style w:type="paragraph" w:styleId="TOC1">
    <w:name w:val="toc 1"/>
    <w:next w:val="Normal"/>
    <w:uiPriority w:val="39"/>
    <w:pPr>
      <w:suppressAutoHyphens/>
      <w:spacing w:after="109" w:line="244" w:lineRule="auto"/>
      <w:ind w:left="25" w:right="19" w:hanging="10"/>
    </w:pPr>
    <w:rPr>
      <w:rFonts w:ascii="Times New Roman" w:eastAsia="Times New Roman" w:hAnsi="Times New Roman"/>
      <w:color w:val="000000"/>
      <w:szCs w:val="22"/>
      <w:lang w:val="en-GB" w:eastAsia="zh-CN"/>
    </w:r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spacing w:after="100"/>
      <w:ind w:left="440"/>
    </w:pPr>
  </w:style>
  <w:style w:type="character" w:styleId="CommentReference">
    <w:name w:val="annotation reference"/>
    <w:basedOn w:val="DefaultParagraphFont"/>
    <w:rPr>
      <w:sz w:val="16"/>
      <w:szCs w:val="16"/>
    </w:rPr>
  </w:style>
  <w:style w:type="character" w:styleId="FollowedHyperlink">
    <w:name w:val="FollowedHyperlink"/>
    <w:basedOn w:val="DefaultParagraphFont"/>
    <w:rPr>
      <w:color w:val="96607D"/>
      <w:u w:val="single"/>
    </w:rPr>
  </w:style>
  <w:style w:type="character" w:styleId="Hyperlink">
    <w:name w:val="Hyperlink"/>
    <w:basedOn w:val="DefaultParagraphFont"/>
    <w:uiPriority w:val="99"/>
    <w:rPr>
      <w:color w:val="467886"/>
      <w:u w:val="single"/>
    </w:rPr>
  </w:style>
  <w:style w:type="paragraph" w:customStyle="1" w:styleId="Quote1">
    <w:name w:val="Quote1"/>
    <w:basedOn w:val="Normal"/>
    <w:next w:val="Normal"/>
    <w:pPr>
      <w:spacing w:before="160"/>
      <w:jc w:val="center"/>
    </w:pPr>
    <w:rPr>
      <w:i/>
      <w:iCs/>
      <w:color w:val="000000"/>
    </w:rPr>
  </w:style>
  <w:style w:type="paragraph" w:customStyle="1" w:styleId="ListParagraph1">
    <w:name w:val="List Paragraph1"/>
    <w:basedOn w:val="Normal"/>
    <w:pPr>
      <w:ind w:left="720"/>
      <w:contextualSpacing/>
    </w:pPr>
  </w:style>
  <w:style w:type="character" w:customStyle="1" w:styleId="IntenseEmphasis1">
    <w:name w:val="Intense Emphasis1"/>
    <w:basedOn w:val="DefaultParagraphFont"/>
    <w:rPr>
      <w:i/>
      <w:iCs/>
      <w:color w:val="0F4761"/>
    </w:rPr>
  </w:style>
  <w:style w:type="paragraph" w:customStyle="1" w:styleId="IntenseQuote1">
    <w:name w:val="Intense Quote1"/>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Reference1">
    <w:name w:val="Intense Reference1"/>
    <w:basedOn w:val="DefaultParagraphFont"/>
    <w:rPr>
      <w:b/>
      <w:bCs/>
      <w:smallCaps/>
      <w:color w:val="0F4761"/>
      <w:spacing w:val="5"/>
    </w:rPr>
  </w:style>
  <w:style w:type="paragraph" w:customStyle="1" w:styleId="msonormal0">
    <w:name w:val="msonormal"/>
    <w:basedOn w:val="Normal"/>
    <w:pPr>
      <w:spacing w:before="100" w:after="100" w:line="240" w:lineRule="auto"/>
    </w:pPr>
    <w:rPr>
      <w:rFonts w:ascii="Times New Roman" w:hAnsi="Times New Roman"/>
      <w:kern w:val="0"/>
      <w:szCs w:val="24"/>
      <w:lang w:eastAsia="en-GB" w:bidi="bn-IN"/>
    </w:rPr>
  </w:style>
  <w:style w:type="paragraph" w:customStyle="1" w:styleId="TOCHeading1">
    <w:name w:val="TOC Heading1"/>
    <w:basedOn w:val="Heading1"/>
    <w:next w:val="Normal"/>
    <w:pPr>
      <w:spacing w:before="240" w:after="0" w:line="254" w:lineRule="auto"/>
    </w:pPr>
    <w:rPr>
      <w:rFonts w:ascii="Arial" w:hAnsi="Arial"/>
      <w:b/>
      <w:color w:val="000000"/>
      <w:kern w:val="0"/>
      <w:sz w:val="32"/>
      <w:szCs w:val="32"/>
      <w:lang w:val="en-US"/>
    </w:rPr>
  </w:style>
  <w:style w:type="character" w:customStyle="1" w:styleId="UnresolvedMention1">
    <w:name w:val="Unresolved Mention1"/>
    <w:basedOn w:val="DefaultParagraphFont"/>
    <w:rPr>
      <w:color w:val="605E5C"/>
      <w:shd w:val="clear" w:color="auto" w:fill="E1DFDD"/>
    </w:rPr>
  </w:style>
  <w:style w:type="paragraph" w:customStyle="1" w:styleId="pdq2pgselectionanchorcontainer">
    <w:name w:val="pdq2pg_selectionanchorcontainer"/>
    <w:basedOn w:val="Normal"/>
    <w:pPr>
      <w:spacing w:before="100" w:after="100" w:line="240" w:lineRule="auto"/>
      <w:jc w:val="left"/>
    </w:pPr>
    <w:rPr>
      <w:rFonts w:ascii="Times New Roman" w:hAnsi="Times New Roman"/>
      <w:kern w:val="0"/>
      <w:szCs w:val="24"/>
      <w:lang w:val="en-US" w:eastAsia="en-US"/>
    </w:rPr>
  </w:style>
  <w:style w:type="paragraph" w:styleId="Footer">
    <w:name w:val="footer"/>
    <w:basedOn w:val="Normal"/>
    <w:link w:val="FooterChar"/>
    <w:uiPriority w:val="99"/>
    <w:unhideWhenUsed/>
    <w:rsid w:val="004D4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5B3"/>
    <w:rPr>
      <w:rFonts w:ascii="Arial" w:eastAsia="Times New Roman" w:hAnsi="Arial"/>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yperlink" Target="https://www.mdpi.com/1660-4601/19/12/7495" TargetMode="External" /><Relationship Id="rId26" Type="http://schemas.openxmlformats.org/officeDocument/2006/relationships/hyperlink" Target="https://books.google.com/books?hl=en&amp;lr=&amp;id=3fVJEAAAQBAJ&amp;oi=fnd&amp;pg=PA2021&amp;dq=training+programmes+in+healthare+are+supposed+to+be+done+on+an+aesthetic+and+reflective+background,+with+teamwork+by+a+multidisciplinary+team+as+opposed+to+individual+educational+programs.+&amp;ots=qEA-QkUMPG&amp;sig=btmCv0zXfHhWaTUibezN9cSuEtw" TargetMode="External" /><Relationship Id="rId39" Type="http://schemas.openxmlformats.org/officeDocument/2006/relationships/hyperlink" Target="https://doi.org/10.1016/S2468-2667(20)30287-5" TargetMode="External" /><Relationship Id="rId3" Type="http://schemas.openxmlformats.org/officeDocument/2006/relationships/settings" Target="settings.xml" /><Relationship Id="rId21" Type="http://schemas.openxmlformats.org/officeDocument/2006/relationships/hyperlink" Target="https://digital.nhs.uk/data-and-information/publications/statistical/mental-health-act-statistics-annual-figures/2024-25-annual-figures/detentions-differences-between-groups-of-people" TargetMode="External" /><Relationship Id="rId34" Type="http://schemas.openxmlformats.org/officeDocument/2006/relationships/hyperlink" Target="https://www.kingsfund.org.uk/insight-and-analysis/long-reads/health-people-ethnic-minority-groups-england" TargetMode="External" /><Relationship Id="rId42" Type="http://schemas.openxmlformats.org/officeDocument/2006/relationships/hyperlink" Target="https://books.google.com/books?hl=en&amp;lr=&amp;id=kHsOEQAAQBAJ&amp;oi=fnd&amp;pg=PR6&amp;dq=ongoing+training+related+to+cultural+competence+enables+medical+professionals+to+become+more+competent+in+their+intercultural+communication,+perceive+unconscious+bias,+and+provide+more+people-centred+care&amp;ots=urK8GOikO8&amp;sig=7FSBN0ws4Mz5OsY_qmq97HhzYtc"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www.tandfonline.com/doi/pdf/10.1080/26895269.2022.2129597" TargetMode="External" /><Relationship Id="rId25" Type="http://schemas.openxmlformats.org/officeDocument/2006/relationships/hyperlink" Target="https://files.eric.ed.gov/fulltext/ED619359.pdf" TargetMode="External" /><Relationship Id="rId33" Type="http://schemas.openxmlformats.org/officeDocument/2006/relationships/hyperlink" Target="https://doi.org/10.1186/s12913-026-14146-5" TargetMode="External" /><Relationship Id="rId38" Type="http://schemas.openxmlformats.org/officeDocument/2006/relationships/hyperlink" Target="https://doi.org/10.1186/s12875-024-02630-y" TargetMode="External" /><Relationship Id="rId2" Type="http://schemas.openxmlformats.org/officeDocument/2006/relationships/styles" Target="styles.xml" /><Relationship Id="rId16" Type="http://schemas.openxmlformats.org/officeDocument/2006/relationships/hyperlink" Target="https://doi.org/10.1371/journal.pmed.1004139" TargetMode="External" /><Relationship Id="rId20" Type="http://schemas.openxmlformats.org/officeDocument/2006/relationships/hyperlink" Target="https://www.mdpi.com/2071-1050/15/12/9645" TargetMode="External" /><Relationship Id="rId29" Type="http://schemas.openxmlformats.org/officeDocument/2006/relationships/hyperlink" Target="https://www.england.nhs.uk/long-read/patient-and-carer-race-equality-framework/" TargetMode="External" /><Relationship Id="rId41" Type="http://schemas.openxmlformats.org/officeDocument/2006/relationships/hyperlink" Target="https://www.sciencedirect.com/science/article/pii/S0950584922000659"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podj.com.pk/index.php/podj/article/download/811/592/" TargetMode="External" /><Relationship Id="rId32" Type="http://schemas.openxmlformats.org/officeDocument/2006/relationships/hyperlink" Target="https://www.academia.edu/download/123269634/Family_Medicine_Approaches_to_Improve_Chronic_Disease_Mangement_and_Patient_Centered_Outcomes_by_Eunice_Olowomeye.pdf" TargetMode="External" /><Relationship Id="rId37" Type="http://schemas.openxmlformats.org/officeDocument/2006/relationships/hyperlink" Target="https://hal.science/hal-03741840/document" TargetMode="External" /><Relationship Id="rId40" Type="http://schemas.openxmlformats.org/officeDocument/2006/relationships/hyperlink" Target="https://www.sciencedirect.com/science/article/pii/S0006497123090043" TargetMode="External" /><Relationship Id="rId45"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doi.org/10.1192/bjp.2021.179" TargetMode="External" /><Relationship Id="rId23" Type="http://schemas.openxmlformats.org/officeDocument/2006/relationships/hyperlink" Target="https://pmc.ncbi.nlm.nih.gov/articles/PMC7783927/" TargetMode="External" /><Relationship Id="rId28" Type="http://schemas.openxmlformats.org/officeDocument/2006/relationships/hyperlink" Target="https://link.springer.com/chapter/10.1007/978-3-031-30031-8_6" TargetMode="External" /><Relationship Id="rId36" Type="http://schemas.openxmlformats.org/officeDocument/2006/relationships/hyperlink" Target="https://www.taylorfrancis.com/chapters/edit/10.1201/9781003088226-1/introduction-research-methodology-vikas-anand-saharan-hitesh-kulhari-hemant-jadhav-deep-pooja-surojit-banerjee-anupama-singh" TargetMode="External" /><Relationship Id="rId10" Type="http://schemas.openxmlformats.org/officeDocument/2006/relationships/image" Target="media/image4.png" /><Relationship Id="rId19" Type="http://schemas.openxmlformats.org/officeDocument/2006/relationships/hyperlink" Target="https://books.google.com/books?hl=en&amp;lr=&amp;id=EWX1EAAAQBAJ&amp;oi=fnd&amp;pg=PA1987&amp;dq=culturally+competent+care+(CCC)++entail+the+ability+of+healthcare+providers+to+deliver+respectful,+fair+and+person-centred+care+sensitive+to+cultural+beliefs,+linguistic+and+cultural+values+of+language+&amp;ots=cgrFX5sFfK&amp;sig=gHdEkGK99Lb-4LmubstHVxrDD1k" TargetMode="External" /><Relationship Id="rId31" Type="http://schemas.openxmlformats.org/officeDocument/2006/relationships/hyperlink" Target="https://onlinelibrary.wiley.com/doi/pdf/10.1111/1467-9566.13875" TargetMode="External" /><Relationship Id="rId44"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doi.org/10.3390/ijerph182312599" TargetMode="External" /><Relationship Id="rId27" Type="http://schemas.openxmlformats.org/officeDocument/2006/relationships/hyperlink" Target="https://www.sciencedirect.com/science/article/pii/S266730532200031X" TargetMode="External" /><Relationship Id="rId30" Type="http://schemas.openxmlformats.org/officeDocument/2006/relationships/hyperlink" Target="https://www.england.nhs.uk/long-read/patient-safety-healthcare-inequalities-reduction-framework/" TargetMode="External" /><Relationship Id="rId35" Type="http://schemas.openxmlformats.org/officeDocument/2006/relationships/hyperlink" Target="https://www.nature.com/articles/s41599-022-01073-z.pdf" TargetMode="External" /><Relationship Id="rId43"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24903</Words>
  <Characters>141949</Characters>
  <Application>Microsoft Office Word</Application>
  <DocSecurity>0</DocSecurity>
  <Lines>1182</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 gajera</dc:creator>
  <dc:description/>
  <cp:lastModifiedBy>Prashant Hirjibhai Gajera (2428140)</cp:lastModifiedBy>
  <cp:revision>3</cp:revision>
  <dcterms:created xsi:type="dcterms:W3CDTF">2026-09-25T07:55:00Z</dcterms:created>
  <dcterms:modified xsi:type="dcterms:W3CDTF">2026-09-25T08:01:00Z</dcterms:modified>
</cp:coreProperties>
</file>