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C2990" w14:textId="47AE03EC" w:rsidR="00424A05" w:rsidRPr="00EE3CB4" w:rsidRDefault="00424A05" w:rsidP="00EE3CB4">
      <w:pPr>
        <w:spacing w:before="240" w:after="0" w:line="360" w:lineRule="auto"/>
        <w:jc w:val="center"/>
        <w:rPr>
          <w:rFonts w:ascii="Arial" w:hAnsi="Arial" w:cs="Arial"/>
          <w:color w:val="000000"/>
          <w:sz w:val="28"/>
          <w:szCs w:val="28"/>
          <w:u w:val="single"/>
          <w:shd w:val="clear" w:color="auto" w:fill="FFFFFF"/>
        </w:rPr>
      </w:pPr>
      <w:r w:rsidRPr="00424A05">
        <w:rPr>
          <w:rFonts w:ascii="Arial" w:hAnsi="Arial" w:cs="Arial"/>
          <w:sz w:val="28"/>
          <w:szCs w:val="28"/>
          <w:u w:val="single"/>
        </w:rPr>
        <w:t>Curriculum Module</w:t>
      </w:r>
    </w:p>
    <w:p w14:paraId="1C368128" w14:textId="5F1A3DB4" w:rsidR="00424A05" w:rsidRPr="00424A05" w:rsidRDefault="00424A05" w:rsidP="00424A05">
      <w:pPr>
        <w:spacing w:before="240" w:after="0" w:line="360" w:lineRule="auto"/>
        <w:rPr>
          <w:rFonts w:ascii="Arial" w:hAnsi="Arial" w:cs="Arial"/>
          <w:sz w:val="28"/>
          <w:szCs w:val="28"/>
          <w:u w:val="single"/>
        </w:rPr>
      </w:pPr>
      <w:r w:rsidRPr="00A71EF2">
        <w:rPr>
          <w:rFonts w:ascii="Arial" w:hAnsi="Arial" w:cs="Arial"/>
          <w:sz w:val="28"/>
          <w:szCs w:val="28"/>
          <w:u w:val="single"/>
        </w:rPr>
        <w:t>Section 1</w:t>
      </w:r>
    </w:p>
    <w:p w14:paraId="2F90CFCE" w14:textId="7073AA3D" w:rsidR="00424A05" w:rsidRPr="00A71EF2" w:rsidRDefault="00424A05" w:rsidP="00424A05">
      <w:pPr>
        <w:spacing w:before="240" w:after="0" w:line="360" w:lineRule="auto"/>
        <w:rPr>
          <w:rFonts w:ascii="Arial" w:hAnsi="Arial" w:cs="Arial"/>
          <w:sz w:val="28"/>
          <w:szCs w:val="28"/>
          <w:u w:val="single"/>
        </w:rPr>
      </w:pPr>
      <w:r w:rsidRPr="00A71EF2">
        <w:rPr>
          <w:rFonts w:ascii="Arial" w:hAnsi="Arial" w:cs="Arial"/>
          <w:sz w:val="28"/>
          <w:szCs w:val="28"/>
          <w:u w:val="single"/>
        </w:rPr>
        <w:t>Introduction</w:t>
      </w:r>
    </w:p>
    <w:p w14:paraId="2A9BD4FC" w14:textId="2056E504"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In the subject of early childhood education, the implementation of play-based learning in early years curricula is a matter of great importance</w:t>
      </w:r>
      <w:r w:rsidRPr="00A71EF2">
        <w:rPr>
          <w:rFonts w:ascii="Arial" w:eastAsia="Times New Roman" w:hAnsi="Arial" w:cs="Arial"/>
          <w:kern w:val="0"/>
          <w:sz w:val="28"/>
          <w:szCs w:val="28"/>
          <w:lang w:eastAsia="en-GB"/>
          <w14:ligatures w14:val="none"/>
        </w:rPr>
        <w:t xml:space="preserve"> </w:t>
      </w:r>
      <w:r w:rsidRPr="00A71EF2">
        <w:rPr>
          <w:rFonts w:ascii="Arial" w:hAnsi="Arial" w:cs="Arial"/>
          <w:sz w:val="28"/>
          <w:szCs w:val="28"/>
        </w:rPr>
        <w:t>Zosh, J et al. (2017), Lillard et al., (2017) NAEYC, (2009) and</w:t>
      </w:r>
      <w:r w:rsidRPr="00A71EF2">
        <w:rPr>
          <w:rFonts w:ascii="Arial" w:eastAsia="Times New Roman" w:hAnsi="Arial" w:cs="Arial"/>
          <w:kern w:val="0"/>
          <w:sz w:val="28"/>
          <w:szCs w:val="28"/>
          <w:lang w:eastAsia="en-GB"/>
          <w14:ligatures w14:val="none"/>
        </w:rPr>
        <w:t xml:space="preserve"> Siraj-Blatchford, 2009)</w:t>
      </w:r>
      <w:r w:rsidRPr="00A71EF2">
        <w:rPr>
          <w:rFonts w:ascii="Arial" w:hAnsi="Arial" w:cs="Arial"/>
          <w:sz w:val="28"/>
          <w:szCs w:val="28"/>
        </w:rPr>
        <w:t>. This critical analysis explores the impact of play-based learning strategies, utilising data and reports from evaluative research to provide insights.</w:t>
      </w:r>
    </w:p>
    <w:p w14:paraId="37469D7E"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The foundation of play-based learning is the concept that children learn best when they are actively involved, exploring and experimenting. Since play is a powerful tool for promoting holistic development, play-based curricula strives to capitalise on this fact. The early years are a key stage in social, cognitive, and emotional development.</w:t>
      </w:r>
    </w:p>
    <w:p w14:paraId="2B14AB5D" w14:textId="77777777" w:rsidR="00424A05" w:rsidRPr="00A71EF2" w:rsidRDefault="00424A05" w:rsidP="00424A05">
      <w:pPr>
        <w:spacing w:before="240" w:after="0" w:line="360" w:lineRule="auto"/>
        <w:rPr>
          <w:rFonts w:ascii="Arial" w:hAnsi="Arial" w:cs="Arial"/>
          <w:sz w:val="28"/>
          <w:szCs w:val="28"/>
          <w:u w:val="single"/>
        </w:rPr>
      </w:pPr>
      <w:r w:rsidRPr="00A71EF2">
        <w:rPr>
          <w:rFonts w:ascii="Arial" w:hAnsi="Arial" w:cs="Arial"/>
          <w:sz w:val="28"/>
          <w:szCs w:val="28"/>
          <w:u w:val="single"/>
        </w:rPr>
        <w:t xml:space="preserve">Cognitive Development </w:t>
      </w:r>
    </w:p>
    <w:p w14:paraId="52FED84A"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The beneficial impacts of play-based curriculum on cognitive development have been repeatedly demonstrated by research (Smolik and Duijnstee, 2019), (Lillard et al., 2017). The theories of Piaget and Vygotsky emphasise the role that play serves in the establishment of understanding as well as the development of problem-solving abilities. Research shows that meaningful play improves creativity, critical thinking, and the capacity to link concepts (Aubrey and Riley, 2022), (Conkbayir and Pascal, 2014) and (Woolfolk, A., 2014).</w:t>
      </w:r>
    </w:p>
    <w:p w14:paraId="15BC6FFE"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 xml:space="preserve">According to Lillard et al., (2017) </w:t>
      </w:r>
      <w:bookmarkStart w:id="0" w:name="_Hlk156752907"/>
      <w:r w:rsidRPr="00A71EF2">
        <w:rPr>
          <w:rFonts w:ascii="Arial" w:hAnsi="Arial" w:cs="Arial"/>
          <w:sz w:val="28"/>
          <w:szCs w:val="28"/>
        </w:rPr>
        <w:t>Howard and McInnes, (2013</w:t>
      </w:r>
      <w:bookmarkEnd w:id="0"/>
      <w:r w:rsidRPr="00A71EF2">
        <w:rPr>
          <w:rFonts w:ascii="Arial" w:hAnsi="Arial" w:cs="Arial"/>
          <w:sz w:val="28"/>
          <w:szCs w:val="28"/>
        </w:rPr>
        <w:t>) and Siraj-Blatchford, (2009)  research suggests that children participating in play-</w:t>
      </w:r>
      <w:r w:rsidRPr="00A71EF2">
        <w:rPr>
          <w:rFonts w:ascii="Arial" w:hAnsi="Arial" w:cs="Arial"/>
          <w:sz w:val="28"/>
          <w:szCs w:val="28"/>
        </w:rPr>
        <w:lastRenderedPageBreak/>
        <w:t xml:space="preserve">based learning consistently exceeded their peers in regular schools in terms of academic achievement and cognitive flexibility. Therefore this implies that play-based learning methods help create a stronger basis for intellectual capacities. </w:t>
      </w:r>
    </w:p>
    <w:p w14:paraId="31113308"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 xml:space="preserve">(Aubrey and Riley, 2022) and (Conkbayir and Pascal, 2014) discuss that theories of developmental psychologists Lev Vygotsky and Jean Piaget, two significant researchers, have a strong alignment with play, this is also agreed by (Woolfolk 2014). Through absorption and accommodation, play serves as a process for combining new information into established cognitive frameworks, according to Piaget Woolfolk 2014) and (Conkbayir and Pascal, 2014). In contrast, Vygotsky highlighted how play supports and scaffolds a child's zone of proximal development (Berk, 2009) and (Aubrey and Riley, 2022) while Froelbel adds that play activities for children are supposed to be appropriately challenging and agrees with Vygotsky that they should also be scaffolded to take into account each child's individual abilities </w:t>
      </w:r>
      <w:bookmarkStart w:id="1" w:name="_Hlk156754000"/>
      <w:r w:rsidRPr="00A71EF2">
        <w:rPr>
          <w:rFonts w:ascii="Arial" w:hAnsi="Arial" w:cs="Arial"/>
          <w:sz w:val="28"/>
          <w:szCs w:val="28"/>
        </w:rPr>
        <w:t xml:space="preserve">(Bradbury and Swailes, 2022). </w:t>
      </w:r>
      <w:bookmarkEnd w:id="1"/>
      <w:r w:rsidRPr="00A71EF2">
        <w:rPr>
          <w:rFonts w:ascii="Arial" w:hAnsi="Arial" w:cs="Arial"/>
          <w:sz w:val="28"/>
          <w:szCs w:val="28"/>
        </w:rPr>
        <w:t>These ideas are incorporated into play-based curricula through activities that stretch children's thinking skills while providing room for development.</w:t>
      </w:r>
    </w:p>
    <w:p w14:paraId="5DE201C6" w14:textId="409C91DC"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According to Van Hoorn et al., (2014) Berk and Meyers, (2015) learning through play frequently incorporates problem-solving exercises. Play provides children with a variety of obstacles, whether they are acting out dramatic play scenarios, working out puzzles, or constructing block buildings. Van Hoorn et al., (2014) and Berk and Meyers, (2015)  explain that these tasks call on spatial awareness, flexible thinking, and the capacity to plan and carry out strategies, which all contribute in the improvement of the ability to solve problems, and also agreed by Bodrova and Leong, (2007).</w:t>
      </w:r>
    </w:p>
    <w:p w14:paraId="74BC99A2"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lastRenderedPageBreak/>
        <w:t xml:space="preserve">Goncu and Gauvain, (2012) and Lillard, (2013) </w:t>
      </w:r>
      <w:r w:rsidRPr="00A71EF2">
        <w:rPr>
          <w:rFonts w:ascii="Arial" w:hAnsi="Arial" w:cs="Arial"/>
          <w:noProof/>
          <w:sz w:val="28"/>
          <w:szCs w:val="28"/>
        </w:rPr>
        <mc:AlternateContent>
          <mc:Choice Requires="wpi">
            <w:drawing>
              <wp:anchor distT="0" distB="0" distL="114300" distR="114300" simplePos="0" relativeHeight="251660288" behindDoc="0" locked="0" layoutInCell="1" allowOverlap="1" wp14:anchorId="04866566" wp14:editId="32ECAE5B">
                <wp:simplePos x="0" y="0"/>
                <wp:positionH relativeFrom="column">
                  <wp:posOffset>7165975</wp:posOffset>
                </wp:positionH>
                <wp:positionV relativeFrom="paragraph">
                  <wp:posOffset>-598805</wp:posOffset>
                </wp:positionV>
                <wp:extent cx="1165895" cy="2061845"/>
                <wp:effectExtent l="76200" t="76200" r="110490" b="109855"/>
                <wp:wrapNone/>
                <wp:docPr id="1130839082" name="Ink 15"/>
                <wp:cNvGraphicFramePr/>
                <a:graphic xmlns:a="http://schemas.openxmlformats.org/drawingml/2006/main">
                  <a:graphicData uri="http://schemas.microsoft.com/office/word/2010/wordprocessingInk">
                    <w14:contentPart bwMode="auto" r:id="rId8">
                      <w14:nvContentPartPr>
                        <w14:cNvContentPartPr/>
                      </w14:nvContentPartPr>
                      <w14:xfrm>
                        <a:off x="0" y="0"/>
                        <a:ext cx="1165895" cy="2061845"/>
                      </w14:xfrm>
                    </w14:contentPart>
                  </a:graphicData>
                </a:graphic>
              </wp:anchor>
            </w:drawing>
          </mc:Choice>
          <mc:Fallback>
            <w:pict>
              <v:shapetype w14:anchorId="3D06E4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561.4pt;margin-top:-50pt;width:97.45pt;height:16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">
                <v:imagedata r:id="rId9" o:title=""/>
              </v:shape>
            </w:pict>
          </mc:Fallback>
        </mc:AlternateContent>
      </w:r>
      <w:r w:rsidRPr="00A71EF2">
        <w:rPr>
          <w:rFonts w:ascii="Arial" w:hAnsi="Arial" w:cs="Arial"/>
          <w:sz w:val="28"/>
          <w:szCs w:val="28"/>
        </w:rPr>
        <w:t>believe in order to stimulate creativity and imagination, both of which said to be essential elements of cognitive development, researchers suggest that play should be encouraged. Hirsh-Pasek, et al. (2009) and Lillard, (2017) also agrees and discusses playing pretend games, such role-playing or building fictional places, encourages divergent thinking and the production of unique concepts. The favourable connection among cognitive creativity and imaginative play has been shown repeatedly in research.</w:t>
      </w:r>
    </w:p>
    <w:p w14:paraId="6CDCA812" w14:textId="496829A8" w:rsidR="00424A05" w:rsidRPr="00A71EF2"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59264" behindDoc="0" locked="0" layoutInCell="1" allowOverlap="1" wp14:anchorId="3CE9AAA8" wp14:editId="6B44C173">
                <wp:simplePos x="0" y="0"/>
                <wp:positionH relativeFrom="column">
                  <wp:posOffset>-940263</wp:posOffset>
                </wp:positionH>
                <wp:positionV relativeFrom="paragraph">
                  <wp:posOffset>320627</wp:posOffset>
                </wp:positionV>
                <wp:extent cx="360" cy="360"/>
                <wp:effectExtent l="76200" t="76200" r="95250" b="95250"/>
                <wp:wrapNone/>
                <wp:docPr id="282838550" name="Ink 11"/>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0AB2A523" id="Ink 11" o:spid="_x0000_s1026" type="#_x0000_t75" style="position:absolute;margin-left:-76.9pt;margin-top:22.4pt;width:5.7pt;height:5.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bPS6JdUBAACcBAAAEAAAAAAA&#10;AAAAAAAAAADQAwAAZHJzL2luay9pbmsxLnhtbFBLAQItABQABgAIAAAAIQCGonyC4QAAAAsBAAAP&#10;AAAAAAAAAAAAAAAAANMFAABkcnMvZG93bnJldi54bWxQSwECLQAUAAYACAAAACEAeRi8nb8AAAAh&#10;AQAAGQAAAAAAAAAAAAAAAADhBgAAZHJzL19yZWxzL2Uyb0RvYy54bWwucmVsc1BLBQYAAAAABgAG&#10;AHgBAADXBwAAAAA=&#10;">
                <v:imagedata r:id="rId11" o:title=""/>
              </v:shape>
            </w:pict>
          </mc:Fallback>
        </mc:AlternateContent>
      </w:r>
      <w:r w:rsidRPr="00A71EF2">
        <w:rPr>
          <w:rFonts w:ascii="Arial" w:hAnsi="Arial" w:cs="Arial"/>
          <w:sz w:val="28"/>
          <w:szCs w:val="28"/>
        </w:rPr>
        <w:t>Bodrova and Leong, (2007)</w:t>
      </w:r>
      <w:r w:rsidRPr="00A71EF2">
        <w:rPr>
          <w:rFonts w:ascii="Arial" w:hAnsi="Arial" w:cs="Arial"/>
          <w:noProof/>
          <w:sz w:val="28"/>
          <w:szCs w:val="28"/>
        </w:rPr>
        <mc:AlternateContent>
          <mc:Choice Requires="wpi">
            <w:drawing>
              <wp:anchor distT="0" distB="0" distL="114300" distR="114300" simplePos="0" relativeHeight="251661312" behindDoc="0" locked="0" layoutInCell="1" allowOverlap="1" wp14:anchorId="47BE517D" wp14:editId="6B48F3DC">
                <wp:simplePos x="0" y="0"/>
                <wp:positionH relativeFrom="column">
                  <wp:posOffset>-1326183</wp:posOffset>
                </wp:positionH>
                <wp:positionV relativeFrom="paragraph">
                  <wp:posOffset>619306</wp:posOffset>
                </wp:positionV>
                <wp:extent cx="360" cy="360"/>
                <wp:effectExtent l="76200" t="76200" r="95250" b="95250"/>
                <wp:wrapNone/>
                <wp:docPr id="1307491613" name="Ink 1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50815BF4" id="Ink 16" o:spid="_x0000_s1026" type="#_x0000_t75" style="position:absolute;margin-left:-107.25pt;margin-top:45.9pt;width:5.7pt;height:5.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">
                <v:imagedata r:id="rId13" o:title=""/>
              </v:shape>
            </w:pict>
          </mc:Fallback>
        </mc:AlternateContent>
      </w:r>
      <w:r w:rsidRPr="00A71EF2">
        <w:rPr>
          <w:rFonts w:ascii="Arial" w:hAnsi="Arial" w:cs="Arial"/>
          <w:sz w:val="28"/>
          <w:szCs w:val="28"/>
        </w:rPr>
        <w:t xml:space="preserve"> discuss that memory retention, control of inhibitions, and flexible thinking are examples of executive functions that are essential for cognitive growth. Bodrova and Leong, (2007) and Ursache and Noble, (2016) agree and explain that play-based activities help children to enhance their executive functions by challenging them to plan, organise, and carry out tasks. Playing pretend, for instance, requires children to manage several roles and scenarios, which can help to improve their recall capacity and cognitive agility.</w:t>
      </w:r>
    </w:p>
    <w:p w14:paraId="422B97B3"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63360" behindDoc="0" locked="0" layoutInCell="1" allowOverlap="1" wp14:anchorId="68C03BC0" wp14:editId="31C12644">
                <wp:simplePos x="0" y="0"/>
                <wp:positionH relativeFrom="column">
                  <wp:posOffset>-1349943</wp:posOffset>
                </wp:positionH>
                <wp:positionV relativeFrom="paragraph">
                  <wp:posOffset>386923</wp:posOffset>
                </wp:positionV>
                <wp:extent cx="360" cy="360"/>
                <wp:effectExtent l="76200" t="76200" r="95250" b="95250"/>
                <wp:wrapNone/>
                <wp:docPr id="881046015" name="Ink 20"/>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47E8059E" id="Ink 20" o:spid="_x0000_s1026" type="#_x0000_t75" style="position:absolute;margin-left:-109.15pt;margin-top:27.6pt;width:5.7pt;height:5.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CjNdor1AEAAJwEAAAQAAAAAAAA&#10;AAAAAAAAANADAABkcnMvaW5rL2luazEueG1sUEsBAi0AFAAGAAgAAAAhAKjNxZLhAAAACwEAAA8A&#10;AAAAAAAAAAAAAAAA0gUAAGRycy9kb3ducmV2LnhtbFBLAQItABQABgAIAAAAIQB5GLydvwAAACEB&#10;AAAZAAAAAAAAAAAAAAAAAOAGAABkcnMvX3JlbHMvZTJvRG9jLnhtbC5yZWxzUEsFBgAAAAAGAAYA&#10;eAEAANYHAAAAAA==&#10;">
                <v:imagedata r:id="rId15" o:title=""/>
              </v:shape>
            </w:pict>
          </mc:Fallback>
        </mc:AlternateContent>
      </w:r>
      <w:r w:rsidRPr="00A71EF2">
        <w:rPr>
          <w:rFonts w:ascii="Arial" w:hAnsi="Arial" w:cs="Arial"/>
          <w:noProof/>
          <w:sz w:val="28"/>
          <w:szCs w:val="28"/>
        </w:rPr>
        <mc:AlternateContent>
          <mc:Choice Requires="wpi">
            <w:drawing>
              <wp:anchor distT="0" distB="0" distL="114300" distR="114300" simplePos="0" relativeHeight="251662336" behindDoc="0" locked="0" layoutInCell="1" allowOverlap="1" wp14:anchorId="59E5DFA9" wp14:editId="62C231E1">
                <wp:simplePos x="0" y="0"/>
                <wp:positionH relativeFrom="column">
                  <wp:posOffset>-1631823</wp:posOffset>
                </wp:positionH>
                <wp:positionV relativeFrom="paragraph">
                  <wp:posOffset>380083</wp:posOffset>
                </wp:positionV>
                <wp:extent cx="360" cy="360"/>
                <wp:effectExtent l="38100" t="38100" r="57150" b="57150"/>
                <wp:wrapNone/>
                <wp:docPr id="1235759453"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25C50CC8" id="Ink 18" o:spid="_x0000_s1026" type="#_x0000_t75" style="position:absolute;margin-left:-129.2pt;margin-top:29.2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">
                <v:imagedata r:id="rId17" o:title=""/>
              </v:shape>
            </w:pict>
          </mc:Fallback>
        </mc:AlternateContent>
      </w:r>
      <w:r w:rsidRPr="00A71EF2">
        <w:rPr>
          <w:rFonts w:ascii="Arial" w:hAnsi="Arial" w:cs="Arial"/>
          <w:sz w:val="28"/>
          <w:szCs w:val="28"/>
        </w:rPr>
        <w:t>According to Ginsburg and Milteer, (2011) and Hirsh-Pasek, et al. (2009) programmes which focus on learning through play frequently include practical, multisensory learning. These tasks, which include handling items, partaking in sensory play and building buildings, aid in the blending of motor and sensory pathways. Since it creates links between perception, actions, and thinking, this combination is crucial for the growth of cognitive skills.</w:t>
      </w:r>
    </w:p>
    <w:p w14:paraId="02426F4F" w14:textId="3C12F72F" w:rsidR="00424A05" w:rsidRPr="00A71EF2"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64384" behindDoc="0" locked="0" layoutInCell="1" allowOverlap="1" wp14:anchorId="4F007C9F" wp14:editId="60B9D193">
                <wp:simplePos x="0" y="0"/>
                <wp:positionH relativeFrom="column">
                  <wp:posOffset>-1665663</wp:posOffset>
                </wp:positionH>
                <wp:positionV relativeFrom="paragraph">
                  <wp:posOffset>270211</wp:posOffset>
                </wp:positionV>
                <wp:extent cx="360" cy="360"/>
                <wp:effectExtent l="76200" t="76200" r="95250" b="95250"/>
                <wp:wrapNone/>
                <wp:docPr id="308775552" name="Ink 22"/>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143D7FF" id="Ink 22" o:spid="_x0000_s1026" type="#_x0000_t75" style="position:absolute;margin-left:-134pt;margin-top:18.45pt;width:5.7pt;height:5.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">
                <v:imagedata r:id="rId19" o:title=""/>
              </v:shape>
            </w:pict>
          </mc:Fallback>
        </mc:AlternateContent>
      </w:r>
      <w:r w:rsidRPr="00A71EF2">
        <w:rPr>
          <w:rFonts w:ascii="Arial" w:hAnsi="Arial" w:cs="Arial"/>
          <w:sz w:val="28"/>
          <w:szCs w:val="28"/>
        </w:rPr>
        <w:t xml:space="preserve">Clements and Sarama, (2011) and Ginsburg and Milteer, (2011) imply that learning methods centred around play lay the groundwork for subsequent academic success. They believe that mathematical </w:t>
      </w:r>
      <w:r w:rsidRPr="00A71EF2">
        <w:rPr>
          <w:rFonts w:ascii="Arial" w:hAnsi="Arial" w:cs="Arial"/>
          <w:sz w:val="28"/>
          <w:szCs w:val="28"/>
        </w:rPr>
        <w:lastRenderedPageBreak/>
        <w:t>principles are established through categorising, calculating, organising and measuring activities that are incorporated into entertaining environments. In similar ways, play activities that involve role-playing, storytelling and having discussions improve the development of languages.</w:t>
      </w:r>
    </w:p>
    <w:p w14:paraId="1811F3C9"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 xml:space="preserve">Berk and Meyers, (2013) Goncu, and Gauvain, (2012), and Hirsh-Pasek, et al. (2009) imply that </w:t>
      </w:r>
      <w:r w:rsidRPr="00A71EF2">
        <w:rPr>
          <w:rFonts w:ascii="Arial" w:hAnsi="Arial" w:cs="Arial"/>
          <w:noProof/>
          <w:sz w:val="28"/>
          <w:szCs w:val="28"/>
        </w:rPr>
        <mc:AlternateContent>
          <mc:Choice Requires="wpi">
            <w:drawing>
              <wp:anchor distT="0" distB="0" distL="114300" distR="114300" simplePos="0" relativeHeight="251670528" behindDoc="0" locked="0" layoutInCell="1" allowOverlap="1" wp14:anchorId="24206C7F" wp14:editId="0AEF0182">
                <wp:simplePos x="0" y="0"/>
                <wp:positionH relativeFrom="column">
                  <wp:posOffset>-1534623</wp:posOffset>
                </wp:positionH>
                <wp:positionV relativeFrom="paragraph">
                  <wp:posOffset>769528</wp:posOffset>
                </wp:positionV>
                <wp:extent cx="7200" cy="4320"/>
                <wp:effectExtent l="57150" t="57150" r="50165" b="53340"/>
                <wp:wrapNone/>
                <wp:docPr id="456366614" name="Ink 34"/>
                <wp:cNvGraphicFramePr/>
                <a:graphic xmlns:a="http://schemas.openxmlformats.org/drawingml/2006/main">
                  <a:graphicData uri="http://schemas.microsoft.com/office/word/2010/wordprocessingInk">
                    <w14:contentPart bwMode="auto" r:id="rId20">
                      <w14:nvContentPartPr>
                        <w14:cNvContentPartPr/>
                      </w14:nvContentPartPr>
                      <w14:xfrm>
                        <a:off x="0" y="0"/>
                        <a:ext cx="7200" cy="4320"/>
                      </w14:xfrm>
                    </w14:contentPart>
                  </a:graphicData>
                </a:graphic>
              </wp:anchor>
            </w:drawing>
          </mc:Choice>
          <mc:Fallback>
            <w:pict>
              <v:shape w14:anchorId="2A23B4FD" id="Ink 34" o:spid="_x0000_s1026" type="#_x0000_t75" style="position:absolute;margin-left:-121.55pt;margin-top:59.9pt;width:1.95pt;height:1.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">
                <v:imagedata r:id="rId21" o:title=""/>
              </v:shape>
            </w:pict>
          </mc:Fallback>
        </mc:AlternateContent>
      </w:r>
      <w:r w:rsidRPr="00A71EF2">
        <w:rPr>
          <w:rFonts w:ascii="Arial" w:hAnsi="Arial" w:cs="Arial"/>
          <w:noProof/>
          <w:sz w:val="28"/>
          <w:szCs w:val="28"/>
        </w:rPr>
        <mc:AlternateContent>
          <mc:Choice Requires="wpi">
            <w:drawing>
              <wp:anchor distT="0" distB="0" distL="114300" distR="114300" simplePos="0" relativeHeight="251669504" behindDoc="0" locked="0" layoutInCell="1" allowOverlap="1" wp14:anchorId="0E1982A4" wp14:editId="03B579B7">
                <wp:simplePos x="0" y="0"/>
                <wp:positionH relativeFrom="column">
                  <wp:posOffset>-1694823</wp:posOffset>
                </wp:positionH>
                <wp:positionV relativeFrom="paragraph">
                  <wp:posOffset>923968</wp:posOffset>
                </wp:positionV>
                <wp:extent cx="360" cy="360"/>
                <wp:effectExtent l="38100" t="38100" r="57150" b="57150"/>
                <wp:wrapNone/>
                <wp:docPr id="1504815324" name="Ink 30"/>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193AF241" id="Ink 30" o:spid="_x0000_s1026" type="#_x0000_t75" style="position:absolute;margin-left:-134.15pt;margin-top:72.0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">
                <v:imagedata r:id="rId23" o:title=""/>
              </v:shape>
            </w:pict>
          </mc:Fallback>
        </mc:AlternateContent>
      </w:r>
      <w:r w:rsidRPr="00A71EF2">
        <w:rPr>
          <w:rFonts w:ascii="Arial" w:hAnsi="Arial" w:cs="Arial"/>
          <w:sz w:val="28"/>
          <w:szCs w:val="28"/>
        </w:rPr>
        <w:t>a child's natural curiosity and desire to learn about the world around them are naturally fostered by play. Goncu and Gauvain, (2012) State whether examining the qualities of various substances in a science-themed play centre or delving into the properties of materials during water play, these types of activities ignite children's interest and motivate them to seek out and learn something new. (Berk and Meyers, 2013) and (Hirsh-Pasek, et al., 2009)</w:t>
      </w:r>
    </w:p>
    <w:p w14:paraId="16E2845A" w14:textId="79D9443B" w:rsidR="00424A05"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71552" behindDoc="0" locked="0" layoutInCell="1" allowOverlap="1" wp14:anchorId="640B146E" wp14:editId="181BAD95">
                <wp:simplePos x="0" y="0"/>
                <wp:positionH relativeFrom="column">
                  <wp:posOffset>7694697</wp:posOffset>
                </wp:positionH>
                <wp:positionV relativeFrom="paragraph">
                  <wp:posOffset>-989987</wp:posOffset>
                </wp:positionV>
                <wp:extent cx="77400" cy="2291760"/>
                <wp:effectExtent l="57150" t="76200" r="94615" b="108585"/>
                <wp:wrapNone/>
                <wp:docPr id="1702374970" name="Ink 39"/>
                <wp:cNvGraphicFramePr/>
                <a:graphic xmlns:a="http://schemas.openxmlformats.org/drawingml/2006/main">
                  <a:graphicData uri="http://schemas.microsoft.com/office/word/2010/wordprocessingInk">
                    <w14:contentPart bwMode="auto" r:id="rId24">
                      <w14:nvContentPartPr>
                        <w14:cNvContentPartPr/>
                      </w14:nvContentPartPr>
                      <w14:xfrm>
                        <a:off x="0" y="0"/>
                        <a:ext cx="77400" cy="2291760"/>
                      </w14:xfrm>
                    </w14:contentPart>
                  </a:graphicData>
                </a:graphic>
              </wp:anchor>
            </w:drawing>
          </mc:Choice>
          <mc:Fallback>
            <w:pict>
              <v:shape w14:anchorId="2351B254" id="Ink 39" o:spid="_x0000_s1026" type="#_x0000_t75" style="position:absolute;margin-left:603.05pt;margin-top:-80.8pt;width:11.8pt;height:186.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">
                <v:imagedata r:id="rId25" o:title=""/>
              </v:shape>
            </w:pict>
          </mc:Fallback>
        </mc:AlternateContent>
      </w:r>
      <w:r w:rsidRPr="00A71EF2">
        <w:rPr>
          <w:rFonts w:ascii="Arial" w:hAnsi="Arial" w:cs="Arial"/>
          <w:noProof/>
          <w:sz w:val="28"/>
          <w:szCs w:val="28"/>
        </w:rPr>
        <mc:AlternateContent>
          <mc:Choice Requires="wpi">
            <w:drawing>
              <wp:anchor distT="0" distB="0" distL="114300" distR="114300" simplePos="0" relativeHeight="251668480" behindDoc="0" locked="0" layoutInCell="1" allowOverlap="1" wp14:anchorId="78DEFD00" wp14:editId="1D9CDAF8">
                <wp:simplePos x="0" y="0"/>
                <wp:positionH relativeFrom="column">
                  <wp:posOffset>-1681143</wp:posOffset>
                </wp:positionH>
                <wp:positionV relativeFrom="paragraph">
                  <wp:posOffset>-606947</wp:posOffset>
                </wp:positionV>
                <wp:extent cx="743400" cy="1774800"/>
                <wp:effectExtent l="76200" t="57150" r="95250" b="111760"/>
                <wp:wrapNone/>
                <wp:docPr id="1337741143" name="Ink 29"/>
                <wp:cNvGraphicFramePr/>
                <a:graphic xmlns:a="http://schemas.openxmlformats.org/drawingml/2006/main">
                  <a:graphicData uri="http://schemas.microsoft.com/office/word/2010/wordprocessingInk">
                    <w14:contentPart bwMode="auto" r:id="rId26">
                      <w14:nvContentPartPr>
                        <w14:cNvContentPartPr/>
                      </w14:nvContentPartPr>
                      <w14:xfrm>
                        <a:off x="0" y="0"/>
                        <a:ext cx="743400" cy="1774800"/>
                      </w14:xfrm>
                    </w14:contentPart>
                  </a:graphicData>
                </a:graphic>
              </wp:anchor>
            </w:drawing>
          </mc:Choice>
          <mc:Fallback>
            <w:pict>
              <v:shape w14:anchorId="098AC404" id="Ink 29" o:spid="_x0000_s1026" type="#_x0000_t75" style="position:absolute;margin-left:-135.2pt;margin-top:-50.65pt;width:64.25pt;height:145.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">
                <v:imagedata r:id="rId27" o:title=""/>
              </v:shape>
            </w:pict>
          </mc:Fallback>
        </mc:AlternateContent>
      </w:r>
      <w:r w:rsidRPr="00A71EF2">
        <w:rPr>
          <w:rFonts w:ascii="Arial" w:hAnsi="Arial" w:cs="Arial"/>
          <w:sz w:val="28"/>
          <w:szCs w:val="28"/>
        </w:rPr>
        <w:t>Hirsh-Pasek et al.</w:t>
      </w:r>
      <w:r>
        <w:rPr>
          <w:rFonts w:ascii="Arial" w:hAnsi="Arial" w:cs="Arial"/>
          <w:sz w:val="28"/>
          <w:szCs w:val="28"/>
        </w:rPr>
        <w:t>,</w:t>
      </w:r>
      <w:r w:rsidRPr="00A71EF2">
        <w:rPr>
          <w:rFonts w:ascii="Arial" w:hAnsi="Arial" w:cs="Arial"/>
          <w:sz w:val="28"/>
          <w:szCs w:val="28"/>
        </w:rPr>
        <w:t xml:space="preserve"> (2015)</w:t>
      </w:r>
      <w:r w:rsidRPr="00A71EF2">
        <w:rPr>
          <w:rFonts w:ascii="Arial" w:hAnsi="Arial" w:cs="Arial"/>
          <w:noProof/>
          <w:sz w:val="28"/>
          <w:szCs w:val="28"/>
        </w:rPr>
        <mc:AlternateContent>
          <mc:Choice Requires="wpi">
            <w:drawing>
              <wp:anchor distT="0" distB="0" distL="114300" distR="114300" simplePos="0" relativeHeight="251667456" behindDoc="0" locked="0" layoutInCell="1" allowOverlap="1" wp14:anchorId="21ED4CFC" wp14:editId="27AF163F">
                <wp:simplePos x="0" y="0"/>
                <wp:positionH relativeFrom="column">
                  <wp:posOffset>-1420143</wp:posOffset>
                </wp:positionH>
                <wp:positionV relativeFrom="paragraph">
                  <wp:posOffset>533128</wp:posOffset>
                </wp:positionV>
                <wp:extent cx="360" cy="360"/>
                <wp:effectExtent l="76200" t="76200" r="95250" b="95250"/>
                <wp:wrapNone/>
                <wp:docPr id="1471817350" name="Ink 28"/>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7770A252" id="Ink 28" o:spid="_x0000_s1026" type="#_x0000_t75" style="position:absolute;margin-left:-114.65pt;margin-top:39.15pt;width:5.7pt;height:5.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RbDs8NUBAACZBAAAEAAAAAAA&#10;AAAAAAAAAADQAwAAZHJzL2luay9pbmsxLnhtbFBLAQItABQABgAIAAAAIQDALS0q4QAAAAsBAAAP&#10;AAAAAAAAAAAAAAAAANMFAABkcnMvZG93bnJldi54bWxQSwECLQAUAAYACAAAACEAeRi8nb8AAAAh&#10;AQAAGQAAAAAAAAAAAAAAAADhBgAAZHJzL19yZWxzL2Uyb0RvYy54bWwucmVsc1BLBQYAAAAABgAG&#10;AHgBAADXBwAAAAA=&#10;">
                <v:imagedata r:id="rId29" o:title=""/>
              </v:shape>
            </w:pict>
          </mc:Fallback>
        </mc:AlternateContent>
      </w:r>
      <w:r w:rsidRPr="00A71EF2">
        <w:rPr>
          <w:rFonts w:ascii="Arial" w:hAnsi="Arial" w:cs="Arial"/>
          <w:sz w:val="28"/>
          <w:szCs w:val="28"/>
        </w:rPr>
        <w:t>, Bradbury and Swalies (2022) and Playful lessons foster intellectual development in a way that is transportable to other scenarios. Bradbury and Swalies (2022) and Bodrova and Leong, (2007)</w:t>
      </w:r>
      <w:r w:rsidRPr="00A71EF2">
        <w:rPr>
          <w:rFonts w:ascii="Arial" w:hAnsi="Arial" w:cs="Arial"/>
          <w:noProof/>
          <w:sz w:val="28"/>
          <w:szCs w:val="28"/>
        </w:rPr>
        <mc:AlternateContent>
          <mc:Choice Requires="wpi">
            <w:drawing>
              <wp:anchor distT="0" distB="0" distL="114300" distR="114300" simplePos="0" relativeHeight="251685888" behindDoc="0" locked="0" layoutInCell="1" allowOverlap="1" wp14:anchorId="02F5394B" wp14:editId="14A3B3E3">
                <wp:simplePos x="0" y="0"/>
                <wp:positionH relativeFrom="column">
                  <wp:posOffset>-1326183</wp:posOffset>
                </wp:positionH>
                <wp:positionV relativeFrom="paragraph">
                  <wp:posOffset>619306</wp:posOffset>
                </wp:positionV>
                <wp:extent cx="360" cy="360"/>
                <wp:effectExtent l="76200" t="76200" r="95250" b="95250"/>
                <wp:wrapNone/>
                <wp:docPr id="257081159" name="Ink 16"/>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16733A3B" id="Ink 16" o:spid="_x0000_s1026" type="#_x0000_t75" style="position:absolute;margin-left:-107.25pt;margin-top:45.9pt;width:5.7pt;height:5.7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">
                <v:imagedata r:id="rId13" o:title=""/>
              </v:shape>
            </w:pict>
          </mc:Fallback>
        </mc:AlternateContent>
      </w:r>
      <w:r w:rsidRPr="00A71EF2">
        <w:rPr>
          <w:rFonts w:ascii="Arial" w:hAnsi="Arial" w:cs="Arial"/>
          <w:sz w:val="28"/>
          <w:szCs w:val="28"/>
        </w:rPr>
        <w:t xml:space="preserve"> agree and discuss play-developed abilities, such as imagination, critical thinking, creativity and problem-solving, may be used in a variety of educational contexts and real-life circumstances (Pellegrini and Holmes, 2006). The play-based framework's development of cognitive skills is made more practically useful by their adaptability.</w:t>
      </w:r>
    </w:p>
    <w:p w14:paraId="08B93E7E" w14:textId="77777777" w:rsidR="00424A05" w:rsidRPr="00A71EF2" w:rsidRDefault="00424A05" w:rsidP="00424A05">
      <w:pPr>
        <w:spacing w:before="240" w:after="0" w:line="360" w:lineRule="auto"/>
        <w:rPr>
          <w:rFonts w:ascii="Arial" w:hAnsi="Arial" w:cs="Arial"/>
          <w:sz w:val="28"/>
          <w:szCs w:val="28"/>
        </w:rPr>
      </w:pPr>
    </w:p>
    <w:p w14:paraId="1C1EC338" w14:textId="77777777" w:rsidR="00424A05" w:rsidRPr="00A71EF2" w:rsidRDefault="00424A05" w:rsidP="00424A05">
      <w:pPr>
        <w:spacing w:after="0" w:line="360" w:lineRule="auto"/>
        <w:rPr>
          <w:rFonts w:ascii="Arial" w:hAnsi="Arial" w:cs="Arial"/>
          <w:sz w:val="28"/>
          <w:szCs w:val="28"/>
          <w:u w:val="single"/>
        </w:rPr>
      </w:pPr>
      <w:r w:rsidRPr="00A71EF2">
        <w:rPr>
          <w:rFonts w:ascii="Arial" w:hAnsi="Arial" w:cs="Arial"/>
          <w:sz w:val="28"/>
          <w:szCs w:val="28"/>
          <w:u w:val="single"/>
        </w:rPr>
        <w:t>Emotional and Social Development</w:t>
      </w:r>
    </w:p>
    <w:p w14:paraId="63340A64" w14:textId="77777777" w:rsidR="00424A05" w:rsidRPr="00A71EF2" w:rsidRDefault="00424A05" w:rsidP="00424A05">
      <w:pPr>
        <w:spacing w:after="0" w:line="360" w:lineRule="auto"/>
        <w:ind w:left="720" w:hanging="720"/>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73600" behindDoc="0" locked="0" layoutInCell="1" allowOverlap="1" wp14:anchorId="6738C370" wp14:editId="07AE8478">
                <wp:simplePos x="0" y="0"/>
                <wp:positionH relativeFrom="column">
                  <wp:posOffset>-1617783</wp:posOffset>
                </wp:positionH>
                <wp:positionV relativeFrom="paragraph">
                  <wp:posOffset>590246</wp:posOffset>
                </wp:positionV>
                <wp:extent cx="360" cy="360"/>
                <wp:effectExtent l="76200" t="76200" r="95250" b="95250"/>
                <wp:wrapNone/>
                <wp:docPr id="2006273452" name="Ink 49"/>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12A374CC" id="Ink 49" o:spid="_x0000_s1026" type="#_x0000_t75" style="position:absolute;margin-left:-130.25pt;margin-top:43.65pt;width:5.7pt;height:5.7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">
                <v:imagedata r:id="rId32" o:title=""/>
              </v:shape>
            </w:pict>
          </mc:Fallback>
        </mc:AlternateContent>
      </w:r>
      <w:r w:rsidRPr="00A71EF2">
        <w:rPr>
          <w:rFonts w:ascii="Arial" w:hAnsi="Arial" w:cs="Arial"/>
          <w:noProof/>
          <w:sz w:val="28"/>
          <w:szCs w:val="28"/>
        </w:rPr>
        <mc:AlternateContent>
          <mc:Choice Requires="wpi">
            <w:drawing>
              <wp:anchor distT="0" distB="0" distL="114300" distR="114300" simplePos="0" relativeHeight="251672576" behindDoc="0" locked="0" layoutInCell="1" allowOverlap="1" wp14:anchorId="4D1CAED5" wp14:editId="606C06E8">
                <wp:simplePos x="0" y="0"/>
                <wp:positionH relativeFrom="column">
                  <wp:posOffset>-1530303</wp:posOffset>
                </wp:positionH>
                <wp:positionV relativeFrom="paragraph">
                  <wp:posOffset>130526</wp:posOffset>
                </wp:positionV>
                <wp:extent cx="360" cy="360"/>
                <wp:effectExtent l="76200" t="76200" r="95250" b="95250"/>
                <wp:wrapNone/>
                <wp:docPr id="500106797" name="Ink 40"/>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5E0C4599" id="Ink 40" o:spid="_x0000_s1026" type="#_x0000_t75" style="position:absolute;margin-left:-123.35pt;margin-top:7.45pt;width:5.7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AJ60BH1AEAAJwEAAAQAAAAAAAA&#10;AAAAAAAAANADAABkcnMvaW5rL2luazEueG1sUEsBAi0AFAAGAAgAAAAhAH9Sb17hAAAACwEAAA8A&#10;AAAAAAAAAAAAAAAA0gUAAGRycy9kb3ducmV2LnhtbFBLAQItABQABgAIAAAAIQB5GLydvwAAACEB&#10;AAAZAAAAAAAAAAAAAAAAAOAGAABkcnMvX3JlbHMvZTJvRG9jLnhtbC5yZWxzUEsFBgAAAAAGAAYA&#10;eAEAANYHAAAAAA==&#10;">
                <v:imagedata r:id="rId34" o:title=""/>
              </v:shape>
            </w:pict>
          </mc:Fallback>
        </mc:AlternateContent>
      </w:r>
      <w:r w:rsidRPr="00A71EF2">
        <w:rPr>
          <w:rFonts w:ascii="Arial" w:hAnsi="Arial" w:cs="Arial"/>
          <w:sz w:val="28"/>
          <w:szCs w:val="28"/>
        </w:rPr>
        <w:t>Conkbayir and Pascal (2014) and Howard and McInnes, (2013) both</w:t>
      </w:r>
    </w:p>
    <w:p w14:paraId="5E7F905E" w14:textId="77777777" w:rsidR="00424A05" w:rsidRPr="00A71EF2"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discuss how the play-based curriculum is well known for its beneficial</w:t>
      </w:r>
    </w:p>
    <w:p w14:paraId="5ED25185" w14:textId="77777777" w:rsidR="00424A05" w:rsidRPr="00A71EF2"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advantages on the emotional and social growth of children. They discuss</w:t>
      </w:r>
    </w:p>
    <w:p w14:paraId="03A64A8D"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how research by theorists such as Piaget and Vygotsky, suggest that</w:t>
      </w:r>
    </w:p>
    <w:p w14:paraId="1D473D2A"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lastRenderedPageBreak/>
        <w:t>play</w:t>
      </w:r>
      <w:r>
        <w:rPr>
          <w:rFonts w:ascii="Arial" w:hAnsi="Arial" w:cs="Arial"/>
          <w:sz w:val="28"/>
          <w:szCs w:val="28"/>
        </w:rPr>
        <w:t xml:space="preserve"> </w:t>
      </w:r>
      <w:r w:rsidRPr="00A71EF2">
        <w:rPr>
          <w:rFonts w:ascii="Arial" w:hAnsi="Arial" w:cs="Arial"/>
          <w:sz w:val="28"/>
          <w:szCs w:val="28"/>
        </w:rPr>
        <w:t>can offers a natural environment for children that encourages</w:t>
      </w:r>
      <w:r>
        <w:rPr>
          <w:rFonts w:ascii="Arial" w:hAnsi="Arial" w:cs="Arial"/>
          <w:sz w:val="28"/>
          <w:szCs w:val="28"/>
        </w:rPr>
        <w:t xml:space="preserve"> </w:t>
      </w:r>
    </w:p>
    <w:p w14:paraId="628DE524"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interactions</w:t>
      </w:r>
      <w:r>
        <w:rPr>
          <w:rFonts w:ascii="Arial" w:hAnsi="Arial" w:cs="Arial"/>
          <w:sz w:val="28"/>
          <w:szCs w:val="28"/>
        </w:rPr>
        <w:t xml:space="preserve"> </w:t>
      </w:r>
      <w:r w:rsidRPr="00A71EF2">
        <w:rPr>
          <w:rFonts w:ascii="Arial" w:hAnsi="Arial" w:cs="Arial"/>
          <w:sz w:val="28"/>
          <w:szCs w:val="28"/>
        </w:rPr>
        <w:t>with others, self-control. They believe that children can pick</w:t>
      </w:r>
    </w:p>
    <w:p w14:paraId="11E295B9"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up skills</w:t>
      </w:r>
      <w:r>
        <w:rPr>
          <w:rFonts w:ascii="Arial" w:hAnsi="Arial" w:cs="Arial"/>
          <w:sz w:val="28"/>
          <w:szCs w:val="28"/>
        </w:rPr>
        <w:t xml:space="preserve"> </w:t>
      </w:r>
      <w:r w:rsidRPr="00A71EF2">
        <w:rPr>
          <w:rFonts w:ascii="Arial" w:hAnsi="Arial" w:cs="Arial"/>
          <w:sz w:val="28"/>
          <w:szCs w:val="28"/>
        </w:rPr>
        <w:t>including negotiation, cooperation, communication</w:t>
      </w:r>
    </w:p>
    <w:p w14:paraId="0B264087"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and navigating</w:t>
      </w:r>
      <w:r>
        <w:rPr>
          <w:rFonts w:ascii="Arial" w:hAnsi="Arial" w:cs="Arial"/>
          <w:sz w:val="28"/>
          <w:szCs w:val="28"/>
        </w:rPr>
        <w:t xml:space="preserve"> </w:t>
      </w:r>
      <w:r w:rsidRPr="00A71EF2">
        <w:rPr>
          <w:rFonts w:ascii="Arial" w:hAnsi="Arial" w:cs="Arial"/>
          <w:sz w:val="28"/>
          <w:szCs w:val="28"/>
        </w:rPr>
        <w:t>challenging social circumstances through interacting with</w:t>
      </w:r>
    </w:p>
    <w:p w14:paraId="143EF1B2"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their</w:t>
      </w:r>
      <w:r>
        <w:rPr>
          <w:rFonts w:ascii="Arial" w:hAnsi="Arial" w:cs="Arial"/>
          <w:sz w:val="28"/>
          <w:szCs w:val="28"/>
        </w:rPr>
        <w:t xml:space="preserve"> </w:t>
      </w:r>
      <w:r w:rsidRPr="00A71EF2">
        <w:rPr>
          <w:rFonts w:ascii="Arial" w:hAnsi="Arial" w:cs="Arial"/>
          <w:sz w:val="28"/>
          <w:szCs w:val="28"/>
        </w:rPr>
        <w:t>classmates.</w:t>
      </w:r>
      <w:r w:rsidRPr="00A71EF2">
        <w:rPr>
          <w:rFonts w:ascii="Arial" w:hAnsi="Arial" w:cs="Arial"/>
          <w:noProof/>
          <w:sz w:val="28"/>
          <w:szCs w:val="28"/>
        </w:rPr>
        <mc:AlternateContent>
          <mc:Choice Requires="wpi">
            <w:drawing>
              <wp:anchor distT="0" distB="0" distL="114300" distR="114300" simplePos="0" relativeHeight="251677696" behindDoc="0" locked="0" layoutInCell="1" allowOverlap="1" wp14:anchorId="2B51D0D8" wp14:editId="7CC5AAC8">
                <wp:simplePos x="0" y="0"/>
                <wp:positionH relativeFrom="column">
                  <wp:posOffset>7454577</wp:posOffset>
                </wp:positionH>
                <wp:positionV relativeFrom="paragraph">
                  <wp:posOffset>-105147</wp:posOffset>
                </wp:positionV>
                <wp:extent cx="280800" cy="1930680"/>
                <wp:effectExtent l="76200" t="76200" r="81280" b="88900"/>
                <wp:wrapNone/>
                <wp:docPr id="961059992" name="Ink 62"/>
                <wp:cNvGraphicFramePr/>
                <a:graphic xmlns:a="http://schemas.openxmlformats.org/drawingml/2006/main">
                  <a:graphicData uri="http://schemas.microsoft.com/office/word/2010/wordprocessingInk">
                    <w14:contentPart bwMode="auto" r:id="rId35">
                      <w14:nvContentPartPr>
                        <w14:cNvContentPartPr/>
                      </w14:nvContentPartPr>
                      <w14:xfrm>
                        <a:off x="0" y="0"/>
                        <a:ext cx="280800" cy="1930680"/>
                      </w14:xfrm>
                    </w14:contentPart>
                  </a:graphicData>
                </a:graphic>
              </wp:anchor>
            </w:drawing>
          </mc:Choice>
          <mc:Fallback>
            <w:pict>
              <v:shape w14:anchorId="40ABA989" id="Ink 62" o:spid="_x0000_s1026" type="#_x0000_t75" style="position:absolute;margin-left:584.1pt;margin-top:-11.15pt;width:27.75pt;height:157.6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">
                <v:imagedata r:id="rId36" o:title=""/>
              </v:shape>
            </w:pict>
          </mc:Fallback>
        </mc:AlternateContent>
      </w:r>
      <w:r w:rsidRPr="00A71EF2">
        <w:rPr>
          <w:rFonts w:ascii="Arial" w:hAnsi="Arial" w:cs="Arial"/>
          <w:sz w:val="28"/>
          <w:szCs w:val="28"/>
        </w:rPr>
        <w:t xml:space="preserve"> Conkbayir and Pascal (2014) and Howard and</w:t>
      </w:r>
    </w:p>
    <w:p w14:paraId="703C57E2"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McInnes, (2013)</w:t>
      </w:r>
      <w:r>
        <w:rPr>
          <w:rFonts w:ascii="Arial" w:hAnsi="Arial" w:cs="Arial"/>
          <w:sz w:val="28"/>
          <w:szCs w:val="28"/>
        </w:rPr>
        <w:t xml:space="preserve"> </w:t>
      </w:r>
      <w:r w:rsidRPr="00A71EF2">
        <w:rPr>
          <w:rFonts w:ascii="Arial" w:hAnsi="Arial" w:cs="Arial"/>
          <w:sz w:val="28"/>
          <w:szCs w:val="28"/>
        </w:rPr>
        <w:t>share how play-based techniques can enhance social</w:t>
      </w:r>
    </w:p>
    <w:p w14:paraId="5C5F9860" w14:textId="77777777" w:rsidR="00424A05"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skills and emotional</w:t>
      </w:r>
      <w:r>
        <w:rPr>
          <w:rFonts w:ascii="Arial" w:hAnsi="Arial" w:cs="Arial"/>
          <w:sz w:val="28"/>
          <w:szCs w:val="28"/>
        </w:rPr>
        <w:t xml:space="preserve"> </w:t>
      </w:r>
      <w:r w:rsidRPr="00A71EF2">
        <w:rPr>
          <w:rFonts w:ascii="Arial" w:hAnsi="Arial" w:cs="Arial"/>
          <w:sz w:val="28"/>
          <w:szCs w:val="28"/>
        </w:rPr>
        <w:t>resilience and suggest how important play is in</w:t>
      </w:r>
    </w:p>
    <w:p w14:paraId="29638208" w14:textId="79962F1E" w:rsidR="00424A05" w:rsidRPr="00A71EF2" w:rsidRDefault="00424A05" w:rsidP="00424A05">
      <w:pPr>
        <w:spacing w:after="0" w:line="360" w:lineRule="auto"/>
        <w:ind w:left="720" w:hanging="720"/>
        <w:rPr>
          <w:rFonts w:ascii="Arial" w:hAnsi="Arial" w:cs="Arial"/>
          <w:sz w:val="28"/>
          <w:szCs w:val="28"/>
        </w:rPr>
      </w:pPr>
      <w:r w:rsidRPr="00A71EF2">
        <w:rPr>
          <w:rFonts w:ascii="Arial" w:hAnsi="Arial" w:cs="Arial"/>
          <w:sz w:val="28"/>
          <w:szCs w:val="28"/>
        </w:rPr>
        <w:t>forming healthy</w:t>
      </w:r>
      <w:r>
        <w:rPr>
          <w:rFonts w:ascii="Arial" w:hAnsi="Arial" w:cs="Arial"/>
          <w:sz w:val="28"/>
          <w:szCs w:val="28"/>
        </w:rPr>
        <w:t xml:space="preserve"> </w:t>
      </w:r>
      <w:r w:rsidRPr="00A71EF2">
        <w:rPr>
          <w:rFonts w:ascii="Arial" w:hAnsi="Arial" w:cs="Arial"/>
          <w:sz w:val="28"/>
          <w:szCs w:val="28"/>
        </w:rPr>
        <w:t>interactions and emotional stability in children.</w:t>
      </w:r>
    </w:p>
    <w:p w14:paraId="2A2E7447"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Corsaro, (2014) and Hughes, (2013) suggest that children can intuitively connect with their classmates in play-based activities. They discuss how playing acting out scenarios, playing cooperative games, or collaborating on a task together help children grow and develop important social skills. Elias, Berk, and Repine, (2011) agree and believe that the fundamentals of healthy interactions with others are fostered through these encounters, which involve sharing, settling conflicts, partnership, and discussion.</w:t>
      </w:r>
    </w:p>
    <w:p w14:paraId="1E911619"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78720" behindDoc="0" locked="0" layoutInCell="1" allowOverlap="1" wp14:anchorId="6759D92E" wp14:editId="7CEDB9C3">
                <wp:simplePos x="0" y="0"/>
                <wp:positionH relativeFrom="column">
                  <wp:posOffset>-1454703</wp:posOffset>
                </wp:positionH>
                <wp:positionV relativeFrom="paragraph">
                  <wp:posOffset>665158</wp:posOffset>
                </wp:positionV>
                <wp:extent cx="360" cy="360"/>
                <wp:effectExtent l="76200" t="76200" r="95250" b="95250"/>
                <wp:wrapNone/>
                <wp:docPr id="1306832353" name="Ink 63"/>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14BC0533" id="Ink 63" o:spid="_x0000_s1026" type="#_x0000_t75" style="position:absolute;margin-left:-117.4pt;margin-top:49.5pt;width:5.7pt;height:5.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">
                <v:imagedata r:id="rId38" o:title=""/>
              </v:shape>
            </w:pict>
          </mc:Fallback>
        </mc:AlternateContent>
      </w:r>
      <w:r w:rsidRPr="00A71EF2">
        <w:rPr>
          <w:rFonts w:ascii="Arial" w:hAnsi="Arial" w:cs="Arial"/>
          <w:sz w:val="28"/>
          <w:szCs w:val="28"/>
        </w:rPr>
        <w:t>Play settings frequently entail children adopting various roles and viewpoints, whether imagining they are a character in a fairy tale or acting in theatrical play. Lillard (2013), Taylor, (2004) and Elias, Berk, and Repine, (2011) have simular view that as children think about other people's perspectives and feelings, empathy is fostered. Hughes, (2013) Taylor, et al., (2004) agrees and discusses that the children gain an understanding of and the ability to empathise with their friends' emotions as a result of these activities.</w:t>
      </w:r>
    </w:p>
    <w:p w14:paraId="23C21643"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Landreth, (2012) and Levin and Rosen, (2001)</w:t>
      </w:r>
      <w:r w:rsidRPr="00A71EF2">
        <w:rPr>
          <w:rFonts w:ascii="Arial" w:hAnsi="Arial" w:cs="Arial"/>
          <w:noProof/>
          <w:sz w:val="28"/>
          <w:szCs w:val="28"/>
        </w:rPr>
        <mc:AlternateContent>
          <mc:Choice Requires="aink">
            <w:drawing>
              <wp:anchor distT="0" distB="0" distL="114300" distR="114300" simplePos="0" relativeHeight="251687936" behindDoc="0" locked="0" layoutInCell="1" allowOverlap="1" wp14:anchorId="46FC57F0" wp14:editId="59C673D1">
                <wp:simplePos x="0" y="0"/>
                <wp:positionH relativeFrom="column">
                  <wp:posOffset>7352337</wp:posOffset>
                </wp:positionH>
                <wp:positionV relativeFrom="paragraph">
                  <wp:posOffset>-492103</wp:posOffset>
                </wp:positionV>
                <wp:extent cx="187200" cy="2296080"/>
                <wp:effectExtent l="95250" t="95250" r="80010" b="85725"/>
                <wp:wrapNone/>
                <wp:docPr id="1011880428" name="Ink 82"/>
                <wp:cNvGraphicFramePr/>
                <a:graphic xmlns:a="http://schemas.openxmlformats.org/drawingml/2006/main">
                  <a:graphicData uri="http://schemas.microsoft.com/office/word/2010/wordprocessingInk">
                    <w14:contentPart bwMode="auto" r:id="rId39">
                      <w14:nvContentPartPr>
                        <w14:cNvContentPartPr/>
                      </w14:nvContentPartPr>
                      <w14:xfrm>
                        <a:off x="0" y="0"/>
                        <a:ext cx="187200" cy="2296080"/>
                      </w14:xfrm>
                    </w14:contentPart>
                  </a:graphicData>
                </a:graphic>
              </wp:anchor>
            </w:drawing>
          </mc:Choice>
          <mc:Fallback>
            <w:drawing>
              <wp:anchor distT="0" distB="0" distL="114300" distR="114300" simplePos="0" relativeHeight="251687936" behindDoc="0" locked="0" layoutInCell="1" allowOverlap="1" wp14:anchorId="46FC57F0" wp14:editId="59C673D1">
                <wp:simplePos x="0" y="0"/>
                <wp:positionH relativeFrom="column">
                  <wp:posOffset>7352337</wp:posOffset>
                </wp:positionH>
                <wp:positionV relativeFrom="paragraph">
                  <wp:posOffset>-492103</wp:posOffset>
                </wp:positionV>
                <wp:extent cx="187200" cy="2296080"/>
                <wp:effectExtent l="95250" t="95250" r="80010" b="85725"/>
                <wp:wrapNone/>
                <wp:docPr id="1011880428" name="Ink 82"/>
                <wp:cNvGraphicFramePr/>
                <a:graphic xmlns:a="http://schemas.openxmlformats.org/drawingml/2006/main">
                  <a:graphicData uri="http://schemas.openxmlformats.org/drawingml/2006/picture">
                    <pic:pic xmlns:pic="http://schemas.openxmlformats.org/drawingml/2006/picture">
                      <pic:nvPicPr>
                        <pic:cNvPr id="1011880428" name="Ink 82"/>
                        <pic:cNvPicPr/>
                      </pic:nvPicPr>
                      <pic:blipFill>
                        <a:blip r:embed="rId40"/>
                        <a:stretch>
                          <a:fillRect/>
                        </a:stretch>
                      </pic:blipFill>
                      <pic:spPr>
                        <a:xfrm>
                          <a:off x="0" y="0"/>
                          <a:ext cx="258978" cy="2367720"/>
                        </a:xfrm>
                        <a:prstGeom prst="rect">
                          <a:avLst/>
                        </a:prstGeom>
                      </pic:spPr>
                    </pic:pic>
                  </a:graphicData>
                </a:graphic>
              </wp:anchor>
            </w:drawing>
          </mc:Fallback>
        </mc:AlternateContent>
      </w:r>
      <w:r w:rsidRPr="00A71EF2">
        <w:rPr>
          <w:rFonts w:ascii="Arial" w:hAnsi="Arial" w:cs="Arial"/>
          <w:noProof/>
          <w:sz w:val="28"/>
          <w:szCs w:val="28"/>
        </w:rPr>
        <mc:AlternateContent>
          <mc:Choice Requires="aink">
            <w:drawing>
              <wp:anchor distT="0" distB="0" distL="114300" distR="114300" simplePos="0" relativeHeight="251686912" behindDoc="0" locked="0" layoutInCell="1" allowOverlap="1" wp14:anchorId="2D560CC4" wp14:editId="59348DFF">
                <wp:simplePos x="0" y="0"/>
                <wp:positionH relativeFrom="column">
                  <wp:posOffset>-1039623</wp:posOffset>
                </wp:positionH>
                <wp:positionV relativeFrom="paragraph">
                  <wp:posOffset>727937</wp:posOffset>
                </wp:positionV>
                <wp:extent cx="360" cy="360"/>
                <wp:effectExtent l="57150" t="95250" r="57150" b="95250"/>
                <wp:wrapNone/>
                <wp:docPr id="1434450600" name="Ink 67"/>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drawing>
              <wp:anchor distT="0" distB="0" distL="114300" distR="114300" simplePos="0" relativeHeight="251686912" behindDoc="0" locked="0" layoutInCell="1" allowOverlap="1" wp14:anchorId="2D560CC4" wp14:editId="59348DFF">
                <wp:simplePos x="0" y="0"/>
                <wp:positionH relativeFrom="column">
                  <wp:posOffset>-1039623</wp:posOffset>
                </wp:positionH>
                <wp:positionV relativeFrom="paragraph">
                  <wp:posOffset>727937</wp:posOffset>
                </wp:positionV>
                <wp:extent cx="360" cy="360"/>
                <wp:effectExtent l="57150" t="95250" r="57150" b="95250"/>
                <wp:wrapNone/>
                <wp:docPr id="1434450600" name="Ink 67"/>
                <wp:cNvGraphicFramePr/>
                <a:graphic xmlns:a="http://schemas.openxmlformats.org/drawingml/2006/main">
                  <a:graphicData uri="http://schemas.openxmlformats.org/drawingml/2006/picture">
                    <pic:pic xmlns:pic="http://schemas.openxmlformats.org/drawingml/2006/picture">
                      <pic:nvPicPr>
                        <pic:cNvPr id="1434450600" name="Ink 67"/>
                        <pic:cNvPicPr/>
                      </pic:nvPicPr>
                      <pic:blipFill>
                        <a:blip r:embed="rId42"/>
                        <a:stretch>
                          <a:fillRect/>
                        </a:stretch>
                      </pic:blipFill>
                      <pic:spPr>
                        <a:xfrm>
                          <a:off x="0" y="0"/>
                          <a:ext cx="72000" cy="72000"/>
                        </a:xfrm>
                        <a:prstGeom prst="rect">
                          <a:avLst/>
                        </a:prstGeom>
                      </pic:spPr>
                    </pic:pic>
                  </a:graphicData>
                </a:graphic>
              </wp:anchor>
            </w:drawing>
          </mc:Fallback>
        </mc:AlternateContent>
      </w:r>
      <w:r w:rsidRPr="00A71EF2">
        <w:rPr>
          <w:rFonts w:ascii="Arial" w:hAnsi="Arial" w:cs="Arial"/>
          <w:sz w:val="28"/>
          <w:szCs w:val="28"/>
        </w:rPr>
        <w:t xml:space="preserve"> state that children may communicate and learn about their feelings through play in a secure and creative environment, which also links to Bowlby's attachment theory, </w:t>
      </w:r>
      <w:r w:rsidRPr="00A71EF2">
        <w:rPr>
          <w:rFonts w:ascii="Arial" w:hAnsi="Arial" w:cs="Arial"/>
          <w:sz w:val="28"/>
          <w:szCs w:val="28"/>
        </w:rPr>
        <w:lastRenderedPageBreak/>
        <w:t xml:space="preserve">who believed that friendships and enviroments that make the child feel secure and at comfortable are essential to the child's overall wellbeing (Macblain, 2022). </w:t>
      </w:r>
    </w:p>
    <w:p w14:paraId="67DCD630"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Landreth, (2012) and Levin and Rosen, (2001)</w:t>
      </w:r>
      <w:r w:rsidRPr="00A71EF2">
        <w:rPr>
          <w:rFonts w:ascii="Arial" w:hAnsi="Arial" w:cs="Arial"/>
          <w:noProof/>
          <w:sz w:val="28"/>
          <w:szCs w:val="28"/>
        </w:rPr>
        <mc:AlternateContent>
          <mc:Choice Requires="aink">
            <w:drawing>
              <wp:anchor distT="0" distB="0" distL="114300" distR="114300" simplePos="0" relativeHeight="251689984" behindDoc="0" locked="0" layoutInCell="1" allowOverlap="1" wp14:anchorId="503864D3" wp14:editId="1E80CFCA">
                <wp:simplePos x="0" y="0"/>
                <wp:positionH relativeFrom="column">
                  <wp:posOffset>7352337</wp:posOffset>
                </wp:positionH>
                <wp:positionV relativeFrom="paragraph">
                  <wp:posOffset>-492103</wp:posOffset>
                </wp:positionV>
                <wp:extent cx="187200" cy="2296080"/>
                <wp:effectExtent l="95250" t="95250" r="80010" b="85725"/>
                <wp:wrapNone/>
                <wp:docPr id="79566393" name="Ink 82"/>
                <wp:cNvGraphicFramePr/>
                <a:graphic xmlns:a="http://schemas.openxmlformats.org/drawingml/2006/main">
                  <a:graphicData uri="http://schemas.microsoft.com/office/word/2010/wordprocessingInk">
                    <w14:contentPart bwMode="auto" r:id="rId43">
                      <w14:nvContentPartPr>
                        <w14:cNvContentPartPr/>
                      </w14:nvContentPartPr>
                      <w14:xfrm>
                        <a:off x="0" y="0"/>
                        <a:ext cx="187200" cy="2296080"/>
                      </w14:xfrm>
                    </w14:contentPart>
                  </a:graphicData>
                </a:graphic>
              </wp:anchor>
            </w:drawing>
          </mc:Choice>
          <mc:Fallback>
            <w:drawing>
              <wp:anchor distT="0" distB="0" distL="114300" distR="114300" simplePos="0" relativeHeight="251689984" behindDoc="0" locked="0" layoutInCell="1" allowOverlap="1" wp14:anchorId="503864D3" wp14:editId="1E80CFCA">
                <wp:simplePos x="0" y="0"/>
                <wp:positionH relativeFrom="column">
                  <wp:posOffset>7352337</wp:posOffset>
                </wp:positionH>
                <wp:positionV relativeFrom="paragraph">
                  <wp:posOffset>-492103</wp:posOffset>
                </wp:positionV>
                <wp:extent cx="187200" cy="2296080"/>
                <wp:effectExtent l="95250" t="95250" r="80010" b="85725"/>
                <wp:wrapNone/>
                <wp:docPr id="79566393" name="Ink 82"/>
                <wp:cNvGraphicFramePr/>
                <a:graphic xmlns:a="http://schemas.openxmlformats.org/drawingml/2006/main">
                  <a:graphicData uri="http://schemas.openxmlformats.org/drawingml/2006/picture">
                    <pic:pic xmlns:pic="http://schemas.openxmlformats.org/drawingml/2006/picture">
                      <pic:nvPicPr>
                        <pic:cNvPr id="79566393" name="Ink 82"/>
                        <pic:cNvPicPr/>
                      </pic:nvPicPr>
                      <pic:blipFill>
                        <a:blip r:embed="rId40"/>
                        <a:stretch>
                          <a:fillRect/>
                        </a:stretch>
                      </pic:blipFill>
                      <pic:spPr>
                        <a:xfrm>
                          <a:off x="0" y="0"/>
                          <a:ext cx="258978" cy="2367720"/>
                        </a:xfrm>
                        <a:prstGeom prst="rect">
                          <a:avLst/>
                        </a:prstGeom>
                      </pic:spPr>
                    </pic:pic>
                  </a:graphicData>
                </a:graphic>
              </wp:anchor>
            </w:drawing>
          </mc:Fallback>
        </mc:AlternateContent>
      </w:r>
      <w:r w:rsidRPr="00A71EF2">
        <w:rPr>
          <w:rFonts w:ascii="Arial" w:hAnsi="Arial" w:cs="Arial"/>
          <w:noProof/>
          <w:sz w:val="28"/>
          <w:szCs w:val="28"/>
        </w:rPr>
        <mc:AlternateContent>
          <mc:Choice Requires="aink">
            <w:drawing>
              <wp:anchor distT="0" distB="0" distL="114300" distR="114300" simplePos="0" relativeHeight="251688960" behindDoc="0" locked="0" layoutInCell="1" allowOverlap="1" wp14:anchorId="4EB049C1" wp14:editId="5C0A54FE">
                <wp:simplePos x="0" y="0"/>
                <wp:positionH relativeFrom="column">
                  <wp:posOffset>-1039623</wp:posOffset>
                </wp:positionH>
                <wp:positionV relativeFrom="paragraph">
                  <wp:posOffset>727937</wp:posOffset>
                </wp:positionV>
                <wp:extent cx="360" cy="360"/>
                <wp:effectExtent l="57150" t="95250" r="57150" b="95250"/>
                <wp:wrapNone/>
                <wp:docPr id="598699301" name="Ink 67"/>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drawing>
              <wp:anchor distT="0" distB="0" distL="114300" distR="114300" simplePos="0" relativeHeight="251688960" behindDoc="0" locked="0" layoutInCell="1" allowOverlap="1" wp14:anchorId="4EB049C1" wp14:editId="5C0A54FE">
                <wp:simplePos x="0" y="0"/>
                <wp:positionH relativeFrom="column">
                  <wp:posOffset>-1039623</wp:posOffset>
                </wp:positionH>
                <wp:positionV relativeFrom="paragraph">
                  <wp:posOffset>727937</wp:posOffset>
                </wp:positionV>
                <wp:extent cx="360" cy="360"/>
                <wp:effectExtent l="57150" t="95250" r="57150" b="95250"/>
                <wp:wrapNone/>
                <wp:docPr id="598699301" name="Ink 67"/>
                <wp:cNvGraphicFramePr/>
                <a:graphic xmlns:a="http://schemas.openxmlformats.org/drawingml/2006/main">
                  <a:graphicData uri="http://schemas.openxmlformats.org/drawingml/2006/picture">
                    <pic:pic xmlns:pic="http://schemas.openxmlformats.org/drawingml/2006/picture">
                      <pic:nvPicPr>
                        <pic:cNvPr id="598699301" name="Ink 67"/>
                        <pic:cNvPicPr/>
                      </pic:nvPicPr>
                      <pic:blipFill>
                        <a:blip r:embed="rId42"/>
                        <a:stretch>
                          <a:fillRect/>
                        </a:stretch>
                      </pic:blipFill>
                      <pic:spPr>
                        <a:xfrm>
                          <a:off x="0" y="0"/>
                          <a:ext cx="72000" cy="72000"/>
                        </a:xfrm>
                        <a:prstGeom prst="rect">
                          <a:avLst/>
                        </a:prstGeom>
                      </pic:spPr>
                    </pic:pic>
                  </a:graphicData>
                </a:graphic>
              </wp:anchor>
            </w:drawing>
          </mc:Fallback>
        </mc:AlternateContent>
      </w:r>
      <w:r w:rsidRPr="00A71EF2">
        <w:rPr>
          <w:rFonts w:ascii="Arial" w:hAnsi="Arial" w:cs="Arial"/>
          <w:sz w:val="28"/>
          <w:szCs w:val="28"/>
        </w:rPr>
        <w:t xml:space="preserve"> speak about how children can express themselves with art, storytelling and pretend play, amongst various other forms of play. Play can also be beneficial in the development of emotion regulation abilities in children because it teaches them how to manage and regulate what they're feeling through various play activities.</w:t>
      </w:r>
    </w:p>
    <w:p w14:paraId="644D50A2" w14:textId="0A293E58"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According to Ladd, G. W. (2005), Rubin, Bukowski, and Parker, J. G. (2006)</w:t>
      </w:r>
      <w:r w:rsidRPr="00A71EF2">
        <w:rPr>
          <w:rFonts w:ascii="Arial" w:hAnsi="Arial" w:cs="Arial"/>
          <w:noProof/>
          <w:sz w:val="28"/>
          <w:szCs w:val="28"/>
        </w:rPr>
        <mc:AlternateContent>
          <mc:Choice Requires="aink">
            <w:drawing>
              <wp:anchor distT="0" distB="0" distL="114300" distR="114300" simplePos="0" relativeHeight="251679744" behindDoc="0" locked="0" layoutInCell="1" allowOverlap="1" wp14:anchorId="1DFD4D8A" wp14:editId="19946759">
                <wp:simplePos x="0" y="0"/>
                <wp:positionH relativeFrom="column">
                  <wp:posOffset>-1282263</wp:posOffset>
                </wp:positionH>
                <wp:positionV relativeFrom="paragraph">
                  <wp:posOffset>116332</wp:posOffset>
                </wp:positionV>
                <wp:extent cx="360" cy="360"/>
                <wp:effectExtent l="57150" t="95250" r="57150" b="95250"/>
                <wp:wrapNone/>
                <wp:docPr id="2050800339" name="Ink 69"/>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drawing>
              <wp:anchor distT="0" distB="0" distL="114300" distR="114300" simplePos="0" relativeHeight="251679744" behindDoc="0" locked="0" layoutInCell="1" allowOverlap="1" wp14:anchorId="1DFD4D8A" wp14:editId="19946759">
                <wp:simplePos x="0" y="0"/>
                <wp:positionH relativeFrom="column">
                  <wp:posOffset>-1282263</wp:posOffset>
                </wp:positionH>
                <wp:positionV relativeFrom="paragraph">
                  <wp:posOffset>116332</wp:posOffset>
                </wp:positionV>
                <wp:extent cx="360" cy="360"/>
                <wp:effectExtent l="57150" t="95250" r="57150" b="95250"/>
                <wp:wrapNone/>
                <wp:docPr id="2050800339" name="Ink 69"/>
                <wp:cNvGraphicFramePr/>
                <a:graphic xmlns:a="http://schemas.openxmlformats.org/drawingml/2006/main">
                  <a:graphicData uri="http://schemas.openxmlformats.org/drawingml/2006/picture">
                    <pic:pic xmlns:pic="http://schemas.openxmlformats.org/drawingml/2006/picture">
                      <pic:nvPicPr>
                        <pic:cNvPr id="2050800339" name="Ink 69"/>
                        <pic:cNvPicPr/>
                      </pic:nvPicPr>
                      <pic:blipFill>
                        <a:blip r:embed="rId46"/>
                        <a:stretch>
                          <a:fillRect/>
                        </a:stretch>
                      </pic:blipFill>
                      <pic:spPr>
                        <a:xfrm>
                          <a:off x="0" y="0"/>
                          <a:ext cx="72000" cy="72000"/>
                        </a:xfrm>
                        <a:prstGeom prst="rect">
                          <a:avLst/>
                        </a:prstGeom>
                      </pic:spPr>
                    </pic:pic>
                  </a:graphicData>
                </a:graphic>
              </wp:anchor>
            </w:drawing>
          </mc:Fallback>
        </mc:AlternateContent>
      </w:r>
      <w:r w:rsidRPr="00A71EF2">
        <w:rPr>
          <w:rFonts w:ascii="Arial" w:hAnsi="Arial" w:cs="Arial"/>
          <w:sz w:val="28"/>
          <w:szCs w:val="28"/>
        </w:rPr>
        <w:t>, and Bradbury and Swalies (2022) environments centred around play encourage healthy interactions between peers, giving children the chance to make friends and develop a feeling of community. Bradbury and Swalies (2022) futher discusses that studies reveal children who participate in playful collaboration activities improve their social skills and have healthier connections with their classmates.</w:t>
      </w:r>
    </w:p>
    <w:p w14:paraId="1C0683E8" w14:textId="4B757BA2" w:rsidR="00424A05" w:rsidRPr="00A71EF2" w:rsidRDefault="00424A05" w:rsidP="00424A05">
      <w:pPr>
        <w:spacing w:before="240" w:after="0" w:line="360" w:lineRule="auto"/>
        <w:rPr>
          <w:rFonts w:ascii="Arial" w:hAnsi="Arial" w:cs="Arial"/>
          <w:sz w:val="28"/>
          <w:szCs w:val="28"/>
        </w:rPr>
      </w:pPr>
      <w:bookmarkStart w:id="2" w:name="_Hlk156758044"/>
      <w:r w:rsidRPr="00A71EF2">
        <w:rPr>
          <w:rFonts w:ascii="Arial" w:hAnsi="Arial" w:cs="Arial"/>
          <w:sz w:val="28"/>
          <w:szCs w:val="28"/>
        </w:rPr>
        <w:t xml:space="preserve">Corsaro (2014) </w:t>
      </w:r>
      <w:bookmarkEnd w:id="2"/>
      <w:r w:rsidRPr="00A71EF2">
        <w:rPr>
          <w:rFonts w:ascii="Arial" w:hAnsi="Arial" w:cs="Arial"/>
          <w:sz w:val="28"/>
          <w:szCs w:val="28"/>
        </w:rPr>
        <w:t>and Bradbury and Swalies (2022) suggests that play has been found to be an effective way to practise communication abilities, both verbal and nonverbal, which are both essential for the growth of social skills. They explain that through play, children develop their ability to interact, regardless of if they are debating the rules of a game or choosing roles in a pretend play scene. This improves their capacity for self-expression and fosters successful relationship building.</w:t>
      </w:r>
      <w:r w:rsidRPr="00A71EF2">
        <w:rPr>
          <w:rFonts w:ascii="Arial" w:hAnsi="Arial" w:cs="Arial"/>
          <w:noProof/>
          <w:sz w:val="28"/>
          <w:szCs w:val="28"/>
        </w:rPr>
        <mc:AlternateContent>
          <mc:Choice Requires="aink">
            <w:drawing>
              <wp:anchor distT="0" distB="0" distL="114300" distR="114300" simplePos="0" relativeHeight="251681792" behindDoc="0" locked="0" layoutInCell="1" allowOverlap="1" wp14:anchorId="6D4D8E5B" wp14:editId="535B2EC5">
                <wp:simplePos x="0" y="0"/>
                <wp:positionH relativeFrom="column">
                  <wp:posOffset>-1941783</wp:posOffset>
                </wp:positionH>
                <wp:positionV relativeFrom="paragraph">
                  <wp:posOffset>137341</wp:posOffset>
                </wp:positionV>
                <wp:extent cx="360" cy="360"/>
                <wp:effectExtent l="57150" t="95250" r="57150" b="95250"/>
                <wp:wrapNone/>
                <wp:docPr id="1763153139" name="Ink 83"/>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drawing>
              <wp:anchor distT="0" distB="0" distL="114300" distR="114300" simplePos="0" relativeHeight="251681792" behindDoc="0" locked="0" layoutInCell="1" allowOverlap="1" wp14:anchorId="6D4D8E5B" wp14:editId="535B2EC5">
                <wp:simplePos x="0" y="0"/>
                <wp:positionH relativeFrom="column">
                  <wp:posOffset>-1941783</wp:posOffset>
                </wp:positionH>
                <wp:positionV relativeFrom="paragraph">
                  <wp:posOffset>137341</wp:posOffset>
                </wp:positionV>
                <wp:extent cx="360" cy="360"/>
                <wp:effectExtent l="57150" t="95250" r="57150" b="95250"/>
                <wp:wrapNone/>
                <wp:docPr id="1763153139" name="Ink 83"/>
                <wp:cNvGraphicFramePr/>
                <a:graphic xmlns:a="http://schemas.openxmlformats.org/drawingml/2006/main">
                  <a:graphicData uri="http://schemas.openxmlformats.org/drawingml/2006/picture">
                    <pic:pic xmlns:pic="http://schemas.openxmlformats.org/drawingml/2006/picture">
                      <pic:nvPicPr>
                        <pic:cNvPr id="1763153139" name="Ink 83"/>
                        <pic:cNvPicPr/>
                      </pic:nvPicPr>
                      <pic:blipFill>
                        <a:blip r:embed="rId48"/>
                        <a:stretch>
                          <a:fillRect/>
                        </a:stretch>
                      </pic:blipFill>
                      <pic:spPr>
                        <a:xfrm>
                          <a:off x="0" y="0"/>
                          <a:ext cx="72000" cy="72000"/>
                        </a:xfrm>
                        <a:prstGeom prst="rect">
                          <a:avLst/>
                        </a:prstGeom>
                      </pic:spPr>
                    </pic:pic>
                  </a:graphicData>
                </a:graphic>
              </wp:anchor>
            </w:drawing>
          </mc:Fallback>
        </mc:AlternateContent>
      </w:r>
    </w:p>
    <w:p w14:paraId="40FF2071"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 xml:space="preserve">Hirsh-Pasek, et al. (2009), Eberle, (2013) and Wood, (2013) agree that activities centred around play frequently call for cooperation and teamwork. They believe that children learn the value of cooperating to achieve a shared objective through team art projects like building </w:t>
      </w:r>
      <w:r w:rsidRPr="00A71EF2">
        <w:rPr>
          <w:rFonts w:ascii="Arial" w:hAnsi="Arial" w:cs="Arial"/>
          <w:sz w:val="28"/>
          <w:szCs w:val="28"/>
        </w:rPr>
        <w:lastRenderedPageBreak/>
        <w:t>structures out of LEGO. Bland, (2015) agrees and implies that these cooperative activities aid in the growth of cooperative and collaboration abilities.</w:t>
      </w:r>
      <w:r w:rsidRPr="00A71EF2">
        <w:rPr>
          <w:rFonts w:ascii="Arial" w:hAnsi="Arial" w:cs="Arial"/>
          <w:noProof/>
          <w:sz w:val="28"/>
          <w:szCs w:val="28"/>
        </w:rPr>
        <mc:AlternateContent>
          <mc:Choice Requires="wpi">
            <w:drawing>
              <wp:anchor distT="0" distB="0" distL="114300" distR="114300" simplePos="0" relativeHeight="251683840" behindDoc="0" locked="0" layoutInCell="1" allowOverlap="1" wp14:anchorId="6C1E2331" wp14:editId="5B38F0A8">
                <wp:simplePos x="0" y="0"/>
                <wp:positionH relativeFrom="column">
                  <wp:posOffset>-1610943</wp:posOffset>
                </wp:positionH>
                <wp:positionV relativeFrom="paragraph">
                  <wp:posOffset>278461</wp:posOffset>
                </wp:positionV>
                <wp:extent cx="360" cy="360"/>
                <wp:effectExtent l="76200" t="76200" r="95250" b="95250"/>
                <wp:wrapNone/>
                <wp:docPr id="1747108877" name="Ink 87"/>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38184757" id="Ink 87" o:spid="_x0000_s1026" type="#_x0000_t75" style="position:absolute;margin-left:-129.7pt;margin-top:19.1pt;width:5.7pt;height:5.7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">
                <v:imagedata r:id="rId13" o:title=""/>
              </v:shape>
            </w:pict>
          </mc:Fallback>
        </mc:AlternateContent>
      </w:r>
      <w:r w:rsidRPr="00A71EF2">
        <w:rPr>
          <w:rFonts w:ascii="Arial" w:hAnsi="Arial" w:cs="Arial"/>
          <w:noProof/>
          <w:sz w:val="28"/>
          <w:szCs w:val="28"/>
        </w:rPr>
        <mc:AlternateContent>
          <mc:Choice Requires="wpi">
            <w:drawing>
              <wp:anchor distT="0" distB="0" distL="114300" distR="114300" simplePos="0" relativeHeight="251682816" behindDoc="0" locked="0" layoutInCell="1" allowOverlap="1" wp14:anchorId="32753F90" wp14:editId="57144BAE">
                <wp:simplePos x="0" y="0"/>
                <wp:positionH relativeFrom="column">
                  <wp:posOffset>-1708503</wp:posOffset>
                </wp:positionH>
                <wp:positionV relativeFrom="paragraph">
                  <wp:posOffset>741441</wp:posOffset>
                </wp:positionV>
                <wp:extent cx="7200" cy="11160"/>
                <wp:effectExtent l="57150" t="76200" r="88265" b="103505"/>
                <wp:wrapNone/>
                <wp:docPr id="265599405" name="Ink 85"/>
                <wp:cNvGraphicFramePr/>
                <a:graphic xmlns:a="http://schemas.openxmlformats.org/drawingml/2006/main">
                  <a:graphicData uri="http://schemas.microsoft.com/office/word/2010/wordprocessingInk">
                    <w14:contentPart bwMode="auto" r:id="rId50">
                      <w14:nvContentPartPr>
                        <w14:cNvContentPartPr/>
                      </w14:nvContentPartPr>
                      <w14:xfrm>
                        <a:off x="0" y="0"/>
                        <a:ext cx="7200" cy="11160"/>
                      </w14:xfrm>
                    </w14:contentPart>
                  </a:graphicData>
                </a:graphic>
              </wp:anchor>
            </w:drawing>
          </mc:Choice>
          <mc:Fallback>
            <w:pict>
              <v:shape w14:anchorId="5BC91053" id="Ink 85" o:spid="_x0000_s1026" type="#_x0000_t75" style="position:absolute;margin-left:-137.25pt;margin-top:55.55pt;width:5.95pt;height:6.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">
                <v:imagedata r:id="rId51" o:title=""/>
              </v:shape>
            </w:pict>
          </mc:Fallback>
        </mc:AlternateContent>
      </w:r>
    </w:p>
    <w:p w14:paraId="696101AC"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According to Ginsburg and Milteer, (2011), Hughes, (2013) and Brostrom (2018) learning through play can create a space that is emotionally supportive and allows children to freely express themselves. Gartrell, (2017) and Bennett and Glover, (2016) believe when practitioners establish a secure environment that promotes emotional exploration it can helps children have an optimistic outlook on both their own and their classmates feelings and emotions.</w:t>
      </w:r>
    </w:p>
    <w:p w14:paraId="23C01A98" w14:textId="3C61D49A" w:rsidR="00424A05" w:rsidRPr="00A71EF2" w:rsidRDefault="00424A05" w:rsidP="00424A05">
      <w:pPr>
        <w:spacing w:before="240" w:after="0" w:line="360" w:lineRule="auto"/>
        <w:rPr>
          <w:rFonts w:ascii="Arial" w:hAnsi="Arial" w:cs="Arial"/>
          <w:sz w:val="28"/>
          <w:szCs w:val="28"/>
        </w:rPr>
      </w:pPr>
      <w:r w:rsidRPr="00A71EF2">
        <w:rPr>
          <w:rFonts w:ascii="Arial" w:hAnsi="Arial" w:cs="Arial"/>
          <w:noProof/>
          <w:sz w:val="28"/>
          <w:szCs w:val="28"/>
        </w:rPr>
        <mc:AlternateContent>
          <mc:Choice Requires="wpi">
            <w:drawing>
              <wp:anchor distT="0" distB="0" distL="114300" distR="114300" simplePos="0" relativeHeight="251684864" behindDoc="0" locked="0" layoutInCell="1" allowOverlap="1" wp14:anchorId="40A84048" wp14:editId="11B6DD7B">
                <wp:simplePos x="0" y="0"/>
                <wp:positionH relativeFrom="column">
                  <wp:posOffset>7363857</wp:posOffset>
                </wp:positionH>
                <wp:positionV relativeFrom="paragraph">
                  <wp:posOffset>-973249</wp:posOffset>
                </wp:positionV>
                <wp:extent cx="270360" cy="2309040"/>
                <wp:effectExtent l="57150" t="57150" r="73025" b="110490"/>
                <wp:wrapNone/>
                <wp:docPr id="1309467137" name="Ink 95"/>
                <wp:cNvGraphicFramePr/>
                <a:graphic xmlns:a="http://schemas.openxmlformats.org/drawingml/2006/main">
                  <a:graphicData uri="http://schemas.microsoft.com/office/word/2010/wordprocessingInk">
                    <w14:contentPart bwMode="auto" r:id="rId52">
                      <w14:nvContentPartPr>
                        <w14:cNvContentPartPr/>
                      </w14:nvContentPartPr>
                      <w14:xfrm>
                        <a:off x="0" y="0"/>
                        <a:ext cx="270360" cy="2309040"/>
                      </w14:xfrm>
                    </w14:contentPart>
                  </a:graphicData>
                </a:graphic>
              </wp:anchor>
            </w:drawing>
          </mc:Choice>
          <mc:Fallback>
            <w:pict>
              <v:shape w14:anchorId="3F5FD3AD" id="Ink 95" o:spid="_x0000_s1026" type="#_x0000_t75" style="position:absolute;margin-left:578.45pt;margin-top:-79.5pt;width:24.15pt;height:187.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">
                <v:imagedata r:id="rId53" o:title=""/>
              </v:shape>
            </w:pict>
          </mc:Fallback>
        </mc:AlternateContent>
      </w:r>
      <w:r w:rsidRPr="00A71EF2">
        <w:rPr>
          <w:rFonts w:ascii="Arial" w:hAnsi="Arial" w:cs="Arial"/>
          <w:sz w:val="28"/>
          <w:szCs w:val="28"/>
        </w:rPr>
        <w:t>Corsaro, (2014) and Hughes (2013) suggest that through play, children are able to discover and show off their independence in a monitored, secure environment. They believe that children gain an awareness of independence and one's own identity by decision-making through playing, for example choosing games or characters for pretend play. As a result, they develop a good self-perception and become more conscious of their unique qualities.</w:t>
      </w:r>
    </w:p>
    <w:p w14:paraId="560C738C" w14:textId="466FE8A1"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Bennett and Glover, (2016) Ginsberg and Milteer (2011) and Lillard, (2013) discuss that learning methods centred around play can give children the chance to experience obstacles and failures, which can help them build resilience and coping mechanisms. Bennett and Glover, (2016) and Lillard, (2013) Ginsberg and Milteer (2011) further explain that children develop their ability to adjust, endure, and overcome challenges through play, which helps them become more emotionally resilient when faced with challenging puzzles or social disputes.</w:t>
      </w:r>
    </w:p>
    <w:p w14:paraId="36B9AD88" w14:textId="77777777" w:rsidR="00424A05" w:rsidRPr="00A71EF2" w:rsidRDefault="00424A05" w:rsidP="00424A05">
      <w:pPr>
        <w:spacing w:before="240" w:after="0" w:line="360" w:lineRule="auto"/>
        <w:rPr>
          <w:rFonts w:ascii="Arial" w:hAnsi="Arial" w:cs="Arial"/>
          <w:sz w:val="28"/>
          <w:szCs w:val="28"/>
        </w:rPr>
      </w:pPr>
      <w:r w:rsidRPr="00A71EF2">
        <w:rPr>
          <w:rFonts w:ascii="Arial" w:hAnsi="Arial" w:cs="Arial"/>
          <w:sz w:val="28"/>
          <w:szCs w:val="28"/>
        </w:rPr>
        <w:t xml:space="preserve">According to Wang and Looi, (2017) and Wang, Tan, and Ho, (2018) play-based learning curriculum can also support the growth of </w:t>
      </w:r>
      <w:r w:rsidRPr="00A71EF2">
        <w:rPr>
          <w:rFonts w:ascii="Arial" w:hAnsi="Arial" w:cs="Arial"/>
          <w:sz w:val="28"/>
          <w:szCs w:val="28"/>
        </w:rPr>
        <w:lastRenderedPageBreak/>
        <w:t>inclusiveness and cultural awareness. They suggest that children can develop empathy and understanding by learning about and appreciating various cultures and viewpoints through a variety of play resources, books, and inclusive play scenarios.</w:t>
      </w:r>
    </w:p>
    <w:p w14:paraId="70FF1ED0" w14:textId="0C4314EC" w:rsidR="00424A05" w:rsidRDefault="00424A05" w:rsidP="00424A05">
      <w:pPr>
        <w:spacing w:before="240" w:after="0"/>
      </w:pPr>
    </w:p>
    <w:p w14:paraId="76B59A1C" w14:textId="77777777" w:rsidR="00424A05" w:rsidRDefault="00424A05" w:rsidP="00424A05">
      <w:pPr>
        <w:spacing w:before="240" w:after="0"/>
      </w:pPr>
    </w:p>
    <w:p w14:paraId="2A4231BB" w14:textId="77777777" w:rsidR="00424A05" w:rsidRDefault="00424A05" w:rsidP="00424A05">
      <w:pPr>
        <w:spacing w:before="240" w:after="0"/>
      </w:pPr>
    </w:p>
    <w:p w14:paraId="230CB315" w14:textId="77777777" w:rsidR="00424A05" w:rsidRDefault="00424A05" w:rsidP="00424A05">
      <w:pPr>
        <w:spacing w:before="240" w:after="0"/>
      </w:pPr>
    </w:p>
    <w:p w14:paraId="3D059386" w14:textId="77777777" w:rsidR="00424A05" w:rsidRDefault="00424A05" w:rsidP="00424A05">
      <w:pPr>
        <w:spacing w:before="240" w:after="0"/>
      </w:pPr>
    </w:p>
    <w:p w14:paraId="0BB1D3BE" w14:textId="77777777" w:rsidR="00424A05" w:rsidRDefault="00424A05" w:rsidP="00424A05">
      <w:pPr>
        <w:spacing w:before="240" w:after="0"/>
      </w:pPr>
    </w:p>
    <w:p w14:paraId="7D4161CB" w14:textId="77777777" w:rsidR="00424A05" w:rsidRDefault="00424A05" w:rsidP="00424A05">
      <w:pPr>
        <w:spacing w:before="240" w:after="0"/>
      </w:pPr>
    </w:p>
    <w:p w14:paraId="6777E7D9" w14:textId="77777777" w:rsidR="00424A05" w:rsidRDefault="00424A05" w:rsidP="00424A05">
      <w:pPr>
        <w:spacing w:before="240" w:after="0"/>
      </w:pPr>
    </w:p>
    <w:p w14:paraId="54F41E3F" w14:textId="77777777" w:rsidR="00424A05" w:rsidRDefault="00424A05" w:rsidP="00424A05">
      <w:pPr>
        <w:spacing w:before="240" w:after="0"/>
      </w:pPr>
    </w:p>
    <w:p w14:paraId="12E0CC4B" w14:textId="77777777" w:rsidR="00424A05" w:rsidRDefault="00424A05" w:rsidP="00424A05">
      <w:pPr>
        <w:spacing w:before="240" w:after="0"/>
      </w:pPr>
    </w:p>
    <w:p w14:paraId="00F54016" w14:textId="77777777" w:rsidR="00424A05" w:rsidRDefault="00424A05" w:rsidP="00424A05">
      <w:pPr>
        <w:spacing w:before="240" w:after="0"/>
      </w:pPr>
    </w:p>
    <w:p w14:paraId="5F39000B" w14:textId="77777777" w:rsidR="00424A05" w:rsidRDefault="00424A05" w:rsidP="00424A05">
      <w:pPr>
        <w:spacing w:before="240" w:after="0"/>
      </w:pPr>
    </w:p>
    <w:p w14:paraId="7D2DB060" w14:textId="77777777" w:rsidR="00EE3CB4" w:rsidRDefault="00EE3CB4" w:rsidP="00424A05">
      <w:pPr>
        <w:spacing w:before="240" w:after="0"/>
      </w:pPr>
    </w:p>
    <w:p w14:paraId="5A8680F0" w14:textId="77777777" w:rsidR="00EE3CB4" w:rsidRDefault="00EE3CB4" w:rsidP="00424A05">
      <w:pPr>
        <w:spacing w:before="240" w:after="0"/>
      </w:pPr>
    </w:p>
    <w:p w14:paraId="1B9F6312" w14:textId="77777777" w:rsidR="00EE3CB4" w:rsidRDefault="00EE3CB4" w:rsidP="00424A05">
      <w:pPr>
        <w:spacing w:before="240" w:after="0"/>
      </w:pPr>
    </w:p>
    <w:p w14:paraId="734CE561" w14:textId="77777777" w:rsidR="00EE3CB4" w:rsidRDefault="00EE3CB4" w:rsidP="00424A05">
      <w:pPr>
        <w:spacing w:before="240" w:after="0"/>
      </w:pPr>
    </w:p>
    <w:p w14:paraId="3069E3DF" w14:textId="77777777" w:rsidR="00EE3CB4" w:rsidRDefault="00EE3CB4" w:rsidP="00424A05">
      <w:pPr>
        <w:spacing w:before="240" w:after="0"/>
      </w:pPr>
    </w:p>
    <w:p w14:paraId="621136EE" w14:textId="77777777" w:rsidR="00EE3CB4" w:rsidRDefault="00EE3CB4" w:rsidP="00424A05">
      <w:pPr>
        <w:spacing w:before="240" w:after="0"/>
      </w:pPr>
    </w:p>
    <w:p w14:paraId="320FE357" w14:textId="77777777" w:rsidR="00EE3CB4" w:rsidRDefault="00EE3CB4" w:rsidP="00424A05">
      <w:pPr>
        <w:spacing w:before="240" w:after="0"/>
      </w:pPr>
    </w:p>
    <w:p w14:paraId="741DB43E" w14:textId="77777777" w:rsidR="00424A05" w:rsidRDefault="00424A05" w:rsidP="00424A05">
      <w:pPr>
        <w:spacing w:before="240" w:after="0"/>
      </w:pPr>
    </w:p>
    <w:p w14:paraId="1A85D21A" w14:textId="77777777" w:rsidR="00424A05" w:rsidRDefault="00424A05" w:rsidP="00424A05">
      <w:pPr>
        <w:spacing w:before="240" w:after="0"/>
      </w:pPr>
    </w:p>
    <w:p w14:paraId="2E1EDFDB" w14:textId="32989759"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Section 2</w:t>
      </w:r>
    </w:p>
    <w:p w14:paraId="20DBF46C" w14:textId="22F30FAB"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In the context of play-based curriculum, taking into account the concept of the unique children entails practitioners who appreciate and acknowledge every child's distinct characteristics, aptitudes, and interests. This critical review focuses on how well age or stage related models of development, progress monitoring, and assessment techniques all support the idea that every child is unique.</w:t>
      </w:r>
    </w:p>
    <w:p w14:paraId="1B719BC3" w14:textId="77777777" w:rsidR="00424A05" w:rsidRDefault="00424A05" w:rsidP="00424A05">
      <w:pPr>
        <w:spacing w:line="360" w:lineRule="auto"/>
        <w:rPr>
          <w:rFonts w:ascii="Arial" w:hAnsi="Arial" w:cs="Arial"/>
          <w:sz w:val="28"/>
          <w:szCs w:val="28"/>
          <w:u w:val="single"/>
        </w:rPr>
      </w:pPr>
    </w:p>
    <w:p w14:paraId="313C9F4A" w14:textId="70CD9F9F" w:rsidR="00424A05" w:rsidRPr="003A1F88" w:rsidRDefault="00424A05" w:rsidP="00424A05">
      <w:pPr>
        <w:spacing w:line="360" w:lineRule="auto"/>
        <w:rPr>
          <w:rFonts w:ascii="Arial" w:hAnsi="Arial" w:cs="Arial"/>
          <w:sz w:val="28"/>
          <w:szCs w:val="28"/>
          <w:u w:val="single"/>
        </w:rPr>
      </w:pPr>
      <w:r w:rsidRPr="003A1F88">
        <w:rPr>
          <w:rFonts w:ascii="Arial" w:hAnsi="Arial" w:cs="Arial"/>
          <w:sz w:val="28"/>
          <w:szCs w:val="28"/>
          <w:u w:val="single"/>
        </w:rPr>
        <w:t>Coherence towards the Unique Child Principle</w:t>
      </w:r>
    </w:p>
    <w:p w14:paraId="7DB79B5E" w14:textId="77777777" w:rsidR="00424A05" w:rsidRPr="003A1F88" w:rsidRDefault="00424A05" w:rsidP="00424A05">
      <w:pPr>
        <w:tabs>
          <w:tab w:val="left" w:pos="5815"/>
        </w:tabs>
        <w:spacing w:line="360" w:lineRule="auto"/>
        <w:rPr>
          <w:rFonts w:ascii="Arial" w:hAnsi="Arial" w:cs="Arial"/>
          <w:sz w:val="28"/>
          <w:szCs w:val="28"/>
        </w:rPr>
      </w:pPr>
      <w:r w:rsidRPr="003A1F88">
        <w:rPr>
          <w:rFonts w:ascii="Arial" w:hAnsi="Arial" w:cs="Arial"/>
          <w:sz w:val="28"/>
          <w:szCs w:val="28"/>
        </w:rPr>
        <w:t xml:space="preserve">According to Wood, (2013), Goncu and Gauvain, (2012) and Copple and Bredekamp, (2009) </w:t>
      </w:r>
      <w:r w:rsidRPr="003A1F88">
        <w:rPr>
          <w:rFonts w:ascii="Arial" w:hAnsi="Arial" w:cs="Arial"/>
          <w:noProof/>
          <w:sz w:val="28"/>
          <w:szCs w:val="28"/>
        </w:rPr>
        <mc:AlternateContent>
          <mc:Choice Requires="wpi">
            <w:drawing>
              <wp:anchor distT="0" distB="0" distL="114300" distR="114300" simplePos="0" relativeHeight="251692032" behindDoc="0" locked="0" layoutInCell="1" allowOverlap="1" wp14:anchorId="655443DA" wp14:editId="6CBBDD15">
                <wp:simplePos x="0" y="0"/>
                <wp:positionH relativeFrom="column">
                  <wp:posOffset>-1297011</wp:posOffset>
                </wp:positionH>
                <wp:positionV relativeFrom="paragraph">
                  <wp:posOffset>957636</wp:posOffset>
                </wp:positionV>
                <wp:extent cx="360" cy="360"/>
                <wp:effectExtent l="38100" t="38100" r="38100" b="38100"/>
                <wp:wrapNone/>
                <wp:docPr id="277976314"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54">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F5E8A38" id="Ink 1" o:spid="_x0000_s1026" type="#_x0000_t75" style="position:absolute;margin-left:-102.85pt;margin-top:74.7pt;width:1.45pt;height:1.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">
                <v:imagedata r:id="rId23" o:title=""/>
                <o:lock v:ext="edit" rotation="t" aspectratio="f"/>
              </v:shape>
            </w:pict>
          </mc:Fallback>
        </mc:AlternateContent>
      </w:r>
      <w:r w:rsidRPr="003A1F88">
        <w:rPr>
          <w:rFonts w:ascii="Arial" w:hAnsi="Arial" w:cs="Arial"/>
          <w:sz w:val="28"/>
          <w:szCs w:val="28"/>
        </w:rPr>
        <w:t>Curriculum centred around play may use observational evaluations enabled practitioners to identify each child's individual traits, passions, and learning preferences.</w:t>
      </w:r>
    </w:p>
    <w:p w14:paraId="07D05BEA" w14:textId="7777777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Wood (2013) Bodrova and Leong, (2007) and Ginsburg and Milteer, (2011)</w:t>
      </w:r>
      <w:r w:rsidRPr="003A1F88">
        <w:rPr>
          <w:rFonts w:ascii="Arial" w:hAnsi="Arial" w:cs="Arial"/>
          <w:noProof/>
          <w:sz w:val="28"/>
          <w:szCs w:val="28"/>
        </w:rPr>
        <mc:AlternateContent>
          <mc:Choice Requires="wpi">
            <w:drawing>
              <wp:anchor distT="0" distB="0" distL="114300" distR="114300" simplePos="0" relativeHeight="251693056" behindDoc="0" locked="0" layoutInCell="1" allowOverlap="1" wp14:anchorId="7E1D5521" wp14:editId="4657BF69">
                <wp:simplePos x="0" y="0"/>
                <wp:positionH relativeFrom="column">
                  <wp:posOffset>-1134291</wp:posOffset>
                </wp:positionH>
                <wp:positionV relativeFrom="paragraph">
                  <wp:posOffset>131846</wp:posOffset>
                </wp:positionV>
                <wp:extent cx="360" cy="360"/>
                <wp:effectExtent l="38100" t="38100" r="38100" b="38100"/>
                <wp:wrapNone/>
                <wp:docPr id="872388983"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55">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294AD3A9" id="Ink 6" o:spid="_x0000_s1026" type="#_x0000_t75" style="position:absolute;margin-left:-90pt;margin-top:9.7pt;width:1.45pt;height:1.4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">
                <v:imagedata r:id="rId56" o:title=""/>
                <o:lock v:ext="edit" rotation="t" aspectratio="f"/>
              </v:shape>
            </w:pict>
          </mc:Fallback>
        </mc:AlternateContent>
      </w:r>
      <w:r w:rsidRPr="003A1F88">
        <w:rPr>
          <w:rFonts w:ascii="Arial" w:hAnsi="Arial" w:cs="Arial"/>
          <w:sz w:val="28"/>
          <w:szCs w:val="28"/>
        </w:rPr>
        <w:t xml:space="preserve"> suggest that Practitioners may acquire knowledge on every child's intellectual, emotional, and social growth by concentrating on immediate time observations made while playing. </w:t>
      </w:r>
    </w:p>
    <w:p w14:paraId="42A1FFF7" w14:textId="77777777" w:rsidR="00424A05" w:rsidRDefault="00424A05" w:rsidP="00424A05">
      <w:pPr>
        <w:spacing w:line="360" w:lineRule="auto"/>
        <w:rPr>
          <w:rFonts w:ascii="Arial" w:hAnsi="Arial" w:cs="Arial"/>
          <w:sz w:val="28"/>
          <w:szCs w:val="28"/>
        </w:rPr>
      </w:pPr>
      <w:r w:rsidRPr="003A1F88">
        <w:rPr>
          <w:rFonts w:ascii="Arial" w:hAnsi="Arial" w:cs="Arial"/>
          <w:sz w:val="28"/>
          <w:szCs w:val="28"/>
        </w:rPr>
        <w:t>Hyson (2011), Jones and Reynolds, (2011), Göncü and Gaskins, (2007) imply that</w:t>
      </w:r>
      <w:r w:rsidRPr="003A1F88">
        <w:rPr>
          <w:rFonts w:ascii="Arial" w:hAnsi="Arial" w:cs="Arial"/>
          <w:noProof/>
          <w:sz w:val="28"/>
          <w:szCs w:val="28"/>
        </w:rPr>
        <mc:AlternateContent>
          <mc:Choice Requires="wpi">
            <w:drawing>
              <wp:anchor distT="0" distB="0" distL="114300" distR="114300" simplePos="0" relativeHeight="251696128" behindDoc="0" locked="0" layoutInCell="1" allowOverlap="1" wp14:anchorId="2F56F2B1" wp14:editId="35A93815">
                <wp:simplePos x="0" y="0"/>
                <wp:positionH relativeFrom="column">
                  <wp:posOffset>6583749</wp:posOffset>
                </wp:positionH>
                <wp:positionV relativeFrom="paragraph">
                  <wp:posOffset>442921</wp:posOffset>
                </wp:positionV>
                <wp:extent cx="1800" cy="360"/>
                <wp:effectExtent l="57150" t="38100" r="36830" b="38100"/>
                <wp:wrapNone/>
                <wp:docPr id="36867114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w14:cNvContentPartPr>
                      </w14:nvContentPartPr>
                      <w14:xfrm>
                        <a:off x="0" y="0"/>
                        <a:ext cx="1800" cy="360"/>
                      </w14:xfrm>
                    </w14:contentPart>
                  </a:graphicData>
                </a:graphic>
              </wp:anchor>
            </w:drawing>
          </mc:Choice>
          <mc:Fallback>
            <w:pict>
              <v:shape w14:anchorId="3A88DF89" id="Ink 11" o:spid="_x0000_s1026" type="#_x0000_t75" style="position:absolute;margin-left:517.7pt;margin-top:34.2pt;width:1.6pt;height:1.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">
                <v:imagedata r:id="rId58" o:title=""/>
                <o:lock v:ext="edit" rotation="t" aspectratio="f"/>
              </v:shape>
            </w:pict>
          </mc:Fallback>
        </mc:AlternateContent>
      </w:r>
      <w:r w:rsidRPr="003A1F88">
        <w:rPr>
          <w:rFonts w:ascii="Arial" w:hAnsi="Arial" w:cs="Arial"/>
          <w:noProof/>
          <w:sz w:val="28"/>
          <w:szCs w:val="28"/>
        </w:rPr>
        <mc:AlternateContent>
          <mc:Choice Requires="wpi">
            <w:drawing>
              <wp:anchor distT="0" distB="0" distL="114300" distR="114300" simplePos="0" relativeHeight="251695104" behindDoc="0" locked="0" layoutInCell="1" allowOverlap="1" wp14:anchorId="37D957EB" wp14:editId="280EA77E">
                <wp:simplePos x="0" y="0"/>
                <wp:positionH relativeFrom="column">
                  <wp:posOffset>-1426971</wp:posOffset>
                </wp:positionH>
                <wp:positionV relativeFrom="paragraph">
                  <wp:posOffset>81121</wp:posOffset>
                </wp:positionV>
                <wp:extent cx="360" cy="360"/>
                <wp:effectExtent l="38100" t="38100" r="38100" b="38100"/>
                <wp:wrapNone/>
                <wp:docPr id="79922701"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5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82F5964" id="Ink 9" o:spid="_x0000_s1026" type="#_x0000_t75" style="position:absolute;margin-left:-113.05pt;margin-top:5.7pt;width:1.45pt;height:1.4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">
                <v:imagedata r:id="rId60" o:title=""/>
                <o:lock v:ext="edit" rotation="t" aspectratio="f"/>
              </v:shape>
            </w:pict>
          </mc:Fallback>
        </mc:AlternateContent>
      </w:r>
      <w:r w:rsidRPr="003A1F88">
        <w:rPr>
          <w:rFonts w:ascii="Arial" w:hAnsi="Arial" w:cs="Arial"/>
          <w:noProof/>
          <w:sz w:val="28"/>
          <w:szCs w:val="28"/>
        </w:rPr>
        <mc:AlternateContent>
          <mc:Choice Requires="wpi">
            <w:drawing>
              <wp:anchor distT="0" distB="0" distL="114300" distR="114300" simplePos="0" relativeHeight="251694080" behindDoc="0" locked="0" layoutInCell="1" allowOverlap="1" wp14:anchorId="553C4D70" wp14:editId="0573922A">
                <wp:simplePos x="0" y="0"/>
                <wp:positionH relativeFrom="column">
                  <wp:posOffset>-1114491</wp:posOffset>
                </wp:positionH>
                <wp:positionV relativeFrom="paragraph">
                  <wp:posOffset>309721</wp:posOffset>
                </wp:positionV>
                <wp:extent cx="360" cy="360"/>
                <wp:effectExtent l="38100" t="38100" r="38100" b="38100"/>
                <wp:wrapNone/>
                <wp:docPr id="1381746661"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61">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4610339" id="Ink 8" o:spid="_x0000_s1026" type="#_x0000_t75" style="position:absolute;margin-left:-88.45pt;margin-top:23.7pt;width:1.45pt;height:1.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">
                <v:imagedata r:id="rId56" o:title=""/>
                <o:lock v:ext="edit" rotation="t" aspectratio="f"/>
              </v:shape>
            </w:pict>
          </mc:Fallback>
        </mc:AlternateContent>
      </w:r>
      <w:r w:rsidRPr="003A1F88">
        <w:rPr>
          <w:rFonts w:ascii="Arial" w:hAnsi="Arial" w:cs="Arial"/>
          <w:sz w:val="28"/>
          <w:szCs w:val="28"/>
        </w:rPr>
        <w:t xml:space="preserve"> Standardised assessments might not adequately represent the variety of ways that children play to communicate their knowledge and abilities. They discuss that it is possible that quantitative measurements will not accurately capture the specific aspects of a child's development. According to The Welsh Government (2022) the early years curricula's assessment techniques are essential to record each child's unique and holistic growth. </w:t>
      </w:r>
    </w:p>
    <w:p w14:paraId="0D26625D" w14:textId="77777777" w:rsidR="00424A05" w:rsidRDefault="00424A05" w:rsidP="00424A05">
      <w:pPr>
        <w:spacing w:line="360" w:lineRule="auto"/>
        <w:rPr>
          <w:rFonts w:ascii="Arial" w:hAnsi="Arial" w:cs="Arial"/>
          <w:sz w:val="28"/>
          <w:szCs w:val="28"/>
        </w:rPr>
      </w:pPr>
    </w:p>
    <w:p w14:paraId="5C5276B3" w14:textId="5BE57780" w:rsidR="00424A05" w:rsidRPr="00424A05" w:rsidRDefault="00424A05" w:rsidP="00424A05">
      <w:pPr>
        <w:spacing w:line="360" w:lineRule="auto"/>
        <w:rPr>
          <w:rFonts w:ascii="Arial" w:hAnsi="Arial" w:cs="Arial"/>
          <w:sz w:val="28"/>
          <w:szCs w:val="28"/>
        </w:rPr>
      </w:pPr>
      <w:r w:rsidRPr="00424A05">
        <w:rPr>
          <w:rFonts w:ascii="Arial" w:hAnsi="Arial" w:cs="Arial"/>
          <w:noProof/>
          <w:sz w:val="28"/>
          <w:szCs w:val="28"/>
          <w:u w:val="single"/>
        </w:rPr>
        <w:lastRenderedPageBreak/>
        <mc:AlternateContent>
          <mc:Choice Requires="wpi">
            <w:drawing>
              <wp:anchor distT="0" distB="0" distL="114300" distR="114300" simplePos="0" relativeHeight="251698176" behindDoc="0" locked="0" layoutInCell="1" allowOverlap="1" wp14:anchorId="3DBB0BE2" wp14:editId="4BC3A089">
                <wp:simplePos x="0" y="0"/>
                <wp:positionH relativeFrom="column">
                  <wp:posOffset>-1131411</wp:posOffset>
                </wp:positionH>
                <wp:positionV relativeFrom="paragraph">
                  <wp:posOffset>332187</wp:posOffset>
                </wp:positionV>
                <wp:extent cx="360" cy="360"/>
                <wp:effectExtent l="38100" t="38100" r="38100" b="38100"/>
                <wp:wrapNone/>
                <wp:docPr id="444347900"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6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4BEE666" id="Ink 15" o:spid="_x0000_s1026" type="#_x0000_t75" style="position:absolute;margin-left:-89.8pt;margin-top:25.45pt;width:1.45pt;height:1.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">
                <v:imagedata r:id="rId63" o:title=""/>
                <o:lock v:ext="edit" rotation="t" aspectratio="f"/>
              </v:shape>
            </w:pict>
          </mc:Fallback>
        </mc:AlternateContent>
      </w:r>
      <w:r w:rsidRPr="00424A05">
        <w:rPr>
          <w:rFonts w:ascii="Arial" w:hAnsi="Arial" w:cs="Arial"/>
          <w:sz w:val="28"/>
          <w:szCs w:val="28"/>
          <w:u w:val="single"/>
        </w:rPr>
        <w:t>Observational assessments</w:t>
      </w:r>
    </w:p>
    <w:p w14:paraId="4532AA5A" w14:textId="66A7383E"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Ridgway and Quinless, (2018) Wood (2013) and Fleet and Patterson, (2010) suggest that In order to learn further about children's connections, behaviours, and participation in different tasks, practitioners can carefully observe children while they're playing.</w:t>
      </w:r>
      <w:r>
        <w:rPr>
          <w:rFonts w:ascii="Arial" w:hAnsi="Arial" w:cs="Arial"/>
          <w:sz w:val="28"/>
          <w:szCs w:val="28"/>
        </w:rPr>
        <w:t xml:space="preserve"> </w:t>
      </w:r>
      <w:r w:rsidRPr="003A1F88">
        <w:rPr>
          <w:rFonts w:ascii="Arial" w:hAnsi="Arial" w:cs="Arial"/>
          <w:sz w:val="28"/>
          <w:szCs w:val="28"/>
        </w:rPr>
        <w:t>Sandseter and Sando, (2018), Moyles, (2014) and Duffy and Crosby, (2012) imply that</w:t>
      </w:r>
      <w:r w:rsidRPr="003A1F88">
        <w:rPr>
          <w:rFonts w:ascii="Arial" w:hAnsi="Arial" w:cs="Arial"/>
          <w:noProof/>
          <w:sz w:val="28"/>
          <w:szCs w:val="28"/>
        </w:rPr>
        <mc:AlternateContent>
          <mc:Choice Requires="wpi">
            <w:drawing>
              <wp:anchor distT="0" distB="0" distL="114300" distR="114300" simplePos="0" relativeHeight="251697152" behindDoc="0" locked="0" layoutInCell="1" allowOverlap="1" wp14:anchorId="2AF293E5" wp14:editId="37206FCA">
                <wp:simplePos x="0" y="0"/>
                <wp:positionH relativeFrom="column">
                  <wp:posOffset>-1234011</wp:posOffset>
                </wp:positionH>
                <wp:positionV relativeFrom="paragraph">
                  <wp:posOffset>118317</wp:posOffset>
                </wp:positionV>
                <wp:extent cx="360" cy="360"/>
                <wp:effectExtent l="38100" t="38100" r="38100" b="38100"/>
                <wp:wrapNone/>
                <wp:docPr id="1533125915"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64">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39E35548" id="Ink 12" o:spid="_x0000_s1026" type="#_x0000_t75" style="position:absolute;margin-left:-97.85pt;margin-top:8.6pt;width:1.45pt;height:1.4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">
                <v:imagedata r:id="rId17" o:title=""/>
                <o:lock v:ext="edit" rotation="t" aspectratio="f"/>
              </v:shape>
            </w:pict>
          </mc:Fallback>
        </mc:AlternateContent>
      </w:r>
      <w:r w:rsidRPr="003A1F88">
        <w:rPr>
          <w:rFonts w:ascii="Arial" w:hAnsi="Arial" w:cs="Arial"/>
          <w:sz w:val="28"/>
          <w:szCs w:val="28"/>
        </w:rPr>
        <w:t xml:space="preserve"> observational assessments are essential to activities in the curriculum that are centred around play to comprehend every child's uniqueness. </w:t>
      </w:r>
    </w:p>
    <w:p w14:paraId="70F937D5" w14:textId="67080BAF"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 xml:space="preserve">Practitioners observe as children begin playing, work with others, complete puzzles, and communicate feelings. Gartrell (2017), Corsaro (2014) and Wortham and Hardin, (2015) discuss how observations can offer insightful information about how play affects a child's social, intellectual, and emotional development. Korkeamaki and Mariam, (2012), Nutbrown and Clough, (2009) believe that providing practitioners with training on good observational procedures and assuring consistency among practitioners are crucial factors to take into account. Snyder et al., (2015), and Van Hemel and Brown (2014) </w:t>
      </w:r>
      <w:r w:rsidRPr="003A1F88">
        <w:rPr>
          <w:rFonts w:ascii="Arial" w:hAnsi="Arial" w:cs="Arial"/>
          <w:noProof/>
          <w:sz w:val="28"/>
          <w:szCs w:val="28"/>
        </w:rPr>
        <mc:AlternateContent>
          <mc:Choice Requires="wpi">
            <w:drawing>
              <wp:anchor distT="0" distB="0" distL="114300" distR="114300" simplePos="0" relativeHeight="251719680" behindDoc="0" locked="0" layoutInCell="1" allowOverlap="1" wp14:anchorId="726D69AD" wp14:editId="6A7C151F">
                <wp:simplePos x="0" y="0"/>
                <wp:positionH relativeFrom="column">
                  <wp:posOffset>-1266825</wp:posOffset>
                </wp:positionH>
                <wp:positionV relativeFrom="paragraph">
                  <wp:posOffset>1543050</wp:posOffset>
                </wp:positionV>
                <wp:extent cx="18415" cy="18415"/>
                <wp:effectExtent l="66675" t="66675" r="48260" b="48260"/>
                <wp:wrapNone/>
                <wp:docPr id="600852335"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65">
                      <w14:nvContentPartPr>
                        <w14:cNvContentPartPr>
                          <a14:cpLocks xmlns:a14="http://schemas.microsoft.com/office/drawing/2010/main" noRot="1" noChangeArrowheads="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900D4BE" id="Ink 1" o:spid="_x0000_s1026" type="#_x0000_t75" style="position:absolute;margin-left:-136pt;margin-top:85.25pt;width:72.5pt;height:7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">
                <v:imagedata r:id="rId66" o:title=""/>
                <o:lock v:ext="edit" rotation="t" aspectratio="f"/>
              </v:shape>
            </w:pict>
          </mc:Fallback>
        </mc:AlternateContent>
      </w:r>
      <w:r w:rsidRPr="003A1F88">
        <w:rPr>
          <w:rFonts w:ascii="Arial" w:hAnsi="Arial" w:cs="Arial"/>
          <w:noProof/>
          <w:sz w:val="28"/>
          <w:szCs w:val="28"/>
        </w:rPr>
        <w:t>agree</w:t>
      </w:r>
      <w:r w:rsidRPr="003A1F88">
        <w:rPr>
          <w:rFonts w:ascii="Arial" w:hAnsi="Arial" w:cs="Arial"/>
          <w:sz w:val="28"/>
          <w:szCs w:val="28"/>
        </w:rPr>
        <w:t xml:space="preserve"> that Reliability needs to be carefully considered because observations are subjective.</w:t>
      </w:r>
    </w:p>
    <w:p w14:paraId="23DFDBCB" w14:textId="77777777" w:rsidR="00424A05" w:rsidRPr="003A1F88" w:rsidRDefault="00424A05" w:rsidP="00424A05">
      <w:pPr>
        <w:spacing w:line="360" w:lineRule="auto"/>
        <w:rPr>
          <w:rFonts w:ascii="Arial" w:hAnsi="Arial" w:cs="Arial"/>
          <w:sz w:val="28"/>
          <w:szCs w:val="28"/>
        </w:rPr>
      </w:pPr>
      <w:r w:rsidRPr="003A1F88">
        <w:rPr>
          <w:rFonts w:ascii="Arial" w:hAnsi="Arial" w:cs="Arial"/>
          <w:noProof/>
          <w:sz w:val="28"/>
          <w:szCs w:val="28"/>
        </w:rPr>
        <mc:AlternateContent>
          <mc:Choice Requires="wpi">
            <w:drawing>
              <wp:anchor distT="0" distB="0" distL="114300" distR="114300" simplePos="0" relativeHeight="251699200" behindDoc="0" locked="0" layoutInCell="1" allowOverlap="1" wp14:anchorId="35432918" wp14:editId="6C8C4798">
                <wp:simplePos x="0" y="0"/>
                <wp:positionH relativeFrom="column">
                  <wp:posOffset>6781029</wp:posOffset>
                </wp:positionH>
                <wp:positionV relativeFrom="paragraph">
                  <wp:posOffset>-2066201</wp:posOffset>
                </wp:positionV>
                <wp:extent cx="219960" cy="2087640"/>
                <wp:effectExtent l="19050" t="38100" r="27940" b="27305"/>
                <wp:wrapNone/>
                <wp:docPr id="1240128404" name="Ink 23"/>
                <wp:cNvGraphicFramePr>
                  <a:graphicFrameLocks xmlns:a="http://schemas.openxmlformats.org/drawingml/2006/main"/>
                </wp:cNvGraphicFramePr>
                <a:graphic xmlns:a="http://schemas.openxmlformats.org/drawingml/2006/main">
                  <a:graphicData uri="http://schemas.microsoft.com/office/word/2010/wordprocessingInk">
                    <w14:contentPart bwMode="auto" r:id="rId67">
                      <w14:nvContentPartPr>
                        <w14:cNvContentPartPr>
                          <a14:cpLocks xmlns:a14="http://schemas.microsoft.com/office/drawing/2010/main" noRot="1"/>
                        </w14:cNvContentPartPr>
                      </w14:nvContentPartPr>
                      <w14:xfrm>
                        <a:off x="0" y="0"/>
                        <a:ext cx="219960" cy="2087640"/>
                      </w14:xfrm>
                    </w14:contentPart>
                  </a:graphicData>
                </a:graphic>
              </wp:anchor>
            </w:drawing>
          </mc:Choice>
          <mc:Fallback>
            <w:pict>
              <v:shape w14:anchorId="4C7787CE" id="Ink 23" o:spid="_x0000_s1026" type="#_x0000_t75" style="position:absolute;margin-left:533.25pt;margin-top:-163.4pt;width:18.7pt;height:165.8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">
                <v:imagedata r:id="rId68" o:title=""/>
                <o:lock v:ext="edit" rotation="t" aspectratio="f"/>
              </v:shape>
            </w:pict>
          </mc:Fallback>
        </mc:AlternateContent>
      </w:r>
    </w:p>
    <w:p w14:paraId="5DFFC67F"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Standardised Evaluations</w:t>
      </w:r>
    </w:p>
    <w:p w14:paraId="5DD8AC69" w14:textId="7204FBA1"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 xml:space="preserve">Meisels and Atkins-Burnett, (2017) and Kostelnik et al., (2015) suggest even though play-based curricula place a strong emphasis on qualitative assessments, standardised assessments may occasionally be included to meet external demands or to monitor particular stages of development. Wortham and Hardin, (2015) agree and imply that standardised assessments used in play-based curricula must recognise </w:t>
      </w:r>
      <w:r w:rsidRPr="003A1F88">
        <w:rPr>
          <w:rFonts w:ascii="Arial" w:hAnsi="Arial" w:cs="Arial"/>
          <w:sz w:val="28"/>
          <w:szCs w:val="28"/>
        </w:rPr>
        <w:lastRenderedPageBreak/>
        <w:t>each child's uniqueness and be in line with the principles of education.</w:t>
      </w:r>
      <w:r>
        <w:rPr>
          <w:rFonts w:ascii="Arial" w:hAnsi="Arial" w:cs="Arial"/>
          <w:sz w:val="28"/>
          <w:szCs w:val="28"/>
        </w:rPr>
        <w:t xml:space="preserve"> </w:t>
      </w:r>
      <w:r w:rsidRPr="003A1F88">
        <w:rPr>
          <w:rFonts w:ascii="Arial" w:hAnsi="Arial" w:cs="Arial"/>
          <w:sz w:val="28"/>
          <w:szCs w:val="28"/>
        </w:rPr>
        <w:t>Meisels et al, (2015)</w:t>
      </w:r>
      <w:r w:rsidRPr="003A1F88">
        <w:rPr>
          <w:rFonts w:ascii="Arial" w:hAnsi="Arial" w:cs="Arial"/>
          <w:noProof/>
          <w:sz w:val="28"/>
          <w:szCs w:val="28"/>
        </w:rPr>
        <mc:AlternateContent>
          <mc:Choice Requires="wpi">
            <w:drawing>
              <wp:anchor distT="0" distB="0" distL="114300" distR="114300" simplePos="0" relativeHeight="251701248" behindDoc="0" locked="0" layoutInCell="1" allowOverlap="1" wp14:anchorId="5CA3962B" wp14:editId="0AC4C485">
                <wp:simplePos x="0" y="0"/>
                <wp:positionH relativeFrom="column">
                  <wp:posOffset>-993531</wp:posOffset>
                </wp:positionH>
                <wp:positionV relativeFrom="paragraph">
                  <wp:posOffset>397073</wp:posOffset>
                </wp:positionV>
                <wp:extent cx="360" cy="360"/>
                <wp:effectExtent l="38100" t="38100" r="38100" b="38100"/>
                <wp:wrapNone/>
                <wp:docPr id="568532709" name="Ink 28"/>
                <wp:cNvGraphicFramePr>
                  <a:graphicFrameLocks xmlns:a="http://schemas.openxmlformats.org/drawingml/2006/main"/>
                </wp:cNvGraphicFramePr>
                <a:graphic xmlns:a="http://schemas.openxmlformats.org/drawingml/2006/main">
                  <a:graphicData uri="http://schemas.microsoft.com/office/word/2010/wordprocessingInk">
                    <w14:contentPart bwMode="auto" r:id="rId6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06F7D6A5" id="Ink 28" o:spid="_x0000_s1026" type="#_x0000_t75" style="position:absolute;margin-left:-78.95pt;margin-top:30.55pt;width:1.45pt;height:1.4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">
                <v:imagedata r:id="rId70" o:title=""/>
                <o:lock v:ext="edit" rotation="t" aspectratio="f"/>
              </v:shape>
            </w:pict>
          </mc:Fallback>
        </mc:AlternateContent>
      </w:r>
      <w:r w:rsidRPr="003A1F88">
        <w:rPr>
          <w:rFonts w:ascii="Arial" w:hAnsi="Arial" w:cs="Arial"/>
          <w:noProof/>
          <w:sz w:val="28"/>
          <w:szCs w:val="28"/>
        </w:rPr>
        <mc:AlternateContent>
          <mc:Choice Requires="wpi">
            <w:drawing>
              <wp:anchor distT="0" distB="0" distL="114300" distR="114300" simplePos="0" relativeHeight="251700224" behindDoc="0" locked="0" layoutInCell="1" allowOverlap="1" wp14:anchorId="39B3CE13" wp14:editId="41F58BBD">
                <wp:simplePos x="0" y="0"/>
                <wp:positionH relativeFrom="column">
                  <wp:posOffset>-1344891</wp:posOffset>
                </wp:positionH>
                <wp:positionV relativeFrom="paragraph">
                  <wp:posOffset>140753</wp:posOffset>
                </wp:positionV>
                <wp:extent cx="360" cy="360"/>
                <wp:effectExtent l="76200" t="76200" r="76200" b="76200"/>
                <wp:wrapNone/>
                <wp:docPr id="1371175149" name="Ink 26"/>
                <wp:cNvGraphicFramePr>
                  <a:graphicFrameLocks xmlns:a="http://schemas.openxmlformats.org/drawingml/2006/main"/>
                </wp:cNvGraphicFramePr>
                <a:graphic xmlns:a="http://schemas.openxmlformats.org/drawingml/2006/main">
                  <a:graphicData uri="http://schemas.microsoft.com/office/word/2010/wordprocessingInk">
                    <w14:contentPart bwMode="auto" r:id="rId71">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00C81A7" id="Ink 26" o:spid="_x0000_s1026" type="#_x0000_t75" style="position:absolute;margin-left:-108.75pt;margin-top:8.25pt;width:5.7pt;height:5.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">
                <v:imagedata r:id="rId72" o:title=""/>
                <o:lock v:ext="edit" rotation="t" aspectratio="f"/>
              </v:shape>
            </w:pict>
          </mc:Fallback>
        </mc:AlternateContent>
      </w:r>
      <w:r w:rsidRPr="003A1F88">
        <w:rPr>
          <w:rFonts w:ascii="Arial" w:hAnsi="Arial" w:cs="Arial"/>
          <w:sz w:val="28"/>
          <w:szCs w:val="28"/>
        </w:rPr>
        <w:t xml:space="preserve"> believes that standardised measures are guaranteed to enhance qualitative assessments and offer an expanded view of how the child has developed.</w:t>
      </w:r>
      <w:r>
        <w:rPr>
          <w:rFonts w:ascii="Arial" w:hAnsi="Arial" w:cs="Arial"/>
          <w:sz w:val="28"/>
          <w:szCs w:val="28"/>
        </w:rPr>
        <w:t xml:space="preserve"> </w:t>
      </w:r>
      <w:r w:rsidRPr="003A1F88">
        <w:rPr>
          <w:rFonts w:ascii="Arial" w:hAnsi="Arial" w:cs="Arial"/>
          <w:sz w:val="28"/>
          <w:szCs w:val="28"/>
        </w:rPr>
        <w:t>Bredekamp and Rosegrant, (2014) and Wortham and Hardin, (2015) highlight how it is essential to carefully analyse the significance and age-appropriateness of standardised assessments. They enphasise practitioners must, to support assessments that follow play-based learning principles and make a significant contribution to the assessment system as a whole.</w:t>
      </w:r>
    </w:p>
    <w:p w14:paraId="5C5B0DC9" w14:textId="77777777" w:rsidR="00424A05" w:rsidRPr="003A1F88" w:rsidRDefault="00424A05" w:rsidP="00424A05">
      <w:pPr>
        <w:spacing w:line="360" w:lineRule="auto"/>
        <w:ind w:left="1440"/>
        <w:rPr>
          <w:rFonts w:ascii="Arial" w:hAnsi="Arial" w:cs="Arial"/>
          <w:sz w:val="28"/>
          <w:szCs w:val="28"/>
        </w:rPr>
      </w:pPr>
    </w:p>
    <w:p w14:paraId="2C2CC976"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Documentation and Reflection</w:t>
      </w:r>
    </w:p>
    <w:p w14:paraId="3403EA2B" w14:textId="26913BCD"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Gandini et al., (2005) and Edwards, Gandini and Forman, (2012) state</w:t>
      </w:r>
      <w:r w:rsidRPr="003A1F88">
        <w:rPr>
          <w:rFonts w:ascii="Arial" w:hAnsi="Arial" w:cs="Arial"/>
          <w:noProof/>
          <w:sz w:val="28"/>
          <w:szCs w:val="28"/>
        </w:rPr>
        <mc:AlternateContent>
          <mc:Choice Requires="aink">
            <w:drawing>
              <wp:anchor distT="0" distB="0" distL="114300" distR="114300" simplePos="0" relativeHeight="251703296" behindDoc="0" locked="0" layoutInCell="1" allowOverlap="1" wp14:anchorId="03FEAD87" wp14:editId="5C53BBAE">
                <wp:simplePos x="0" y="0"/>
                <wp:positionH relativeFrom="column">
                  <wp:posOffset>6791829</wp:posOffset>
                </wp:positionH>
                <wp:positionV relativeFrom="paragraph">
                  <wp:posOffset>-212217</wp:posOffset>
                </wp:positionV>
                <wp:extent cx="142200" cy="2021760"/>
                <wp:effectExtent l="57150" t="76200" r="48895" b="55245"/>
                <wp:wrapNone/>
                <wp:docPr id="1188024412" name="Ink 35"/>
                <wp:cNvGraphicFramePr>
                  <a:graphicFrameLocks xmlns:a="http://schemas.openxmlformats.org/drawingml/2006/main"/>
                </wp:cNvGraphicFramePr>
                <a:graphic xmlns:a="http://schemas.openxmlformats.org/drawingml/2006/main">
                  <a:graphicData uri="http://schemas.microsoft.com/office/word/2010/wordprocessingInk">
                    <w14:contentPart bwMode="auto" r:id="rId73">
                      <w14:nvContentPartPr>
                        <w14:cNvContentPartPr>
                          <a14:cpLocks xmlns:a14="http://schemas.microsoft.com/office/drawing/2010/main" noRot="1"/>
                        </w14:cNvContentPartPr>
                      </w14:nvContentPartPr>
                      <w14:xfrm>
                        <a:off x="0" y="0"/>
                        <a:ext cx="142200" cy="2021760"/>
                      </w14:xfrm>
                    </w14:contentPart>
                  </a:graphicData>
                </a:graphic>
              </wp:anchor>
            </w:drawing>
          </mc:Choice>
          <mc:Fallback>
            <w:drawing>
              <wp:anchor distT="0" distB="0" distL="114300" distR="114300" simplePos="0" relativeHeight="251703296" behindDoc="0" locked="0" layoutInCell="1" allowOverlap="1" wp14:anchorId="03FEAD87" wp14:editId="5C53BBAE">
                <wp:simplePos x="0" y="0"/>
                <wp:positionH relativeFrom="column">
                  <wp:posOffset>6791829</wp:posOffset>
                </wp:positionH>
                <wp:positionV relativeFrom="paragraph">
                  <wp:posOffset>-212217</wp:posOffset>
                </wp:positionV>
                <wp:extent cx="142200" cy="2021760"/>
                <wp:effectExtent l="57150" t="76200" r="48895" b="55245"/>
                <wp:wrapNone/>
                <wp:docPr id="1188024412" name="Ink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8024412" name="Ink 35"/>
                        <pic:cNvPicPr>
                          <a:picLocks noRot="1"/>
                        </pic:cNvPicPr>
                      </pic:nvPicPr>
                      <pic:blipFill>
                        <a:blip r:embed="rId74"/>
                        <a:stretch>
                          <a:fillRect/>
                        </a:stretch>
                      </pic:blipFill>
                      <pic:spPr>
                        <a:xfrm>
                          <a:off x="0" y="0"/>
                          <a:ext cx="177840" cy="2057400"/>
                        </a:xfrm>
                        <a:prstGeom prst="rect">
                          <a:avLst/>
                        </a:prstGeom>
                      </pic:spPr>
                    </pic:pic>
                  </a:graphicData>
                </a:graphic>
              </wp:anchor>
            </w:drawing>
          </mc:Fallback>
        </mc:AlternateContent>
      </w:r>
      <w:r w:rsidRPr="003A1F88">
        <w:rPr>
          <w:rFonts w:ascii="Arial" w:hAnsi="Arial" w:cs="Arial"/>
          <w:sz w:val="28"/>
          <w:szCs w:val="28"/>
        </w:rPr>
        <w:t xml:space="preserve"> that the processes of documentation and reflection requires practitioners to observe and document behaviour, dialogues, and artwork of the children, while reflection entails deciphering and evaluating these recordings. Documentation for play-based curriculum may consist of written documents, films, and photos. Tarr and Bojovic, (2015) and Gandini et al., (2005) explain that practitioners analyse the documentation, taking into account the playing environment, children's responses, and the lessons that were taught. This process of reflection aids in guiding future assessment and planning. It takes time and deliberate effort to keep records and reflect. This evaluation method works well when practitioners are trained to document accurately and when frequent reflection discussions are organised (Korkeamaki and Mariam, 2012).</w:t>
      </w:r>
    </w:p>
    <w:p w14:paraId="153B44C5" w14:textId="77777777" w:rsidR="00424A05" w:rsidRDefault="00424A05" w:rsidP="00424A05">
      <w:pPr>
        <w:spacing w:line="360" w:lineRule="auto"/>
        <w:rPr>
          <w:rFonts w:ascii="Arial" w:hAnsi="Arial" w:cs="Arial"/>
          <w:sz w:val="28"/>
          <w:szCs w:val="28"/>
        </w:rPr>
      </w:pPr>
    </w:p>
    <w:p w14:paraId="73467886" w14:textId="77777777" w:rsidR="00424A05" w:rsidRPr="003A1F88" w:rsidRDefault="00424A05" w:rsidP="00424A05">
      <w:pPr>
        <w:spacing w:line="360" w:lineRule="auto"/>
        <w:rPr>
          <w:rFonts w:ascii="Arial" w:hAnsi="Arial" w:cs="Arial"/>
          <w:sz w:val="28"/>
          <w:szCs w:val="28"/>
        </w:rPr>
      </w:pPr>
    </w:p>
    <w:p w14:paraId="1DCA088B"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lastRenderedPageBreak/>
        <w:t>Parental Involvement</w:t>
      </w:r>
    </w:p>
    <w:p w14:paraId="76879762" w14:textId="718AB32C"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According to Dunst and Hamby, (2012) and Epstein, (2011)</w:t>
      </w:r>
      <w:r w:rsidRPr="003A1F88">
        <w:rPr>
          <w:rFonts w:ascii="Arial" w:hAnsi="Arial" w:cs="Arial"/>
          <w:noProof/>
          <w:sz w:val="28"/>
          <w:szCs w:val="28"/>
        </w:rPr>
        <mc:AlternateContent>
          <mc:Choice Requires="aink">
            <w:drawing>
              <wp:anchor distT="0" distB="0" distL="114300" distR="114300" simplePos="0" relativeHeight="251704320" behindDoc="0" locked="0" layoutInCell="1" allowOverlap="1" wp14:anchorId="3D358929" wp14:editId="49DBC8FA">
                <wp:simplePos x="0" y="0"/>
                <wp:positionH relativeFrom="column">
                  <wp:posOffset>6829629</wp:posOffset>
                </wp:positionH>
                <wp:positionV relativeFrom="paragraph">
                  <wp:posOffset>591158</wp:posOffset>
                </wp:positionV>
                <wp:extent cx="42480" cy="903240"/>
                <wp:effectExtent l="57150" t="57150" r="34290" b="49530"/>
                <wp:wrapNone/>
                <wp:docPr id="521317949"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75">
                      <w14:nvContentPartPr>
                        <w14:cNvContentPartPr>
                          <a14:cpLocks xmlns:a14="http://schemas.microsoft.com/office/drawing/2010/main" noRot="1"/>
                        </w14:cNvContentPartPr>
                      </w14:nvContentPartPr>
                      <w14:xfrm>
                        <a:off x="0" y="0"/>
                        <a:ext cx="42480" cy="903240"/>
                      </w14:xfrm>
                    </w14:contentPart>
                  </a:graphicData>
                </a:graphic>
              </wp:anchor>
            </w:drawing>
          </mc:Choice>
          <mc:Fallback>
            <w:drawing>
              <wp:anchor distT="0" distB="0" distL="114300" distR="114300" simplePos="0" relativeHeight="251704320" behindDoc="0" locked="0" layoutInCell="1" allowOverlap="1" wp14:anchorId="3D358929" wp14:editId="49DBC8FA">
                <wp:simplePos x="0" y="0"/>
                <wp:positionH relativeFrom="column">
                  <wp:posOffset>6829629</wp:posOffset>
                </wp:positionH>
                <wp:positionV relativeFrom="paragraph">
                  <wp:posOffset>591158</wp:posOffset>
                </wp:positionV>
                <wp:extent cx="42480" cy="903240"/>
                <wp:effectExtent l="57150" t="57150" r="34290" b="49530"/>
                <wp:wrapNone/>
                <wp:docPr id="521317949" name="Ink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1317949" name="Ink 38"/>
                        <pic:cNvPicPr>
                          <a:picLocks noRot="1"/>
                        </pic:cNvPicPr>
                      </pic:nvPicPr>
                      <pic:blipFill>
                        <a:blip r:embed="rId76"/>
                        <a:stretch>
                          <a:fillRect/>
                        </a:stretch>
                      </pic:blipFill>
                      <pic:spPr>
                        <a:xfrm>
                          <a:off x="0" y="0"/>
                          <a:ext cx="78120" cy="938880"/>
                        </a:xfrm>
                        <a:prstGeom prst="rect">
                          <a:avLst/>
                        </a:prstGeom>
                      </pic:spPr>
                    </pic:pic>
                  </a:graphicData>
                </a:graphic>
              </wp:anchor>
            </w:drawing>
          </mc:Fallback>
        </mc:AlternateContent>
      </w:r>
      <w:r w:rsidRPr="003A1F88">
        <w:rPr>
          <w:rFonts w:ascii="Arial" w:hAnsi="Arial" w:cs="Arial"/>
          <w:sz w:val="28"/>
          <w:szCs w:val="28"/>
        </w:rPr>
        <w:t xml:space="preserve"> parental involvement contributes to a greater awareness of every child's skills and interests by obtaining information from families about their child's growth and experiences at home. They explain that practitioners include parents in the assessment processes through collaborative activities, parent-practitioner conferences, and frequent interactions. Dockett and Perry, (2014) suggest that parents may contribute an alternative viewpoint on their child's development by sharing important information about their play experiences at home. For this assessment approach, it is crucial to develop efficient lines of communication and guarantee that </w:t>
      </w:r>
      <w:r w:rsidRPr="003A1F88">
        <w:rPr>
          <w:rFonts w:ascii="Arial" w:hAnsi="Arial" w:cs="Arial"/>
          <w:noProof/>
          <w:sz w:val="28"/>
          <w:szCs w:val="28"/>
        </w:rPr>
        <mc:AlternateContent>
          <mc:Choice Requires="aink">
            <w:drawing>
              <wp:anchor distT="0" distB="0" distL="114300" distR="114300" simplePos="0" relativeHeight="251705344" behindDoc="0" locked="0" layoutInCell="1" allowOverlap="1" wp14:anchorId="0FBA0BEB" wp14:editId="6F67FBD4">
                <wp:simplePos x="0" y="0"/>
                <wp:positionH relativeFrom="column">
                  <wp:posOffset>6808749</wp:posOffset>
                </wp:positionH>
                <wp:positionV relativeFrom="paragraph">
                  <wp:posOffset>93363</wp:posOffset>
                </wp:positionV>
                <wp:extent cx="207720" cy="929160"/>
                <wp:effectExtent l="57150" t="57150" r="40005" b="42545"/>
                <wp:wrapNone/>
                <wp:docPr id="1579106868" name="Ink 42"/>
                <wp:cNvGraphicFramePr>
                  <a:graphicFrameLocks xmlns:a="http://schemas.openxmlformats.org/drawingml/2006/main"/>
                </wp:cNvGraphicFramePr>
                <a:graphic xmlns:a="http://schemas.openxmlformats.org/drawingml/2006/main">
                  <a:graphicData uri="http://schemas.microsoft.com/office/word/2010/wordprocessingInk">
                    <w14:contentPart bwMode="auto" r:id="rId77">
                      <w14:nvContentPartPr>
                        <w14:cNvContentPartPr>
                          <a14:cpLocks xmlns:a14="http://schemas.microsoft.com/office/drawing/2010/main" noRot="1"/>
                        </w14:cNvContentPartPr>
                      </w14:nvContentPartPr>
                      <w14:xfrm>
                        <a:off x="0" y="0"/>
                        <a:ext cx="207720" cy="929160"/>
                      </w14:xfrm>
                    </w14:contentPart>
                  </a:graphicData>
                </a:graphic>
              </wp:anchor>
            </w:drawing>
          </mc:Choice>
          <mc:Fallback>
            <w:drawing>
              <wp:anchor distT="0" distB="0" distL="114300" distR="114300" simplePos="0" relativeHeight="251705344" behindDoc="0" locked="0" layoutInCell="1" allowOverlap="1" wp14:anchorId="0FBA0BEB" wp14:editId="6F67FBD4">
                <wp:simplePos x="0" y="0"/>
                <wp:positionH relativeFrom="column">
                  <wp:posOffset>6808749</wp:posOffset>
                </wp:positionH>
                <wp:positionV relativeFrom="paragraph">
                  <wp:posOffset>93363</wp:posOffset>
                </wp:positionV>
                <wp:extent cx="207720" cy="929160"/>
                <wp:effectExtent l="57150" t="57150" r="40005" b="42545"/>
                <wp:wrapNone/>
                <wp:docPr id="1579106868" name="Ink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79106868" name="Ink 42"/>
                        <pic:cNvPicPr>
                          <a:picLocks noRot="1"/>
                        </pic:cNvPicPr>
                      </pic:nvPicPr>
                      <pic:blipFill>
                        <a:blip r:embed="rId78"/>
                        <a:stretch>
                          <a:fillRect/>
                        </a:stretch>
                      </pic:blipFill>
                      <pic:spPr>
                        <a:xfrm>
                          <a:off x="0" y="0"/>
                          <a:ext cx="243360" cy="964800"/>
                        </a:xfrm>
                        <a:prstGeom prst="rect">
                          <a:avLst/>
                        </a:prstGeom>
                      </pic:spPr>
                    </pic:pic>
                  </a:graphicData>
                </a:graphic>
              </wp:anchor>
            </w:drawing>
          </mc:Fallback>
        </mc:AlternateContent>
      </w:r>
      <w:r w:rsidRPr="003A1F88">
        <w:rPr>
          <w:rFonts w:ascii="Arial" w:hAnsi="Arial" w:cs="Arial"/>
          <w:sz w:val="28"/>
          <w:szCs w:val="28"/>
        </w:rPr>
        <w:t>parents feel appreciated and included as collaborators in their child's education (Dockett and Perry, 2014)</w:t>
      </w:r>
    </w:p>
    <w:p w14:paraId="6003022C" w14:textId="7108A0FB"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w:t>
      </w:r>
    </w:p>
    <w:p w14:paraId="6E7746B8"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Collaboration and Peer Observation</w:t>
      </w:r>
    </w:p>
    <w:p w14:paraId="3BAE4776" w14:textId="6F145FC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Eadie and Burton, (2018), Drummond and Cockerill, (2014) and Moyles, (2014) imply that through peer observation, practitioners can monitor and evaluate how children engage with their classmates while they play, which can give them valuable insights on how children develop their teamwork and social skills. Drew and Karklin, (2016) and Brooker et al., (2014)</w:t>
      </w:r>
      <w:r w:rsidRPr="003A1F88">
        <w:rPr>
          <w:rFonts w:ascii="Arial" w:hAnsi="Arial" w:cs="Arial"/>
          <w:noProof/>
          <w:sz w:val="28"/>
          <w:szCs w:val="28"/>
        </w:rPr>
        <mc:AlternateContent>
          <mc:Choice Requires="wpi">
            <w:drawing>
              <wp:anchor distT="0" distB="0" distL="114300" distR="114300" simplePos="0" relativeHeight="251707392" behindDoc="0" locked="0" layoutInCell="1" allowOverlap="1" wp14:anchorId="0334DC78" wp14:editId="1DFAA32A">
                <wp:simplePos x="0" y="0"/>
                <wp:positionH relativeFrom="column">
                  <wp:posOffset>6820629</wp:posOffset>
                </wp:positionH>
                <wp:positionV relativeFrom="paragraph">
                  <wp:posOffset>484584</wp:posOffset>
                </wp:positionV>
                <wp:extent cx="360" cy="360"/>
                <wp:effectExtent l="57150" t="76200" r="57150" b="76200"/>
                <wp:wrapNone/>
                <wp:docPr id="324395819" name="Ink 46"/>
                <wp:cNvGraphicFramePr>
                  <a:graphicFrameLocks xmlns:a="http://schemas.openxmlformats.org/drawingml/2006/main"/>
                </wp:cNvGraphicFramePr>
                <a:graphic xmlns:a="http://schemas.openxmlformats.org/drawingml/2006/main">
                  <a:graphicData uri="http://schemas.microsoft.com/office/word/2010/wordprocessingInk">
                    <w14:contentPart bwMode="auto" r:id="rId7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8BC26E9" id="Ink 46" o:spid="_x0000_s1026" type="#_x0000_t75" style="position:absolute;margin-left:535.65pt;margin-top:35.3pt;width:2.9pt;height:5.7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">
                <v:imagedata r:id="rId80" o:title=""/>
                <o:lock v:ext="edit" rotation="t" aspectratio="f"/>
              </v:shape>
            </w:pict>
          </mc:Fallback>
        </mc:AlternateContent>
      </w:r>
      <w:r w:rsidRPr="003A1F88">
        <w:rPr>
          <w:rFonts w:ascii="Arial" w:hAnsi="Arial" w:cs="Arial"/>
          <w:noProof/>
          <w:sz w:val="28"/>
          <w:szCs w:val="28"/>
        </w:rPr>
        <mc:AlternateContent>
          <mc:Choice Requires="wpi">
            <w:drawing>
              <wp:anchor distT="0" distB="0" distL="114300" distR="114300" simplePos="0" relativeHeight="251706368" behindDoc="0" locked="0" layoutInCell="1" allowOverlap="1" wp14:anchorId="3352453F" wp14:editId="76375B33">
                <wp:simplePos x="0" y="0"/>
                <wp:positionH relativeFrom="column">
                  <wp:posOffset>-1357131</wp:posOffset>
                </wp:positionH>
                <wp:positionV relativeFrom="paragraph">
                  <wp:posOffset>432384</wp:posOffset>
                </wp:positionV>
                <wp:extent cx="360" cy="360"/>
                <wp:effectExtent l="57150" t="76200" r="57150" b="76200"/>
                <wp:wrapNone/>
                <wp:docPr id="698394277"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81">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2D89CDEF" id="Ink 43" o:spid="_x0000_s1026" type="#_x0000_t75" style="position:absolute;margin-left:-108.25pt;margin-top:31.2pt;width:2.9pt;height:5.7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">
                <v:imagedata r:id="rId82" o:title=""/>
                <o:lock v:ext="edit" rotation="t" aspectratio="f"/>
              </v:shape>
            </w:pict>
          </mc:Fallback>
        </mc:AlternateContent>
      </w:r>
      <w:r w:rsidRPr="003A1F88">
        <w:rPr>
          <w:rFonts w:ascii="Arial" w:hAnsi="Arial" w:cs="Arial"/>
          <w:sz w:val="28"/>
          <w:szCs w:val="28"/>
        </w:rPr>
        <w:t xml:space="preserve"> explain that interactions between peers are commonly emphasised in play-based curriculum. Practitioners watch as children divide up tasks, share resources, and work out problems when they're playing.</w:t>
      </w:r>
      <w:r w:rsidRPr="003A1F88">
        <w:rPr>
          <w:rFonts w:ascii="Arial" w:hAnsi="Arial" w:cs="Arial"/>
          <w:noProof/>
          <w:sz w:val="28"/>
          <w:szCs w:val="28"/>
        </w:rPr>
        <mc:AlternateContent>
          <mc:Choice Requires="wpi">
            <w:drawing>
              <wp:anchor distT="0" distB="0" distL="114300" distR="114300" simplePos="0" relativeHeight="251708416" behindDoc="0" locked="0" layoutInCell="1" allowOverlap="1" wp14:anchorId="44B2A126" wp14:editId="13DCFEC2">
                <wp:simplePos x="0" y="0"/>
                <wp:positionH relativeFrom="column">
                  <wp:posOffset>3233589</wp:posOffset>
                </wp:positionH>
                <wp:positionV relativeFrom="paragraph">
                  <wp:posOffset>464919</wp:posOffset>
                </wp:positionV>
                <wp:extent cx="360" cy="360"/>
                <wp:effectExtent l="57150" t="76200" r="57150" b="76200"/>
                <wp:wrapNone/>
                <wp:docPr id="1454706583" name="Ink 49"/>
                <wp:cNvGraphicFramePr>
                  <a:graphicFrameLocks xmlns:a="http://schemas.openxmlformats.org/drawingml/2006/main"/>
                </wp:cNvGraphicFramePr>
                <a:graphic xmlns:a="http://schemas.openxmlformats.org/drawingml/2006/main">
                  <a:graphicData uri="http://schemas.microsoft.com/office/word/2010/wordprocessingInk">
                    <w14:contentPart bwMode="auto" r:id="rId83">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52DDDA0" id="Ink 49" o:spid="_x0000_s1026" type="#_x0000_t75" style="position:absolute;margin-left:253.2pt;margin-top:33.75pt;width:2.9pt;height:5.7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">
                <v:imagedata r:id="rId84" o:title=""/>
                <o:lock v:ext="edit" rotation="t" aspectratio="f"/>
              </v:shape>
            </w:pict>
          </mc:Fallback>
        </mc:AlternateContent>
      </w:r>
      <w:r w:rsidRPr="003A1F88">
        <w:rPr>
          <w:rFonts w:ascii="Arial" w:hAnsi="Arial" w:cs="Arial"/>
          <w:sz w:val="28"/>
          <w:szCs w:val="28"/>
        </w:rPr>
        <w:t>This method of collaborative evaluation helps students get a greater understanding of social dynamics in the learning environment.</w:t>
      </w:r>
      <w:r>
        <w:rPr>
          <w:rFonts w:ascii="Arial" w:hAnsi="Arial" w:cs="Arial"/>
          <w:sz w:val="28"/>
          <w:szCs w:val="28"/>
        </w:rPr>
        <w:t xml:space="preserve"> </w:t>
      </w:r>
      <w:r w:rsidRPr="003A1F88">
        <w:rPr>
          <w:rFonts w:ascii="Arial" w:hAnsi="Arial" w:cs="Arial"/>
          <w:sz w:val="28"/>
          <w:szCs w:val="28"/>
        </w:rPr>
        <w:t xml:space="preserve">Berger, (2014) and Greenman, (2003) suggest that practitioners should find a balance between making observations and establishing a setting </w:t>
      </w:r>
      <w:r w:rsidRPr="003A1F88">
        <w:rPr>
          <w:rFonts w:ascii="Arial" w:hAnsi="Arial" w:cs="Arial"/>
          <w:sz w:val="28"/>
          <w:szCs w:val="28"/>
        </w:rPr>
        <w:lastRenderedPageBreak/>
        <w:t>that encourages constructive interactions between peers. This assessment approach is supported by offering advise on resolving conflicts and by encouraging sharing activities.</w:t>
      </w:r>
    </w:p>
    <w:p w14:paraId="27F84A32" w14:textId="77777777" w:rsidR="00424A05" w:rsidRPr="003A1F88" w:rsidRDefault="00424A05" w:rsidP="00424A05">
      <w:pPr>
        <w:spacing w:line="360" w:lineRule="auto"/>
        <w:rPr>
          <w:rFonts w:ascii="Arial" w:hAnsi="Arial" w:cs="Arial"/>
          <w:sz w:val="28"/>
          <w:szCs w:val="28"/>
        </w:rPr>
      </w:pPr>
    </w:p>
    <w:p w14:paraId="7B431FDA"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Monitoring Progress </w:t>
      </w:r>
    </w:p>
    <w:p w14:paraId="353078E5" w14:textId="7777777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Play-based curriculum portfolio assessments provide a detailed and individualised record of every child's development. A child's samples of work, reports, and reflections can all be found in a portfolio, which offers an in-depth overview of the child's progression throughout time (Van Hoorn et al., 2014). It might be challenging to find the time and resources necessary for detailed monitoring of progress, particularly in larger classrooms. Dichtelmiller et al., (2011) suggests that careful organisation and recording may be necessary for ensuring portfolios accurately reflect the array of experiences that each child has had.</w:t>
      </w:r>
    </w:p>
    <w:p w14:paraId="0C2DDEA1" w14:textId="7BAB4B9A" w:rsidR="00424A05" w:rsidRDefault="00424A05" w:rsidP="00424A05">
      <w:pPr>
        <w:spacing w:line="360" w:lineRule="auto"/>
        <w:rPr>
          <w:rFonts w:ascii="Arial" w:hAnsi="Arial" w:cs="Arial"/>
          <w:sz w:val="28"/>
          <w:szCs w:val="28"/>
        </w:rPr>
      </w:pPr>
      <w:r w:rsidRPr="003A1F88">
        <w:rPr>
          <w:rFonts w:ascii="Arial" w:hAnsi="Arial" w:cs="Arial"/>
          <w:sz w:val="28"/>
          <w:szCs w:val="28"/>
        </w:rPr>
        <w:t>According to Lillard et al., (2013) and Rogers and Sawyers (2012) in a play-based curriculum, monitoring progress involves documenting a child's progress over time and recording it. Through play, this technique seeks to give a detailed account of the child's development, challenges, strengths, and unique qualities.</w:t>
      </w:r>
    </w:p>
    <w:p w14:paraId="55EEB6F7" w14:textId="77777777" w:rsidR="00424A05" w:rsidRPr="003A1F88" w:rsidRDefault="00424A05" w:rsidP="00424A05">
      <w:pPr>
        <w:spacing w:line="360" w:lineRule="auto"/>
        <w:rPr>
          <w:rFonts w:ascii="Arial" w:hAnsi="Arial" w:cs="Arial"/>
          <w:sz w:val="28"/>
          <w:szCs w:val="28"/>
        </w:rPr>
      </w:pPr>
    </w:p>
    <w:p w14:paraId="56C27DC9"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Frequent Observations</w:t>
      </w:r>
    </w:p>
    <w:p w14:paraId="7E6063CE" w14:textId="7777777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 xml:space="preserve">Kostelnik et al., (2015) and Charlesworth and Lind, (2010) discuss how play-based curricula use frequent observations of children while playing as the basis for monitoring development. Teachers observe and record the way the children behave, engage with different playthings and situations. Teachers can record a wide range of </w:t>
      </w:r>
      <w:r w:rsidRPr="003A1F88">
        <w:rPr>
          <w:rFonts w:ascii="Arial" w:hAnsi="Arial" w:cs="Arial"/>
          <w:noProof/>
          <w:sz w:val="28"/>
          <w:szCs w:val="28"/>
        </w:rPr>
        <mc:AlternateContent>
          <mc:Choice Requires="wpi">
            <w:drawing>
              <wp:anchor distT="0" distB="0" distL="114300" distR="114300" simplePos="0" relativeHeight="251709440" behindDoc="0" locked="0" layoutInCell="1" allowOverlap="1" wp14:anchorId="202604B0" wp14:editId="6D8E8DDB">
                <wp:simplePos x="0" y="0"/>
                <wp:positionH relativeFrom="column">
                  <wp:posOffset>7137069</wp:posOffset>
                </wp:positionH>
                <wp:positionV relativeFrom="paragraph">
                  <wp:posOffset>-205782</wp:posOffset>
                </wp:positionV>
                <wp:extent cx="11160" cy="41400"/>
                <wp:effectExtent l="57150" t="76200" r="46355" b="73025"/>
                <wp:wrapNone/>
                <wp:docPr id="1040346712" name="Ink 54"/>
                <wp:cNvGraphicFramePr>
                  <a:graphicFrameLocks xmlns:a="http://schemas.openxmlformats.org/drawingml/2006/main"/>
                </wp:cNvGraphicFramePr>
                <a:graphic xmlns:a="http://schemas.openxmlformats.org/drawingml/2006/main">
                  <a:graphicData uri="http://schemas.microsoft.com/office/word/2010/wordprocessingInk">
                    <w14:contentPart bwMode="auto" r:id="rId85">
                      <w14:nvContentPartPr>
                        <w14:cNvContentPartPr>
                          <a14:cpLocks xmlns:a14="http://schemas.microsoft.com/office/drawing/2010/main" noRot="1"/>
                        </w14:cNvContentPartPr>
                      </w14:nvContentPartPr>
                      <w14:xfrm>
                        <a:off x="0" y="0"/>
                        <a:ext cx="11160" cy="41400"/>
                      </w14:xfrm>
                    </w14:contentPart>
                  </a:graphicData>
                </a:graphic>
              </wp:anchor>
            </w:drawing>
          </mc:Choice>
          <mc:Fallback>
            <w:pict>
              <v:shape w14:anchorId="3B5C34C2" id="Ink 54" o:spid="_x0000_s1026" type="#_x0000_t75" style="position:absolute;margin-left:560.55pt;margin-top:-19.05pt;width:3.75pt;height:8.9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">
                <v:imagedata r:id="rId86" o:title=""/>
                <o:lock v:ext="edit" rotation="t" aspectratio="f"/>
              </v:shape>
            </w:pict>
          </mc:Fallback>
        </mc:AlternateContent>
      </w:r>
      <w:r w:rsidRPr="003A1F88">
        <w:rPr>
          <w:rFonts w:ascii="Arial" w:hAnsi="Arial" w:cs="Arial"/>
          <w:sz w:val="28"/>
          <w:szCs w:val="28"/>
        </w:rPr>
        <w:t xml:space="preserve">developmental </w:t>
      </w:r>
      <w:r w:rsidRPr="003A1F88">
        <w:rPr>
          <w:rFonts w:ascii="Arial" w:hAnsi="Arial" w:cs="Arial"/>
          <w:sz w:val="28"/>
          <w:szCs w:val="28"/>
        </w:rPr>
        <w:lastRenderedPageBreak/>
        <w:t>characteristics, such as intellectual, emotional, social, and motor abilities, by regularly observing children in various play environments. A continuing and adaptive awareness of the development of every child is facilitated by frequent observations.</w:t>
      </w:r>
    </w:p>
    <w:p w14:paraId="52E1C33B" w14:textId="77777777" w:rsidR="00424A05" w:rsidRPr="00424A05" w:rsidRDefault="00424A05" w:rsidP="00424A05">
      <w:pPr>
        <w:spacing w:line="360" w:lineRule="auto"/>
        <w:rPr>
          <w:rFonts w:ascii="Arial" w:hAnsi="Arial" w:cs="Arial"/>
          <w:sz w:val="28"/>
          <w:szCs w:val="28"/>
          <w:u w:val="single"/>
        </w:rPr>
      </w:pPr>
    </w:p>
    <w:p w14:paraId="3A0B8FC4"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Models of development according to stage or age</w:t>
      </w:r>
    </w:p>
    <w:p w14:paraId="5E5EE93E" w14:textId="2C8E7165"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According to Miller (2018) and Kostelnik et al., (2015) play-based learning curricula frequently adapt to stage or age related developmental frameworks. These curricula facilitate individualised development, acknowledging that individuals of the same age develop at different rates. This allows every child to learn and develop at their own pace.</w:t>
      </w:r>
      <w:r>
        <w:rPr>
          <w:rFonts w:ascii="Arial" w:hAnsi="Arial" w:cs="Arial"/>
          <w:sz w:val="28"/>
          <w:szCs w:val="28"/>
        </w:rPr>
        <w:t xml:space="preserve"> </w:t>
      </w:r>
      <w:r w:rsidRPr="003A1F88">
        <w:rPr>
          <w:rFonts w:ascii="Arial" w:hAnsi="Arial" w:cs="Arial"/>
          <w:sz w:val="28"/>
          <w:szCs w:val="28"/>
        </w:rPr>
        <w:t>Bassok, Latham and Rorem, (2016) and  Brooker and Edwards, (2016) suggest That the developmental variance present in play-based methods may clash with age-related expectations imposed by external pressures like standardised testing. It is difficult to strike a balance between fulfilling external goals and individualised learning.</w:t>
      </w:r>
    </w:p>
    <w:p w14:paraId="7A26DABE" w14:textId="7777777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Nutbrown and Clough, (2014) and Pound (2018) explain that in a play-based early years curriculum, stage and age related development models acknowledge that children move through different developmental phases, each of which is marked by distinct milestones and growing abilities. It is imperative to take into account the varying speeds at which children learn and the significance of customising educational experiences to fulfil individual requirements.</w:t>
      </w:r>
    </w:p>
    <w:p w14:paraId="3F6E3FAE" w14:textId="77777777" w:rsidR="00424A05" w:rsidRDefault="00424A05" w:rsidP="00424A05">
      <w:pPr>
        <w:spacing w:line="360" w:lineRule="auto"/>
        <w:rPr>
          <w:rFonts w:ascii="Arial" w:hAnsi="Arial" w:cs="Arial"/>
          <w:sz w:val="28"/>
          <w:szCs w:val="28"/>
        </w:rPr>
      </w:pPr>
    </w:p>
    <w:p w14:paraId="7206194E" w14:textId="77777777" w:rsidR="00424A05" w:rsidRDefault="00424A05" w:rsidP="00424A05">
      <w:pPr>
        <w:spacing w:line="360" w:lineRule="auto"/>
        <w:rPr>
          <w:rFonts w:ascii="Arial" w:hAnsi="Arial" w:cs="Arial"/>
          <w:sz w:val="28"/>
          <w:szCs w:val="28"/>
        </w:rPr>
      </w:pPr>
    </w:p>
    <w:p w14:paraId="4BDF8C39" w14:textId="77777777" w:rsidR="00424A05" w:rsidRDefault="00424A05" w:rsidP="00424A05">
      <w:pPr>
        <w:spacing w:line="360" w:lineRule="auto"/>
        <w:rPr>
          <w:rFonts w:ascii="Arial" w:hAnsi="Arial" w:cs="Arial"/>
          <w:sz w:val="28"/>
          <w:szCs w:val="28"/>
        </w:rPr>
      </w:pPr>
    </w:p>
    <w:p w14:paraId="5E2546AD" w14:textId="6F05C83C"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lastRenderedPageBreak/>
        <w:t>Recognising Developmental Milestones </w:t>
      </w:r>
    </w:p>
    <w:p w14:paraId="65732003" w14:textId="3160785C"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Santrock, (2017) discusses how developmental milestones are skills or accomplishments that are anticipated at certain ages. These milestones are utilised by age-related theories of development as a reference to determine the abilities and behaviour characteristic of young children at different developmental stages (Santrock, 2017).</w:t>
      </w:r>
      <w:r>
        <w:rPr>
          <w:rFonts w:ascii="Arial" w:hAnsi="Arial" w:cs="Arial"/>
          <w:sz w:val="28"/>
          <w:szCs w:val="28"/>
        </w:rPr>
        <w:t xml:space="preserve"> </w:t>
      </w:r>
      <w:r w:rsidRPr="003A1F88">
        <w:rPr>
          <w:rFonts w:ascii="Arial" w:hAnsi="Arial" w:cs="Arial"/>
          <w:sz w:val="28"/>
          <w:szCs w:val="28"/>
        </w:rPr>
        <w:t>Gartrell, (2017</w:t>
      </w:r>
      <w:r w:rsidRPr="003A1F88">
        <w:rPr>
          <w:rFonts w:ascii="Arial" w:hAnsi="Arial" w:cs="Arial"/>
          <w:noProof/>
          <w:sz w:val="28"/>
          <w:szCs w:val="28"/>
        </w:rPr>
        <mc:AlternateContent>
          <mc:Choice Requires="wpi">
            <w:drawing>
              <wp:anchor distT="0" distB="0" distL="114300" distR="114300" simplePos="0" relativeHeight="251710464" behindDoc="0" locked="0" layoutInCell="1" allowOverlap="1" wp14:anchorId="10E4F410" wp14:editId="3A73B3B3">
                <wp:simplePos x="0" y="0"/>
                <wp:positionH relativeFrom="column">
                  <wp:posOffset>6889389</wp:posOffset>
                </wp:positionH>
                <wp:positionV relativeFrom="paragraph">
                  <wp:posOffset>-95846</wp:posOffset>
                </wp:positionV>
                <wp:extent cx="114480" cy="998640"/>
                <wp:effectExtent l="57150" t="38100" r="57150" b="49530"/>
                <wp:wrapNone/>
                <wp:docPr id="486135753" name="Ink 66"/>
                <wp:cNvGraphicFramePr>
                  <a:graphicFrameLocks xmlns:a="http://schemas.openxmlformats.org/drawingml/2006/main"/>
                </wp:cNvGraphicFramePr>
                <a:graphic xmlns:a="http://schemas.openxmlformats.org/drawingml/2006/main">
                  <a:graphicData uri="http://schemas.microsoft.com/office/word/2010/wordprocessingInk">
                    <w14:contentPart bwMode="auto" r:id="rId87">
                      <w14:nvContentPartPr>
                        <w14:cNvContentPartPr>
                          <a14:cpLocks xmlns:a14="http://schemas.microsoft.com/office/drawing/2010/main" noRot="1"/>
                        </w14:cNvContentPartPr>
                      </w14:nvContentPartPr>
                      <w14:xfrm>
                        <a:off x="0" y="0"/>
                        <a:ext cx="114480" cy="998640"/>
                      </w14:xfrm>
                    </w14:contentPart>
                  </a:graphicData>
                </a:graphic>
              </wp:anchor>
            </w:drawing>
          </mc:Choice>
          <mc:Fallback>
            <w:pict>
              <v:shape w14:anchorId="24EEE9A4" id="Ink 66" o:spid="_x0000_s1026" type="#_x0000_t75" style="position:absolute;margin-left:541.05pt;margin-top:-8.95pt;width:11.8pt;height:81.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">
                <v:imagedata r:id="rId88" o:title=""/>
                <o:lock v:ext="edit" rotation="t" aspectratio="f"/>
              </v:shape>
            </w:pict>
          </mc:Fallback>
        </mc:AlternateContent>
      </w:r>
      <w:r w:rsidRPr="003A1F88">
        <w:rPr>
          <w:rFonts w:ascii="Arial" w:hAnsi="Arial" w:cs="Arial"/>
          <w:sz w:val="28"/>
          <w:szCs w:val="28"/>
        </w:rPr>
        <w:t>) suggest that developmental milestones are frequently incorporated into play-based curriculum to help practitioners determine which skills are suitable for students at a given age. Comprehending these developmental milestones facilitates practitioners create play activities that correspond with children' demands and foster their natural development.</w:t>
      </w:r>
    </w:p>
    <w:p w14:paraId="0C9FEECE" w14:textId="77777777" w:rsidR="00424A05" w:rsidRPr="00424A05" w:rsidRDefault="00424A05" w:rsidP="00424A05">
      <w:pPr>
        <w:spacing w:line="360" w:lineRule="auto"/>
        <w:ind w:left="1440"/>
        <w:rPr>
          <w:rFonts w:ascii="Arial" w:hAnsi="Arial" w:cs="Arial"/>
          <w:sz w:val="28"/>
          <w:szCs w:val="28"/>
          <w:u w:val="single"/>
        </w:rPr>
      </w:pPr>
    </w:p>
    <w:p w14:paraId="4904A178" w14:textId="5CF61DBD"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Unique Progression Flexibility</w:t>
      </w:r>
    </w:p>
    <w:p w14:paraId="65B688C9" w14:textId="68DFBDF7"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 xml:space="preserve">While age-related development models offer a broad framework, play-based curricula place a strong emphasis on being able to recognise and work with children's unique differences in development (Brooker and Edwards, 2018). Lillard, (2013) explains that play-based learning methods acknowledge that children </w:t>
      </w:r>
      <w:r w:rsidRPr="003A1F88">
        <w:rPr>
          <w:rFonts w:ascii="Arial" w:hAnsi="Arial" w:cs="Arial"/>
          <w:noProof/>
          <w:sz w:val="28"/>
          <w:szCs w:val="28"/>
        </w:rPr>
        <mc:AlternateContent>
          <mc:Choice Requires="wpi">
            <w:drawing>
              <wp:anchor distT="0" distB="0" distL="114300" distR="114300" simplePos="0" relativeHeight="251711488" behindDoc="0" locked="0" layoutInCell="1" allowOverlap="1" wp14:anchorId="3C27A418" wp14:editId="57CEEEE1">
                <wp:simplePos x="0" y="0"/>
                <wp:positionH relativeFrom="column">
                  <wp:posOffset>-1283331</wp:posOffset>
                </wp:positionH>
                <wp:positionV relativeFrom="paragraph">
                  <wp:posOffset>-392660</wp:posOffset>
                </wp:positionV>
                <wp:extent cx="167040" cy="1178280"/>
                <wp:effectExtent l="57150" t="57150" r="42545" b="41275"/>
                <wp:wrapNone/>
                <wp:docPr id="270403233" name="Ink 69"/>
                <wp:cNvGraphicFramePr>
                  <a:graphicFrameLocks xmlns:a="http://schemas.openxmlformats.org/drawingml/2006/main"/>
                </wp:cNvGraphicFramePr>
                <a:graphic xmlns:a="http://schemas.openxmlformats.org/drawingml/2006/main">
                  <a:graphicData uri="http://schemas.microsoft.com/office/word/2010/wordprocessingInk">
                    <w14:contentPart bwMode="auto" r:id="rId89">
                      <w14:nvContentPartPr>
                        <w14:cNvContentPartPr>
                          <a14:cpLocks xmlns:a14="http://schemas.microsoft.com/office/drawing/2010/main" noRot="1"/>
                        </w14:cNvContentPartPr>
                      </w14:nvContentPartPr>
                      <w14:xfrm>
                        <a:off x="0" y="0"/>
                        <a:ext cx="167040" cy="1178280"/>
                      </w14:xfrm>
                    </w14:contentPart>
                  </a:graphicData>
                </a:graphic>
              </wp:anchor>
            </w:drawing>
          </mc:Choice>
          <mc:Fallback>
            <w:pict>
              <v:shape w14:anchorId="0A151507" id="Ink 69" o:spid="_x0000_s1026" type="#_x0000_t75" style="position:absolute;margin-left:-102.45pt;margin-top:-32.3pt;width:15.95pt;height:95.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">
                <v:imagedata r:id="rId90" o:title=""/>
                <o:lock v:ext="edit" rotation="t" aspectratio="f"/>
              </v:shape>
            </w:pict>
          </mc:Fallback>
        </mc:AlternateContent>
      </w:r>
      <w:r w:rsidRPr="003A1F88">
        <w:rPr>
          <w:rFonts w:ascii="Arial" w:hAnsi="Arial" w:cs="Arial"/>
          <w:sz w:val="28"/>
          <w:szCs w:val="28"/>
        </w:rPr>
        <w:t xml:space="preserve">progress at varying rates and that differences among individuals are common. Practitioners alter the classroom setting to accommodate every student's different learning style, making that the curriculum stays mindful to every student's points of strength opportunities for development </w:t>
      </w:r>
      <w:bookmarkStart w:id="3" w:name="_Hlk156766861"/>
      <w:r w:rsidRPr="003A1F88">
        <w:rPr>
          <w:rFonts w:ascii="Arial" w:hAnsi="Arial" w:cs="Arial"/>
          <w:sz w:val="28"/>
          <w:szCs w:val="28"/>
        </w:rPr>
        <w:t>(Kostelnik et al., 2015)</w:t>
      </w:r>
      <w:bookmarkEnd w:id="3"/>
      <w:r w:rsidRPr="003A1F88">
        <w:rPr>
          <w:rFonts w:ascii="Arial" w:hAnsi="Arial" w:cs="Arial"/>
          <w:sz w:val="28"/>
          <w:szCs w:val="28"/>
        </w:rPr>
        <w:t xml:space="preserve"> and (Lillard, 2013).</w:t>
      </w:r>
    </w:p>
    <w:p w14:paraId="26AA680E" w14:textId="77777777" w:rsidR="00424A05" w:rsidRPr="003A1F88" w:rsidRDefault="00424A05" w:rsidP="00424A05">
      <w:pPr>
        <w:spacing w:line="360" w:lineRule="auto"/>
        <w:rPr>
          <w:rFonts w:ascii="Arial" w:hAnsi="Arial" w:cs="Arial"/>
          <w:sz w:val="28"/>
          <w:szCs w:val="28"/>
        </w:rPr>
      </w:pPr>
    </w:p>
    <w:p w14:paraId="6E0E4C04" w14:textId="77777777" w:rsidR="00424A05" w:rsidRDefault="00424A05" w:rsidP="00424A05">
      <w:pPr>
        <w:spacing w:line="360" w:lineRule="auto"/>
        <w:rPr>
          <w:rFonts w:ascii="Arial" w:hAnsi="Arial" w:cs="Arial"/>
          <w:sz w:val="28"/>
          <w:szCs w:val="28"/>
          <w:u w:val="single"/>
        </w:rPr>
      </w:pPr>
    </w:p>
    <w:p w14:paraId="72669D2D" w14:textId="6A87928E"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lastRenderedPageBreak/>
        <w:t>Planning Developmentally Appropriate challenges</w:t>
      </w:r>
    </w:p>
    <w:p w14:paraId="151F1371" w14:textId="35872E04"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 xml:space="preserve">Lillard, (2013) suggest how play activities that offer obstacles that are suitable for a child's stage of development can be implemented by practitioners with the use of stage or age related developmental frameworks. In the context of play, these obstacles foster intellectual, physical, and social and emotional development. </w:t>
      </w:r>
      <w:r w:rsidRPr="003A1F88">
        <w:rPr>
          <w:rFonts w:ascii="Arial" w:hAnsi="Arial" w:cs="Arial"/>
          <w:noProof/>
          <w:sz w:val="28"/>
          <w:szCs w:val="28"/>
        </w:rPr>
        <mc:AlternateContent>
          <mc:Choice Requires="aink">
            <w:drawing>
              <wp:anchor distT="0" distB="0" distL="114300" distR="114300" simplePos="0" relativeHeight="251715584" behindDoc="0" locked="0" layoutInCell="1" allowOverlap="1" wp14:anchorId="38AF167D" wp14:editId="2FFE90B4">
                <wp:simplePos x="0" y="0"/>
                <wp:positionH relativeFrom="column">
                  <wp:posOffset>6618669</wp:posOffset>
                </wp:positionH>
                <wp:positionV relativeFrom="paragraph">
                  <wp:posOffset>119184</wp:posOffset>
                </wp:positionV>
                <wp:extent cx="360" cy="360"/>
                <wp:effectExtent l="57150" t="57150" r="38100" b="57150"/>
                <wp:wrapNone/>
                <wp:docPr id="1069630140" name="Ink 86"/>
                <wp:cNvGraphicFramePr>
                  <a:graphicFrameLocks xmlns:a="http://schemas.openxmlformats.org/drawingml/2006/main"/>
                </wp:cNvGraphicFramePr>
                <a:graphic xmlns:a="http://schemas.openxmlformats.org/drawingml/2006/main">
                  <a:graphicData uri="http://schemas.microsoft.com/office/word/2010/wordprocessingInk">
                    <w14:contentPart bwMode="auto" r:id="rId91">
                      <w14:nvContentPartPr>
                        <w14:cNvContentPartPr>
                          <a14:cpLocks xmlns:a14="http://schemas.microsoft.com/office/drawing/2010/main" noRot="1"/>
                        </w14:cNvContentPartPr>
                      </w14:nvContentPartPr>
                      <w14:xfrm>
                        <a:off x="0" y="0"/>
                        <a:ext cx="360" cy="360"/>
                      </w14:xfrm>
                    </w14:contentPart>
                  </a:graphicData>
                </a:graphic>
              </wp:anchor>
            </w:drawing>
          </mc:Choice>
          <mc:Fallback>
            <w:drawing>
              <wp:anchor distT="0" distB="0" distL="114300" distR="114300" simplePos="0" relativeHeight="251715584" behindDoc="0" locked="0" layoutInCell="1" allowOverlap="1" wp14:anchorId="38AF167D" wp14:editId="2FFE90B4">
                <wp:simplePos x="0" y="0"/>
                <wp:positionH relativeFrom="column">
                  <wp:posOffset>6618669</wp:posOffset>
                </wp:positionH>
                <wp:positionV relativeFrom="paragraph">
                  <wp:posOffset>119184</wp:posOffset>
                </wp:positionV>
                <wp:extent cx="360" cy="360"/>
                <wp:effectExtent l="57150" t="57150" r="38100" b="57150"/>
                <wp:wrapNone/>
                <wp:docPr id="1069630140" name="Ink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9630140" name="Ink 86"/>
                        <pic:cNvPicPr>
                          <a:picLocks noRot="1"/>
                        </pic:cNvPicPr>
                      </pic:nvPicPr>
                      <pic:blipFill>
                        <a:blip r:embed="rId92"/>
                        <a:stretch>
                          <a:fillRect/>
                        </a:stretch>
                      </pic:blipFill>
                      <pic:spPr>
                        <a:xfrm>
                          <a:off x="0" y="0"/>
                          <a:ext cx="36000" cy="36000"/>
                        </a:xfrm>
                        <a:prstGeom prst="rect">
                          <a:avLst/>
                        </a:prstGeom>
                      </pic:spPr>
                    </pic:pic>
                  </a:graphicData>
                </a:graphic>
              </wp:anchor>
            </w:drawing>
          </mc:Fallback>
        </mc:AlternateContent>
      </w:r>
      <w:r w:rsidRPr="003A1F88">
        <w:rPr>
          <w:rFonts w:ascii="Arial" w:hAnsi="Arial" w:cs="Arial"/>
          <w:sz w:val="28"/>
          <w:szCs w:val="28"/>
        </w:rPr>
        <w:t>Play-based curricula provide stimulating, demanding, but achievable activities in an effort to establish a balance. Practitioners can adapt play activities to each child's developmental needs in order to motivate and help them achieve a sense of accomplishment (Isenberg and Jalongo, 2019).</w:t>
      </w:r>
    </w:p>
    <w:p w14:paraId="64398999" w14:textId="77777777" w:rsidR="00424A05" w:rsidRPr="003A1F88" w:rsidRDefault="00424A05" w:rsidP="00424A05">
      <w:pPr>
        <w:spacing w:line="360" w:lineRule="auto"/>
        <w:ind w:left="1440"/>
        <w:rPr>
          <w:rFonts w:ascii="Arial" w:hAnsi="Arial" w:cs="Arial"/>
          <w:sz w:val="28"/>
          <w:szCs w:val="28"/>
        </w:rPr>
      </w:pPr>
    </w:p>
    <w:p w14:paraId="0E60B197"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sz w:val="28"/>
          <w:szCs w:val="28"/>
          <w:u w:val="single"/>
        </w:rPr>
        <w:t>Frequent Contact and Interactions between Practitioner and Children</w:t>
      </w:r>
    </w:p>
    <w:p w14:paraId="2E899CC3" w14:textId="77777777" w:rsidR="00424A05" w:rsidRPr="003A1F88" w:rsidRDefault="00424A05" w:rsidP="00424A05">
      <w:pPr>
        <w:spacing w:line="360" w:lineRule="auto"/>
        <w:rPr>
          <w:rFonts w:ascii="Arial" w:hAnsi="Arial" w:cs="Arial"/>
          <w:sz w:val="28"/>
          <w:szCs w:val="28"/>
        </w:rPr>
      </w:pPr>
      <w:bookmarkStart w:id="4" w:name="_Hlk156766503"/>
      <w:r w:rsidRPr="003A1F88">
        <w:rPr>
          <w:rFonts w:ascii="Arial" w:hAnsi="Arial" w:cs="Arial"/>
          <w:sz w:val="28"/>
          <w:szCs w:val="28"/>
        </w:rPr>
        <w:t xml:space="preserve">According to Van Hoorn et al., (2014) </w:t>
      </w:r>
      <w:bookmarkEnd w:id="4"/>
      <w:r w:rsidRPr="003A1F88">
        <w:rPr>
          <w:rFonts w:ascii="Arial" w:hAnsi="Arial" w:cs="Arial"/>
          <w:sz w:val="28"/>
          <w:szCs w:val="28"/>
        </w:rPr>
        <w:t>having meaningful discussions with children while they play can help practitioners gain a deeper understanding into the children's ways of thinking, methods to problem-solving, and ability to comprehend concepts.</w:t>
      </w:r>
      <w:r w:rsidRPr="003A1F88">
        <w:rPr>
          <w:rFonts w:ascii="Arial" w:hAnsi="Arial" w:cs="Arial"/>
          <w:noProof/>
          <w:sz w:val="28"/>
          <w:szCs w:val="28"/>
        </w:rPr>
        <mc:AlternateContent>
          <mc:Choice Requires="wpi">
            <w:drawing>
              <wp:anchor distT="0" distB="0" distL="114300" distR="114300" simplePos="0" relativeHeight="251712512" behindDoc="0" locked="0" layoutInCell="1" allowOverlap="1" wp14:anchorId="54021451" wp14:editId="6ED259D7">
                <wp:simplePos x="0" y="0"/>
                <wp:positionH relativeFrom="column">
                  <wp:posOffset>-1217295</wp:posOffset>
                </wp:positionH>
                <wp:positionV relativeFrom="paragraph">
                  <wp:posOffset>-61595</wp:posOffset>
                </wp:positionV>
                <wp:extent cx="247680" cy="1216080"/>
                <wp:effectExtent l="38100" t="57150" r="57150" b="41275"/>
                <wp:wrapNone/>
                <wp:docPr id="1083787314" name="Ink 74"/>
                <wp:cNvGraphicFramePr>
                  <a:graphicFrameLocks xmlns:a="http://schemas.openxmlformats.org/drawingml/2006/main"/>
                </wp:cNvGraphicFramePr>
                <a:graphic xmlns:a="http://schemas.openxmlformats.org/drawingml/2006/main">
                  <a:graphicData uri="http://schemas.microsoft.com/office/word/2010/wordprocessingInk">
                    <w14:contentPart bwMode="auto" r:id="rId93">
                      <w14:nvContentPartPr>
                        <w14:cNvContentPartPr>
                          <a14:cpLocks xmlns:a14="http://schemas.microsoft.com/office/drawing/2010/main" noRot="1"/>
                        </w14:cNvContentPartPr>
                      </w14:nvContentPartPr>
                      <w14:xfrm>
                        <a:off x="0" y="0"/>
                        <a:ext cx="247680" cy="1216080"/>
                      </w14:xfrm>
                    </w14:contentPart>
                  </a:graphicData>
                </a:graphic>
                <wp14:sizeRelH relativeFrom="margin">
                  <wp14:pctWidth>0</wp14:pctWidth>
                </wp14:sizeRelH>
              </wp:anchor>
            </w:drawing>
          </mc:Choice>
          <mc:Fallback>
            <w:pict>
              <v:shape w14:anchorId="4855E346" id="Ink 74" o:spid="_x0000_s1026" type="#_x0000_t75" style="position:absolute;margin-left:-97.25pt;margin-top:-6.25pt;width:22.3pt;height:98.5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">
                <v:imagedata r:id="rId94" o:title=""/>
                <o:lock v:ext="edit" rotation="t" aspectratio="f"/>
              </v:shape>
            </w:pict>
          </mc:Fallback>
        </mc:AlternateContent>
      </w:r>
      <w:r w:rsidRPr="003A1F88">
        <w:rPr>
          <w:rFonts w:ascii="Arial" w:hAnsi="Arial" w:cs="Arial"/>
          <w:sz w:val="28"/>
          <w:szCs w:val="28"/>
        </w:rPr>
        <w:t xml:space="preserve"> By means of frequent conversations, practitioners are able to establish strong bonds with children as well as acquire information regarding their socio-emotional and cognitive growth. Having regular interactions helps practitioners gain a broader perspective of how well children are learning in a play-based setting (Van Hoorn et al., 2014).</w:t>
      </w:r>
    </w:p>
    <w:p w14:paraId="704FB370" w14:textId="77777777" w:rsidR="00424A05" w:rsidRPr="00424A05" w:rsidRDefault="00424A05" w:rsidP="00424A05">
      <w:pPr>
        <w:spacing w:line="360" w:lineRule="auto"/>
        <w:rPr>
          <w:rFonts w:ascii="Arial" w:hAnsi="Arial" w:cs="Arial"/>
          <w:sz w:val="28"/>
          <w:szCs w:val="28"/>
          <w:u w:val="single"/>
        </w:rPr>
      </w:pPr>
    </w:p>
    <w:p w14:paraId="3CA3BE48" w14:textId="77777777" w:rsidR="00424A05" w:rsidRPr="00424A05" w:rsidRDefault="00424A05" w:rsidP="00424A05">
      <w:pPr>
        <w:spacing w:line="360" w:lineRule="auto"/>
        <w:rPr>
          <w:rFonts w:ascii="Arial" w:hAnsi="Arial" w:cs="Arial"/>
          <w:sz w:val="28"/>
          <w:szCs w:val="28"/>
          <w:u w:val="single"/>
        </w:rPr>
      </w:pPr>
      <w:r w:rsidRPr="00424A05">
        <w:rPr>
          <w:rFonts w:ascii="Arial" w:hAnsi="Arial" w:cs="Arial"/>
          <w:noProof/>
          <w:sz w:val="28"/>
          <w:szCs w:val="28"/>
          <w:u w:val="single"/>
        </w:rPr>
        <mc:AlternateContent>
          <mc:Choice Requires="wpi">
            <w:drawing>
              <wp:anchor distT="0" distB="0" distL="114300" distR="114300" simplePos="0" relativeHeight="251713536" behindDoc="0" locked="0" layoutInCell="1" allowOverlap="1" wp14:anchorId="16CD74F5" wp14:editId="630CAB8D">
                <wp:simplePos x="0" y="0"/>
                <wp:positionH relativeFrom="column">
                  <wp:posOffset>7157949</wp:posOffset>
                </wp:positionH>
                <wp:positionV relativeFrom="paragraph">
                  <wp:posOffset>131550</wp:posOffset>
                </wp:positionV>
                <wp:extent cx="47880" cy="369000"/>
                <wp:effectExtent l="57150" t="57150" r="47625" b="50165"/>
                <wp:wrapNone/>
                <wp:docPr id="2084813788" name="Ink 77"/>
                <wp:cNvGraphicFramePr>
                  <a:graphicFrameLocks xmlns:a="http://schemas.openxmlformats.org/drawingml/2006/main"/>
                </wp:cNvGraphicFramePr>
                <a:graphic xmlns:a="http://schemas.openxmlformats.org/drawingml/2006/main">
                  <a:graphicData uri="http://schemas.microsoft.com/office/word/2010/wordprocessingInk">
                    <w14:contentPart bwMode="auto" r:id="rId95">
                      <w14:nvContentPartPr>
                        <w14:cNvContentPartPr>
                          <a14:cpLocks xmlns:a14="http://schemas.microsoft.com/office/drawing/2010/main" noRot="1"/>
                        </w14:cNvContentPartPr>
                      </w14:nvContentPartPr>
                      <w14:xfrm>
                        <a:off x="0" y="0"/>
                        <a:ext cx="47880" cy="369000"/>
                      </w14:xfrm>
                    </w14:contentPart>
                  </a:graphicData>
                </a:graphic>
              </wp:anchor>
            </w:drawing>
          </mc:Choice>
          <mc:Fallback>
            <w:pict>
              <v:shape w14:anchorId="33D5CCCC" id="Ink 77" o:spid="_x0000_s1026" type="#_x0000_t75" style="position:absolute;margin-left:562.15pt;margin-top:8.95pt;width:6.6pt;height:31.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">
                <v:imagedata r:id="rId96" o:title=""/>
                <o:lock v:ext="edit" rotation="t" aspectratio="f"/>
              </v:shape>
            </w:pict>
          </mc:Fallback>
        </mc:AlternateContent>
      </w:r>
      <w:r w:rsidRPr="00424A05">
        <w:rPr>
          <w:rFonts w:ascii="Arial" w:hAnsi="Arial" w:cs="Arial"/>
          <w:sz w:val="28"/>
          <w:szCs w:val="28"/>
          <w:u w:val="single"/>
        </w:rPr>
        <w:t>Combining Teacher-Guided and Child-Directed Methods</w:t>
      </w:r>
    </w:p>
    <w:p w14:paraId="01A8CB8F" w14:textId="1DFD0CF9" w:rsidR="00424A05" w:rsidRPr="003A1F88" w:rsidRDefault="00424A05" w:rsidP="00424A05">
      <w:pPr>
        <w:spacing w:line="360" w:lineRule="auto"/>
        <w:rPr>
          <w:rFonts w:ascii="Arial" w:hAnsi="Arial" w:cs="Arial"/>
          <w:sz w:val="28"/>
          <w:szCs w:val="28"/>
        </w:rPr>
      </w:pPr>
      <w:r w:rsidRPr="003A1F88">
        <w:rPr>
          <w:rFonts w:ascii="Arial" w:hAnsi="Arial" w:cs="Arial"/>
          <w:sz w:val="28"/>
          <w:szCs w:val="28"/>
        </w:rPr>
        <w:t>Isenberg and Jalongo, (2019)</w:t>
      </w:r>
      <w:r w:rsidRPr="003A1F88">
        <w:rPr>
          <w:rFonts w:ascii="Arial" w:hAnsi="Arial" w:cs="Arial"/>
          <w:noProof/>
          <w:sz w:val="28"/>
          <w:szCs w:val="28"/>
        </w:rPr>
        <mc:AlternateContent>
          <mc:Choice Requires="wpi">
            <w:drawing>
              <wp:anchor distT="0" distB="0" distL="114300" distR="114300" simplePos="0" relativeHeight="251716608" behindDoc="0" locked="0" layoutInCell="1" allowOverlap="1" wp14:anchorId="781E242D" wp14:editId="375EB807">
                <wp:simplePos x="0" y="0"/>
                <wp:positionH relativeFrom="column">
                  <wp:posOffset>-1043571</wp:posOffset>
                </wp:positionH>
                <wp:positionV relativeFrom="paragraph">
                  <wp:posOffset>905421</wp:posOffset>
                </wp:positionV>
                <wp:extent cx="360" cy="360"/>
                <wp:effectExtent l="76200" t="76200" r="76200" b="76200"/>
                <wp:wrapNone/>
                <wp:docPr id="887621906" name="Ink 87"/>
                <wp:cNvGraphicFramePr>
                  <a:graphicFrameLocks xmlns:a="http://schemas.openxmlformats.org/drawingml/2006/main"/>
                </wp:cNvGraphicFramePr>
                <a:graphic xmlns:a="http://schemas.openxmlformats.org/drawingml/2006/main">
                  <a:graphicData uri="http://schemas.microsoft.com/office/word/2010/wordprocessingInk">
                    <w14:contentPart bwMode="auto" r:id="rId9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9808FA3" id="Ink 87" o:spid="_x0000_s1026" type="#_x0000_t75" style="position:absolute;margin-left:-85pt;margin-top:68.45pt;width:5.7pt;height:5.7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">
                <v:imagedata r:id="rId19" o:title=""/>
                <o:lock v:ext="edit" rotation="t" aspectratio="f"/>
              </v:shape>
            </w:pict>
          </mc:Fallback>
        </mc:AlternateContent>
      </w:r>
      <w:r w:rsidRPr="003A1F88">
        <w:rPr>
          <w:rFonts w:ascii="Arial" w:hAnsi="Arial" w:cs="Arial"/>
          <w:sz w:val="28"/>
          <w:szCs w:val="28"/>
        </w:rPr>
        <w:t xml:space="preserve"> suggest when carefully planned, play-based curricula establish a balance between student-directed and teacher-guided learning, this gives children the opportunity to explore </w:t>
      </w:r>
      <w:r w:rsidRPr="003A1F88">
        <w:rPr>
          <w:rFonts w:ascii="Arial" w:hAnsi="Arial" w:cs="Arial"/>
          <w:sz w:val="28"/>
          <w:szCs w:val="28"/>
        </w:rPr>
        <w:lastRenderedPageBreak/>
        <w:t xml:space="preserve">and learn about themselves on their own whilst receiving direction and assistance from practitioners. </w:t>
      </w:r>
      <w:r w:rsidRPr="003A1F88">
        <w:rPr>
          <w:rFonts w:ascii="Arial" w:hAnsi="Arial" w:cs="Arial"/>
          <w:noProof/>
          <w:sz w:val="28"/>
          <w:szCs w:val="28"/>
        </w:rPr>
        <mc:AlternateContent>
          <mc:Choice Requires="wpi">
            <w:drawing>
              <wp:anchor distT="0" distB="0" distL="114300" distR="114300" simplePos="0" relativeHeight="251717632" behindDoc="0" locked="0" layoutInCell="1" allowOverlap="1" wp14:anchorId="47C6AAC0" wp14:editId="2B916929">
                <wp:simplePos x="0" y="0"/>
                <wp:positionH relativeFrom="column">
                  <wp:posOffset>-1397811</wp:posOffset>
                </wp:positionH>
                <wp:positionV relativeFrom="paragraph">
                  <wp:posOffset>559611</wp:posOffset>
                </wp:positionV>
                <wp:extent cx="360" cy="360"/>
                <wp:effectExtent l="76200" t="76200" r="76200" b="76200"/>
                <wp:wrapNone/>
                <wp:docPr id="1787919741" name="Ink 89"/>
                <wp:cNvGraphicFramePr>
                  <a:graphicFrameLocks xmlns:a="http://schemas.openxmlformats.org/drawingml/2006/main"/>
                </wp:cNvGraphicFramePr>
                <a:graphic xmlns:a="http://schemas.openxmlformats.org/drawingml/2006/main">
                  <a:graphicData uri="http://schemas.microsoft.com/office/word/2010/wordprocessingInk">
                    <w14:contentPart bwMode="auto" r:id="rId9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B39BAC8" id="Ink 89" o:spid="_x0000_s1026" type="#_x0000_t75" style="position:absolute;margin-left:-112.9pt;margin-top:41.2pt;width:5.7pt;height:5.7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">
                <v:imagedata r:id="rId11" o:title=""/>
                <o:lock v:ext="edit" rotation="t" aspectratio="f"/>
              </v:shape>
            </w:pict>
          </mc:Fallback>
        </mc:AlternateContent>
      </w:r>
      <w:r w:rsidRPr="003A1F88">
        <w:rPr>
          <w:rFonts w:ascii="Arial" w:hAnsi="Arial" w:cs="Arial"/>
          <w:sz w:val="28"/>
          <w:szCs w:val="28"/>
        </w:rPr>
        <w:t xml:space="preserve">Bruce (2011) implies it takes skilled informed practitioners who can adjust to the different demands of every child to balance various techniques. Considering every child's individuality requires practitioners to ensure that their guidance is encouraging rather than restrictive. To create a holistic and productive learning environment, play-based early years curricula must incorporate both teacher-guided and child-directed techniques. </w:t>
      </w:r>
    </w:p>
    <w:p w14:paraId="4395CFDE" w14:textId="77777777" w:rsidR="00424A05" w:rsidRDefault="00424A05" w:rsidP="00424A05">
      <w:pPr>
        <w:spacing w:line="360" w:lineRule="auto"/>
        <w:rPr>
          <w:rFonts w:ascii="Arial" w:hAnsi="Arial" w:cs="Arial"/>
          <w:sz w:val="28"/>
          <w:szCs w:val="28"/>
        </w:rPr>
      </w:pPr>
      <w:r w:rsidRPr="003A1F88">
        <w:rPr>
          <w:rFonts w:ascii="Arial" w:hAnsi="Arial" w:cs="Arial"/>
          <w:noProof/>
          <w:sz w:val="28"/>
          <w:szCs w:val="28"/>
        </w:rPr>
        <mc:AlternateContent>
          <mc:Choice Requires="wpi">
            <w:drawing>
              <wp:anchor distT="0" distB="0" distL="114300" distR="114300" simplePos="0" relativeHeight="251718656" behindDoc="0" locked="0" layoutInCell="1" allowOverlap="1" wp14:anchorId="047C0278" wp14:editId="24776E64">
                <wp:simplePos x="0" y="0"/>
                <wp:positionH relativeFrom="column">
                  <wp:posOffset>-1320165</wp:posOffset>
                </wp:positionH>
                <wp:positionV relativeFrom="paragraph">
                  <wp:posOffset>372850</wp:posOffset>
                </wp:positionV>
                <wp:extent cx="360" cy="360"/>
                <wp:effectExtent l="76200" t="76200" r="76200" b="76200"/>
                <wp:wrapNone/>
                <wp:docPr id="1858821921" name="Ink 93"/>
                <wp:cNvGraphicFramePr>
                  <a:graphicFrameLocks xmlns:a="http://schemas.openxmlformats.org/drawingml/2006/main"/>
                </wp:cNvGraphicFramePr>
                <a:graphic xmlns:a="http://schemas.openxmlformats.org/drawingml/2006/main">
                  <a:graphicData uri="http://schemas.microsoft.com/office/word/2010/wordprocessingInk">
                    <w14:contentPart bwMode="auto" r:id="rId99">
                      <w14:nvContentPartPr>
                        <w14:cNvContentPartPr>
                          <a14:cpLocks xmlns:a14="http://schemas.microsoft.com/office/drawing/2010/main" noRot="1"/>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77E2F019" id="Ink 93" o:spid="_x0000_s1026" type="#_x0000_t75" style="position:absolute;margin-left:-106.8pt;margin-top:26.5pt;width:5.7pt;height:5.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">
                <v:imagedata r:id="rId72" o:title=""/>
                <o:lock v:ext="edit" rotation="t" aspectratio="f"/>
              </v:shape>
            </w:pict>
          </mc:Fallback>
        </mc:AlternateContent>
      </w:r>
      <w:r w:rsidRPr="003A1F88">
        <w:rPr>
          <w:rFonts w:ascii="Arial" w:hAnsi="Arial" w:cs="Arial"/>
          <w:sz w:val="28"/>
          <w:szCs w:val="28"/>
        </w:rPr>
        <w:t>This method recognises the value of giving children the freedom to choose how they want to learn while simultaneously acknowledging the role that practitioners play in directing and supporting these choices (Isenberg and Jalongo, 2019).</w:t>
      </w:r>
    </w:p>
    <w:p w14:paraId="00C35D46" w14:textId="77777777" w:rsidR="00EE3CB4" w:rsidRDefault="00EE3CB4" w:rsidP="00424A05">
      <w:pPr>
        <w:spacing w:line="360" w:lineRule="auto"/>
        <w:rPr>
          <w:rFonts w:ascii="Arial" w:hAnsi="Arial" w:cs="Arial"/>
          <w:sz w:val="28"/>
          <w:szCs w:val="28"/>
        </w:rPr>
      </w:pPr>
    </w:p>
    <w:p w14:paraId="1C7B42F0" w14:textId="77777777" w:rsidR="00EE3CB4" w:rsidRDefault="00EE3CB4" w:rsidP="00424A05">
      <w:pPr>
        <w:spacing w:line="360" w:lineRule="auto"/>
        <w:rPr>
          <w:rFonts w:ascii="Arial" w:hAnsi="Arial" w:cs="Arial"/>
          <w:sz w:val="28"/>
          <w:szCs w:val="28"/>
        </w:rPr>
      </w:pPr>
    </w:p>
    <w:p w14:paraId="532B95EA" w14:textId="77777777" w:rsidR="00EE3CB4" w:rsidRDefault="00EE3CB4" w:rsidP="00424A05">
      <w:pPr>
        <w:spacing w:line="360" w:lineRule="auto"/>
        <w:rPr>
          <w:rFonts w:ascii="Arial" w:hAnsi="Arial" w:cs="Arial"/>
          <w:sz w:val="28"/>
          <w:szCs w:val="28"/>
        </w:rPr>
      </w:pPr>
    </w:p>
    <w:p w14:paraId="4072D402" w14:textId="77777777" w:rsidR="00EE3CB4" w:rsidRDefault="00EE3CB4" w:rsidP="00424A05">
      <w:pPr>
        <w:spacing w:line="360" w:lineRule="auto"/>
        <w:rPr>
          <w:rFonts w:ascii="Arial" w:hAnsi="Arial" w:cs="Arial"/>
          <w:sz w:val="28"/>
          <w:szCs w:val="28"/>
        </w:rPr>
      </w:pPr>
    </w:p>
    <w:p w14:paraId="702E235A" w14:textId="77777777" w:rsidR="00EE3CB4" w:rsidRDefault="00EE3CB4" w:rsidP="00424A05">
      <w:pPr>
        <w:spacing w:line="360" w:lineRule="auto"/>
        <w:rPr>
          <w:rFonts w:ascii="Arial" w:hAnsi="Arial" w:cs="Arial"/>
          <w:sz w:val="28"/>
          <w:szCs w:val="28"/>
        </w:rPr>
      </w:pPr>
    </w:p>
    <w:p w14:paraId="2274F9D2" w14:textId="77777777" w:rsidR="00EE3CB4" w:rsidRDefault="00EE3CB4" w:rsidP="00424A05">
      <w:pPr>
        <w:spacing w:line="360" w:lineRule="auto"/>
        <w:rPr>
          <w:rFonts w:ascii="Arial" w:hAnsi="Arial" w:cs="Arial"/>
          <w:sz w:val="28"/>
          <w:szCs w:val="28"/>
        </w:rPr>
      </w:pPr>
    </w:p>
    <w:p w14:paraId="3A60E413" w14:textId="77777777" w:rsidR="00EE3CB4" w:rsidRDefault="00EE3CB4" w:rsidP="00424A05">
      <w:pPr>
        <w:spacing w:line="360" w:lineRule="auto"/>
        <w:rPr>
          <w:rFonts w:ascii="Arial" w:hAnsi="Arial" w:cs="Arial"/>
          <w:sz w:val="28"/>
          <w:szCs w:val="28"/>
        </w:rPr>
      </w:pPr>
    </w:p>
    <w:p w14:paraId="3AFB6360" w14:textId="77777777" w:rsidR="00EE3CB4" w:rsidRDefault="00EE3CB4" w:rsidP="00424A05">
      <w:pPr>
        <w:spacing w:line="360" w:lineRule="auto"/>
        <w:rPr>
          <w:rFonts w:ascii="Arial" w:hAnsi="Arial" w:cs="Arial"/>
          <w:sz w:val="28"/>
          <w:szCs w:val="28"/>
        </w:rPr>
      </w:pPr>
    </w:p>
    <w:p w14:paraId="4030EA66" w14:textId="77777777" w:rsidR="00EE3CB4" w:rsidRDefault="00EE3CB4" w:rsidP="00424A05">
      <w:pPr>
        <w:spacing w:line="360" w:lineRule="auto"/>
        <w:rPr>
          <w:rFonts w:ascii="Arial" w:hAnsi="Arial" w:cs="Arial"/>
          <w:sz w:val="28"/>
          <w:szCs w:val="28"/>
        </w:rPr>
      </w:pPr>
    </w:p>
    <w:p w14:paraId="3A2FFBC7" w14:textId="77777777" w:rsidR="00EE3CB4" w:rsidRDefault="00EE3CB4" w:rsidP="00424A05">
      <w:pPr>
        <w:spacing w:line="360" w:lineRule="auto"/>
        <w:rPr>
          <w:rFonts w:ascii="Arial" w:hAnsi="Arial" w:cs="Arial"/>
          <w:sz w:val="28"/>
          <w:szCs w:val="28"/>
        </w:rPr>
      </w:pPr>
    </w:p>
    <w:p w14:paraId="307CF45E" w14:textId="77777777" w:rsidR="00EE3CB4" w:rsidRDefault="00EE3CB4" w:rsidP="00424A05">
      <w:pPr>
        <w:spacing w:line="360" w:lineRule="auto"/>
        <w:rPr>
          <w:rFonts w:ascii="Arial" w:hAnsi="Arial" w:cs="Arial"/>
          <w:sz w:val="28"/>
          <w:szCs w:val="28"/>
        </w:rPr>
      </w:pPr>
    </w:p>
    <w:p w14:paraId="27B7F66E" w14:textId="77777777" w:rsidR="00EE3CB4" w:rsidRDefault="00EE3CB4" w:rsidP="00424A05">
      <w:pPr>
        <w:spacing w:line="360" w:lineRule="auto"/>
        <w:rPr>
          <w:rFonts w:ascii="Arial" w:hAnsi="Arial" w:cs="Arial"/>
          <w:sz w:val="28"/>
          <w:szCs w:val="28"/>
        </w:rPr>
      </w:pPr>
    </w:p>
    <w:p w14:paraId="06D0F602"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u w:val="single"/>
        </w:rPr>
        <w:lastRenderedPageBreak/>
        <w:t>Section 3 -</w:t>
      </w:r>
      <w:r w:rsidRPr="00637BDE">
        <w:rPr>
          <w:rFonts w:ascii="Arial" w:hAnsi="Arial" w:cs="Arial"/>
          <w:sz w:val="28"/>
          <w:szCs w:val="28"/>
        </w:rPr>
        <w:t xml:space="preserve"> Navigating the Transforming Environment: Factors to Consider When Implementing a Play-Based Curricula</w:t>
      </w:r>
    </w:p>
    <w:p w14:paraId="197A54B0"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noProof/>
          <w:sz w:val="28"/>
          <w:szCs w:val="28"/>
          <w:u w:val="single"/>
        </w:rPr>
        <mc:AlternateContent>
          <mc:Choice Requires="wpi">
            <w:drawing>
              <wp:anchor distT="0" distB="0" distL="114300" distR="114300" simplePos="0" relativeHeight="251723776" behindDoc="0" locked="0" layoutInCell="1" allowOverlap="1" wp14:anchorId="2D54FAB0" wp14:editId="30220436">
                <wp:simplePos x="0" y="0"/>
                <wp:positionH relativeFrom="column">
                  <wp:posOffset>-1290955</wp:posOffset>
                </wp:positionH>
                <wp:positionV relativeFrom="paragraph">
                  <wp:posOffset>-768350</wp:posOffset>
                </wp:positionV>
                <wp:extent cx="352425" cy="1778000"/>
                <wp:effectExtent l="99695" t="98425" r="90805" b="85725"/>
                <wp:wrapNone/>
                <wp:docPr id="1480572744" name="Ink 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0">
                      <w14:nvContentPartPr>
                        <w14:cNvContentPartPr>
                          <a14:cpLocks xmlns:a14="http://schemas.microsoft.com/office/drawing/2010/main" noRot="1" noChangeAspect="1" noEditPoints="1" noChangeArrowheads="1" noChangeShapeType="1"/>
                        </w14:cNvContentPartPr>
                      </w14:nvContentPartPr>
                      <w14:xfrm>
                        <a:off x="0" y="0"/>
                        <a:ext cx="352425" cy="1778000"/>
                      </w14:xfrm>
                    </w14:contentPart>
                  </a:graphicData>
                </a:graphic>
                <wp14:sizeRelH relativeFrom="page">
                  <wp14:pctWidth>0</wp14:pctWidth>
                </wp14:sizeRelH>
                <wp14:sizeRelV relativeFrom="page">
                  <wp14:pctHeight>0</wp14:pctHeight>
                </wp14:sizeRelV>
              </wp:anchor>
            </w:drawing>
          </mc:Choice>
          <mc:Fallback>
            <w:pict>
              <v:shape w14:anchorId="6A26F672" id="Ink 7" o:spid="_x0000_s1026" type="#_x0000_t75" style="position:absolute;margin-left:-105.2pt;margin-top:-63.45pt;width:34.85pt;height:145.9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">
                <v:imagedata r:id="rId101" o:title=""/>
                <o:lock v:ext="edit" rotation="t" verticies="t" shapetype="t"/>
              </v:shape>
            </w:pict>
          </mc:Fallback>
        </mc:AlternateContent>
      </w:r>
      <w:r w:rsidRPr="00637BDE">
        <w:rPr>
          <w:rFonts w:ascii="Arial" w:hAnsi="Arial" w:cs="Arial"/>
          <w:sz w:val="28"/>
          <w:szCs w:val="28"/>
          <w:u w:val="single"/>
        </w:rPr>
        <w:t>Introduction</w:t>
      </w:r>
    </w:p>
    <w:p w14:paraId="050FB2FE"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In the dynamic field of early childhood education, the implementation of play-based curricula has been a revolutionary breakthrough (Pyle and Danniels, 2017).</w:t>
      </w:r>
      <w:r>
        <w:rPr>
          <w:rFonts w:ascii="Arial" w:hAnsi="Arial" w:cs="Arial"/>
          <w:sz w:val="28"/>
          <w:szCs w:val="28"/>
        </w:rPr>
        <w:t xml:space="preserve"> </w:t>
      </w:r>
      <w:r w:rsidRPr="00637BDE">
        <w:rPr>
          <w:rFonts w:ascii="Arial" w:hAnsi="Arial" w:cs="Arial"/>
          <w:sz w:val="28"/>
          <w:szCs w:val="28"/>
        </w:rPr>
        <w:t>As practitioners along with their settings follow this route, factors that are essential to successful implementation must be considered. The purpose of this blog is to discuss the complexities and challenges involved in converting to a play-based curriculum and to highlight important factors that can help practitioners make these kinds of adjustments. Exploring many elements of establishing a play-based environment that supports holistic child development, reflecting on research and experience will be another focus of this blog.</w:t>
      </w:r>
    </w:p>
    <w:p w14:paraId="46525F96" w14:textId="77777777" w:rsidR="00EE3CB4" w:rsidRPr="00637BDE" w:rsidRDefault="00EE3CB4" w:rsidP="00EE3CB4">
      <w:pPr>
        <w:spacing w:line="360" w:lineRule="auto"/>
        <w:ind w:left="1440"/>
        <w:rPr>
          <w:rFonts w:ascii="Arial" w:hAnsi="Arial" w:cs="Arial"/>
          <w:sz w:val="28"/>
          <w:szCs w:val="28"/>
        </w:rPr>
      </w:pPr>
    </w:p>
    <w:p w14:paraId="6129E8DD"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 xml:space="preserve">The Conceptual Frameworks </w:t>
      </w:r>
    </w:p>
    <w:p w14:paraId="1FD74B4A"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Nutbrown (2014) suggests it is essential to comprehend the conceptual frameworks that support play-based curricula prior to diving into the practical aspects. Berk and Meyers (2015) implies that play-based learning, which is founded on well-known theories like Piaget's constructivism and Vygotsky's socio-cultural perspective, acknowledges children's natural creative thinking and curiosity. According to Pyle and Danniels, (2017) in order to make this change, practitioners must now see play as an evolving activity that is essential to children's emotional, social, cognitive and physical growth rather than as a time away from learning.</w:t>
      </w:r>
    </w:p>
    <w:p w14:paraId="21702A08" w14:textId="77777777" w:rsidR="00EE3CB4" w:rsidRDefault="00EE3CB4" w:rsidP="00EE3CB4">
      <w:pPr>
        <w:spacing w:line="360" w:lineRule="auto"/>
        <w:rPr>
          <w:rFonts w:ascii="Arial" w:hAnsi="Arial" w:cs="Arial"/>
          <w:sz w:val="28"/>
          <w:szCs w:val="28"/>
        </w:rPr>
      </w:pPr>
      <w:r w:rsidRPr="00637BDE">
        <w:rPr>
          <w:rFonts w:ascii="Arial" w:hAnsi="Arial" w:cs="Arial"/>
          <w:noProof/>
          <w:sz w:val="28"/>
          <w:szCs w:val="28"/>
        </w:rPr>
        <mc:AlternateContent>
          <mc:Choice Requires="wpi">
            <w:drawing>
              <wp:anchor distT="0" distB="0" distL="114300" distR="114300" simplePos="0" relativeHeight="251721728" behindDoc="0" locked="0" layoutInCell="1" allowOverlap="1" wp14:anchorId="24085007" wp14:editId="6DF2F029">
                <wp:simplePos x="0" y="0"/>
                <wp:positionH relativeFrom="column">
                  <wp:posOffset>-1079500</wp:posOffset>
                </wp:positionH>
                <wp:positionV relativeFrom="paragraph">
                  <wp:posOffset>66675</wp:posOffset>
                </wp:positionV>
                <wp:extent cx="78105" cy="73025"/>
                <wp:effectExtent l="101600" t="95250" r="86995" b="88900"/>
                <wp:wrapNone/>
                <wp:docPr id="1977184552" name="Ink 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2">
                      <w14:nvContentPartPr>
                        <w14:cNvContentPartPr>
                          <a14:cpLocks xmlns:a14="http://schemas.microsoft.com/office/drawing/2010/main" noRot="1" noChangeAspect="1" noEditPoints="1" noChangeArrowheads="1" noChangeShapeType="1"/>
                        </w14:cNvContentPartPr>
                      </w14:nvContentPartPr>
                      <w14:xfrm>
                        <a:off x="0" y="0"/>
                        <a:ext cx="78105" cy="73025"/>
                      </w14:xfrm>
                    </w14:contentPart>
                  </a:graphicData>
                </a:graphic>
                <wp14:sizeRelH relativeFrom="page">
                  <wp14:pctWidth>0</wp14:pctWidth>
                </wp14:sizeRelH>
                <wp14:sizeRelV relativeFrom="page">
                  <wp14:pctHeight>0</wp14:pctHeight>
                </wp14:sizeRelV>
              </wp:anchor>
            </w:drawing>
          </mc:Choice>
          <mc:Fallback>
            <w:pict>
              <v:shape w14:anchorId="4EE88FC9" id="Ink 6" o:spid="_x0000_s1026" type="#_x0000_t75" style="position:absolute;margin-left:-109.6pt;margin-top:-138.5pt;width:55.1pt;height:291.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">
                <v:imagedata r:id="rId103" o:title=""/>
                <o:lock v:ext="edit" rotation="t" verticies="t" shapetype="t"/>
              </v:shape>
            </w:pict>
          </mc:Fallback>
        </mc:AlternateContent>
      </w:r>
    </w:p>
    <w:p w14:paraId="670927B5"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u w:val="single"/>
        </w:rPr>
        <w:lastRenderedPageBreak/>
        <w:t xml:space="preserve">Professional </w:t>
      </w:r>
      <w:r>
        <w:rPr>
          <w:rFonts w:ascii="Arial" w:hAnsi="Arial" w:cs="Arial"/>
          <w:sz w:val="28"/>
          <w:szCs w:val="28"/>
          <w:u w:val="single"/>
        </w:rPr>
        <w:t>D</w:t>
      </w:r>
      <w:r w:rsidRPr="00637BDE">
        <w:rPr>
          <w:rFonts w:ascii="Arial" w:hAnsi="Arial" w:cs="Arial"/>
          <w:sz w:val="28"/>
          <w:szCs w:val="28"/>
          <w:u w:val="single"/>
        </w:rPr>
        <w:t>evelopment</w:t>
      </w:r>
    </w:p>
    <w:p w14:paraId="65452A6F" w14:textId="77777777" w:rsidR="00EE3CB4" w:rsidRPr="00637BDE" w:rsidRDefault="00EE3CB4" w:rsidP="00EE3CB4">
      <w:pPr>
        <w:spacing w:line="360" w:lineRule="auto"/>
        <w:rPr>
          <w:rFonts w:ascii="Arial" w:hAnsi="Arial" w:cs="Arial"/>
          <w:sz w:val="28"/>
          <w:szCs w:val="28"/>
        </w:rPr>
      </w:pPr>
      <w:bookmarkStart w:id="5" w:name="_Hlk156767965"/>
      <w:r w:rsidRPr="00637BDE">
        <w:rPr>
          <w:rFonts w:ascii="Arial" w:hAnsi="Arial" w:cs="Arial"/>
          <w:sz w:val="28"/>
          <w:szCs w:val="28"/>
        </w:rPr>
        <w:t xml:space="preserve">Isenberg and Jalongo (2019) </w:t>
      </w:r>
      <w:bookmarkEnd w:id="5"/>
      <w:r w:rsidRPr="00637BDE">
        <w:rPr>
          <w:rFonts w:ascii="Arial" w:hAnsi="Arial" w:cs="Arial"/>
          <w:noProof/>
          <w:sz w:val="28"/>
          <w:szCs w:val="28"/>
        </w:rPr>
        <mc:AlternateContent>
          <mc:Choice Requires="wpi">
            <w:drawing>
              <wp:anchor distT="0" distB="0" distL="114300" distR="114300" simplePos="0" relativeHeight="251722752" behindDoc="0" locked="0" layoutInCell="1" allowOverlap="1" wp14:anchorId="1BF44A03" wp14:editId="05C804F9">
                <wp:simplePos x="0" y="0"/>
                <wp:positionH relativeFrom="column">
                  <wp:posOffset>-1262380</wp:posOffset>
                </wp:positionH>
                <wp:positionV relativeFrom="paragraph">
                  <wp:posOffset>1109345</wp:posOffset>
                </wp:positionV>
                <wp:extent cx="72390" cy="72390"/>
                <wp:effectExtent l="99695" t="99695" r="94615" b="94615"/>
                <wp:wrapNone/>
                <wp:docPr id="2144187148" name="Ink 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4">
                      <w14:nvContentPartPr>
                        <w14:cNvContentPartPr>
                          <a14:cpLocks xmlns:a14="http://schemas.microsoft.com/office/drawing/2010/main" noRot="1" noChangeAspect="1" noEditPoints="1" noChangeArrowheads="1" noChangeShapeType="1"/>
                        </w14:cNvContentPartPr>
                      </w14:nvContentPartPr>
                      <w14:xfrm>
                        <a:off x="0" y="0"/>
                        <a:ext cx="72390" cy="72390"/>
                      </w14:xfrm>
                    </w14:contentPart>
                  </a:graphicData>
                </a:graphic>
                <wp14:sizeRelH relativeFrom="page">
                  <wp14:pctWidth>0</wp14:pctWidth>
                </wp14:sizeRelH>
                <wp14:sizeRelV relativeFrom="page">
                  <wp14:pctHeight>0</wp14:pctHeight>
                </wp14:sizeRelV>
              </wp:anchor>
            </w:drawing>
          </mc:Choice>
          <mc:Fallback>
            <w:pict>
              <v:shape w14:anchorId="2F91D68E" id="Ink 5" o:spid="_x0000_s1026" type="#_x0000_t75" style="position:absolute;margin-left:-669.4pt;margin-top:-482.65pt;width:1140pt;height:1140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">
                <v:imagedata r:id="rId105" o:title=""/>
                <o:lock v:ext="edit" rotation="t" verticies="t" shapetype="t"/>
              </v:shape>
            </w:pict>
          </mc:Fallback>
        </mc:AlternateContent>
      </w:r>
      <w:r w:rsidRPr="00637BDE">
        <w:rPr>
          <w:rFonts w:ascii="Arial" w:hAnsi="Arial" w:cs="Arial"/>
          <w:sz w:val="28"/>
          <w:szCs w:val="28"/>
        </w:rPr>
        <w:t>and Pyle and Danniels, (2017) believe the initial step in putting a play-based curriculum into practice effectively is to provide practitioners access to the required training. Effective observation skills, adaptive tactics, and theoretical foundations could be included in this professional development designed to prepare practitioners for the transition to play-based learning. This guarantees that practitioners are ready to support and scaffolding play experiences that correspond with learning goals.</w:t>
      </w:r>
    </w:p>
    <w:p w14:paraId="2979E2CE" w14:textId="77777777" w:rsidR="00EE3CB4" w:rsidRPr="00637BDE" w:rsidRDefault="00EE3CB4" w:rsidP="00EE3CB4">
      <w:pPr>
        <w:spacing w:line="360" w:lineRule="auto"/>
        <w:rPr>
          <w:rFonts w:ascii="Arial" w:hAnsi="Arial" w:cs="Arial"/>
          <w:sz w:val="28"/>
          <w:szCs w:val="28"/>
          <w:u w:val="single"/>
        </w:rPr>
      </w:pPr>
    </w:p>
    <w:p w14:paraId="43FEC3B0"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Establishing Interesting Educational Environments</w:t>
      </w:r>
    </w:p>
    <w:p w14:paraId="1FA62263"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Samuelsson and Johansson, (2018) thinks that a play-based curriculum's foundation is the development of intentional learning spaces that encourage inquiry and discovery. Pyle and Danniels, (2017) and Bennett and Smilan, (2014) suggest activities that are guided by practitioners and those that are directed by the students should be balanced in classroom design. Think about where the learning zones should be located, how accessible the resources are, and whether or not to include versatile areas that promote both solo and group play.</w:t>
      </w:r>
    </w:p>
    <w:p w14:paraId="4381F593" w14:textId="77777777" w:rsidR="00EE3CB4" w:rsidRPr="00637BDE" w:rsidRDefault="00EE3CB4" w:rsidP="00EE3CB4">
      <w:pPr>
        <w:spacing w:line="360" w:lineRule="auto"/>
        <w:rPr>
          <w:rFonts w:ascii="Arial" w:hAnsi="Arial" w:cs="Arial"/>
          <w:sz w:val="28"/>
          <w:szCs w:val="28"/>
          <w:u w:val="single"/>
        </w:rPr>
      </w:pPr>
    </w:p>
    <w:p w14:paraId="6BB6D86C"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Complying with Developmental Milestones</w:t>
      </w:r>
    </w:p>
    <w:p w14:paraId="6099A723"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 xml:space="preserve">Gestwicki (2018) recommends establishing age-appropriate learning experiences requires an understanding of developmental milestones and how to match play-based activities with them. </w:t>
      </w:r>
      <w:bookmarkStart w:id="6" w:name="_Hlk156767528"/>
      <w:r w:rsidRPr="00637BDE">
        <w:rPr>
          <w:rFonts w:ascii="Arial" w:hAnsi="Arial" w:cs="Arial"/>
          <w:sz w:val="28"/>
          <w:szCs w:val="28"/>
        </w:rPr>
        <w:t>Gartrell (2017</w:t>
      </w:r>
      <w:bookmarkEnd w:id="6"/>
      <w:r w:rsidRPr="00637BDE">
        <w:rPr>
          <w:rFonts w:ascii="Arial" w:hAnsi="Arial" w:cs="Arial"/>
          <w:sz w:val="28"/>
          <w:szCs w:val="28"/>
        </w:rPr>
        <w:t xml:space="preserve">) suggests that practitioners should be knowledgeable about the many developmental paths that the children under their supervision are at, and </w:t>
      </w:r>
      <w:r w:rsidRPr="00637BDE">
        <w:rPr>
          <w:rFonts w:ascii="Arial" w:hAnsi="Arial" w:cs="Arial"/>
          <w:sz w:val="28"/>
          <w:szCs w:val="28"/>
        </w:rPr>
        <w:lastRenderedPageBreak/>
        <w:t>they should adapt tasks to meet the needs of each unique child while encouraging an environment of challenge and success.</w:t>
      </w:r>
    </w:p>
    <w:p w14:paraId="01ADC5F5" w14:textId="77777777" w:rsidR="00EE3CB4" w:rsidRPr="00637BDE" w:rsidRDefault="00EE3CB4" w:rsidP="00EE3CB4">
      <w:pPr>
        <w:spacing w:line="360" w:lineRule="auto"/>
        <w:ind w:left="1440"/>
        <w:rPr>
          <w:rFonts w:ascii="Arial" w:hAnsi="Arial" w:cs="Arial"/>
          <w:sz w:val="28"/>
          <w:szCs w:val="28"/>
          <w:u w:val="single"/>
        </w:rPr>
      </w:pPr>
    </w:p>
    <w:p w14:paraId="028FEC20"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The importance of Parent Partnership</w:t>
      </w:r>
    </w:p>
    <w:p w14:paraId="666229DE"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According to Epstein (2018) the successful implementation of a play-based curriculum requires close collaboration with families. With frequent updates, workshops, and cooperative activities that include parents in the learning process, communicating plays a crucial role. In order to assist children's growth at home and at school, practitioners and parents can collaborate by developing a shared understanding of the curriculum (Pomerleau and Fortin, 2018).</w:t>
      </w:r>
    </w:p>
    <w:p w14:paraId="5EED1ADC" w14:textId="77777777" w:rsidR="00EE3CB4" w:rsidRDefault="00EE3CB4" w:rsidP="00EE3CB4">
      <w:pPr>
        <w:spacing w:line="360" w:lineRule="auto"/>
        <w:rPr>
          <w:rFonts w:ascii="Arial" w:hAnsi="Arial" w:cs="Arial"/>
          <w:sz w:val="28"/>
          <w:szCs w:val="28"/>
          <w:u w:val="single"/>
        </w:rPr>
      </w:pPr>
      <w:r w:rsidRPr="00637BDE">
        <w:rPr>
          <w:rFonts w:ascii="Arial" w:hAnsi="Arial" w:cs="Arial"/>
          <w:noProof/>
          <w:sz w:val="28"/>
          <w:szCs w:val="28"/>
          <w:u w:val="single"/>
        </w:rPr>
        <mc:AlternateContent>
          <mc:Choice Requires="wpi">
            <w:drawing>
              <wp:anchor distT="0" distB="0" distL="114300" distR="114300" simplePos="0" relativeHeight="251724800" behindDoc="0" locked="0" layoutInCell="1" allowOverlap="1" wp14:anchorId="65737A8E" wp14:editId="1A3178F9">
                <wp:simplePos x="0" y="0"/>
                <wp:positionH relativeFrom="column">
                  <wp:posOffset>6816725</wp:posOffset>
                </wp:positionH>
                <wp:positionV relativeFrom="paragraph">
                  <wp:posOffset>170815</wp:posOffset>
                </wp:positionV>
                <wp:extent cx="74295" cy="73660"/>
                <wp:effectExtent l="101600" t="104140" r="90805" b="88900"/>
                <wp:wrapNone/>
                <wp:docPr id="108164355" name="Ink 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6">
                      <w14:nvContentPartPr>
                        <w14:cNvContentPartPr>
                          <a14:cpLocks xmlns:a14="http://schemas.microsoft.com/office/drawing/2010/main" noRot="1" noChangeAspect="1" noEditPoints="1" noChangeArrowheads="1" noChangeShapeType="1"/>
                        </w14:cNvContentPartPr>
                      </w14:nvContentPartPr>
                      <w14:xfrm>
                        <a:off x="0" y="0"/>
                        <a:ext cx="74295" cy="73660"/>
                      </w14:xfrm>
                    </w14:contentPart>
                  </a:graphicData>
                </a:graphic>
                <wp14:sizeRelH relativeFrom="page">
                  <wp14:pctWidth>0</wp14:pctWidth>
                </wp14:sizeRelH>
                <wp14:sizeRelV relativeFrom="page">
                  <wp14:pctHeight>0</wp14:pctHeight>
                </wp14:sizeRelV>
              </wp:anchor>
            </w:drawing>
          </mc:Choice>
          <mc:Fallback>
            <w:pict>
              <v:shape w14:anchorId="11AD31DE" id="Ink 4" o:spid="_x0000_s1026" type="#_x0000_t75" style="position:absolute;margin-left:533.25pt;margin-top:9.25pt;width:12.8pt;height:14.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">
                <v:imagedata r:id="rId107" o:title=""/>
                <o:lock v:ext="edit" rotation="t" verticies="t" shapetype="t"/>
              </v:shape>
            </w:pict>
          </mc:Fallback>
        </mc:AlternateContent>
      </w:r>
    </w:p>
    <w:p w14:paraId="492C4DBA"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Assessment Techniques</w:t>
      </w:r>
    </w:p>
    <w:p w14:paraId="43AEB050"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Göncü and Gauvain, (2018) suggests the traditional evaluation techniques might not work well with the play-based learning approach. Think about implementing assessment techniques which prioritise qualitative perspectives, records, and observation. Practitioners can acquire a thorough understanding of child development and adjust support by documenting the subtle aspects of their play experiences.</w:t>
      </w:r>
    </w:p>
    <w:p w14:paraId="1FAEBB71" w14:textId="77777777" w:rsidR="00EE3CB4" w:rsidRPr="00637BDE" w:rsidRDefault="00EE3CB4" w:rsidP="00EE3CB4">
      <w:pPr>
        <w:spacing w:line="360" w:lineRule="auto"/>
        <w:rPr>
          <w:rFonts w:ascii="Arial" w:hAnsi="Arial" w:cs="Arial"/>
          <w:sz w:val="28"/>
          <w:szCs w:val="28"/>
        </w:rPr>
      </w:pPr>
    </w:p>
    <w:p w14:paraId="0D599161"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Taking Adaptability and Flexibility Into Account</w:t>
      </w:r>
    </w:p>
    <w:p w14:paraId="402AF9F9"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 xml:space="preserve">Wood (2013) implies that because play is ever-changing, practitioners must be responsive and flexible in their methods. Adaptations to the curriculum may be necessary in light of the children's changing interests and needs. </w:t>
      </w:r>
    </w:p>
    <w:p w14:paraId="4BC4A717" w14:textId="77777777" w:rsidR="00EE3CB4" w:rsidRPr="00637BDE" w:rsidRDefault="00EE3CB4" w:rsidP="00EE3CB4">
      <w:pPr>
        <w:spacing w:line="360" w:lineRule="auto"/>
        <w:rPr>
          <w:rFonts w:ascii="Arial" w:hAnsi="Arial" w:cs="Arial"/>
          <w:sz w:val="28"/>
          <w:szCs w:val="28"/>
        </w:rPr>
      </w:pPr>
    </w:p>
    <w:p w14:paraId="524AEAD5" w14:textId="77777777" w:rsidR="00EE3CB4" w:rsidRDefault="00EE3CB4" w:rsidP="00EE3CB4">
      <w:pPr>
        <w:spacing w:line="360" w:lineRule="auto"/>
        <w:rPr>
          <w:rFonts w:ascii="Arial" w:hAnsi="Arial" w:cs="Arial"/>
          <w:sz w:val="28"/>
          <w:szCs w:val="28"/>
        </w:rPr>
      </w:pPr>
      <w:r w:rsidRPr="00637BDE">
        <w:rPr>
          <w:rFonts w:ascii="Arial" w:hAnsi="Arial" w:cs="Arial"/>
          <w:sz w:val="28"/>
          <w:szCs w:val="28"/>
        </w:rPr>
        <w:t>Jones (2018) and Nutbrown (2014) suggest frequent reflection and collaboration between practitioners facilitates continuous improvement, to help guaranteeing that the curriculum stays responsive to the individual characteristics of each student.</w:t>
      </w:r>
    </w:p>
    <w:p w14:paraId="1F1FC02D" w14:textId="77777777" w:rsidR="00EE3CB4" w:rsidRPr="00637BDE" w:rsidRDefault="00EE3CB4" w:rsidP="00EE3CB4">
      <w:pPr>
        <w:spacing w:line="360" w:lineRule="auto"/>
        <w:rPr>
          <w:rFonts w:ascii="Arial" w:hAnsi="Arial" w:cs="Arial"/>
          <w:sz w:val="28"/>
          <w:szCs w:val="28"/>
        </w:rPr>
      </w:pPr>
    </w:p>
    <w:p w14:paraId="201C4D2D"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noProof/>
          <w:sz w:val="28"/>
          <w:szCs w:val="28"/>
          <w:u w:val="single"/>
        </w:rPr>
        <mc:AlternateContent>
          <mc:Choice Requires="wpi">
            <w:drawing>
              <wp:anchor distT="0" distB="0" distL="114300" distR="114300" simplePos="0" relativeHeight="251725824" behindDoc="0" locked="0" layoutInCell="1" allowOverlap="1" wp14:anchorId="76FAA4B2" wp14:editId="088D425E">
                <wp:simplePos x="0" y="0"/>
                <wp:positionH relativeFrom="column">
                  <wp:posOffset>-1441450</wp:posOffset>
                </wp:positionH>
                <wp:positionV relativeFrom="paragraph">
                  <wp:posOffset>72390</wp:posOffset>
                </wp:positionV>
                <wp:extent cx="72390" cy="72390"/>
                <wp:effectExtent l="101600" t="100965" r="92710" b="93345"/>
                <wp:wrapNone/>
                <wp:docPr id="148672216" name="Ink 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8">
                      <w14:nvContentPartPr>
                        <w14:cNvContentPartPr>
                          <a14:cpLocks xmlns:a14="http://schemas.microsoft.com/office/drawing/2010/main" noRot="1" noChangeAspect="1" noEditPoints="1" noChangeArrowheads="1" noChangeShapeType="1"/>
                        </w14:cNvContentPartPr>
                      </w14:nvContentPartPr>
                      <w14:xfrm>
                        <a:off x="0" y="0"/>
                        <a:ext cx="72390" cy="72390"/>
                      </w14:xfrm>
                    </w14:contentPart>
                  </a:graphicData>
                </a:graphic>
                <wp14:sizeRelH relativeFrom="page">
                  <wp14:pctWidth>0</wp14:pctWidth>
                </wp14:sizeRelH>
                <wp14:sizeRelV relativeFrom="page">
                  <wp14:pctHeight>0</wp14:pctHeight>
                </wp14:sizeRelV>
              </wp:anchor>
            </w:drawing>
          </mc:Choice>
          <mc:Fallback>
            <w:pict>
              <v:shape w14:anchorId="7B8F836A" id="Ink 3" o:spid="_x0000_s1026" type="#_x0000_t75" style="position:absolute;margin-left:-683.5pt;margin-top:-564.3pt;width:1140pt;height:1140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">
                <v:imagedata r:id="rId109" o:title=""/>
                <o:lock v:ext="edit" rotation="t" verticies="t" shapetype="t"/>
              </v:shape>
            </w:pict>
          </mc:Fallback>
        </mc:AlternateContent>
      </w:r>
      <w:r w:rsidRPr="00637BDE">
        <w:rPr>
          <w:rFonts w:ascii="Arial" w:hAnsi="Arial" w:cs="Arial"/>
          <w:sz w:val="28"/>
          <w:szCs w:val="28"/>
          <w:u w:val="single"/>
        </w:rPr>
        <w:t>Carefully Including Technology</w:t>
      </w:r>
    </w:p>
    <w:p w14:paraId="78C96E1E"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Paciga and Donohue, (2019</w:t>
      </w:r>
      <w:r w:rsidRPr="00637BDE">
        <w:rPr>
          <w:rFonts w:ascii="Arial" w:hAnsi="Arial" w:cs="Arial"/>
          <w:noProof/>
          <w:sz w:val="28"/>
          <w:szCs w:val="28"/>
        </w:rPr>
        <mc:AlternateContent>
          <mc:Choice Requires="wpi">
            <w:drawing>
              <wp:anchor distT="0" distB="0" distL="114300" distR="114300" simplePos="0" relativeHeight="251727872" behindDoc="0" locked="0" layoutInCell="1" allowOverlap="1" wp14:anchorId="2E37D3CF" wp14:editId="2EC586DD">
                <wp:simplePos x="0" y="0"/>
                <wp:positionH relativeFrom="column">
                  <wp:posOffset>-1369695</wp:posOffset>
                </wp:positionH>
                <wp:positionV relativeFrom="paragraph">
                  <wp:posOffset>-451485</wp:posOffset>
                </wp:positionV>
                <wp:extent cx="160655" cy="1435735"/>
                <wp:effectExtent l="97155" t="81915" r="94615" b="92075"/>
                <wp:wrapNone/>
                <wp:docPr id="119742329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0">
                      <w14:nvContentPartPr>
                        <w14:cNvContentPartPr>
                          <a14:cpLocks xmlns:a14="http://schemas.microsoft.com/office/drawing/2010/main" noRot="1" noChangeAspect="1" noEditPoints="1" noChangeArrowheads="1" noChangeShapeType="1"/>
                        </w14:cNvContentPartPr>
                      </w14:nvContentPartPr>
                      <w14:xfrm>
                        <a:off x="0" y="0"/>
                        <a:ext cx="160655" cy="1435735"/>
                      </w14:xfrm>
                    </w14:contentPart>
                  </a:graphicData>
                </a:graphic>
                <wp14:sizeRelH relativeFrom="page">
                  <wp14:pctWidth>0</wp14:pctWidth>
                </wp14:sizeRelH>
                <wp14:sizeRelV relativeFrom="page">
                  <wp14:pctHeight>0</wp14:pctHeight>
                </wp14:sizeRelV>
              </wp:anchor>
            </w:drawing>
          </mc:Choice>
          <mc:Fallback>
            <w:pict>
              <v:shape w14:anchorId="2088B58F" id="Ink 2" o:spid="_x0000_s1026" type="#_x0000_t75" style="position:absolute;margin-left:-110.7pt;margin-top:-38.4pt;width:18.3pt;height:118.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">
                <v:imagedata r:id="rId111" o:title=""/>
                <o:lock v:ext="edit" rotation="t" verticies="t" shapetype="t"/>
              </v:shape>
            </w:pict>
          </mc:Fallback>
        </mc:AlternateContent>
      </w:r>
      <w:r w:rsidRPr="00637BDE">
        <w:rPr>
          <w:rFonts w:ascii="Arial" w:hAnsi="Arial" w:cs="Arial"/>
          <w:noProof/>
          <w:sz w:val="28"/>
          <w:szCs w:val="28"/>
        </w:rPr>
        <mc:AlternateContent>
          <mc:Choice Requires="wpi">
            <w:drawing>
              <wp:anchor distT="0" distB="0" distL="114300" distR="114300" simplePos="0" relativeHeight="251726848" behindDoc="0" locked="0" layoutInCell="1" allowOverlap="1" wp14:anchorId="6AD39DE1" wp14:editId="535CB986">
                <wp:simplePos x="0" y="0"/>
                <wp:positionH relativeFrom="column">
                  <wp:posOffset>-1338580</wp:posOffset>
                </wp:positionH>
                <wp:positionV relativeFrom="paragraph">
                  <wp:posOffset>473710</wp:posOffset>
                </wp:positionV>
                <wp:extent cx="72390" cy="72390"/>
                <wp:effectExtent l="99695" t="102235" r="94615" b="92075"/>
                <wp:wrapNone/>
                <wp:docPr id="1778863317"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2">
                      <w14:nvContentPartPr>
                        <w14:cNvContentPartPr>
                          <a14:cpLocks xmlns:a14="http://schemas.microsoft.com/office/drawing/2010/main" noRot="1" noChangeAspect="1" noEditPoints="1" noChangeArrowheads="1" noChangeShapeType="1"/>
                        </w14:cNvContentPartPr>
                      </w14:nvContentPartPr>
                      <w14:xfrm>
                        <a:off x="0" y="0"/>
                        <a:ext cx="72390" cy="72390"/>
                      </w14:xfrm>
                    </w14:contentPart>
                  </a:graphicData>
                </a:graphic>
                <wp14:sizeRelH relativeFrom="page">
                  <wp14:pctWidth>0</wp14:pctWidth>
                </wp14:sizeRelH>
                <wp14:sizeRelV relativeFrom="page">
                  <wp14:pctHeight>0</wp14:pctHeight>
                </wp14:sizeRelV>
              </wp:anchor>
            </w:drawing>
          </mc:Choice>
          <mc:Fallback>
            <w:pict>
              <v:shape w14:anchorId="02043DCF" id="Ink 1" o:spid="_x0000_s1026" type="#_x0000_t75" style="position:absolute;margin-left:-675.4pt;margin-top:-532.7pt;width:1140pt;height:1140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">
                <v:imagedata r:id="rId113" o:title=""/>
                <o:lock v:ext="edit" rotation="t" verticies="t" shapetype="t"/>
              </v:shape>
            </w:pict>
          </mc:Fallback>
        </mc:AlternateContent>
      </w:r>
      <w:r w:rsidRPr="00637BDE">
        <w:rPr>
          <w:rFonts w:ascii="Arial" w:hAnsi="Arial" w:cs="Arial"/>
          <w:sz w:val="28"/>
          <w:szCs w:val="28"/>
        </w:rPr>
        <w:t>)</w:t>
      </w:r>
      <w:bookmarkStart w:id="7" w:name="_Hlk156762238"/>
      <w:r w:rsidRPr="00637BDE">
        <w:rPr>
          <w:rFonts w:ascii="Arial" w:hAnsi="Arial" w:cs="Arial"/>
          <w:sz w:val="28"/>
          <w:szCs w:val="28"/>
        </w:rPr>
        <w:t xml:space="preserve"> and Wang and Looi, (2017) </w:t>
      </w:r>
      <w:bookmarkEnd w:id="7"/>
      <w:r w:rsidRPr="00637BDE">
        <w:rPr>
          <w:rFonts w:ascii="Arial" w:hAnsi="Arial" w:cs="Arial"/>
          <w:sz w:val="28"/>
          <w:szCs w:val="28"/>
        </w:rPr>
        <w:t>discuss that in the era of digitalization, play-based learning can be improved through careful incorporation of technology. They suggest practitioners should think about using interactive resources, multimedia, and apps for learning that support curriculum objectives. Nonetheless, in order to preserve a balance that enhances rather than takes the place of hands-on play experiences, a purposeful and careful perspective is important.</w:t>
      </w:r>
    </w:p>
    <w:p w14:paraId="62926CA2" w14:textId="77777777" w:rsidR="00EE3CB4" w:rsidRPr="00637BDE" w:rsidRDefault="00EE3CB4" w:rsidP="00EE3CB4">
      <w:pPr>
        <w:spacing w:line="360" w:lineRule="auto"/>
        <w:rPr>
          <w:rFonts w:ascii="Arial" w:hAnsi="Arial" w:cs="Arial"/>
          <w:sz w:val="28"/>
          <w:szCs w:val="28"/>
        </w:rPr>
      </w:pPr>
    </w:p>
    <w:p w14:paraId="265E66E2"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t>Management and awareness</w:t>
      </w:r>
    </w:p>
    <w:p w14:paraId="0E9DB263"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According to Isbell and Raines (2014) and Fleer and Hammer, (2015) management and awareness are critical for the effective implementation of play-based curricula in educational settings. They imply in order to establish an environment where morals act as an effective instrument for learning, managers are essential. This entails giving continual assistance, resources, and chances for professional development in order to maintain the dedication to play-based learning for example as discussed earlier, training opportunities to ensure practitioners remain knowledgeable and ensure they are focusing on relevant learning subjects.</w:t>
      </w:r>
    </w:p>
    <w:p w14:paraId="52D141FA" w14:textId="77777777" w:rsidR="00EE3CB4" w:rsidRPr="00637BDE" w:rsidRDefault="00EE3CB4" w:rsidP="00EE3CB4">
      <w:pPr>
        <w:spacing w:line="360" w:lineRule="auto"/>
        <w:rPr>
          <w:rFonts w:ascii="Arial" w:hAnsi="Arial" w:cs="Arial"/>
          <w:sz w:val="28"/>
          <w:szCs w:val="28"/>
          <w:u w:val="single"/>
        </w:rPr>
      </w:pPr>
      <w:r w:rsidRPr="00637BDE">
        <w:rPr>
          <w:rFonts w:ascii="Arial" w:hAnsi="Arial" w:cs="Arial"/>
          <w:sz w:val="28"/>
          <w:szCs w:val="28"/>
          <w:u w:val="single"/>
        </w:rPr>
        <w:lastRenderedPageBreak/>
        <w:t>Promoting Inclusivity and Diversity</w:t>
      </w:r>
    </w:p>
    <w:p w14:paraId="40DCEEA2" w14:textId="77777777" w:rsidR="00EE3CB4" w:rsidRPr="00637BDE" w:rsidRDefault="00EE3CB4" w:rsidP="00EE3CB4">
      <w:pPr>
        <w:spacing w:line="360" w:lineRule="auto"/>
        <w:rPr>
          <w:rFonts w:ascii="Arial" w:hAnsi="Arial" w:cs="Arial"/>
          <w:sz w:val="28"/>
          <w:szCs w:val="28"/>
        </w:rPr>
      </w:pPr>
      <w:r w:rsidRPr="00637BDE">
        <w:rPr>
          <w:rFonts w:ascii="Arial" w:hAnsi="Arial" w:cs="Arial"/>
          <w:sz w:val="28"/>
          <w:szCs w:val="28"/>
        </w:rPr>
        <w:t>Roopnarine and Johnson, (2018) and Dunphy, (2018) suggests an inclusive and diverse curriculum should be emphasised through play. The diverse cultures, ethnicities, and ability levels of children should be reflected in educational resources, tasks, and environments. Within the learning community, practitioners foster a sense of understanding, respect, and belonging by establishing an inclusive environment.</w:t>
      </w:r>
    </w:p>
    <w:p w14:paraId="54F64564" w14:textId="27461C07" w:rsidR="00EE3CB4" w:rsidRPr="003A1F88" w:rsidRDefault="00EE3CB4" w:rsidP="00424A05">
      <w:pPr>
        <w:spacing w:line="360" w:lineRule="auto"/>
        <w:rPr>
          <w:rFonts w:ascii="Arial" w:hAnsi="Arial" w:cs="Arial"/>
          <w:sz w:val="28"/>
          <w:szCs w:val="28"/>
        </w:rPr>
      </w:pPr>
      <w:r w:rsidRPr="00637BDE">
        <w:rPr>
          <w:rFonts w:ascii="Arial" w:hAnsi="Arial" w:cs="Arial"/>
          <w:sz w:val="28"/>
          <w:szCs w:val="28"/>
        </w:rPr>
        <w:t>In summary, the transition to a play-based curriculum is both innovative and stimulating. Practitioners may overcome the challenges and take advantage of the chances for growth presented by curriculum changes by carefully assessing their own professional development, creating purposeful spaces for learning, aligning them with developmental milestones, involving families, using methods for assessment, being flexible, integrating technology, promoting diversity and inclusivity, and being committed to diversity and inclusivity. We are establishing the path for a future class of learners who are not simply academically successful but also innovative, inquisitive, and prepared for a lifetime of meaningful achievement as we celebrate the fundamentals of play in early childhood education.</w:t>
      </w:r>
    </w:p>
    <w:p w14:paraId="33FD283E" w14:textId="77777777" w:rsidR="00424A05" w:rsidRDefault="00424A05" w:rsidP="00424A05">
      <w:pPr>
        <w:spacing w:before="240" w:after="0"/>
      </w:pPr>
    </w:p>
    <w:p w14:paraId="3B12FD17" w14:textId="77777777" w:rsidR="00424A05" w:rsidRDefault="00424A05" w:rsidP="00424A05">
      <w:pPr>
        <w:spacing w:before="240" w:after="0"/>
      </w:pPr>
    </w:p>
    <w:p w14:paraId="05023074" w14:textId="77777777" w:rsidR="00424A05" w:rsidRDefault="00424A05" w:rsidP="00424A05">
      <w:pPr>
        <w:spacing w:before="240" w:after="0"/>
      </w:pPr>
    </w:p>
    <w:p w14:paraId="466C462F" w14:textId="77777777" w:rsidR="00424A05" w:rsidRDefault="00424A05" w:rsidP="00424A05">
      <w:pPr>
        <w:spacing w:before="240" w:after="0"/>
      </w:pPr>
    </w:p>
    <w:p w14:paraId="5C00B503" w14:textId="77777777" w:rsidR="00424A05" w:rsidRDefault="00424A05" w:rsidP="00424A05">
      <w:pPr>
        <w:spacing w:before="240" w:after="0"/>
      </w:pPr>
    </w:p>
    <w:p w14:paraId="3761FF47" w14:textId="77777777" w:rsidR="00424A05" w:rsidRDefault="00424A05" w:rsidP="00424A05">
      <w:pPr>
        <w:spacing w:before="240" w:after="0"/>
      </w:pPr>
    </w:p>
    <w:p w14:paraId="3593D3AC" w14:textId="77777777" w:rsidR="00424A05" w:rsidRDefault="00424A05" w:rsidP="00424A05">
      <w:pPr>
        <w:spacing w:before="240" w:after="0"/>
      </w:pPr>
    </w:p>
    <w:p w14:paraId="74498D19" w14:textId="5F6A89C3" w:rsidR="00EE3CB4" w:rsidRDefault="00EE3CB4" w:rsidP="00424A05">
      <w:pPr>
        <w:spacing w:before="240" w:after="0"/>
        <w:rPr>
          <w:rFonts w:ascii="Arial" w:hAnsi="Arial" w:cs="Arial"/>
          <w:sz w:val="28"/>
          <w:szCs w:val="28"/>
          <w:u w:val="single"/>
        </w:rPr>
      </w:pPr>
      <w:r w:rsidRPr="00EE3CB4">
        <w:rPr>
          <w:rFonts w:ascii="Arial" w:hAnsi="Arial" w:cs="Arial"/>
          <w:sz w:val="28"/>
          <w:szCs w:val="28"/>
          <w:u w:val="single"/>
        </w:rPr>
        <w:lastRenderedPageBreak/>
        <w:t>Reference List</w:t>
      </w:r>
    </w:p>
    <w:p w14:paraId="0210F270" w14:textId="77777777" w:rsidR="00F8759E" w:rsidRDefault="00F8759E" w:rsidP="00424A05">
      <w:pPr>
        <w:spacing w:before="240" w:after="0"/>
        <w:rPr>
          <w:rFonts w:ascii="Arial" w:hAnsi="Arial" w:cs="Arial"/>
          <w:sz w:val="28"/>
          <w:szCs w:val="28"/>
          <w:u w:val="single"/>
        </w:rPr>
      </w:pPr>
    </w:p>
    <w:p w14:paraId="776AAA1F" w14:textId="77777777" w:rsidR="00F8759E" w:rsidRPr="005B5F4F" w:rsidRDefault="00F8759E" w:rsidP="00F8759E">
      <w:pPr>
        <w:spacing w:line="360" w:lineRule="auto"/>
        <w:rPr>
          <w:rFonts w:ascii="Arial" w:hAnsi="Arial" w:cs="Arial"/>
          <w:b/>
          <w:bCs/>
          <w:sz w:val="28"/>
          <w:szCs w:val="28"/>
          <w:u w:val="single"/>
        </w:rPr>
      </w:pPr>
      <w:bookmarkStart w:id="8" w:name="_Hlk156770396"/>
      <w:r w:rsidRPr="005B5F4F">
        <w:rPr>
          <w:rFonts w:ascii="Arial" w:hAnsi="Arial" w:cs="Arial"/>
          <w:sz w:val="28"/>
          <w:szCs w:val="28"/>
        </w:rPr>
        <w:t>Aubrey, K., and Alison, R., (2022) Understanding and Using Educational Theories. 3</w:t>
      </w:r>
      <w:r w:rsidRPr="005B5F4F">
        <w:rPr>
          <w:rFonts w:ascii="Arial" w:hAnsi="Arial" w:cs="Arial"/>
          <w:sz w:val="28"/>
          <w:szCs w:val="28"/>
          <w:vertAlign w:val="superscript"/>
        </w:rPr>
        <w:t>rd</w:t>
      </w:r>
      <w:r w:rsidRPr="005B5F4F">
        <w:rPr>
          <w:rFonts w:ascii="Arial" w:hAnsi="Arial" w:cs="Arial"/>
          <w:sz w:val="28"/>
          <w:szCs w:val="28"/>
        </w:rPr>
        <w:t xml:space="preserve"> Edition. Sage Publicatons. </w:t>
      </w:r>
    </w:p>
    <w:p w14:paraId="520D4CC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Bassok, D., Latham, S., and Rorem, A. (2016). Is Kindergarten the New First Grade? AERA Open, 2(1), 2332858415616358.</w:t>
      </w:r>
    </w:p>
    <w:p w14:paraId="6347C00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Bennett, J., and Smilan, C. (2014) "The Power of Play: Building Skills and Having Fun." Exchange, 215, 16-21.</w:t>
      </w:r>
    </w:p>
    <w:p w14:paraId="529E431A" w14:textId="77777777" w:rsidR="00F8759E" w:rsidRPr="005B5F4F" w:rsidRDefault="00F8759E" w:rsidP="00F8759E">
      <w:pPr>
        <w:spacing w:line="360" w:lineRule="auto"/>
        <w:rPr>
          <w:rFonts w:ascii="Arial" w:hAnsi="Arial" w:cs="Arial"/>
          <w:sz w:val="28"/>
          <w:szCs w:val="28"/>
        </w:rPr>
      </w:pPr>
      <w:bookmarkStart w:id="9" w:name="_Hlk156761693"/>
      <w:r w:rsidRPr="005B5F4F">
        <w:rPr>
          <w:rFonts w:ascii="Arial" w:hAnsi="Arial" w:cs="Arial"/>
          <w:sz w:val="28"/>
          <w:szCs w:val="28"/>
        </w:rPr>
        <w:t xml:space="preserve">Bennett, S., and Glover, K. (2016) </w:t>
      </w:r>
      <w:bookmarkEnd w:id="9"/>
      <w:r w:rsidRPr="005B5F4F">
        <w:rPr>
          <w:rFonts w:ascii="Arial" w:hAnsi="Arial" w:cs="Arial"/>
          <w:sz w:val="28"/>
          <w:szCs w:val="28"/>
        </w:rPr>
        <w:t>Children, Technology and Culture: The Impact of Technologies in Children’s Everyday Lives. Palgrave Macmillan.</w:t>
      </w:r>
    </w:p>
    <w:p w14:paraId="1C811AA2"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Berger, K. S. (2014). Developing Person Through Childhood and Adolescence. Macmillan.</w:t>
      </w:r>
    </w:p>
    <w:p w14:paraId="1FE778B1"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Berk, L. E . (2009) Child Development. Pearson Education.</w:t>
      </w:r>
    </w:p>
    <w:p w14:paraId="0E0DEED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Berk, L. E., and Meyers, A. B., (2013) The Role of Make-Believe Play in the Development of Executive Function: Status of Research and Future Directions. American Journal of Play, 6(1), 98-110.</w:t>
      </w:r>
    </w:p>
    <w:p w14:paraId="4790DEC9" w14:textId="77777777" w:rsidR="00F8759E" w:rsidRPr="005B5F4F" w:rsidRDefault="00F8759E" w:rsidP="00F8759E">
      <w:pPr>
        <w:spacing w:line="360" w:lineRule="auto"/>
        <w:rPr>
          <w:rFonts w:ascii="Arial" w:hAnsi="Arial" w:cs="Arial"/>
          <w:sz w:val="28"/>
          <w:szCs w:val="28"/>
        </w:rPr>
      </w:pPr>
      <w:bookmarkStart w:id="10" w:name="_Hlk156768567"/>
      <w:r w:rsidRPr="005B5F4F">
        <w:rPr>
          <w:rFonts w:ascii="Arial" w:hAnsi="Arial" w:cs="Arial"/>
          <w:sz w:val="28"/>
          <w:szCs w:val="28"/>
        </w:rPr>
        <w:t>Berk, L. E., and Meyers, A. B., (2015</w:t>
      </w:r>
      <w:bookmarkEnd w:id="10"/>
      <w:r w:rsidRPr="005B5F4F">
        <w:rPr>
          <w:rFonts w:ascii="Arial" w:hAnsi="Arial" w:cs="Arial"/>
          <w:sz w:val="28"/>
          <w:szCs w:val="28"/>
        </w:rPr>
        <w:t>) Infants. Children, and Adolescents. Pearson</w:t>
      </w:r>
    </w:p>
    <w:p w14:paraId="1BBFAAB3" w14:textId="77777777" w:rsidR="00F8759E" w:rsidRPr="005B5F4F" w:rsidRDefault="00F8759E" w:rsidP="00F8759E">
      <w:pPr>
        <w:spacing w:line="360" w:lineRule="auto"/>
        <w:rPr>
          <w:rFonts w:ascii="Arial" w:hAnsi="Arial" w:cs="Arial"/>
          <w:sz w:val="28"/>
          <w:szCs w:val="28"/>
        </w:rPr>
      </w:pPr>
      <w:bookmarkStart w:id="11" w:name="_Hlk156761002"/>
      <w:r w:rsidRPr="005B5F4F">
        <w:rPr>
          <w:rFonts w:ascii="Arial" w:hAnsi="Arial" w:cs="Arial"/>
          <w:sz w:val="28"/>
          <w:szCs w:val="28"/>
        </w:rPr>
        <w:t xml:space="preserve">Bland, D. (2015) </w:t>
      </w:r>
      <w:bookmarkEnd w:id="11"/>
      <w:r w:rsidRPr="005B5F4F">
        <w:rPr>
          <w:rFonts w:ascii="Arial" w:hAnsi="Arial" w:cs="Arial"/>
          <w:sz w:val="28"/>
          <w:szCs w:val="28"/>
        </w:rPr>
        <w:t>The Power of Teacher Teams: With Cases, Analyses, and Strategies for Success. Corwin Press.</w:t>
      </w:r>
    </w:p>
    <w:p w14:paraId="23045B2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Bodrova, E., and Leong, D.  J., (2007) Tools of the Mind: The Vygotskian Approach to Early Childhood Education.</w:t>
      </w:r>
    </w:p>
    <w:p w14:paraId="792A0E5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Bradbury, A., and Swailes, R,. (2022) Early Childhood Theories Today. 1</w:t>
      </w:r>
      <w:r w:rsidRPr="005B5F4F">
        <w:rPr>
          <w:rFonts w:ascii="Arial" w:hAnsi="Arial" w:cs="Arial"/>
          <w:sz w:val="28"/>
          <w:szCs w:val="28"/>
          <w:vertAlign w:val="superscript"/>
        </w:rPr>
        <w:t>st</w:t>
      </w:r>
      <w:r w:rsidRPr="005B5F4F">
        <w:rPr>
          <w:rFonts w:ascii="Arial" w:hAnsi="Arial" w:cs="Arial"/>
          <w:sz w:val="28"/>
          <w:szCs w:val="28"/>
        </w:rPr>
        <w:t xml:space="preserve"> Edition. Learning Matters. </w:t>
      </w:r>
    </w:p>
    <w:p w14:paraId="5D74B5EF" w14:textId="77777777" w:rsidR="00F8759E" w:rsidRPr="005B5F4F" w:rsidRDefault="00F8759E" w:rsidP="00F8759E">
      <w:pPr>
        <w:spacing w:line="360" w:lineRule="auto"/>
        <w:rPr>
          <w:rFonts w:ascii="Arial" w:hAnsi="Arial" w:cs="Arial"/>
          <w:sz w:val="28"/>
          <w:szCs w:val="28"/>
        </w:rPr>
      </w:pPr>
      <w:bookmarkStart w:id="12" w:name="_Hlk156765220"/>
      <w:r w:rsidRPr="005B5F4F">
        <w:rPr>
          <w:rFonts w:ascii="Arial" w:hAnsi="Arial" w:cs="Arial"/>
          <w:sz w:val="28"/>
          <w:szCs w:val="28"/>
        </w:rPr>
        <w:lastRenderedPageBreak/>
        <w:t xml:space="preserve">Bredekamp, S., and Rosegrant, T., (2014) </w:t>
      </w:r>
      <w:bookmarkEnd w:id="12"/>
      <w:r w:rsidRPr="005B5F4F">
        <w:rPr>
          <w:rFonts w:ascii="Arial" w:hAnsi="Arial" w:cs="Arial"/>
          <w:sz w:val="28"/>
          <w:szCs w:val="28"/>
        </w:rPr>
        <w:t>Reaching Potentials: Transforming Early Childhood Curriculum and Assessment, Volume 2. National Association for the Education of Young Children (NAEYC).</w:t>
      </w:r>
    </w:p>
    <w:p w14:paraId="617470C2"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Brooker, L., and Edwards, S. (2016) Engaging Play and Learning: Fostering Children's Interactions and Participation in Early Childhood Settings. Routledge.</w:t>
      </w:r>
    </w:p>
    <w:p w14:paraId="4B16A1A3" w14:textId="77777777" w:rsidR="00F8759E" w:rsidRPr="005B5F4F" w:rsidRDefault="00F8759E" w:rsidP="00F8759E">
      <w:pPr>
        <w:spacing w:line="360" w:lineRule="auto"/>
        <w:rPr>
          <w:rFonts w:ascii="Arial" w:hAnsi="Arial" w:cs="Arial"/>
          <w:sz w:val="28"/>
          <w:szCs w:val="28"/>
        </w:rPr>
      </w:pPr>
      <w:bookmarkStart w:id="13" w:name="_Hlk156767455"/>
      <w:bookmarkStart w:id="14" w:name="_Hlk156767636"/>
      <w:r w:rsidRPr="005B5F4F">
        <w:rPr>
          <w:rFonts w:ascii="Arial" w:hAnsi="Arial" w:cs="Arial"/>
          <w:sz w:val="28"/>
          <w:szCs w:val="28"/>
        </w:rPr>
        <w:t xml:space="preserve">Brooker, L., and Edwards, S. (2018) </w:t>
      </w:r>
      <w:bookmarkEnd w:id="14"/>
      <w:r w:rsidRPr="005B5F4F">
        <w:rPr>
          <w:rFonts w:ascii="Arial" w:hAnsi="Arial" w:cs="Arial"/>
          <w:sz w:val="28"/>
          <w:szCs w:val="28"/>
        </w:rPr>
        <w:t>Engaging Play: Fostering Children's Learning and Wellbeing. Open University Press.</w:t>
      </w:r>
    </w:p>
    <w:bookmarkEnd w:id="13"/>
    <w:p w14:paraId="3E43B7E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Brooker, L., et al., (2014). Engaging with Student Experience in the Early Years. Springer.</w:t>
      </w:r>
    </w:p>
    <w:p w14:paraId="46F373B5"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Brostrom, S., (2018) The Importance of Play. In K. Rpsengren, Y. D. O. Burman, &amp; J. Quarsell. (Eds.), Play and Learning in Early Childhood Settings: International Perspectives (pp. 3-16). Springer.</w:t>
      </w:r>
    </w:p>
    <w:p w14:paraId="04AACF95"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Bruce, T. (2011) Learning Through Play: For Babies, Toddlers, and Young Children. Hodder Education.</w:t>
      </w:r>
    </w:p>
    <w:p w14:paraId="27EA3F07"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Charlesworth, R., and Lind, K. K. (2010) Math and Science for Young Children. Cengage Learning.</w:t>
      </w:r>
    </w:p>
    <w:p w14:paraId="6080B659"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Clements, D. H., and Sarama, J., (2011) Early Childhood Mathematics Intervention. Science, 333(6045), 968-970.</w:t>
      </w:r>
    </w:p>
    <w:p w14:paraId="44E0671F"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Conkbayir, M., and Pascal, S. (2014) Early Childhood Theories and Contemporary Issues, An Introduction. Bloomsbury.</w:t>
      </w:r>
    </w:p>
    <w:p w14:paraId="6FE0F497"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Copple, C., &amp; Bredekamp, S. (2009). Developmentally Appropriate Practice in Early Childhood Programs Serving Children from Birth through Age 8. National Association for the Education of Young Children (NAEYC).</w:t>
      </w:r>
    </w:p>
    <w:p w14:paraId="24142703"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lastRenderedPageBreak/>
        <w:t>Corsaro, W. A . (2014) The Sociology of Childhood. Sage Publications.</w:t>
      </w:r>
    </w:p>
    <w:p w14:paraId="34297622" w14:textId="77777777" w:rsidR="00F8759E" w:rsidRPr="005B5F4F" w:rsidRDefault="00F8759E" w:rsidP="00F8759E">
      <w:pPr>
        <w:spacing w:line="360" w:lineRule="auto"/>
        <w:rPr>
          <w:rFonts w:ascii="Arial" w:hAnsi="Arial" w:cs="Arial"/>
          <w:sz w:val="28"/>
          <w:szCs w:val="28"/>
        </w:rPr>
      </w:pPr>
      <w:bookmarkStart w:id="15" w:name="_Hlk156766582"/>
      <w:r w:rsidRPr="005B5F4F">
        <w:rPr>
          <w:rFonts w:ascii="Arial" w:hAnsi="Arial" w:cs="Arial"/>
          <w:sz w:val="28"/>
          <w:szCs w:val="28"/>
        </w:rPr>
        <w:t>Dichtelmiller, M. L. et al., (2011</w:t>
      </w:r>
      <w:bookmarkEnd w:id="15"/>
      <w:r w:rsidRPr="005B5F4F">
        <w:rPr>
          <w:rFonts w:ascii="Arial" w:hAnsi="Arial" w:cs="Arial"/>
          <w:sz w:val="28"/>
          <w:szCs w:val="28"/>
        </w:rPr>
        <w:t>). Handbook of Early Childhood Special Education. Guilford Press.</w:t>
      </w:r>
    </w:p>
    <w:p w14:paraId="35A5BA3D"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Dockett, S., and Perry, B. (2014) Transitions to School: Perceptions, Expectations, and Experiences (2nd ed.). Oxford University Press.</w:t>
      </w:r>
    </w:p>
    <w:p w14:paraId="31E67F5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Drew, W. F., and Karklin, M. L. (2016) The Power of Play: A Research Summary on Play and Learning. National Institute for Early Education Research (NIEER).</w:t>
      </w:r>
    </w:p>
    <w:p w14:paraId="72B0FE61"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Drummond, M. J., and Cockerill, M. (2014). Observation in Early Childhood Education and Care. Routledge.</w:t>
      </w:r>
    </w:p>
    <w:p w14:paraId="0B1BC926"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Duffy, G., and Crosby, J. (2012) Reaching Standards and Beyond in Kindergarten: Nurturing Children's Sense of Wonder and Joy in Learning. Corwin Press.</w:t>
      </w:r>
    </w:p>
    <w:p w14:paraId="44007EA9" w14:textId="77777777" w:rsidR="00F8759E" w:rsidRPr="005B5F4F" w:rsidRDefault="00F8759E" w:rsidP="00F8759E">
      <w:pPr>
        <w:spacing w:line="360" w:lineRule="auto"/>
        <w:rPr>
          <w:rFonts w:ascii="Arial" w:hAnsi="Arial" w:cs="Arial"/>
          <w:sz w:val="28"/>
          <w:szCs w:val="28"/>
        </w:rPr>
      </w:pPr>
      <w:bookmarkStart w:id="16" w:name="_Hlk156770201"/>
      <w:r w:rsidRPr="005B5F4F">
        <w:rPr>
          <w:rFonts w:ascii="Arial" w:hAnsi="Arial" w:cs="Arial"/>
          <w:sz w:val="28"/>
          <w:szCs w:val="28"/>
        </w:rPr>
        <w:t xml:space="preserve">Dunphy, E. (2018) </w:t>
      </w:r>
      <w:bookmarkEnd w:id="16"/>
      <w:r w:rsidRPr="005B5F4F">
        <w:rPr>
          <w:rFonts w:ascii="Arial" w:hAnsi="Arial" w:cs="Arial"/>
          <w:sz w:val="28"/>
          <w:szCs w:val="28"/>
        </w:rPr>
        <w:t>"Inclusive Early Childhood Education: Development, Resources, and Practice." Cengage Learning.</w:t>
      </w:r>
    </w:p>
    <w:p w14:paraId="6207FAA6"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 xml:space="preserve">Dunst, C. J., and Hamby, D. W. (2012) Guide to Practice-Based Professional Development for Early Childhood Practitioners: The Model of Practice-Research Synthesis. SISEP. </w:t>
      </w:r>
    </w:p>
    <w:p w14:paraId="6727A9A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Eadie, P. A., and Burton, L. J. (2018). Developing Reflective Practice: A Guide for Beginning Teachers. Routledge</w:t>
      </w:r>
    </w:p>
    <w:p w14:paraId="77A4C628"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Eberle, S. G. (2013) The Elements of Play: Toward a Philosophy and a Definition of Play. American Journal of Play, 6(2), 214-233.</w:t>
      </w:r>
    </w:p>
    <w:p w14:paraId="0752DFD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Edwards, C., Gandini, L., and Forman, G., (2012). The Hundred Languages of Children: The Reggio Emilia Experience in Transformation (3rd ed.). Teachers College Press.</w:t>
      </w:r>
    </w:p>
    <w:p w14:paraId="1162504A" w14:textId="77777777" w:rsidR="00F8759E" w:rsidRPr="005B5F4F" w:rsidRDefault="00F8759E" w:rsidP="00F8759E">
      <w:pPr>
        <w:spacing w:line="360" w:lineRule="auto"/>
        <w:rPr>
          <w:rFonts w:ascii="Arial" w:hAnsi="Arial" w:cs="Arial"/>
          <w:sz w:val="28"/>
          <w:szCs w:val="28"/>
        </w:rPr>
      </w:pPr>
      <w:bookmarkStart w:id="17" w:name="_Hlk156758308"/>
      <w:r w:rsidRPr="005B5F4F">
        <w:rPr>
          <w:rFonts w:ascii="Arial" w:hAnsi="Arial" w:cs="Arial"/>
          <w:sz w:val="28"/>
          <w:szCs w:val="28"/>
        </w:rPr>
        <w:lastRenderedPageBreak/>
        <w:t xml:space="preserve">Elias, K., Berk,. L. E., and Repine, T. L., (2011) </w:t>
      </w:r>
      <w:bookmarkEnd w:id="17"/>
      <w:r w:rsidRPr="005B5F4F">
        <w:rPr>
          <w:rFonts w:ascii="Arial" w:hAnsi="Arial" w:cs="Arial"/>
          <w:sz w:val="28"/>
          <w:szCs w:val="28"/>
        </w:rPr>
        <w:t>Making a Case for Make-Believe: Engaging Preschoolers in Fantacy Play Facilitates Cognitive Flexibility. Journal of Cognitive Education and Psychology, 10(2), 189-201.</w:t>
      </w:r>
    </w:p>
    <w:p w14:paraId="03AEF32A" w14:textId="77777777" w:rsidR="00F8759E" w:rsidRPr="005B5F4F" w:rsidRDefault="00F8759E" w:rsidP="00F8759E">
      <w:pPr>
        <w:spacing w:line="360" w:lineRule="auto"/>
        <w:rPr>
          <w:rFonts w:ascii="Arial" w:hAnsi="Arial" w:cs="Arial"/>
          <w:sz w:val="28"/>
          <w:szCs w:val="28"/>
        </w:rPr>
      </w:pPr>
      <w:bookmarkStart w:id="18" w:name="_Hlk156769241"/>
      <w:r w:rsidRPr="005B5F4F">
        <w:rPr>
          <w:rFonts w:ascii="Arial" w:hAnsi="Arial" w:cs="Arial"/>
          <w:sz w:val="28"/>
          <w:szCs w:val="28"/>
        </w:rPr>
        <w:t xml:space="preserve">Epstein, J. L. (2011) </w:t>
      </w:r>
      <w:bookmarkEnd w:id="18"/>
      <w:r w:rsidRPr="005B5F4F">
        <w:rPr>
          <w:rFonts w:ascii="Arial" w:hAnsi="Arial" w:cs="Arial"/>
          <w:sz w:val="28"/>
          <w:szCs w:val="28"/>
        </w:rPr>
        <w:t>School, Family, and Community Partnerships: Preparing Educators and Improving Schools. Westview Press.</w:t>
      </w:r>
    </w:p>
    <w:p w14:paraId="69B34249"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Fleer, M., and Hammer, M. (2015) "Reconceptualising Play and Learning in the Lives of Young Children: A Cultural and Critical Perspective." Springer.</w:t>
      </w:r>
    </w:p>
    <w:p w14:paraId="1D02D4E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Fleet, A., and Patterson, C. (2010). Reflective Practice in the Early Years. SAGE Publications. Ridgway, A., &amp; Quinless, F. W. (2018). Reflective Playwork: For All Who Work with Children. Routledge.</w:t>
      </w:r>
    </w:p>
    <w:p w14:paraId="10AF128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Gandini, L., et al., (2005). In the Spirit of the Studio: Learning from the Atelier of Reggio Emilia (2nd ed.). Teachers College Press.</w:t>
      </w:r>
    </w:p>
    <w:p w14:paraId="27660EF2" w14:textId="77777777" w:rsidR="00F8759E" w:rsidRPr="005B5F4F" w:rsidRDefault="00F8759E" w:rsidP="00F8759E">
      <w:pPr>
        <w:spacing w:line="360" w:lineRule="auto"/>
        <w:rPr>
          <w:rFonts w:ascii="Arial" w:hAnsi="Arial" w:cs="Arial"/>
          <w:sz w:val="28"/>
          <w:szCs w:val="28"/>
        </w:rPr>
      </w:pPr>
      <w:bookmarkStart w:id="19" w:name="_Hlk156769162"/>
      <w:r w:rsidRPr="005B5F4F">
        <w:rPr>
          <w:rFonts w:ascii="Arial" w:hAnsi="Arial" w:cs="Arial"/>
          <w:sz w:val="28"/>
          <w:szCs w:val="28"/>
        </w:rPr>
        <w:t xml:space="preserve">Gartrell, D. (2017) </w:t>
      </w:r>
      <w:bookmarkEnd w:id="19"/>
      <w:r w:rsidRPr="005B5F4F">
        <w:rPr>
          <w:rFonts w:ascii="Arial" w:hAnsi="Arial" w:cs="Arial"/>
          <w:sz w:val="28"/>
          <w:szCs w:val="28"/>
        </w:rPr>
        <w:t>A Guidence Approach for The Encouraging Classroom. Cengage Learning.</w:t>
      </w:r>
    </w:p>
    <w:p w14:paraId="11582E36" w14:textId="77777777" w:rsidR="00F8759E" w:rsidRPr="005B5F4F" w:rsidRDefault="00F8759E" w:rsidP="00F8759E">
      <w:pPr>
        <w:spacing w:line="360" w:lineRule="auto"/>
        <w:rPr>
          <w:rFonts w:ascii="Arial" w:hAnsi="Arial" w:cs="Arial"/>
          <w:sz w:val="28"/>
          <w:szCs w:val="28"/>
        </w:rPr>
      </w:pPr>
      <w:bookmarkStart w:id="20" w:name="_Hlk156769025"/>
      <w:r w:rsidRPr="005B5F4F">
        <w:rPr>
          <w:rFonts w:ascii="Arial" w:hAnsi="Arial" w:cs="Arial"/>
          <w:sz w:val="28"/>
          <w:szCs w:val="28"/>
        </w:rPr>
        <w:t>Gestwicki, C. (2018</w:t>
      </w:r>
      <w:bookmarkEnd w:id="20"/>
      <w:r w:rsidRPr="005B5F4F">
        <w:rPr>
          <w:rFonts w:ascii="Arial" w:hAnsi="Arial" w:cs="Arial"/>
          <w:sz w:val="28"/>
          <w:szCs w:val="28"/>
        </w:rPr>
        <w:t>) "Developmentally Appropriate Practice: Curriculum and Development in Early Education." Cengage Learning.</w:t>
      </w:r>
    </w:p>
    <w:p w14:paraId="7EF18E5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Ginsburg, K. R., and Milteer, R. M., (2011) The Importance of Play in Promoting Healthy Child Development and Maintaining Strong Parent-Child Bonds. Pediatrics, 129(1), e204-e213.</w:t>
      </w:r>
    </w:p>
    <w:p w14:paraId="13EF1081"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Göncü, A., &amp; Gaskins, S. (2007). Play and Development: Evolutionary, Sociocultural, and Functional Perspectives. Psychology Press.</w:t>
      </w:r>
    </w:p>
    <w:p w14:paraId="5558D770" w14:textId="77777777" w:rsidR="00F8759E" w:rsidRPr="005B5F4F" w:rsidRDefault="00F8759E" w:rsidP="00F8759E">
      <w:pPr>
        <w:spacing w:line="360" w:lineRule="auto"/>
        <w:rPr>
          <w:rFonts w:ascii="Arial" w:hAnsi="Arial" w:cs="Arial"/>
          <w:sz w:val="28"/>
          <w:szCs w:val="28"/>
        </w:rPr>
      </w:pPr>
      <w:bookmarkStart w:id="21" w:name="_Hlk156769443"/>
      <w:r w:rsidRPr="005B5F4F">
        <w:rPr>
          <w:rFonts w:ascii="Arial" w:hAnsi="Arial" w:cs="Arial"/>
          <w:sz w:val="28"/>
          <w:szCs w:val="28"/>
        </w:rPr>
        <w:t>Göncü, A., &amp; Gauvain, M. (2018) "</w:t>
      </w:r>
      <w:bookmarkEnd w:id="21"/>
      <w:r w:rsidRPr="005B5F4F">
        <w:rPr>
          <w:rFonts w:ascii="Arial" w:hAnsi="Arial" w:cs="Arial"/>
          <w:sz w:val="28"/>
          <w:szCs w:val="28"/>
        </w:rPr>
        <w:t>Cultural Guidance in the Development of the Child." Cambridge University Press.</w:t>
      </w:r>
    </w:p>
    <w:p w14:paraId="4C4DD4D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lastRenderedPageBreak/>
        <w:t>Göncü, A., and Gauvain, M. (2012) Play and Development: Evoluationary, Sociocultural, and Functional Perspectives. Psychology Press.</w:t>
      </w:r>
    </w:p>
    <w:p w14:paraId="60EAAD7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Greenman, J. (2003). Caring Spaces, Learning Places: Children's Environments That Work. Exchange Press.</w:t>
      </w:r>
    </w:p>
    <w:p w14:paraId="60EAAD7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Hirsh-Pasek, K., et al. (2009) A Mandate for Playful Learning in Preschool: Presenting the Evidence. Oxford University Press.</w:t>
      </w:r>
    </w:p>
    <w:p w14:paraId="260EAAD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Hirsh-Pasek, K., et al. (2015) Putting Education in “Educational” Apps: Lessons From the Science of Learning. Psychological Science in the Public Intrest, 16(1), 3-34.</w:t>
      </w:r>
    </w:p>
    <w:p w14:paraId="1BBDD64D"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Howard, J and McInnes, K (2013) The Essence of Play, A Practice Companion for Professionals Working with Children and Young People. Routledge. 1</w:t>
      </w:r>
      <w:r w:rsidRPr="005B5F4F">
        <w:rPr>
          <w:rFonts w:ascii="Arial" w:hAnsi="Arial" w:cs="Arial"/>
          <w:sz w:val="28"/>
          <w:szCs w:val="28"/>
          <w:vertAlign w:val="superscript"/>
        </w:rPr>
        <w:t>st</w:t>
      </w:r>
      <w:r w:rsidRPr="005B5F4F">
        <w:rPr>
          <w:rFonts w:ascii="Arial" w:hAnsi="Arial" w:cs="Arial"/>
          <w:sz w:val="28"/>
          <w:szCs w:val="28"/>
        </w:rPr>
        <w:t xml:space="preserve"> Edition.</w:t>
      </w:r>
    </w:p>
    <w:p w14:paraId="5CD2FEAB" w14:textId="77777777" w:rsidR="00F8759E" w:rsidRPr="005B5F4F" w:rsidRDefault="00F8759E" w:rsidP="00F8759E">
      <w:pPr>
        <w:spacing w:line="360" w:lineRule="auto"/>
        <w:rPr>
          <w:rFonts w:ascii="Arial" w:hAnsi="Arial" w:cs="Arial"/>
          <w:sz w:val="28"/>
          <w:szCs w:val="28"/>
        </w:rPr>
      </w:pPr>
      <w:bookmarkStart w:id="22" w:name="_Hlk156758061"/>
      <w:r w:rsidRPr="005B5F4F">
        <w:rPr>
          <w:rFonts w:ascii="Arial" w:hAnsi="Arial" w:cs="Arial"/>
          <w:sz w:val="28"/>
          <w:szCs w:val="28"/>
        </w:rPr>
        <w:t xml:space="preserve">Hughes, F. P (2013) </w:t>
      </w:r>
      <w:bookmarkEnd w:id="22"/>
      <w:r w:rsidRPr="005B5F4F">
        <w:rPr>
          <w:rFonts w:ascii="Arial" w:hAnsi="Arial" w:cs="Arial"/>
          <w:sz w:val="28"/>
          <w:szCs w:val="28"/>
        </w:rPr>
        <w:t>Children, Play, and Development. 4</w:t>
      </w:r>
      <w:r w:rsidRPr="005B5F4F">
        <w:rPr>
          <w:rFonts w:ascii="Arial" w:hAnsi="Arial" w:cs="Arial"/>
          <w:sz w:val="28"/>
          <w:szCs w:val="28"/>
          <w:vertAlign w:val="superscript"/>
        </w:rPr>
        <w:t>th</w:t>
      </w:r>
      <w:r w:rsidRPr="005B5F4F">
        <w:rPr>
          <w:rFonts w:ascii="Arial" w:hAnsi="Arial" w:cs="Arial"/>
          <w:sz w:val="28"/>
          <w:szCs w:val="28"/>
        </w:rPr>
        <w:t xml:space="preserve"> Edition. Sage Publications.</w:t>
      </w:r>
    </w:p>
    <w:p w14:paraId="2580D6E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Hyson, M. (2011). Enthusiastic and Engaged Learners: Approaches to Learning in the Early Childhood Classroom. Teachers College Press.</w:t>
      </w:r>
    </w:p>
    <w:p w14:paraId="5AC0AA77" w14:textId="77777777" w:rsidR="00F8759E" w:rsidRPr="005B5F4F" w:rsidRDefault="00F8759E" w:rsidP="00F8759E">
      <w:pPr>
        <w:spacing w:line="360" w:lineRule="auto"/>
        <w:rPr>
          <w:rFonts w:ascii="Arial" w:hAnsi="Arial" w:cs="Arial"/>
          <w:sz w:val="28"/>
          <w:szCs w:val="28"/>
        </w:rPr>
      </w:pPr>
      <w:bookmarkStart w:id="23" w:name="_Hlk156769904"/>
      <w:r w:rsidRPr="005B5F4F">
        <w:rPr>
          <w:rFonts w:ascii="Arial" w:hAnsi="Arial" w:cs="Arial"/>
          <w:sz w:val="28"/>
          <w:szCs w:val="28"/>
        </w:rPr>
        <w:t xml:space="preserve">Isbell, R., and Raines, S. (2014) </w:t>
      </w:r>
      <w:bookmarkEnd w:id="23"/>
      <w:r w:rsidRPr="005B5F4F">
        <w:rPr>
          <w:rFonts w:ascii="Arial" w:hAnsi="Arial" w:cs="Arial"/>
          <w:sz w:val="28"/>
          <w:szCs w:val="28"/>
        </w:rPr>
        <w:t>"Creativity and the Arts with Young Children." Cengage Learning.</w:t>
      </w:r>
    </w:p>
    <w:p w14:paraId="2C587591"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Isenberg, J. P., and Jalongo, M. R. (2019) Creative Thinking and Arts-Based Learning: Preschool Through Fourth Grade. Pearson.</w:t>
      </w:r>
    </w:p>
    <w:p w14:paraId="58A30973"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Jones, C. (2018) "Powerful Interactions: How to Connect with Children to Extend Their Learning." Brookes Publishing.</w:t>
      </w:r>
    </w:p>
    <w:p w14:paraId="01AE6F73"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Jones, E., &amp; Reynolds, G. (2011). The Play’s the Thing: Teachers’ Roles in Children’s Play. Teachers College Press.</w:t>
      </w:r>
    </w:p>
    <w:p w14:paraId="1BF64D1F" w14:textId="77777777" w:rsidR="00F8759E" w:rsidRPr="005B5F4F" w:rsidRDefault="00F8759E" w:rsidP="00F8759E">
      <w:pPr>
        <w:spacing w:line="360" w:lineRule="auto"/>
        <w:rPr>
          <w:rFonts w:ascii="Arial" w:hAnsi="Arial" w:cs="Arial"/>
          <w:sz w:val="28"/>
          <w:szCs w:val="28"/>
        </w:rPr>
      </w:pPr>
      <w:bookmarkStart w:id="24" w:name="_Hlk156767814"/>
      <w:r w:rsidRPr="005B5F4F">
        <w:rPr>
          <w:rFonts w:ascii="Arial" w:hAnsi="Arial" w:cs="Arial"/>
          <w:sz w:val="28"/>
          <w:szCs w:val="28"/>
        </w:rPr>
        <w:lastRenderedPageBreak/>
        <w:t>Kostelnik, M. J., et al., (2015) Developmentally Appropriate Curriculum: Best Practices in Early Childhood Education (7th ed.). Pearson.</w:t>
      </w:r>
    </w:p>
    <w:p w14:paraId="52F95689" w14:textId="77777777" w:rsidR="00F8759E" w:rsidRPr="005B5F4F" w:rsidRDefault="00F8759E" w:rsidP="00F8759E">
      <w:pPr>
        <w:spacing w:line="360" w:lineRule="auto"/>
        <w:rPr>
          <w:rFonts w:ascii="Arial" w:hAnsi="Arial" w:cs="Arial"/>
          <w:sz w:val="28"/>
          <w:szCs w:val="28"/>
        </w:rPr>
      </w:pPr>
      <w:bookmarkStart w:id="25" w:name="_Hlk156760450"/>
      <w:bookmarkEnd w:id="24"/>
      <w:r w:rsidRPr="005B5F4F">
        <w:rPr>
          <w:rFonts w:ascii="Arial" w:hAnsi="Arial" w:cs="Arial"/>
          <w:sz w:val="28"/>
          <w:szCs w:val="28"/>
        </w:rPr>
        <w:t xml:space="preserve">Ladd, G. W. (2005) </w:t>
      </w:r>
      <w:bookmarkEnd w:id="25"/>
      <w:r w:rsidRPr="005B5F4F">
        <w:rPr>
          <w:rFonts w:ascii="Arial" w:hAnsi="Arial" w:cs="Arial"/>
          <w:sz w:val="28"/>
          <w:szCs w:val="28"/>
        </w:rPr>
        <w:t>Children’s Peer Relations and Social Competence: A Century of Progress. Yale University Press.</w:t>
      </w:r>
    </w:p>
    <w:p w14:paraId="4279A00F" w14:textId="77777777" w:rsidR="00F8759E" w:rsidRPr="005B5F4F" w:rsidRDefault="00F8759E" w:rsidP="00F8759E">
      <w:pPr>
        <w:spacing w:line="360" w:lineRule="auto"/>
        <w:rPr>
          <w:rFonts w:ascii="Arial" w:hAnsi="Arial" w:cs="Arial"/>
          <w:sz w:val="28"/>
          <w:szCs w:val="28"/>
        </w:rPr>
      </w:pPr>
      <w:bookmarkStart w:id="26" w:name="_Hlk156759050"/>
      <w:r w:rsidRPr="005B5F4F">
        <w:rPr>
          <w:rFonts w:ascii="Arial" w:hAnsi="Arial" w:cs="Arial"/>
          <w:sz w:val="28"/>
          <w:szCs w:val="28"/>
        </w:rPr>
        <w:t xml:space="preserve">Landreth, G. L. (2012) </w:t>
      </w:r>
      <w:bookmarkEnd w:id="26"/>
      <w:r w:rsidRPr="005B5F4F">
        <w:rPr>
          <w:rFonts w:ascii="Arial" w:hAnsi="Arial" w:cs="Arial"/>
          <w:sz w:val="28"/>
          <w:szCs w:val="28"/>
        </w:rPr>
        <w:t>Play Therapy: The Act of the Relationship. 3</w:t>
      </w:r>
      <w:r w:rsidRPr="005B5F4F">
        <w:rPr>
          <w:rFonts w:ascii="Arial" w:hAnsi="Arial" w:cs="Arial"/>
          <w:sz w:val="28"/>
          <w:szCs w:val="28"/>
          <w:vertAlign w:val="superscript"/>
        </w:rPr>
        <w:t>rd</w:t>
      </w:r>
      <w:r w:rsidRPr="005B5F4F">
        <w:rPr>
          <w:rFonts w:ascii="Arial" w:hAnsi="Arial" w:cs="Arial"/>
          <w:sz w:val="28"/>
          <w:szCs w:val="28"/>
        </w:rPr>
        <w:t xml:space="preserve"> Edition. Routledge.</w:t>
      </w:r>
    </w:p>
    <w:p w14:paraId="4EFE3491" w14:textId="77777777" w:rsidR="00F8759E" w:rsidRPr="005B5F4F" w:rsidRDefault="00F8759E" w:rsidP="00F8759E">
      <w:pPr>
        <w:spacing w:line="360" w:lineRule="auto"/>
        <w:rPr>
          <w:rFonts w:ascii="Arial" w:hAnsi="Arial" w:cs="Arial"/>
          <w:sz w:val="28"/>
          <w:szCs w:val="28"/>
        </w:rPr>
      </w:pPr>
      <w:bookmarkStart w:id="27" w:name="_Hlk156759036"/>
      <w:r w:rsidRPr="005B5F4F">
        <w:rPr>
          <w:rFonts w:ascii="Arial" w:hAnsi="Arial" w:cs="Arial"/>
          <w:sz w:val="28"/>
          <w:szCs w:val="28"/>
        </w:rPr>
        <w:t xml:space="preserve">Levin, D. E., and Rosen, K. H. (2001) </w:t>
      </w:r>
      <w:bookmarkEnd w:id="27"/>
      <w:r w:rsidRPr="005B5F4F">
        <w:rPr>
          <w:rFonts w:ascii="Arial" w:hAnsi="Arial" w:cs="Arial"/>
          <w:sz w:val="28"/>
          <w:szCs w:val="28"/>
        </w:rPr>
        <w:t>The Arts and the Creation of Mind. Yale University Press.</w:t>
      </w:r>
    </w:p>
    <w:p w14:paraId="093385B5"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Lillard A. S. (2017) The Development of Play. The Routledge International Handbook of Young Children’s Thinking and Understanding. Routledge.</w:t>
      </w:r>
    </w:p>
    <w:p w14:paraId="189D1AD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Lillard et al., (2017) The Role of Pretend Play in Children’s Cognitive Development. Psychological Bulletin, 139(1), 1-34.</w:t>
      </w:r>
    </w:p>
    <w:p w14:paraId="5E1C6D45" w14:textId="77777777" w:rsidR="00F8759E" w:rsidRPr="005B5F4F" w:rsidRDefault="00F8759E" w:rsidP="00F8759E">
      <w:pPr>
        <w:spacing w:line="360" w:lineRule="auto"/>
        <w:rPr>
          <w:rFonts w:ascii="Arial" w:hAnsi="Arial" w:cs="Arial"/>
          <w:sz w:val="28"/>
          <w:szCs w:val="28"/>
        </w:rPr>
      </w:pPr>
      <w:bookmarkStart w:id="28" w:name="_Hlk156767729"/>
      <w:r w:rsidRPr="005B5F4F">
        <w:rPr>
          <w:rFonts w:ascii="Arial" w:hAnsi="Arial" w:cs="Arial"/>
          <w:sz w:val="28"/>
          <w:szCs w:val="28"/>
        </w:rPr>
        <w:t xml:space="preserve">Lillard, A. S., (2013) </w:t>
      </w:r>
      <w:bookmarkEnd w:id="28"/>
      <w:r w:rsidRPr="005B5F4F">
        <w:rPr>
          <w:rFonts w:ascii="Arial" w:hAnsi="Arial" w:cs="Arial"/>
          <w:sz w:val="28"/>
          <w:szCs w:val="28"/>
        </w:rPr>
        <w:t>Playful Learning and Montessori Education. American Journal of Play, 5(2), 157-186.</w:t>
      </w:r>
    </w:p>
    <w:p w14:paraId="0398D9DF"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Lillard, A. S., et al., (2013) The Impact of Pretend Play on Children’s Development: A Review of the Evidence. Psychological Bulletin, 139(1), 1–34.</w:t>
      </w:r>
    </w:p>
    <w:p w14:paraId="19EADF69" w14:textId="77777777" w:rsidR="00F8759E" w:rsidRPr="005B5F4F" w:rsidRDefault="00F8759E" w:rsidP="00F8759E">
      <w:pPr>
        <w:spacing w:line="360" w:lineRule="auto"/>
        <w:rPr>
          <w:rFonts w:ascii="Arial" w:hAnsi="Arial" w:cs="Arial"/>
          <w:sz w:val="28"/>
          <w:szCs w:val="28"/>
        </w:rPr>
      </w:pPr>
      <w:bookmarkStart w:id="29" w:name="_Hlk156759700"/>
      <w:r w:rsidRPr="005B5F4F">
        <w:rPr>
          <w:rFonts w:ascii="Arial" w:hAnsi="Arial" w:cs="Arial"/>
          <w:sz w:val="28"/>
          <w:szCs w:val="28"/>
        </w:rPr>
        <w:t>Macblain, S., (2022</w:t>
      </w:r>
      <w:bookmarkEnd w:id="29"/>
      <w:r w:rsidRPr="005B5F4F">
        <w:rPr>
          <w:rFonts w:ascii="Arial" w:hAnsi="Arial" w:cs="Arial"/>
          <w:sz w:val="28"/>
          <w:szCs w:val="28"/>
        </w:rPr>
        <w:t>) Learning Theories for Early Years Practice. 2</w:t>
      </w:r>
      <w:r w:rsidRPr="005B5F4F">
        <w:rPr>
          <w:rFonts w:ascii="Arial" w:hAnsi="Arial" w:cs="Arial"/>
          <w:sz w:val="28"/>
          <w:szCs w:val="28"/>
          <w:vertAlign w:val="superscript"/>
        </w:rPr>
        <w:t>nd</w:t>
      </w:r>
      <w:r w:rsidRPr="005B5F4F">
        <w:rPr>
          <w:rFonts w:ascii="Arial" w:hAnsi="Arial" w:cs="Arial"/>
          <w:sz w:val="28"/>
          <w:szCs w:val="28"/>
        </w:rPr>
        <w:t xml:space="preserve"> Edition</w:t>
      </w:r>
    </w:p>
    <w:p w14:paraId="628976BD"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Meisels, S. J., &amp; Atkins-Burnett, S. (2017) The elements of early childhood assessment: Tools for understanding children’s learning and behavior. Brookes Publishing.</w:t>
      </w:r>
    </w:p>
    <w:p w14:paraId="4E9D2852" w14:textId="77777777" w:rsidR="00F8759E" w:rsidRPr="005B5F4F" w:rsidRDefault="00F8759E" w:rsidP="00F8759E">
      <w:pPr>
        <w:spacing w:line="360" w:lineRule="auto"/>
        <w:rPr>
          <w:rFonts w:ascii="Arial" w:hAnsi="Arial" w:cs="Arial"/>
          <w:sz w:val="28"/>
          <w:szCs w:val="28"/>
        </w:rPr>
      </w:pPr>
      <w:bookmarkStart w:id="30" w:name="_Hlk156765057"/>
      <w:r w:rsidRPr="005B5F4F">
        <w:rPr>
          <w:rFonts w:ascii="Arial" w:hAnsi="Arial" w:cs="Arial"/>
          <w:sz w:val="28"/>
          <w:szCs w:val="28"/>
        </w:rPr>
        <w:t xml:space="preserve">Meisels, S. J., et al., (2015) </w:t>
      </w:r>
      <w:bookmarkEnd w:id="30"/>
      <w:r w:rsidRPr="005B5F4F">
        <w:rPr>
          <w:rFonts w:ascii="Arial" w:hAnsi="Arial" w:cs="Arial"/>
          <w:sz w:val="28"/>
          <w:szCs w:val="28"/>
        </w:rPr>
        <w:t>The Work Sampling System (7th ed.). Pearson.</w:t>
      </w:r>
    </w:p>
    <w:p w14:paraId="7E20AEB2"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lastRenderedPageBreak/>
        <w:t>Miller, L. (2018) Practical Approaches to Using Learning Styles in Higher Education. Routledge.</w:t>
      </w:r>
    </w:p>
    <w:p w14:paraId="46DAEBD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Moyles, J. (2014). The Excellence of Play (4th ed.). Open University Press.</w:t>
      </w:r>
    </w:p>
    <w:p w14:paraId="579720E0"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Moyles, J. (2014). The Excellence of Play (4th ed.). Open University Press.</w:t>
      </w:r>
    </w:p>
    <w:p w14:paraId="5BD515ED"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 xml:space="preserve">NAEYC, (2009) The Power of Play: A Research Summary on Play and Learning.  National Association for the Education of Young Children. </w:t>
      </w:r>
    </w:p>
    <w:p w14:paraId="18B71C29" w14:textId="77777777" w:rsidR="00F8759E" w:rsidRPr="005B5F4F" w:rsidRDefault="00F8759E" w:rsidP="00F8759E">
      <w:pPr>
        <w:spacing w:line="360" w:lineRule="auto"/>
        <w:rPr>
          <w:rFonts w:ascii="Arial" w:hAnsi="Arial" w:cs="Arial"/>
          <w:sz w:val="28"/>
          <w:szCs w:val="28"/>
        </w:rPr>
      </w:pPr>
      <w:bookmarkStart w:id="31" w:name="_Hlk156768512"/>
      <w:r w:rsidRPr="005B5F4F">
        <w:rPr>
          <w:rFonts w:ascii="Arial" w:hAnsi="Arial" w:cs="Arial"/>
          <w:sz w:val="28"/>
          <w:szCs w:val="28"/>
        </w:rPr>
        <w:t xml:space="preserve">Nutbrown, C. (2014) </w:t>
      </w:r>
      <w:bookmarkEnd w:id="31"/>
      <w:r w:rsidRPr="005B5F4F">
        <w:rPr>
          <w:rFonts w:ascii="Arial" w:hAnsi="Arial" w:cs="Arial"/>
          <w:sz w:val="28"/>
          <w:szCs w:val="28"/>
        </w:rPr>
        <w:t>"A National Treasure: Bronfenbrenner’s Bioecological Theory and the Changing Face of Early Years Pedagogy in England." Early Years, 34(3), 280–293.</w:t>
      </w:r>
    </w:p>
    <w:p w14:paraId="43C01C6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Nutbrown, C. (2014) "Key Concepts in Early Childhood Education and Care." Sage Publications.</w:t>
      </w:r>
    </w:p>
    <w:p w14:paraId="3C0F38A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Nutbrown, C., and Clough, P. (2009). Early Childhood Education: History, Philosophy and Experience. Sage Publications.</w:t>
      </w:r>
    </w:p>
    <w:p w14:paraId="2EFDE55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Nutbrown, C., and Clough, P. (2014) Early Childhood Education: History, Philosophy and Experience. Sage Publications</w:t>
      </w:r>
    </w:p>
    <w:p w14:paraId="5D551A8B"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observation in understanding social interactions.</w:t>
      </w:r>
    </w:p>
    <w:p w14:paraId="24E826B5" w14:textId="77777777" w:rsidR="00F8759E" w:rsidRPr="005B5F4F" w:rsidRDefault="00F8759E" w:rsidP="00F8759E">
      <w:pPr>
        <w:spacing w:line="360" w:lineRule="auto"/>
        <w:rPr>
          <w:rFonts w:ascii="Arial" w:hAnsi="Arial" w:cs="Arial"/>
          <w:sz w:val="28"/>
          <w:szCs w:val="28"/>
        </w:rPr>
      </w:pPr>
      <w:bookmarkStart w:id="32" w:name="_Hlk156769744"/>
      <w:r w:rsidRPr="005B5F4F">
        <w:rPr>
          <w:rFonts w:ascii="Arial" w:hAnsi="Arial" w:cs="Arial"/>
          <w:sz w:val="28"/>
          <w:szCs w:val="28"/>
        </w:rPr>
        <w:t>Paciga, K. A., and Donohue, C. (2019</w:t>
      </w:r>
      <w:bookmarkEnd w:id="32"/>
      <w:r w:rsidRPr="005B5F4F">
        <w:rPr>
          <w:rFonts w:ascii="Arial" w:hAnsi="Arial" w:cs="Arial"/>
          <w:sz w:val="28"/>
          <w:szCs w:val="28"/>
        </w:rPr>
        <w:t>) "Developing digital literacy in play-based early childhood education." Journal of Early Childhood Literacy, 19(1), 47-74.</w:t>
      </w:r>
    </w:p>
    <w:p w14:paraId="7921A9EB"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Pellegrini, A. D., and Holmes, R. M. (2006) The Role of Recess in Children’s Cognitive Performance and School Adjustment. Educational Researcher, 35(1), 13-19.</w:t>
      </w:r>
    </w:p>
    <w:p w14:paraId="1B80971B" w14:textId="77777777" w:rsidR="00F8759E" w:rsidRPr="005B5F4F" w:rsidRDefault="00F8759E" w:rsidP="00F8759E">
      <w:pPr>
        <w:spacing w:line="360" w:lineRule="auto"/>
        <w:rPr>
          <w:rFonts w:ascii="Arial" w:hAnsi="Arial" w:cs="Arial"/>
          <w:sz w:val="28"/>
          <w:szCs w:val="28"/>
        </w:rPr>
      </w:pPr>
      <w:bookmarkStart w:id="33" w:name="_Hlk156769331"/>
      <w:r w:rsidRPr="005B5F4F">
        <w:rPr>
          <w:rFonts w:ascii="Arial" w:hAnsi="Arial" w:cs="Arial"/>
          <w:sz w:val="28"/>
          <w:szCs w:val="28"/>
        </w:rPr>
        <w:lastRenderedPageBreak/>
        <w:t xml:space="preserve">Pomerleau, A., and Fortin, L. (2018) </w:t>
      </w:r>
      <w:bookmarkEnd w:id="33"/>
      <w:r w:rsidRPr="005B5F4F">
        <w:rPr>
          <w:rFonts w:ascii="Arial" w:hAnsi="Arial" w:cs="Arial"/>
          <w:sz w:val="28"/>
          <w:szCs w:val="28"/>
        </w:rPr>
        <w:t>"Inclusive Early Childhood Education: A Collaborative Approach." Canadian Scholars.</w:t>
      </w:r>
    </w:p>
    <w:p w14:paraId="2F31AEAB"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Pound, L. (2018) How Children Learn: From Montessori to Vygotsky—Educational Theories and Approaches Made Easy. Watkins Media.</w:t>
      </w:r>
    </w:p>
    <w:p w14:paraId="2006910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Pramling Samuelsson, I., and Johansson, E. (2018) "Educare, education and the pedagogical play model: An international perspective on research and practice." Springer.</w:t>
      </w:r>
    </w:p>
    <w:p w14:paraId="36F61774"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Pyle, A., and Danniels, E. (2017) Play, pedagogy, and teacher agency. International Journal of Early Childhood, 49(2), 257-270.</w:t>
      </w:r>
    </w:p>
    <w:p w14:paraId="19EE7E2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Rogers, S. S., and Sawyers, J. K. (2012) The Play’s the Thing: A Parent’s Guide to Children’s Play. Teachers College Press.</w:t>
      </w:r>
    </w:p>
    <w:p w14:paraId="6D6B77A9" w14:textId="77777777" w:rsidR="00F8759E" w:rsidRPr="005B5F4F" w:rsidRDefault="00F8759E" w:rsidP="00F8759E">
      <w:pPr>
        <w:spacing w:line="360" w:lineRule="auto"/>
        <w:rPr>
          <w:rFonts w:ascii="Arial" w:hAnsi="Arial" w:cs="Arial"/>
          <w:sz w:val="28"/>
          <w:szCs w:val="28"/>
        </w:rPr>
      </w:pPr>
      <w:bookmarkStart w:id="34" w:name="_Hlk156770145"/>
      <w:r w:rsidRPr="005B5F4F">
        <w:rPr>
          <w:rFonts w:ascii="Arial" w:hAnsi="Arial" w:cs="Arial"/>
          <w:sz w:val="28"/>
          <w:szCs w:val="28"/>
        </w:rPr>
        <w:t xml:space="preserve">Roopnarine, J. L., and Johnson, J. E. (2018) </w:t>
      </w:r>
      <w:bookmarkEnd w:id="34"/>
      <w:r w:rsidRPr="005B5F4F">
        <w:rPr>
          <w:rFonts w:ascii="Arial" w:hAnsi="Arial" w:cs="Arial"/>
          <w:sz w:val="28"/>
          <w:szCs w:val="28"/>
        </w:rPr>
        <w:t>"Play and child development." Routledge.</w:t>
      </w:r>
    </w:p>
    <w:p w14:paraId="4EDA7D23" w14:textId="77777777" w:rsidR="00F8759E" w:rsidRPr="005B5F4F" w:rsidRDefault="00F8759E" w:rsidP="00F8759E">
      <w:pPr>
        <w:spacing w:line="360" w:lineRule="auto"/>
        <w:rPr>
          <w:rFonts w:ascii="Arial" w:hAnsi="Arial" w:cs="Arial"/>
          <w:sz w:val="28"/>
          <w:szCs w:val="28"/>
        </w:rPr>
      </w:pPr>
      <w:bookmarkStart w:id="35" w:name="_Hlk156760366"/>
      <w:r w:rsidRPr="005B5F4F">
        <w:rPr>
          <w:rFonts w:ascii="Arial" w:hAnsi="Arial" w:cs="Arial"/>
          <w:sz w:val="28"/>
          <w:szCs w:val="28"/>
        </w:rPr>
        <w:t xml:space="preserve">Rubin, K. H., Bukowski, W. M., and Parker, J. G. (2006) </w:t>
      </w:r>
      <w:bookmarkEnd w:id="35"/>
      <w:r w:rsidRPr="005B5F4F">
        <w:rPr>
          <w:rFonts w:ascii="Arial" w:hAnsi="Arial" w:cs="Arial"/>
          <w:sz w:val="28"/>
          <w:szCs w:val="28"/>
        </w:rPr>
        <w:t>Peer Interactions, Relationships, and Groups. In N. Eisenberg (Ed.) Handbood of Child Psychology: Social, Emotional, and Personality Development. 6</w:t>
      </w:r>
      <w:r w:rsidRPr="005B5F4F">
        <w:rPr>
          <w:rFonts w:ascii="Arial" w:hAnsi="Arial" w:cs="Arial"/>
          <w:sz w:val="28"/>
          <w:szCs w:val="28"/>
          <w:vertAlign w:val="superscript"/>
        </w:rPr>
        <w:t>th</w:t>
      </w:r>
      <w:r w:rsidRPr="005B5F4F">
        <w:rPr>
          <w:rFonts w:ascii="Arial" w:hAnsi="Arial" w:cs="Arial"/>
          <w:sz w:val="28"/>
          <w:szCs w:val="28"/>
        </w:rPr>
        <w:t xml:space="preserve"> Edition. Wiley.</w:t>
      </w:r>
    </w:p>
    <w:p w14:paraId="2EFF938A"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Sandseter, E. B. H., and Sando, O. J., (2018) Children's Expressions of Emotions in Play. In Children's Play and Development (pp. 85–102). Springer.</w:t>
      </w:r>
    </w:p>
    <w:p w14:paraId="1DCBD739"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Santrock, J. W. (2017) Life-Span Development (16th ed.). McGraw-Hill Education.</w:t>
      </w:r>
    </w:p>
    <w:p w14:paraId="300C6120"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 xml:space="preserve">Siraj-Blatchford, I., (2009) Learning Though Play: A Review of the Evidence. Early Child Development and Care, 166(1), 85-104. </w:t>
      </w:r>
    </w:p>
    <w:p w14:paraId="65F6E409"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lastRenderedPageBreak/>
        <w:t>Smolik, F., and Duijnstee, M. S. H., (2019) Play in the zone of proximal development: Collaborative pretend play and the importance of reflective mediation. Mind, Culture, and Activity, 26(3), 242-256.</w:t>
      </w:r>
    </w:p>
    <w:p w14:paraId="4B971E30"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Snyder et al., (2015) Evaluation of the Classroom Practices Inventory: Measuring Preschool Classroom Practices. Topics in Early Childhood Special Education, 35(4), 244–255.</w:t>
      </w:r>
    </w:p>
    <w:p w14:paraId="7F6DE702"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cr/>
        <w:t>Tarr, P., and Bojovic, M. (2015). Learning Stories and the Reggio Emilia Approach: Possibilities and Limitations. Early Years: An International Journal of Research and Development, 35(1), 55–67.</w:t>
      </w:r>
    </w:p>
    <w:p w14:paraId="3644342F" w14:textId="77777777" w:rsidR="00F8759E" w:rsidRPr="005B5F4F" w:rsidRDefault="00F8759E" w:rsidP="00F8759E">
      <w:pPr>
        <w:spacing w:line="360" w:lineRule="auto"/>
        <w:rPr>
          <w:rFonts w:ascii="Arial" w:hAnsi="Arial" w:cs="Arial"/>
          <w:sz w:val="28"/>
          <w:szCs w:val="28"/>
        </w:rPr>
      </w:pPr>
      <w:bookmarkStart w:id="36" w:name="_Hlk156758789"/>
      <w:r w:rsidRPr="005B5F4F">
        <w:rPr>
          <w:rFonts w:ascii="Arial" w:hAnsi="Arial" w:cs="Arial"/>
          <w:sz w:val="28"/>
          <w:szCs w:val="28"/>
        </w:rPr>
        <w:t xml:space="preserve">Taylor, M., et al. (2004) </w:t>
      </w:r>
      <w:bookmarkEnd w:id="36"/>
      <w:r w:rsidRPr="005B5F4F">
        <w:rPr>
          <w:rFonts w:ascii="Arial" w:hAnsi="Arial" w:cs="Arial"/>
          <w:sz w:val="28"/>
          <w:szCs w:val="28"/>
        </w:rPr>
        <w:t>The Characteristics and Correlates of Fantasy in School-Age Children: Imaginary Companions, Impersonation, and Social Understanding. Developmental Psychology, 40(6), 1173-1187.</w:t>
      </w:r>
    </w:p>
    <w:p w14:paraId="7192BDA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Ursache, A., and Noble, K. G., (2016) Neurocognitive Development in Socioenomic context: Multipule Mechanisms and Imlications for Measuring Socioeconomic Status. Psychophysiology, 53(1), 71-82.</w:t>
      </w:r>
    </w:p>
    <w:p w14:paraId="25835E15"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Van Hemel, S. B., and Brown, S. (2014). Measuring What Matters Most: Choice-Based Assessments for the 21st Century. National Academies Press.</w:t>
      </w:r>
    </w:p>
    <w:p w14:paraId="3BBD0300"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Van Hoorn, J., et al. (2014) Play at the Centre of the Curriculum. Pearson Higher Education.</w:t>
      </w:r>
    </w:p>
    <w:p w14:paraId="5D28F9C1"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Wang, J., and Looi, C. K., (2017) Playful Learning in the Digital Age: A Cultural Ecological Perspective. Educational Technology Research and Development, 65(1), 1-3.</w:t>
      </w:r>
    </w:p>
    <w:p w14:paraId="08024A64" w14:textId="77777777" w:rsidR="00F8759E" w:rsidRPr="005B5F4F" w:rsidRDefault="00F8759E" w:rsidP="00F8759E">
      <w:pPr>
        <w:spacing w:line="360" w:lineRule="auto"/>
        <w:rPr>
          <w:rFonts w:ascii="Arial" w:hAnsi="Arial" w:cs="Arial"/>
          <w:sz w:val="28"/>
          <w:szCs w:val="28"/>
        </w:rPr>
      </w:pPr>
      <w:bookmarkStart w:id="37" w:name="_Hlk156762416"/>
      <w:r w:rsidRPr="005B5F4F">
        <w:rPr>
          <w:rFonts w:ascii="Arial" w:hAnsi="Arial" w:cs="Arial"/>
          <w:sz w:val="28"/>
          <w:szCs w:val="28"/>
        </w:rPr>
        <w:lastRenderedPageBreak/>
        <w:t xml:space="preserve">Wang, J., Tan, S. C., and Ho, C. M. L. (2018) </w:t>
      </w:r>
      <w:bookmarkEnd w:id="37"/>
      <w:r w:rsidRPr="005B5F4F">
        <w:rPr>
          <w:rFonts w:ascii="Arial" w:hAnsi="Arial" w:cs="Arial"/>
          <w:sz w:val="28"/>
          <w:szCs w:val="28"/>
        </w:rPr>
        <w:t>Bridging the Gap Between Play and Cultural Inclusiveness: A  Design-Based Research Approach. Educational Technology Research and Development, 66(2), 371-393.</w:t>
      </w:r>
    </w:p>
    <w:p w14:paraId="5AEC99AC"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 xml:space="preserve">Welsh Government (2022) Key Principles and Purpose of Assesment. Available at: </w:t>
      </w:r>
      <w:hyperlink r:id="rId114" w:history="1">
        <w:r w:rsidRPr="005B5F4F">
          <w:rPr>
            <w:rStyle w:val="Hyperlink"/>
            <w:rFonts w:ascii="Arial" w:hAnsi="Arial" w:cs="Arial"/>
            <w:color w:val="auto"/>
            <w:sz w:val="28"/>
            <w:szCs w:val="28"/>
          </w:rPr>
          <w:t>https://hwb.gov.wales/curriculum-for-wales/assessment-arrangements/supporting-learner-progression-assessment-guidance#key-principles-and-purpose-of-assessment</w:t>
        </w:r>
      </w:hyperlink>
      <w:r w:rsidRPr="005B5F4F">
        <w:rPr>
          <w:rFonts w:ascii="Arial" w:hAnsi="Arial" w:cs="Arial"/>
          <w:sz w:val="28"/>
          <w:szCs w:val="28"/>
        </w:rPr>
        <w:t xml:space="preserve"> (Accessed: 18</w:t>
      </w:r>
      <w:r w:rsidRPr="005B5F4F">
        <w:rPr>
          <w:rFonts w:ascii="Arial" w:hAnsi="Arial" w:cs="Arial"/>
          <w:sz w:val="28"/>
          <w:szCs w:val="28"/>
          <w:vertAlign w:val="superscript"/>
        </w:rPr>
        <w:t>th</w:t>
      </w:r>
      <w:r w:rsidRPr="005B5F4F">
        <w:rPr>
          <w:rFonts w:ascii="Arial" w:hAnsi="Arial" w:cs="Arial"/>
          <w:sz w:val="28"/>
          <w:szCs w:val="28"/>
        </w:rPr>
        <w:t xml:space="preserve"> December 2023)</w:t>
      </w:r>
    </w:p>
    <w:p w14:paraId="41D02FEE"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Wood, E. (2013) Play, Learning and The Early Childhood Curriculum. Sage Publications.</w:t>
      </w:r>
    </w:p>
    <w:p w14:paraId="6ACB8C22"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Woolfolk, A., (2014) Cognitive Development: Piaget’s Concrete Operations. Educational Psychology (14</w:t>
      </w:r>
      <w:r w:rsidRPr="005B5F4F">
        <w:rPr>
          <w:rFonts w:ascii="Arial" w:hAnsi="Arial" w:cs="Arial"/>
          <w:sz w:val="28"/>
          <w:szCs w:val="28"/>
          <w:vertAlign w:val="superscript"/>
        </w:rPr>
        <w:t>th</w:t>
      </w:r>
      <w:r w:rsidRPr="005B5F4F">
        <w:rPr>
          <w:rFonts w:ascii="Arial" w:hAnsi="Arial" w:cs="Arial"/>
          <w:sz w:val="28"/>
          <w:szCs w:val="28"/>
        </w:rPr>
        <w:t xml:space="preserve"> ed)  Pearson.</w:t>
      </w:r>
    </w:p>
    <w:p w14:paraId="1DCBE9EB" w14:textId="77777777" w:rsidR="00F8759E" w:rsidRPr="005B5F4F" w:rsidRDefault="00F8759E" w:rsidP="00F8759E">
      <w:pPr>
        <w:spacing w:line="360" w:lineRule="auto"/>
        <w:rPr>
          <w:rFonts w:ascii="Arial" w:hAnsi="Arial" w:cs="Arial"/>
          <w:sz w:val="28"/>
          <w:szCs w:val="28"/>
        </w:rPr>
      </w:pPr>
      <w:bookmarkStart w:id="38" w:name="_Hlk156764481"/>
      <w:r w:rsidRPr="005B5F4F">
        <w:rPr>
          <w:rFonts w:ascii="Arial" w:hAnsi="Arial" w:cs="Arial"/>
          <w:sz w:val="28"/>
          <w:szCs w:val="28"/>
        </w:rPr>
        <w:t xml:space="preserve">Wortham, S. C., and Hardin, B. J. (2015). </w:t>
      </w:r>
      <w:bookmarkEnd w:id="38"/>
      <w:r w:rsidRPr="005B5F4F">
        <w:rPr>
          <w:rFonts w:ascii="Arial" w:hAnsi="Arial" w:cs="Arial"/>
          <w:sz w:val="28"/>
          <w:szCs w:val="28"/>
        </w:rPr>
        <w:t>Assessment in Early Childhood Education. Pearson.</w:t>
      </w:r>
    </w:p>
    <w:p w14:paraId="32D98FB3" w14:textId="77777777" w:rsidR="00F8759E" w:rsidRPr="005B5F4F" w:rsidRDefault="00F8759E" w:rsidP="00F8759E">
      <w:pPr>
        <w:spacing w:line="360" w:lineRule="auto"/>
        <w:rPr>
          <w:rFonts w:ascii="Arial" w:hAnsi="Arial" w:cs="Arial"/>
          <w:sz w:val="28"/>
          <w:szCs w:val="28"/>
        </w:rPr>
      </w:pPr>
      <w:r w:rsidRPr="005B5F4F">
        <w:rPr>
          <w:rFonts w:ascii="Arial" w:hAnsi="Arial" w:cs="Arial"/>
          <w:sz w:val="28"/>
          <w:szCs w:val="28"/>
        </w:rPr>
        <w:t xml:space="preserve">Zosh, J et al. (2017) Learning Through Play: A Review of the Evidence. Available at: </w:t>
      </w:r>
      <w:hyperlink r:id="rId115" w:history="1">
        <w:r w:rsidRPr="005B5F4F">
          <w:rPr>
            <w:rStyle w:val="Hyperlink"/>
            <w:rFonts w:ascii="Arial" w:hAnsi="Arial" w:cs="Arial"/>
            <w:color w:val="auto"/>
            <w:sz w:val="28"/>
            <w:szCs w:val="28"/>
          </w:rPr>
          <w:t>https://akcesedukacja.pl/images/dokumenty-pdf/Insight_and_Research/LEGO-Foundation---Learning-through-play---review-of-evidence-2017.pdf</w:t>
        </w:r>
      </w:hyperlink>
      <w:r w:rsidRPr="005B5F4F">
        <w:rPr>
          <w:rFonts w:ascii="Arial" w:hAnsi="Arial" w:cs="Arial"/>
          <w:sz w:val="28"/>
          <w:szCs w:val="28"/>
        </w:rPr>
        <w:t xml:space="preserve"> Accessed : 19</w:t>
      </w:r>
      <w:r w:rsidRPr="005B5F4F">
        <w:rPr>
          <w:rFonts w:ascii="Arial" w:hAnsi="Arial" w:cs="Arial"/>
          <w:sz w:val="28"/>
          <w:szCs w:val="28"/>
          <w:vertAlign w:val="superscript"/>
        </w:rPr>
        <w:t>th</w:t>
      </w:r>
      <w:r w:rsidRPr="005B5F4F">
        <w:rPr>
          <w:rFonts w:ascii="Arial" w:hAnsi="Arial" w:cs="Arial"/>
          <w:sz w:val="28"/>
          <w:szCs w:val="28"/>
        </w:rPr>
        <w:t xml:space="preserve"> of Dec 2023 </w:t>
      </w:r>
      <w:bookmarkEnd w:id="8"/>
    </w:p>
    <w:p w14:paraId="19AC6F67" w14:textId="77777777" w:rsidR="00EE3CB4" w:rsidRPr="00EE3CB4" w:rsidRDefault="00EE3CB4" w:rsidP="00424A05">
      <w:pPr>
        <w:spacing w:before="240" w:after="0"/>
        <w:rPr>
          <w:rFonts w:ascii="Arial" w:hAnsi="Arial" w:cs="Arial"/>
          <w:sz w:val="28"/>
          <w:szCs w:val="28"/>
          <w:u w:val="single"/>
        </w:rPr>
      </w:pPr>
    </w:p>
    <w:p w14:paraId="62248D3C" w14:textId="77777777" w:rsidR="00EE3CB4" w:rsidRDefault="00EE3CB4" w:rsidP="00424A05">
      <w:pPr>
        <w:spacing w:before="240" w:after="0"/>
      </w:pPr>
    </w:p>
    <w:sectPr w:rsidR="00EE3CB4">
      <w:headerReference w:type="default" r:id="rId116"/>
      <w:footerReference w:type="default" r:id="rId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95131" w14:textId="77777777" w:rsidR="002D2EFD" w:rsidRDefault="002D2EFD" w:rsidP="009246FD">
      <w:pPr>
        <w:spacing w:after="0" w:line="240" w:lineRule="auto"/>
      </w:pPr>
      <w:r>
        <w:separator/>
      </w:r>
    </w:p>
  </w:endnote>
  <w:endnote w:type="continuationSeparator" w:id="0">
    <w:p w14:paraId="033A8CF4" w14:textId="77777777" w:rsidR="002D2EFD" w:rsidRDefault="002D2EFD" w:rsidP="00924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500657"/>
      <w:docPartObj>
        <w:docPartGallery w:val="Page Numbers (Bottom of Page)"/>
        <w:docPartUnique/>
      </w:docPartObj>
    </w:sdtPr>
    <w:sdtEndPr>
      <w:rPr>
        <w:noProof/>
      </w:rPr>
    </w:sdtEndPr>
    <w:sdtContent>
      <w:p w14:paraId="7F22D58B" w14:textId="7F2E910D" w:rsidR="009246FD" w:rsidRDefault="009246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0515B0" w14:textId="77777777" w:rsidR="009246FD" w:rsidRDefault="00924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232EF" w14:textId="77777777" w:rsidR="002D2EFD" w:rsidRDefault="002D2EFD" w:rsidP="009246FD">
      <w:pPr>
        <w:spacing w:after="0" w:line="240" w:lineRule="auto"/>
      </w:pPr>
      <w:r>
        <w:separator/>
      </w:r>
    </w:p>
  </w:footnote>
  <w:footnote w:type="continuationSeparator" w:id="0">
    <w:p w14:paraId="61EF663F" w14:textId="77777777" w:rsidR="002D2EFD" w:rsidRDefault="002D2EFD" w:rsidP="00924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88C57" w14:textId="006F9FA1" w:rsidR="009246FD" w:rsidRPr="009246FD" w:rsidRDefault="009246FD" w:rsidP="009246FD">
    <w:pPr>
      <w:pStyle w:val="breadcrumb-item"/>
      <w:shd w:val="clear" w:color="auto" w:fill="FFFFFF"/>
      <w:jc w:val="center"/>
      <w:rPr>
        <w:sz w:val="22"/>
        <w:szCs w:val="22"/>
      </w:rPr>
    </w:pPr>
    <w:r w:rsidRPr="009246FD">
      <w:rPr>
        <w:rFonts w:ascii="Arial" w:hAnsi="Arial" w:cs="Arial"/>
        <w:sz w:val="22"/>
        <w:szCs w:val="22"/>
        <w:u w:val="single"/>
      </w:rPr>
      <w:t>Student Name:</w:t>
    </w:r>
    <w:r w:rsidRPr="009246FD">
      <w:rPr>
        <w:rFonts w:ascii="Arial" w:hAnsi="Arial" w:cs="Arial"/>
        <w:sz w:val="22"/>
        <w:szCs w:val="22"/>
      </w:rPr>
      <w:t xml:space="preserve">Chloe Cowles  </w:t>
    </w:r>
    <w:r>
      <w:rPr>
        <w:rFonts w:ascii="Arial" w:hAnsi="Arial" w:cs="Arial"/>
        <w:sz w:val="22"/>
        <w:szCs w:val="22"/>
      </w:rPr>
      <w:t xml:space="preserve">   </w:t>
    </w:r>
    <w:r w:rsidRPr="009246FD">
      <w:rPr>
        <w:rFonts w:ascii="Arial" w:hAnsi="Arial" w:cs="Arial"/>
        <w:sz w:val="22"/>
        <w:szCs w:val="22"/>
      </w:rPr>
      <w:t xml:space="preserve"> </w:t>
    </w:r>
    <w:r>
      <w:rPr>
        <w:rFonts w:ascii="Arial" w:hAnsi="Arial" w:cs="Arial"/>
        <w:sz w:val="22"/>
        <w:szCs w:val="22"/>
      </w:rPr>
      <w:t xml:space="preserve">  </w:t>
    </w:r>
    <w:r w:rsidRPr="009246FD">
      <w:rPr>
        <w:rFonts w:ascii="Arial" w:hAnsi="Arial" w:cs="Arial"/>
        <w:sz w:val="22"/>
        <w:szCs w:val="22"/>
      </w:rPr>
      <w:t xml:space="preserve"> </w:t>
    </w:r>
    <w:r w:rsidRPr="009246FD">
      <w:rPr>
        <w:rFonts w:ascii="Arial" w:hAnsi="Arial" w:cs="Arial"/>
        <w:sz w:val="22"/>
        <w:szCs w:val="22"/>
        <w:u w:val="single"/>
      </w:rPr>
      <w:t>Module Code:</w:t>
    </w:r>
    <w:hyperlink r:id="rId1" w:tooltip="Early Years Curricula/Cwricwla Blynyddoedd Cynnar (ECEY6010/C)" w:history="1">
      <w:r w:rsidRPr="009246FD">
        <w:rPr>
          <w:rStyle w:val="Hyperlink"/>
          <w:rFonts w:ascii="Arial" w:eastAsiaTheme="majorEastAsia" w:hAnsi="Arial" w:cs="Arial"/>
          <w:color w:val="000000"/>
          <w:sz w:val="22"/>
          <w:szCs w:val="22"/>
          <w:u w:val="none"/>
        </w:rPr>
        <w:t>ECEY6010</w:t>
      </w:r>
    </w:hyperlink>
    <w:r w:rsidRPr="009246FD">
      <w:rPr>
        <w:rFonts w:ascii="Arial" w:hAnsi="Arial" w:cs="Arial"/>
        <w:color w:val="1D2125"/>
        <w:sz w:val="22"/>
        <w:szCs w:val="22"/>
      </w:rPr>
      <w:t xml:space="preserve">  </w:t>
    </w:r>
    <w:r>
      <w:rPr>
        <w:rFonts w:ascii="Arial" w:hAnsi="Arial" w:cs="Arial"/>
        <w:color w:val="1D2125"/>
        <w:sz w:val="22"/>
        <w:szCs w:val="22"/>
      </w:rPr>
      <w:t xml:space="preserve">       </w:t>
    </w:r>
    <w:r w:rsidRPr="009246FD">
      <w:rPr>
        <w:rFonts w:ascii="Arial" w:hAnsi="Arial" w:cs="Arial"/>
        <w:color w:val="1D2125"/>
        <w:sz w:val="22"/>
        <w:szCs w:val="22"/>
      </w:rPr>
      <w:t xml:space="preserve"> </w:t>
    </w:r>
    <w:r w:rsidRPr="009246FD">
      <w:rPr>
        <w:rFonts w:ascii="Arial" w:hAnsi="Arial" w:cs="Arial"/>
        <w:color w:val="1D2125"/>
        <w:sz w:val="22"/>
        <w:szCs w:val="22"/>
        <w:u w:val="single"/>
      </w:rPr>
      <w:t>Student number:</w:t>
    </w:r>
    <w:r w:rsidRPr="009246FD">
      <w:rPr>
        <w:rFonts w:ascii="Arial" w:hAnsi="Arial" w:cs="Arial"/>
        <w:color w:val="1D2125"/>
        <w:sz w:val="22"/>
        <w:szCs w:val="22"/>
      </w:rPr>
      <w:t xml:space="preserve"> 220510</w:t>
    </w:r>
    <w:r>
      <w:rPr>
        <w:rFonts w:ascii="Arial" w:hAnsi="Arial" w:cs="Arial"/>
        <w:color w:val="1D2125"/>
        <w:sz w:val="22"/>
        <w:szCs w:val="22"/>
      </w:rPr>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26C81"/>
    <w:multiLevelType w:val="multilevel"/>
    <w:tmpl w:val="BB96E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841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A05"/>
    <w:rsid w:val="002D2EFD"/>
    <w:rsid w:val="00424A05"/>
    <w:rsid w:val="009246FD"/>
    <w:rsid w:val="00EE3CB4"/>
    <w:rsid w:val="00F87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C5793"/>
  <w15:chartTrackingRefBased/>
  <w15:docId w15:val="{CD7F1519-5EB1-4E72-9A50-269A58693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A05"/>
  </w:style>
  <w:style w:type="paragraph" w:styleId="Heading1">
    <w:name w:val="heading 1"/>
    <w:basedOn w:val="Normal"/>
    <w:next w:val="Normal"/>
    <w:link w:val="Heading1Char"/>
    <w:uiPriority w:val="9"/>
    <w:qFormat/>
    <w:rsid w:val="00424A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A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A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A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A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A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A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A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A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A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A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A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A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A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A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A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A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A05"/>
    <w:rPr>
      <w:rFonts w:eastAsiaTheme="majorEastAsia" w:cstheme="majorBidi"/>
      <w:color w:val="272727" w:themeColor="text1" w:themeTint="D8"/>
    </w:rPr>
  </w:style>
  <w:style w:type="paragraph" w:styleId="Title">
    <w:name w:val="Title"/>
    <w:basedOn w:val="Normal"/>
    <w:next w:val="Normal"/>
    <w:link w:val="TitleChar"/>
    <w:uiPriority w:val="10"/>
    <w:qFormat/>
    <w:rsid w:val="00424A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A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A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A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A05"/>
    <w:pPr>
      <w:spacing w:before="160"/>
      <w:jc w:val="center"/>
    </w:pPr>
    <w:rPr>
      <w:i/>
      <w:iCs/>
      <w:color w:val="404040" w:themeColor="text1" w:themeTint="BF"/>
    </w:rPr>
  </w:style>
  <w:style w:type="character" w:customStyle="1" w:styleId="QuoteChar">
    <w:name w:val="Quote Char"/>
    <w:basedOn w:val="DefaultParagraphFont"/>
    <w:link w:val="Quote"/>
    <w:uiPriority w:val="29"/>
    <w:rsid w:val="00424A05"/>
    <w:rPr>
      <w:i/>
      <w:iCs/>
      <w:color w:val="404040" w:themeColor="text1" w:themeTint="BF"/>
    </w:rPr>
  </w:style>
  <w:style w:type="paragraph" w:styleId="ListParagraph">
    <w:name w:val="List Paragraph"/>
    <w:basedOn w:val="Normal"/>
    <w:uiPriority w:val="34"/>
    <w:qFormat/>
    <w:rsid w:val="00424A05"/>
    <w:pPr>
      <w:ind w:left="720"/>
      <w:contextualSpacing/>
    </w:pPr>
  </w:style>
  <w:style w:type="character" w:styleId="IntenseEmphasis">
    <w:name w:val="Intense Emphasis"/>
    <w:basedOn w:val="DefaultParagraphFont"/>
    <w:uiPriority w:val="21"/>
    <w:qFormat/>
    <w:rsid w:val="00424A05"/>
    <w:rPr>
      <w:i/>
      <w:iCs/>
      <w:color w:val="0F4761" w:themeColor="accent1" w:themeShade="BF"/>
    </w:rPr>
  </w:style>
  <w:style w:type="paragraph" w:styleId="IntenseQuote">
    <w:name w:val="Intense Quote"/>
    <w:basedOn w:val="Normal"/>
    <w:next w:val="Normal"/>
    <w:link w:val="IntenseQuoteChar"/>
    <w:uiPriority w:val="30"/>
    <w:qFormat/>
    <w:rsid w:val="00424A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A05"/>
    <w:rPr>
      <w:i/>
      <w:iCs/>
      <w:color w:val="0F4761" w:themeColor="accent1" w:themeShade="BF"/>
    </w:rPr>
  </w:style>
  <w:style w:type="character" w:styleId="IntenseReference">
    <w:name w:val="Intense Reference"/>
    <w:basedOn w:val="DefaultParagraphFont"/>
    <w:uiPriority w:val="32"/>
    <w:qFormat/>
    <w:rsid w:val="00424A05"/>
    <w:rPr>
      <w:b/>
      <w:bCs/>
      <w:smallCaps/>
      <w:color w:val="0F4761" w:themeColor="accent1" w:themeShade="BF"/>
      <w:spacing w:val="5"/>
    </w:rPr>
  </w:style>
  <w:style w:type="character" w:customStyle="1" w:styleId="normaltextrun">
    <w:name w:val="normaltextrun"/>
    <w:basedOn w:val="DefaultParagraphFont"/>
    <w:rsid w:val="00424A05"/>
  </w:style>
  <w:style w:type="character" w:styleId="Hyperlink">
    <w:name w:val="Hyperlink"/>
    <w:basedOn w:val="DefaultParagraphFont"/>
    <w:uiPriority w:val="99"/>
    <w:unhideWhenUsed/>
    <w:rsid w:val="00F8759E"/>
    <w:rPr>
      <w:color w:val="467886" w:themeColor="hyperlink"/>
      <w:u w:val="single"/>
    </w:rPr>
  </w:style>
  <w:style w:type="paragraph" w:styleId="Header">
    <w:name w:val="header"/>
    <w:basedOn w:val="Normal"/>
    <w:link w:val="HeaderChar"/>
    <w:uiPriority w:val="99"/>
    <w:unhideWhenUsed/>
    <w:rsid w:val="00924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6FD"/>
  </w:style>
  <w:style w:type="paragraph" w:styleId="Footer">
    <w:name w:val="footer"/>
    <w:basedOn w:val="Normal"/>
    <w:link w:val="FooterChar"/>
    <w:uiPriority w:val="99"/>
    <w:unhideWhenUsed/>
    <w:rsid w:val="00924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6FD"/>
  </w:style>
  <w:style w:type="paragraph" w:customStyle="1" w:styleId="breadcrumb-item">
    <w:name w:val="breadcrumb-item"/>
    <w:basedOn w:val="Normal"/>
    <w:rsid w:val="009246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4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117" Type="http://schemas.openxmlformats.org/officeDocument/2006/relationships/footer" Target="footer1.xml"/><Relationship Id="rId21" Type="http://schemas.openxmlformats.org/officeDocument/2006/relationships/image" Target="media/image7.png"/><Relationship Id="rId42" Type="http://schemas.openxmlformats.org/officeDocument/2006/relationships/image" Target="media/image17.png"/><Relationship Id="rId47" Type="http://schemas.openxmlformats.org/officeDocument/2006/relationships/customXml" Target="ink/ink22.xml"/><Relationship Id="rId63" Type="http://schemas.openxmlformats.org/officeDocument/2006/relationships/image" Target="media/image25.png"/><Relationship Id="rId68" Type="http://schemas.openxmlformats.org/officeDocument/2006/relationships/image" Target="media/image27.png"/><Relationship Id="rId84" Type="http://schemas.openxmlformats.org/officeDocument/2006/relationships/image" Target="media/image35.png"/><Relationship Id="rId89" Type="http://schemas.openxmlformats.org/officeDocument/2006/relationships/customXml" Target="ink/ink45.xml"/><Relationship Id="rId112" Type="http://schemas.openxmlformats.org/officeDocument/2006/relationships/customXml" Target="ink/ink58.xml"/><Relationship Id="rId16" Type="http://schemas.openxmlformats.org/officeDocument/2006/relationships/customXml" Target="ink/ink5.xml"/><Relationship Id="rId107" Type="http://schemas.openxmlformats.org/officeDocument/2006/relationships/image" Target="media/image45.png"/><Relationship Id="rId11" Type="http://schemas.openxmlformats.org/officeDocument/2006/relationships/image" Target="media/image2.png"/><Relationship Id="rId32" Type="http://schemas.openxmlformats.org/officeDocument/2006/relationships/image" Target="media/image12.png"/><Relationship Id="rId37" Type="http://schemas.openxmlformats.org/officeDocument/2006/relationships/customXml" Target="ink/ink16.xml"/><Relationship Id="rId53" Type="http://schemas.openxmlformats.org/officeDocument/2006/relationships/image" Target="media/image21.png"/><Relationship Id="rId58" Type="http://schemas.openxmlformats.org/officeDocument/2006/relationships/image" Target="media/image23.png"/><Relationship Id="rId74" Type="http://schemas.openxmlformats.org/officeDocument/2006/relationships/image" Target="media/image30.png"/><Relationship Id="rId79" Type="http://schemas.openxmlformats.org/officeDocument/2006/relationships/customXml" Target="ink/ink40.xml"/><Relationship Id="rId102" Type="http://schemas.openxmlformats.org/officeDocument/2006/relationships/customXml" Target="ink/ink53.xml"/><Relationship Id="rId5" Type="http://schemas.openxmlformats.org/officeDocument/2006/relationships/webSettings" Target="webSettings.xml"/><Relationship Id="rId90" Type="http://schemas.openxmlformats.org/officeDocument/2006/relationships/image" Target="media/image38.png"/><Relationship Id="rId95" Type="http://schemas.openxmlformats.org/officeDocument/2006/relationships/customXml" Target="ink/ink48.xml"/><Relationship Id="rId22" Type="http://schemas.openxmlformats.org/officeDocument/2006/relationships/customXml" Target="ink/ink8.xml"/><Relationship Id="rId27" Type="http://schemas.openxmlformats.org/officeDocument/2006/relationships/image" Target="media/image10.png"/><Relationship Id="rId43" Type="http://schemas.openxmlformats.org/officeDocument/2006/relationships/customXml" Target="ink/ink19.xml"/><Relationship Id="rId48" Type="http://schemas.openxmlformats.org/officeDocument/2006/relationships/image" Target="media/image19.png"/><Relationship Id="rId64" Type="http://schemas.openxmlformats.org/officeDocument/2006/relationships/customXml" Target="ink/ink32.xml"/><Relationship Id="rId69" Type="http://schemas.openxmlformats.org/officeDocument/2006/relationships/customXml" Target="ink/ink35.xml"/><Relationship Id="rId113" Type="http://schemas.openxmlformats.org/officeDocument/2006/relationships/image" Target="media/image48.png"/><Relationship Id="rId118" Type="http://schemas.openxmlformats.org/officeDocument/2006/relationships/fontTable" Target="fontTable.xml"/><Relationship Id="rId80" Type="http://schemas.openxmlformats.org/officeDocument/2006/relationships/image" Target="media/image33.png"/><Relationship Id="rId85" Type="http://schemas.openxmlformats.org/officeDocument/2006/relationships/customXml" Target="ink/ink43.xml"/><Relationship Id="rId12" Type="http://schemas.openxmlformats.org/officeDocument/2006/relationships/customXml" Target="ink/ink3.xml"/><Relationship Id="rId17" Type="http://schemas.openxmlformats.org/officeDocument/2006/relationships/image" Target="media/image5.png"/><Relationship Id="rId33" Type="http://schemas.openxmlformats.org/officeDocument/2006/relationships/customXml" Target="ink/ink14.xml"/><Relationship Id="rId38" Type="http://schemas.openxmlformats.org/officeDocument/2006/relationships/image" Target="media/image15.png"/><Relationship Id="rId59" Type="http://schemas.openxmlformats.org/officeDocument/2006/relationships/customXml" Target="ink/ink29.xml"/><Relationship Id="rId103" Type="http://schemas.openxmlformats.org/officeDocument/2006/relationships/image" Target="media/image43.png"/><Relationship Id="rId108" Type="http://schemas.openxmlformats.org/officeDocument/2006/relationships/customXml" Target="ink/ink56.xml"/><Relationship Id="rId54" Type="http://schemas.openxmlformats.org/officeDocument/2006/relationships/customXml" Target="ink/ink26.xml"/><Relationship Id="rId70" Type="http://schemas.openxmlformats.org/officeDocument/2006/relationships/image" Target="media/image28.png"/><Relationship Id="rId75" Type="http://schemas.openxmlformats.org/officeDocument/2006/relationships/customXml" Target="ink/ink38.xml"/><Relationship Id="rId91" Type="http://schemas.openxmlformats.org/officeDocument/2006/relationships/customXml" Target="ink/ink46.xml"/><Relationship Id="rId96"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8.png"/><Relationship Id="rId28" Type="http://schemas.openxmlformats.org/officeDocument/2006/relationships/customXml" Target="ink/ink11.xml"/><Relationship Id="rId49" Type="http://schemas.openxmlformats.org/officeDocument/2006/relationships/customXml" Target="ink/ink23.xml"/><Relationship Id="rId114" Type="http://schemas.openxmlformats.org/officeDocument/2006/relationships/hyperlink" Target="https://hwb.gov.wales/curriculum-for-wales/assessment-arrangements/supporting-learner-progression-assessment-guidance#key-principles-and-purpose-of-assessment" TargetMode="External"/><Relationship Id="rId119"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customXml" Target="ink/ink13.xml"/><Relationship Id="rId44" Type="http://schemas.openxmlformats.org/officeDocument/2006/relationships/customXml" Target="ink/ink20.xml"/><Relationship Id="rId52" Type="http://schemas.openxmlformats.org/officeDocument/2006/relationships/customXml" Target="ink/ink25.xml"/><Relationship Id="rId60" Type="http://schemas.openxmlformats.org/officeDocument/2006/relationships/image" Target="media/image24.png"/><Relationship Id="rId65" Type="http://schemas.openxmlformats.org/officeDocument/2006/relationships/customXml" Target="ink/ink33.xml"/><Relationship Id="rId73" Type="http://schemas.openxmlformats.org/officeDocument/2006/relationships/customXml" Target="ink/ink37.xml"/><Relationship Id="rId78" Type="http://schemas.openxmlformats.org/officeDocument/2006/relationships/image" Target="media/image32.png"/><Relationship Id="rId81" Type="http://schemas.openxmlformats.org/officeDocument/2006/relationships/customXml" Target="ink/ink41.xml"/><Relationship Id="rId86" Type="http://schemas.openxmlformats.org/officeDocument/2006/relationships/image" Target="media/image36.png"/><Relationship Id="rId94" Type="http://schemas.openxmlformats.org/officeDocument/2006/relationships/image" Target="media/image40.png"/><Relationship Id="rId99" Type="http://schemas.openxmlformats.org/officeDocument/2006/relationships/customXml" Target="ink/ink51.xml"/><Relationship Id="rId101"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customXml" Target="ink/ink17.xml"/><Relationship Id="rId109" Type="http://schemas.openxmlformats.org/officeDocument/2006/relationships/image" Target="media/image46.png"/><Relationship Id="rId34" Type="http://schemas.openxmlformats.org/officeDocument/2006/relationships/image" Target="media/image13.png"/><Relationship Id="rId50" Type="http://schemas.openxmlformats.org/officeDocument/2006/relationships/customXml" Target="ink/ink24.xml"/><Relationship Id="rId55" Type="http://schemas.openxmlformats.org/officeDocument/2006/relationships/customXml" Target="ink/ink27.xml"/><Relationship Id="rId76" Type="http://schemas.openxmlformats.org/officeDocument/2006/relationships/image" Target="media/image31.png"/><Relationship Id="rId97" Type="http://schemas.openxmlformats.org/officeDocument/2006/relationships/customXml" Target="ink/ink49.xml"/><Relationship Id="rId104" Type="http://schemas.openxmlformats.org/officeDocument/2006/relationships/customXml" Target="ink/ink54.xml"/><Relationship Id="rId7" Type="http://schemas.openxmlformats.org/officeDocument/2006/relationships/endnotes" Target="endnotes.xml"/><Relationship Id="rId71" Type="http://schemas.openxmlformats.org/officeDocument/2006/relationships/customXml" Target="ink/ink36.xml"/><Relationship Id="rId92"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customXml" Target="ink/ink9.xml"/><Relationship Id="rId40" Type="http://schemas.openxmlformats.org/officeDocument/2006/relationships/image" Target="media/image16.png"/><Relationship Id="rId45" Type="http://schemas.openxmlformats.org/officeDocument/2006/relationships/customXml" Target="ink/ink21.xml"/><Relationship Id="rId66" Type="http://schemas.openxmlformats.org/officeDocument/2006/relationships/image" Target="media/image26.png"/><Relationship Id="rId87" Type="http://schemas.openxmlformats.org/officeDocument/2006/relationships/customXml" Target="ink/ink44.xml"/><Relationship Id="rId110" Type="http://schemas.openxmlformats.org/officeDocument/2006/relationships/customXml" Target="ink/ink57.xml"/><Relationship Id="rId115" Type="http://schemas.openxmlformats.org/officeDocument/2006/relationships/hyperlink" Target="https://akcesedukacja.pl/images/dokumenty-pdf/Insight_and_Research/LEGO-Foundation---Learning-through-play---review-of-evidence-2017.pdf" TargetMode="External"/><Relationship Id="rId61" Type="http://schemas.openxmlformats.org/officeDocument/2006/relationships/customXml" Target="ink/ink30.xml"/><Relationship Id="rId82" Type="http://schemas.openxmlformats.org/officeDocument/2006/relationships/image" Target="media/image34.png"/><Relationship Id="rId19" Type="http://schemas.openxmlformats.org/officeDocument/2006/relationships/image" Target="media/image6.png"/><Relationship Id="rId14" Type="http://schemas.openxmlformats.org/officeDocument/2006/relationships/customXml" Target="ink/ink4.xml"/><Relationship Id="rId30" Type="http://schemas.openxmlformats.org/officeDocument/2006/relationships/customXml" Target="ink/ink12.xml"/><Relationship Id="rId35" Type="http://schemas.openxmlformats.org/officeDocument/2006/relationships/customXml" Target="ink/ink15.xml"/><Relationship Id="rId56" Type="http://schemas.openxmlformats.org/officeDocument/2006/relationships/image" Target="media/image22.png"/><Relationship Id="rId77" Type="http://schemas.openxmlformats.org/officeDocument/2006/relationships/customXml" Target="ink/ink39.xml"/><Relationship Id="rId100" Type="http://schemas.openxmlformats.org/officeDocument/2006/relationships/customXml" Target="ink/ink52.xml"/><Relationship Id="rId105" Type="http://schemas.openxmlformats.org/officeDocument/2006/relationships/image" Target="media/image44.png"/><Relationship Id="rId8" Type="http://schemas.openxmlformats.org/officeDocument/2006/relationships/customXml" Target="ink/ink1.xml"/><Relationship Id="rId51" Type="http://schemas.openxmlformats.org/officeDocument/2006/relationships/image" Target="media/image20.png"/><Relationship Id="rId72" Type="http://schemas.openxmlformats.org/officeDocument/2006/relationships/image" Target="media/image29.png"/><Relationship Id="rId93" Type="http://schemas.openxmlformats.org/officeDocument/2006/relationships/customXml" Target="ink/ink47.xml"/><Relationship Id="rId98" Type="http://schemas.openxmlformats.org/officeDocument/2006/relationships/customXml" Target="ink/ink50.xml"/><Relationship Id="rId3" Type="http://schemas.openxmlformats.org/officeDocument/2006/relationships/styles" Target="styles.xml"/><Relationship Id="rId25" Type="http://schemas.openxmlformats.org/officeDocument/2006/relationships/image" Target="media/image9.png"/><Relationship Id="rId46" Type="http://schemas.openxmlformats.org/officeDocument/2006/relationships/image" Target="media/image18.png"/><Relationship Id="rId67" Type="http://schemas.openxmlformats.org/officeDocument/2006/relationships/customXml" Target="ink/ink34.xml"/><Relationship Id="rId116" Type="http://schemas.openxmlformats.org/officeDocument/2006/relationships/header" Target="header1.xml"/><Relationship Id="rId20" Type="http://schemas.openxmlformats.org/officeDocument/2006/relationships/customXml" Target="ink/ink7.xml"/><Relationship Id="rId41" Type="http://schemas.openxmlformats.org/officeDocument/2006/relationships/customXml" Target="ink/ink18.xml"/><Relationship Id="rId62" Type="http://schemas.openxmlformats.org/officeDocument/2006/relationships/customXml" Target="ink/ink31.xml"/><Relationship Id="rId83" Type="http://schemas.openxmlformats.org/officeDocument/2006/relationships/customXml" Target="ink/ink42.xml"/><Relationship Id="rId88" Type="http://schemas.openxmlformats.org/officeDocument/2006/relationships/image" Target="media/image37.png"/><Relationship Id="rId111" Type="http://schemas.openxmlformats.org/officeDocument/2006/relationships/image" Target="media/image47.png"/><Relationship Id="rId15" Type="http://schemas.openxmlformats.org/officeDocument/2006/relationships/image" Target="media/image4.png"/><Relationship Id="rId36" Type="http://schemas.openxmlformats.org/officeDocument/2006/relationships/image" Target="media/image14.png"/><Relationship Id="rId57" Type="http://schemas.openxmlformats.org/officeDocument/2006/relationships/customXml" Target="ink/ink28.xml"/><Relationship Id="rId106" Type="http://schemas.openxmlformats.org/officeDocument/2006/relationships/customXml" Target="ink/ink55.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81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47:41.307"/>
    </inkml:context>
    <inkml:brush xml:id="br0">
      <inkml:brushProperty name="width" value="0.2" units="cm"/>
      <inkml:brushProperty name="height" value="0.2" units="cm"/>
      <inkml:brushProperty name="color" value="#008C3A"/>
    </inkml:brush>
  </inkml:definitions>
  <inkml:trace contextRef="#ctx0" brushRef="#br0">34 5727 24575,'-16'-371'0,"2"131"0,11-47-238,12 0 1,12 0-1,70-336 0,-20 293-79,15 4 0,180-445 0,-64 299 230,5-14-208,-33-11 1080,-121 300-301,7-24 194,16 8-341,-68 193-610,1 0 0,2 1 0,0 1 0,18-24 0</inkml:trace>
  <inkml:trace contextRef="#ctx0" brushRef="#br0" timeOffset="931.59">1378 5060 24575,'10'-13'0,"349"-497"0,-300 421 0,645-1115-1073,-44-309-113,-592 1337-4746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47:37.642"/>
    </inkml:context>
    <inkml:brush xml:id="br0">
      <inkml:brushProperty name="width" value="0.2" units="cm"/>
      <inkml:brushProperty name="height" value="0.2" units="cm"/>
      <inkml:brushProperty name="color" value="#008C3A"/>
    </inkml:brush>
  </inkml:definitions>
  <inkml:trace contextRef="#ctx0" brushRef="#br0">1 0 24575,'0'0'0,"0"0"0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52:39.910"/>
    </inkml:context>
    <inkml:brush xml:id="br0">
      <inkml:brushProperty name="width" value="0.2" units="cm"/>
      <inkml:brushProperty name="height" value="0.2" units="cm"/>
      <inkml:brushProperty name="color" value="#F6630D"/>
    </inkml:brush>
  </inkml:definitions>
  <inkml:trace contextRef="#ctx0" brushRef="#br0">0 1 24575,'0'0'0,"0"0"0,0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55:30.974"/>
    </inkml:context>
    <inkml:brush xml:id="br0">
      <inkml:brushProperty name="width" value="0.2" units="cm"/>
      <inkml:brushProperty name="height" value="0.2" units="cm"/>
      <inkml:brushProperty name="color" value="#FF0066"/>
    </inkml:brush>
  </inkml:definitions>
  <inkml:trace contextRef="#ctx0" brushRef="#br0">1 1 24575,'0'0'0,"0"0"0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55:23.292"/>
    </inkml:context>
    <inkml:brush xml:id="br0">
      <inkml:brushProperty name="width" value="0.05" units="cm"/>
      <inkml:brushProperty name="height" value="0.05" units="cm"/>
      <inkml:brushProperty name="color" value="#FF0066"/>
    </inkml:brush>
  </inkml:definitions>
  <inkml:trace contextRef="#ctx0" brushRef="#br0">0 1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3:55:44.015"/>
    </inkml:context>
    <inkml:brush xml:id="br0">
      <inkml:brushProperty name="width" value="0.2" units="cm"/>
      <inkml:brushProperty name="height" value="0.2" units="cm"/>
      <inkml:brushProperty name="color" value="#00A0D7"/>
    </inkml:brush>
  </inkml:definitions>
  <inkml:trace contextRef="#ctx0" brushRef="#br0">1 1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3:43.032"/>
    </inkml:context>
    <inkml:brush xml:id="br0">
      <inkml:brushProperty name="width" value="0.05" units="cm"/>
      <inkml:brushProperty name="height" value="0.05" units="cm"/>
      <inkml:brushProperty name="color" value="#F6630D"/>
    </inkml:brush>
  </inkml:definitions>
  <inkml:trace contextRef="#ctx0" brushRef="#br0">0 11 24575,'0'0'0,"8"-5"0,3-1-8191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3:34.142"/>
    </inkml:context>
    <inkml:brush xml:id="br0">
      <inkml:brushProperty name="width" value="0.05" units="cm"/>
      <inkml:brushProperty name="height" value="0.05" units="cm"/>
      <inkml:brushProperty name="color" value="#F6630D"/>
    </inkml:brush>
  </inkml:definitions>
  <inkml:trace contextRef="#ctx0" brushRef="#br0">1 0 24575,'0'0'0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3:50.665"/>
    </inkml:context>
    <inkml:brush xml:id="br0">
      <inkml:brushProperty name="width" value="0.2" units="cm"/>
      <inkml:brushProperty name="height" value="0.2" units="cm"/>
      <inkml:brushProperty name="color" value="#F6630D"/>
    </inkml:brush>
  </inkml:definitions>
  <inkml:trace contextRef="#ctx0" brushRef="#br0">0 6366 24575,'123'-815'-1606,"-51"-2"-114,-53-119 1637,-31-1 97,7 687-21,-21-663-81,6 220 197,17 408 1582,36-298-1,-31 563-1810,2-12-502,-1-52-1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0:39.424"/>
    </inkml:context>
    <inkml:brush xml:id="br0">
      <inkml:brushProperty name="width" value="0.2" units="cm"/>
      <inkml:brushProperty name="height" value="0.2" units="cm"/>
      <inkml:brushProperty name="color" value="#AB008B"/>
    </inkml:brush>
  </inkml:definitions>
  <inkml:trace contextRef="#ctx0" brushRef="#br0">726 4929 24575,'33'-25'0,"-24"20"0,-1-1 0,13-11 0,91-110 0,-50 54 0,-29 35 0,91-95 0,-123 132 0,0-1 0,1 1 0,-1 0 0,0 0 0,0-1 0,0 1 0,0-1 0,0 1 0,0-1 0,0 0 0,0 1 0,-1-1 0,1 0 0,-1 1 0,1-4 0,-1 3 0,0 1 0,0 0 0,0 0 0,0 0 0,-1 0 0,1-1 0,0 1 0,-1 0 0,1 0 0,-1 0 0,1 0 0,-1 0 0,0 0 0,0 0 0,1 0 0,-1 0 0,0 0 0,-1 0 0,-4-4 0,0 1 0,-1 0 0,1 1 0,-1-1 0,-14-4 0,21 8 0,-516-175 0,9 30 0,486 140 0,16 4 0,-1 0 0,1-1 0,0 1 0,-7-4 0,12 4 0,-1 1 0,1 0 0,0 0 0,0 0 0,0-1 0,0 1 0,-1 0 0,1 0 0,0-1 0,0 1 0,0 0 0,0 0 0,0-1 0,0 1 0,0 0 0,-1-1 0,1 1 0,0 0 0,0 0 0,0-1 0,0 1 0,0 0 0,1-1 0,-1 1 0,0 0 0,0 0 0,0-1 0,0 1 0,0 0 0,0-1 0,0 1 0,0 0 0,1 0 0,-1-1 0,0 1 0,9-13 0,-7 11 0,12-18 0,22-36 0,-11 13 0,127-224 0,133-270-164,91-202-655,437-927-1857,-463 925-1856</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0:38.397"/>
    </inkml:context>
    <inkml:brush xml:id="br0">
      <inkml:brushProperty name="width" value="0.2" units="cm"/>
      <inkml:brushProperty name="height" value="0.2" units="cm"/>
      <inkml:brushProperty name="color" value="#AB008B"/>
    </inkml:brush>
  </inkml:definitions>
  <inkml:trace contextRef="#ctx0" brushRef="#br0">1 0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9:17:02.674"/>
    </inkml:context>
    <inkml:brush xml:id="br0">
      <inkml:brushProperty name="width" value="0.2" units="cm"/>
      <inkml:brushProperty name="height" value="0.2" units="cm"/>
      <inkml:brushProperty name="color" value="#F6630D"/>
    </inkml:brush>
  </inkml:definitions>
  <inkml:trace contextRef="#ctx0" brushRef="#br0">0 1 24575,'0'0'0,"0"0"0,0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7:04.902"/>
    </inkml:context>
    <inkml:brush xml:id="br0">
      <inkml:brushProperty name="width" value="0.2" units="cm"/>
      <inkml:brushProperty name="height" value="0.2" units="cm"/>
      <inkml:brushProperty name="color" value="#5B2D90"/>
    </inkml:brush>
  </inkml:definitions>
  <inkml:trace contextRef="#ctx0" brushRef="#br0">0 0 24575,'0'0'0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04:11.470"/>
    </inkml:context>
    <inkml:brush xml:id="br0">
      <inkml:brushProperty name="width" value="0.2" units="cm"/>
      <inkml:brushProperty name="height" value="0.2" units="cm"/>
      <inkml:brushProperty name="color" value="#FFC114"/>
    </inkml:brush>
  </inkml:definitions>
  <inkml:trace contextRef="#ctx0" brushRef="#br0">1 0 24575,'0'0'0,"0"0"0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12:58.702"/>
    </inkml:context>
    <inkml:brush xml:id="br0">
      <inkml:brushProperty name="width" value="0.2" units="cm"/>
      <inkml:brushProperty name="height" value="0.2" units="cm"/>
      <inkml:brushProperty name="color" value="#33CCFF"/>
    </inkml:brush>
  </inkml:definitions>
  <inkml:trace contextRef="#ctx0" brushRef="#br0">0 5363 24575,'98'-278'-346,"-12"-3"-1,71-423 1,-100 315 346,-18-3 0,-12-448 0,-34 541 1,2-419-4,12 544 9,9 0 1,41-190-1,-19 206-380,6 2 0,91-208 0,-105 293-5673</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13:23.326"/>
    </inkml:context>
    <inkml:brush xml:id="br0">
      <inkml:brushProperty name="width" value="0.2" units="cm"/>
      <inkml:brushProperty name="height" value="0.2" units="cm"/>
      <inkml:brushProperty name="color" value="#004F8B"/>
    </inkml:brush>
  </inkml:definitions>
  <inkml:trace contextRef="#ctx0" brushRef="#br0">1 1 24575,'0'0'0,"0"0"0,0 0 0,0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22:51.785"/>
    </inkml:context>
    <inkml:brush xml:id="br0">
      <inkml:brushProperty name="width" value="0.2" units="cm"/>
      <inkml:brushProperty name="height" value="0.2" units="cm"/>
      <inkml:brushProperty name="color" value="#B4C3DA"/>
      <inkml:brushProperty name="inkEffects" value="silver"/>
      <inkml:brushProperty name="anchorX" value="6913.64648"/>
      <inkml:brushProperty name="anchorY" value="4545.37744"/>
      <inkml:brushProperty name="scaleFactor" value="0.49958"/>
    </inkml:brush>
  </inkml:definitions>
  <inkml:trace contextRef="#ctx0" brushRef="#br0">1 6377 24575,'0'0'0,"24"-125"0,14-99 0,-2-30 0,-2-25-1147,-4-10 328,-3-1-164,0 2 0,1 3 0,1 3 0,2 4 487,1 4 521,1 5-120,-1 7 306,-3 8-271,-5 10 90,-3 13-30,-5 14 0,-5 13 0,-3 14-724,-3 13 931,-2 14-311,-3 12 104,-2 13 0,-2 11 0,-3 11 1147,-1 10-327,-3 10 163,-1 9 0,-2 7 0,-1 8 0,-1 7 0,0 6-1121,0 5 294,2 7-152,1 5-4,2 8 0,3 10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15:44.509"/>
    </inkml:context>
    <inkml:brush xml:id="br0">
      <inkml:brushProperty name="width" value="0.2" units="cm"/>
      <inkml:brushProperty name="height" value="0.2" units="cm"/>
      <inkml:brushProperty name="color" value="#AE198D"/>
      <inkml:brushProperty name="inkEffects" value="galaxy"/>
      <inkml:brushProperty name="anchorX" value="0"/>
      <inkml:brushProperty name="anchorY" value="0"/>
      <inkml:brushProperty name="scaleFactor" value="0.49958"/>
    </inkml:brush>
  </inkml:definitions>
  <inkml:trace contextRef="#ctx0" brushRef="#br0">0 1 24575,'0'0'0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20:01:49.864"/>
    </inkml:context>
    <inkml:brush xml:id="br0">
      <inkml:brushProperty name="width" value="0.2" units="cm"/>
      <inkml:brushProperty name="height" value="0.2" units="cm"/>
      <inkml:brushProperty name="color" value="#B4C3DA"/>
      <inkml:brushProperty name="inkEffects" value="silver"/>
      <inkml:brushProperty name="anchorX" value="6913.64648"/>
      <inkml:brushProperty name="anchorY" value="4545.37744"/>
      <inkml:brushProperty name="scaleFactor" value="0.49958"/>
    </inkml:brush>
  </inkml:definitions>
  <inkml:trace contextRef="#ctx0" brushRef="#br0">1 6377 24575,'0'0'0,"24"-125"0,14-99 0,-2-30 0,-2-25-1147,-4-10 328,-3-1-164,0 2 0,1 3 0,1 3 0,2 4 487,1 4 521,1 5-120,-1 7 306,-3 8-271,-5 10 90,-3 13-30,-5 14 0,-5 13 0,-3 14-724,-3 13 931,-2 14-311,-3 12 104,-2 13 0,-2 11 0,-3 11 1147,-1 10-327,-3 10 163,-1 9 0,-2 7 0,-1 8 0,-1 7 0,0 6-1121,0 5 294,2 7-152,1 5-4,2 8 0,3 10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20:01:49.867"/>
    </inkml:context>
    <inkml:brush xml:id="br0">
      <inkml:brushProperty name="width" value="0.2" units="cm"/>
      <inkml:brushProperty name="height" value="0.2" units="cm"/>
      <inkml:brushProperty name="color" value="#AE198D"/>
      <inkml:brushProperty name="inkEffects" value="galaxy"/>
      <inkml:brushProperty name="anchorX" value="0"/>
      <inkml:brushProperty name="anchorY" value="0"/>
      <inkml:brushProperty name="scaleFactor" value="0.49958"/>
    </inkml:brush>
  </inkml:definitions>
  <inkml:trace contextRef="#ctx0" brushRef="#br0">0 1 24575,'0'0'0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20:28.204"/>
    </inkml:context>
    <inkml:brush xml:id="br0">
      <inkml:brushProperty name="width" value="0.2" units="cm"/>
      <inkml:brushProperty name="height" value="0.2" units="cm"/>
      <inkml:brushProperty name="color" value="#FF4E00"/>
      <inkml:brushProperty name="inkEffects" value="rainbow"/>
      <inkml:brushProperty name="anchorX" value="37.68143"/>
      <inkml:brushProperty name="anchorY" value="-54.81157"/>
      <inkml:brushProperty name="scaleFactor" value="0.49958"/>
    </inkml:brush>
  </inkml:definitions>
  <inkml:trace contextRef="#ctx0" brushRef="#br0">0 0 24575,'0'0'0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25:13.670"/>
    </inkml:context>
    <inkml:brush xml:id="br0">
      <inkml:brushProperty name="width" value="0.2" units="cm"/>
      <inkml:brushProperty name="height" value="0.2" units="cm"/>
      <inkml:brushProperty name="color" value="#0B868D"/>
      <inkml:brushProperty name="inkEffects" value="ocean"/>
      <inkml:brushProperty name="anchorX" value="5837.02246"/>
      <inkml:brushProperty name="anchorY" value="10197.0752"/>
      <inkml:brushProperty name="scaleFactor" value="0.49958"/>
    </inkml:brush>
  </inkml:definitions>
  <inkml:trace contextRef="#ctx0" brushRef="#br0">1 1 24575,'0'0'0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27:26.570"/>
    </inkml:context>
    <inkml:brush xml:id="br0">
      <inkml:brushProperty name="width" value="0.2" units="cm"/>
      <inkml:brushProperty name="height" value="0.2" units="cm"/>
      <inkml:brushProperty name="color" value="#F6630D"/>
    </inkml:brush>
  </inkml:definitions>
  <inkml:trace contextRef="#ctx0" brushRef="#br0">1 1 24575,'0'0'0,"0"0"0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27:20.708"/>
    </inkml:context>
    <inkml:brush xml:id="br0">
      <inkml:brushProperty name="width" value="0.2" units="cm"/>
      <inkml:brushProperty name="height" value="0.2" units="cm"/>
      <inkml:brushProperty name="color" value="#FFC114"/>
    </inkml:brush>
  </inkml:definitions>
  <inkml:trace contextRef="#ctx0" brushRef="#br0">20 30 24575,'0'0'0,"-5"-8"0,-10-14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1-21T14:35:14.072"/>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6414,'41'-120,"7"-36,16-69,93-412,-27-6,69-977,-138 128,-20 326,-36 1088,0 6,-6-113,-2 165</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47:53.367"/>
    </inkml:context>
    <inkml:brush xml:id="br0">
      <inkml:brushProperty name="width" value="0.05" units="cm"/>
      <inkml:brushProperty name="height" value="0.05" units="cm"/>
      <inkml:brushProperty name="color" value="#F6630D"/>
    </inkml:brush>
  </inkml:definitions>
  <inkml:trace contextRef="#ctx0" brushRef="#br0">0 0 24575,'0'0'0,"0"0"0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49:44.530"/>
    </inkml:context>
    <inkml:brush xml:id="br0">
      <inkml:brushProperty name="width" value="0.05" units="cm"/>
      <inkml:brushProperty name="height" value="0.05" units="cm"/>
      <inkml:brushProperty name="color" value="#FFC114"/>
    </inkml:brush>
  </inkml:definitions>
  <inkml:trace contextRef="#ctx0" brushRef="#br0">0 1 24575,'0'0'0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53:00.725"/>
    </inkml:context>
    <inkml:brush xml:id="br0">
      <inkml:brushProperty name="width" value="0.05" units="cm"/>
      <inkml:brushProperty name="height" value="0.05" units="cm"/>
      <inkml:brushProperty name="color" value="#E71224"/>
    </inkml:brush>
  </inkml:definitions>
  <inkml:trace contextRef="#ctx0" brushRef="#br0">4 1 24575,'0'0'0,"0"0"0,-4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52:58.359"/>
    </inkml:context>
    <inkml:brush xml:id="br0">
      <inkml:brushProperty name="width" value="0.05" units="cm"/>
      <inkml:brushProperty name="height" value="0.05" units="cm"/>
      <inkml:brushProperty name="color" value="#E71224"/>
    </inkml:brush>
  </inkml:definitions>
  <inkml:trace contextRef="#ctx0" brushRef="#br0">0 1 24575,'0'0'0,"0"0"0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51:32.322"/>
    </inkml:context>
    <inkml:brush xml:id="br0">
      <inkml:brushProperty name="width" value="0.05" units="cm"/>
      <inkml:brushProperty name="height" value="0.05" units="cm"/>
      <inkml:brushProperty name="color" value="#FFC114"/>
    </inkml:brush>
  </inkml:definitions>
  <inkml:trace contextRef="#ctx0" brushRef="#br0">1 0 24575,'0'0'0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56:54.656"/>
    </inkml:context>
    <inkml:brush xml:id="br0">
      <inkml:brushProperty name="width" value="0.05" units="cm"/>
      <inkml:brushProperty name="height" value="0.05" units="cm"/>
      <inkml:brushProperty name="color" value="#5B2D90"/>
    </inkml:brush>
  </inkml:definitions>
  <inkml:trace contextRef="#ctx0" brushRef="#br0">1 0 24575,'0'0'0,"0"0"0,0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4:55:20.778"/>
    </inkml:context>
    <inkml:brush xml:id="br0">
      <inkml:brushProperty name="width" value="0.05" units="cm"/>
      <inkml:brushProperty name="height" value="0.05" units="cm"/>
      <inkml:brushProperty name="color" value="#FF0066"/>
    </inkml:brush>
  </inkml:definitions>
  <inkml:trace contextRef="#ctx0" brushRef="#br0">1 0 24575,'0'0'0,"0"0"0,0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03:21.520"/>
    </inkml:context>
    <inkml:brush xml:id="br0">
      <inkml:brushProperty name="width" value="0.05" units="cm"/>
      <inkml:brushProperty name="height" value="0.05" units="cm"/>
      <inkml:brushProperty name="color" value="#004F8B"/>
    </inkml:brush>
  </inkml:definitions>
  <inkml:trace contextRef="#ctx0" brushRef="#br0">0 0 24575,'0'0'0,"0"0"0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03:23.759"/>
    </inkml:context>
    <inkml:brush xml:id="br0">
      <inkml:brushProperty name="width" value="0.05" units="cm"/>
      <inkml:brushProperty name="height" value="0.05" units="cm"/>
      <inkml:brushProperty name="color" value="#004F8B"/>
    </inkml:brush>
  </inkml:definitions>
  <inkml:trace contextRef="#ctx0" brushRef="#br0">42 5798 24575,'-34'-306'22,"26"-4"-342,17-58-1299,84-561 0,167-351 1423,-210 1080 138,62-265-313,-36-1 123,-69 399 469,-4 0 1,-2 0-1,-4 0 0,-2 1 0,-3-1 0,-27-103 1,2 60 1509,-26-108-609,53 189-1121,2-1 0,1 0 1,2 0-1,1 0 0,6-49 0,1 39-274,2 0 0,3 1 0,0 0 0,20-40 0,21-31-6553</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10:02.714"/>
    </inkml:context>
    <inkml:brush xml:id="br0">
      <inkml:brushProperty name="width" value="0.05" units="cm"/>
      <inkml:brushProperty name="height" value="0.05" units="cm"/>
      <inkml:brushProperty name="color" value="#33CCFF"/>
    </inkml:brush>
  </inkml:definitions>
  <inkml:trace contextRef="#ctx0" brushRef="#br0">0 0 24575,'0'0'0,"0"0"0,0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07:55.006"/>
    </inkml:context>
    <inkml:brush xml:id="br0">
      <inkml:brushProperty name="width" value="0.2" units="cm"/>
      <inkml:brushProperty name="height" value="0.2" units="cm"/>
      <inkml:brushProperty name="color" value="#66CC00"/>
    </inkml:brush>
  </inkml:definitions>
  <inkml:trace contextRef="#ctx0" brushRef="#br0">1 0 24575,'0'0'0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14:28.989"/>
    </inkml:context>
    <inkml:brush xml:id="br0">
      <inkml:brushProperty name="width" value="0.1" units="cm"/>
      <inkml:brushProperty name="height" value="0.1" units="cm"/>
      <inkml:brushProperty name="color" value="#CC912C"/>
      <inkml:brushProperty name="inkEffects" value="gold"/>
      <inkml:brushProperty name="anchorX" value="3062.49194"/>
      <inkml:brushProperty name="anchorY" value="1284.88098"/>
      <inkml:brushProperty name="scaleFactor" value="0.50043"/>
    </inkml:brush>
  </inkml:definitions>
  <inkml:trace contextRef="#ctx0" brushRef="#br0">1 5615 24575,'0'0'0,"7"-111"0,4-90 0,1-27 0,2-26-2765,0-12 3555,-1-4-2769,1-1 2432,-1 2-680,-2 3 227,-2 5 0,-4 6 0,-3 8 0,-4 9 0,-1 11 0,-2 13 46,0 13-59,3 13 20,2 11-7,3 12 0,4 10-144,2 11 185,3 10-61,3 10 1253,2 10-1585,3 9 2457,3 11-2656,1 8 1936,2 9-1702,1 8 650,0 7-383,0 6 75,0 7-25,-5 12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16:05.432"/>
    </inkml:context>
    <inkml:brush xml:id="br0">
      <inkml:brushProperty name="width" value="0.1" units="cm"/>
      <inkml:brushProperty name="height" value="0.1" units="cm"/>
      <inkml:brushProperty name="color" value="#DA0C07"/>
      <inkml:brushProperty name="inkEffects" value="lava"/>
      <inkml:brushProperty name="anchorX" value="4279.33594"/>
      <inkml:brushProperty name="anchorY" value="6918.22168"/>
      <inkml:brushProperty name="scaleFactor" value="0.50043"/>
    </inkml:brush>
  </inkml:definitions>
  <inkml:trace contextRef="#ctx0" brushRef="#br0">53 2509 24575,'0'0'0,"-10"-64"0,-4-44 0,2-6 0,2-4 0,5 0 0,4 4 0,4 4 0,3 2 0,2 3 0,1 2 0,1 2 0,-1 3 0,0 4 0,-2 6 0,-1 6 0,-1 6 0,-2 8 0,0 5 0,-1 3 0,-1 2 0,0 2 0,-1-1 0,-1-1 0,1 2 0,0-1 0,2 1 0,0 2 0,1 3 0,0 5 0,0 6 0,0 6 0,0 6 0,0 6 0,0 4 0,-1 6 0,1 4 0,0 4 0,-2 3 0,1 1 0,-2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5:16:15.937"/>
    </inkml:context>
    <inkml:brush xml:id="br0">
      <inkml:brushProperty name="width" value="0.1" units="cm"/>
      <inkml:brushProperty name="height" value="0.1" units="cm"/>
      <inkml:brushProperty name="color" value="#DA0C07"/>
      <inkml:brushProperty name="inkEffects" value="lava"/>
      <inkml:brushProperty name="anchorX" value="215.43007"/>
      <inkml:brushProperty name="anchorY" value="7006.37598"/>
      <inkml:brushProperty name="scaleFactor" value="0.50043"/>
    </inkml:brush>
  </inkml:definitions>
  <inkml:trace contextRef="#ctx0" brushRef="#br0">1 1 24575,'0'0'0,"2"81"0,5 54 0,5 10 0,6 3 0,4-5 0,3-11 0,5-10 0,3-9 0,3-5 0,2-3 0,1-1 0,0 2 0,-3-1 0,-3-1 0,-3-1 0,-4-4 0,-3-5 0,-3-5 0,-3-6 0,-3-6 0,-1-7 0,-1-8 0,-2-8 0,-1-7 0,-1-7 0,-1-7 0,-1-7 0,-1-6 0,-2-5 0,-1-6 0,-1-3 0,-1-4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1-21T15:47:36.762"/>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0 1,'0'0,"0"0,0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1-21T15:46:18.934"/>
    </inkml:context>
    <inkml:brush xml:id="br0">
      <inkml:brushProperty name="width" value="0.1" units="cm"/>
      <inkml:brushProperty name="height" value="0.2" units="cm"/>
      <inkml:brushProperty name="color" value="#FF8517"/>
      <inkml:brushProperty name="tip" value="rectangle"/>
      <inkml:brushProperty name="rasterOp" value="maskPen"/>
      <inkml:brushProperty name="ignorePressure" value="1"/>
    </inkml:brush>
  </inkml:definitions>
  <inkml:trace contextRef="#ctx0" brushRef="#br0">1 0,'0'0,"0"0,0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1-21T15:48:51.524"/>
    </inkml:context>
    <inkml:brush xml:id="br0">
      <inkml:brushProperty name="width" value="0.1" units="cm"/>
      <inkml:brushProperty name="height" value="0.2" units="cm"/>
      <inkml:brushProperty name="color" value="#00FDFF"/>
      <inkml:brushProperty name="tip" value="rectangle"/>
      <inkml:brushProperty name="rasterOp" value="maskPen"/>
      <inkml:brushProperty name="ignorePressure" value="1"/>
    </inkml:brush>
  </inkml:definitions>
  <inkml:trace contextRef="#ctx0" brushRef="#br0">0 1,'0'0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1-21T16:00:45.198"/>
    </inkml:context>
    <inkml:brush xml:id="br0">
      <inkml:brushProperty name="width" value="0.1" units="cm"/>
      <inkml:brushProperty name="height" value="0.2" units="cm"/>
      <inkml:brushProperty name="color" value="#EF0C4D"/>
      <inkml:brushProperty name="tip" value="rectangle"/>
      <inkml:brushProperty name="rasterOp" value="maskPen"/>
      <inkml:brushProperty name="ignorePressure" value="1"/>
    </inkml:brush>
  </inkml:definitions>
  <inkml:trace contextRef="#ctx0" brushRef="#br0">0 114,'2'-4,"2"-8,3-11,2-14,-1-1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07:08.428"/>
    </inkml:context>
    <inkml:brush xml:id="br0">
      <inkml:brushProperty name="width" value="0.1" units="cm"/>
      <inkml:brushProperty name="height" value="0.1" units="cm"/>
      <inkml:brushProperty name="color" value="#F6630D"/>
    </inkml:brush>
  </inkml:definitions>
  <inkml:trace contextRef="#ctx0" brushRef="#br0">302 2773 24575,'9'-101'0,"-4"-1"0,-4 0 0,-14-114 0,-6 73 0,-59-225 0,17 150 0,-30-115 0,72 247 0,-14-167 0,31 217 0,1 0 0,2 0 0,2 1 0,1-1 0,2 1 0,2-1 0,0 2 0,3-1 0,28-63 0,31-28 0,10-23 0,-75 136-195,0-1 0,-1 0 0,-1-1 0,0 1 0,-1 0 0,0-27 0,-1 7-6631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07:28.210"/>
    </inkml:context>
    <inkml:brush xml:id="br0">
      <inkml:brushProperty name="width" value="0.1" units="cm"/>
      <inkml:brushProperty name="height" value="0.1" units="cm"/>
      <inkml:brushProperty name="color" value="#FF0066"/>
    </inkml:brush>
  </inkml:definitions>
  <inkml:trace contextRef="#ctx0" brushRef="#br0">78 3273 24575,'-6'-36'0,"-39"-270"0,18-4 0,40-329-452,64 4 0,64-2 329,59 15 224,-168 539 825,-32 78-2291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15:56.957"/>
    </inkml:context>
    <inkml:brush xml:id="br0">
      <inkml:brushProperty name="width" value="0.1" units="cm"/>
      <inkml:brushProperty name="height" value="0.1" units="cm"/>
      <inkml:brushProperty name="color" value="#FF4E00"/>
      <inkml:brushProperty name="inkEffects" value="rainbow"/>
      <inkml:brushProperty name="anchorX" value="-18031.14453"/>
      <inkml:brushProperty name="anchorY" value="-19287.49414"/>
      <inkml:brushProperty name="scaleFactor" value="0.50043"/>
    </inkml:brush>
  </inkml:definitions>
  <inkml:trace contextRef="#ctx0" brushRef="#br0">0 1 24575,'0'0'0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07:47.447"/>
    </inkml:context>
    <inkml:brush xml:id="br0">
      <inkml:brushProperty name="width" value="0.1" units="cm"/>
      <inkml:brushProperty name="height" value="0.1" units="cm"/>
      <inkml:brushProperty name="color" value="#AB008B"/>
    </inkml:brush>
  </inkml:definitions>
  <inkml:trace contextRef="#ctx0" brushRef="#br0">20 3377 24575,'-10'-26'0,"6"8"0,2 0 0,0-1 0,0-27 0,4-45 12,15-101-1,27-96-256,-38 252 144,484-2120-2870,-453 2030 2875,49-192 2894,-84 310-2686,-1 6-64,0-1 0,-1 0 0,1 0 0,-1 0 0,0-1 0,0 1 0,0 0 0,0 0 0,-1-3 0,1 5-48,0 1 0,0 0 0,0 0 0,-1 0 0,1 0 0,0 0 0,0 0 0,-1 0 0,1 0 0,0-1 0,0 1 0,-1 0 0,1 0 0,0 0 0,0 0 0,-1 0 0,1 0 0,0 0 0,0 1 0,-1-1 0,1 0 0,0 0 0,0 0 0,-1 0 0,1 0 0,0 0 0,0 0 0,-1 0 0,1 1 0,0-1 0,0 0 0,0 0 0,-1 0 0,1 0 0,0 1 0,0-1 0,0 0 0,0 0 0,-1 1 0,-10 10 0,9-9 0,-32 31-1365,16-15-5461</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08:13.808"/>
    </inkml:context>
    <inkml:brush xml:id="br0">
      <inkml:brushProperty name="width" value="0.1" units="cm"/>
      <inkml:brushProperty name="height" value="0.1" units="cm"/>
      <inkml:brushProperty name="color" value="#AB008B"/>
    </inkml:brush>
  </inkml:definitions>
  <inkml:trace contextRef="#ctx0" brushRef="#br0">1 0 24575,'0'17'0,"2"11"0,2 1 0,1-1 0,9 32 0,33 82 0,-6-17 0,-35-106 0,-2 1 0,0 1 0,-2-1 0,0 1 0,-2 35 0,-2-23 0,-3 1 0,-14 55 0,17-80 0,-7 23 0,1 1 0,2 0 0,1 0 0,-1 39 0,7-19-1365,-1-36-5461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1:07.721"/>
    </inkml:context>
    <inkml:brush xml:id="br0">
      <inkml:brushProperty name="width" value="0.2" units="cm"/>
      <inkml:brushProperty name="height" value="0.2" units="cm"/>
      <inkml:brushProperty name="color" value="#00A0D7"/>
    </inkml:brush>
  </inkml:definitions>
  <inkml:trace contextRef="#ctx0" brushRef="#br0">1 1 24575,'0'0'0,"0"0"0,0 0 0,0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1:12.708"/>
    </inkml:context>
    <inkml:brush xml:id="br0">
      <inkml:brushProperty name="width" value="0.2" units="cm"/>
      <inkml:brushProperty name="height" value="0.2" units="cm"/>
      <inkml:brushProperty name="color" value="#008C3A"/>
    </inkml:brush>
  </inkml:definitions>
  <inkml:trace contextRef="#ctx0" brushRef="#br0">1 1 24575,'0'0'0,"0"0"0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1:18.540"/>
    </inkml:context>
    <inkml:brush xml:id="br0">
      <inkml:brushProperty name="width" value="0.2" units="cm"/>
      <inkml:brushProperty name="height" value="0.2" units="cm"/>
      <inkml:brushProperty name="color" value="#66CC00"/>
    </inkml:brush>
  </inkml:definitions>
  <inkml:trace contextRef="#ctx0" brushRef="#br0">1 1138 24575,'0'0'0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9:07.170"/>
    </inkml:context>
    <inkml:brush xml:id="br0">
      <inkml:brushProperty name="width" value="0.2" units="cm"/>
      <inkml:brushProperty name="height" value="0.2" units="cm"/>
      <inkml:brushProperty name="color" value="#FFC114"/>
    </inkml:brush>
  </inkml:definitions>
  <inkml:trace contextRef="#ctx0" brushRef="#br0">130 0 24575,'-35'236'0,"7"-50"0,-10 164-352,16 3 0,15 0 0,56 524 0,133 369 344,-107-779-432,-59-365 364,64 324 62,-77-409 14,2-1 0,0 0 0,1-1 0,0 1 0,14 23 0,-19-38 20,0 1 0,0 0 0,0-1 0,0 1 0,0-1 0,1 0 0,-1 1 0,0-1 0,1 0 0,-1 0 0,1 0 0,-1 0 0,1 0 0,0 0 0,0 0 0,-1 0 0,1-1 0,0 1 0,0-1 0,0 1 0,-1-1 0,1 0 0,0 1 0,0-1 0,0 0 0,0 0 0,0-1 0,2 1 0,0-2 48,0 0 1,0 1-1,0-2 0,0 1 1,-1 0-1,1-1 1,0 0-1,-1 1 0,0-1 1,0-1-1,5-5 0,6-9 26,0-1 0,-1-1 0,-1 0 0,-1-1 0,11-28 0,33-119-112,-26 53-124,-6-1-1,-5-1 1,6-203-1,-25 97-142,-32-233 0,-86-291 579,-45 15-1763,116 531-4407</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8:10.386"/>
    </inkml:context>
    <inkml:brush xml:id="br0">
      <inkml:brushProperty name="width" value="0.2" units="cm"/>
      <inkml:brushProperty name="height" value="0.2" units="cm"/>
      <inkml:brushProperty name="color" value="#008C3A"/>
    </inkml:brush>
  </inkml:definitions>
  <inkml:trace contextRef="#ctx0" brushRef="#br0">24 0 24575,'0'0'0,"-4"2"0,-4-1 0,-4-1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28:17.176"/>
    </inkml:context>
    <inkml:brush xml:id="br0">
      <inkml:brushProperty name="width" value="0.2" units="cm"/>
      <inkml:brushProperty name="height" value="0.2" units="cm"/>
      <inkml:brushProperty name="color" value="#FFC114"/>
    </inkml:brush>
  </inkml:definitions>
  <inkml:trace contextRef="#ctx0" brushRef="#br0">0 0 24575,'0'0'0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47:02.526"/>
    </inkml:context>
    <inkml:brush xml:id="br0">
      <inkml:brushProperty name="width" value="0.2" units="cm"/>
      <inkml:brushProperty name="height" value="0.2" units="cm"/>
      <inkml:brushProperty name="color" value="#FFC114"/>
    </inkml:brush>
  </inkml:definitions>
  <inkml:trace contextRef="#ctx0" brushRef="#br0">0 0 24575,'0'0'0,"0"0"0,166 137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47:08.332"/>
    </inkml:context>
    <inkml:brush xml:id="br0">
      <inkml:brushProperty name="width" value="0.2" units="cm"/>
      <inkml:brushProperty name="height" value="0.2" units="cm"/>
      <inkml:brushProperty name="color" value="#F6630D"/>
    </inkml:brush>
  </inkml:definitions>
  <inkml:trace contextRef="#ctx0" brushRef="#br0">0 0 24575,'0'0'0,"0"0"0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47:14.310"/>
    </inkml:context>
    <inkml:brush xml:id="br0">
      <inkml:brushProperty name="width" value="0.2" units="cm"/>
      <inkml:brushProperty name="height" value="0.2" units="cm"/>
      <inkml:brushProperty name="color" value="#FF0066"/>
    </inkml:brush>
  </inkml:definitions>
  <inkml:trace contextRef="#ctx0" brushRef="#br0">46 3988 24575,'-46'-326'0,"53"2"0,79-273-693,51 1 644,56-327 89,-176 752-10,-12 1-1,-14-1 0,-60-230 0,-13 145-809,62 203-6046</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1T16:47:11.850"/>
    </inkml:context>
    <inkml:brush xml:id="br0">
      <inkml:brushProperty name="width" value="0.2" units="cm"/>
      <inkml:brushProperty name="height" value="0.2" units="cm"/>
      <inkml:brushProperty name="color" value="#FF0066"/>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297E6-0E43-4466-8FC7-8BBFFF3F4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6848</Words>
  <Characters>39040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cp:lastPrinted>2024-01-21T23:23:00Z</cp:lastPrinted>
  <dcterms:created xsi:type="dcterms:W3CDTF">2024-01-21T23:29:00Z</dcterms:created>
  <dcterms:modified xsi:type="dcterms:W3CDTF">2024-01-21T23:29:00Z</dcterms:modified>
</cp:coreProperties>
</file>