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1753" w:rsidRPr="00127094" w:rsidRDefault="00150329" w:rsidP="00D574A2">
      <w:pPr>
        <w:spacing w:line="480" w:lineRule="auto"/>
        <w:jc w:val="center"/>
        <w:rPr>
          <w:rFonts w:ascii="Times New Roman" w:hAnsi="Times New Roman" w:cs="Times New Roman"/>
          <w:sz w:val="24"/>
          <w:szCs w:val="24"/>
        </w:rPr>
      </w:pPr>
      <w:r w:rsidRPr="00127094">
        <w:rPr>
          <w:rFonts w:ascii="Times New Roman" w:hAnsi="Times New Roman" w:cs="Times New Roman"/>
          <w:b/>
          <w:bCs/>
          <w:sz w:val="24"/>
          <w:szCs w:val="24"/>
        </w:rPr>
        <w:t>THE CURRENT STATE OF THE LABOUR MARKET AND THE TRANSFORMING LANDSCAPE OF HRM IN THE POST-COVID, POST-BREXIT ERA</w:t>
      </w: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lang w:val="en-GB"/>
        </w:rPr>
        <w:id w:val="2085865009"/>
        <w:docPartObj>
          <w:docPartGallery w:val="Table of Contents"/>
          <w:docPartUnique/>
        </w:docPartObj>
      </w:sdtPr>
      <w:sdtEndPr>
        <w:rPr>
          <w:bCs/>
          <w:noProof/>
        </w:rPr>
      </w:sdtEndPr>
      <w:sdtContent>
        <w:p w:rsidR="00150329" w:rsidRPr="002A7C1C" w:rsidRDefault="00150329" w:rsidP="00150329">
          <w:pPr>
            <w:pStyle w:val="TOCHeading"/>
            <w:jc w:val="center"/>
            <w:rPr>
              <w:rFonts w:ascii="Times New Roman" w:hAnsi="Times New Roman" w:cs="Times New Roman"/>
              <w:b/>
              <w:color w:val="auto"/>
              <w:sz w:val="24"/>
              <w:szCs w:val="24"/>
            </w:rPr>
          </w:pPr>
          <w:r w:rsidRPr="002A7C1C">
            <w:rPr>
              <w:rFonts w:ascii="Times New Roman" w:hAnsi="Times New Roman" w:cs="Times New Roman"/>
              <w:b/>
              <w:color w:val="auto"/>
              <w:sz w:val="24"/>
              <w:szCs w:val="24"/>
            </w:rPr>
            <w:t>Contents</w:t>
          </w:r>
        </w:p>
        <w:p w:rsidR="00150329" w:rsidRPr="00150329" w:rsidRDefault="00150329">
          <w:pPr>
            <w:pStyle w:val="TOC1"/>
            <w:tabs>
              <w:tab w:val="right" w:leader="dot" w:pos="9016"/>
            </w:tabs>
            <w:rPr>
              <w:noProof/>
            </w:rPr>
          </w:pPr>
          <w:r w:rsidRPr="00150329">
            <w:fldChar w:fldCharType="begin"/>
          </w:r>
          <w:r w:rsidRPr="00150329">
            <w:instrText xml:space="preserve"> TOC \o "1-3" \h \z \u </w:instrText>
          </w:r>
          <w:r w:rsidRPr="00150329">
            <w:fldChar w:fldCharType="separate"/>
          </w:r>
          <w:hyperlink w:anchor="_Toc141453110" w:history="1">
            <w:r w:rsidRPr="00150329">
              <w:rPr>
                <w:rStyle w:val="Hyperlink"/>
                <w:rFonts w:ascii="Times New Roman" w:hAnsi="Times New Roman" w:cs="Times New Roman"/>
                <w:bCs/>
                <w:noProof/>
              </w:rPr>
              <w:t>1.0 Introduction</w:t>
            </w:r>
            <w:r w:rsidRPr="00150329">
              <w:rPr>
                <w:noProof/>
                <w:webHidden/>
              </w:rPr>
              <w:tab/>
            </w:r>
            <w:r w:rsidRPr="00150329">
              <w:rPr>
                <w:noProof/>
                <w:webHidden/>
              </w:rPr>
              <w:fldChar w:fldCharType="begin"/>
            </w:r>
            <w:r w:rsidRPr="00150329">
              <w:rPr>
                <w:noProof/>
                <w:webHidden/>
              </w:rPr>
              <w:instrText xml:space="preserve"> PAGEREF _Toc141453110 \h </w:instrText>
            </w:r>
            <w:r w:rsidRPr="00150329">
              <w:rPr>
                <w:noProof/>
                <w:webHidden/>
              </w:rPr>
            </w:r>
            <w:r w:rsidRPr="00150329">
              <w:rPr>
                <w:noProof/>
                <w:webHidden/>
              </w:rPr>
              <w:fldChar w:fldCharType="separate"/>
            </w:r>
            <w:r>
              <w:rPr>
                <w:noProof/>
                <w:webHidden/>
              </w:rPr>
              <w:t>3</w:t>
            </w:r>
            <w:r w:rsidRPr="00150329">
              <w:rPr>
                <w:noProof/>
                <w:webHidden/>
              </w:rPr>
              <w:fldChar w:fldCharType="end"/>
            </w:r>
          </w:hyperlink>
        </w:p>
        <w:p w:rsidR="00150329" w:rsidRPr="00150329" w:rsidRDefault="000F7323">
          <w:pPr>
            <w:pStyle w:val="TOC1"/>
            <w:tabs>
              <w:tab w:val="right" w:leader="dot" w:pos="9016"/>
            </w:tabs>
            <w:rPr>
              <w:noProof/>
            </w:rPr>
          </w:pPr>
          <w:hyperlink w:anchor="_Toc141453111" w:history="1">
            <w:r w:rsidR="00150329" w:rsidRPr="00150329">
              <w:rPr>
                <w:rStyle w:val="Hyperlink"/>
                <w:rFonts w:ascii="Times New Roman" w:hAnsi="Times New Roman" w:cs="Times New Roman"/>
                <w:bCs/>
                <w:noProof/>
              </w:rPr>
              <w:t>1.1 The Current State of the Labour Market in the UK</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_Toc141453111 \h </w:instrText>
            </w:r>
            <w:r w:rsidR="00150329" w:rsidRPr="00150329">
              <w:rPr>
                <w:noProof/>
                <w:webHidden/>
              </w:rPr>
            </w:r>
            <w:r w:rsidR="00150329" w:rsidRPr="00150329">
              <w:rPr>
                <w:noProof/>
                <w:webHidden/>
              </w:rPr>
              <w:fldChar w:fldCharType="separate"/>
            </w:r>
            <w:r w:rsidR="00150329">
              <w:rPr>
                <w:noProof/>
                <w:webHidden/>
              </w:rPr>
              <w:t>3</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2" w:history="1">
            <w:r w:rsidR="00150329" w:rsidRPr="00150329">
              <w:rPr>
                <w:rStyle w:val="Hyperlink"/>
                <w:rFonts w:ascii="Times New Roman" w:hAnsi="Times New Roman" w:cs="Times New Roman"/>
                <w:bCs/>
                <w:noProof/>
              </w:rPr>
              <w:t>1.1.1 Unemployment Rates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_Toc141453112 \h </w:instrText>
            </w:r>
            <w:r w:rsidR="00150329" w:rsidRPr="00150329">
              <w:rPr>
                <w:noProof/>
                <w:webHidden/>
              </w:rPr>
            </w:r>
            <w:r w:rsidR="00150329" w:rsidRPr="00150329">
              <w:rPr>
                <w:noProof/>
                <w:webHidden/>
              </w:rPr>
              <w:fldChar w:fldCharType="separate"/>
            </w:r>
            <w:r w:rsidR="00150329">
              <w:rPr>
                <w:noProof/>
                <w:webHidden/>
              </w:rPr>
              <w:t>3</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3" w:history="1">
            <w:r w:rsidR="00150329" w:rsidRPr="00150329">
              <w:rPr>
                <w:rStyle w:val="Hyperlink"/>
                <w:rFonts w:ascii="Times New Roman" w:hAnsi="Times New Roman" w:cs="Times New Roman"/>
                <w:bCs/>
                <w:noProof/>
              </w:rPr>
              <w:t>1.1.2 Impact of Brexit on Labour Market Dynamics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_Toc141453113 \h </w:instrText>
            </w:r>
            <w:r w:rsidR="00150329" w:rsidRPr="00150329">
              <w:rPr>
                <w:noProof/>
                <w:webHidden/>
              </w:rPr>
            </w:r>
            <w:r w:rsidR="00150329" w:rsidRPr="00150329">
              <w:rPr>
                <w:noProof/>
                <w:webHidden/>
              </w:rPr>
              <w:fldChar w:fldCharType="separate"/>
            </w:r>
            <w:r w:rsidR="00150329">
              <w:rPr>
                <w:noProof/>
                <w:webHidden/>
              </w:rPr>
              <w:t>5</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4" w:history="1">
            <w:r w:rsidR="00150329" w:rsidRPr="00150329">
              <w:rPr>
                <w:rStyle w:val="Hyperlink"/>
                <w:rFonts w:ascii="Times New Roman" w:hAnsi="Times New Roman" w:cs="Times New Roman"/>
                <w:bCs/>
                <w:noProof/>
              </w:rPr>
              <w:t>1.1.3. Remote Work Trends and HRM Strategies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_Toc141453114 \h </w:instrText>
            </w:r>
            <w:r w:rsidR="00150329" w:rsidRPr="00150329">
              <w:rPr>
                <w:noProof/>
                <w:webHidden/>
              </w:rPr>
            </w:r>
            <w:r w:rsidR="00150329" w:rsidRPr="00150329">
              <w:rPr>
                <w:noProof/>
                <w:webHidden/>
              </w:rPr>
              <w:fldChar w:fldCharType="separate"/>
            </w:r>
            <w:r w:rsidR="00150329">
              <w:rPr>
                <w:noProof/>
                <w:webHidden/>
              </w:rPr>
              <w:t>5</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5" w:history="1">
            <w:r w:rsidR="00150329" w:rsidRPr="00150329">
              <w:rPr>
                <w:rStyle w:val="Hyperlink"/>
                <w:rFonts w:ascii="Times New Roman" w:hAnsi="Times New Roman" w:cs="Times New Roman"/>
                <w:bCs/>
                <w:noProof/>
              </w:rPr>
              <w:t>1.1.4. Impact of Millennials and the Gig Economy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_Toc141453115 \h </w:instrText>
            </w:r>
            <w:r w:rsidR="00150329" w:rsidRPr="00150329">
              <w:rPr>
                <w:noProof/>
                <w:webHidden/>
              </w:rPr>
            </w:r>
            <w:r w:rsidR="00150329" w:rsidRPr="00150329">
              <w:rPr>
                <w:noProof/>
                <w:webHidden/>
              </w:rPr>
              <w:fldChar w:fldCharType="separate"/>
            </w:r>
            <w:r w:rsidR="00150329">
              <w:rPr>
                <w:noProof/>
                <w:webHidden/>
              </w:rPr>
              <w:t>5</w:t>
            </w:r>
            <w:r w:rsidR="00150329" w:rsidRPr="00150329">
              <w:rPr>
                <w:noProof/>
                <w:webHidden/>
              </w:rPr>
              <w:fldChar w:fldCharType="end"/>
            </w:r>
          </w:hyperlink>
        </w:p>
        <w:p w:rsidR="00150329" w:rsidRPr="00150329" w:rsidRDefault="000F7323">
          <w:pPr>
            <w:pStyle w:val="TOC2"/>
            <w:tabs>
              <w:tab w:val="right" w:leader="dot" w:pos="9016"/>
            </w:tabs>
            <w:rPr>
              <w:noProof/>
            </w:rPr>
          </w:pPr>
          <w:hyperlink w:anchor="_Toc141453116" w:history="1">
            <w:r w:rsidR="00150329" w:rsidRPr="00150329">
              <w:rPr>
                <w:rStyle w:val="Hyperlink"/>
                <w:rFonts w:ascii="Times New Roman" w:hAnsi="Times New Roman" w:cs="Times New Roman"/>
                <w:bCs/>
                <w:noProof/>
              </w:rPr>
              <w:t>1.2 The Emerging Changes in Human Resourcing Strategies in the Post-Covid, Post-Brexit External Environment</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_Toc141453116 \h </w:instrText>
            </w:r>
            <w:r w:rsidR="00150329" w:rsidRPr="00150329">
              <w:rPr>
                <w:noProof/>
                <w:webHidden/>
              </w:rPr>
            </w:r>
            <w:r w:rsidR="00150329" w:rsidRPr="00150329">
              <w:rPr>
                <w:noProof/>
                <w:webHidden/>
              </w:rPr>
              <w:fldChar w:fldCharType="separate"/>
            </w:r>
            <w:r w:rsidR="00150329">
              <w:rPr>
                <w:noProof/>
                <w:webHidden/>
              </w:rPr>
              <w:t>6</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7" w:history="1">
            <w:r w:rsidR="00150329" w:rsidRPr="00150329">
              <w:rPr>
                <w:rStyle w:val="Hyperlink"/>
                <w:rFonts w:ascii="Times New Roman" w:hAnsi="Times New Roman" w:cs="Times New Roman"/>
                <w:bCs/>
                <w:noProof/>
              </w:rPr>
              <w:t>1.2.1 Talent Attraction and Retention Strategies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_Toc141453117 \h </w:instrText>
            </w:r>
            <w:r w:rsidR="00150329" w:rsidRPr="00150329">
              <w:rPr>
                <w:noProof/>
                <w:webHidden/>
              </w:rPr>
            </w:r>
            <w:r w:rsidR="00150329" w:rsidRPr="00150329">
              <w:rPr>
                <w:noProof/>
                <w:webHidden/>
              </w:rPr>
              <w:fldChar w:fldCharType="separate"/>
            </w:r>
            <w:r w:rsidR="00150329">
              <w:rPr>
                <w:noProof/>
                <w:webHidden/>
              </w:rPr>
              <w:t>6</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8" w:history="1">
            <w:r w:rsidR="00150329" w:rsidRPr="00150329">
              <w:rPr>
                <w:rStyle w:val="Hyperlink"/>
                <w:rFonts w:ascii="Times New Roman" w:hAnsi="Times New Roman" w:cs="Times New Roman"/>
                <w:bCs/>
                <w:noProof/>
              </w:rPr>
              <w:t>1.2.2. Technology and HR Analytics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_Toc141453118 \h </w:instrText>
            </w:r>
            <w:r w:rsidR="00150329" w:rsidRPr="00150329">
              <w:rPr>
                <w:noProof/>
                <w:webHidden/>
              </w:rPr>
            </w:r>
            <w:r w:rsidR="00150329" w:rsidRPr="00150329">
              <w:rPr>
                <w:noProof/>
                <w:webHidden/>
              </w:rPr>
              <w:fldChar w:fldCharType="separate"/>
            </w:r>
            <w:r w:rsidR="00150329">
              <w:rPr>
                <w:noProof/>
                <w:webHidden/>
              </w:rPr>
              <w:t>7</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19" w:history="1">
            <w:r w:rsidR="00150329" w:rsidRPr="00150329">
              <w:rPr>
                <w:rStyle w:val="Hyperlink"/>
                <w:rFonts w:ascii="Times New Roman" w:hAnsi="Times New Roman" w:cs="Times New Roman"/>
                <w:bCs/>
                <w:noProof/>
              </w:rPr>
              <w:t>1.2.3 Organisational Culture, Ethics and Inclusion Initiatives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_Toc141453119 \h </w:instrText>
            </w:r>
            <w:r w:rsidR="00150329" w:rsidRPr="00150329">
              <w:rPr>
                <w:noProof/>
                <w:webHidden/>
              </w:rPr>
            </w:r>
            <w:r w:rsidR="00150329" w:rsidRPr="00150329">
              <w:rPr>
                <w:noProof/>
                <w:webHidden/>
              </w:rPr>
              <w:fldChar w:fldCharType="separate"/>
            </w:r>
            <w:r w:rsidR="00150329">
              <w:rPr>
                <w:noProof/>
                <w:webHidden/>
              </w:rPr>
              <w:t>7</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0" w:history="1">
            <w:r w:rsidR="00150329" w:rsidRPr="00150329">
              <w:rPr>
                <w:rStyle w:val="Hyperlink"/>
                <w:rFonts w:ascii="Times New Roman" w:hAnsi="Times New Roman" w:cs="Times New Roman"/>
                <w:bCs/>
                <w:noProof/>
              </w:rPr>
              <w:t>1.1.4 Organizational Change and Agility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_Toc141453120 \h </w:instrText>
            </w:r>
            <w:r w:rsidR="00150329" w:rsidRPr="00150329">
              <w:rPr>
                <w:noProof/>
                <w:webHidden/>
              </w:rPr>
            </w:r>
            <w:r w:rsidR="00150329" w:rsidRPr="00150329">
              <w:rPr>
                <w:noProof/>
                <w:webHidden/>
              </w:rPr>
              <w:fldChar w:fldCharType="separate"/>
            </w:r>
            <w:r w:rsidR="00150329">
              <w:rPr>
                <w:noProof/>
                <w:webHidden/>
              </w:rPr>
              <w:t>8</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1" w:history="1">
            <w:r w:rsidR="00150329" w:rsidRPr="00150329">
              <w:rPr>
                <w:rStyle w:val="Hyperlink"/>
                <w:rFonts w:ascii="Times New Roman" w:hAnsi="Times New Roman" w:cs="Times New Roman"/>
                <w:bCs/>
                <w:noProof/>
              </w:rPr>
              <w:t>1.1.5 Impact on Flexible Work Practices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_Toc141453121 \h </w:instrText>
            </w:r>
            <w:r w:rsidR="00150329" w:rsidRPr="00150329">
              <w:rPr>
                <w:noProof/>
                <w:webHidden/>
              </w:rPr>
            </w:r>
            <w:r w:rsidR="00150329" w:rsidRPr="00150329">
              <w:rPr>
                <w:noProof/>
                <w:webHidden/>
              </w:rPr>
              <w:fldChar w:fldCharType="separate"/>
            </w:r>
            <w:r w:rsidR="00150329">
              <w:rPr>
                <w:noProof/>
                <w:webHidden/>
              </w:rPr>
              <w:t>8</w:t>
            </w:r>
            <w:r w:rsidR="00150329" w:rsidRPr="00150329">
              <w:rPr>
                <w:noProof/>
                <w:webHidden/>
              </w:rPr>
              <w:fldChar w:fldCharType="end"/>
            </w:r>
          </w:hyperlink>
        </w:p>
        <w:p w:rsidR="00150329" w:rsidRPr="00150329" w:rsidRDefault="000F7323">
          <w:pPr>
            <w:pStyle w:val="TOC2"/>
            <w:tabs>
              <w:tab w:val="right" w:leader="dot" w:pos="9016"/>
            </w:tabs>
            <w:rPr>
              <w:noProof/>
            </w:rPr>
          </w:pPr>
          <w:hyperlink w:anchor="_Toc141453122" w:history="1">
            <w:r w:rsidR="00150329" w:rsidRPr="00150329">
              <w:rPr>
                <w:rStyle w:val="Hyperlink"/>
                <w:rFonts w:ascii="Times New Roman" w:hAnsi="Times New Roman" w:cs="Times New Roman"/>
                <w:bCs/>
                <w:noProof/>
              </w:rPr>
              <w:t>1.3 Navigating the Future of HRM in the Post-Covid, Post-Brexit Era</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_Toc141453122 \h </w:instrText>
            </w:r>
            <w:r w:rsidR="00150329" w:rsidRPr="00150329">
              <w:rPr>
                <w:noProof/>
                <w:webHidden/>
              </w:rPr>
            </w:r>
            <w:r w:rsidR="00150329" w:rsidRPr="00150329">
              <w:rPr>
                <w:noProof/>
                <w:webHidden/>
              </w:rPr>
              <w:fldChar w:fldCharType="separate"/>
            </w:r>
            <w:r w:rsidR="00150329">
              <w:rPr>
                <w:noProof/>
                <w:webHidden/>
              </w:rPr>
              <w:t>9</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3" w:history="1">
            <w:r w:rsidR="00150329" w:rsidRPr="00150329">
              <w:rPr>
                <w:rStyle w:val="Hyperlink"/>
                <w:rFonts w:ascii="Times New Roman" w:hAnsi="Times New Roman" w:cs="Times New Roman"/>
                <w:bCs/>
                <w:noProof/>
              </w:rPr>
              <w:t>1.3.1 Navigating Regulatory Changes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_Toc141453123 \h </w:instrText>
            </w:r>
            <w:r w:rsidR="00150329" w:rsidRPr="00150329">
              <w:rPr>
                <w:noProof/>
                <w:webHidden/>
              </w:rPr>
            </w:r>
            <w:r w:rsidR="00150329" w:rsidRPr="00150329">
              <w:rPr>
                <w:noProof/>
                <w:webHidden/>
              </w:rPr>
              <w:fldChar w:fldCharType="separate"/>
            </w:r>
            <w:r w:rsidR="00150329">
              <w:rPr>
                <w:noProof/>
                <w:webHidden/>
              </w:rPr>
              <w:t>9</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4" w:history="1">
            <w:r w:rsidR="00150329" w:rsidRPr="00150329">
              <w:rPr>
                <w:rStyle w:val="Hyperlink"/>
                <w:rFonts w:ascii="Times New Roman" w:hAnsi="Times New Roman" w:cs="Times New Roman"/>
                <w:bCs/>
                <w:noProof/>
              </w:rPr>
              <w:t>1.3.2 Fostering Resilience and Agility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_Toc141453124 \h </w:instrText>
            </w:r>
            <w:r w:rsidR="00150329" w:rsidRPr="00150329">
              <w:rPr>
                <w:noProof/>
                <w:webHidden/>
              </w:rPr>
            </w:r>
            <w:r w:rsidR="00150329" w:rsidRPr="00150329">
              <w:rPr>
                <w:noProof/>
                <w:webHidden/>
              </w:rPr>
              <w:fldChar w:fldCharType="separate"/>
            </w:r>
            <w:r w:rsidR="00150329">
              <w:rPr>
                <w:noProof/>
                <w:webHidden/>
              </w:rPr>
              <w:t>10</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5" w:history="1">
            <w:r w:rsidR="00150329" w:rsidRPr="00150329">
              <w:rPr>
                <w:rStyle w:val="Hyperlink"/>
                <w:rFonts w:ascii="Times New Roman" w:hAnsi="Times New Roman" w:cs="Times New Roman"/>
                <w:bCs/>
                <w:noProof/>
              </w:rPr>
              <w:t>1.3.3 Embracing Technology and HR Analytics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_Toc141453125 \h </w:instrText>
            </w:r>
            <w:r w:rsidR="00150329" w:rsidRPr="00150329">
              <w:rPr>
                <w:noProof/>
                <w:webHidden/>
              </w:rPr>
            </w:r>
            <w:r w:rsidR="00150329" w:rsidRPr="00150329">
              <w:rPr>
                <w:noProof/>
                <w:webHidden/>
              </w:rPr>
              <w:fldChar w:fldCharType="separate"/>
            </w:r>
            <w:r w:rsidR="00150329">
              <w:rPr>
                <w:noProof/>
                <w:webHidden/>
              </w:rPr>
              <w:t>10</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6" w:history="1">
            <w:r w:rsidR="00150329" w:rsidRPr="00150329">
              <w:rPr>
                <w:rStyle w:val="Hyperlink"/>
                <w:rFonts w:ascii="Times New Roman" w:hAnsi="Times New Roman" w:cs="Times New Roman"/>
                <w:bCs/>
                <w:noProof/>
              </w:rPr>
              <w:t>1.3.4 Promoting Inclusion and Diversity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_Toc141453126 \h </w:instrText>
            </w:r>
            <w:r w:rsidR="00150329" w:rsidRPr="00150329">
              <w:rPr>
                <w:noProof/>
                <w:webHidden/>
              </w:rPr>
            </w:r>
            <w:r w:rsidR="00150329" w:rsidRPr="00150329">
              <w:rPr>
                <w:noProof/>
                <w:webHidden/>
              </w:rPr>
              <w:fldChar w:fldCharType="separate"/>
            </w:r>
            <w:r w:rsidR="00150329">
              <w:rPr>
                <w:noProof/>
                <w:webHidden/>
              </w:rPr>
              <w:t>11</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7" w:history="1">
            <w:r w:rsidR="00150329" w:rsidRPr="00150329">
              <w:rPr>
                <w:rStyle w:val="Hyperlink"/>
                <w:rFonts w:ascii="Times New Roman" w:hAnsi="Times New Roman" w:cs="Times New Roman"/>
                <w:bCs/>
                <w:noProof/>
              </w:rPr>
              <w:t>1.3.5 Managing Gig Workers and the Gig Economy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_Toc141453127 \h </w:instrText>
            </w:r>
            <w:r w:rsidR="00150329" w:rsidRPr="00150329">
              <w:rPr>
                <w:noProof/>
                <w:webHidden/>
              </w:rPr>
            </w:r>
            <w:r w:rsidR="00150329" w:rsidRPr="00150329">
              <w:rPr>
                <w:noProof/>
                <w:webHidden/>
              </w:rPr>
              <w:fldChar w:fldCharType="separate"/>
            </w:r>
            <w:r w:rsidR="00150329">
              <w:rPr>
                <w:noProof/>
                <w:webHidden/>
              </w:rPr>
              <w:t>11</w:t>
            </w:r>
            <w:r w:rsidR="00150329" w:rsidRPr="00150329">
              <w:rPr>
                <w:noProof/>
                <w:webHidden/>
              </w:rPr>
              <w:fldChar w:fldCharType="end"/>
            </w:r>
          </w:hyperlink>
        </w:p>
        <w:p w:rsidR="00150329" w:rsidRPr="00150329" w:rsidRDefault="000F7323">
          <w:pPr>
            <w:pStyle w:val="TOC3"/>
            <w:tabs>
              <w:tab w:val="right" w:leader="dot" w:pos="9016"/>
            </w:tabs>
            <w:rPr>
              <w:noProof/>
            </w:rPr>
          </w:pPr>
          <w:hyperlink w:anchor="_Toc141453128" w:history="1">
            <w:r w:rsidR="00150329" w:rsidRPr="00150329">
              <w:rPr>
                <w:rStyle w:val="Hyperlink"/>
                <w:rFonts w:ascii="Times New Roman" w:hAnsi="Times New Roman" w:cs="Times New Roman"/>
                <w:bCs/>
                <w:noProof/>
              </w:rPr>
              <w:t>1.3.6 Strategic Decision-Making and Leadership</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_Toc141453128 \h </w:instrText>
            </w:r>
            <w:r w:rsidR="00150329" w:rsidRPr="00150329">
              <w:rPr>
                <w:noProof/>
                <w:webHidden/>
              </w:rPr>
            </w:r>
            <w:r w:rsidR="00150329" w:rsidRPr="00150329">
              <w:rPr>
                <w:noProof/>
                <w:webHidden/>
              </w:rPr>
              <w:fldChar w:fldCharType="separate"/>
            </w:r>
            <w:r w:rsidR="00150329">
              <w:rPr>
                <w:noProof/>
                <w:webHidden/>
              </w:rPr>
              <w:t>11</w:t>
            </w:r>
            <w:r w:rsidR="00150329" w:rsidRPr="00150329">
              <w:rPr>
                <w:noProof/>
                <w:webHidden/>
              </w:rPr>
              <w:fldChar w:fldCharType="end"/>
            </w:r>
          </w:hyperlink>
        </w:p>
        <w:p w:rsidR="00150329" w:rsidRPr="00150329" w:rsidRDefault="000F7323">
          <w:pPr>
            <w:pStyle w:val="TOC2"/>
            <w:tabs>
              <w:tab w:val="right" w:leader="dot" w:pos="9016"/>
            </w:tabs>
            <w:rPr>
              <w:noProof/>
            </w:rPr>
          </w:pPr>
          <w:hyperlink w:anchor="_Toc141453129" w:history="1">
            <w:r w:rsidR="00150329" w:rsidRPr="00150329">
              <w:rPr>
                <w:rStyle w:val="Hyperlink"/>
                <w:rFonts w:ascii="Times New Roman" w:hAnsi="Times New Roman" w:cs="Times New Roman"/>
                <w:noProof/>
              </w:rPr>
              <w:t>1.4 conclusion</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_Toc141453129 \h </w:instrText>
            </w:r>
            <w:r w:rsidR="00150329" w:rsidRPr="00150329">
              <w:rPr>
                <w:noProof/>
                <w:webHidden/>
              </w:rPr>
            </w:r>
            <w:r w:rsidR="00150329" w:rsidRPr="00150329">
              <w:rPr>
                <w:noProof/>
                <w:webHidden/>
              </w:rPr>
              <w:fldChar w:fldCharType="separate"/>
            </w:r>
            <w:r w:rsidR="00150329">
              <w:rPr>
                <w:noProof/>
                <w:webHidden/>
              </w:rPr>
              <w:t>12</w:t>
            </w:r>
            <w:r w:rsidR="00150329" w:rsidRPr="00150329">
              <w:rPr>
                <w:noProof/>
                <w:webHidden/>
              </w:rPr>
              <w:fldChar w:fldCharType="end"/>
            </w:r>
          </w:hyperlink>
        </w:p>
        <w:p w:rsidR="00150329" w:rsidRPr="00150329" w:rsidRDefault="000F7323">
          <w:pPr>
            <w:pStyle w:val="TOC1"/>
            <w:tabs>
              <w:tab w:val="right" w:leader="dot" w:pos="9016"/>
            </w:tabs>
            <w:rPr>
              <w:noProof/>
            </w:rPr>
          </w:pPr>
          <w:hyperlink w:anchor="_Toc141453130" w:history="1">
            <w:r w:rsidR="00150329" w:rsidRPr="00150329">
              <w:rPr>
                <w:rStyle w:val="Hyperlink"/>
                <w:rFonts w:ascii="Times New Roman" w:hAnsi="Times New Roman" w:cs="Times New Roman"/>
                <w:noProof/>
                <w:lang w:val="en-US"/>
              </w:rPr>
              <w:t>References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_Toc141453130 \h </w:instrText>
            </w:r>
            <w:r w:rsidR="00150329" w:rsidRPr="00150329">
              <w:rPr>
                <w:noProof/>
                <w:webHidden/>
              </w:rPr>
            </w:r>
            <w:r w:rsidR="00150329" w:rsidRPr="00150329">
              <w:rPr>
                <w:noProof/>
                <w:webHidden/>
              </w:rPr>
              <w:fldChar w:fldCharType="separate"/>
            </w:r>
            <w:r w:rsidR="00150329">
              <w:rPr>
                <w:noProof/>
                <w:webHidden/>
              </w:rPr>
              <w:t>13</w:t>
            </w:r>
            <w:r w:rsidR="00150329" w:rsidRPr="00150329">
              <w:rPr>
                <w:noProof/>
                <w:webHidden/>
              </w:rPr>
              <w:fldChar w:fldCharType="end"/>
            </w:r>
          </w:hyperlink>
        </w:p>
        <w:p w:rsidR="00150329" w:rsidRDefault="00150329">
          <w:r w:rsidRPr="00150329">
            <w:rPr>
              <w:bCs/>
              <w:noProof/>
            </w:rPr>
            <w:fldChar w:fldCharType="end"/>
          </w:r>
        </w:p>
      </w:sdtContent>
    </w:sdt>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150329" w:rsidRDefault="00150329"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B75F4" w:rsidRPr="00D574A2" w:rsidRDefault="00127094" w:rsidP="00D574A2">
      <w:pPr>
        <w:pStyle w:val="Heading1"/>
        <w:spacing w:line="480" w:lineRule="auto"/>
        <w:rPr>
          <w:rFonts w:ascii="Times New Roman" w:hAnsi="Times New Roman" w:cs="Times New Roman"/>
          <w:color w:val="auto"/>
          <w:sz w:val="24"/>
          <w:szCs w:val="24"/>
        </w:rPr>
      </w:pPr>
      <w:bookmarkStart w:id="0" w:name="_Toc141453110"/>
      <w:r w:rsidRPr="00D574A2">
        <w:rPr>
          <w:rFonts w:ascii="Times New Roman" w:hAnsi="Times New Roman" w:cs="Times New Roman"/>
          <w:b/>
          <w:bCs/>
          <w:color w:val="auto"/>
          <w:sz w:val="24"/>
          <w:szCs w:val="24"/>
        </w:rPr>
        <w:lastRenderedPageBreak/>
        <w:t xml:space="preserve">1.0 </w:t>
      </w:r>
      <w:r w:rsidR="00DB75F4" w:rsidRPr="00D574A2">
        <w:rPr>
          <w:rFonts w:ascii="Times New Roman" w:hAnsi="Times New Roman" w:cs="Times New Roman"/>
          <w:b/>
          <w:bCs/>
          <w:color w:val="auto"/>
          <w:sz w:val="24"/>
          <w:szCs w:val="24"/>
        </w:rPr>
        <w:t>Introduction</w:t>
      </w:r>
      <w:bookmarkEnd w:id="0"/>
    </w:p>
    <w:p w:rsidR="0012709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w:t>
      </w:r>
      <w:r w:rsidR="00B61753"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in the United Kingdom has undergone significant changes and challenges in recent years, driven by various factors such as the COVID-19 pandemic, technological advancements, and the implications of Brexit. This report provides a detailed analysis of the current state of the </w:t>
      </w:r>
      <w:r w:rsidR="00B61753"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in the UK, considering various aspects like unemployment rates, skill demands,</w:t>
      </w:r>
      <w:r w:rsidR="00B61753" w:rsidRPr="00D574A2">
        <w:rPr>
          <w:rFonts w:ascii="Times New Roman" w:hAnsi="Times New Roman" w:cs="Times New Roman"/>
          <w:sz w:val="24"/>
          <w:szCs w:val="24"/>
        </w:rPr>
        <w:t xml:space="preserve"> and</w:t>
      </w:r>
      <w:r w:rsidRPr="00D574A2">
        <w:rPr>
          <w:rFonts w:ascii="Times New Roman" w:hAnsi="Times New Roman" w:cs="Times New Roman"/>
          <w:sz w:val="24"/>
          <w:szCs w:val="24"/>
        </w:rPr>
        <w:t xml:space="preserve"> remote work trends to adapt to the changing landscape. </w:t>
      </w:r>
      <w:r w:rsidR="00B61753" w:rsidRPr="00D574A2">
        <w:rPr>
          <w:rFonts w:ascii="Times New Roman" w:hAnsi="Times New Roman" w:cs="Times New Roman"/>
          <w:sz w:val="24"/>
          <w:szCs w:val="24"/>
        </w:rPr>
        <w:t>In addition, the study looks at the emerging changes in human resourcing strategies in the post-</w:t>
      </w:r>
      <w:proofErr w:type="spellStart"/>
      <w:r w:rsidR="00B61753" w:rsidRPr="00D574A2">
        <w:rPr>
          <w:rFonts w:ascii="Times New Roman" w:hAnsi="Times New Roman" w:cs="Times New Roman"/>
          <w:sz w:val="24"/>
          <w:szCs w:val="24"/>
        </w:rPr>
        <w:t>Covid</w:t>
      </w:r>
      <w:proofErr w:type="spellEnd"/>
      <w:r w:rsidR="00B61753" w:rsidRPr="00D574A2">
        <w:rPr>
          <w:rFonts w:ascii="Times New Roman" w:hAnsi="Times New Roman" w:cs="Times New Roman"/>
          <w:sz w:val="24"/>
          <w:szCs w:val="24"/>
        </w:rPr>
        <w:t>, post-Brexit</w:t>
      </w:r>
      <w:r w:rsidR="00127094" w:rsidRPr="00D574A2">
        <w:rPr>
          <w:rFonts w:ascii="Times New Roman" w:hAnsi="Times New Roman" w:cs="Times New Roman"/>
          <w:sz w:val="24"/>
          <w:szCs w:val="24"/>
        </w:rPr>
        <w:t>, and how the future HRM post Covid-19 and post Brexit.</w:t>
      </w:r>
    </w:p>
    <w:p w:rsidR="00B61753" w:rsidRPr="00D574A2" w:rsidRDefault="00127094" w:rsidP="00D574A2">
      <w:pPr>
        <w:pStyle w:val="Heading1"/>
        <w:spacing w:line="480" w:lineRule="auto"/>
        <w:rPr>
          <w:rFonts w:ascii="Times New Roman" w:hAnsi="Times New Roman" w:cs="Times New Roman"/>
          <w:color w:val="auto"/>
          <w:sz w:val="24"/>
          <w:szCs w:val="24"/>
        </w:rPr>
      </w:pPr>
      <w:bookmarkStart w:id="1" w:name="_Toc141453111"/>
      <w:r w:rsidRPr="00D574A2">
        <w:rPr>
          <w:rFonts w:ascii="Times New Roman" w:hAnsi="Times New Roman" w:cs="Times New Roman"/>
          <w:b/>
          <w:bCs/>
          <w:color w:val="auto"/>
          <w:sz w:val="24"/>
          <w:szCs w:val="24"/>
        </w:rPr>
        <w:t xml:space="preserve">1.1 </w:t>
      </w:r>
      <w:r w:rsidR="00B61753" w:rsidRPr="00D574A2">
        <w:rPr>
          <w:rFonts w:ascii="Times New Roman" w:hAnsi="Times New Roman" w:cs="Times New Roman"/>
          <w:b/>
          <w:bCs/>
          <w:color w:val="auto"/>
          <w:sz w:val="24"/>
          <w:szCs w:val="24"/>
        </w:rPr>
        <w:t>The Current State of the Labour Market in the UK</w:t>
      </w:r>
      <w:bookmarkEnd w:id="1"/>
    </w:p>
    <w:p w:rsidR="00DB75F4" w:rsidRPr="00D574A2" w:rsidRDefault="00DB75F4" w:rsidP="00D574A2">
      <w:pPr>
        <w:pStyle w:val="Heading3"/>
        <w:spacing w:line="480" w:lineRule="auto"/>
        <w:rPr>
          <w:rFonts w:ascii="Times New Roman" w:hAnsi="Times New Roman" w:cs="Times New Roman"/>
          <w:color w:val="auto"/>
        </w:rPr>
      </w:pPr>
      <w:bookmarkStart w:id="2" w:name="_Toc141453112"/>
      <w:r w:rsidRPr="00D574A2">
        <w:rPr>
          <w:rFonts w:ascii="Times New Roman" w:hAnsi="Times New Roman" w:cs="Times New Roman"/>
          <w:b/>
          <w:bCs/>
          <w:color w:val="auto"/>
        </w:rPr>
        <w:t>1.</w:t>
      </w:r>
      <w:r w:rsidR="00127094" w:rsidRPr="00D574A2">
        <w:rPr>
          <w:rFonts w:ascii="Times New Roman" w:hAnsi="Times New Roman" w:cs="Times New Roman"/>
          <w:b/>
          <w:bCs/>
          <w:color w:val="auto"/>
        </w:rPr>
        <w:t>1.1</w:t>
      </w:r>
      <w:r w:rsidRPr="00D574A2">
        <w:rPr>
          <w:rFonts w:ascii="Times New Roman" w:hAnsi="Times New Roman" w:cs="Times New Roman"/>
          <w:b/>
          <w:bCs/>
          <w:color w:val="auto"/>
        </w:rPr>
        <w:t xml:space="preserve"> Unemployment Rates</w:t>
      </w:r>
      <w:bookmarkEnd w:id="2"/>
    </w:p>
    <w:p w:rsidR="00DB75F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UK's employment and unemployment rates have been closely monitored indicators of the nation's economic health. According to recent data from the Office for National Statistics (ONS), the UK's unemployment rate has remained steady at a 44-year low, reflecting a relatively stable job market (Ferreira, 2022). Despite the challenges posed by Brexit and the COVID-19 pandemic, the </w:t>
      </w:r>
      <w:r w:rsidR="00127094"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has shown resilience, albeit with specific shifts in industry and job sector composition.</w:t>
      </w:r>
    </w:p>
    <w:p w:rsidR="00B91BAA" w:rsidRPr="00D574A2" w:rsidRDefault="00B91BAA"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ONS reports also reveal that the employment rate in the UK has experienced fluctuations due to external factors like the pandemic, Brexit uncertainty, and changing consumer demands. However, the implementation of flexible working arrangements and remote work opportunities has contributed to maintaining a relatively stable employment rate. The gig economy and platform capitalism have further influenced the employment landscape, with flexible work practices becoming a sought-after benefit for employees (Francis-Devine et al., 2023).</w:t>
      </w:r>
    </w:p>
    <w:p w:rsidR="00787022" w:rsidRPr="00D574A2" w:rsidRDefault="00810DC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UK’s unemployment rate has been declining over the last decades before </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19 below 4.0% (Figure 1). </w:t>
      </w:r>
      <w:r w:rsidR="00C806C6" w:rsidRPr="00D574A2">
        <w:rPr>
          <w:rFonts w:ascii="Times New Roman" w:hAnsi="Times New Roman" w:cs="Times New Roman"/>
          <w:sz w:val="24"/>
          <w:szCs w:val="24"/>
        </w:rPr>
        <w:t>Although</w:t>
      </w:r>
      <w:r w:rsidRPr="00D574A2">
        <w:rPr>
          <w:rFonts w:ascii="Times New Roman" w:hAnsi="Times New Roman" w:cs="Times New Roman"/>
          <w:sz w:val="24"/>
          <w:szCs w:val="24"/>
        </w:rPr>
        <w:t>, there was no significant changes of unemployment</w:t>
      </w:r>
      <w:r w:rsidR="00C806C6" w:rsidRPr="00D574A2">
        <w:rPr>
          <w:rFonts w:ascii="Times New Roman" w:hAnsi="Times New Roman" w:cs="Times New Roman"/>
          <w:sz w:val="24"/>
          <w:szCs w:val="24"/>
        </w:rPr>
        <w:t xml:space="preserve"> post Covid-19, </w:t>
      </w:r>
      <w:r w:rsidR="00C806C6" w:rsidRPr="00D574A2">
        <w:rPr>
          <w:rFonts w:ascii="Times New Roman" w:hAnsi="Times New Roman" w:cs="Times New Roman"/>
          <w:sz w:val="24"/>
          <w:szCs w:val="24"/>
        </w:rPr>
        <w:lastRenderedPageBreak/>
        <w:t xml:space="preserve">there was </w:t>
      </w:r>
      <w:r w:rsidRPr="00D574A2">
        <w:rPr>
          <w:rFonts w:ascii="Times New Roman" w:hAnsi="Times New Roman" w:cs="Times New Roman"/>
          <w:sz w:val="24"/>
          <w:szCs w:val="24"/>
        </w:rPr>
        <w:t xml:space="preserve">a hike in unemployment </w:t>
      </w:r>
      <w:r w:rsidR="00C806C6" w:rsidRPr="00D574A2">
        <w:rPr>
          <w:rFonts w:ascii="Times New Roman" w:hAnsi="Times New Roman" w:cs="Times New Roman"/>
          <w:sz w:val="24"/>
          <w:szCs w:val="24"/>
        </w:rPr>
        <w:t>Post Brexit to a high of</w:t>
      </w:r>
      <w:r w:rsidRPr="00D574A2">
        <w:rPr>
          <w:rFonts w:ascii="Times New Roman" w:hAnsi="Times New Roman" w:cs="Times New Roman"/>
          <w:sz w:val="24"/>
          <w:szCs w:val="24"/>
        </w:rPr>
        <w:t xml:space="preserve"> 5.0% at the end of 2021 </w:t>
      </w:r>
      <w:r w:rsidR="00C806C6" w:rsidRPr="00D574A2">
        <w:rPr>
          <w:rFonts w:ascii="Times New Roman" w:hAnsi="Times New Roman" w:cs="Times New Roman"/>
          <w:sz w:val="24"/>
          <w:szCs w:val="24"/>
        </w:rPr>
        <w:t xml:space="preserve">after </w:t>
      </w:r>
      <w:r w:rsidRPr="00D574A2">
        <w:rPr>
          <w:rFonts w:ascii="Times New Roman" w:hAnsi="Times New Roman" w:cs="Times New Roman"/>
          <w:sz w:val="24"/>
          <w:szCs w:val="24"/>
        </w:rPr>
        <w:t xml:space="preserve">which </w:t>
      </w:r>
      <w:r w:rsidR="00C806C6" w:rsidRPr="00D574A2">
        <w:rPr>
          <w:rFonts w:ascii="Times New Roman" w:hAnsi="Times New Roman" w:cs="Times New Roman"/>
          <w:sz w:val="24"/>
          <w:szCs w:val="24"/>
        </w:rPr>
        <w:t xml:space="preserve">unemployment </w:t>
      </w:r>
      <w:r w:rsidRPr="00D574A2">
        <w:rPr>
          <w:rFonts w:ascii="Times New Roman" w:hAnsi="Times New Roman" w:cs="Times New Roman"/>
          <w:sz w:val="24"/>
          <w:szCs w:val="24"/>
        </w:rPr>
        <w:t xml:space="preserve">declined again </w:t>
      </w:r>
      <w:r w:rsidR="00C806C6" w:rsidRPr="00D574A2">
        <w:rPr>
          <w:rFonts w:ascii="Times New Roman" w:hAnsi="Times New Roman" w:cs="Times New Roman"/>
          <w:sz w:val="24"/>
          <w:szCs w:val="24"/>
        </w:rPr>
        <w:t xml:space="preserve">to 3.8% at the end of 2022. </w:t>
      </w:r>
      <w:r w:rsidRPr="00D574A2">
        <w:rPr>
          <w:rFonts w:ascii="Times New Roman" w:hAnsi="Times New Roman" w:cs="Times New Roman"/>
          <w:sz w:val="24"/>
          <w:szCs w:val="24"/>
        </w:rPr>
        <w:t xml:space="preserve"> But</w:t>
      </w:r>
      <w:r w:rsidR="00C806C6" w:rsidRPr="00D574A2">
        <w:rPr>
          <w:rFonts w:ascii="Times New Roman" w:hAnsi="Times New Roman" w:cs="Times New Roman"/>
          <w:sz w:val="24"/>
          <w:szCs w:val="24"/>
        </w:rPr>
        <w:t xml:space="preserve"> recently</w:t>
      </w:r>
      <w:r w:rsidRPr="00D574A2">
        <w:rPr>
          <w:rFonts w:ascii="Times New Roman" w:hAnsi="Times New Roman" w:cs="Times New Roman"/>
          <w:sz w:val="24"/>
          <w:szCs w:val="24"/>
        </w:rPr>
        <w:t xml:space="preserve"> in</w:t>
      </w:r>
      <w:r w:rsidR="00787022" w:rsidRPr="00D574A2">
        <w:rPr>
          <w:rFonts w:ascii="Times New Roman" w:hAnsi="Times New Roman" w:cs="Times New Roman"/>
          <w:sz w:val="24"/>
          <w:szCs w:val="24"/>
        </w:rPr>
        <w:t xml:space="preserve"> the three-month</w:t>
      </w:r>
      <w:r w:rsidRPr="00D574A2">
        <w:rPr>
          <w:rFonts w:ascii="Times New Roman" w:hAnsi="Times New Roman" w:cs="Times New Roman"/>
          <w:sz w:val="24"/>
          <w:szCs w:val="24"/>
        </w:rPr>
        <w:t xml:space="preserve"> period ending in May 2023, there has been </w:t>
      </w:r>
      <w:r w:rsidR="00C806C6" w:rsidRPr="00D574A2">
        <w:rPr>
          <w:rFonts w:ascii="Times New Roman" w:hAnsi="Times New Roman" w:cs="Times New Roman"/>
          <w:sz w:val="24"/>
          <w:szCs w:val="24"/>
        </w:rPr>
        <w:t xml:space="preserve">rise in </w:t>
      </w:r>
      <w:r w:rsidR="00787022" w:rsidRPr="00D574A2">
        <w:rPr>
          <w:rFonts w:ascii="Times New Roman" w:hAnsi="Times New Roman" w:cs="Times New Roman"/>
          <w:sz w:val="24"/>
          <w:szCs w:val="24"/>
        </w:rPr>
        <w:t>unemployment rate, reaching 4.0 percent. This level was the highest recorded since the fourth quarter of 2021 and exceeded market expectations, which had</w:t>
      </w:r>
      <w:r w:rsidR="00C806C6" w:rsidRPr="00D574A2">
        <w:rPr>
          <w:rFonts w:ascii="Times New Roman" w:hAnsi="Times New Roman" w:cs="Times New Roman"/>
          <w:sz w:val="24"/>
          <w:szCs w:val="24"/>
        </w:rPr>
        <w:t xml:space="preserve"> projected it to be 3.8 percent (Ferreira, 2022).</w:t>
      </w:r>
    </w:p>
    <w:p w:rsidR="00C806C6" w:rsidRPr="00D574A2" w:rsidRDefault="00787022" w:rsidP="00D574A2">
      <w:pPr>
        <w:keepNext/>
        <w:spacing w:line="480" w:lineRule="auto"/>
        <w:jc w:val="both"/>
      </w:pPr>
      <w:r w:rsidRPr="00D574A2">
        <w:rPr>
          <w:rFonts w:ascii="Times New Roman" w:hAnsi="Times New Roman" w:cs="Times New Roman"/>
          <w:noProof/>
          <w:sz w:val="24"/>
          <w:szCs w:val="24"/>
        </w:rPr>
        <w:drawing>
          <wp:inline distT="0" distB="0" distL="0" distR="0" wp14:anchorId="2EB3C6A4" wp14:editId="41D84158">
            <wp:extent cx="5648325" cy="2524125"/>
            <wp:effectExtent l="0" t="0" r="9525" b="9525"/>
            <wp:docPr id="1" name="Picture 1" descr="United Kingdom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Kingdom Unemployment Rate"/>
                    <pic:cNvPicPr>
                      <a:picLocks noChangeAspect="1" noChangeArrowheads="1"/>
                    </pic:cNvPicPr>
                  </pic:nvPicPr>
                  <pic:blipFill rotWithShape="1">
                    <a:blip r:embed="rId8">
                      <a:extLst>
                        <a:ext uri="{28A0092B-C50C-407E-A947-70E740481C1C}">
                          <a14:useLocalDpi xmlns:a14="http://schemas.microsoft.com/office/drawing/2010/main" val="0"/>
                        </a:ext>
                      </a:extLst>
                    </a:blip>
                    <a:srcRect r="1451" b="5425"/>
                    <a:stretch/>
                  </pic:blipFill>
                  <pic:spPr bwMode="auto">
                    <a:xfrm>
                      <a:off x="0" y="0"/>
                      <a:ext cx="5648325" cy="2524125"/>
                    </a:xfrm>
                    <a:prstGeom prst="rect">
                      <a:avLst/>
                    </a:prstGeom>
                    <a:noFill/>
                    <a:ln>
                      <a:noFill/>
                    </a:ln>
                    <a:extLst>
                      <a:ext uri="{53640926-AAD7-44D8-BBD7-CCE9431645EC}">
                        <a14:shadowObscured xmlns:a14="http://schemas.microsoft.com/office/drawing/2010/main"/>
                      </a:ext>
                    </a:extLst>
                  </pic:spPr>
                </pic:pic>
              </a:graphicData>
            </a:graphic>
          </wp:inline>
        </w:drawing>
      </w:r>
    </w:p>
    <w:p w:rsidR="00787022" w:rsidRPr="00D574A2" w:rsidRDefault="00C806C6" w:rsidP="00D574A2">
      <w:pPr>
        <w:pStyle w:val="Caption"/>
        <w:spacing w:after="0" w:line="480" w:lineRule="auto"/>
        <w:jc w:val="center"/>
        <w:rPr>
          <w:rFonts w:ascii="Times New Roman" w:hAnsi="Times New Roman" w:cs="Times New Roman"/>
          <w:i w:val="0"/>
          <w:color w:val="auto"/>
          <w:sz w:val="24"/>
          <w:szCs w:val="24"/>
        </w:rPr>
      </w:pPr>
      <w:r w:rsidRPr="00D574A2">
        <w:rPr>
          <w:rFonts w:ascii="Times New Roman" w:hAnsi="Times New Roman" w:cs="Times New Roman"/>
          <w:i w:val="0"/>
          <w:color w:val="auto"/>
          <w:sz w:val="24"/>
          <w:szCs w:val="24"/>
        </w:rPr>
        <w:t xml:space="preserve">Figure </w:t>
      </w:r>
      <w:r w:rsidRPr="00D574A2">
        <w:rPr>
          <w:rFonts w:ascii="Times New Roman" w:hAnsi="Times New Roman" w:cs="Times New Roman"/>
          <w:i w:val="0"/>
          <w:color w:val="auto"/>
          <w:sz w:val="24"/>
          <w:szCs w:val="24"/>
        </w:rPr>
        <w:fldChar w:fldCharType="begin"/>
      </w:r>
      <w:r w:rsidRPr="00D574A2">
        <w:rPr>
          <w:rFonts w:ascii="Times New Roman" w:hAnsi="Times New Roman" w:cs="Times New Roman"/>
          <w:i w:val="0"/>
          <w:color w:val="auto"/>
          <w:sz w:val="24"/>
          <w:szCs w:val="24"/>
        </w:rPr>
        <w:instrText xml:space="preserve"> SEQ Figure \* ARABIC </w:instrText>
      </w:r>
      <w:r w:rsidRPr="00D574A2">
        <w:rPr>
          <w:rFonts w:ascii="Times New Roman" w:hAnsi="Times New Roman" w:cs="Times New Roman"/>
          <w:i w:val="0"/>
          <w:color w:val="auto"/>
          <w:sz w:val="24"/>
          <w:szCs w:val="24"/>
        </w:rPr>
        <w:fldChar w:fldCharType="separate"/>
      </w:r>
      <w:r w:rsidRPr="00D574A2">
        <w:rPr>
          <w:rFonts w:ascii="Times New Roman" w:hAnsi="Times New Roman" w:cs="Times New Roman"/>
          <w:i w:val="0"/>
          <w:noProof/>
          <w:color w:val="auto"/>
          <w:sz w:val="24"/>
          <w:szCs w:val="24"/>
        </w:rPr>
        <w:t>1</w:t>
      </w:r>
      <w:r w:rsidRPr="00D574A2">
        <w:rPr>
          <w:rFonts w:ascii="Times New Roman" w:hAnsi="Times New Roman" w:cs="Times New Roman"/>
          <w:i w:val="0"/>
          <w:color w:val="auto"/>
          <w:sz w:val="24"/>
          <w:szCs w:val="24"/>
        </w:rPr>
        <w:fldChar w:fldCharType="end"/>
      </w:r>
      <w:r w:rsidRPr="00D574A2">
        <w:rPr>
          <w:rFonts w:ascii="Times New Roman" w:hAnsi="Times New Roman" w:cs="Times New Roman"/>
          <w:i w:val="0"/>
          <w:color w:val="auto"/>
          <w:sz w:val="24"/>
          <w:szCs w:val="24"/>
        </w:rPr>
        <w:t>: Trend of UK' Unemployment Rate</w:t>
      </w:r>
      <w:r w:rsidRPr="00D574A2">
        <w:rPr>
          <w:rFonts w:ascii="Times New Roman" w:hAnsi="Times New Roman" w:cs="Times New Roman"/>
          <w:i w:val="0"/>
          <w:noProof/>
          <w:color w:val="auto"/>
          <w:sz w:val="24"/>
          <w:szCs w:val="24"/>
        </w:rPr>
        <w:t xml:space="preserve"> in a Decade</w:t>
      </w:r>
    </w:p>
    <w:p w:rsidR="00810DCC" w:rsidRPr="00D574A2" w:rsidRDefault="00C806C6" w:rsidP="00D574A2">
      <w:pPr>
        <w:spacing w:after="0" w:line="480" w:lineRule="auto"/>
        <w:jc w:val="both"/>
        <w:rPr>
          <w:rFonts w:ascii="Times New Roman" w:hAnsi="Times New Roman" w:cs="Times New Roman"/>
          <w:sz w:val="24"/>
          <w:szCs w:val="24"/>
        </w:rPr>
      </w:pPr>
      <w:r w:rsidRPr="00D574A2">
        <w:rPr>
          <w:rFonts w:ascii="Times New Roman" w:hAnsi="Times New Roman" w:cs="Times New Roman"/>
          <w:sz w:val="24"/>
          <w:szCs w:val="24"/>
        </w:rPr>
        <w:t>Source: Trading Economics (https://tradingeconomics.com/united-kingdom/unemployment-rate)</w:t>
      </w:r>
    </w:p>
    <w:p w:rsidR="00B91BAA" w:rsidRPr="00D574A2" w:rsidRDefault="00B91BAA" w:rsidP="00D574A2">
      <w:pPr>
        <w:spacing w:line="480" w:lineRule="auto"/>
        <w:jc w:val="both"/>
        <w:rPr>
          <w:rFonts w:ascii="Times New Roman" w:hAnsi="Times New Roman" w:cs="Times New Roman"/>
          <w:sz w:val="24"/>
          <w:szCs w:val="24"/>
        </w:rPr>
      </w:pPr>
    </w:p>
    <w:p w:rsidR="00787022" w:rsidRPr="00D574A2" w:rsidRDefault="00787022"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In terms of wages, there was a significant year-over-year increase of 7.3 percent (excluding bonuses) for the three months ending in May. This increase was the highest observed outside the context of the COVID-19 epidemic and exceeded the forecasted growth of 7.1 percent. Moreover, there was an acceleration in salary increases, reaching 6.9 percent, which surpassed the in</w:t>
      </w:r>
      <w:r w:rsidR="00C806C6" w:rsidRPr="00D574A2">
        <w:rPr>
          <w:rFonts w:ascii="Times New Roman" w:hAnsi="Times New Roman" w:cs="Times New Roman"/>
          <w:sz w:val="24"/>
          <w:szCs w:val="24"/>
        </w:rPr>
        <w:t>itial projection of 6.8 percent (Ferreira, 2022).</w:t>
      </w:r>
    </w:p>
    <w:p w:rsidR="00DB75F4" w:rsidRPr="00D574A2" w:rsidRDefault="00127094" w:rsidP="00D574A2">
      <w:pPr>
        <w:pStyle w:val="Heading3"/>
        <w:spacing w:line="480" w:lineRule="auto"/>
        <w:rPr>
          <w:rFonts w:ascii="Times New Roman" w:hAnsi="Times New Roman" w:cs="Times New Roman"/>
          <w:color w:val="auto"/>
        </w:rPr>
      </w:pPr>
      <w:bookmarkStart w:id="3" w:name="_Toc141453113"/>
      <w:r w:rsidRPr="00D574A2">
        <w:rPr>
          <w:rFonts w:ascii="Times New Roman" w:hAnsi="Times New Roman" w:cs="Times New Roman"/>
          <w:b/>
          <w:bCs/>
          <w:color w:val="auto"/>
        </w:rPr>
        <w:lastRenderedPageBreak/>
        <w:t>1.1.2</w:t>
      </w:r>
      <w:r w:rsidR="00DB75F4" w:rsidRPr="00D574A2">
        <w:rPr>
          <w:rFonts w:ascii="Times New Roman" w:hAnsi="Times New Roman" w:cs="Times New Roman"/>
          <w:b/>
          <w:bCs/>
          <w:color w:val="auto"/>
        </w:rPr>
        <w:t xml:space="preserve"> Impact of Brexit on </w:t>
      </w:r>
      <w:r w:rsidR="00B91BAA" w:rsidRPr="00D574A2">
        <w:rPr>
          <w:rFonts w:ascii="Times New Roman" w:hAnsi="Times New Roman" w:cs="Times New Roman"/>
          <w:b/>
          <w:bCs/>
          <w:color w:val="auto"/>
        </w:rPr>
        <w:t>Labour</w:t>
      </w:r>
      <w:r w:rsidR="00DB75F4" w:rsidRPr="00D574A2">
        <w:rPr>
          <w:rFonts w:ascii="Times New Roman" w:hAnsi="Times New Roman" w:cs="Times New Roman"/>
          <w:b/>
          <w:bCs/>
          <w:color w:val="auto"/>
        </w:rPr>
        <w:t xml:space="preserve"> Market Dynamics</w:t>
      </w:r>
      <w:bookmarkEnd w:id="3"/>
    </w:p>
    <w:p w:rsidR="00DB75F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Brexit, the UK's withdra</w:t>
      </w:r>
      <w:r w:rsidR="00B91BAA" w:rsidRPr="00D574A2">
        <w:rPr>
          <w:rFonts w:ascii="Times New Roman" w:hAnsi="Times New Roman" w:cs="Times New Roman"/>
          <w:sz w:val="24"/>
          <w:szCs w:val="24"/>
        </w:rPr>
        <w:t>wal from the European Union,</w:t>
      </w:r>
      <w:r w:rsidRPr="00D574A2">
        <w:rPr>
          <w:rFonts w:ascii="Times New Roman" w:hAnsi="Times New Roman" w:cs="Times New Roman"/>
          <w:sz w:val="24"/>
          <w:szCs w:val="24"/>
        </w:rPr>
        <w:t xml:space="preserve"> had profound implications for the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w:t>
      </w:r>
      <w:r w:rsidR="00B91BAA" w:rsidRPr="00D574A2">
        <w:rPr>
          <w:rFonts w:ascii="Times New Roman" w:hAnsi="Times New Roman" w:cs="Times New Roman"/>
          <w:sz w:val="24"/>
          <w:szCs w:val="24"/>
          <w:lang w:val="en-US"/>
        </w:rPr>
        <w:t>Issues</w:t>
      </w:r>
      <w:r w:rsidRPr="00D574A2">
        <w:rPr>
          <w:rFonts w:ascii="Times New Roman" w:hAnsi="Times New Roman" w:cs="Times New Roman"/>
          <w:sz w:val="24"/>
          <w:szCs w:val="24"/>
        </w:rPr>
        <w:t xml:space="preserve"> surrounding potential changes in the movem</w:t>
      </w:r>
      <w:r w:rsidR="00B91BAA" w:rsidRPr="00D574A2">
        <w:rPr>
          <w:rFonts w:ascii="Times New Roman" w:hAnsi="Times New Roman" w:cs="Times New Roman"/>
          <w:sz w:val="24"/>
          <w:szCs w:val="24"/>
        </w:rPr>
        <w:t>ent of talent within the EU</w:t>
      </w:r>
      <w:r w:rsidRPr="00D574A2">
        <w:rPr>
          <w:rFonts w:ascii="Times New Roman" w:hAnsi="Times New Roman" w:cs="Times New Roman"/>
          <w:sz w:val="24"/>
          <w:szCs w:val="24"/>
        </w:rPr>
        <w:t xml:space="preserve"> led to challenges in employee resourcing. The perception that migrant workers from the EU are predominantly employed in unskilled or lower-skilled jobs </w:t>
      </w:r>
      <w:r w:rsidR="00B91BAA" w:rsidRPr="00D574A2">
        <w:rPr>
          <w:rFonts w:ascii="Times New Roman" w:hAnsi="Times New Roman" w:cs="Times New Roman"/>
          <w:sz w:val="24"/>
          <w:szCs w:val="24"/>
        </w:rPr>
        <w:t>had</w:t>
      </w:r>
      <w:r w:rsidRPr="00D574A2">
        <w:rPr>
          <w:rFonts w:ascii="Times New Roman" w:hAnsi="Times New Roman" w:cs="Times New Roman"/>
          <w:sz w:val="24"/>
          <w:szCs w:val="24"/>
        </w:rPr>
        <w:t xml:space="preserve"> implications for skills development and investment by employers.</w:t>
      </w:r>
      <w:r w:rsidR="00B91BAA" w:rsidRPr="00D574A2">
        <w:rPr>
          <w:rFonts w:ascii="Times New Roman" w:hAnsi="Times New Roman" w:cs="Times New Roman"/>
          <w:sz w:val="24"/>
          <w:szCs w:val="24"/>
        </w:rPr>
        <w:t xml:space="preserve"> Consequently, Brexit </w:t>
      </w:r>
      <w:r w:rsidRPr="00D574A2">
        <w:rPr>
          <w:rFonts w:ascii="Times New Roman" w:hAnsi="Times New Roman" w:cs="Times New Roman"/>
          <w:sz w:val="24"/>
          <w:szCs w:val="24"/>
        </w:rPr>
        <w:t>triggered a need to re-skill or up-skill workers to attract British talent to less attractive job roles traditionally occupied by EU migrants. Moreove</w:t>
      </w:r>
      <w:r w:rsidR="00B91BAA" w:rsidRPr="00D574A2">
        <w:rPr>
          <w:rFonts w:ascii="Times New Roman" w:hAnsi="Times New Roman" w:cs="Times New Roman"/>
          <w:sz w:val="24"/>
          <w:szCs w:val="24"/>
        </w:rPr>
        <w:t>r, the UK's exit from the EU resulted in</w:t>
      </w:r>
      <w:r w:rsidRPr="00D574A2">
        <w:rPr>
          <w:rFonts w:ascii="Times New Roman" w:hAnsi="Times New Roman" w:cs="Times New Roman"/>
          <w:sz w:val="24"/>
          <w:szCs w:val="24"/>
        </w:rPr>
        <w:t xml:space="preserve"> increased demand for non-EU migrant workers to fill skill gaps in the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(Ridgway, 2019).</w:t>
      </w:r>
    </w:p>
    <w:p w:rsidR="00DB75F4" w:rsidRPr="00D574A2" w:rsidRDefault="00127094" w:rsidP="00D574A2">
      <w:pPr>
        <w:pStyle w:val="Heading3"/>
        <w:spacing w:line="480" w:lineRule="auto"/>
        <w:rPr>
          <w:rFonts w:ascii="Times New Roman" w:hAnsi="Times New Roman" w:cs="Times New Roman"/>
          <w:color w:val="auto"/>
        </w:rPr>
      </w:pPr>
      <w:bookmarkStart w:id="4" w:name="_Toc141453114"/>
      <w:r w:rsidRPr="00D574A2">
        <w:rPr>
          <w:rFonts w:ascii="Times New Roman" w:hAnsi="Times New Roman" w:cs="Times New Roman"/>
          <w:b/>
          <w:bCs/>
          <w:color w:val="auto"/>
        </w:rPr>
        <w:t>1.1.</w:t>
      </w:r>
      <w:r w:rsidR="00DB75F4" w:rsidRPr="00D574A2">
        <w:rPr>
          <w:rFonts w:ascii="Times New Roman" w:hAnsi="Times New Roman" w:cs="Times New Roman"/>
          <w:b/>
          <w:bCs/>
          <w:color w:val="auto"/>
        </w:rPr>
        <w:t>3. Remote Work Trends and HRM Strategies</w:t>
      </w:r>
      <w:bookmarkEnd w:id="4"/>
    </w:p>
    <w:p w:rsidR="00DB75F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COVID-19 pandemic accelerated the adoption of remote work practices and transformed the landscape of work in the UK. Organizations rapidly invested in technology infrastructure and digital tools to enable seamless remote work practices and maintain employee engagement (</w:t>
      </w:r>
      <w:r w:rsidR="00B91BAA" w:rsidRPr="00D574A2">
        <w:rPr>
          <w:rFonts w:ascii="Times New Roman" w:hAnsi="Times New Roman" w:cs="Times New Roman"/>
          <w:sz w:val="24"/>
          <w:szCs w:val="24"/>
        </w:rPr>
        <w:t>HRM departments</w:t>
      </w:r>
      <w:r w:rsidRPr="00D574A2">
        <w:rPr>
          <w:rFonts w:ascii="Times New Roman" w:hAnsi="Times New Roman" w:cs="Times New Roman"/>
          <w:sz w:val="24"/>
          <w:szCs w:val="24"/>
        </w:rPr>
        <w:t xml:space="preserve"> played a crucial role in fostering a sense of organizational culture and belonging among remote and hybrid teams through consistent communication and virtual team-building activities</w:t>
      </w:r>
      <w:r w:rsidR="00B91BAA" w:rsidRPr="00D574A2">
        <w:rPr>
          <w:rFonts w:ascii="Times New Roman" w:hAnsi="Times New Roman" w:cs="Times New Roman"/>
          <w:sz w:val="24"/>
          <w:szCs w:val="24"/>
        </w:rPr>
        <w:t>. Moreover, HRM practices</w:t>
      </w:r>
      <w:r w:rsidRPr="00D574A2">
        <w:rPr>
          <w:rFonts w:ascii="Times New Roman" w:hAnsi="Times New Roman" w:cs="Times New Roman"/>
          <w:sz w:val="24"/>
          <w:szCs w:val="24"/>
        </w:rPr>
        <w:t xml:space="preserve"> shifted to attract and retain top talent in the post-pandemic era, placing greater emphasis on remote work opportunities, flexible benefits, and caree</w:t>
      </w:r>
      <w:r w:rsidR="00B91BAA" w:rsidRPr="00D574A2">
        <w:rPr>
          <w:rFonts w:ascii="Times New Roman" w:hAnsi="Times New Roman" w:cs="Times New Roman"/>
          <w:sz w:val="24"/>
          <w:szCs w:val="24"/>
        </w:rPr>
        <w:t>r development programs. Organizations</w:t>
      </w:r>
      <w:r w:rsidRPr="00D574A2">
        <w:rPr>
          <w:rFonts w:ascii="Times New Roman" w:hAnsi="Times New Roman" w:cs="Times New Roman"/>
          <w:sz w:val="24"/>
          <w:szCs w:val="24"/>
        </w:rPr>
        <w:t xml:space="preserve"> expanded their talent pool by attracting talent from diverse geographic locations through remote work, leading to increased workforce diversity (Management Study Guide, n.d.).</w:t>
      </w:r>
    </w:p>
    <w:p w:rsidR="00DB75F4" w:rsidRPr="00D574A2" w:rsidRDefault="00127094" w:rsidP="00D574A2">
      <w:pPr>
        <w:pStyle w:val="Heading3"/>
        <w:spacing w:line="480" w:lineRule="auto"/>
        <w:rPr>
          <w:rFonts w:ascii="Times New Roman" w:hAnsi="Times New Roman" w:cs="Times New Roman"/>
          <w:color w:val="auto"/>
        </w:rPr>
      </w:pPr>
      <w:bookmarkStart w:id="5" w:name="_Toc141453115"/>
      <w:r w:rsidRPr="00D574A2">
        <w:rPr>
          <w:rFonts w:ascii="Times New Roman" w:hAnsi="Times New Roman" w:cs="Times New Roman"/>
          <w:b/>
          <w:bCs/>
          <w:color w:val="auto"/>
        </w:rPr>
        <w:t>1.1.</w:t>
      </w:r>
      <w:r w:rsidR="00DB75F4" w:rsidRPr="00D574A2">
        <w:rPr>
          <w:rFonts w:ascii="Times New Roman" w:hAnsi="Times New Roman" w:cs="Times New Roman"/>
          <w:b/>
          <w:bCs/>
          <w:color w:val="auto"/>
        </w:rPr>
        <w:t>4. Impact of Millennials and the Gig Economy</w:t>
      </w:r>
      <w:bookmarkEnd w:id="5"/>
    </w:p>
    <w:p w:rsidR="00352EA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rise of the gig economy and the increasing representation of millennials in the workforce have </w:t>
      </w:r>
      <w:r w:rsidR="00B91BAA" w:rsidRPr="00D574A2">
        <w:rPr>
          <w:rFonts w:ascii="Times New Roman" w:hAnsi="Times New Roman" w:cs="Times New Roman"/>
          <w:sz w:val="24"/>
          <w:szCs w:val="24"/>
        </w:rPr>
        <w:t xml:space="preserve">also </w:t>
      </w:r>
      <w:r w:rsidRPr="00D574A2">
        <w:rPr>
          <w:rFonts w:ascii="Times New Roman" w:hAnsi="Times New Roman" w:cs="Times New Roman"/>
          <w:sz w:val="24"/>
          <w:szCs w:val="24"/>
        </w:rPr>
        <w:t xml:space="preserve">shaped </w:t>
      </w:r>
      <w:r w:rsidR="00B91BAA" w:rsidRPr="00D574A2">
        <w:rPr>
          <w:rFonts w:ascii="Times New Roman" w:hAnsi="Times New Roman" w:cs="Times New Roman"/>
          <w:sz w:val="24"/>
          <w:szCs w:val="24"/>
        </w:rPr>
        <w:t>the labour</w:t>
      </w:r>
      <w:r w:rsidRPr="00D574A2">
        <w:rPr>
          <w:rFonts w:ascii="Times New Roman" w:hAnsi="Times New Roman" w:cs="Times New Roman"/>
          <w:sz w:val="24"/>
          <w:szCs w:val="24"/>
        </w:rPr>
        <w:t xml:space="preserve"> market expectations and practices</w:t>
      </w:r>
      <w:r w:rsidR="00B91BAA" w:rsidRPr="00D574A2">
        <w:rPr>
          <w:rFonts w:ascii="Times New Roman" w:hAnsi="Times New Roman" w:cs="Times New Roman"/>
          <w:sz w:val="24"/>
          <w:szCs w:val="24"/>
        </w:rPr>
        <w:t xml:space="preserve"> in UK</w:t>
      </w:r>
      <w:r w:rsidRPr="00D574A2">
        <w:rPr>
          <w:rFonts w:ascii="Times New Roman" w:hAnsi="Times New Roman" w:cs="Times New Roman"/>
          <w:sz w:val="24"/>
          <w:szCs w:val="24"/>
        </w:rPr>
        <w:t>. With millennials constituting a significant proportion of the workforce, flexible work arrangements have become a standard expectation rather th</w:t>
      </w:r>
      <w:r w:rsidR="00843EDE" w:rsidRPr="00D574A2">
        <w:rPr>
          <w:rFonts w:ascii="Times New Roman" w:hAnsi="Times New Roman" w:cs="Times New Roman"/>
          <w:sz w:val="24"/>
          <w:szCs w:val="24"/>
        </w:rPr>
        <w:t xml:space="preserve">an just a sought-after benefit. </w:t>
      </w:r>
      <w:r w:rsidRPr="00D574A2">
        <w:rPr>
          <w:rFonts w:ascii="Times New Roman" w:hAnsi="Times New Roman" w:cs="Times New Roman"/>
          <w:sz w:val="24"/>
          <w:szCs w:val="24"/>
        </w:rPr>
        <w:t xml:space="preserve">Multi-skilled workforces are </w:t>
      </w:r>
      <w:r w:rsidRPr="00D574A2">
        <w:rPr>
          <w:rFonts w:ascii="Times New Roman" w:hAnsi="Times New Roman" w:cs="Times New Roman"/>
          <w:sz w:val="24"/>
          <w:szCs w:val="24"/>
        </w:rPr>
        <w:lastRenderedPageBreak/>
        <w:t xml:space="preserve">considered crucial for enhancing organizational resilience and enabling flexible working in </w:t>
      </w:r>
      <w:r w:rsidR="00843EDE" w:rsidRPr="00D574A2">
        <w:rPr>
          <w:rFonts w:ascii="Times New Roman" w:hAnsi="Times New Roman" w:cs="Times New Roman"/>
          <w:sz w:val="24"/>
          <w:szCs w:val="24"/>
        </w:rPr>
        <w:t xml:space="preserve">traditionally inflexible roles. </w:t>
      </w:r>
      <w:r w:rsidRPr="00D574A2">
        <w:rPr>
          <w:rFonts w:ascii="Times New Roman" w:hAnsi="Times New Roman" w:cs="Times New Roman"/>
          <w:sz w:val="24"/>
          <w:szCs w:val="24"/>
        </w:rPr>
        <w:t xml:space="preserve">However, the gig economy's </w:t>
      </w:r>
      <w:r w:rsidR="00843EDE" w:rsidRPr="00D574A2">
        <w:rPr>
          <w:rFonts w:ascii="Times New Roman" w:hAnsi="Times New Roman" w:cs="Times New Roman"/>
          <w:sz w:val="24"/>
          <w:szCs w:val="24"/>
        </w:rPr>
        <w:t>informalization</w:t>
      </w:r>
      <w:r w:rsidRPr="00D574A2">
        <w:rPr>
          <w:rFonts w:ascii="Times New Roman" w:hAnsi="Times New Roman" w:cs="Times New Roman"/>
          <w:sz w:val="24"/>
          <w:szCs w:val="24"/>
        </w:rPr>
        <w:t xml:space="preserve"> of work has also sparked debates about gig workers' employment status, with some forms, such as zero-hour contracts, being criticized for creating power imbalances (Francis-Devine et al., 2023). </w:t>
      </w:r>
      <w:r w:rsidR="00843EDE" w:rsidRPr="00D574A2">
        <w:rPr>
          <w:rFonts w:ascii="Times New Roman" w:hAnsi="Times New Roman" w:cs="Times New Roman"/>
          <w:sz w:val="24"/>
          <w:szCs w:val="24"/>
        </w:rPr>
        <w:t>Thus, there is the need for HRM departments to a</w:t>
      </w:r>
      <w:r w:rsidRPr="00D574A2">
        <w:rPr>
          <w:rFonts w:ascii="Times New Roman" w:hAnsi="Times New Roman" w:cs="Times New Roman"/>
          <w:sz w:val="24"/>
          <w:szCs w:val="24"/>
        </w:rPr>
        <w:t>ddress these challenges and find effective ways to manage and integrate gig workers into their organizations.</w:t>
      </w:r>
    </w:p>
    <w:p w:rsidR="00843EDE" w:rsidRPr="00D574A2" w:rsidRDefault="00843EDE" w:rsidP="00D574A2">
      <w:pPr>
        <w:spacing w:line="480" w:lineRule="auto"/>
        <w:jc w:val="both"/>
        <w:rPr>
          <w:rFonts w:ascii="Times New Roman" w:hAnsi="Times New Roman" w:cs="Times New Roman"/>
          <w:sz w:val="24"/>
          <w:szCs w:val="24"/>
        </w:rPr>
      </w:pPr>
    </w:p>
    <w:p w:rsidR="00352EA4" w:rsidRPr="00D574A2" w:rsidRDefault="00127094" w:rsidP="00D574A2">
      <w:pPr>
        <w:pStyle w:val="Heading2"/>
        <w:spacing w:line="480" w:lineRule="auto"/>
        <w:rPr>
          <w:rFonts w:ascii="Times New Roman" w:hAnsi="Times New Roman" w:cs="Times New Roman"/>
          <w:color w:val="auto"/>
          <w:sz w:val="24"/>
          <w:szCs w:val="24"/>
        </w:rPr>
      </w:pPr>
      <w:bookmarkStart w:id="6" w:name="_Toc141453116"/>
      <w:r w:rsidRPr="00D574A2">
        <w:rPr>
          <w:rFonts w:ascii="Times New Roman" w:hAnsi="Times New Roman" w:cs="Times New Roman"/>
          <w:b/>
          <w:bCs/>
          <w:color w:val="auto"/>
          <w:sz w:val="24"/>
          <w:szCs w:val="24"/>
        </w:rPr>
        <w:t xml:space="preserve">1.2 </w:t>
      </w:r>
      <w:r w:rsidR="00352EA4" w:rsidRPr="00D574A2">
        <w:rPr>
          <w:rFonts w:ascii="Times New Roman" w:hAnsi="Times New Roman" w:cs="Times New Roman"/>
          <w:b/>
          <w:bCs/>
          <w:color w:val="auto"/>
          <w:sz w:val="24"/>
          <w:szCs w:val="24"/>
        </w:rPr>
        <w:t>The Emerging Changes in Human Resourcing Strategies in the Post-</w:t>
      </w:r>
      <w:proofErr w:type="spellStart"/>
      <w:r w:rsidR="00352EA4" w:rsidRPr="00D574A2">
        <w:rPr>
          <w:rFonts w:ascii="Times New Roman" w:hAnsi="Times New Roman" w:cs="Times New Roman"/>
          <w:b/>
          <w:bCs/>
          <w:color w:val="auto"/>
          <w:sz w:val="24"/>
          <w:szCs w:val="24"/>
        </w:rPr>
        <w:t>Covid</w:t>
      </w:r>
      <w:proofErr w:type="spellEnd"/>
      <w:r w:rsidR="00352EA4" w:rsidRPr="00D574A2">
        <w:rPr>
          <w:rFonts w:ascii="Times New Roman" w:hAnsi="Times New Roman" w:cs="Times New Roman"/>
          <w:b/>
          <w:bCs/>
          <w:color w:val="auto"/>
          <w:sz w:val="24"/>
          <w:szCs w:val="24"/>
        </w:rPr>
        <w:t>, Post-Brexit External Environment</w:t>
      </w:r>
      <w:bookmarkEnd w:id="6"/>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In the wake of significant events such as Brexit and the COVID-19 pandemic, the</w:t>
      </w:r>
      <w:r w:rsidR="00843EDE" w:rsidRPr="00D574A2">
        <w:rPr>
          <w:rFonts w:ascii="Times New Roman" w:hAnsi="Times New Roman" w:cs="Times New Roman"/>
          <w:sz w:val="24"/>
          <w:szCs w:val="24"/>
        </w:rPr>
        <w:t xml:space="preserve"> HRM landscape in the UK </w:t>
      </w:r>
      <w:r w:rsidRPr="00D574A2">
        <w:rPr>
          <w:rFonts w:ascii="Times New Roman" w:hAnsi="Times New Roman" w:cs="Times New Roman"/>
          <w:sz w:val="24"/>
          <w:szCs w:val="24"/>
        </w:rPr>
        <w:t>witnessed profound transformations (</w:t>
      </w:r>
      <w:r w:rsidRPr="00D574A2">
        <w:rPr>
          <w:rFonts w:ascii="Times New Roman" w:hAnsi="Times New Roman" w:cs="Times New Roman"/>
          <w:iCs/>
          <w:sz w:val="24"/>
          <w:szCs w:val="24"/>
        </w:rPr>
        <w:t>Francis-Devine et al., 2023</w:t>
      </w:r>
      <w:r w:rsidR="00843EDE" w:rsidRPr="00D574A2">
        <w:rPr>
          <w:rFonts w:ascii="Times New Roman" w:hAnsi="Times New Roman" w:cs="Times New Roman"/>
          <w:sz w:val="24"/>
          <w:szCs w:val="24"/>
        </w:rPr>
        <w:t>). Organizations have</w:t>
      </w:r>
      <w:r w:rsidRPr="00D574A2">
        <w:rPr>
          <w:rFonts w:ascii="Times New Roman" w:hAnsi="Times New Roman" w:cs="Times New Roman"/>
          <w:sz w:val="24"/>
          <w:szCs w:val="24"/>
        </w:rPr>
        <w:t xml:space="preserve"> had to adapt to new challenges and uncertainties, leading to the emergence of innovative human resourcing strategies to navigate the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post-Brexit external environment (</w:t>
      </w:r>
      <w:r w:rsidRPr="00D574A2">
        <w:rPr>
          <w:rFonts w:ascii="Times New Roman" w:hAnsi="Times New Roman" w:cs="Times New Roman"/>
          <w:iCs/>
          <w:sz w:val="24"/>
          <w:szCs w:val="24"/>
        </w:rPr>
        <w:t>McIntyre, 2023</w:t>
      </w:r>
      <w:r w:rsidR="00843EDE" w:rsidRPr="00D574A2">
        <w:rPr>
          <w:rFonts w:ascii="Times New Roman" w:hAnsi="Times New Roman" w:cs="Times New Roman"/>
          <w:sz w:val="24"/>
          <w:szCs w:val="24"/>
        </w:rPr>
        <w:t>). This section discusses five major changes in HRM Post-</w:t>
      </w:r>
      <w:proofErr w:type="spellStart"/>
      <w:r w:rsidR="00843EDE" w:rsidRPr="00D574A2">
        <w:rPr>
          <w:rFonts w:ascii="Times New Roman" w:hAnsi="Times New Roman" w:cs="Times New Roman"/>
          <w:sz w:val="24"/>
          <w:szCs w:val="24"/>
        </w:rPr>
        <w:t>Covid</w:t>
      </w:r>
      <w:proofErr w:type="spellEnd"/>
      <w:r w:rsidR="00843EDE" w:rsidRPr="00D574A2">
        <w:rPr>
          <w:rFonts w:ascii="Times New Roman" w:hAnsi="Times New Roman" w:cs="Times New Roman"/>
          <w:sz w:val="24"/>
          <w:szCs w:val="24"/>
        </w:rPr>
        <w:t xml:space="preserve"> and Post Brexit.</w:t>
      </w:r>
    </w:p>
    <w:p w:rsidR="00843EDE" w:rsidRPr="00D574A2" w:rsidRDefault="00B4471C" w:rsidP="00D574A2">
      <w:pPr>
        <w:pStyle w:val="Heading3"/>
        <w:spacing w:line="480" w:lineRule="auto"/>
        <w:rPr>
          <w:rFonts w:ascii="Times New Roman" w:hAnsi="Times New Roman" w:cs="Times New Roman"/>
          <w:color w:val="auto"/>
        </w:rPr>
      </w:pPr>
      <w:bookmarkStart w:id="7" w:name="_Toc141453117"/>
      <w:r w:rsidRPr="00D574A2">
        <w:rPr>
          <w:rFonts w:ascii="Times New Roman" w:hAnsi="Times New Roman" w:cs="Times New Roman"/>
          <w:b/>
          <w:bCs/>
          <w:color w:val="auto"/>
        </w:rPr>
        <w:t>1.</w:t>
      </w:r>
      <w:r w:rsidR="00127094" w:rsidRPr="00D574A2">
        <w:rPr>
          <w:rFonts w:ascii="Times New Roman" w:hAnsi="Times New Roman" w:cs="Times New Roman"/>
          <w:b/>
          <w:bCs/>
          <w:color w:val="auto"/>
        </w:rPr>
        <w:t>2.1</w:t>
      </w:r>
      <w:r w:rsidRPr="00D574A2">
        <w:rPr>
          <w:rFonts w:ascii="Times New Roman" w:hAnsi="Times New Roman" w:cs="Times New Roman"/>
          <w:b/>
          <w:bCs/>
          <w:color w:val="auto"/>
        </w:rPr>
        <w:t xml:space="preserve"> Talent Attraction and Retention Strategies</w:t>
      </w:r>
      <w:bookmarkEnd w:id="7"/>
      <w:r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combinatio</w:t>
      </w:r>
      <w:r w:rsidR="00843EDE" w:rsidRPr="00D574A2">
        <w:rPr>
          <w:rFonts w:ascii="Times New Roman" w:hAnsi="Times New Roman" w:cs="Times New Roman"/>
          <w:sz w:val="24"/>
          <w:szCs w:val="24"/>
        </w:rPr>
        <w:t>n of Brexit and the pandemic has</w:t>
      </w:r>
      <w:r w:rsidRPr="00D574A2">
        <w:rPr>
          <w:rFonts w:ascii="Times New Roman" w:hAnsi="Times New Roman" w:cs="Times New Roman"/>
          <w:sz w:val="24"/>
          <w:szCs w:val="24"/>
        </w:rPr>
        <w:t xml:space="preserve"> intensified the competition for talent in the UK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w:t>
      </w:r>
      <w:r w:rsidRPr="00D574A2">
        <w:rPr>
          <w:rFonts w:ascii="Times New Roman" w:hAnsi="Times New Roman" w:cs="Times New Roman"/>
          <w:iCs/>
          <w:sz w:val="24"/>
          <w:szCs w:val="24"/>
        </w:rPr>
        <w:t>Ferreira, 2022</w:t>
      </w:r>
      <w:r w:rsidRPr="00D574A2">
        <w:rPr>
          <w:rFonts w:ascii="Times New Roman" w:hAnsi="Times New Roman" w:cs="Times New Roman"/>
          <w:sz w:val="24"/>
          <w:szCs w:val="24"/>
        </w:rPr>
        <w:t>). With potential changes in the movement of talent within the EU due to Brexit, organizations are now focusing on engaging strategies and employer brand development to attract and retain skilled workers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The UK's post-Brexit immigration system, which treats EU and non-EU citizens equally, necessitates employers to obtain a Sponsor Licence to recruit from outside the UK (</w:t>
      </w:r>
      <w:r w:rsidRPr="00D574A2">
        <w:rPr>
          <w:rFonts w:ascii="Times New Roman" w:hAnsi="Times New Roman" w:cs="Times New Roman"/>
          <w:iCs/>
          <w:sz w:val="24"/>
          <w:szCs w:val="24"/>
        </w:rPr>
        <w:t>Templeton, 2020</w:t>
      </w:r>
      <w:r w:rsidRPr="00D574A2">
        <w:rPr>
          <w:rFonts w:ascii="Times New Roman" w:hAnsi="Times New Roman" w:cs="Times New Roman"/>
          <w:sz w:val="24"/>
          <w:szCs w:val="24"/>
        </w:rPr>
        <w:t>). This has led to organizations proactively targeting recruitment campaigns outside of the EEA and exploring the gig economy as a source of talent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lastRenderedPageBreak/>
        <w:t>Furthermore, the shift to remote and hybrid work arrangements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has expanded the talent pool, enabling organizations to attract talent from diverse geographic locations and increase workforce diversity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 This has also changed the expectations of the workforce, particularly among millennials, who now view flexibility as a standard expectation rather than just a sought-after benefit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As a result, HRM departments are developing strategies to address the challenges of remote work, such as ensuring equitable access to resources and opportunities, combating feelings of isolation, and promoting work-life balance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843EDE" w:rsidRPr="00D574A2" w:rsidRDefault="00127094" w:rsidP="00D574A2">
      <w:pPr>
        <w:pStyle w:val="Heading3"/>
        <w:spacing w:line="480" w:lineRule="auto"/>
        <w:rPr>
          <w:rFonts w:ascii="Times New Roman" w:hAnsi="Times New Roman" w:cs="Times New Roman"/>
          <w:color w:val="auto"/>
        </w:rPr>
      </w:pPr>
      <w:bookmarkStart w:id="8" w:name="_Toc141453118"/>
      <w:r w:rsidRPr="00D574A2">
        <w:rPr>
          <w:rFonts w:ascii="Times New Roman" w:hAnsi="Times New Roman" w:cs="Times New Roman"/>
          <w:b/>
          <w:bCs/>
          <w:color w:val="auto"/>
        </w:rPr>
        <w:t>1.2.</w:t>
      </w:r>
      <w:r w:rsidR="00B4471C" w:rsidRPr="00D574A2">
        <w:rPr>
          <w:rFonts w:ascii="Times New Roman" w:hAnsi="Times New Roman" w:cs="Times New Roman"/>
          <w:b/>
          <w:bCs/>
          <w:color w:val="auto"/>
        </w:rPr>
        <w:t>2. Technology and HR Analytics</w:t>
      </w:r>
      <w:bookmarkEnd w:id="8"/>
      <w:r w:rsidR="00B4471C"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disruptions caused by Brexit and the COVID-19 pandemic have accelerated the adoption of technology and HR analytics in HRM practices. HRM departments have invested in technology infrastructure and digital tools to enable seamless remote work practices an</w:t>
      </w:r>
      <w:r w:rsidR="00843EDE" w:rsidRPr="00D574A2">
        <w:rPr>
          <w:rFonts w:ascii="Times New Roman" w:hAnsi="Times New Roman" w:cs="Times New Roman"/>
          <w:sz w:val="24"/>
          <w:szCs w:val="24"/>
        </w:rPr>
        <w:t xml:space="preserve">d maintain employee engagement. </w:t>
      </w:r>
      <w:r w:rsidRPr="00D574A2">
        <w:rPr>
          <w:rFonts w:ascii="Times New Roman" w:hAnsi="Times New Roman" w:cs="Times New Roman"/>
          <w:sz w:val="24"/>
          <w:szCs w:val="24"/>
        </w:rPr>
        <w:t xml:space="preserve">Data analytics and HR technology are now being leveraged to gain insights into employee </w:t>
      </w:r>
      <w:r w:rsidR="00843EDE" w:rsidRPr="00D574A2">
        <w:rPr>
          <w:rFonts w:ascii="Times New Roman" w:hAnsi="Times New Roman" w:cs="Times New Roman"/>
          <w:sz w:val="24"/>
          <w:szCs w:val="24"/>
        </w:rPr>
        <w:t>behaviour</w:t>
      </w:r>
      <w:r w:rsidRPr="00D574A2">
        <w:rPr>
          <w:rFonts w:ascii="Times New Roman" w:hAnsi="Times New Roman" w:cs="Times New Roman"/>
          <w:sz w:val="24"/>
          <w:szCs w:val="24"/>
        </w:rPr>
        <w:t xml:space="preserve">, performance, and engagement, enabling more </w:t>
      </w:r>
      <w:r w:rsidR="00843EDE" w:rsidRPr="00D574A2">
        <w:rPr>
          <w:rFonts w:ascii="Times New Roman" w:hAnsi="Times New Roman" w:cs="Times New Roman"/>
          <w:sz w:val="24"/>
          <w:szCs w:val="24"/>
        </w:rPr>
        <w:t>evidence-based decision-making</w:t>
      </w:r>
      <w:r w:rsidRPr="00D574A2">
        <w:rPr>
          <w:rFonts w:ascii="Times New Roman" w:hAnsi="Times New Roman" w:cs="Times New Roman"/>
          <w:sz w:val="24"/>
          <w:szCs w:val="24"/>
        </w:rPr>
        <w:t>.</w:t>
      </w:r>
      <w:r w:rsidR="00843EDE" w:rsidRPr="00D574A2">
        <w:rPr>
          <w:rFonts w:ascii="Times New Roman" w:hAnsi="Times New Roman" w:cs="Times New Roman"/>
          <w:sz w:val="24"/>
          <w:szCs w:val="24"/>
        </w:rPr>
        <w:t xml:space="preserve"> </w:t>
      </w:r>
      <w:r w:rsidRPr="00D574A2">
        <w:rPr>
          <w:rFonts w:ascii="Times New Roman" w:hAnsi="Times New Roman" w:cs="Times New Roman"/>
          <w:sz w:val="24"/>
          <w:szCs w:val="24"/>
        </w:rPr>
        <w:t xml:space="preserve">HRM professionals are using employee feedback and engagement surveys as vital tools to assess employee satisfaction, identify areas for improvement, </w:t>
      </w:r>
      <w:r w:rsidR="00843EDE" w:rsidRPr="00D574A2">
        <w:rPr>
          <w:rFonts w:ascii="Times New Roman" w:hAnsi="Times New Roman" w:cs="Times New Roman"/>
          <w:sz w:val="24"/>
          <w:szCs w:val="24"/>
        </w:rPr>
        <w:t xml:space="preserve">and make data-driven decisions. </w:t>
      </w:r>
      <w:r w:rsidRPr="00D574A2">
        <w:rPr>
          <w:rFonts w:ascii="Times New Roman" w:hAnsi="Times New Roman" w:cs="Times New Roman"/>
          <w:sz w:val="24"/>
          <w:szCs w:val="24"/>
        </w:rPr>
        <w:t>The use of data analytics has also extended to workforce planning and succession management, enabling HR leaders to identify critical roles and develop talent pipelines to ensure a smooth transition of leadership positions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FE657C" w:rsidRPr="00D574A2" w:rsidRDefault="00127094" w:rsidP="00D574A2">
      <w:pPr>
        <w:pStyle w:val="Heading3"/>
        <w:spacing w:line="480" w:lineRule="auto"/>
        <w:rPr>
          <w:rFonts w:ascii="Times New Roman" w:hAnsi="Times New Roman" w:cs="Times New Roman"/>
          <w:color w:val="auto"/>
        </w:rPr>
      </w:pPr>
      <w:bookmarkStart w:id="9" w:name="_Toc141453119"/>
      <w:r w:rsidRPr="00D574A2">
        <w:rPr>
          <w:rFonts w:ascii="Times New Roman" w:hAnsi="Times New Roman" w:cs="Times New Roman"/>
          <w:b/>
          <w:bCs/>
          <w:color w:val="auto"/>
        </w:rPr>
        <w:t>1.2.3</w:t>
      </w:r>
      <w:r w:rsidR="00B4471C" w:rsidRPr="00D574A2">
        <w:rPr>
          <w:rFonts w:ascii="Times New Roman" w:hAnsi="Times New Roman" w:cs="Times New Roman"/>
          <w:b/>
          <w:bCs/>
          <w:color w:val="auto"/>
        </w:rPr>
        <w:t xml:space="preserve"> </w:t>
      </w:r>
      <w:r w:rsidR="00FE657C" w:rsidRPr="00D574A2">
        <w:rPr>
          <w:rFonts w:ascii="Times New Roman" w:hAnsi="Times New Roman" w:cs="Times New Roman"/>
          <w:b/>
          <w:bCs/>
          <w:color w:val="auto"/>
        </w:rPr>
        <w:t>Organisational Culture, Ethics</w:t>
      </w:r>
      <w:r w:rsidR="00B4471C" w:rsidRPr="00D574A2">
        <w:rPr>
          <w:rFonts w:ascii="Times New Roman" w:hAnsi="Times New Roman" w:cs="Times New Roman"/>
          <w:b/>
          <w:bCs/>
          <w:color w:val="auto"/>
        </w:rPr>
        <w:t xml:space="preserve"> and Inclusion Initiatives</w:t>
      </w:r>
      <w:bookmarkEnd w:id="9"/>
      <w:r w:rsidR="00B4471C"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post-Brexit era has </w:t>
      </w:r>
      <w:r w:rsidR="00FE657C" w:rsidRPr="00D574A2">
        <w:rPr>
          <w:rFonts w:ascii="Times New Roman" w:hAnsi="Times New Roman" w:cs="Times New Roman"/>
          <w:sz w:val="24"/>
          <w:szCs w:val="24"/>
        </w:rPr>
        <w:t xml:space="preserve">also </w:t>
      </w:r>
      <w:r w:rsidRPr="00D574A2">
        <w:rPr>
          <w:rFonts w:ascii="Times New Roman" w:hAnsi="Times New Roman" w:cs="Times New Roman"/>
          <w:sz w:val="24"/>
          <w:szCs w:val="24"/>
        </w:rPr>
        <w:t>brought ethical considerations to the forefront of HRM practices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xml:space="preserve">). HR departments are now focusing on privacy protection, fair use of AI-based technologies, and addressing algorithmic biases in recruitment and performance evaluations. Inclusivity and diversity have also become essential components of HRM </w:t>
      </w:r>
      <w:r w:rsidRPr="00D574A2">
        <w:rPr>
          <w:rFonts w:ascii="Times New Roman" w:hAnsi="Times New Roman" w:cs="Times New Roman"/>
          <w:sz w:val="24"/>
          <w:szCs w:val="24"/>
        </w:rPr>
        <w:lastRenderedPageBreak/>
        <w:t>strategies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Organizations are adopting diversity, equity, and inclusion (DEI) initiatives to create inclusive and equitable workplaces that embrace differe</w:t>
      </w:r>
      <w:r w:rsidR="00F0622A">
        <w:rPr>
          <w:rFonts w:ascii="Times New Roman" w:hAnsi="Times New Roman" w:cs="Times New Roman"/>
          <w:sz w:val="24"/>
          <w:szCs w:val="24"/>
        </w:rPr>
        <w:t>nt perspectives and backgrounds.</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Additionally, HRM plays a critical role in fostering a sense of organizational culture and belonging among remote and hybrid teams through consistent communication and v</w:t>
      </w:r>
      <w:r w:rsidR="00843EDE" w:rsidRPr="00D574A2">
        <w:rPr>
          <w:rFonts w:ascii="Times New Roman" w:hAnsi="Times New Roman" w:cs="Times New Roman"/>
          <w:sz w:val="24"/>
          <w:szCs w:val="24"/>
        </w:rPr>
        <w:t xml:space="preserve">irtual team-building activities. </w:t>
      </w:r>
      <w:r w:rsidRPr="00D574A2">
        <w:rPr>
          <w:rFonts w:ascii="Times New Roman" w:hAnsi="Times New Roman" w:cs="Times New Roman"/>
          <w:sz w:val="24"/>
          <w:szCs w:val="24"/>
        </w:rPr>
        <w:t>Continuous learning and upskilling of HRM professionals themselves have become crucial to adapt to evolving trends and technologies in HRM practices, including those that promote inclusivity and ethical practices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D574A2" w:rsidRPr="00D574A2" w:rsidRDefault="00127094" w:rsidP="00D574A2">
      <w:pPr>
        <w:pStyle w:val="Heading3"/>
        <w:spacing w:line="480" w:lineRule="auto"/>
        <w:rPr>
          <w:rFonts w:ascii="Times New Roman" w:hAnsi="Times New Roman" w:cs="Times New Roman"/>
          <w:color w:val="auto"/>
        </w:rPr>
      </w:pPr>
      <w:bookmarkStart w:id="10" w:name="_Toc141453120"/>
      <w:r w:rsidRPr="00D574A2">
        <w:rPr>
          <w:rFonts w:ascii="Times New Roman" w:hAnsi="Times New Roman" w:cs="Times New Roman"/>
          <w:b/>
          <w:bCs/>
          <w:color w:val="auto"/>
        </w:rPr>
        <w:t>1.1.4</w:t>
      </w:r>
      <w:r w:rsidR="00B4471C" w:rsidRPr="00D574A2">
        <w:rPr>
          <w:rFonts w:ascii="Times New Roman" w:hAnsi="Times New Roman" w:cs="Times New Roman"/>
          <w:b/>
          <w:bCs/>
          <w:color w:val="auto"/>
        </w:rPr>
        <w:t xml:space="preserve"> Organizational Change and Agility</w:t>
      </w:r>
      <w:bookmarkEnd w:id="10"/>
      <w:r w:rsidR="00B4471C"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uncertainties surrounding Brexit and the COVID-19 pandemic have compelled organizations to be more</w:t>
      </w:r>
      <w:r w:rsidR="00FE657C" w:rsidRPr="00D574A2">
        <w:rPr>
          <w:rFonts w:ascii="Times New Roman" w:hAnsi="Times New Roman" w:cs="Times New Roman"/>
          <w:sz w:val="24"/>
          <w:szCs w:val="24"/>
        </w:rPr>
        <w:t xml:space="preserve"> agile and adaptable to change. </w:t>
      </w:r>
      <w:r w:rsidRPr="00D574A2">
        <w:rPr>
          <w:rFonts w:ascii="Times New Roman" w:hAnsi="Times New Roman" w:cs="Times New Roman"/>
          <w:sz w:val="24"/>
          <w:szCs w:val="24"/>
        </w:rPr>
        <w:t>HRM is playing a pivotal role in managing organizational change and agility, helping organizations navigate disruptions and adapt to new business demands. HR leaders are actively participating in strategic decision-making and contributing to or</w:t>
      </w:r>
      <w:r w:rsidR="00FE657C" w:rsidRPr="00D574A2">
        <w:rPr>
          <w:rFonts w:ascii="Times New Roman" w:hAnsi="Times New Roman" w:cs="Times New Roman"/>
          <w:sz w:val="24"/>
          <w:szCs w:val="24"/>
        </w:rPr>
        <w:t xml:space="preserve">ganizational goals and outcomes. </w:t>
      </w:r>
      <w:r w:rsidRPr="00D574A2">
        <w:rPr>
          <w:rFonts w:ascii="Times New Roman" w:hAnsi="Times New Roman" w:cs="Times New Roman"/>
          <w:sz w:val="24"/>
          <w:szCs w:val="24"/>
        </w:rPr>
        <w:t xml:space="preserve">They are </w:t>
      </w:r>
      <w:r w:rsidR="00FE657C" w:rsidRPr="00D574A2">
        <w:rPr>
          <w:rFonts w:ascii="Times New Roman" w:hAnsi="Times New Roman" w:cs="Times New Roman"/>
          <w:sz w:val="24"/>
          <w:szCs w:val="24"/>
        </w:rPr>
        <w:t>collaborating</w:t>
      </w:r>
      <w:r w:rsidRPr="00D574A2">
        <w:rPr>
          <w:rFonts w:ascii="Times New Roman" w:hAnsi="Times New Roman" w:cs="Times New Roman"/>
          <w:sz w:val="24"/>
          <w:szCs w:val="24"/>
        </w:rPr>
        <w:t xml:space="preserve"> with other functional areas, such as IT and cybersecurity, to ensure the security and privacy of employee data in an increasingly digital workplace (</w:t>
      </w:r>
      <w:r w:rsidR="00FE657C"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D574A2" w:rsidRPr="00D574A2" w:rsidRDefault="00127094" w:rsidP="00D574A2">
      <w:pPr>
        <w:pStyle w:val="Heading3"/>
        <w:spacing w:line="480" w:lineRule="auto"/>
        <w:rPr>
          <w:rFonts w:ascii="Times New Roman" w:hAnsi="Times New Roman" w:cs="Times New Roman"/>
          <w:color w:val="auto"/>
        </w:rPr>
      </w:pPr>
      <w:bookmarkStart w:id="11" w:name="_Toc141453121"/>
      <w:r w:rsidRPr="00D574A2">
        <w:rPr>
          <w:rFonts w:ascii="Times New Roman" w:hAnsi="Times New Roman" w:cs="Times New Roman"/>
          <w:b/>
          <w:bCs/>
          <w:color w:val="auto"/>
        </w:rPr>
        <w:t>1.1.5</w:t>
      </w:r>
      <w:r w:rsidR="00B4471C" w:rsidRPr="00D574A2">
        <w:rPr>
          <w:rFonts w:ascii="Times New Roman" w:hAnsi="Times New Roman" w:cs="Times New Roman"/>
          <w:b/>
          <w:bCs/>
          <w:color w:val="auto"/>
        </w:rPr>
        <w:t xml:space="preserve"> Impact on Flexible Work Practices</w:t>
      </w:r>
      <w:bookmarkEnd w:id="11"/>
      <w:r w:rsidR="00B4471C" w:rsidRPr="00D574A2">
        <w:rPr>
          <w:rFonts w:ascii="Times New Roman" w:hAnsi="Times New Roman" w:cs="Times New Roman"/>
          <w:color w:val="auto"/>
        </w:rPr>
        <w:t xml:space="preserve"> </w:t>
      </w:r>
    </w:p>
    <w:p w:rsidR="00352EA4"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Brexit and the pandemic have had a significant impact on flexible work practices in the UK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While the UK already had provisions for maternity, paternity, and annual leave that exceeded EU standards, the impact of Brexit on unskilled workers may have resulted in reduced levels of employment protection (</w:t>
      </w:r>
      <w:r w:rsidRPr="00D574A2">
        <w:rPr>
          <w:rFonts w:ascii="Times New Roman" w:hAnsi="Times New Roman" w:cs="Times New Roman"/>
          <w:iCs/>
          <w:sz w:val="24"/>
          <w:szCs w:val="24"/>
        </w:rPr>
        <w:t>Templeton, 2020</w:t>
      </w:r>
      <w:r w:rsidRPr="00D574A2">
        <w:rPr>
          <w:rFonts w:ascii="Times New Roman" w:hAnsi="Times New Roman" w:cs="Times New Roman"/>
          <w:sz w:val="24"/>
          <w:szCs w:val="24"/>
        </w:rPr>
        <w:t>). Nevertheless, flexible working arrangements have seen significant growth in the UK, and it is now considered a method of engagement, motivation, and retention, as well as a way to attract a diverse range of talent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w:t>
      </w:r>
    </w:p>
    <w:p w:rsidR="00D574A2" w:rsidRPr="00D574A2" w:rsidRDefault="00D574A2" w:rsidP="00D574A2">
      <w:pPr>
        <w:spacing w:line="480" w:lineRule="auto"/>
        <w:jc w:val="both"/>
        <w:rPr>
          <w:rFonts w:ascii="Times New Roman" w:hAnsi="Times New Roman" w:cs="Times New Roman"/>
          <w:sz w:val="24"/>
          <w:szCs w:val="24"/>
        </w:rPr>
      </w:pPr>
    </w:p>
    <w:p w:rsidR="00352EA4" w:rsidRPr="00D574A2" w:rsidRDefault="00127094" w:rsidP="00D574A2">
      <w:pPr>
        <w:pStyle w:val="Heading2"/>
        <w:spacing w:line="480" w:lineRule="auto"/>
        <w:rPr>
          <w:rFonts w:ascii="Times New Roman" w:hAnsi="Times New Roman" w:cs="Times New Roman"/>
          <w:color w:val="auto"/>
          <w:sz w:val="24"/>
          <w:szCs w:val="24"/>
        </w:rPr>
      </w:pPr>
      <w:bookmarkStart w:id="12" w:name="_Toc141453122"/>
      <w:r w:rsidRPr="00D574A2">
        <w:rPr>
          <w:rFonts w:ascii="Times New Roman" w:hAnsi="Times New Roman" w:cs="Times New Roman"/>
          <w:b/>
          <w:bCs/>
          <w:color w:val="auto"/>
          <w:sz w:val="24"/>
          <w:szCs w:val="24"/>
        </w:rPr>
        <w:t xml:space="preserve">1.3 </w:t>
      </w:r>
      <w:r w:rsidR="00352EA4" w:rsidRPr="00D574A2">
        <w:rPr>
          <w:rFonts w:ascii="Times New Roman" w:hAnsi="Times New Roman" w:cs="Times New Roman"/>
          <w:b/>
          <w:bCs/>
          <w:color w:val="auto"/>
          <w:sz w:val="24"/>
          <w:szCs w:val="24"/>
        </w:rPr>
        <w:t>Navigating the Future of HRM in the Post-</w:t>
      </w:r>
      <w:proofErr w:type="spellStart"/>
      <w:r w:rsidR="00352EA4" w:rsidRPr="00D574A2">
        <w:rPr>
          <w:rFonts w:ascii="Times New Roman" w:hAnsi="Times New Roman" w:cs="Times New Roman"/>
          <w:b/>
          <w:bCs/>
          <w:color w:val="auto"/>
          <w:sz w:val="24"/>
          <w:szCs w:val="24"/>
        </w:rPr>
        <w:t>Covid</w:t>
      </w:r>
      <w:proofErr w:type="spellEnd"/>
      <w:r w:rsidR="00352EA4" w:rsidRPr="00D574A2">
        <w:rPr>
          <w:rFonts w:ascii="Times New Roman" w:hAnsi="Times New Roman" w:cs="Times New Roman"/>
          <w:b/>
          <w:bCs/>
          <w:color w:val="auto"/>
          <w:sz w:val="24"/>
          <w:szCs w:val="24"/>
        </w:rPr>
        <w:t>, Post-Brexit Era</w:t>
      </w:r>
      <w:bookmarkEnd w:id="12"/>
    </w:p>
    <w:p w:rsidR="00B61753" w:rsidRPr="00D574A2" w:rsidRDefault="00FE657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As the UK enters</w:t>
      </w:r>
      <w:r w:rsidR="00B61753" w:rsidRPr="00D574A2">
        <w:rPr>
          <w:rFonts w:ascii="Times New Roman" w:hAnsi="Times New Roman" w:cs="Times New Roman"/>
          <w:sz w:val="24"/>
          <w:szCs w:val="24"/>
        </w:rPr>
        <w:t xml:space="preserve"> the post-</w:t>
      </w:r>
      <w:proofErr w:type="spellStart"/>
      <w:r w:rsidR="00B61753" w:rsidRPr="00D574A2">
        <w:rPr>
          <w:rFonts w:ascii="Times New Roman" w:hAnsi="Times New Roman" w:cs="Times New Roman"/>
          <w:sz w:val="24"/>
          <w:szCs w:val="24"/>
        </w:rPr>
        <w:t>Covid</w:t>
      </w:r>
      <w:proofErr w:type="spellEnd"/>
      <w:r w:rsidR="00B61753" w:rsidRPr="00D574A2">
        <w:rPr>
          <w:rFonts w:ascii="Times New Roman" w:hAnsi="Times New Roman" w:cs="Times New Roman"/>
          <w:sz w:val="24"/>
          <w:szCs w:val="24"/>
        </w:rPr>
        <w:t>, post-Brexit era, the future of human resource management (HRM) will be shaped by ongoing challenges and opportunities (</w:t>
      </w:r>
      <w:proofErr w:type="spellStart"/>
      <w:r w:rsidR="00B61753" w:rsidRPr="00D574A2">
        <w:rPr>
          <w:rFonts w:ascii="Times New Roman" w:hAnsi="Times New Roman" w:cs="Times New Roman"/>
          <w:sz w:val="24"/>
          <w:szCs w:val="24"/>
        </w:rPr>
        <w:t>Bieńkowska</w:t>
      </w:r>
      <w:proofErr w:type="spellEnd"/>
      <w:r w:rsidR="00B61753" w:rsidRPr="00D574A2">
        <w:rPr>
          <w:rFonts w:ascii="Times New Roman" w:hAnsi="Times New Roman" w:cs="Times New Roman"/>
          <w:sz w:val="24"/>
          <w:szCs w:val="24"/>
        </w:rPr>
        <w:t xml:space="preserve"> et al., 2022). HRM professionals will play a critical role in helping organizations adapt to the new normal, build resilience, and capitalize on emerging trends in the </w:t>
      </w:r>
      <w:r w:rsidR="00B91BAA" w:rsidRPr="00D574A2">
        <w:rPr>
          <w:rFonts w:ascii="Times New Roman" w:hAnsi="Times New Roman" w:cs="Times New Roman"/>
          <w:sz w:val="24"/>
          <w:szCs w:val="24"/>
        </w:rPr>
        <w:t>labour</w:t>
      </w:r>
      <w:r w:rsidR="00B61753" w:rsidRPr="00D574A2">
        <w:rPr>
          <w:rFonts w:ascii="Times New Roman" w:hAnsi="Times New Roman" w:cs="Times New Roman"/>
          <w:sz w:val="24"/>
          <w:szCs w:val="24"/>
        </w:rPr>
        <w:t xml:space="preserve"> market (Ridgway, 2019). This section delves into the future of HRM in the context of the external environment after B</w:t>
      </w:r>
      <w:r w:rsidRPr="00D574A2">
        <w:rPr>
          <w:rFonts w:ascii="Times New Roman" w:hAnsi="Times New Roman" w:cs="Times New Roman"/>
          <w:sz w:val="24"/>
          <w:szCs w:val="24"/>
        </w:rPr>
        <w:t>rexit and the COVID-19 pandemic.</w:t>
      </w:r>
    </w:p>
    <w:p w:rsidR="00127094" w:rsidRPr="00D574A2" w:rsidRDefault="00127094" w:rsidP="00D574A2">
      <w:pPr>
        <w:pStyle w:val="Heading3"/>
        <w:spacing w:line="480" w:lineRule="auto"/>
        <w:rPr>
          <w:rFonts w:ascii="Times New Roman" w:hAnsi="Times New Roman" w:cs="Times New Roman"/>
          <w:color w:val="auto"/>
        </w:rPr>
      </w:pPr>
      <w:bookmarkStart w:id="13" w:name="_Toc141453123"/>
      <w:r w:rsidRPr="00D574A2">
        <w:rPr>
          <w:rFonts w:ascii="Times New Roman" w:hAnsi="Times New Roman" w:cs="Times New Roman"/>
          <w:b/>
          <w:bCs/>
          <w:color w:val="auto"/>
        </w:rPr>
        <w:t>1.3.1</w:t>
      </w:r>
      <w:r w:rsidR="00B61753" w:rsidRPr="00D574A2">
        <w:rPr>
          <w:rFonts w:ascii="Times New Roman" w:hAnsi="Times New Roman" w:cs="Times New Roman"/>
          <w:b/>
          <w:bCs/>
          <w:color w:val="auto"/>
        </w:rPr>
        <w:t xml:space="preserve"> Navigating Regulatory Changes</w:t>
      </w:r>
      <w:bookmarkEnd w:id="13"/>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One of the primary challenges in the post-Brexit era is navigating regulatory changes related to employment rights and immigration (Templeton, 2020). With the UK no longer a member of the EU, the country has the autonomy to amend or remove employment rights previously guaranteed by EU law (Templeton, 2020). HRM departments will need to stay informed about changes in employment legislation and ensure compliance with new regulations (</w:t>
      </w:r>
      <w:r w:rsidR="007843BA" w:rsidRPr="00D574A2">
        <w:rPr>
          <w:rFonts w:ascii="Times New Roman" w:hAnsi="Times New Roman" w:cs="Times New Roman"/>
          <w:sz w:val="24"/>
          <w:szCs w:val="24"/>
        </w:rPr>
        <w:t>Robinson and Leaker, 2023)</w:t>
      </w:r>
      <w:r w:rsidRPr="00D574A2">
        <w:rPr>
          <w:rFonts w:ascii="Times New Roman" w:hAnsi="Times New Roman" w:cs="Times New Roman"/>
          <w:sz w:val="24"/>
          <w:szCs w:val="24"/>
        </w:rPr>
        <w:t>. This includes keeping up with the latest information regarding EU nationals working in the UK and UK nationals working in EU countries, as well as understanding the impact of Brexit on data processing and the movement of workers across borders (Francis-Devine et al., 2023).</w:t>
      </w:r>
      <w:r w:rsidR="00D574A2" w:rsidRPr="00D574A2">
        <w:rPr>
          <w:rFonts w:ascii="Times New Roman" w:hAnsi="Times New Roman" w:cs="Times New Roman"/>
          <w:sz w:val="24"/>
          <w:szCs w:val="24"/>
        </w:rPr>
        <w:t xml:space="preserve"> </w:t>
      </w:r>
      <w:r w:rsidRPr="00D574A2">
        <w:rPr>
          <w:rFonts w:ascii="Times New Roman" w:hAnsi="Times New Roman" w:cs="Times New Roman"/>
          <w:sz w:val="24"/>
          <w:szCs w:val="24"/>
        </w:rPr>
        <w:t xml:space="preserve">HR professionals should </w:t>
      </w:r>
      <w:r w:rsidR="007843BA" w:rsidRPr="00D574A2">
        <w:rPr>
          <w:rFonts w:ascii="Times New Roman" w:hAnsi="Times New Roman" w:cs="Times New Roman"/>
          <w:sz w:val="24"/>
          <w:szCs w:val="24"/>
        </w:rPr>
        <w:t>collaborate</w:t>
      </w:r>
      <w:r w:rsidRPr="00D574A2">
        <w:rPr>
          <w:rFonts w:ascii="Times New Roman" w:hAnsi="Times New Roman" w:cs="Times New Roman"/>
          <w:sz w:val="24"/>
          <w:szCs w:val="24"/>
        </w:rPr>
        <w:t xml:space="preserve"> with legal and compliance teams to ensure that HR policies and practices align with new regulations and avoid any legal risks (Templeton, 2020). Transparent communication with employees about changes in employment rights and immigration requirements is crucial to manage expectations and alleviate stress during this transition (Templeton, 2020).</w:t>
      </w:r>
    </w:p>
    <w:p w:rsidR="00127094" w:rsidRPr="00D574A2" w:rsidRDefault="00127094" w:rsidP="00D574A2">
      <w:pPr>
        <w:pStyle w:val="Heading3"/>
        <w:spacing w:line="480" w:lineRule="auto"/>
        <w:rPr>
          <w:rFonts w:ascii="Times New Roman" w:hAnsi="Times New Roman" w:cs="Times New Roman"/>
          <w:color w:val="auto"/>
        </w:rPr>
      </w:pPr>
      <w:bookmarkStart w:id="14" w:name="_Toc141453124"/>
      <w:r w:rsidRPr="00D574A2">
        <w:rPr>
          <w:rFonts w:ascii="Times New Roman" w:hAnsi="Times New Roman" w:cs="Times New Roman"/>
          <w:b/>
          <w:bCs/>
          <w:color w:val="auto"/>
        </w:rPr>
        <w:lastRenderedPageBreak/>
        <w:t>1.3.2</w:t>
      </w:r>
      <w:r w:rsidR="00B61753" w:rsidRPr="00D574A2">
        <w:rPr>
          <w:rFonts w:ascii="Times New Roman" w:hAnsi="Times New Roman" w:cs="Times New Roman"/>
          <w:b/>
          <w:bCs/>
          <w:color w:val="auto"/>
        </w:rPr>
        <w:t xml:space="preserve"> Fostering Resilience and Agility</w:t>
      </w:r>
      <w:bookmarkEnd w:id="14"/>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post-Brexit era brings forth a heightened need for organizational resilience and agility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2021). HRM strategies should focus on fostering a culture of learning and development to equip employees with the skills necessary to adapt to evolving business demands (</w:t>
      </w:r>
      <w:r w:rsidR="007843BA"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 Continuous upskilling and reskilling programs will become integral components of HRM practices to enable employees to stay relevant in a rapidly changing work environment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r w:rsidR="007843BA" w:rsidRPr="00D574A2">
        <w:rPr>
          <w:rFonts w:ascii="Times New Roman" w:hAnsi="Times New Roman" w:cs="Times New Roman"/>
          <w:sz w:val="24"/>
          <w:szCs w:val="24"/>
        </w:rPr>
        <w:t xml:space="preserve"> </w:t>
      </w:r>
      <w:r w:rsidRPr="00D574A2">
        <w:rPr>
          <w:rFonts w:ascii="Times New Roman" w:hAnsi="Times New Roman" w:cs="Times New Roman"/>
          <w:sz w:val="24"/>
          <w:szCs w:val="24"/>
        </w:rPr>
        <w:t>Moreover, HRM departments will be tasked with ensuring the well-being of employees as they navigate the uncertainties of the external environment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2021). Support mechanisms for mental health and work-life balance will be essential to maintain a productive and engaged workforce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xml:space="preserve">, 2021). HR professionals must </w:t>
      </w:r>
      <w:r w:rsidR="007843BA" w:rsidRPr="00D574A2">
        <w:rPr>
          <w:rFonts w:ascii="Times New Roman" w:hAnsi="Times New Roman" w:cs="Times New Roman"/>
          <w:sz w:val="24"/>
          <w:szCs w:val="24"/>
        </w:rPr>
        <w:t>collaborate</w:t>
      </w:r>
      <w:r w:rsidRPr="00D574A2">
        <w:rPr>
          <w:rFonts w:ascii="Times New Roman" w:hAnsi="Times New Roman" w:cs="Times New Roman"/>
          <w:sz w:val="24"/>
          <w:szCs w:val="24"/>
        </w:rPr>
        <w:t xml:space="preserve"> with managers to monitor employee well-being and implement proactive measures to address burnout and stress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p>
    <w:p w:rsidR="00127094" w:rsidRPr="00D574A2" w:rsidRDefault="00127094" w:rsidP="00D574A2">
      <w:pPr>
        <w:pStyle w:val="Heading3"/>
        <w:spacing w:line="480" w:lineRule="auto"/>
        <w:rPr>
          <w:rFonts w:ascii="Times New Roman" w:hAnsi="Times New Roman" w:cs="Times New Roman"/>
          <w:color w:val="auto"/>
        </w:rPr>
      </w:pPr>
      <w:bookmarkStart w:id="15" w:name="_Toc141453125"/>
      <w:r w:rsidRPr="00D574A2">
        <w:rPr>
          <w:rFonts w:ascii="Times New Roman" w:hAnsi="Times New Roman" w:cs="Times New Roman"/>
          <w:b/>
          <w:bCs/>
          <w:color w:val="auto"/>
        </w:rPr>
        <w:t xml:space="preserve">1.3.3 </w:t>
      </w:r>
      <w:r w:rsidR="00B61753" w:rsidRPr="00D574A2">
        <w:rPr>
          <w:rFonts w:ascii="Times New Roman" w:hAnsi="Times New Roman" w:cs="Times New Roman"/>
          <w:b/>
          <w:bCs/>
          <w:color w:val="auto"/>
        </w:rPr>
        <w:t>Embracing Technology and HR Analytics</w:t>
      </w:r>
      <w:bookmarkEnd w:id="15"/>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Technology will continue to play </w:t>
      </w:r>
      <w:r w:rsidR="007843BA" w:rsidRPr="00D574A2">
        <w:rPr>
          <w:rFonts w:ascii="Times New Roman" w:hAnsi="Times New Roman" w:cs="Times New Roman"/>
          <w:sz w:val="24"/>
          <w:szCs w:val="24"/>
        </w:rPr>
        <w:t xml:space="preserve">a pivotal role in HRM practices. </w:t>
      </w:r>
      <w:r w:rsidRPr="00D574A2">
        <w:rPr>
          <w:rFonts w:ascii="Times New Roman" w:hAnsi="Times New Roman" w:cs="Times New Roman"/>
          <w:sz w:val="24"/>
          <w:szCs w:val="24"/>
        </w:rPr>
        <w:t xml:space="preserve">HR professionals should capitalize on the benefits of technology to streamline processes, enhance employee experiences, and enable data-driven decision-making. Advanced HR analytics can provide insights into employee </w:t>
      </w:r>
      <w:r w:rsidR="007843BA" w:rsidRPr="00D574A2">
        <w:rPr>
          <w:rFonts w:ascii="Times New Roman" w:hAnsi="Times New Roman" w:cs="Times New Roman"/>
          <w:sz w:val="24"/>
          <w:szCs w:val="24"/>
        </w:rPr>
        <w:t>behaviour</w:t>
      </w:r>
      <w:r w:rsidRPr="00D574A2">
        <w:rPr>
          <w:rFonts w:ascii="Times New Roman" w:hAnsi="Times New Roman" w:cs="Times New Roman"/>
          <w:sz w:val="24"/>
          <w:szCs w:val="24"/>
        </w:rPr>
        <w:t xml:space="preserve">, performance, and engagement, helping organizations identify areas for improvement and optimize HR strategies </w:t>
      </w:r>
      <w:r w:rsidR="007843BA" w:rsidRPr="00D574A2">
        <w:rPr>
          <w:rFonts w:ascii="Times New Roman" w:hAnsi="Times New Roman" w:cs="Times New Roman"/>
          <w:sz w:val="24"/>
          <w:szCs w:val="24"/>
        </w:rPr>
        <w:t xml:space="preserve">(Management Study Guide, n.d.) </w:t>
      </w:r>
      <w:r w:rsidRPr="00D574A2">
        <w:rPr>
          <w:rFonts w:ascii="Times New Roman" w:hAnsi="Times New Roman" w:cs="Times New Roman"/>
          <w:sz w:val="24"/>
          <w:szCs w:val="24"/>
        </w:rPr>
        <w:t xml:space="preserve">As remote and hybrid work become more prevalent, HRM departments will need to invest in robust technology infrastructure to support seamless </w:t>
      </w:r>
      <w:r w:rsidR="007843BA" w:rsidRPr="00D574A2">
        <w:rPr>
          <w:rFonts w:ascii="Times New Roman" w:hAnsi="Times New Roman" w:cs="Times New Roman"/>
          <w:sz w:val="24"/>
          <w:szCs w:val="24"/>
        </w:rPr>
        <w:t>collaboration</w:t>
      </w:r>
      <w:r w:rsidRPr="00D574A2">
        <w:rPr>
          <w:rFonts w:ascii="Times New Roman" w:hAnsi="Times New Roman" w:cs="Times New Roman"/>
          <w:sz w:val="24"/>
          <w:szCs w:val="24"/>
        </w:rPr>
        <w:t>, communication, and performance evaluation (</w:t>
      </w:r>
      <w:r w:rsidR="007843BA"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 Employee feedback and engagement surveys conducted through digital platforms will be valuable tools to gauge employee satisfaction and make data-driven decisions to enhance the employee experience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p>
    <w:p w:rsidR="00127094" w:rsidRPr="00D574A2" w:rsidRDefault="00127094" w:rsidP="00D574A2">
      <w:pPr>
        <w:pStyle w:val="Heading3"/>
        <w:spacing w:line="480" w:lineRule="auto"/>
        <w:rPr>
          <w:rFonts w:ascii="Times New Roman" w:hAnsi="Times New Roman" w:cs="Times New Roman"/>
          <w:color w:val="auto"/>
        </w:rPr>
      </w:pPr>
      <w:bookmarkStart w:id="16" w:name="_Toc141453126"/>
      <w:r w:rsidRPr="00D574A2">
        <w:rPr>
          <w:rFonts w:ascii="Times New Roman" w:hAnsi="Times New Roman" w:cs="Times New Roman"/>
          <w:b/>
          <w:bCs/>
          <w:color w:val="auto"/>
        </w:rPr>
        <w:lastRenderedPageBreak/>
        <w:t>1.3.4</w:t>
      </w:r>
      <w:r w:rsidR="00B61753" w:rsidRPr="00D574A2">
        <w:rPr>
          <w:rFonts w:ascii="Times New Roman" w:hAnsi="Times New Roman" w:cs="Times New Roman"/>
          <w:b/>
          <w:bCs/>
          <w:color w:val="auto"/>
        </w:rPr>
        <w:t xml:space="preserve"> Promoting Inclusion and Diversity</w:t>
      </w:r>
      <w:bookmarkEnd w:id="16"/>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In the post-Brexit,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era, HRM strategies must continue to prioritize diversity, equity, a</w:t>
      </w:r>
      <w:r w:rsidR="00D574A2" w:rsidRPr="00D574A2">
        <w:rPr>
          <w:rFonts w:ascii="Times New Roman" w:hAnsi="Times New Roman" w:cs="Times New Roman"/>
          <w:sz w:val="24"/>
          <w:szCs w:val="24"/>
        </w:rPr>
        <w:t xml:space="preserve">nd inclusion (DEI) initiatives. </w:t>
      </w:r>
      <w:r w:rsidRPr="00D574A2">
        <w:rPr>
          <w:rFonts w:ascii="Times New Roman" w:hAnsi="Times New Roman" w:cs="Times New Roman"/>
          <w:sz w:val="24"/>
          <w:szCs w:val="24"/>
        </w:rPr>
        <w:t xml:space="preserve">Diverse teams have been proven to drive innovation and organizational performance. HR professionals should focus on creating an inclusive work environment that embraces different perspectives and backgrounds, ensuring that all employees feel </w:t>
      </w:r>
      <w:r w:rsidR="00D574A2" w:rsidRPr="00D574A2">
        <w:rPr>
          <w:rFonts w:ascii="Times New Roman" w:hAnsi="Times New Roman" w:cs="Times New Roman"/>
          <w:sz w:val="24"/>
          <w:szCs w:val="24"/>
        </w:rPr>
        <w:t>valued and heard</w:t>
      </w:r>
      <w:r w:rsidRPr="00D574A2">
        <w:rPr>
          <w:rFonts w:ascii="Times New Roman" w:hAnsi="Times New Roman" w:cs="Times New Roman"/>
          <w:sz w:val="24"/>
          <w:szCs w:val="24"/>
        </w:rPr>
        <w:t>.</w:t>
      </w:r>
      <w:r w:rsidR="00D574A2" w:rsidRPr="00D574A2">
        <w:rPr>
          <w:rFonts w:ascii="Times New Roman" w:hAnsi="Times New Roman" w:cs="Times New Roman"/>
          <w:sz w:val="24"/>
          <w:szCs w:val="24"/>
        </w:rPr>
        <w:t xml:space="preserve"> </w:t>
      </w:r>
      <w:r w:rsidRPr="00D574A2">
        <w:rPr>
          <w:rFonts w:ascii="Times New Roman" w:hAnsi="Times New Roman" w:cs="Times New Roman"/>
          <w:sz w:val="24"/>
          <w:szCs w:val="24"/>
        </w:rPr>
        <w:t xml:space="preserve">HRM departments can implement unconscious bias training for hiring managers and establish diverse candidate slates to promote fair and </w:t>
      </w:r>
      <w:r w:rsidR="00D574A2" w:rsidRPr="00D574A2">
        <w:rPr>
          <w:rFonts w:ascii="Times New Roman" w:hAnsi="Times New Roman" w:cs="Times New Roman"/>
          <w:sz w:val="24"/>
          <w:szCs w:val="24"/>
        </w:rPr>
        <w:t xml:space="preserve">inclusive recruitment practices. </w:t>
      </w:r>
      <w:r w:rsidRPr="00D574A2">
        <w:rPr>
          <w:rFonts w:ascii="Times New Roman" w:hAnsi="Times New Roman" w:cs="Times New Roman"/>
          <w:sz w:val="24"/>
          <w:szCs w:val="24"/>
        </w:rPr>
        <w:t>Additionally, mentorship and sponsorship programs can help underrepresented employees advance in their careers and contribute to a more inclusive organizational culture (Ridgway, 2019).</w:t>
      </w:r>
    </w:p>
    <w:p w:rsidR="00127094" w:rsidRPr="00D574A2" w:rsidRDefault="00150329" w:rsidP="00D574A2">
      <w:pPr>
        <w:pStyle w:val="Heading3"/>
        <w:spacing w:line="480" w:lineRule="auto"/>
        <w:rPr>
          <w:rFonts w:ascii="Times New Roman" w:hAnsi="Times New Roman" w:cs="Times New Roman"/>
          <w:color w:val="auto"/>
        </w:rPr>
      </w:pPr>
      <w:bookmarkStart w:id="17" w:name="_Toc141453127"/>
      <w:r>
        <w:rPr>
          <w:rFonts w:ascii="Times New Roman" w:hAnsi="Times New Roman" w:cs="Times New Roman"/>
          <w:b/>
          <w:bCs/>
          <w:color w:val="auto"/>
        </w:rPr>
        <w:t>1.3.5</w:t>
      </w:r>
      <w:r w:rsidR="00127094" w:rsidRPr="00D574A2">
        <w:rPr>
          <w:rFonts w:ascii="Times New Roman" w:hAnsi="Times New Roman" w:cs="Times New Roman"/>
          <w:b/>
          <w:bCs/>
          <w:color w:val="auto"/>
        </w:rPr>
        <w:t xml:space="preserve"> </w:t>
      </w:r>
      <w:r w:rsidR="00B61753" w:rsidRPr="00D574A2">
        <w:rPr>
          <w:rFonts w:ascii="Times New Roman" w:hAnsi="Times New Roman" w:cs="Times New Roman"/>
          <w:b/>
          <w:bCs/>
          <w:color w:val="auto"/>
        </w:rPr>
        <w:t>Managing Gig Workers and the Gig Economy</w:t>
      </w:r>
      <w:bookmarkEnd w:id="17"/>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rise of the gig economy has presented both challenges and opportunities for HRM. HR professionals will need to develop strategies to effectively manage and integrate gig workers into the organization while adhering to legal and regulatory requirements. This includes defining the employment status of gig workers, ensuring compliance with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laws, and providing adequate support and ben</w:t>
      </w:r>
      <w:r w:rsidR="007843BA" w:rsidRPr="00D574A2">
        <w:rPr>
          <w:rFonts w:ascii="Times New Roman" w:hAnsi="Times New Roman" w:cs="Times New Roman"/>
          <w:sz w:val="24"/>
          <w:szCs w:val="24"/>
        </w:rPr>
        <w:t xml:space="preserve">efits. </w:t>
      </w:r>
      <w:r w:rsidRPr="00D574A2">
        <w:rPr>
          <w:rFonts w:ascii="Times New Roman" w:hAnsi="Times New Roman" w:cs="Times New Roman"/>
          <w:sz w:val="24"/>
          <w:szCs w:val="24"/>
        </w:rPr>
        <w:t>For organizations, the gig economy can offer access to specialized skills on a project basis, enhancing workfo</w:t>
      </w:r>
      <w:r w:rsidR="007843BA" w:rsidRPr="00D574A2">
        <w:rPr>
          <w:rFonts w:ascii="Times New Roman" w:hAnsi="Times New Roman" w:cs="Times New Roman"/>
          <w:sz w:val="24"/>
          <w:szCs w:val="24"/>
        </w:rPr>
        <w:t xml:space="preserve">rce flexibility and scalability. </w:t>
      </w:r>
      <w:r w:rsidRPr="00D574A2">
        <w:rPr>
          <w:rFonts w:ascii="Times New Roman" w:hAnsi="Times New Roman" w:cs="Times New Roman"/>
          <w:sz w:val="24"/>
          <w:szCs w:val="24"/>
        </w:rPr>
        <w:t xml:space="preserve">HRM departments should </w:t>
      </w:r>
      <w:r w:rsidR="007843BA" w:rsidRPr="00D574A2">
        <w:rPr>
          <w:rFonts w:ascii="Times New Roman" w:hAnsi="Times New Roman" w:cs="Times New Roman"/>
          <w:sz w:val="24"/>
          <w:szCs w:val="24"/>
        </w:rPr>
        <w:t>collaborate</w:t>
      </w:r>
      <w:r w:rsidRPr="00D574A2">
        <w:rPr>
          <w:rFonts w:ascii="Times New Roman" w:hAnsi="Times New Roman" w:cs="Times New Roman"/>
          <w:sz w:val="24"/>
          <w:szCs w:val="24"/>
        </w:rPr>
        <w:t xml:space="preserve"> with business leaders to determine the appropriate use of gig workers and establish policies to govern their engagement within the organization (lattice.com, 2021).</w:t>
      </w:r>
    </w:p>
    <w:p w:rsidR="00127094" w:rsidRPr="00D574A2" w:rsidRDefault="00150329" w:rsidP="00D574A2">
      <w:pPr>
        <w:pStyle w:val="Heading3"/>
        <w:spacing w:line="480" w:lineRule="auto"/>
        <w:rPr>
          <w:rFonts w:ascii="Times New Roman" w:hAnsi="Times New Roman" w:cs="Times New Roman"/>
          <w:color w:val="auto"/>
        </w:rPr>
      </w:pPr>
      <w:bookmarkStart w:id="18" w:name="_Toc141453128"/>
      <w:r>
        <w:rPr>
          <w:rFonts w:ascii="Times New Roman" w:hAnsi="Times New Roman" w:cs="Times New Roman"/>
          <w:b/>
          <w:bCs/>
          <w:color w:val="auto"/>
        </w:rPr>
        <w:t>1.3.6</w:t>
      </w:r>
      <w:r w:rsidR="00127094" w:rsidRPr="00D574A2">
        <w:rPr>
          <w:rFonts w:ascii="Times New Roman" w:hAnsi="Times New Roman" w:cs="Times New Roman"/>
          <w:b/>
          <w:bCs/>
          <w:color w:val="auto"/>
        </w:rPr>
        <w:t xml:space="preserve"> </w:t>
      </w:r>
      <w:r w:rsidR="00B61753" w:rsidRPr="00D574A2">
        <w:rPr>
          <w:rFonts w:ascii="Times New Roman" w:hAnsi="Times New Roman" w:cs="Times New Roman"/>
          <w:b/>
          <w:bCs/>
          <w:color w:val="auto"/>
        </w:rPr>
        <w:t>Strategic Decision-Making and Leadership</w:t>
      </w:r>
      <w:bookmarkEnd w:id="18"/>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As the role of HRM becomes more strategic and influential, HR leaders will be key contributors to strategic decision-making at the executive level. HR professionals should focus on aligning HR strategies with overall business goals, identifying human capital trends that impact organizational performance, and developing talent management strategies th</w:t>
      </w:r>
      <w:r w:rsidR="007843BA" w:rsidRPr="00D574A2">
        <w:rPr>
          <w:rFonts w:ascii="Times New Roman" w:hAnsi="Times New Roman" w:cs="Times New Roman"/>
          <w:sz w:val="24"/>
          <w:szCs w:val="24"/>
        </w:rPr>
        <w:t xml:space="preserve">at drive growth </w:t>
      </w:r>
      <w:r w:rsidR="007843BA" w:rsidRPr="00D574A2">
        <w:rPr>
          <w:rFonts w:ascii="Times New Roman" w:hAnsi="Times New Roman" w:cs="Times New Roman"/>
          <w:sz w:val="24"/>
          <w:szCs w:val="24"/>
        </w:rPr>
        <w:lastRenderedPageBreak/>
        <w:t xml:space="preserve">and innovation. </w:t>
      </w:r>
      <w:r w:rsidRPr="00D574A2">
        <w:rPr>
          <w:rFonts w:ascii="Times New Roman" w:hAnsi="Times New Roman" w:cs="Times New Roman"/>
          <w:sz w:val="24"/>
          <w:szCs w:val="24"/>
        </w:rPr>
        <w:t>HR leaders should advocate for the integration of HR considerations into business planning processes and engage with other C-suite executives to ensure that HR is seen as a strategic partner in driving organizational success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2021). By leveraging data analytics and evidence-based decision-making, HR professionals can present compelling insights to support strategic initiatives and optimize workforce performance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p>
    <w:p w:rsidR="00127094" w:rsidRPr="00D574A2" w:rsidRDefault="00127094" w:rsidP="00D574A2">
      <w:pPr>
        <w:pStyle w:val="Heading2"/>
        <w:spacing w:line="480" w:lineRule="auto"/>
        <w:rPr>
          <w:rFonts w:ascii="Times New Roman" w:hAnsi="Times New Roman" w:cs="Times New Roman"/>
          <w:b/>
          <w:color w:val="auto"/>
          <w:sz w:val="24"/>
          <w:szCs w:val="24"/>
        </w:rPr>
      </w:pPr>
      <w:bookmarkStart w:id="19" w:name="_Toc141453129"/>
      <w:r w:rsidRPr="00D574A2">
        <w:rPr>
          <w:rFonts w:ascii="Times New Roman" w:hAnsi="Times New Roman" w:cs="Times New Roman"/>
          <w:b/>
          <w:color w:val="auto"/>
          <w:sz w:val="24"/>
          <w:szCs w:val="24"/>
        </w:rPr>
        <w:t>1.4 conclusion</w:t>
      </w:r>
      <w:bookmarkEnd w:id="19"/>
    </w:p>
    <w:p w:rsidR="00B61753" w:rsidRPr="00D574A2" w:rsidRDefault="00FE657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In conclusion, as the UK navigates the post-Brexit and post-pandemic environment, organizations will need to be prepared for fluctuations in the labour market and </w:t>
      </w:r>
      <w:r w:rsidR="00D574A2" w:rsidRPr="00D574A2">
        <w:rPr>
          <w:rFonts w:ascii="Times New Roman" w:hAnsi="Times New Roman" w:cs="Times New Roman"/>
          <w:sz w:val="24"/>
          <w:szCs w:val="24"/>
        </w:rPr>
        <w:t>changing workforce expectations. Traditional</w:t>
      </w:r>
      <w:r w:rsidRPr="00D574A2">
        <w:rPr>
          <w:rFonts w:ascii="Times New Roman" w:hAnsi="Times New Roman" w:cs="Times New Roman"/>
          <w:sz w:val="24"/>
          <w:szCs w:val="24"/>
        </w:rPr>
        <w:t xml:space="preserve"> staffing models may be challenged, and HRM departments will play a crucial role in formulating and implementing strategies that ensure organizational success and sustainable growth. T</w:t>
      </w:r>
      <w:r w:rsidR="00127094" w:rsidRPr="00D574A2">
        <w:rPr>
          <w:rFonts w:ascii="Times New Roman" w:hAnsi="Times New Roman" w:cs="Times New Roman"/>
          <w:sz w:val="24"/>
          <w:szCs w:val="24"/>
        </w:rPr>
        <w:t>he UK labour market has undergone significant changes in the wake of Brexit and the COVID-19 pandemic. While the pandemic accelerated the adoption of remote work and technology in HRM practices, Brexit has led to challenges in employee resourcing due to potential changes in the movement of talent within the EU. The emergence of remote and hybrid work arrangements has expanded the talent pool and increased the focus on diversity, equity, and inclusion initiatives. HRM professionals are now leveraging technology and data analytics to make evidence-based decisions and foster organizational change and agility. Amidst the uncertainties, HRM departments are striving to attract and retain top talent while prioritizing ethics, inclusivity, and employee well-being. As the UK navigates the post-</w:t>
      </w:r>
      <w:proofErr w:type="spellStart"/>
      <w:r w:rsidR="00127094" w:rsidRPr="00D574A2">
        <w:rPr>
          <w:rFonts w:ascii="Times New Roman" w:hAnsi="Times New Roman" w:cs="Times New Roman"/>
          <w:sz w:val="24"/>
          <w:szCs w:val="24"/>
        </w:rPr>
        <w:t>Covid</w:t>
      </w:r>
      <w:proofErr w:type="spellEnd"/>
      <w:r w:rsidR="00127094" w:rsidRPr="00D574A2">
        <w:rPr>
          <w:rFonts w:ascii="Times New Roman" w:hAnsi="Times New Roman" w:cs="Times New Roman"/>
          <w:sz w:val="24"/>
          <w:szCs w:val="24"/>
        </w:rPr>
        <w:t>, post-Brexit external environment, HRM strategies will continue to evolve to meet the evolving needs of organizations and their workforce. Moreover</w:t>
      </w:r>
      <w:r w:rsidR="00B61753" w:rsidRPr="00D574A2">
        <w:rPr>
          <w:rFonts w:ascii="Times New Roman" w:hAnsi="Times New Roman" w:cs="Times New Roman"/>
          <w:sz w:val="24"/>
          <w:szCs w:val="24"/>
        </w:rPr>
        <w:t>, the post-</w:t>
      </w:r>
      <w:proofErr w:type="spellStart"/>
      <w:r w:rsidR="00B61753" w:rsidRPr="00D574A2">
        <w:rPr>
          <w:rFonts w:ascii="Times New Roman" w:hAnsi="Times New Roman" w:cs="Times New Roman"/>
          <w:sz w:val="24"/>
          <w:szCs w:val="24"/>
        </w:rPr>
        <w:t>Covid</w:t>
      </w:r>
      <w:proofErr w:type="spellEnd"/>
      <w:r w:rsidR="00B61753" w:rsidRPr="00D574A2">
        <w:rPr>
          <w:rFonts w:ascii="Times New Roman" w:hAnsi="Times New Roman" w:cs="Times New Roman"/>
          <w:sz w:val="24"/>
          <w:szCs w:val="24"/>
        </w:rPr>
        <w:t>, post-Brexit era presents both challenges and opportunities for huma</w:t>
      </w:r>
      <w:r w:rsidR="00127094" w:rsidRPr="00D574A2">
        <w:rPr>
          <w:rFonts w:ascii="Times New Roman" w:hAnsi="Times New Roman" w:cs="Times New Roman"/>
          <w:sz w:val="24"/>
          <w:szCs w:val="24"/>
        </w:rPr>
        <w:t xml:space="preserve">n resource management in the UK. </w:t>
      </w:r>
      <w:r w:rsidR="00B61753" w:rsidRPr="00D574A2">
        <w:rPr>
          <w:rFonts w:ascii="Times New Roman" w:hAnsi="Times New Roman" w:cs="Times New Roman"/>
          <w:sz w:val="24"/>
          <w:szCs w:val="24"/>
        </w:rPr>
        <w:t xml:space="preserve">HRM strategies must navigate regulatory changes, foster resilience and agility, embrace technology and HR analytics, promote inclusion and diversity, support flexible work </w:t>
      </w:r>
      <w:r w:rsidR="00B61753" w:rsidRPr="00D574A2">
        <w:rPr>
          <w:rFonts w:ascii="Times New Roman" w:hAnsi="Times New Roman" w:cs="Times New Roman"/>
          <w:sz w:val="24"/>
          <w:szCs w:val="24"/>
        </w:rPr>
        <w:lastRenderedPageBreak/>
        <w:t>arrangements, manage gig workers effectively, and play a strategic role in organizational decision-making. By adapting to the new normal and capitalizing on emerging trends, HRM professionals can position their organizations for success in a</w:t>
      </w:r>
      <w:r w:rsidR="00127094" w:rsidRPr="00D574A2">
        <w:rPr>
          <w:rFonts w:ascii="Times New Roman" w:hAnsi="Times New Roman" w:cs="Times New Roman"/>
          <w:sz w:val="24"/>
          <w:szCs w:val="24"/>
        </w:rPr>
        <w:t>n evolving external environment.</w:t>
      </w:r>
    </w:p>
    <w:p w:rsidR="00B61753" w:rsidRDefault="00B61753"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Pr="00D574A2" w:rsidRDefault="001B5672" w:rsidP="00D574A2">
      <w:pPr>
        <w:spacing w:line="480" w:lineRule="auto"/>
        <w:jc w:val="both"/>
        <w:rPr>
          <w:rFonts w:ascii="Times New Roman" w:hAnsi="Times New Roman" w:cs="Times New Roman"/>
          <w:sz w:val="24"/>
          <w:szCs w:val="24"/>
        </w:rPr>
      </w:pPr>
      <w:bookmarkStart w:id="20" w:name="_GoBack"/>
      <w:bookmarkEnd w:id="20"/>
    </w:p>
    <w:p w:rsidR="00B61753" w:rsidRPr="00D574A2" w:rsidRDefault="00B61753" w:rsidP="00D574A2">
      <w:pPr>
        <w:pStyle w:val="Heading1"/>
        <w:spacing w:line="480" w:lineRule="auto"/>
        <w:rPr>
          <w:rFonts w:ascii="Times New Roman" w:hAnsi="Times New Roman" w:cs="Times New Roman"/>
          <w:b/>
          <w:color w:val="auto"/>
          <w:sz w:val="24"/>
          <w:szCs w:val="24"/>
        </w:rPr>
      </w:pPr>
      <w:bookmarkStart w:id="21" w:name="_Toc141453130"/>
      <w:r w:rsidRPr="00D574A2">
        <w:rPr>
          <w:rFonts w:ascii="Times New Roman" w:hAnsi="Times New Roman" w:cs="Times New Roman"/>
          <w:b/>
          <w:color w:val="auto"/>
          <w:sz w:val="24"/>
          <w:szCs w:val="24"/>
          <w:lang w:val="en-US"/>
        </w:rPr>
        <w:lastRenderedPageBreak/>
        <w:t>References</w:t>
      </w:r>
      <w:bookmarkEnd w:id="21"/>
      <w:r w:rsidRPr="00D574A2">
        <w:rPr>
          <w:rFonts w:ascii="Times New Roman" w:hAnsi="Times New Roman" w:cs="Times New Roman"/>
          <w:b/>
          <w:color w:val="auto"/>
          <w:sz w:val="24"/>
          <w:szCs w:val="24"/>
          <w:lang w:val="en-US"/>
        </w:rPr>
        <w:t xml:space="preserve"> </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proofErr w:type="spellStart"/>
      <w:r w:rsidRPr="00B61753">
        <w:rPr>
          <w:rFonts w:ascii="Times New Roman" w:hAnsi="Times New Roman" w:cs="Times New Roman"/>
          <w:sz w:val="24"/>
          <w:szCs w:val="24"/>
        </w:rPr>
        <w:t>Bieńkowska</w:t>
      </w:r>
      <w:proofErr w:type="spellEnd"/>
      <w:r w:rsidRPr="00B61753">
        <w:rPr>
          <w:rFonts w:ascii="Times New Roman" w:hAnsi="Times New Roman" w:cs="Times New Roman"/>
          <w:sz w:val="24"/>
          <w:szCs w:val="24"/>
        </w:rPr>
        <w:t xml:space="preserve">, A., </w:t>
      </w:r>
      <w:proofErr w:type="spellStart"/>
      <w:r w:rsidRPr="00B61753">
        <w:rPr>
          <w:rFonts w:ascii="Times New Roman" w:hAnsi="Times New Roman" w:cs="Times New Roman"/>
          <w:sz w:val="24"/>
          <w:szCs w:val="24"/>
        </w:rPr>
        <w:t>Koszela</w:t>
      </w:r>
      <w:proofErr w:type="spellEnd"/>
      <w:r w:rsidRPr="00B61753">
        <w:rPr>
          <w:rFonts w:ascii="Times New Roman" w:hAnsi="Times New Roman" w:cs="Times New Roman"/>
          <w:sz w:val="24"/>
          <w:szCs w:val="24"/>
        </w:rPr>
        <w:t xml:space="preserve">, A., </w:t>
      </w:r>
      <w:proofErr w:type="spellStart"/>
      <w:r w:rsidRPr="00B61753">
        <w:rPr>
          <w:rFonts w:ascii="Times New Roman" w:hAnsi="Times New Roman" w:cs="Times New Roman"/>
          <w:sz w:val="24"/>
          <w:szCs w:val="24"/>
        </w:rPr>
        <w:t>Sałamacha</w:t>
      </w:r>
      <w:proofErr w:type="spellEnd"/>
      <w:r w:rsidRPr="00B61753">
        <w:rPr>
          <w:rFonts w:ascii="Times New Roman" w:hAnsi="Times New Roman" w:cs="Times New Roman"/>
          <w:sz w:val="24"/>
          <w:szCs w:val="24"/>
        </w:rPr>
        <w:t xml:space="preserve">, A. and </w:t>
      </w:r>
      <w:proofErr w:type="spellStart"/>
      <w:r w:rsidRPr="00B61753">
        <w:rPr>
          <w:rFonts w:ascii="Times New Roman" w:hAnsi="Times New Roman" w:cs="Times New Roman"/>
          <w:sz w:val="24"/>
          <w:szCs w:val="24"/>
        </w:rPr>
        <w:t>Tworek</w:t>
      </w:r>
      <w:proofErr w:type="spellEnd"/>
      <w:r w:rsidRPr="00B61753">
        <w:rPr>
          <w:rFonts w:ascii="Times New Roman" w:hAnsi="Times New Roman" w:cs="Times New Roman"/>
          <w:sz w:val="24"/>
          <w:szCs w:val="24"/>
        </w:rPr>
        <w:t>, K., 2022. COVID-19 oriented HRM strategies influence on job and organizational performance through job-related attitudes. </w:t>
      </w:r>
      <w:proofErr w:type="spellStart"/>
      <w:r w:rsidRPr="00B61753">
        <w:rPr>
          <w:rFonts w:ascii="Times New Roman" w:hAnsi="Times New Roman" w:cs="Times New Roman"/>
          <w:i/>
          <w:iCs/>
          <w:sz w:val="24"/>
          <w:szCs w:val="24"/>
        </w:rPr>
        <w:t>Plos</w:t>
      </w:r>
      <w:proofErr w:type="spellEnd"/>
      <w:r w:rsidRPr="00B61753">
        <w:rPr>
          <w:rFonts w:ascii="Times New Roman" w:hAnsi="Times New Roman" w:cs="Times New Roman"/>
          <w:i/>
          <w:iCs/>
          <w:sz w:val="24"/>
          <w:szCs w:val="24"/>
        </w:rPr>
        <w:t xml:space="preserve"> one</w:t>
      </w:r>
      <w:r w:rsidRPr="00B61753">
        <w:rPr>
          <w:rFonts w:ascii="Times New Roman" w:hAnsi="Times New Roman" w:cs="Times New Roman"/>
          <w:sz w:val="24"/>
          <w:szCs w:val="24"/>
        </w:rPr>
        <w:t>, </w:t>
      </w:r>
      <w:r w:rsidRPr="00B61753">
        <w:rPr>
          <w:rFonts w:ascii="Times New Roman" w:hAnsi="Times New Roman" w:cs="Times New Roman"/>
          <w:i/>
          <w:iCs/>
          <w:sz w:val="24"/>
          <w:szCs w:val="24"/>
        </w:rPr>
        <w:t>17</w:t>
      </w:r>
      <w:r w:rsidRPr="00B61753">
        <w:rPr>
          <w:rFonts w:ascii="Times New Roman" w:hAnsi="Times New Roman" w:cs="Times New Roman"/>
          <w:sz w:val="24"/>
          <w:szCs w:val="24"/>
        </w:rPr>
        <w:t xml:space="preserve">(4), </w:t>
      </w:r>
      <w:proofErr w:type="gramStart"/>
      <w:r w:rsidRPr="00B61753">
        <w:rPr>
          <w:rFonts w:ascii="Times New Roman" w:hAnsi="Times New Roman" w:cs="Times New Roman"/>
          <w:sz w:val="24"/>
          <w:szCs w:val="24"/>
        </w:rPr>
        <w:t>p.e</w:t>
      </w:r>
      <w:proofErr w:type="gramEnd"/>
      <w:r w:rsidRPr="00B61753">
        <w:rPr>
          <w:rFonts w:ascii="Times New Roman" w:hAnsi="Times New Roman" w:cs="Times New Roman"/>
          <w:sz w:val="24"/>
          <w:szCs w:val="24"/>
        </w:rPr>
        <w:t>0266364.]</w:t>
      </w:r>
    </w:p>
    <w:p w:rsidR="00150329"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Ferreira, J. (2022). </w:t>
      </w:r>
      <w:r w:rsidRPr="00B61753">
        <w:rPr>
          <w:rFonts w:ascii="Times New Roman" w:hAnsi="Times New Roman" w:cs="Times New Roman"/>
          <w:i/>
          <w:iCs/>
          <w:sz w:val="24"/>
          <w:szCs w:val="24"/>
        </w:rPr>
        <w:t>UK Jobless Rate Holds Steady at 44-Year Low</w:t>
      </w:r>
      <w:r w:rsidRPr="00B61753">
        <w:rPr>
          <w:rFonts w:ascii="Times New Roman" w:hAnsi="Times New Roman" w:cs="Times New Roman"/>
          <w:sz w:val="24"/>
          <w:szCs w:val="24"/>
        </w:rPr>
        <w:t xml:space="preserve">. [online] Tradingeconomics.com. Available at: </w:t>
      </w:r>
      <w:hyperlink r:id="rId9" w:history="1">
        <w:r w:rsidRPr="00B61753">
          <w:rPr>
            <w:rStyle w:val="Hyperlink"/>
            <w:rFonts w:ascii="Times New Roman" w:hAnsi="Times New Roman" w:cs="Times New Roman"/>
            <w:sz w:val="24"/>
            <w:szCs w:val="24"/>
          </w:rPr>
          <w:t>https://tradingeconomics.com/united-kingdom/unemployment-rate</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Francis-Devine, B., Buchanan, I. and Powell, A. (2023). </w:t>
      </w:r>
      <w:r w:rsidRPr="00B61753">
        <w:rPr>
          <w:rFonts w:ascii="Times New Roman" w:hAnsi="Times New Roman" w:cs="Times New Roman"/>
          <w:i/>
          <w:iCs/>
          <w:sz w:val="24"/>
          <w:szCs w:val="24"/>
        </w:rPr>
        <w:t>UK labour market statistics</w:t>
      </w:r>
      <w:r w:rsidRPr="00B61753">
        <w:rPr>
          <w:rFonts w:ascii="Times New Roman" w:hAnsi="Times New Roman" w:cs="Times New Roman"/>
          <w:sz w:val="24"/>
          <w:szCs w:val="24"/>
        </w:rPr>
        <w:t xml:space="preserve">. [online] Available at: </w:t>
      </w:r>
      <w:hyperlink r:id="rId10" w:history="1">
        <w:r w:rsidRPr="00B61753">
          <w:rPr>
            <w:rStyle w:val="Hyperlink"/>
            <w:rFonts w:ascii="Times New Roman" w:hAnsi="Times New Roman" w:cs="Times New Roman"/>
            <w:sz w:val="24"/>
            <w:szCs w:val="24"/>
          </w:rPr>
          <w:t>https://researchbriefings.files.parliament.uk/documents/CBP-9366/CBP-9366.pdf</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lattice.com. (2021). </w:t>
      </w:r>
      <w:r w:rsidRPr="00B61753">
        <w:rPr>
          <w:rFonts w:ascii="Times New Roman" w:hAnsi="Times New Roman" w:cs="Times New Roman"/>
          <w:i/>
          <w:iCs/>
          <w:sz w:val="24"/>
          <w:szCs w:val="24"/>
        </w:rPr>
        <w:t>4 Ways HR Can Navigate Brexit’s Impact on UK Business</w:t>
      </w:r>
      <w:r w:rsidRPr="00B61753">
        <w:rPr>
          <w:rFonts w:ascii="Times New Roman" w:hAnsi="Times New Roman" w:cs="Times New Roman"/>
          <w:sz w:val="24"/>
          <w:szCs w:val="24"/>
        </w:rPr>
        <w:t xml:space="preserve">. [online] Available at: </w:t>
      </w:r>
      <w:hyperlink r:id="rId11" w:history="1">
        <w:r w:rsidRPr="00B61753">
          <w:rPr>
            <w:rStyle w:val="Hyperlink"/>
            <w:rFonts w:ascii="Times New Roman" w:hAnsi="Times New Roman" w:cs="Times New Roman"/>
            <w:sz w:val="24"/>
            <w:szCs w:val="24"/>
          </w:rPr>
          <w:t>https://lattice.com/library/4-ways-hr-can-navigate-brexits-impact-on-uk-business</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7843BA">
        <w:rPr>
          <w:rFonts w:ascii="Times New Roman" w:hAnsi="Times New Roman" w:cs="Times New Roman"/>
          <w:sz w:val="24"/>
          <w:szCs w:val="24"/>
        </w:rPr>
        <w:t xml:space="preserve">Management Study Guide </w:t>
      </w:r>
      <w:r w:rsidRPr="00B61753">
        <w:rPr>
          <w:rFonts w:ascii="Times New Roman" w:hAnsi="Times New Roman" w:cs="Times New Roman"/>
          <w:sz w:val="24"/>
          <w:szCs w:val="24"/>
        </w:rPr>
        <w:t>(n.d.). </w:t>
      </w:r>
      <w:r w:rsidRPr="00B61753">
        <w:rPr>
          <w:rFonts w:ascii="Times New Roman" w:hAnsi="Times New Roman" w:cs="Times New Roman"/>
          <w:i/>
          <w:iCs/>
          <w:sz w:val="24"/>
          <w:szCs w:val="24"/>
        </w:rPr>
        <w:t xml:space="preserve">HRM Strategies for the Post </w:t>
      </w:r>
      <w:proofErr w:type="spellStart"/>
      <w:r w:rsidRPr="00B61753">
        <w:rPr>
          <w:rFonts w:ascii="Times New Roman" w:hAnsi="Times New Roman" w:cs="Times New Roman"/>
          <w:i/>
          <w:iCs/>
          <w:sz w:val="24"/>
          <w:szCs w:val="24"/>
        </w:rPr>
        <w:t>Covid</w:t>
      </w:r>
      <w:proofErr w:type="spellEnd"/>
      <w:r w:rsidRPr="00B61753">
        <w:rPr>
          <w:rFonts w:ascii="Times New Roman" w:hAnsi="Times New Roman" w:cs="Times New Roman"/>
          <w:i/>
          <w:iCs/>
          <w:sz w:val="24"/>
          <w:szCs w:val="24"/>
        </w:rPr>
        <w:t xml:space="preserve"> Era and the New Normal of Virtual Workplaces</w:t>
      </w:r>
      <w:r w:rsidRPr="00B61753">
        <w:rPr>
          <w:rFonts w:ascii="Times New Roman" w:hAnsi="Times New Roman" w:cs="Times New Roman"/>
          <w:sz w:val="24"/>
          <w:szCs w:val="24"/>
        </w:rPr>
        <w:t xml:space="preserve">. [online] Available at: </w:t>
      </w:r>
      <w:hyperlink r:id="rId12" w:history="1">
        <w:r w:rsidRPr="00B61753">
          <w:rPr>
            <w:rStyle w:val="Hyperlink"/>
            <w:rFonts w:ascii="Times New Roman" w:hAnsi="Times New Roman" w:cs="Times New Roman"/>
            <w:sz w:val="24"/>
            <w:szCs w:val="24"/>
          </w:rPr>
          <w:t>https://www.managementstudyguide.com/hrm-strategies-for-post-covid-era.htm</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McIntyre. S. 2023. Economics Observatory. </w:t>
      </w:r>
      <w:r w:rsidRPr="00B61753">
        <w:rPr>
          <w:rFonts w:ascii="Times New Roman" w:hAnsi="Times New Roman" w:cs="Times New Roman"/>
          <w:i/>
          <w:iCs/>
          <w:sz w:val="24"/>
          <w:szCs w:val="24"/>
        </w:rPr>
        <w:t>What’s happening in the UK labour market?</w:t>
      </w:r>
      <w:r w:rsidRPr="00B61753">
        <w:rPr>
          <w:rFonts w:ascii="Times New Roman" w:hAnsi="Times New Roman" w:cs="Times New Roman"/>
          <w:sz w:val="24"/>
          <w:szCs w:val="24"/>
        </w:rPr>
        <w:t> [online] Available at: https://www.economicsobservatory.com/whats-happening-in-the-uk-labour-market.</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Ridgway, M., 2019. Brexit: Human resourcing implications. </w:t>
      </w:r>
      <w:r w:rsidRPr="00B61753">
        <w:rPr>
          <w:rFonts w:ascii="Times New Roman" w:hAnsi="Times New Roman" w:cs="Times New Roman"/>
          <w:i/>
          <w:iCs/>
          <w:sz w:val="24"/>
          <w:szCs w:val="24"/>
        </w:rPr>
        <w:t>Employee Relations: The International Journal</w:t>
      </w:r>
      <w:r w:rsidRPr="00B61753">
        <w:rPr>
          <w:rFonts w:ascii="Times New Roman" w:hAnsi="Times New Roman" w:cs="Times New Roman"/>
          <w:sz w:val="24"/>
          <w:szCs w:val="24"/>
        </w:rPr>
        <w:t>, </w:t>
      </w:r>
      <w:r w:rsidRPr="00B61753">
        <w:rPr>
          <w:rFonts w:ascii="Times New Roman" w:hAnsi="Times New Roman" w:cs="Times New Roman"/>
          <w:i/>
          <w:iCs/>
          <w:sz w:val="24"/>
          <w:szCs w:val="24"/>
        </w:rPr>
        <w:t>41</w:t>
      </w:r>
      <w:r w:rsidRPr="00B61753">
        <w:rPr>
          <w:rFonts w:ascii="Times New Roman" w:hAnsi="Times New Roman" w:cs="Times New Roman"/>
          <w:sz w:val="24"/>
          <w:szCs w:val="24"/>
        </w:rPr>
        <w:t>(5), pp.1033-1045.</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9B11CA">
        <w:rPr>
          <w:rFonts w:ascii="Times New Roman" w:hAnsi="Times New Roman" w:cs="Times New Roman"/>
          <w:sz w:val="24"/>
          <w:szCs w:val="24"/>
        </w:rPr>
        <w:t xml:space="preserve">Robinson, C. and Leaker, D. (2023). </w:t>
      </w:r>
      <w:r w:rsidRPr="009B11CA">
        <w:rPr>
          <w:rFonts w:ascii="Times New Roman" w:hAnsi="Times New Roman" w:cs="Times New Roman"/>
          <w:i/>
          <w:iCs/>
          <w:sz w:val="24"/>
          <w:szCs w:val="24"/>
        </w:rPr>
        <w:t xml:space="preserve">Earnings and employment from Pay </w:t>
      </w:r>
      <w:proofErr w:type="gramStart"/>
      <w:r w:rsidRPr="009B11CA">
        <w:rPr>
          <w:rFonts w:ascii="Times New Roman" w:hAnsi="Times New Roman" w:cs="Times New Roman"/>
          <w:i/>
          <w:iCs/>
          <w:sz w:val="24"/>
          <w:szCs w:val="24"/>
        </w:rPr>
        <w:t>As</w:t>
      </w:r>
      <w:proofErr w:type="gramEnd"/>
      <w:r w:rsidRPr="009B11CA">
        <w:rPr>
          <w:rFonts w:ascii="Times New Roman" w:hAnsi="Times New Roman" w:cs="Times New Roman"/>
          <w:i/>
          <w:iCs/>
          <w:sz w:val="24"/>
          <w:szCs w:val="24"/>
        </w:rPr>
        <w:t xml:space="preserve"> You Earn Real Time Information, UK: July 2023</w:t>
      </w:r>
      <w:r w:rsidRPr="009B11CA">
        <w:rPr>
          <w:rFonts w:ascii="Times New Roman" w:hAnsi="Times New Roman" w:cs="Times New Roman"/>
          <w:sz w:val="24"/>
          <w:szCs w:val="24"/>
        </w:rPr>
        <w:t>. [online] Office for National Statistics. Available at: https://www.ons.gov.uk/employmentandlabourmarket/peopleinwork/earningsandworkinghours/bulletins/earningsandemploymentfrompayasyouearnrealtimeinformationuk/latest [Accessed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proofErr w:type="spellStart"/>
      <w:r w:rsidRPr="00B61753">
        <w:rPr>
          <w:rFonts w:ascii="Times New Roman" w:hAnsi="Times New Roman" w:cs="Times New Roman"/>
          <w:sz w:val="24"/>
          <w:szCs w:val="24"/>
        </w:rPr>
        <w:lastRenderedPageBreak/>
        <w:t>Roumpi</w:t>
      </w:r>
      <w:proofErr w:type="spellEnd"/>
      <w:r w:rsidRPr="00B61753">
        <w:rPr>
          <w:rFonts w:ascii="Times New Roman" w:hAnsi="Times New Roman" w:cs="Times New Roman"/>
          <w:sz w:val="24"/>
          <w:szCs w:val="24"/>
        </w:rPr>
        <w:t>, D., 2021. Rethinking the strategic management of human resources: lessons learned from Covid-19 and the way forward in building resilience. </w:t>
      </w:r>
      <w:r w:rsidRPr="00B61753">
        <w:rPr>
          <w:rFonts w:ascii="Times New Roman" w:hAnsi="Times New Roman" w:cs="Times New Roman"/>
          <w:i/>
          <w:iCs/>
          <w:sz w:val="24"/>
          <w:szCs w:val="24"/>
        </w:rPr>
        <w:t>International Journal of Organizational Analysis</w:t>
      </w:r>
      <w:r w:rsidRPr="00B61753">
        <w:rPr>
          <w:rFonts w:ascii="Times New Roman" w:hAnsi="Times New Roman" w:cs="Times New Roman"/>
          <w:sz w:val="24"/>
          <w:szCs w:val="24"/>
        </w:rPr>
        <w:t>, </w:t>
      </w:r>
      <w:r w:rsidRPr="00B61753">
        <w:rPr>
          <w:rFonts w:ascii="Times New Roman" w:hAnsi="Times New Roman" w:cs="Times New Roman"/>
          <w:i/>
          <w:iCs/>
          <w:sz w:val="24"/>
          <w:szCs w:val="24"/>
        </w:rPr>
        <w:t>31</w:t>
      </w:r>
      <w:r w:rsidRPr="00B61753">
        <w:rPr>
          <w:rFonts w:ascii="Times New Roman" w:hAnsi="Times New Roman" w:cs="Times New Roman"/>
          <w:sz w:val="24"/>
          <w:szCs w:val="24"/>
        </w:rPr>
        <w:t>(1), pp.215-231.</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Templeton, V. (2020). </w:t>
      </w:r>
      <w:r w:rsidRPr="00B61753">
        <w:rPr>
          <w:rFonts w:ascii="Times New Roman" w:hAnsi="Times New Roman" w:cs="Times New Roman"/>
          <w:i/>
          <w:iCs/>
          <w:sz w:val="24"/>
          <w:szCs w:val="24"/>
        </w:rPr>
        <w:t>Brexit: the latest implications for HR</w:t>
      </w:r>
      <w:r w:rsidRPr="00B61753">
        <w:rPr>
          <w:rFonts w:ascii="Times New Roman" w:hAnsi="Times New Roman" w:cs="Times New Roman"/>
          <w:sz w:val="24"/>
          <w:szCs w:val="24"/>
        </w:rPr>
        <w:t xml:space="preserve">. [online] HR Solutions. Available at: </w:t>
      </w:r>
      <w:hyperlink r:id="rId13" w:history="1">
        <w:r w:rsidRPr="00B61753">
          <w:rPr>
            <w:rStyle w:val="Hyperlink"/>
            <w:rFonts w:ascii="Times New Roman" w:hAnsi="Times New Roman" w:cs="Times New Roman"/>
            <w:sz w:val="24"/>
            <w:szCs w:val="24"/>
          </w:rPr>
          <w:t>https://www.hrsolutions-uk.com/brexit-the-latest-implications-for-hr/</w:t>
        </w:r>
      </w:hyperlink>
      <w:r w:rsidRPr="00B61753">
        <w:rPr>
          <w:rFonts w:ascii="Times New Roman" w:hAnsi="Times New Roman" w:cs="Times New Roman"/>
          <w:sz w:val="24"/>
          <w:szCs w:val="24"/>
        </w:rPr>
        <w:t>.</w:t>
      </w:r>
      <w:r w:rsidRPr="009B11CA">
        <w:rPr>
          <w:rFonts w:ascii="Times New Roman" w:hAnsi="Times New Roman" w:cs="Times New Roman"/>
          <w:sz w:val="24"/>
          <w:szCs w:val="24"/>
        </w:rPr>
        <w:t>[Accessed 28 Jul. 2023].</w:t>
      </w:r>
    </w:p>
    <w:p w:rsidR="00496697" w:rsidRPr="00B61753" w:rsidRDefault="00496697" w:rsidP="00B61753">
      <w:pPr>
        <w:jc w:val="both"/>
        <w:rPr>
          <w:rFonts w:ascii="Times New Roman" w:hAnsi="Times New Roman" w:cs="Times New Roman"/>
          <w:b/>
          <w:sz w:val="24"/>
          <w:szCs w:val="24"/>
        </w:rPr>
      </w:pPr>
    </w:p>
    <w:p w:rsidR="00496697" w:rsidRPr="00B61753" w:rsidRDefault="00496697" w:rsidP="00B61753">
      <w:pPr>
        <w:jc w:val="both"/>
        <w:rPr>
          <w:rFonts w:ascii="Times New Roman" w:hAnsi="Times New Roman" w:cs="Times New Roman"/>
          <w:sz w:val="24"/>
          <w:szCs w:val="24"/>
        </w:rPr>
      </w:pPr>
    </w:p>
    <w:sectPr w:rsidR="00496697" w:rsidRPr="00B6175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7323" w:rsidRDefault="000F7323" w:rsidP="00150329">
      <w:pPr>
        <w:spacing w:after="0" w:line="240" w:lineRule="auto"/>
      </w:pPr>
      <w:r>
        <w:separator/>
      </w:r>
    </w:p>
  </w:endnote>
  <w:endnote w:type="continuationSeparator" w:id="0">
    <w:p w:rsidR="000F7323" w:rsidRDefault="000F7323" w:rsidP="00150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477366"/>
      <w:docPartObj>
        <w:docPartGallery w:val="Page Numbers (Bottom of Page)"/>
        <w:docPartUnique/>
      </w:docPartObj>
    </w:sdtPr>
    <w:sdtEndPr>
      <w:rPr>
        <w:noProof/>
      </w:rPr>
    </w:sdtEndPr>
    <w:sdtContent>
      <w:p w:rsidR="00150329" w:rsidRDefault="00150329">
        <w:pPr>
          <w:pStyle w:val="Footer"/>
          <w:jc w:val="center"/>
        </w:pPr>
        <w:r>
          <w:fldChar w:fldCharType="begin"/>
        </w:r>
        <w:r>
          <w:instrText xml:space="preserve"> PAGE   \* MERGEFORMAT </w:instrText>
        </w:r>
        <w:r>
          <w:fldChar w:fldCharType="separate"/>
        </w:r>
        <w:r w:rsidR="006851CD">
          <w:rPr>
            <w:noProof/>
          </w:rPr>
          <w:t>1</w:t>
        </w:r>
        <w:r>
          <w:rPr>
            <w:noProof/>
          </w:rPr>
          <w:fldChar w:fldCharType="end"/>
        </w:r>
      </w:p>
    </w:sdtContent>
  </w:sdt>
  <w:p w:rsidR="00150329" w:rsidRDefault="00150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7323" w:rsidRDefault="000F7323" w:rsidP="00150329">
      <w:pPr>
        <w:spacing w:after="0" w:line="240" w:lineRule="auto"/>
      </w:pPr>
      <w:r>
        <w:separator/>
      </w:r>
    </w:p>
  </w:footnote>
  <w:footnote w:type="continuationSeparator" w:id="0">
    <w:p w:rsidR="000F7323" w:rsidRDefault="000F7323" w:rsidP="00150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91508"/>
    <w:multiLevelType w:val="multilevel"/>
    <w:tmpl w:val="0AA47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511DE9"/>
    <w:multiLevelType w:val="multilevel"/>
    <w:tmpl w:val="59E2A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70C26"/>
    <w:multiLevelType w:val="multilevel"/>
    <w:tmpl w:val="5A9687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5063DD"/>
    <w:multiLevelType w:val="multilevel"/>
    <w:tmpl w:val="B50636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D766E7"/>
    <w:multiLevelType w:val="multilevel"/>
    <w:tmpl w:val="E0DC1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237993"/>
    <w:multiLevelType w:val="multilevel"/>
    <w:tmpl w:val="8FFE81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3E783E"/>
    <w:multiLevelType w:val="multilevel"/>
    <w:tmpl w:val="73D4E7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5311E1"/>
    <w:multiLevelType w:val="multilevel"/>
    <w:tmpl w:val="3F38AA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DC5D19"/>
    <w:multiLevelType w:val="multilevel"/>
    <w:tmpl w:val="B9965A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242103"/>
    <w:multiLevelType w:val="multilevel"/>
    <w:tmpl w:val="59D47F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4A1F0E"/>
    <w:multiLevelType w:val="multilevel"/>
    <w:tmpl w:val="30349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582519"/>
    <w:multiLevelType w:val="multilevel"/>
    <w:tmpl w:val="D4CAC4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6"/>
  </w:num>
  <w:num w:numId="4">
    <w:abstractNumId w:val="7"/>
  </w:num>
  <w:num w:numId="5">
    <w:abstractNumId w:val="3"/>
  </w:num>
  <w:num w:numId="6">
    <w:abstractNumId w:val="10"/>
  </w:num>
  <w:num w:numId="7">
    <w:abstractNumId w:val="2"/>
  </w:num>
  <w:num w:numId="8">
    <w:abstractNumId w:val="4"/>
  </w:num>
  <w:num w:numId="9">
    <w:abstractNumId w:val="5"/>
  </w:num>
  <w:num w:numId="10">
    <w:abstractNumId w:val="9"/>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F11"/>
    <w:rsid w:val="000F7323"/>
    <w:rsid w:val="00127094"/>
    <w:rsid w:val="00150329"/>
    <w:rsid w:val="001A020F"/>
    <w:rsid w:val="001B5672"/>
    <w:rsid w:val="002A7C1C"/>
    <w:rsid w:val="002D1EE7"/>
    <w:rsid w:val="00352EA4"/>
    <w:rsid w:val="00496697"/>
    <w:rsid w:val="006851CD"/>
    <w:rsid w:val="007843BA"/>
    <w:rsid w:val="00787022"/>
    <w:rsid w:val="007B7F11"/>
    <w:rsid w:val="00810DCC"/>
    <w:rsid w:val="00843EDE"/>
    <w:rsid w:val="0091687A"/>
    <w:rsid w:val="009958DB"/>
    <w:rsid w:val="009B11CA"/>
    <w:rsid w:val="009C4ED1"/>
    <w:rsid w:val="00B4471C"/>
    <w:rsid w:val="00B61753"/>
    <w:rsid w:val="00B91BAA"/>
    <w:rsid w:val="00BF4785"/>
    <w:rsid w:val="00C806C6"/>
    <w:rsid w:val="00D030D6"/>
    <w:rsid w:val="00D35E4F"/>
    <w:rsid w:val="00D574A2"/>
    <w:rsid w:val="00DB75F4"/>
    <w:rsid w:val="00DD4024"/>
    <w:rsid w:val="00E70877"/>
    <w:rsid w:val="00F0622A"/>
    <w:rsid w:val="00FD76A5"/>
    <w:rsid w:val="00FE6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5DBD6"/>
  <w15:chartTrackingRefBased/>
  <w15:docId w15:val="{383062EC-F377-45F1-9638-CFB9937D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4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574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574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697"/>
    <w:rPr>
      <w:color w:val="0563C1" w:themeColor="hyperlink"/>
      <w:u w:val="single"/>
    </w:rPr>
  </w:style>
  <w:style w:type="paragraph" w:styleId="Caption">
    <w:name w:val="caption"/>
    <w:basedOn w:val="Normal"/>
    <w:next w:val="Normal"/>
    <w:uiPriority w:val="35"/>
    <w:unhideWhenUsed/>
    <w:qFormat/>
    <w:rsid w:val="00C806C6"/>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574A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574A2"/>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D574A2"/>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150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329"/>
  </w:style>
  <w:style w:type="paragraph" w:styleId="Footer">
    <w:name w:val="footer"/>
    <w:basedOn w:val="Normal"/>
    <w:link w:val="FooterChar"/>
    <w:uiPriority w:val="99"/>
    <w:unhideWhenUsed/>
    <w:rsid w:val="00150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329"/>
  </w:style>
  <w:style w:type="paragraph" w:styleId="TOCHeading">
    <w:name w:val="TOC Heading"/>
    <w:basedOn w:val="Heading1"/>
    <w:next w:val="Normal"/>
    <w:uiPriority w:val="39"/>
    <w:unhideWhenUsed/>
    <w:qFormat/>
    <w:rsid w:val="00150329"/>
    <w:pPr>
      <w:outlineLvl w:val="9"/>
    </w:pPr>
    <w:rPr>
      <w:lang w:val="en-US"/>
    </w:rPr>
  </w:style>
  <w:style w:type="paragraph" w:styleId="TOC1">
    <w:name w:val="toc 1"/>
    <w:basedOn w:val="Normal"/>
    <w:next w:val="Normal"/>
    <w:autoRedefine/>
    <w:uiPriority w:val="39"/>
    <w:unhideWhenUsed/>
    <w:rsid w:val="00150329"/>
    <w:pPr>
      <w:spacing w:after="100"/>
    </w:pPr>
  </w:style>
  <w:style w:type="paragraph" w:styleId="TOC3">
    <w:name w:val="toc 3"/>
    <w:basedOn w:val="Normal"/>
    <w:next w:val="Normal"/>
    <w:autoRedefine/>
    <w:uiPriority w:val="39"/>
    <w:unhideWhenUsed/>
    <w:rsid w:val="00150329"/>
    <w:pPr>
      <w:spacing w:after="100"/>
      <w:ind w:left="440"/>
    </w:pPr>
  </w:style>
  <w:style w:type="paragraph" w:styleId="TOC2">
    <w:name w:val="toc 2"/>
    <w:basedOn w:val="Normal"/>
    <w:next w:val="Normal"/>
    <w:autoRedefine/>
    <w:uiPriority w:val="39"/>
    <w:unhideWhenUsed/>
    <w:rsid w:val="0015032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313338">
      <w:bodyDiv w:val="1"/>
      <w:marLeft w:val="0"/>
      <w:marRight w:val="0"/>
      <w:marTop w:val="0"/>
      <w:marBottom w:val="0"/>
      <w:divBdr>
        <w:top w:val="none" w:sz="0" w:space="0" w:color="auto"/>
        <w:left w:val="none" w:sz="0" w:space="0" w:color="auto"/>
        <w:bottom w:val="none" w:sz="0" w:space="0" w:color="auto"/>
        <w:right w:val="none" w:sz="0" w:space="0" w:color="auto"/>
      </w:divBdr>
    </w:div>
    <w:div w:id="502624163">
      <w:bodyDiv w:val="1"/>
      <w:marLeft w:val="0"/>
      <w:marRight w:val="0"/>
      <w:marTop w:val="0"/>
      <w:marBottom w:val="0"/>
      <w:divBdr>
        <w:top w:val="none" w:sz="0" w:space="0" w:color="auto"/>
        <w:left w:val="none" w:sz="0" w:space="0" w:color="auto"/>
        <w:bottom w:val="none" w:sz="0" w:space="0" w:color="auto"/>
        <w:right w:val="none" w:sz="0" w:space="0" w:color="auto"/>
      </w:divBdr>
    </w:div>
    <w:div w:id="733892673">
      <w:bodyDiv w:val="1"/>
      <w:marLeft w:val="0"/>
      <w:marRight w:val="0"/>
      <w:marTop w:val="0"/>
      <w:marBottom w:val="0"/>
      <w:divBdr>
        <w:top w:val="none" w:sz="0" w:space="0" w:color="auto"/>
        <w:left w:val="none" w:sz="0" w:space="0" w:color="auto"/>
        <w:bottom w:val="none" w:sz="0" w:space="0" w:color="auto"/>
        <w:right w:val="none" w:sz="0" w:space="0" w:color="auto"/>
      </w:divBdr>
    </w:div>
    <w:div w:id="871923639">
      <w:bodyDiv w:val="1"/>
      <w:marLeft w:val="0"/>
      <w:marRight w:val="0"/>
      <w:marTop w:val="0"/>
      <w:marBottom w:val="0"/>
      <w:divBdr>
        <w:top w:val="none" w:sz="0" w:space="0" w:color="auto"/>
        <w:left w:val="none" w:sz="0" w:space="0" w:color="auto"/>
        <w:bottom w:val="none" w:sz="0" w:space="0" w:color="auto"/>
        <w:right w:val="none" w:sz="0" w:space="0" w:color="auto"/>
      </w:divBdr>
    </w:div>
    <w:div w:id="977535202">
      <w:bodyDiv w:val="1"/>
      <w:marLeft w:val="0"/>
      <w:marRight w:val="0"/>
      <w:marTop w:val="0"/>
      <w:marBottom w:val="0"/>
      <w:divBdr>
        <w:top w:val="none" w:sz="0" w:space="0" w:color="auto"/>
        <w:left w:val="none" w:sz="0" w:space="0" w:color="auto"/>
        <w:bottom w:val="none" w:sz="0" w:space="0" w:color="auto"/>
        <w:right w:val="none" w:sz="0" w:space="0" w:color="auto"/>
      </w:divBdr>
    </w:div>
    <w:div w:id="1376277208">
      <w:bodyDiv w:val="1"/>
      <w:marLeft w:val="0"/>
      <w:marRight w:val="0"/>
      <w:marTop w:val="0"/>
      <w:marBottom w:val="0"/>
      <w:divBdr>
        <w:top w:val="none" w:sz="0" w:space="0" w:color="auto"/>
        <w:left w:val="none" w:sz="0" w:space="0" w:color="auto"/>
        <w:bottom w:val="none" w:sz="0" w:space="0" w:color="auto"/>
        <w:right w:val="none" w:sz="0" w:space="0" w:color="auto"/>
      </w:divBdr>
    </w:div>
    <w:div w:id="1791125144">
      <w:bodyDiv w:val="1"/>
      <w:marLeft w:val="0"/>
      <w:marRight w:val="0"/>
      <w:marTop w:val="0"/>
      <w:marBottom w:val="0"/>
      <w:divBdr>
        <w:top w:val="none" w:sz="0" w:space="0" w:color="auto"/>
        <w:left w:val="none" w:sz="0" w:space="0" w:color="auto"/>
        <w:bottom w:val="none" w:sz="0" w:space="0" w:color="auto"/>
        <w:right w:val="none" w:sz="0" w:space="0" w:color="auto"/>
      </w:divBdr>
      <w:divsChild>
        <w:div w:id="700712029">
          <w:marLeft w:val="0"/>
          <w:marRight w:val="0"/>
          <w:marTop w:val="0"/>
          <w:marBottom w:val="0"/>
          <w:divBdr>
            <w:top w:val="none" w:sz="0" w:space="0" w:color="auto"/>
            <w:left w:val="none" w:sz="0" w:space="0" w:color="auto"/>
            <w:bottom w:val="none" w:sz="0" w:space="0" w:color="auto"/>
            <w:right w:val="none" w:sz="0" w:space="0" w:color="auto"/>
          </w:divBdr>
        </w:div>
      </w:divsChild>
    </w:div>
    <w:div w:id="1927110819">
      <w:bodyDiv w:val="1"/>
      <w:marLeft w:val="0"/>
      <w:marRight w:val="0"/>
      <w:marTop w:val="0"/>
      <w:marBottom w:val="0"/>
      <w:divBdr>
        <w:top w:val="none" w:sz="0" w:space="0" w:color="auto"/>
        <w:left w:val="none" w:sz="0" w:space="0" w:color="auto"/>
        <w:bottom w:val="none" w:sz="0" w:space="0" w:color="auto"/>
        <w:right w:val="none" w:sz="0" w:space="0" w:color="auto"/>
      </w:divBdr>
    </w:div>
    <w:div w:id="196766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rsolutions-uk.com/brexit-the-latest-implications-for-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agementstudyguide.com/hrm-strategies-for-post-covid-era.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ttice.com/library/4-ways-hr-can-navigate-brexits-impact-on-uk-busine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searchbriefings.files.parliament.uk/documents/CBP-9366/CBP-9366.pdf" TargetMode="External"/><Relationship Id="rId4" Type="http://schemas.openxmlformats.org/officeDocument/2006/relationships/settings" Target="settings.xml"/><Relationship Id="rId9" Type="http://schemas.openxmlformats.org/officeDocument/2006/relationships/hyperlink" Target="https://tradingeconomics.com/united-kingdom/unemployment-rat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5D7D6-6E34-4265-9372-2B1CA10F3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3579</Words>
  <Characters>20403</Characters>
  <Application>Microsoft Office Word</Application>
  <DocSecurity>0</DocSecurity>
  <Lines>170</Lines>
  <Paragraphs>47</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1.0 Introduction</vt:lpstr>
      <vt:lpstr>1.1 The Current State of the Labour Market in the UK</vt:lpstr>
      <vt:lpstr>        1.1.1 Unemployment Rates</vt:lpstr>
      <vt:lpstr>        1.1.2 Impact of Brexit on Labour Market Dynamics</vt:lpstr>
      <vt:lpstr>        1.1.3. Remote Work Trends and HRM Strategies</vt:lpstr>
      <vt:lpstr>        1.1.4. Impact of Millennials and the Gig Economy</vt:lpstr>
      <vt:lpstr>    1.2 The Emerging Changes in Human Resourcing Strategies in the Post-Covid, Post-</vt:lpstr>
      <vt:lpstr>        1.2.1 Talent Attraction and Retention Strategies </vt:lpstr>
      <vt:lpstr>        1.2.2. Technology and HR Analytics </vt:lpstr>
      <vt:lpstr>        1.2.3 Organisational Culture, Ethics and Inclusion Initiatives </vt:lpstr>
      <vt:lpstr>        1.1.4 Organizational Change and Agility </vt:lpstr>
      <vt:lpstr>        1.1.5 Impact on Flexible Work Practices </vt:lpstr>
      <vt:lpstr>    1.3 Navigating the Future of HRM in the Post-Covid, Post-Brexit Era</vt:lpstr>
      <vt:lpstr>        1.3.1 Navigating Regulatory Changes </vt:lpstr>
      <vt:lpstr>        1.3.2 Fostering Resilience and Agility </vt:lpstr>
      <vt:lpstr>        1.3.3 Embracing Technology and HR Analytics </vt:lpstr>
      <vt:lpstr>        1.3.4 Promoting Inclusion and Diversity </vt:lpstr>
      <vt:lpstr>        1.3.5 Flexibility and Remote Work </vt:lpstr>
      <vt:lpstr>        1.3.6 Managing Gig Workers and the Gig Economy </vt:lpstr>
      <vt:lpstr>        1.3.7 Strategic Decision-Making and Leadership </vt:lpstr>
      <vt:lpstr>    1.4 conclusion</vt:lpstr>
      <vt:lpstr>References </vt:lpstr>
    </vt:vector>
  </TitlesOfParts>
  <Company/>
  <LinksUpToDate>false</LinksUpToDate>
  <CharactersWithSpaces>23935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Isaac Hammond</cp:lastModifiedBy>
  <cp:revision>5</cp:revision>
  <dcterms:created xsi:type="dcterms:W3CDTF">2023-07-28T10:58:00Z</dcterms:created>
  <dcterms:modified xsi:type="dcterms:W3CDTF">2023-07-30T14:12:00Z</dcterms:modified>
</cp:coreProperties>
</file>