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34CFF" w:rsidR="00080C66" w:rsidRDefault="00080C66" w14:paraId="042818BB" w14:textId="77777777">
      <w:pPr>
        <w:spacing w:line="259" w:lineRule="auto"/>
        <w:rPr>
          <w:b/>
          <w:bCs/>
          <w:lang w:val="en-GB"/>
        </w:rPr>
      </w:pPr>
    </w:p>
    <w:p w:rsidRPr="00534CFF" w:rsidR="00CD4364" w:rsidP="00080C66" w:rsidRDefault="00CD4364" w14:paraId="1D3B50B7" w14:textId="77777777">
      <w:pPr>
        <w:spacing w:line="259" w:lineRule="auto"/>
        <w:jc w:val="center"/>
        <w:rPr>
          <w:b/>
          <w:bCs/>
          <w:lang w:val="en-GB"/>
        </w:rPr>
      </w:pPr>
    </w:p>
    <w:p w:rsidRPr="00534CFF" w:rsidR="004B495B" w:rsidP="00080C66" w:rsidRDefault="00080C66" w14:paraId="04031044" w14:textId="0BFA527E">
      <w:pPr>
        <w:spacing w:line="259" w:lineRule="auto"/>
        <w:jc w:val="center"/>
        <w:rPr>
          <w:b/>
          <w:bCs/>
          <w:lang w:val="en-GB"/>
        </w:rPr>
      </w:pPr>
      <w:r w:rsidRPr="00534CFF">
        <w:rPr>
          <w:b/>
          <w:bCs/>
          <w:noProof/>
          <w:lang w:val="en-GB"/>
        </w:rPr>
        <w:drawing>
          <wp:inline distT="0" distB="0" distL="0" distR="0" wp14:anchorId="0F2C7E15" wp14:editId="0BFD79AC">
            <wp:extent cx="2545080" cy="999378"/>
            <wp:effectExtent l="0" t="0" r="7620" b="0"/>
            <wp:docPr id="1556427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7079" cy="1004089"/>
                    </a:xfrm>
                    <a:prstGeom prst="rect">
                      <a:avLst/>
                    </a:prstGeom>
                    <a:noFill/>
                    <a:ln>
                      <a:noFill/>
                    </a:ln>
                  </pic:spPr>
                </pic:pic>
              </a:graphicData>
            </a:graphic>
          </wp:inline>
        </w:drawing>
      </w:r>
    </w:p>
    <w:p w:rsidRPr="00534CFF" w:rsidR="004B495B" w:rsidRDefault="004B495B" w14:paraId="0493B1B6" w14:textId="77777777">
      <w:pPr>
        <w:spacing w:line="259" w:lineRule="auto"/>
        <w:rPr>
          <w:b/>
          <w:bCs/>
          <w:lang w:val="en-GB"/>
        </w:rPr>
      </w:pPr>
    </w:p>
    <w:p w:rsidRPr="00534CFF" w:rsidR="004B495B" w:rsidRDefault="00CB4338" w14:paraId="1711549A" w14:textId="2E77695E">
      <w:pPr>
        <w:jc w:val="center"/>
        <w:rPr>
          <w:b w:val="1"/>
          <w:bCs w:val="1"/>
          <w:u w:val="single"/>
          <w:lang w:val="en-GB"/>
        </w:rPr>
      </w:pPr>
    </w:p>
    <w:p w:rsidRPr="00534CFF" w:rsidR="004B495B" w:rsidRDefault="004B495B" w14:paraId="0EE759D0" w14:textId="77777777">
      <w:pPr>
        <w:spacing w:line="259" w:lineRule="auto"/>
        <w:jc w:val="center"/>
        <w:rPr>
          <w:b/>
          <w:bCs/>
          <w:lang w:val="en-GB"/>
        </w:rPr>
      </w:pPr>
    </w:p>
    <w:p w:rsidR="004B495B" w:rsidRDefault="004B495B" w14:paraId="5C6D2713" w14:textId="77777777">
      <w:pPr>
        <w:spacing w:line="259" w:lineRule="auto"/>
        <w:jc w:val="center"/>
        <w:rPr>
          <w:b/>
          <w:bCs/>
          <w:lang w:val="en-GB"/>
        </w:rPr>
      </w:pPr>
    </w:p>
    <w:p w:rsidRPr="00534CFF" w:rsidR="001B3195" w:rsidRDefault="001B3195" w14:paraId="6D6ABC56" w14:textId="77777777">
      <w:pPr>
        <w:spacing w:line="259" w:lineRule="auto"/>
        <w:jc w:val="center"/>
        <w:rPr>
          <w:b/>
          <w:bCs/>
          <w:lang w:val="en-GB"/>
        </w:rPr>
      </w:pPr>
    </w:p>
    <w:p w:rsidRPr="00534CFF" w:rsidR="00080C66" w:rsidRDefault="00080C66" w14:paraId="709808AC" w14:textId="77777777">
      <w:pPr>
        <w:spacing w:line="259" w:lineRule="auto"/>
        <w:jc w:val="center"/>
        <w:rPr>
          <w:b/>
          <w:bCs/>
          <w:lang w:val="en-GB"/>
        </w:rPr>
      </w:pPr>
    </w:p>
    <w:p w:rsidRPr="00534CFF" w:rsidR="004B495B" w:rsidRDefault="004B495B" w14:paraId="6280EBAD" w14:textId="77777777">
      <w:pPr>
        <w:spacing w:line="259" w:lineRule="auto"/>
        <w:jc w:val="center"/>
        <w:rPr>
          <w:b/>
          <w:bCs/>
          <w:lang w:val="en-GB"/>
        </w:rPr>
      </w:pPr>
    </w:p>
    <w:p w:rsidRPr="00534CFF" w:rsidR="00CB4338" w:rsidP="7F47DF41" w:rsidRDefault="00CB4338" w14:paraId="746D02FC" w14:textId="12A21A26">
      <w:pPr>
        <w:spacing w:line="259" w:lineRule="auto"/>
        <w:jc w:val="both"/>
        <w:rPr>
          <w:b w:val="1"/>
          <w:bCs w:val="1"/>
          <w:lang w:val="en-GB"/>
        </w:rPr>
      </w:pPr>
      <w:r w:rsidRPr="7F47DF41" w:rsidR="7B3313F0">
        <w:rPr>
          <w:b w:val="1"/>
          <w:bCs w:val="1"/>
          <w:lang w:val="en-GB"/>
        </w:rPr>
        <w:t xml:space="preserve">Student name: </w:t>
      </w:r>
      <w:r w:rsidRPr="7F47DF41" w:rsidR="52605FCD">
        <w:rPr>
          <w:b w:val="1"/>
          <w:bCs w:val="1"/>
          <w:lang w:val="en-GB"/>
        </w:rPr>
        <w:t>Cynthia D Costa E Afonso</w:t>
      </w:r>
    </w:p>
    <w:p w:rsidRPr="00534CFF" w:rsidR="00CB4338" w:rsidP="7F47DF41" w:rsidRDefault="00CB4338" w14:paraId="2F676223" w14:textId="501259C9">
      <w:pPr>
        <w:pStyle w:val="Normal"/>
        <w:spacing w:line="259" w:lineRule="auto"/>
        <w:jc w:val="both"/>
        <w:rPr>
          <w:b w:val="1"/>
          <w:bCs w:val="1"/>
          <w:lang w:val="en-GB"/>
        </w:rPr>
      </w:pPr>
      <w:r w:rsidRPr="7F47DF41" w:rsidR="7B3313F0">
        <w:rPr>
          <w:b w:val="1"/>
          <w:bCs w:val="1"/>
          <w:lang w:val="en-GB"/>
        </w:rPr>
        <w:t xml:space="preserve">Student ID: </w:t>
      </w:r>
      <w:r w:rsidRPr="7F47DF41" w:rsidR="3391DEA6">
        <w:rPr>
          <w:b w:val="1"/>
          <w:bCs w:val="1"/>
          <w:lang w:val="en-GB"/>
        </w:rPr>
        <w:t>2437224</w:t>
      </w:r>
    </w:p>
    <w:p w:rsidRPr="00534CFF" w:rsidR="00CB4338" w:rsidP="7F47DF41" w:rsidRDefault="00CB4338" w14:paraId="4EE53594" w14:textId="4D0D6DD0">
      <w:pPr>
        <w:pStyle w:val="Normal"/>
        <w:spacing w:line="259" w:lineRule="auto"/>
        <w:jc w:val="both"/>
        <w:rPr>
          <w:b w:val="1"/>
          <w:bCs w:val="1"/>
          <w:lang w:val="en-GB"/>
        </w:rPr>
      </w:pPr>
      <w:r w:rsidRPr="7F47DF41" w:rsidR="00CB4338">
        <w:rPr>
          <w:b w:val="1"/>
          <w:bCs w:val="1"/>
          <w:lang w:val="en-GB"/>
        </w:rPr>
        <w:t>Module name:</w:t>
      </w:r>
      <w:r w:rsidRPr="7F47DF41" w:rsidR="0029E83C">
        <w:rPr>
          <w:b w:val="1"/>
          <w:bCs w:val="1"/>
          <w:lang w:val="en-GB"/>
        </w:rPr>
        <w:t xml:space="preserve"> Introduction to Health and Social Care</w:t>
      </w:r>
    </w:p>
    <w:p w:rsidRPr="00534CFF" w:rsidR="00CB4338" w:rsidP="7F47DF41" w:rsidRDefault="00CB4338" w14:paraId="18B006D5" w14:textId="39FC3715">
      <w:pPr>
        <w:spacing w:line="259" w:lineRule="auto"/>
        <w:jc w:val="both"/>
        <w:rPr>
          <w:b w:val="1"/>
          <w:bCs w:val="1"/>
          <w:lang w:val="en-GB"/>
        </w:rPr>
      </w:pPr>
      <w:r w:rsidRPr="7F47DF41" w:rsidR="00CB4338">
        <w:rPr>
          <w:b w:val="1"/>
          <w:bCs w:val="1"/>
          <w:lang w:val="en-GB"/>
        </w:rPr>
        <w:t>Module code:</w:t>
      </w:r>
      <w:r w:rsidRPr="7F47DF41" w:rsidR="32281170">
        <w:rPr>
          <w:b w:val="1"/>
          <w:bCs w:val="1"/>
          <w:lang w:val="en-GB"/>
        </w:rPr>
        <w:t xml:space="preserve"> LCHS4003</w:t>
      </w:r>
    </w:p>
    <w:p w:rsidRPr="00534CFF" w:rsidR="004B495B" w:rsidP="7F47DF41" w:rsidRDefault="00CB4338" w14:paraId="472F8E27" w14:textId="7A13F807">
      <w:pPr>
        <w:pStyle w:val="Normal"/>
        <w:spacing w:line="259" w:lineRule="auto"/>
        <w:jc w:val="both"/>
        <w:rPr>
          <w:b w:val="1"/>
          <w:bCs w:val="1"/>
          <w:lang w:val="en-GB"/>
        </w:rPr>
      </w:pPr>
      <w:r w:rsidRPr="7F47DF41" w:rsidR="00CB4338">
        <w:rPr>
          <w:b w:val="1"/>
          <w:bCs w:val="1"/>
          <w:lang w:val="en-GB"/>
        </w:rPr>
        <w:t xml:space="preserve">Lecturer’s name: </w:t>
      </w:r>
      <w:r w:rsidRPr="7F47DF41" w:rsidR="5380E94F">
        <w:rPr>
          <w:b w:val="1"/>
          <w:bCs w:val="1"/>
          <w:lang w:val="en-GB"/>
        </w:rPr>
        <w:t>Oluwadamilola Tayo</w:t>
      </w:r>
    </w:p>
    <w:p w:rsidRPr="00534CFF" w:rsidR="004B495B" w:rsidRDefault="004B495B" w14:paraId="066D38BA" w14:textId="77777777">
      <w:pPr>
        <w:rPr>
          <w:lang w:val="en-GB"/>
        </w:rPr>
      </w:pPr>
    </w:p>
    <w:p w:rsidRPr="00534CFF" w:rsidR="004B495B" w:rsidRDefault="004B495B" w14:paraId="2725E0C8" w14:textId="77777777">
      <w:pPr>
        <w:rPr>
          <w:lang w:val="en-GB"/>
        </w:rPr>
      </w:pPr>
    </w:p>
    <w:p w:rsidRPr="00534CFF" w:rsidR="004B495B" w:rsidRDefault="004B495B" w14:paraId="732D2EBF" w14:textId="77777777">
      <w:pPr>
        <w:rPr>
          <w:lang w:val="en-GB"/>
        </w:rPr>
      </w:pPr>
    </w:p>
    <w:p w:rsidRPr="00534CFF" w:rsidR="004B495B" w:rsidRDefault="004B495B" w14:paraId="27674A47" w14:textId="77777777">
      <w:pPr>
        <w:rPr>
          <w:lang w:val="en-GB"/>
        </w:rPr>
      </w:pPr>
    </w:p>
    <w:p w:rsidRPr="00534CFF" w:rsidR="004B495B" w:rsidRDefault="00000000" w14:paraId="4099470E" w14:textId="77777777">
      <w:pPr>
        <w:spacing w:line="278" w:lineRule="auto"/>
        <w:rPr>
          <w:rFonts w:eastAsiaTheme="majorEastAsia" w:cstheme="majorBidi"/>
          <w:b/>
          <w:color w:val="000000" w:themeColor="text1"/>
          <w:sz w:val="28"/>
          <w:szCs w:val="40"/>
          <w:lang w:val="en-GB"/>
        </w:rPr>
      </w:pPr>
      <w:bookmarkStart w:name="_Toc221360886" w:id="0"/>
      <w:r w:rsidRPr="00534CFF">
        <w:rPr>
          <w:lang w:val="en-GB"/>
        </w:rPr>
        <w:br w:type="page"/>
      </w:r>
      <w:bookmarkEnd w:id="0"/>
    </w:p>
    <w:bookmarkStart w:name="_Toc221360901" w:displacedByCustomXml="next" w:id="1"/>
    <w:sdt>
      <w:sdtPr>
        <w:id w:val="757563242"/>
        <w:docPartObj>
          <w:docPartGallery w:val="Table of Contents"/>
          <w:docPartUnique/>
        </w:docPartObj>
        <w:rPr>
          <w:rFonts w:ascii="Arial" w:hAnsi="Arial" w:eastAsia="Calibri" w:cs="" w:eastAsiaTheme="minorAscii" w:cstheme="minorBidi"/>
          <w:color w:val="auto"/>
          <w:sz w:val="22"/>
          <w:szCs w:val="22"/>
          <w:lang w:val="en-GB"/>
        </w:rPr>
      </w:sdtPr>
      <w:sdtEndPr>
        <w:rPr>
          <w:rFonts w:ascii="Arial" w:hAnsi="Arial" w:eastAsia="Calibri" w:cs="" w:eastAsiaTheme="minorAscii" w:cstheme="minorBidi"/>
          <w:b w:val="1"/>
          <w:bCs w:val="1"/>
          <w:color w:val="auto"/>
          <w:sz w:val="22"/>
          <w:szCs w:val="22"/>
          <w:lang w:val="en-GB"/>
        </w:rPr>
      </w:sdtEndPr>
      <w:sdtContent>
        <w:p w:rsidRPr="00534CFF" w:rsidR="00CB4338" w:rsidP="00CB4338" w:rsidRDefault="00CB4338" w14:paraId="14AF82F1" w14:textId="5563668F">
          <w:pPr>
            <w:pStyle w:val="TOCHeading"/>
            <w:jc w:val="center"/>
            <w:rPr>
              <w:rFonts w:ascii="Arial" w:hAnsi="Arial" w:cs="Arial"/>
              <w:b/>
              <w:bCs/>
              <w:color w:val="auto"/>
              <w:sz w:val="28"/>
              <w:szCs w:val="28"/>
              <w:lang w:val="en-GB"/>
            </w:rPr>
          </w:pPr>
          <w:r w:rsidRPr="00534CFF">
            <w:rPr>
              <w:rFonts w:ascii="Arial" w:hAnsi="Arial" w:cs="Arial"/>
              <w:b/>
              <w:bCs/>
              <w:color w:val="auto"/>
              <w:sz w:val="28"/>
              <w:szCs w:val="28"/>
              <w:lang w:val="en-GB"/>
            </w:rPr>
            <w:t>Table of Contents</w:t>
          </w:r>
        </w:p>
        <w:p w:rsidR="009B5EF5" w:rsidRDefault="00CB4338" w14:paraId="42A53929" w14:textId="31219F38">
          <w:pPr>
            <w:pStyle w:val="TOC1"/>
            <w:tabs>
              <w:tab w:val="right" w:leader="dot" w:pos="9016"/>
            </w:tabs>
            <w:rPr>
              <w:rFonts w:asciiTheme="minorHAnsi" w:hAnsiTheme="minorHAnsi" w:eastAsiaTheme="minorEastAsia"/>
              <w:noProof/>
              <w:kern w:val="2"/>
              <w:sz w:val="24"/>
              <w:szCs w:val="24"/>
              <w:lang w:val="en-GB" w:eastAsia="en-GB"/>
              <w14:ligatures w14:val="standardContextual"/>
            </w:rPr>
          </w:pPr>
          <w:r w:rsidRPr="00534CFF">
            <w:rPr>
              <w:lang w:val="en-GB"/>
            </w:rPr>
            <w:fldChar w:fldCharType="begin"/>
          </w:r>
          <w:r w:rsidRPr="00534CFF">
            <w:rPr>
              <w:lang w:val="en-GB"/>
            </w:rPr>
            <w:instrText xml:space="preserve"> TOC \o "1-3" \h \z \u </w:instrText>
          </w:r>
          <w:r w:rsidRPr="00534CFF">
            <w:rPr>
              <w:lang w:val="en-GB"/>
            </w:rPr>
            <w:fldChar w:fldCharType="separate"/>
          </w:r>
          <w:hyperlink w:history="1" w:anchor="_Toc227222348">
            <w:r w:rsidRPr="00104B20" w:rsidR="009B5EF5">
              <w:rPr>
                <w:rStyle w:val="Hyperlink"/>
                <w:noProof/>
                <w:lang w:val="en-GB"/>
              </w:rPr>
              <w:t>1. Introduction</w:t>
            </w:r>
            <w:r w:rsidR="009B5EF5">
              <w:rPr>
                <w:noProof/>
                <w:webHidden/>
              </w:rPr>
              <w:tab/>
            </w:r>
            <w:r w:rsidR="009B5EF5">
              <w:rPr>
                <w:noProof/>
                <w:webHidden/>
              </w:rPr>
              <w:fldChar w:fldCharType="begin"/>
            </w:r>
            <w:r w:rsidR="009B5EF5">
              <w:rPr>
                <w:noProof/>
                <w:webHidden/>
              </w:rPr>
              <w:instrText xml:space="preserve"> PAGEREF _Toc227222348 \h </w:instrText>
            </w:r>
            <w:r w:rsidR="009B5EF5">
              <w:rPr>
                <w:noProof/>
                <w:webHidden/>
              </w:rPr>
            </w:r>
            <w:r w:rsidR="009B5EF5">
              <w:rPr>
                <w:noProof/>
                <w:webHidden/>
              </w:rPr>
              <w:fldChar w:fldCharType="separate"/>
            </w:r>
            <w:r w:rsidR="009B5EF5">
              <w:rPr>
                <w:noProof/>
                <w:webHidden/>
              </w:rPr>
              <w:t>3</w:t>
            </w:r>
            <w:r w:rsidR="009B5EF5">
              <w:rPr>
                <w:noProof/>
                <w:webHidden/>
              </w:rPr>
              <w:fldChar w:fldCharType="end"/>
            </w:r>
          </w:hyperlink>
        </w:p>
        <w:p w:rsidR="009B5EF5" w:rsidRDefault="009B5EF5" w14:paraId="578EC4E4" w14:textId="1F388037">
          <w:pPr>
            <w:pStyle w:val="TOC1"/>
            <w:tabs>
              <w:tab w:val="right" w:leader="dot" w:pos="9016"/>
            </w:tabs>
            <w:rPr>
              <w:rFonts w:asciiTheme="minorHAnsi" w:hAnsiTheme="minorHAnsi" w:eastAsiaTheme="minorEastAsia"/>
              <w:noProof/>
              <w:kern w:val="2"/>
              <w:sz w:val="24"/>
              <w:szCs w:val="24"/>
              <w:lang w:val="en-GB" w:eastAsia="en-GB"/>
              <w14:ligatures w14:val="standardContextual"/>
            </w:rPr>
          </w:pPr>
          <w:hyperlink w:history="1" w:anchor="_Toc227222349">
            <w:r w:rsidRPr="00104B20">
              <w:rPr>
                <w:rStyle w:val="Hyperlink"/>
                <w:noProof/>
                <w:lang w:val="en-GB"/>
              </w:rPr>
              <w:t>2. Importance of Effective Communication</w:t>
            </w:r>
            <w:r>
              <w:rPr>
                <w:noProof/>
                <w:webHidden/>
              </w:rPr>
              <w:tab/>
            </w:r>
            <w:r>
              <w:rPr>
                <w:noProof/>
                <w:webHidden/>
              </w:rPr>
              <w:fldChar w:fldCharType="begin"/>
            </w:r>
            <w:r>
              <w:rPr>
                <w:noProof/>
                <w:webHidden/>
              </w:rPr>
              <w:instrText xml:space="preserve"> PAGEREF _Toc227222349 \h </w:instrText>
            </w:r>
            <w:r>
              <w:rPr>
                <w:noProof/>
                <w:webHidden/>
              </w:rPr>
            </w:r>
            <w:r>
              <w:rPr>
                <w:noProof/>
                <w:webHidden/>
              </w:rPr>
              <w:fldChar w:fldCharType="separate"/>
            </w:r>
            <w:r>
              <w:rPr>
                <w:noProof/>
                <w:webHidden/>
              </w:rPr>
              <w:t>3</w:t>
            </w:r>
            <w:r>
              <w:rPr>
                <w:noProof/>
                <w:webHidden/>
              </w:rPr>
              <w:fldChar w:fldCharType="end"/>
            </w:r>
          </w:hyperlink>
        </w:p>
        <w:p w:rsidR="009B5EF5" w:rsidRDefault="009B5EF5" w14:paraId="1B24475B" w14:textId="496D4F61">
          <w:pPr>
            <w:pStyle w:val="TOC1"/>
            <w:tabs>
              <w:tab w:val="right" w:leader="dot" w:pos="9016"/>
            </w:tabs>
            <w:rPr>
              <w:rFonts w:asciiTheme="minorHAnsi" w:hAnsiTheme="minorHAnsi" w:eastAsiaTheme="minorEastAsia"/>
              <w:noProof/>
              <w:kern w:val="2"/>
              <w:sz w:val="24"/>
              <w:szCs w:val="24"/>
              <w:lang w:val="en-GB" w:eastAsia="en-GB"/>
              <w14:ligatures w14:val="standardContextual"/>
            </w:rPr>
          </w:pPr>
          <w:hyperlink w:history="1" w:anchor="_Toc227222350">
            <w:r w:rsidRPr="00104B20">
              <w:rPr>
                <w:rStyle w:val="Hyperlink"/>
                <w:noProof/>
                <w:lang w:val="en-GB"/>
              </w:rPr>
              <w:t>3. Importance of Good Administrative Skills</w:t>
            </w:r>
            <w:r>
              <w:rPr>
                <w:noProof/>
                <w:webHidden/>
              </w:rPr>
              <w:tab/>
            </w:r>
            <w:r>
              <w:rPr>
                <w:noProof/>
                <w:webHidden/>
              </w:rPr>
              <w:fldChar w:fldCharType="begin"/>
            </w:r>
            <w:r>
              <w:rPr>
                <w:noProof/>
                <w:webHidden/>
              </w:rPr>
              <w:instrText xml:space="preserve"> PAGEREF _Toc227222350 \h </w:instrText>
            </w:r>
            <w:r>
              <w:rPr>
                <w:noProof/>
                <w:webHidden/>
              </w:rPr>
            </w:r>
            <w:r>
              <w:rPr>
                <w:noProof/>
                <w:webHidden/>
              </w:rPr>
              <w:fldChar w:fldCharType="separate"/>
            </w:r>
            <w:r>
              <w:rPr>
                <w:noProof/>
                <w:webHidden/>
              </w:rPr>
              <w:t>4</w:t>
            </w:r>
            <w:r>
              <w:rPr>
                <w:noProof/>
                <w:webHidden/>
              </w:rPr>
              <w:fldChar w:fldCharType="end"/>
            </w:r>
          </w:hyperlink>
        </w:p>
        <w:p w:rsidR="009B5EF5" w:rsidRDefault="009B5EF5" w14:paraId="59D23072" w14:textId="51228032">
          <w:pPr>
            <w:pStyle w:val="TOC1"/>
            <w:tabs>
              <w:tab w:val="right" w:leader="dot" w:pos="9016"/>
            </w:tabs>
            <w:rPr>
              <w:rFonts w:asciiTheme="minorHAnsi" w:hAnsiTheme="minorHAnsi" w:eastAsiaTheme="minorEastAsia"/>
              <w:noProof/>
              <w:kern w:val="2"/>
              <w:sz w:val="24"/>
              <w:szCs w:val="24"/>
              <w:lang w:val="en-GB" w:eastAsia="en-GB"/>
              <w14:ligatures w14:val="standardContextual"/>
            </w:rPr>
          </w:pPr>
          <w:hyperlink w:history="1" w:anchor="_Toc227222351">
            <w:r w:rsidRPr="00104B20">
              <w:rPr>
                <w:rStyle w:val="Hyperlink"/>
                <w:noProof/>
                <w:lang w:val="en-GB"/>
              </w:rPr>
              <w:t>4. Importance of Working Collaboratively</w:t>
            </w:r>
            <w:r>
              <w:rPr>
                <w:noProof/>
                <w:webHidden/>
              </w:rPr>
              <w:tab/>
            </w:r>
            <w:r>
              <w:rPr>
                <w:noProof/>
                <w:webHidden/>
              </w:rPr>
              <w:fldChar w:fldCharType="begin"/>
            </w:r>
            <w:r>
              <w:rPr>
                <w:noProof/>
                <w:webHidden/>
              </w:rPr>
              <w:instrText xml:space="preserve"> PAGEREF _Toc227222351 \h </w:instrText>
            </w:r>
            <w:r>
              <w:rPr>
                <w:noProof/>
                <w:webHidden/>
              </w:rPr>
            </w:r>
            <w:r>
              <w:rPr>
                <w:noProof/>
                <w:webHidden/>
              </w:rPr>
              <w:fldChar w:fldCharType="separate"/>
            </w:r>
            <w:r>
              <w:rPr>
                <w:noProof/>
                <w:webHidden/>
              </w:rPr>
              <w:t>5</w:t>
            </w:r>
            <w:r>
              <w:rPr>
                <w:noProof/>
                <w:webHidden/>
              </w:rPr>
              <w:fldChar w:fldCharType="end"/>
            </w:r>
          </w:hyperlink>
        </w:p>
        <w:p w:rsidR="009B5EF5" w:rsidRDefault="009B5EF5" w14:paraId="6F995CB4" w14:textId="219C0C93">
          <w:pPr>
            <w:pStyle w:val="TOC1"/>
            <w:tabs>
              <w:tab w:val="right" w:leader="dot" w:pos="9016"/>
            </w:tabs>
            <w:rPr>
              <w:rFonts w:asciiTheme="minorHAnsi" w:hAnsiTheme="minorHAnsi" w:eastAsiaTheme="minorEastAsia"/>
              <w:noProof/>
              <w:kern w:val="2"/>
              <w:sz w:val="24"/>
              <w:szCs w:val="24"/>
              <w:lang w:val="en-GB" w:eastAsia="en-GB"/>
              <w14:ligatures w14:val="standardContextual"/>
            </w:rPr>
          </w:pPr>
          <w:hyperlink w:history="1" w:anchor="_Toc227222352">
            <w:r w:rsidRPr="00104B20">
              <w:rPr>
                <w:rStyle w:val="Hyperlink"/>
                <w:noProof/>
                <w:lang w:val="en-GB"/>
              </w:rPr>
              <w:t>5. Conclusion</w:t>
            </w:r>
            <w:r>
              <w:rPr>
                <w:noProof/>
                <w:webHidden/>
              </w:rPr>
              <w:tab/>
            </w:r>
            <w:r>
              <w:rPr>
                <w:noProof/>
                <w:webHidden/>
              </w:rPr>
              <w:fldChar w:fldCharType="begin"/>
            </w:r>
            <w:r>
              <w:rPr>
                <w:noProof/>
                <w:webHidden/>
              </w:rPr>
              <w:instrText xml:space="preserve"> PAGEREF _Toc227222352 \h </w:instrText>
            </w:r>
            <w:r>
              <w:rPr>
                <w:noProof/>
                <w:webHidden/>
              </w:rPr>
            </w:r>
            <w:r>
              <w:rPr>
                <w:noProof/>
                <w:webHidden/>
              </w:rPr>
              <w:fldChar w:fldCharType="separate"/>
            </w:r>
            <w:r>
              <w:rPr>
                <w:noProof/>
                <w:webHidden/>
              </w:rPr>
              <w:t>6</w:t>
            </w:r>
            <w:r>
              <w:rPr>
                <w:noProof/>
                <w:webHidden/>
              </w:rPr>
              <w:fldChar w:fldCharType="end"/>
            </w:r>
          </w:hyperlink>
        </w:p>
        <w:p w:rsidR="009B5EF5" w:rsidRDefault="009B5EF5" w14:paraId="698656AE" w14:textId="2A8D2A21">
          <w:pPr>
            <w:pStyle w:val="TOC1"/>
            <w:tabs>
              <w:tab w:val="right" w:leader="dot" w:pos="9016"/>
            </w:tabs>
            <w:rPr>
              <w:rFonts w:asciiTheme="minorHAnsi" w:hAnsiTheme="minorHAnsi" w:eastAsiaTheme="minorEastAsia"/>
              <w:noProof/>
              <w:kern w:val="2"/>
              <w:sz w:val="24"/>
              <w:szCs w:val="24"/>
              <w:lang w:val="en-GB" w:eastAsia="en-GB"/>
              <w14:ligatures w14:val="standardContextual"/>
            </w:rPr>
          </w:pPr>
          <w:hyperlink w:history="1" w:anchor="_Toc227222353">
            <w:r w:rsidRPr="00104B20">
              <w:rPr>
                <w:rStyle w:val="Hyperlink"/>
                <w:noProof/>
                <w:lang w:val="en-GB"/>
              </w:rPr>
              <w:t>Reference List:</w:t>
            </w:r>
            <w:r>
              <w:rPr>
                <w:noProof/>
                <w:webHidden/>
              </w:rPr>
              <w:tab/>
            </w:r>
            <w:r>
              <w:rPr>
                <w:noProof/>
                <w:webHidden/>
              </w:rPr>
              <w:fldChar w:fldCharType="begin"/>
            </w:r>
            <w:r>
              <w:rPr>
                <w:noProof/>
                <w:webHidden/>
              </w:rPr>
              <w:instrText xml:space="preserve"> PAGEREF _Toc227222353 \h </w:instrText>
            </w:r>
            <w:r>
              <w:rPr>
                <w:noProof/>
                <w:webHidden/>
              </w:rPr>
            </w:r>
            <w:r>
              <w:rPr>
                <w:noProof/>
                <w:webHidden/>
              </w:rPr>
              <w:fldChar w:fldCharType="separate"/>
            </w:r>
            <w:r>
              <w:rPr>
                <w:noProof/>
                <w:webHidden/>
              </w:rPr>
              <w:t>7</w:t>
            </w:r>
            <w:r>
              <w:rPr>
                <w:noProof/>
                <w:webHidden/>
              </w:rPr>
              <w:fldChar w:fldCharType="end"/>
            </w:r>
          </w:hyperlink>
        </w:p>
        <w:p w:rsidRPr="00534CFF" w:rsidR="00CB4338" w:rsidRDefault="00CB4338" w14:paraId="2C3F0855" w14:textId="61B843A0">
          <w:pPr>
            <w:rPr>
              <w:lang w:val="en-GB"/>
            </w:rPr>
          </w:pPr>
          <w:r w:rsidRPr="00534CFF">
            <w:rPr>
              <w:b/>
              <w:bCs/>
              <w:lang w:val="en-GB"/>
            </w:rPr>
            <w:fldChar w:fldCharType="end"/>
          </w:r>
        </w:p>
      </w:sdtContent>
    </w:sdt>
    <w:p w:rsidRPr="00534CFF" w:rsidR="00CB4338" w:rsidRDefault="00CB4338" w14:paraId="54A297FB" w14:textId="77777777">
      <w:pPr>
        <w:spacing w:after="0" w:line="240" w:lineRule="auto"/>
        <w:jc w:val="left"/>
        <w:rPr>
          <w:rFonts w:eastAsiaTheme="majorEastAsia" w:cstheme="majorBidi"/>
          <w:b/>
          <w:color w:val="000000" w:themeColor="text1"/>
          <w:sz w:val="24"/>
          <w:szCs w:val="40"/>
          <w:lang w:val="en-GB"/>
        </w:rPr>
      </w:pPr>
      <w:r w:rsidRPr="00534CFF">
        <w:rPr>
          <w:lang w:val="en-GB"/>
        </w:rPr>
        <w:br w:type="page"/>
      </w:r>
    </w:p>
    <w:p w:rsidRPr="00534CFF" w:rsidR="004B495B" w:rsidP="7F47DF41" w:rsidRDefault="00D92D5D" w14:paraId="217D9D1D" w14:textId="1C75CE98">
      <w:pPr>
        <w:pStyle w:val="Heading1"/>
        <w:rPr>
          <w:lang w:val="en-GB"/>
        </w:rPr>
      </w:pPr>
      <w:bookmarkStart w:name="_Toc227222348" w:id="2"/>
      <w:r w:rsidRPr="7F47DF41" w:rsidR="2C1BB962">
        <w:rPr>
          <w:lang w:val="en-GB"/>
        </w:rPr>
        <w:t>Mr Ahmed Case Study</w:t>
      </w:r>
    </w:p>
    <w:p w:rsidRPr="00534CFF" w:rsidR="004B495B" w:rsidP="00CB4338" w:rsidRDefault="00D92D5D" w14:paraId="5347C5F1" w14:textId="791036D4">
      <w:pPr>
        <w:pStyle w:val="Heading1"/>
        <w:rPr>
          <w:lang w:val="en-GB"/>
        </w:rPr>
      </w:pPr>
      <w:r w:rsidRPr="7F47DF41" w:rsidR="00D92D5D">
        <w:rPr>
          <w:lang w:val="en-GB"/>
        </w:rPr>
        <w:t>1</w:t>
      </w:r>
      <w:r w:rsidRPr="7F47DF41" w:rsidR="00D92D5D">
        <w:rPr>
          <w:lang w:val="en-GB"/>
        </w:rPr>
        <w:t xml:space="preserve">. </w:t>
      </w:r>
      <w:r w:rsidRPr="7F47DF41" w:rsidR="00701888">
        <w:rPr>
          <w:lang w:val="en-GB"/>
        </w:rPr>
        <w:t>Introduction</w:t>
      </w:r>
      <w:bookmarkEnd w:id="2"/>
    </w:p>
    <w:p w:rsidRPr="00534CFF" w:rsidR="00C723D9" w:rsidP="7F47DF41" w:rsidRDefault="00DB70A2" w14:paraId="2C2686D2" w14:textId="62D57C0A">
      <w:pPr>
        <w:spacing w:after="120" w:afterAutospacing="off"/>
        <w:rPr>
          <w:lang w:val="en-GB"/>
        </w:rPr>
      </w:pPr>
      <w:r w:rsidRPr="7F47DF41" w:rsidR="00DB70A2">
        <w:rPr>
          <w:lang w:val="en-GB"/>
        </w:rPr>
        <w:t xml:space="preserve">In health and social care, efficient </w:t>
      </w:r>
      <w:r w:rsidRPr="7F47DF41" w:rsidR="00DB70A2">
        <w:rPr>
          <w:lang w:val="en-GB"/>
        </w:rPr>
        <w:t xml:space="preserve">communication involves exchanging </w:t>
      </w:r>
      <w:r w:rsidRPr="7F47DF41" w:rsidR="00DB70A2">
        <w:rPr>
          <w:lang w:val="en-GB"/>
        </w:rPr>
        <w:t>accurate</w:t>
      </w:r>
      <w:r w:rsidRPr="7F47DF41" w:rsidR="00DB70A2">
        <w:rPr>
          <w:lang w:val="en-GB"/>
        </w:rPr>
        <w:t xml:space="preserve"> information to </w:t>
      </w:r>
      <w:r w:rsidRPr="7F47DF41" w:rsidR="00DB70A2">
        <w:rPr>
          <w:lang w:val="en-GB"/>
        </w:rPr>
        <w:t>facilitate</w:t>
      </w:r>
      <w:r w:rsidRPr="7F47DF41" w:rsidR="00DB70A2">
        <w:rPr>
          <w:lang w:val="en-GB"/>
        </w:rPr>
        <w:t xml:space="preserve"> safe and person-centred care</w:t>
      </w:r>
      <w:r w:rsidRPr="7F47DF41" w:rsidR="00DB70A2">
        <w:rPr>
          <w:lang w:val="en-GB"/>
        </w:rPr>
        <w:t xml:space="preserve"> while </w:t>
      </w:r>
      <w:r w:rsidRPr="7F47DF41" w:rsidR="00DB70A2">
        <w:rPr>
          <w:lang w:val="en-GB"/>
        </w:rPr>
        <w:t xml:space="preserve">collaboration is coordinating efforts between multiple experts to produce effective outcomes (O'Daniel and Rosenstein, 2008). </w:t>
      </w:r>
      <w:r w:rsidRPr="7F47DF41" w:rsidR="0056221B">
        <w:rPr>
          <w:lang w:val="en-GB"/>
        </w:rPr>
        <w:t xml:space="preserve">Communication is essential in this case study because </w:t>
      </w:r>
      <w:r w:rsidRPr="7F47DF41" w:rsidR="00620119">
        <w:rPr>
          <w:lang w:val="en-GB"/>
        </w:rPr>
        <w:t>Mr Ahmed is</w:t>
      </w:r>
      <w:r w:rsidRPr="7F47DF41" w:rsidR="0056221B">
        <w:rPr>
          <w:lang w:val="en-GB"/>
        </w:rPr>
        <w:t xml:space="preserve"> a</w:t>
      </w:r>
      <w:r w:rsidRPr="7F47DF41" w:rsidR="00DB70A2">
        <w:rPr>
          <w:lang w:val="en-GB"/>
        </w:rPr>
        <w:t xml:space="preserve"> 68-year-old stroke patient receiving domiciliary care who has limited English </w:t>
      </w:r>
      <w:r w:rsidRPr="7F47DF41" w:rsidR="00DB70A2">
        <w:rPr>
          <w:lang w:val="en-GB"/>
        </w:rPr>
        <w:t>proficiency</w:t>
      </w:r>
      <w:r w:rsidRPr="7F47DF41" w:rsidR="00DB70A2">
        <w:rPr>
          <w:lang w:val="en-GB"/>
        </w:rPr>
        <w:t xml:space="preserve"> </w:t>
      </w:r>
      <w:r w:rsidRPr="7F47DF41" w:rsidR="00DB70A2">
        <w:rPr>
          <w:lang w:val="en-GB"/>
        </w:rPr>
        <w:t xml:space="preserve">and a critical </w:t>
      </w:r>
      <w:r w:rsidRPr="7F47DF41" w:rsidR="00DB70A2">
        <w:rPr>
          <w:lang w:val="en-GB"/>
        </w:rPr>
        <w:t>incident occurred when scheduled home visit was missed leading to a delay in medication administration and increased concerns about patient safety</w:t>
      </w:r>
      <w:r w:rsidRPr="7F47DF41" w:rsidR="00DB70A2">
        <w:rPr>
          <w:lang w:val="en-GB"/>
        </w:rPr>
        <w:t xml:space="preserve">. </w:t>
      </w:r>
      <w:r w:rsidRPr="7F47DF41" w:rsidR="00B1621D">
        <w:rPr>
          <w:lang w:val="en-GB"/>
        </w:rPr>
        <w:t>This is vital considering healthcare-associated injuries affect around 10% of patients worldwide while more than 50% of the reported incidences considered to be preventable (World Health Organization, 2023)</w:t>
      </w:r>
      <w:r w:rsidRPr="7F47DF41" w:rsidR="00B1621D">
        <w:rPr>
          <w:lang w:val="en-GB"/>
        </w:rPr>
        <w:t xml:space="preserve"> whereas </w:t>
      </w:r>
      <w:r w:rsidRPr="7F47DF41" w:rsidR="00DB70A2">
        <w:rPr>
          <w:lang w:val="en-GB"/>
        </w:rPr>
        <w:t xml:space="preserve">lack of clear supervision of schedule and responsibilities contributes to this inaccuracy which in turn represents a failure of communication between experts as well as inadequate administrative coordination (NHS England, 2025). </w:t>
      </w:r>
      <w:r w:rsidRPr="7F47DF41" w:rsidR="00DB70A2">
        <w:rPr>
          <w:lang w:val="en-GB"/>
        </w:rPr>
        <w:t>Further, a</w:t>
      </w:r>
      <w:r w:rsidRPr="7F47DF41" w:rsidR="00DB70A2">
        <w:rPr>
          <w:lang w:val="en-GB"/>
        </w:rPr>
        <w:t xml:space="preserve"> lack of suitable adjustments under the Equality Act of 2010 could be </w:t>
      </w:r>
      <w:r w:rsidRPr="7F47DF41" w:rsidR="00DB70A2">
        <w:rPr>
          <w:lang w:val="en-GB"/>
        </w:rPr>
        <w:t>indicated</w:t>
      </w:r>
      <w:r w:rsidRPr="7F47DF41" w:rsidR="00DB70A2">
        <w:rPr>
          <w:lang w:val="en-GB"/>
        </w:rPr>
        <w:t xml:space="preserve"> by such deficiencies which disproportionately </w:t>
      </w:r>
      <w:r w:rsidRPr="7F47DF41" w:rsidR="00DB70A2">
        <w:rPr>
          <w:lang w:val="en-GB"/>
        </w:rPr>
        <w:t>impact</w:t>
      </w:r>
      <w:r w:rsidRPr="7F47DF41" w:rsidR="00DB70A2">
        <w:rPr>
          <w:lang w:val="en-GB"/>
        </w:rPr>
        <w:t xml:space="preserve"> vulnerable individuals, particularly those with language barriers (Government Equalities Office, 2015)</w:t>
      </w:r>
      <w:r w:rsidRPr="7F47DF41" w:rsidR="004D67B8">
        <w:rPr>
          <w:lang w:val="en-GB"/>
        </w:rPr>
        <w:t>. T</w:t>
      </w:r>
      <w:r w:rsidRPr="7F47DF41" w:rsidR="00DB70A2">
        <w:rPr>
          <w:lang w:val="en-GB"/>
        </w:rPr>
        <w:t xml:space="preserve">herefore, </w:t>
      </w:r>
      <w:r w:rsidRPr="7F47DF41" w:rsidR="004D67B8">
        <w:rPr>
          <w:lang w:val="en-GB"/>
        </w:rPr>
        <w:t>t</w:t>
      </w:r>
      <w:r w:rsidRPr="7F47DF41" w:rsidR="004D67B8">
        <w:rPr>
          <w:lang w:val="en-GB"/>
        </w:rPr>
        <w:t xml:space="preserve">his report aims to critically </w:t>
      </w:r>
      <w:r w:rsidRPr="7F47DF41" w:rsidR="004D67B8">
        <w:rPr>
          <w:lang w:val="en-GB"/>
        </w:rPr>
        <w:t>evaluate</w:t>
      </w:r>
      <w:r w:rsidRPr="7F47DF41" w:rsidR="004D67B8">
        <w:rPr>
          <w:lang w:val="en-GB"/>
        </w:rPr>
        <w:t xml:space="preserve"> communication, administrative skills </w:t>
      </w:r>
      <w:r w:rsidRPr="7F47DF41" w:rsidR="004D67B8">
        <w:rPr>
          <w:lang w:val="en-GB"/>
        </w:rPr>
        <w:t>alongside</w:t>
      </w:r>
      <w:r w:rsidRPr="7F47DF41" w:rsidR="004D67B8">
        <w:rPr>
          <w:lang w:val="en-GB"/>
        </w:rPr>
        <w:t xml:space="preserve"> collaborative working and will </w:t>
      </w:r>
      <w:r w:rsidRPr="7F47DF41" w:rsidR="004D67B8">
        <w:rPr>
          <w:lang w:val="en-GB"/>
        </w:rPr>
        <w:t>investigate</w:t>
      </w:r>
      <w:r w:rsidRPr="7F47DF41" w:rsidR="004D67B8">
        <w:rPr>
          <w:lang w:val="en-GB"/>
        </w:rPr>
        <w:t xml:space="preserve"> each area to evaluate their impact on patient safety.</w:t>
      </w:r>
    </w:p>
    <w:p w:rsidRPr="00534CFF" w:rsidR="00A87630" w:rsidP="00534CFF" w:rsidRDefault="00534CFF" w14:paraId="4721CD92" w14:textId="56F99510">
      <w:pPr>
        <w:pStyle w:val="Heading1"/>
        <w:rPr>
          <w:lang w:val="en-GB"/>
        </w:rPr>
      </w:pPr>
      <w:bookmarkStart w:name="_Toc227222349" w:id="3"/>
      <w:r w:rsidRPr="00534CFF">
        <w:rPr>
          <w:lang w:val="en-GB"/>
        </w:rPr>
        <w:t>2. Importance of Effective Communication</w:t>
      </w:r>
      <w:bookmarkEnd w:id="3"/>
    </w:p>
    <w:p w:rsidR="00534CFF" w:rsidP="00534CFF" w:rsidRDefault="00273F5F" w14:paraId="6E8FEF57" w14:textId="4D37EB6A">
      <w:pPr>
        <w:rPr>
          <w:lang w:val="en-GB"/>
        </w:rPr>
      </w:pPr>
      <w:r w:rsidRPr="00273F5F">
        <w:rPr>
          <w:lang w:val="en-GB"/>
        </w:rPr>
        <w:t>Effective communication mitigates the likelihood of errors by enabling the exchange of clear and precise information among professionals, patients alongside their families (O'Daniel and Rosenstein, 2008).</w:t>
      </w:r>
      <w:r>
        <w:rPr>
          <w:lang w:val="en-GB"/>
        </w:rPr>
        <w:t xml:space="preserve"> </w:t>
      </w:r>
      <w:r w:rsidRPr="00534CFF" w:rsidR="00534CFF">
        <w:rPr>
          <w:lang w:val="en-GB"/>
        </w:rPr>
        <w:t>According to the Government Equalities Office (2015), the Equality Act of 2010 states that to avoid disadvantage, reasonable accommodations like interpretation help are required</w:t>
      </w:r>
      <w:r w:rsidR="00534CFF">
        <w:rPr>
          <w:lang w:val="en-GB"/>
        </w:rPr>
        <w:t xml:space="preserve"> and f</w:t>
      </w:r>
      <w:r w:rsidRPr="00534CFF" w:rsidR="00534CFF">
        <w:rPr>
          <w:lang w:val="en-GB"/>
        </w:rPr>
        <w:t xml:space="preserve">ailing to execute these measures is regarded as an indirect form of discrimination. </w:t>
      </w:r>
      <w:r w:rsidRPr="00291935" w:rsidR="00291935">
        <w:rPr>
          <w:lang w:val="en-GB"/>
        </w:rPr>
        <w:t>According to NHS England (2022), poor communication is associated with ineffective practise as well as infringements of ethical and legal obligations.</w:t>
      </w:r>
      <w:r w:rsidR="00534CFF">
        <w:rPr>
          <w:lang w:val="en-GB"/>
        </w:rPr>
        <w:t xml:space="preserve"> </w:t>
      </w:r>
      <w:r w:rsidR="00291935">
        <w:rPr>
          <w:lang w:val="en-GB"/>
        </w:rPr>
        <w:t>A</w:t>
      </w:r>
      <w:r w:rsidRPr="00534CFF" w:rsidR="00534CFF">
        <w:rPr>
          <w:lang w:val="en-GB"/>
        </w:rPr>
        <w:t xml:space="preserve">s a result, the missed appointment </w:t>
      </w:r>
      <w:r w:rsidRPr="00407CDB" w:rsidR="00407CDB">
        <w:rPr>
          <w:lang w:val="en-GB"/>
        </w:rPr>
        <w:t>in Mr Ahmed’s care</w:t>
      </w:r>
      <w:r w:rsidR="00407CDB">
        <w:rPr>
          <w:lang w:val="en-GB"/>
        </w:rPr>
        <w:t xml:space="preserve"> </w:t>
      </w:r>
      <w:r w:rsidRPr="00534CFF" w:rsidR="00534CFF">
        <w:rPr>
          <w:lang w:val="en-GB"/>
        </w:rPr>
        <w:t xml:space="preserve">and medication delays may </w:t>
      </w:r>
      <w:r w:rsidRPr="00187C3B" w:rsidR="00187C3B">
        <w:rPr>
          <w:lang w:val="en-GB"/>
        </w:rPr>
        <w:t xml:space="preserve">have resulted from weaknesses in communication systems such as the </w:t>
      </w:r>
      <w:r w:rsidR="00187C3B">
        <w:rPr>
          <w:lang w:val="en-GB"/>
        </w:rPr>
        <w:t>lack</w:t>
      </w:r>
      <w:r w:rsidRPr="00187C3B" w:rsidR="00187C3B">
        <w:rPr>
          <w:lang w:val="en-GB"/>
        </w:rPr>
        <w:t xml:space="preserve"> of scheduling confirmation and </w:t>
      </w:r>
      <w:r w:rsidR="00187C3B">
        <w:rPr>
          <w:lang w:val="en-GB"/>
        </w:rPr>
        <w:t>ambiguous</w:t>
      </w:r>
      <w:r w:rsidRPr="00187C3B" w:rsidR="00187C3B">
        <w:rPr>
          <w:lang w:val="en-GB"/>
        </w:rPr>
        <w:t xml:space="preserve"> responsibility which are recognised </w:t>
      </w:r>
      <w:r w:rsidR="00187C3B">
        <w:rPr>
          <w:lang w:val="en-GB"/>
        </w:rPr>
        <w:t>factors</w:t>
      </w:r>
      <w:r w:rsidRPr="00187C3B" w:rsidR="00187C3B">
        <w:rPr>
          <w:lang w:val="en-GB"/>
        </w:rPr>
        <w:t xml:space="preserve"> to care failures</w:t>
      </w:r>
      <w:r w:rsidRPr="00534CFF" w:rsidR="00534CFF">
        <w:rPr>
          <w:lang w:val="en-GB"/>
        </w:rPr>
        <w:t xml:space="preserve"> (Rafter </w:t>
      </w:r>
      <w:r w:rsidRPr="009055F9" w:rsidR="00534CFF">
        <w:rPr>
          <w:i/>
          <w:iCs/>
          <w:lang w:val="en-GB"/>
        </w:rPr>
        <w:t>et al</w:t>
      </w:r>
      <w:r w:rsidRPr="00534CFF" w:rsidR="00534CFF">
        <w:rPr>
          <w:lang w:val="en-GB"/>
        </w:rPr>
        <w:t>., 2014</w:t>
      </w:r>
      <w:r w:rsidR="00396C55">
        <w:rPr>
          <w:lang w:val="en-GB"/>
        </w:rPr>
        <w:t xml:space="preserve">). </w:t>
      </w:r>
      <w:r w:rsidRPr="00187C3B" w:rsidR="00187C3B">
        <w:rPr>
          <w:lang w:val="en-GB"/>
        </w:rPr>
        <w:t xml:space="preserve">This </w:t>
      </w:r>
      <w:r w:rsidRPr="00AB315C" w:rsidR="00AB315C">
        <w:t>suggests</w:t>
      </w:r>
      <w:r w:rsidRPr="00187C3B" w:rsidR="00187C3B">
        <w:rPr>
          <w:lang w:val="en-GB"/>
        </w:rPr>
        <w:t xml:space="preserve"> that verification and accountability procedures </w:t>
      </w:r>
      <w:r w:rsidR="00AB315C">
        <w:rPr>
          <w:lang w:val="en-GB"/>
        </w:rPr>
        <w:t>may have been</w:t>
      </w:r>
      <w:r w:rsidRPr="00187C3B" w:rsidR="00187C3B">
        <w:rPr>
          <w:lang w:val="en-GB"/>
        </w:rPr>
        <w:t xml:space="preserve"> absent from communication protocols</w:t>
      </w:r>
      <w:r w:rsidR="00AB315C">
        <w:rPr>
          <w:lang w:val="en-GB"/>
        </w:rPr>
        <w:t>,</w:t>
      </w:r>
      <w:r w:rsidRPr="00187C3B" w:rsidR="00187C3B">
        <w:rPr>
          <w:lang w:val="en-GB"/>
        </w:rPr>
        <w:t> contributing to both organisational as well as individual failures which elevated the risk of missed care</w:t>
      </w:r>
      <w:r w:rsidR="00187C3B">
        <w:rPr>
          <w:lang w:val="en-GB"/>
        </w:rPr>
        <w:t xml:space="preserve"> </w:t>
      </w:r>
      <w:r w:rsidRPr="00986437" w:rsidR="00986437">
        <w:rPr>
          <w:lang w:val="en-GB"/>
        </w:rPr>
        <w:t>(Manser, 2009).</w:t>
      </w:r>
      <w:r w:rsidR="00055C8E">
        <w:rPr>
          <w:lang w:val="en-GB"/>
        </w:rPr>
        <w:t xml:space="preserve"> </w:t>
      </w:r>
      <w:r w:rsidRPr="00AB315C" w:rsidR="00AB315C">
        <w:rPr>
          <w:lang w:val="en-GB"/>
        </w:rPr>
        <w:t xml:space="preserve">This may explain the missed appointment </w:t>
      </w:r>
      <w:r w:rsidRPr="00230EDC" w:rsidR="00230EDC">
        <w:rPr>
          <w:lang w:val="en-GB"/>
        </w:rPr>
        <w:t>in Mr Ahmed’s</w:t>
      </w:r>
      <w:r w:rsidR="00230EDC">
        <w:rPr>
          <w:lang w:val="en-GB"/>
        </w:rPr>
        <w:t xml:space="preserve"> </w:t>
      </w:r>
      <w:r w:rsidRPr="00AB315C" w:rsidR="00AB315C">
        <w:rPr>
          <w:lang w:val="en-GB"/>
        </w:rPr>
        <w:t>case</w:t>
      </w:r>
      <w:r w:rsidR="00AB315C">
        <w:rPr>
          <w:lang w:val="en-GB"/>
        </w:rPr>
        <w:t xml:space="preserve"> as </w:t>
      </w:r>
      <w:r w:rsidRPr="00AB315C" w:rsidR="00AB315C">
        <w:rPr>
          <w:lang w:val="en-GB"/>
        </w:rPr>
        <w:t>lack of confirmation methods could have allowed the medication delay to happen without timely rectification.</w:t>
      </w:r>
    </w:p>
    <w:p w:rsidR="00A4142B" w:rsidP="00534CFF" w:rsidRDefault="00A4142B" w14:paraId="17D90BEF" w14:textId="7E5B2164">
      <w:pPr>
        <w:rPr>
          <w:lang w:val="en-GB"/>
        </w:rPr>
      </w:pPr>
      <w:r w:rsidRPr="00A4142B">
        <w:rPr>
          <w:lang w:val="en-GB"/>
        </w:rPr>
        <w:lastRenderedPageBreak/>
        <w:t>The interaction between the sender, message, channel, and recipient is what determines the success of communication</w:t>
      </w:r>
      <w:r>
        <w:rPr>
          <w:lang w:val="en-GB"/>
        </w:rPr>
        <w:t xml:space="preserve"> and </w:t>
      </w:r>
      <w:r w:rsidRPr="00A4142B">
        <w:rPr>
          <w:lang w:val="en-GB"/>
        </w:rPr>
        <w:t>Berlo</w:t>
      </w:r>
      <w:r>
        <w:rPr>
          <w:lang w:val="en-GB"/>
        </w:rPr>
        <w:t>’</w:t>
      </w:r>
      <w:r w:rsidRPr="00A4142B">
        <w:rPr>
          <w:lang w:val="en-GB"/>
        </w:rPr>
        <w:t>s Model of Communication offers a structured framework to examine this breakdown (</w:t>
      </w:r>
      <w:r w:rsidRPr="00FA41B8" w:rsidR="00FA41B8">
        <w:rPr>
          <w:lang w:val="en-GB"/>
        </w:rPr>
        <w:t>(Broca and De Assunção Ferreira, 2018</w:t>
      </w:r>
      <w:r w:rsidR="00FA41B8">
        <w:rPr>
          <w:lang w:val="en-GB"/>
        </w:rPr>
        <w:t xml:space="preserve">; </w:t>
      </w:r>
      <w:r w:rsidRPr="00A4142B">
        <w:rPr>
          <w:lang w:val="en-GB"/>
        </w:rPr>
        <w:t xml:space="preserve">Street </w:t>
      </w:r>
      <w:r w:rsidRPr="009055F9">
        <w:rPr>
          <w:i/>
          <w:iCs/>
          <w:lang w:val="en-GB"/>
        </w:rPr>
        <w:t>et al</w:t>
      </w:r>
      <w:r w:rsidRPr="00A4142B">
        <w:rPr>
          <w:lang w:val="en-GB"/>
        </w:rPr>
        <w:t>., 2005). A failure in service delivery may have occurred because the care agency, in its role as sender, did not adequately transmit scheduling information throughout the team (O'Daniel and Rosenstein, 2008)</w:t>
      </w:r>
      <w:r>
        <w:rPr>
          <w:lang w:val="en-GB"/>
        </w:rPr>
        <w:t xml:space="preserve"> </w:t>
      </w:r>
      <w:r w:rsidR="00064E37">
        <w:rPr>
          <w:lang w:val="en-GB"/>
        </w:rPr>
        <w:t>and</w:t>
      </w:r>
      <w:r w:rsidRPr="00A4142B">
        <w:rPr>
          <w:lang w:val="en-GB"/>
        </w:rPr>
        <w:t xml:space="preserve">, </w:t>
      </w:r>
      <w:r w:rsidR="002D7D9F">
        <w:rPr>
          <w:lang w:val="en-GB"/>
        </w:rPr>
        <w:t>the care receiver</w:t>
      </w:r>
      <w:r w:rsidRPr="00A4142B">
        <w:rPr>
          <w:lang w:val="en-GB"/>
        </w:rPr>
        <w:t xml:space="preserve"> might not have been able to completely participate in his own care because of language barriers which prevented him from effectively comprehending instructions. Nevertheless, feedback is also heavily emphasised in Berlo</w:t>
      </w:r>
      <w:r>
        <w:rPr>
          <w:lang w:val="en-GB"/>
        </w:rPr>
        <w:t>’</w:t>
      </w:r>
      <w:r w:rsidRPr="00A4142B">
        <w:rPr>
          <w:lang w:val="en-GB"/>
        </w:rPr>
        <w:t>s model, and the lack of confirmation mechanisms indicates a systemic issue with the communication processes (Manser, 2009)</w:t>
      </w:r>
      <w:r>
        <w:rPr>
          <w:lang w:val="en-GB"/>
        </w:rPr>
        <w:t xml:space="preserve"> and t</w:t>
      </w:r>
      <w:r w:rsidRPr="00A4142B">
        <w:rPr>
          <w:lang w:val="en-GB"/>
        </w:rPr>
        <w:t>his suggests that to mitigate error, good communication involves not just conveying information but also verification of understanding.</w:t>
      </w:r>
    </w:p>
    <w:p w:rsidR="00A4142B" w:rsidP="00534CFF" w:rsidRDefault="003066CE" w14:paraId="20FAD321" w14:textId="2785EBD3">
      <w:pPr>
        <w:rPr>
          <w:lang w:val="en-GB"/>
        </w:rPr>
      </w:pPr>
      <w:r w:rsidRPr="003066CE">
        <w:rPr>
          <w:lang w:val="en-GB"/>
        </w:rPr>
        <w:t>Especially in situations when verbal communication is limited, non-verbal cues, such as body language, are crucial for improving understanding (NHS England, 2022)</w:t>
      </w:r>
      <w:r>
        <w:rPr>
          <w:lang w:val="en-GB"/>
        </w:rPr>
        <w:t xml:space="preserve"> and i</w:t>
      </w:r>
      <w:r w:rsidRPr="003066CE">
        <w:rPr>
          <w:lang w:val="en-GB"/>
        </w:rPr>
        <w:t xml:space="preserve">t is vital to use positive non-verbal cues like eye contact and gestures to build trust and engagement with patients, who </w:t>
      </w:r>
      <w:r w:rsidRPr="003066CE" w:rsidR="002D7D9F">
        <w:rPr>
          <w:lang w:val="en-GB"/>
        </w:rPr>
        <w:t>might</w:t>
      </w:r>
      <w:r w:rsidRPr="003066CE">
        <w:rPr>
          <w:lang w:val="en-GB"/>
        </w:rPr>
        <w:t xml:space="preserve"> feel vulnerable due to communication problems (Street </w:t>
      </w:r>
      <w:r w:rsidRPr="009055F9">
        <w:rPr>
          <w:i/>
          <w:iCs/>
          <w:lang w:val="en-GB"/>
        </w:rPr>
        <w:t>et al</w:t>
      </w:r>
      <w:r w:rsidRPr="003066CE">
        <w:rPr>
          <w:lang w:val="en-GB"/>
        </w:rPr>
        <w:t>., 2005). Although there should be a balance between depending on family members and ensuring confidentiality and accuracy, his wife's role as a communication facilitator can help facilitate exchange of information (Government Equalities Office, 2015).</w:t>
      </w:r>
    </w:p>
    <w:p w:rsidR="003066CE" w:rsidP="003066CE" w:rsidRDefault="003066CE" w14:paraId="332930DA" w14:textId="62E1A169">
      <w:pPr>
        <w:pStyle w:val="Heading1"/>
        <w:rPr>
          <w:lang w:val="en-GB"/>
        </w:rPr>
      </w:pPr>
      <w:bookmarkStart w:name="_Toc227222350" w:id="4"/>
      <w:r w:rsidRPr="003066CE">
        <w:rPr>
          <w:lang w:val="en-GB"/>
        </w:rPr>
        <w:t>3. Importance of Good Administrative Skills</w:t>
      </w:r>
      <w:bookmarkEnd w:id="4"/>
    </w:p>
    <w:p w:rsidR="003066CE" w:rsidP="003066CE" w:rsidRDefault="00B01945" w14:paraId="0B382262" w14:textId="25323C76">
      <w:pPr>
        <w:rPr>
          <w:lang w:val="en-GB"/>
        </w:rPr>
      </w:pPr>
      <w:r w:rsidRPr="00B01945">
        <w:rPr>
          <w:lang w:val="en-GB"/>
        </w:rPr>
        <w:t xml:space="preserve">Maintaining continuity of care and preventing errors </w:t>
      </w:r>
      <w:r w:rsidRPr="00055C8E" w:rsidR="00055C8E">
        <w:t>requires structured administrative processes such as scheduling, documentation and accountability systems</w:t>
      </w:r>
      <w:r>
        <w:rPr>
          <w:lang w:val="en-GB"/>
        </w:rPr>
        <w:t xml:space="preserve"> </w:t>
      </w:r>
      <w:r w:rsidRPr="00452AB4" w:rsidR="00452AB4">
        <w:rPr>
          <w:lang w:val="en-GB"/>
        </w:rPr>
        <w:t xml:space="preserve">(Rafter </w:t>
      </w:r>
      <w:r w:rsidRPr="009055F9" w:rsidR="00452AB4">
        <w:rPr>
          <w:i/>
          <w:iCs/>
          <w:lang w:val="en-GB"/>
        </w:rPr>
        <w:t>et al</w:t>
      </w:r>
      <w:r w:rsidRPr="00452AB4" w:rsidR="00452AB4">
        <w:rPr>
          <w:lang w:val="en-GB"/>
        </w:rPr>
        <w:t>., 2014).</w:t>
      </w:r>
      <w:r w:rsidRPr="00A67323" w:rsidR="00A67323">
        <w:rPr>
          <w:lang w:val="en-GB"/>
        </w:rPr>
        <w:t xml:space="preserve"> </w:t>
      </w:r>
      <w:r w:rsidRPr="00364BDC" w:rsidR="00364BDC">
        <w:rPr>
          <w:lang w:val="en-GB"/>
        </w:rPr>
        <w:t>Domiciliary care electronic scheduling systems, for example, could track visits in real-time and send out notifications when visits are missed as it will assists in minimising the possibility of medication delivery delays.</w:t>
      </w:r>
      <w:r w:rsidR="00364BDC">
        <w:rPr>
          <w:lang w:val="en-GB"/>
        </w:rPr>
        <w:t xml:space="preserve"> </w:t>
      </w:r>
      <w:r w:rsidRPr="00A67323" w:rsidR="00A67323">
        <w:rPr>
          <w:lang w:val="en-GB"/>
        </w:rPr>
        <w:t xml:space="preserve">According to NHS England (2025), there appears to be a systematic problem with care coordination in </w:t>
      </w:r>
      <w:r w:rsidRPr="00407CDB" w:rsidR="00407CDB">
        <w:rPr>
          <w:lang w:val="en-GB"/>
        </w:rPr>
        <w:t>Mr Ahmed’s case</w:t>
      </w:r>
      <w:r w:rsidRPr="00A67323" w:rsidR="00A67323">
        <w:rPr>
          <w:lang w:val="en-GB"/>
        </w:rPr>
        <w:t xml:space="preserve"> owing to the missing home visit</w:t>
      </w:r>
      <w:r w:rsidR="00A67323">
        <w:rPr>
          <w:lang w:val="en-GB"/>
        </w:rPr>
        <w:t xml:space="preserve"> and it</w:t>
      </w:r>
      <w:r w:rsidRPr="00A67323" w:rsidR="00A67323">
        <w:rPr>
          <w:lang w:val="en-GB"/>
        </w:rPr>
        <w:t xml:space="preserve"> implies that administrative systems such as scheduling or documentation were incorrect. This illustrates that administrative oversights can jeopardise patient safety since they disrupt carefully designed procedures (O'Daniel and Rosenstein, 2008)</w:t>
      </w:r>
      <w:r w:rsidR="00A67323">
        <w:rPr>
          <w:lang w:val="en-GB"/>
        </w:rPr>
        <w:t xml:space="preserve"> and t</w:t>
      </w:r>
      <w:r w:rsidRPr="00A67323" w:rsidR="00A67323">
        <w:rPr>
          <w:lang w:val="en-GB"/>
        </w:rPr>
        <w:t>hus, efficient administrative systems are crucial for ensuring consistent and dependable service delivery.</w:t>
      </w:r>
      <w:r w:rsidR="00452AB4">
        <w:rPr>
          <w:lang w:val="en-GB"/>
        </w:rPr>
        <w:t xml:space="preserve"> T</w:t>
      </w:r>
      <w:r w:rsidRPr="00452AB4" w:rsidR="00452AB4">
        <w:rPr>
          <w:lang w:val="en-GB"/>
        </w:rPr>
        <w:t xml:space="preserve">his suggests that the administrative system </w:t>
      </w:r>
      <w:r w:rsidRPr="00895564" w:rsidR="00895564">
        <w:t>may have</w:t>
      </w:r>
      <w:r w:rsidR="00895564">
        <w:t xml:space="preserve"> </w:t>
      </w:r>
      <w:r w:rsidRPr="00452AB4" w:rsidR="00452AB4">
        <w:rPr>
          <w:lang w:val="en-GB"/>
        </w:rPr>
        <w:t>failed due to a lack of clearly defined responsibilities and scheduling</w:t>
      </w:r>
      <w:r w:rsidR="00895564">
        <w:rPr>
          <w:lang w:val="en-GB"/>
        </w:rPr>
        <w:t xml:space="preserve"> </w:t>
      </w:r>
      <w:r w:rsidRPr="00895564" w:rsidR="00895564">
        <w:t>processes, increasing the risk of missed visits</w:t>
      </w:r>
      <w:r w:rsidR="00452AB4">
        <w:rPr>
          <w:lang w:val="en-GB"/>
        </w:rPr>
        <w:t xml:space="preserve"> (</w:t>
      </w:r>
      <w:r w:rsidRPr="00452AB4" w:rsidR="00452AB4">
        <w:rPr>
          <w:lang w:val="en-GB"/>
        </w:rPr>
        <w:t>NHS England</w:t>
      </w:r>
      <w:r w:rsidR="00452AB4">
        <w:rPr>
          <w:lang w:val="en-GB"/>
        </w:rPr>
        <w:t xml:space="preserve">, </w:t>
      </w:r>
      <w:r w:rsidRPr="00452AB4" w:rsidR="00452AB4">
        <w:rPr>
          <w:lang w:val="en-GB"/>
        </w:rPr>
        <w:t>2025).</w:t>
      </w:r>
    </w:p>
    <w:p w:rsidR="00A67323" w:rsidP="003066CE" w:rsidRDefault="00E9235C" w14:paraId="7F10998D" w14:textId="751C200C">
      <w:pPr>
        <w:rPr>
          <w:lang w:val="en-GB"/>
        </w:rPr>
      </w:pPr>
      <w:r w:rsidRPr="00E9235C">
        <w:rPr>
          <w:lang w:val="en-GB"/>
        </w:rPr>
        <w:t xml:space="preserve">The Data Protection Act of 2018 establishes a legislative framework for the safe management of patient data, ensuring that information is accurate, up-to-date, and communicated appropriately across specialists (Department for Digital, Culture, Media &amp; Sport, 2018). </w:t>
      </w:r>
      <w:r>
        <w:rPr>
          <w:lang w:val="en-GB"/>
        </w:rPr>
        <w:lastRenderedPageBreak/>
        <w:t>Moreover, n</w:t>
      </w:r>
      <w:r w:rsidRPr="00E9235C">
        <w:rPr>
          <w:lang w:val="en-GB"/>
        </w:rPr>
        <w:t xml:space="preserve">oncompliance with these principles can result in insufficient or wrong information being shared which in turn can cause errors such as medication not being administered (Rafter </w:t>
      </w:r>
      <w:r w:rsidRPr="009055F9">
        <w:rPr>
          <w:i/>
          <w:iCs/>
          <w:lang w:val="en-GB"/>
        </w:rPr>
        <w:t>et al</w:t>
      </w:r>
      <w:r w:rsidRPr="00E9235C">
        <w:rPr>
          <w:lang w:val="en-GB"/>
        </w:rPr>
        <w:t>., 2014). This highlights the fact that data protection is an essential part of safe clinical practice in addition to being a legal requirement</w:t>
      </w:r>
      <w:r>
        <w:rPr>
          <w:lang w:val="en-GB"/>
        </w:rPr>
        <w:t xml:space="preserve"> and t</w:t>
      </w:r>
      <w:r w:rsidRPr="00E9235C">
        <w:rPr>
          <w:lang w:val="en-GB"/>
        </w:rPr>
        <w:t>hus, both legal compliance and patient safety outcomes are strengthened by proficient record keeping.</w:t>
      </w:r>
    </w:p>
    <w:p w:rsidR="00C65DEB" w:rsidP="003066CE" w:rsidRDefault="00C65DEB" w14:paraId="3454E418" w14:textId="15F27FC7">
      <w:pPr>
        <w:rPr>
          <w:lang w:val="en-GB"/>
        </w:rPr>
      </w:pPr>
      <w:r w:rsidRPr="00C65DEB">
        <w:rPr>
          <w:lang w:val="en-GB"/>
        </w:rPr>
        <w:t xml:space="preserve">Medication delays have a major impact on </w:t>
      </w:r>
      <w:r w:rsidR="002D7D9F">
        <w:rPr>
          <w:lang w:val="en-GB"/>
        </w:rPr>
        <w:t>patient</w:t>
      </w:r>
      <w:r w:rsidRPr="00C65DEB">
        <w:rPr>
          <w:lang w:val="en-GB"/>
        </w:rPr>
        <w:t xml:space="preserve"> condition </w:t>
      </w:r>
      <w:r w:rsidR="002D7D9F">
        <w:rPr>
          <w:lang w:val="en-GB"/>
        </w:rPr>
        <w:t>as</w:t>
      </w:r>
      <w:r w:rsidRPr="00C65DEB">
        <w:rPr>
          <w:lang w:val="en-GB"/>
        </w:rPr>
        <w:t xml:space="preserve"> prompt medication is crucial for the management of post-stroke symptoms </w:t>
      </w:r>
      <w:r w:rsidR="002D7D9F">
        <w:rPr>
          <w:lang w:val="en-GB"/>
        </w:rPr>
        <w:t>alongside</w:t>
      </w:r>
      <w:r w:rsidRPr="00C65DEB">
        <w:rPr>
          <w:lang w:val="en-GB"/>
        </w:rPr>
        <w:t xml:space="preserve"> prevention of consequences</w:t>
      </w:r>
      <w:r>
        <w:rPr>
          <w:lang w:val="en-GB"/>
        </w:rPr>
        <w:t xml:space="preserve"> and o</w:t>
      </w:r>
      <w:r w:rsidRPr="00C65DEB">
        <w:rPr>
          <w:lang w:val="en-GB"/>
        </w:rPr>
        <w:t xml:space="preserve">ne of the major ramifications of administrative failure is a possibility of deterioration, return of stroke symptoms as well as hospital readmission which could occur from medication delays (NHS England, 2025). </w:t>
      </w:r>
      <w:r w:rsidRPr="0086752C" w:rsidR="0086752C">
        <w:rPr>
          <w:lang w:val="en-GB"/>
        </w:rPr>
        <w:t>It is crucial to note that medication-related accidents represent around 10% of recorded patient safety occurrences in England (NHS England, 2026), highlighting risk of missed or delayed doses</w:t>
      </w:r>
      <w:r w:rsidR="0086752C">
        <w:rPr>
          <w:lang w:val="en-GB"/>
        </w:rPr>
        <w:t xml:space="preserve"> whereas </w:t>
      </w:r>
      <w:r w:rsidRPr="00C65DEB">
        <w:rPr>
          <w:lang w:val="en-GB"/>
        </w:rPr>
        <w:t xml:space="preserve">treatment efficacy and deleterious effects can be diminished by mis-medication which includes both </w:t>
      </w:r>
      <w:r>
        <w:rPr>
          <w:lang w:val="en-GB"/>
        </w:rPr>
        <w:t>missed</w:t>
      </w:r>
      <w:r w:rsidRPr="00C65DEB">
        <w:rPr>
          <w:lang w:val="en-GB"/>
        </w:rPr>
        <w:t xml:space="preserve"> doses </w:t>
      </w:r>
      <w:r>
        <w:rPr>
          <w:lang w:val="en-GB"/>
        </w:rPr>
        <w:t>alongside</w:t>
      </w:r>
      <w:r w:rsidRPr="00C65DEB">
        <w:rPr>
          <w:lang w:val="en-GB"/>
        </w:rPr>
        <w:t xml:space="preserve"> improper scheduling (Rafter </w:t>
      </w:r>
      <w:r w:rsidRPr="009055F9">
        <w:rPr>
          <w:i/>
          <w:iCs/>
          <w:lang w:val="en-GB"/>
        </w:rPr>
        <w:t>et al</w:t>
      </w:r>
      <w:r w:rsidRPr="00C65DEB">
        <w:rPr>
          <w:lang w:val="en-GB"/>
        </w:rPr>
        <w:t xml:space="preserve">., 2014). Nevertheless, </w:t>
      </w:r>
      <w:r w:rsidRPr="00913C90" w:rsidR="00913C90">
        <w:rPr>
          <w:lang w:val="en-GB"/>
        </w:rPr>
        <w:t xml:space="preserve">these risks could be prevented </w:t>
      </w:r>
      <w:r w:rsidR="00913C90">
        <w:rPr>
          <w:lang w:val="en-GB"/>
        </w:rPr>
        <w:t>via</w:t>
      </w:r>
      <w:r w:rsidRPr="00913C90" w:rsidR="00913C90">
        <w:rPr>
          <w:lang w:val="en-GB"/>
        </w:rPr>
        <w:t xml:space="preserve"> structured systems such as electronic scheduling, automated alerts </w:t>
      </w:r>
      <w:r w:rsidR="00913C90">
        <w:rPr>
          <w:lang w:val="en-GB"/>
        </w:rPr>
        <w:t>including</w:t>
      </w:r>
      <w:r w:rsidRPr="00913C90" w:rsidR="00913C90">
        <w:rPr>
          <w:lang w:val="en-GB"/>
        </w:rPr>
        <w:t xml:space="preserve"> clear accountability protocols which ensure that missed visits are identified and addressed </w:t>
      </w:r>
      <w:r w:rsidR="00913C90">
        <w:rPr>
          <w:lang w:val="en-GB"/>
        </w:rPr>
        <w:t>swiftly</w:t>
      </w:r>
      <w:r w:rsidRPr="00C65DEB">
        <w:rPr>
          <w:lang w:val="en-GB"/>
        </w:rPr>
        <w:t xml:space="preserve"> (Manser, 2009)</w:t>
      </w:r>
      <w:r w:rsidR="00913C90">
        <w:rPr>
          <w:lang w:val="en-GB"/>
        </w:rPr>
        <w:t xml:space="preserve">. </w:t>
      </w:r>
      <w:r w:rsidRPr="001A43A8" w:rsidR="001A43A8">
        <w:t>This may indicate that the missed appointment resulted from</w:t>
      </w:r>
      <w:r w:rsidR="001A43A8">
        <w:t xml:space="preserve"> </w:t>
      </w:r>
      <w:r w:rsidRPr="00E3613F" w:rsidR="00E3613F">
        <w:rPr>
          <w:lang w:val="en-GB"/>
        </w:rPr>
        <w:t>ineffective oversight of a responsibilities</w:t>
      </w:r>
      <w:r w:rsidR="001A43A8">
        <w:rPr>
          <w:lang w:val="en-GB"/>
        </w:rPr>
        <w:t>,</w:t>
      </w:r>
      <w:r w:rsidRPr="00E3613F" w:rsidR="00E3613F">
        <w:rPr>
          <w:lang w:val="en-GB"/>
        </w:rPr>
        <w:t xml:space="preserve"> which is an outcome of administrative control mechanisms being ineffective (NHS England, 2025).</w:t>
      </w:r>
      <w:r w:rsidR="00E6189A">
        <w:rPr>
          <w:lang w:val="en-GB"/>
        </w:rPr>
        <w:t xml:space="preserve"> </w:t>
      </w:r>
      <w:r w:rsidRPr="00E6189A" w:rsidR="00E6189A">
        <w:rPr>
          <w:lang w:val="en-GB"/>
        </w:rPr>
        <w:t>This exhibits how the missed appointment and medication delay may have been caused by the lack of organised monitoring mechanisms.</w:t>
      </w:r>
    </w:p>
    <w:p w:rsidR="00C65DEB" w:rsidP="00C65DEB" w:rsidRDefault="00C65DEB" w14:paraId="7CA11484" w14:textId="2AA97225">
      <w:pPr>
        <w:pStyle w:val="Heading1"/>
        <w:rPr>
          <w:lang w:val="en-GB"/>
        </w:rPr>
      </w:pPr>
      <w:bookmarkStart w:name="_Toc227222351" w:id="5"/>
      <w:r w:rsidRPr="00C65DEB">
        <w:rPr>
          <w:lang w:val="en-GB"/>
        </w:rPr>
        <w:t>4. Importance of Working Collaboratively</w:t>
      </w:r>
      <w:bookmarkEnd w:id="5"/>
    </w:p>
    <w:p w:rsidR="00C65DEB" w:rsidP="00C65DEB" w:rsidRDefault="00995DC3" w14:paraId="502443E8" w14:textId="44EAC2DE">
      <w:pPr>
        <w:rPr>
          <w:lang w:val="en-GB"/>
        </w:rPr>
      </w:pPr>
      <w:r w:rsidRPr="00995DC3">
        <w:rPr>
          <w:lang w:val="en-GB"/>
        </w:rPr>
        <w:t>Mr Ahmed’s case</w:t>
      </w:r>
      <w:r w:rsidRPr="00F14026" w:rsidR="00F14026">
        <w:rPr>
          <w:lang w:val="en-GB"/>
        </w:rPr>
        <w:t xml:space="preserve"> illustrates the </w:t>
      </w:r>
      <w:r w:rsidR="00F14026">
        <w:rPr>
          <w:lang w:val="en-GB"/>
        </w:rPr>
        <w:t>significance</w:t>
      </w:r>
      <w:r w:rsidRPr="00F14026" w:rsidR="00F14026">
        <w:rPr>
          <w:lang w:val="en-GB"/>
        </w:rPr>
        <w:t xml:space="preserve"> of teamwork in healthcare as multiple specialists manage different aspects of care</w:t>
      </w:r>
      <w:r w:rsidR="00F14026">
        <w:rPr>
          <w:lang w:val="en-GB"/>
        </w:rPr>
        <w:t xml:space="preserve"> </w:t>
      </w:r>
      <w:r w:rsidRPr="00F14026" w:rsidR="00F14026">
        <w:rPr>
          <w:lang w:val="en-GB"/>
        </w:rPr>
        <w:t xml:space="preserve">such as medicine administration </w:t>
      </w:r>
      <w:r w:rsidR="00F14026">
        <w:rPr>
          <w:lang w:val="en-GB"/>
        </w:rPr>
        <w:t>as well as</w:t>
      </w:r>
      <w:r w:rsidRPr="00F14026" w:rsidR="00F14026">
        <w:rPr>
          <w:lang w:val="en-GB"/>
        </w:rPr>
        <w:t xml:space="preserve"> patient monitoring (Reeves </w:t>
      </w:r>
      <w:r w:rsidRPr="009055F9" w:rsidR="00F14026">
        <w:rPr>
          <w:i/>
          <w:iCs/>
          <w:lang w:val="en-GB"/>
        </w:rPr>
        <w:t>et al</w:t>
      </w:r>
      <w:r w:rsidRPr="00F14026" w:rsidR="00F14026">
        <w:rPr>
          <w:lang w:val="en-GB"/>
        </w:rPr>
        <w:t>., 2011).</w:t>
      </w:r>
      <w:r w:rsidR="00F14026">
        <w:rPr>
          <w:lang w:val="en-GB"/>
        </w:rPr>
        <w:t xml:space="preserve"> </w:t>
      </w:r>
      <w:r w:rsidRPr="00BC0633" w:rsidR="00BC0633">
        <w:rPr>
          <w:lang w:val="en-GB"/>
        </w:rPr>
        <w:t>Because each professional contributes unique expertise, effective cooperation enables the sharing of information, coordinated decision-making as well as better patient outcomes (Manser, 2009)</w:t>
      </w:r>
      <w:r w:rsidR="00BC0633">
        <w:rPr>
          <w:lang w:val="en-GB"/>
        </w:rPr>
        <w:t xml:space="preserve"> while o</w:t>
      </w:r>
      <w:r w:rsidRPr="00BC0633" w:rsidR="00BC0633">
        <w:rPr>
          <w:lang w:val="en-GB"/>
        </w:rPr>
        <w:t>n the other hand, according to O'Daniel and Rosenstein (2008), team members' inability to work together because of the missing house visit points to malfunctions in communication along with coordination. This exemplifies the concept that efficient teamwork is not inherent but rather necessitates deliberate efforts, well-defined roles, and open communication.</w:t>
      </w:r>
      <w:r w:rsidR="00EE6BD4">
        <w:rPr>
          <w:lang w:val="en-GB"/>
        </w:rPr>
        <w:t xml:space="preserve"> </w:t>
      </w:r>
      <w:r w:rsidRPr="00060149" w:rsidR="00060149">
        <w:t>This suggests that collaborative systems may have lacked clear</w:t>
      </w:r>
      <w:r w:rsidRPr="008D1375" w:rsidR="008D1375">
        <w:rPr>
          <w:lang w:val="en-GB"/>
        </w:rPr>
        <w:t xml:space="preserve"> </w:t>
      </w:r>
      <w:r w:rsidRPr="000E3D4B" w:rsidR="000E3D4B">
        <w:t>ownership of tasks, which reduced accountability and increased the likelihood of missed care delivery</w:t>
      </w:r>
      <w:r w:rsidRPr="008D1375" w:rsidR="008D1375">
        <w:rPr>
          <w:lang w:val="en-GB"/>
        </w:rPr>
        <w:t xml:space="preserve"> (Reeves </w:t>
      </w:r>
      <w:r w:rsidRPr="009055F9" w:rsidR="008D1375">
        <w:rPr>
          <w:i/>
          <w:iCs/>
          <w:lang w:val="en-GB"/>
        </w:rPr>
        <w:t>et al</w:t>
      </w:r>
      <w:r w:rsidRPr="008D1375" w:rsidR="008D1375">
        <w:rPr>
          <w:lang w:val="en-GB"/>
        </w:rPr>
        <w:t>., 2011)</w:t>
      </w:r>
      <w:r w:rsidR="000E3D4B">
        <w:rPr>
          <w:lang w:val="en-GB"/>
        </w:rPr>
        <w:t xml:space="preserve"> whereas t</w:t>
      </w:r>
      <w:r w:rsidRPr="000E3D4B" w:rsidR="000E3D4B">
        <w:rPr>
          <w:lang w:val="en-GB"/>
        </w:rPr>
        <w:t xml:space="preserve">he lack of an escalation mechanism </w:t>
      </w:r>
      <w:r w:rsidRPr="00B636B9" w:rsidR="00B636B9">
        <w:t>may have allowed missed appointments and medication delays to continue without prompt intervention</w:t>
      </w:r>
      <w:r w:rsidRPr="000E3D4B" w:rsidR="000E3D4B">
        <w:rPr>
          <w:lang w:val="en-GB"/>
        </w:rPr>
        <w:t>.</w:t>
      </w:r>
    </w:p>
    <w:p w:rsidR="00BC0633" w:rsidP="00C65DEB" w:rsidRDefault="00BC0633" w14:paraId="13244C57" w14:textId="715B0186">
      <w:pPr>
        <w:rPr>
          <w:lang w:val="en-GB"/>
        </w:rPr>
      </w:pPr>
      <w:r w:rsidRPr="00BC0633">
        <w:rPr>
          <w:lang w:val="en-GB"/>
        </w:rPr>
        <w:lastRenderedPageBreak/>
        <w:t>The absence of well-defined duties and responsibilities among participating agencies is a major obstacle to effective multi-agency collaboration</w:t>
      </w:r>
      <w:r>
        <w:rPr>
          <w:lang w:val="en-GB"/>
        </w:rPr>
        <w:t xml:space="preserve"> whereas c</w:t>
      </w:r>
      <w:r w:rsidRPr="00BC0633">
        <w:rPr>
          <w:lang w:val="en-GB"/>
        </w:rPr>
        <w:t xml:space="preserve">ollaboration can be further hindered and error risk increased by differences in organisational structures and communication strategies (Reeves </w:t>
      </w:r>
      <w:r w:rsidRPr="009055F9">
        <w:rPr>
          <w:i/>
          <w:iCs/>
          <w:lang w:val="en-GB"/>
        </w:rPr>
        <w:t>et al</w:t>
      </w:r>
      <w:r w:rsidRPr="00BC0633">
        <w:rPr>
          <w:lang w:val="en-GB"/>
        </w:rPr>
        <w:t xml:space="preserve">., 2011). The missing visit in </w:t>
      </w:r>
      <w:r w:rsidR="002D7D9F">
        <w:rPr>
          <w:lang w:val="en-GB"/>
        </w:rPr>
        <w:t>this</w:t>
      </w:r>
      <w:r w:rsidRPr="00BC0633">
        <w:rPr>
          <w:lang w:val="en-GB"/>
        </w:rPr>
        <w:t xml:space="preserve"> instance may have been caused by a lack of coordination between the care agency and other professionals which indicates a failure in shared accountability (Rafter </w:t>
      </w:r>
      <w:r w:rsidRPr="009055F9">
        <w:rPr>
          <w:i/>
          <w:iCs/>
          <w:lang w:val="en-GB"/>
        </w:rPr>
        <w:t>et al</w:t>
      </w:r>
      <w:r w:rsidRPr="00BC0633">
        <w:rPr>
          <w:lang w:val="en-GB"/>
        </w:rPr>
        <w:t>., 2014). However, these challenges can be overcome with strategies including frequent team meetings, collaborative care planning along with transparent communication standards (NHS England, 2025)</w:t>
      </w:r>
      <w:r>
        <w:rPr>
          <w:lang w:val="en-GB"/>
        </w:rPr>
        <w:t xml:space="preserve"> whilst o</w:t>
      </w:r>
      <w:r w:rsidRPr="00BC0633">
        <w:rPr>
          <w:lang w:val="en-GB"/>
        </w:rPr>
        <w:t>rganisational support and professional accountability are necessary for effective collaboration.</w:t>
      </w:r>
    </w:p>
    <w:p w:rsidRPr="00C65DEB" w:rsidR="00BC0633" w:rsidP="00C65DEB" w:rsidRDefault="00B754A4" w14:paraId="7AD54986" w14:textId="02135825">
      <w:pPr>
        <w:rPr>
          <w:lang w:val="en-GB"/>
        </w:rPr>
      </w:pPr>
      <w:r w:rsidRPr="00B754A4">
        <w:rPr>
          <w:lang w:val="en-GB"/>
        </w:rPr>
        <w:t>Fostering a culture of cooperation, in which professionals speak openly and assume collective responsibility for patient outcomes, is another way to improve collaborative functioning</w:t>
      </w:r>
      <w:r>
        <w:rPr>
          <w:lang w:val="en-GB"/>
        </w:rPr>
        <w:t xml:space="preserve"> and another</w:t>
      </w:r>
      <w:r w:rsidRPr="00B754A4">
        <w:rPr>
          <w:lang w:val="en-GB"/>
        </w:rPr>
        <w:t xml:space="preserve"> way to improve communication and optimise data flow is to implement integrated systems and share records (Manser, 2009). Furthermore, decision-making which includes patients and their families can enhance coordination and assure that each patient</w:t>
      </w:r>
      <w:r>
        <w:rPr>
          <w:lang w:val="en-GB"/>
        </w:rPr>
        <w:t>’</w:t>
      </w:r>
      <w:r w:rsidRPr="00B754A4">
        <w:rPr>
          <w:lang w:val="en-GB"/>
        </w:rPr>
        <w:t xml:space="preserve">s care is individualised (Street </w:t>
      </w:r>
      <w:r w:rsidRPr="009055F9">
        <w:rPr>
          <w:i/>
          <w:iCs/>
          <w:lang w:val="en-GB"/>
        </w:rPr>
        <w:t>et al</w:t>
      </w:r>
      <w:r w:rsidRPr="00B754A4">
        <w:rPr>
          <w:lang w:val="en-GB"/>
        </w:rPr>
        <w:t>., 2005)</w:t>
      </w:r>
      <w:r>
        <w:rPr>
          <w:lang w:val="en-GB"/>
        </w:rPr>
        <w:t xml:space="preserve"> whereas e</w:t>
      </w:r>
      <w:r w:rsidRPr="00B754A4">
        <w:rPr>
          <w:lang w:val="en-GB"/>
        </w:rPr>
        <w:t>ffective coordination will minimise the likelihood of repeat situations by ensuring that all providers are informed about his medication regimen as well as communication needs.</w:t>
      </w:r>
    </w:p>
    <w:p w:rsidRPr="00534CFF" w:rsidR="00C723D9" w:rsidP="00CB4338" w:rsidRDefault="00714358" w14:paraId="179C7528" w14:textId="0D198026">
      <w:pPr>
        <w:pStyle w:val="Heading1"/>
        <w:rPr>
          <w:lang w:val="en-GB"/>
        </w:rPr>
      </w:pPr>
      <w:bookmarkStart w:name="_Toc227222352" w:id="6"/>
      <w:r>
        <w:rPr>
          <w:lang w:val="en-GB"/>
        </w:rPr>
        <w:t xml:space="preserve">5. </w:t>
      </w:r>
      <w:r w:rsidRPr="00534CFF" w:rsidR="00C723D9">
        <w:rPr>
          <w:lang w:val="en-GB"/>
        </w:rPr>
        <w:t>Conclusion</w:t>
      </w:r>
      <w:bookmarkEnd w:id="6"/>
    </w:p>
    <w:p w:rsidRPr="00534CFF" w:rsidR="004B495B" w:rsidP="00CB4338" w:rsidRDefault="00B754A4" w14:paraId="69C18038" w14:textId="2A89EF51">
      <w:pPr>
        <w:spacing w:after="80"/>
        <w:rPr>
          <w:lang w:val="en-GB"/>
        </w:rPr>
      </w:pPr>
      <w:r w:rsidRPr="00B754A4">
        <w:rPr>
          <w:lang w:val="en-GB"/>
        </w:rPr>
        <w:t>The significance of effective communication, strong administrative abilities</w:t>
      </w:r>
      <w:r w:rsidR="00F1429E">
        <w:rPr>
          <w:lang w:val="en-GB"/>
        </w:rPr>
        <w:t xml:space="preserve"> alongside </w:t>
      </w:r>
      <w:r w:rsidRPr="00B754A4">
        <w:rPr>
          <w:lang w:val="en-GB"/>
        </w:rPr>
        <w:t xml:space="preserve">teamwork in </w:t>
      </w:r>
      <w:r w:rsidR="002D7D9F">
        <w:rPr>
          <w:lang w:val="en-GB"/>
        </w:rPr>
        <w:t>this case scenario</w:t>
      </w:r>
      <w:r w:rsidRPr="00B754A4">
        <w:rPr>
          <w:lang w:val="en-GB"/>
        </w:rPr>
        <w:t xml:space="preserve"> has been thoroughly investigated in this article</w:t>
      </w:r>
      <w:r w:rsidR="00F1429E">
        <w:rPr>
          <w:lang w:val="en-GB"/>
        </w:rPr>
        <w:t xml:space="preserve"> and c</w:t>
      </w:r>
      <w:r w:rsidRPr="00B754A4">
        <w:rPr>
          <w:lang w:val="en-GB"/>
        </w:rPr>
        <w:t>ritical patient safety issues, such as medication delays, can result from inadequate communication (O'Daniel and Rosenstein, 2008)</w:t>
      </w:r>
      <w:r w:rsidR="00F1429E">
        <w:rPr>
          <w:lang w:val="en-GB"/>
        </w:rPr>
        <w:t xml:space="preserve"> which </w:t>
      </w:r>
      <w:r w:rsidRPr="00B754A4">
        <w:rPr>
          <w:lang w:val="en-GB"/>
        </w:rPr>
        <w:t xml:space="preserve">is particularly relevant when interacting with language barriers. </w:t>
      </w:r>
      <w:r w:rsidR="00F1429E">
        <w:rPr>
          <w:lang w:val="en-GB"/>
        </w:rPr>
        <w:t>Moreover, t</w:t>
      </w:r>
      <w:r w:rsidRPr="00B754A4">
        <w:rPr>
          <w:lang w:val="en-GB"/>
        </w:rPr>
        <w:t xml:space="preserve">he significance of inclusive communication is emphasised by the Equality Act of 2010 while the necessity of accurate and safe record keeping is emphasised by the Data Protection Act of 2018 (Government Equalities Office, 2015). </w:t>
      </w:r>
      <w:r w:rsidR="00F1429E">
        <w:rPr>
          <w:lang w:val="en-GB"/>
        </w:rPr>
        <w:t>Furthermore, t</w:t>
      </w:r>
      <w:r w:rsidRPr="00B754A4">
        <w:rPr>
          <w:lang w:val="en-GB"/>
        </w:rPr>
        <w:t xml:space="preserve">here is an increased risk of negative outcomes due to service delays caused by administrative challenges (Rafter </w:t>
      </w:r>
      <w:r w:rsidRPr="009055F9">
        <w:rPr>
          <w:i/>
          <w:iCs/>
          <w:lang w:val="en-GB"/>
        </w:rPr>
        <w:t>et al</w:t>
      </w:r>
      <w:r w:rsidRPr="00B754A4">
        <w:rPr>
          <w:lang w:val="en-GB"/>
        </w:rPr>
        <w:t>., 2014)</w:t>
      </w:r>
      <w:r w:rsidR="004650BB">
        <w:rPr>
          <w:lang w:val="en-GB"/>
        </w:rPr>
        <w:t xml:space="preserve">. </w:t>
      </w:r>
      <w:r w:rsidRPr="004650BB" w:rsidR="004650BB">
        <w:rPr>
          <w:lang w:val="en-GB"/>
        </w:rPr>
        <w:t>In Mr Ahmed’s case,</w:t>
      </w:r>
      <w:r w:rsidR="004650BB">
        <w:rPr>
          <w:lang w:val="en-GB"/>
        </w:rPr>
        <w:t xml:space="preserve"> </w:t>
      </w:r>
      <w:r w:rsidR="00F1429E">
        <w:rPr>
          <w:lang w:val="en-GB"/>
        </w:rPr>
        <w:t>c</w:t>
      </w:r>
      <w:r w:rsidRPr="00B754A4">
        <w:rPr>
          <w:lang w:val="en-GB"/>
        </w:rPr>
        <w:t>oordinated care relies heavily on collaboration, but there are limitations which must be overcome, including a lack of understanding of each other</w:t>
      </w:r>
      <w:r w:rsidR="00F1429E">
        <w:rPr>
          <w:lang w:val="en-GB"/>
        </w:rPr>
        <w:t>’</w:t>
      </w:r>
      <w:r w:rsidRPr="00B754A4">
        <w:rPr>
          <w:lang w:val="en-GB"/>
        </w:rPr>
        <w:t xml:space="preserve">s roles and responsibilities along with inadequate communication (Reeves </w:t>
      </w:r>
      <w:r w:rsidRPr="009055F9">
        <w:rPr>
          <w:i/>
          <w:iCs/>
          <w:lang w:val="en-GB"/>
        </w:rPr>
        <w:t>et al</w:t>
      </w:r>
      <w:r w:rsidRPr="00B754A4">
        <w:rPr>
          <w:lang w:val="en-GB"/>
        </w:rPr>
        <w:t xml:space="preserve">., 2011). </w:t>
      </w:r>
      <w:r w:rsidR="00F1429E">
        <w:rPr>
          <w:lang w:val="en-GB"/>
        </w:rPr>
        <w:t>Therefore, i</w:t>
      </w:r>
      <w:r w:rsidRPr="00B754A4">
        <w:rPr>
          <w:lang w:val="en-GB"/>
        </w:rPr>
        <w:t>mproving patient safety as well as preventing such incidents in the future depends on resolving these critical areas.</w:t>
      </w:r>
    </w:p>
    <w:p w:rsidRPr="00534CFF" w:rsidR="00DF6C2A" w:rsidRDefault="00DF6C2A" w14:paraId="144DEA47" w14:textId="77777777">
      <w:pPr>
        <w:spacing w:after="0" w:line="240" w:lineRule="auto"/>
        <w:rPr>
          <w:rFonts w:eastAsiaTheme="majorEastAsia" w:cstheme="majorBidi"/>
          <w:b/>
          <w:color w:val="000000" w:themeColor="text1"/>
          <w:szCs w:val="40"/>
          <w:lang w:val="en-GB"/>
        </w:rPr>
      </w:pPr>
      <w:r w:rsidRPr="00534CFF">
        <w:rPr>
          <w:lang w:val="en-GB"/>
        </w:rPr>
        <w:br w:type="page"/>
      </w:r>
    </w:p>
    <w:p w:rsidRPr="00534CFF" w:rsidR="00ED6E16" w:rsidP="00CB4338" w:rsidRDefault="00000000" w14:paraId="0B6353C1" w14:textId="20ED26F8">
      <w:pPr>
        <w:pStyle w:val="Heading1"/>
        <w:rPr>
          <w:lang w:val="en-GB"/>
        </w:rPr>
      </w:pPr>
      <w:bookmarkStart w:name="_Toc227222353" w:id="7"/>
      <w:r w:rsidRPr="00534CFF">
        <w:rPr>
          <w:lang w:val="en-GB"/>
        </w:rPr>
        <w:lastRenderedPageBreak/>
        <w:t>Reference List:</w:t>
      </w:r>
      <w:bookmarkEnd w:id="1"/>
      <w:bookmarkEnd w:id="7"/>
    </w:p>
    <w:p w:rsidR="00112C09" w:rsidP="00CB4338" w:rsidRDefault="00112C09" w14:paraId="3AA6AA82" w14:textId="77777777">
      <w:pPr>
        <w:rPr>
          <w:lang w:val="en-GB"/>
        </w:rPr>
      </w:pPr>
      <w:r w:rsidRPr="00064E37">
        <w:rPr>
          <w:lang w:val="en-GB"/>
        </w:rPr>
        <w:t xml:space="preserve">Broca, P.V. and De Assunção Ferreira, M. (2018) “Nursing team communication in a medical ward,” </w:t>
      </w:r>
      <w:proofErr w:type="spellStart"/>
      <w:r w:rsidRPr="00064E37">
        <w:rPr>
          <w:i/>
          <w:iCs/>
          <w:lang w:val="en-GB"/>
        </w:rPr>
        <w:t>Revista</w:t>
      </w:r>
      <w:proofErr w:type="spellEnd"/>
      <w:r w:rsidRPr="00064E37">
        <w:rPr>
          <w:i/>
          <w:iCs/>
          <w:lang w:val="en-GB"/>
        </w:rPr>
        <w:t xml:space="preserve"> Brasileira De Enfermagem</w:t>
      </w:r>
      <w:r w:rsidRPr="00064E37">
        <w:rPr>
          <w:lang w:val="en-GB"/>
        </w:rPr>
        <w:t xml:space="preserve">, 71(3), pp. 951–958. Available at: </w:t>
      </w:r>
      <w:hyperlink w:history="1" r:id="rId8">
        <w:r w:rsidRPr="00064E37">
          <w:rPr>
            <w:rStyle w:val="Hyperlink"/>
            <w:lang w:val="en-GB"/>
          </w:rPr>
          <w:t>https://doi.org/10.1590/0034-7167-2017-0208</w:t>
        </w:r>
      </w:hyperlink>
      <w:r w:rsidRPr="00064E37">
        <w:rPr>
          <w:lang w:val="en-GB"/>
        </w:rPr>
        <w:t>.</w:t>
      </w:r>
      <w:r>
        <w:rPr>
          <w:lang w:val="en-GB"/>
        </w:rPr>
        <w:t xml:space="preserve"> </w:t>
      </w:r>
    </w:p>
    <w:p w:rsidRPr="00534CFF" w:rsidR="00112C09" w:rsidP="00CB4338" w:rsidRDefault="00112C09" w14:paraId="26E82215" w14:textId="77777777">
      <w:pPr>
        <w:rPr>
          <w:lang w:val="en-GB"/>
        </w:rPr>
      </w:pPr>
      <w:r w:rsidRPr="00371FE3">
        <w:rPr>
          <w:lang w:val="en-GB"/>
        </w:rPr>
        <w:t xml:space="preserve">Department for Digital, Culture, Media &amp; Sport (2018) </w:t>
      </w:r>
      <w:r w:rsidRPr="00371FE3">
        <w:rPr>
          <w:i/>
          <w:iCs/>
          <w:lang w:val="en-GB"/>
        </w:rPr>
        <w:t>Data Protection Act 2018</w:t>
      </w:r>
      <w:r w:rsidRPr="00371FE3">
        <w:rPr>
          <w:lang w:val="en-GB"/>
        </w:rPr>
        <w:t xml:space="preserve">, </w:t>
      </w:r>
      <w:r w:rsidRPr="00371FE3">
        <w:rPr>
          <w:i/>
          <w:iCs/>
          <w:lang w:val="en-GB"/>
        </w:rPr>
        <w:t>Factsheet – Overview</w:t>
      </w:r>
      <w:r w:rsidRPr="00371FE3">
        <w:rPr>
          <w:lang w:val="en-GB"/>
        </w:rPr>
        <w:t xml:space="preserve">. Available at: </w:t>
      </w:r>
      <w:hyperlink w:history="1" r:id="rId9">
        <w:r w:rsidRPr="00371FE3">
          <w:rPr>
            <w:rStyle w:val="Hyperlink"/>
            <w:lang w:val="en-GB"/>
          </w:rPr>
          <w:t>https://assets.publishing.service.gov.uk/government/uploads/system/uploads/attachment_data/file/711162/2018-05-23_Factsheet_1_-_Act_overview.pdf</w:t>
        </w:r>
      </w:hyperlink>
      <w:r w:rsidRPr="00534CFF">
        <w:rPr>
          <w:lang w:val="en-GB"/>
        </w:rPr>
        <w:t xml:space="preserve"> </w:t>
      </w:r>
      <w:r w:rsidRPr="00371FE3">
        <w:rPr>
          <w:lang w:val="en-GB"/>
        </w:rPr>
        <w:t>(Accessed: April 4, 2026).</w:t>
      </w:r>
    </w:p>
    <w:p w:rsidRPr="00534CFF" w:rsidR="00112C09" w:rsidP="00CB4338" w:rsidRDefault="00112C09" w14:paraId="327045D6" w14:textId="77777777">
      <w:pPr>
        <w:rPr>
          <w:lang w:val="en-GB"/>
        </w:rPr>
      </w:pPr>
      <w:r w:rsidRPr="00371FE3">
        <w:rPr>
          <w:lang w:val="en-GB"/>
        </w:rPr>
        <w:t xml:space="preserve">Government Equalities Office (2015) </w:t>
      </w:r>
      <w:r w:rsidRPr="00371FE3">
        <w:rPr>
          <w:i/>
          <w:iCs/>
          <w:lang w:val="en-GB"/>
        </w:rPr>
        <w:t>Equality Act 2010: Guidance</w:t>
      </w:r>
      <w:r w:rsidRPr="00371FE3">
        <w:rPr>
          <w:lang w:val="en-GB"/>
        </w:rPr>
        <w:t xml:space="preserve">, </w:t>
      </w:r>
      <w:r w:rsidRPr="00371FE3">
        <w:rPr>
          <w:i/>
          <w:iCs/>
          <w:lang w:val="en-GB"/>
        </w:rPr>
        <w:t>GOV.UK</w:t>
      </w:r>
      <w:r w:rsidRPr="00371FE3">
        <w:rPr>
          <w:lang w:val="en-GB"/>
        </w:rPr>
        <w:t xml:space="preserve">. Available at: </w:t>
      </w:r>
      <w:hyperlink w:history="1" r:id="rId10">
        <w:r w:rsidRPr="00371FE3">
          <w:rPr>
            <w:rStyle w:val="Hyperlink"/>
            <w:lang w:val="en-GB"/>
          </w:rPr>
          <w:t>https://www.gov.uk/guidance/equality-act-2010-guidance</w:t>
        </w:r>
      </w:hyperlink>
      <w:r w:rsidRPr="00534CFF">
        <w:rPr>
          <w:lang w:val="en-GB"/>
        </w:rPr>
        <w:t xml:space="preserve"> </w:t>
      </w:r>
      <w:r w:rsidRPr="00371FE3">
        <w:rPr>
          <w:lang w:val="en-GB"/>
        </w:rPr>
        <w:t>(Accessed: April 4, 2026).</w:t>
      </w:r>
    </w:p>
    <w:p w:rsidRPr="00534CFF" w:rsidR="00112C09" w:rsidP="00CB4338" w:rsidRDefault="00112C09" w14:paraId="18340427" w14:textId="77777777">
      <w:pPr>
        <w:rPr>
          <w:lang w:val="en-GB"/>
        </w:rPr>
      </w:pPr>
      <w:r w:rsidRPr="00736EB6">
        <w:rPr>
          <w:lang w:val="en-GB"/>
        </w:rPr>
        <w:t xml:space="preserve">Manser, T. (2009) “Teamwork and patient safety in dynamic domains of healthcare: a review of the literature,” </w:t>
      </w:r>
      <w:r w:rsidRPr="00736EB6">
        <w:rPr>
          <w:i/>
          <w:iCs/>
          <w:lang w:val="en-GB"/>
        </w:rPr>
        <w:t xml:space="preserve">Acta </w:t>
      </w:r>
      <w:proofErr w:type="spellStart"/>
      <w:r w:rsidRPr="00736EB6">
        <w:rPr>
          <w:i/>
          <w:iCs/>
          <w:lang w:val="en-GB"/>
        </w:rPr>
        <w:t>Anaesthesiologica</w:t>
      </w:r>
      <w:proofErr w:type="spellEnd"/>
      <w:r w:rsidRPr="00736EB6">
        <w:rPr>
          <w:i/>
          <w:iCs/>
          <w:lang w:val="en-GB"/>
        </w:rPr>
        <w:t xml:space="preserve"> Scandinavica</w:t>
      </w:r>
      <w:r w:rsidRPr="00736EB6">
        <w:rPr>
          <w:lang w:val="en-GB"/>
        </w:rPr>
        <w:t xml:space="preserve">, 53(2), pp. 143–151. Available at: </w:t>
      </w:r>
      <w:hyperlink w:history="1" r:id="rId11">
        <w:r w:rsidRPr="00736EB6">
          <w:rPr>
            <w:rStyle w:val="Hyperlink"/>
            <w:lang w:val="en-GB"/>
          </w:rPr>
          <w:t>https://doi.org/10.1111/j.1399-6576.2008.01717.x</w:t>
        </w:r>
      </w:hyperlink>
      <w:r w:rsidRPr="00736EB6">
        <w:rPr>
          <w:lang w:val="en-GB"/>
        </w:rPr>
        <w:t>.</w:t>
      </w:r>
    </w:p>
    <w:p w:rsidRPr="00534CFF" w:rsidR="00112C09" w:rsidP="00CB4338" w:rsidRDefault="00112C09" w14:paraId="1E9004BE" w14:textId="77777777">
      <w:pPr>
        <w:rPr>
          <w:lang w:val="en-GB"/>
        </w:rPr>
      </w:pPr>
      <w:r w:rsidRPr="00736EB6">
        <w:rPr>
          <w:lang w:val="en-GB"/>
        </w:rPr>
        <w:t xml:space="preserve">NHS England (2022) </w:t>
      </w:r>
      <w:r w:rsidRPr="00736EB6">
        <w:rPr>
          <w:i/>
          <w:iCs/>
          <w:lang w:val="en-GB"/>
        </w:rPr>
        <w:t>How good communication skills benefit patients, service users and people affected by cancer, and those important to them.</w:t>
      </w:r>
      <w:r w:rsidRPr="00736EB6">
        <w:rPr>
          <w:lang w:val="en-GB"/>
        </w:rPr>
        <w:t xml:space="preserve">, </w:t>
      </w:r>
      <w:r w:rsidRPr="00736EB6">
        <w:rPr>
          <w:i/>
          <w:iCs/>
          <w:lang w:val="en-GB"/>
        </w:rPr>
        <w:t>NHS England | Workforce, Training and Education</w:t>
      </w:r>
      <w:r w:rsidRPr="00736EB6">
        <w:rPr>
          <w:lang w:val="en-GB"/>
        </w:rPr>
        <w:t xml:space="preserve">. Available at: </w:t>
      </w:r>
      <w:hyperlink w:history="1" r:id="rId12">
        <w:r w:rsidRPr="00736EB6">
          <w:rPr>
            <w:rStyle w:val="Hyperlink"/>
            <w:lang w:val="en-GB"/>
          </w:rPr>
          <w:t>https://www.hee.nhs.uk/our-work/cancer-diagnostics/cancer-communications-resource-hub/patient/how-good-communication-skills-benefit-patients-service-users-people-affected</w:t>
        </w:r>
      </w:hyperlink>
      <w:r w:rsidRPr="00534CFF">
        <w:rPr>
          <w:lang w:val="en-GB"/>
        </w:rPr>
        <w:t xml:space="preserve"> </w:t>
      </w:r>
      <w:r w:rsidRPr="00736EB6">
        <w:rPr>
          <w:lang w:val="en-GB"/>
        </w:rPr>
        <w:t>(Accessed: April 4, 2026).</w:t>
      </w:r>
    </w:p>
    <w:p w:rsidRPr="00534CFF" w:rsidR="00112C09" w:rsidP="00CB4338" w:rsidRDefault="00112C09" w14:paraId="1612A5D2" w14:textId="77777777">
      <w:pPr>
        <w:rPr>
          <w:lang w:val="en-GB"/>
        </w:rPr>
      </w:pPr>
      <w:r w:rsidRPr="00736EB6">
        <w:rPr>
          <w:lang w:val="en-GB"/>
        </w:rPr>
        <w:t xml:space="preserve">NHS England (2025) </w:t>
      </w:r>
      <w:r w:rsidRPr="00736EB6">
        <w:rPr>
          <w:i/>
          <w:iCs/>
          <w:lang w:val="en-GB"/>
        </w:rPr>
        <w:t>The NHS Patient Safety Strategy</w:t>
      </w:r>
      <w:r w:rsidRPr="00736EB6">
        <w:rPr>
          <w:lang w:val="en-GB"/>
        </w:rPr>
        <w:t xml:space="preserve">. Available at: </w:t>
      </w:r>
      <w:hyperlink w:history="1" r:id="rId13">
        <w:r w:rsidRPr="00736EB6">
          <w:rPr>
            <w:rStyle w:val="Hyperlink"/>
            <w:lang w:val="en-GB"/>
          </w:rPr>
          <w:t>https://www.england.nhs.uk/patient-safety/the-nhs-patient-safety-strategy/</w:t>
        </w:r>
      </w:hyperlink>
      <w:r w:rsidRPr="00534CFF">
        <w:rPr>
          <w:lang w:val="en-GB"/>
        </w:rPr>
        <w:t xml:space="preserve"> </w:t>
      </w:r>
      <w:r w:rsidRPr="00736EB6">
        <w:rPr>
          <w:lang w:val="en-GB"/>
        </w:rPr>
        <w:t>(Accessed: April 4, 2026).</w:t>
      </w:r>
    </w:p>
    <w:p w:rsidRPr="00F22E40" w:rsidR="00112C09" w:rsidP="00F22E40" w:rsidRDefault="00112C09" w14:paraId="647036FD" w14:textId="77777777">
      <w:pPr>
        <w:rPr>
          <w:lang w:val="en-GB"/>
        </w:rPr>
      </w:pPr>
      <w:r w:rsidRPr="00F22E40">
        <w:rPr>
          <w:lang w:val="en-GB"/>
        </w:rPr>
        <w:t xml:space="preserve">NHS England (2026) </w:t>
      </w:r>
      <w:r w:rsidRPr="00F22E40">
        <w:rPr>
          <w:i/>
          <w:iCs/>
          <w:lang w:val="en-GB"/>
        </w:rPr>
        <w:t>Medication safety</w:t>
      </w:r>
      <w:r w:rsidRPr="00F22E40">
        <w:rPr>
          <w:lang w:val="en-GB"/>
        </w:rPr>
        <w:t xml:space="preserve">. Available at: </w:t>
      </w:r>
      <w:hyperlink w:history="1" r:id="rId14">
        <w:r w:rsidRPr="00DF5873">
          <w:rPr>
            <w:rStyle w:val="Hyperlink"/>
            <w:lang w:val="en-GB"/>
          </w:rPr>
          <w:t>https://www.england.nhs.uk/patient-safety/patient-safety-insight/patient-safety-alerts/enduring-standards/standards-that-remain-valid/medication-safety/</w:t>
        </w:r>
      </w:hyperlink>
      <w:r>
        <w:rPr>
          <w:lang w:val="en-GB"/>
        </w:rPr>
        <w:t xml:space="preserve"> </w:t>
      </w:r>
      <w:r w:rsidRPr="00F22E40">
        <w:rPr>
          <w:lang w:val="en-GB"/>
        </w:rPr>
        <w:t>(Accessed: April 16, 2026).</w:t>
      </w:r>
    </w:p>
    <w:p w:rsidRPr="00534CFF" w:rsidR="00112C09" w:rsidP="00CB4338" w:rsidRDefault="00112C09" w14:paraId="3FFA6F9C" w14:textId="77777777">
      <w:pPr>
        <w:rPr>
          <w:lang w:val="en-GB"/>
        </w:rPr>
      </w:pPr>
      <w:r w:rsidRPr="00736EB6">
        <w:rPr>
          <w:lang w:val="en-GB"/>
        </w:rPr>
        <w:t xml:space="preserve">O’Daniel, M. and Rosenstein, A.H. (2008) “Professional communication and team collaboration,” in </w:t>
      </w:r>
      <w:r w:rsidRPr="00736EB6">
        <w:rPr>
          <w:i/>
          <w:iCs/>
          <w:lang w:val="en-GB"/>
        </w:rPr>
        <w:t>Patient Safety and Quality: An Evidence-Based Handbook for Nurses.</w:t>
      </w:r>
      <w:r w:rsidRPr="00736EB6">
        <w:rPr>
          <w:lang w:val="en-GB"/>
        </w:rPr>
        <w:t xml:space="preserve"> Agency for Healthcare Research and Quality (US), Rockville (MD).</w:t>
      </w:r>
    </w:p>
    <w:p w:rsidRPr="00534CFF" w:rsidR="00112C09" w:rsidP="00CB4338" w:rsidRDefault="00112C09" w14:paraId="05989C80" w14:textId="77777777">
      <w:pPr>
        <w:rPr>
          <w:lang w:val="en-GB"/>
        </w:rPr>
      </w:pPr>
      <w:r w:rsidRPr="00736EB6">
        <w:rPr>
          <w:lang w:val="en-GB"/>
        </w:rPr>
        <w:t xml:space="preserve">Rafter, N., Hickey, A., Condell, S., Conroy, R., O’Connor, P., Vaughan, D. and Williams, D. (2014) “Adverse events in healthcare: learning from mistakes,” </w:t>
      </w:r>
      <w:r w:rsidRPr="00736EB6">
        <w:rPr>
          <w:i/>
          <w:iCs/>
          <w:lang w:val="en-GB"/>
        </w:rPr>
        <w:t>QJM</w:t>
      </w:r>
      <w:r w:rsidRPr="00736EB6">
        <w:rPr>
          <w:lang w:val="en-GB"/>
        </w:rPr>
        <w:t xml:space="preserve">, 108(4), pp. 273–277. Available at: </w:t>
      </w:r>
      <w:hyperlink w:history="1" r:id="rId15">
        <w:r w:rsidRPr="00736EB6">
          <w:rPr>
            <w:rStyle w:val="Hyperlink"/>
            <w:lang w:val="en-GB"/>
          </w:rPr>
          <w:t>https://doi.org/10.1093/qjmed/hcu145</w:t>
        </w:r>
      </w:hyperlink>
      <w:r w:rsidRPr="00736EB6">
        <w:rPr>
          <w:lang w:val="en-GB"/>
        </w:rPr>
        <w:t>.</w:t>
      </w:r>
    </w:p>
    <w:p w:rsidRPr="00534CFF" w:rsidR="00112C09" w:rsidP="00CB4338" w:rsidRDefault="00112C09" w14:paraId="4AB89265" w14:textId="77777777">
      <w:pPr>
        <w:rPr>
          <w:lang w:val="en-GB"/>
        </w:rPr>
      </w:pPr>
      <w:r w:rsidRPr="00534CFF">
        <w:rPr>
          <w:lang w:val="en-GB"/>
        </w:rPr>
        <w:t xml:space="preserve">Reeves, S., Lewin, S., Espin, S. and </w:t>
      </w:r>
      <w:proofErr w:type="spellStart"/>
      <w:r w:rsidRPr="00534CFF">
        <w:rPr>
          <w:lang w:val="en-GB"/>
        </w:rPr>
        <w:t>Zwarenstein</w:t>
      </w:r>
      <w:proofErr w:type="spellEnd"/>
      <w:r w:rsidRPr="00534CFF">
        <w:rPr>
          <w:lang w:val="en-GB"/>
        </w:rPr>
        <w:t>, M. (2011). </w:t>
      </w:r>
      <w:r w:rsidRPr="00534CFF">
        <w:rPr>
          <w:i/>
          <w:iCs/>
          <w:lang w:val="en-GB"/>
        </w:rPr>
        <w:t>Interprofessional teamwork for health and social care</w:t>
      </w:r>
      <w:r w:rsidRPr="00534CFF">
        <w:rPr>
          <w:lang w:val="en-GB"/>
        </w:rPr>
        <w:t>. John Wiley &amp; Sons.</w:t>
      </w:r>
    </w:p>
    <w:p w:rsidR="00112C09" w:rsidP="00F22E40" w:rsidRDefault="00112C09" w14:paraId="25D519DD" w14:textId="58AA8076">
      <w:pPr>
        <w:rPr>
          <w:lang w:val="en-GB"/>
        </w:rPr>
      </w:pPr>
      <w:r w:rsidRPr="00736EB6">
        <w:rPr>
          <w:lang w:val="en-GB"/>
        </w:rPr>
        <w:lastRenderedPageBreak/>
        <w:t xml:space="preserve">Street, R.L., Gordon, H.S., Ward, M.M., Krupat, E. and Kravitz, R.L. (2005) “Patient participation in medical consultations,” </w:t>
      </w:r>
      <w:r w:rsidRPr="00736EB6">
        <w:rPr>
          <w:i/>
          <w:iCs/>
          <w:lang w:val="en-GB"/>
        </w:rPr>
        <w:t>Medical Care</w:t>
      </w:r>
      <w:r w:rsidRPr="00736EB6">
        <w:rPr>
          <w:lang w:val="en-GB"/>
        </w:rPr>
        <w:t xml:space="preserve">, 43(10), pp. 960–969. Available at: </w:t>
      </w:r>
      <w:hyperlink w:history="1" r:id="rId16">
        <w:r w:rsidRPr="00736EB6">
          <w:rPr>
            <w:rStyle w:val="Hyperlink"/>
            <w:lang w:val="en-GB"/>
          </w:rPr>
          <w:t>https://doi.org/10.1097/01.mlr.0000178172.40344.70</w:t>
        </w:r>
      </w:hyperlink>
      <w:r w:rsidRPr="00736EB6">
        <w:rPr>
          <w:lang w:val="en-GB"/>
        </w:rPr>
        <w:t>.</w:t>
      </w:r>
      <w:r>
        <w:rPr>
          <w:lang w:val="en-GB"/>
        </w:rPr>
        <w:br/>
      </w:r>
      <w:r w:rsidRPr="00F22E40">
        <w:rPr>
          <w:lang w:val="en-GB"/>
        </w:rPr>
        <w:t xml:space="preserve">World Health Organization (2023) </w:t>
      </w:r>
      <w:r w:rsidRPr="00F22E40">
        <w:rPr>
          <w:i/>
          <w:iCs/>
          <w:lang w:val="en-GB"/>
        </w:rPr>
        <w:t>Patient safety</w:t>
      </w:r>
      <w:r w:rsidRPr="00F22E40">
        <w:rPr>
          <w:lang w:val="en-GB"/>
        </w:rPr>
        <w:t xml:space="preserve">. Available at: </w:t>
      </w:r>
      <w:hyperlink w:history="1" r:id="rId17">
        <w:r w:rsidRPr="00F22E40">
          <w:rPr>
            <w:rStyle w:val="Hyperlink"/>
            <w:lang w:val="en-GB"/>
          </w:rPr>
          <w:t>https://www.who.int/news-room/fact-sheets/detail/patient-safety</w:t>
        </w:r>
      </w:hyperlink>
      <w:r>
        <w:rPr>
          <w:lang w:val="en-GB"/>
        </w:rPr>
        <w:t xml:space="preserve"> </w:t>
      </w:r>
      <w:r w:rsidRPr="00F22E40">
        <w:rPr>
          <w:lang w:val="en-GB"/>
        </w:rPr>
        <w:t>(Accessed: April 16, 2026).</w:t>
      </w:r>
    </w:p>
    <w:p w:rsidRPr="00F22E40" w:rsidR="00F22E40" w:rsidP="00F22E40" w:rsidRDefault="00F22E40" w14:paraId="295D1773" w14:textId="03735B72">
      <w:pPr>
        <w:rPr>
          <w:lang w:val="en-GB"/>
        </w:rPr>
      </w:pPr>
    </w:p>
    <w:p w:rsidRPr="00534CFF" w:rsidR="00F22E40" w:rsidP="006D6502" w:rsidRDefault="00F22E40" w14:paraId="0298D2E0" w14:textId="77777777">
      <w:pPr>
        <w:rPr>
          <w:lang w:val="en-GB"/>
        </w:rPr>
      </w:pPr>
    </w:p>
    <w:sectPr w:rsidRPr="00534CFF" w:rsidR="00F22E40">
      <w:headerReference w:type="default" r:id="rId18"/>
      <w:pgSz w:w="11906" w:h="16838" w:orient="portrait"/>
      <w:pgMar w:top="1440" w:right="1440" w:bottom="1440" w:left="1440" w:header="708" w:footer="708" w:gutter="0"/>
      <w:cols w:space="708"/>
      <w:docGrid w:linePitch="360"/>
      <w:footerReference w:type="default" r:id="R4252b7eccc5b44d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2F35" w:rsidRDefault="00AE2F35" w14:paraId="31E2880A" w14:textId="77777777">
      <w:pPr>
        <w:spacing w:line="240" w:lineRule="auto"/>
      </w:pPr>
      <w:r>
        <w:separator/>
      </w:r>
    </w:p>
  </w:endnote>
  <w:endnote w:type="continuationSeparator" w:id="0">
    <w:p w:rsidR="00AE2F35" w:rsidRDefault="00AE2F35" w14:paraId="6D4F647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47DF41" w:rsidTr="7F47DF41" w14:paraId="01F7378C">
      <w:trPr>
        <w:trHeight w:val="300"/>
      </w:trPr>
      <w:tc>
        <w:tcPr>
          <w:tcW w:w="3005" w:type="dxa"/>
          <w:tcMar/>
        </w:tcPr>
        <w:p w:rsidR="7F47DF41" w:rsidP="7F47DF41" w:rsidRDefault="7F47DF41" w14:paraId="411318C1" w14:textId="433E92F8">
          <w:pPr>
            <w:pStyle w:val="Header"/>
            <w:bidi w:val="0"/>
            <w:ind w:left="-115"/>
            <w:jc w:val="left"/>
          </w:pPr>
        </w:p>
      </w:tc>
      <w:tc>
        <w:tcPr>
          <w:tcW w:w="3005" w:type="dxa"/>
          <w:tcMar/>
        </w:tcPr>
        <w:p w:rsidR="7F47DF41" w:rsidP="7F47DF41" w:rsidRDefault="7F47DF41" w14:paraId="346336D0" w14:textId="11D87302">
          <w:pPr>
            <w:pStyle w:val="Header"/>
            <w:bidi w:val="0"/>
            <w:jc w:val="center"/>
          </w:pPr>
        </w:p>
      </w:tc>
      <w:tc>
        <w:tcPr>
          <w:tcW w:w="3005" w:type="dxa"/>
          <w:tcMar/>
        </w:tcPr>
        <w:p w:rsidR="7F47DF41" w:rsidP="7F47DF41" w:rsidRDefault="7F47DF41" w14:paraId="780193B8" w14:textId="27CFC8D5">
          <w:pPr>
            <w:pStyle w:val="Header"/>
            <w:bidi w:val="0"/>
            <w:ind w:right="-115"/>
            <w:jc w:val="right"/>
          </w:pPr>
        </w:p>
      </w:tc>
    </w:tr>
  </w:tbl>
  <w:p w:rsidR="7F47DF41" w:rsidRDefault="7F47DF41" w14:paraId="63491A44" w14:textId="3B87EB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2F35" w:rsidRDefault="00AE2F35" w14:paraId="52F51A66" w14:textId="77777777">
      <w:pPr>
        <w:spacing w:after="0"/>
      </w:pPr>
      <w:r>
        <w:separator/>
      </w:r>
    </w:p>
  </w:footnote>
  <w:footnote w:type="continuationSeparator" w:id="0">
    <w:p w:rsidR="00AE2F35" w:rsidRDefault="00AE2F35" w14:paraId="1EC07F3C"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148903"/>
      <w:docPartObj>
        <w:docPartGallery w:val="AutoText"/>
      </w:docPartObj>
    </w:sdtPr>
    <w:sdtContent>
      <w:p w:rsidR="004B495B" w:rsidRDefault="00000000" w14:paraId="393C2753" w14:textId="77777777">
        <w:pPr>
          <w:pStyle w:val="Header"/>
          <w:jc w:val="right"/>
        </w:pPr>
        <w:r>
          <w:fldChar w:fldCharType="begin"/>
        </w:r>
        <w:r>
          <w:instrText xml:space="preserve"> PAGE   \* MERGEFORMAT </w:instrText>
        </w:r>
        <w:r>
          <w:fldChar w:fldCharType="separate"/>
        </w:r>
        <w:r>
          <w:t>2</w:t>
        </w:r>
        <w:r>
          <w:fldChar w:fldCharType="end"/>
        </w:r>
      </w:p>
    </w:sdtContent>
  </w:sdt>
  <w:p w:rsidR="004B495B" w:rsidRDefault="004B495B" w14:paraId="53BD604F"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7ED"/>
    <w:rsid w:val="00000000"/>
    <w:rsid w:val="00002FB1"/>
    <w:rsid w:val="00006A01"/>
    <w:rsid w:val="000134AB"/>
    <w:rsid w:val="000220BE"/>
    <w:rsid w:val="00022F2A"/>
    <w:rsid w:val="000314B5"/>
    <w:rsid w:val="00032D21"/>
    <w:rsid w:val="00034768"/>
    <w:rsid w:val="00042A88"/>
    <w:rsid w:val="00044CEA"/>
    <w:rsid w:val="00050F40"/>
    <w:rsid w:val="00053208"/>
    <w:rsid w:val="00055C8E"/>
    <w:rsid w:val="00060149"/>
    <w:rsid w:val="00060EE6"/>
    <w:rsid w:val="00064E37"/>
    <w:rsid w:val="00065AC3"/>
    <w:rsid w:val="0008060D"/>
    <w:rsid w:val="00080C66"/>
    <w:rsid w:val="00084867"/>
    <w:rsid w:val="00086AD3"/>
    <w:rsid w:val="00090CF0"/>
    <w:rsid w:val="000938F2"/>
    <w:rsid w:val="000A10C0"/>
    <w:rsid w:val="000A5FBC"/>
    <w:rsid w:val="000B2766"/>
    <w:rsid w:val="000B336E"/>
    <w:rsid w:val="000C0776"/>
    <w:rsid w:val="000C2EBA"/>
    <w:rsid w:val="000C321E"/>
    <w:rsid w:val="000C3AEF"/>
    <w:rsid w:val="000D0E96"/>
    <w:rsid w:val="000D17AB"/>
    <w:rsid w:val="000D4C18"/>
    <w:rsid w:val="000E3D4B"/>
    <w:rsid w:val="000E6BB2"/>
    <w:rsid w:val="000F58F5"/>
    <w:rsid w:val="00100F33"/>
    <w:rsid w:val="00105F71"/>
    <w:rsid w:val="00110DE0"/>
    <w:rsid w:val="00112C09"/>
    <w:rsid w:val="00125B12"/>
    <w:rsid w:val="00126E59"/>
    <w:rsid w:val="0012701C"/>
    <w:rsid w:val="00135D44"/>
    <w:rsid w:val="00146ECF"/>
    <w:rsid w:val="001652D0"/>
    <w:rsid w:val="00170F5C"/>
    <w:rsid w:val="00171E89"/>
    <w:rsid w:val="00183496"/>
    <w:rsid w:val="00183FCF"/>
    <w:rsid w:val="0018454C"/>
    <w:rsid w:val="00184AFA"/>
    <w:rsid w:val="00187C3B"/>
    <w:rsid w:val="00192356"/>
    <w:rsid w:val="001A43A8"/>
    <w:rsid w:val="001A51CB"/>
    <w:rsid w:val="001B04B1"/>
    <w:rsid w:val="001B06B3"/>
    <w:rsid w:val="001B3195"/>
    <w:rsid w:val="001B70E0"/>
    <w:rsid w:val="001C22F9"/>
    <w:rsid w:val="001C2AD4"/>
    <w:rsid w:val="001D4A67"/>
    <w:rsid w:val="001E0B49"/>
    <w:rsid w:val="001E1756"/>
    <w:rsid w:val="001E7F90"/>
    <w:rsid w:val="001F48B2"/>
    <w:rsid w:val="001F5920"/>
    <w:rsid w:val="00200EE2"/>
    <w:rsid w:val="00205F01"/>
    <w:rsid w:val="00206A33"/>
    <w:rsid w:val="0021114E"/>
    <w:rsid w:val="00212BE9"/>
    <w:rsid w:val="00215E0E"/>
    <w:rsid w:val="00216B9E"/>
    <w:rsid w:val="002170CD"/>
    <w:rsid w:val="00221E09"/>
    <w:rsid w:val="00230EDC"/>
    <w:rsid w:val="00233C8A"/>
    <w:rsid w:val="00234321"/>
    <w:rsid w:val="0023581E"/>
    <w:rsid w:val="00240CDB"/>
    <w:rsid w:val="0024759B"/>
    <w:rsid w:val="00255F67"/>
    <w:rsid w:val="0025618E"/>
    <w:rsid w:val="002569E3"/>
    <w:rsid w:val="00257468"/>
    <w:rsid w:val="00260817"/>
    <w:rsid w:val="002731F9"/>
    <w:rsid w:val="00273F5F"/>
    <w:rsid w:val="00287705"/>
    <w:rsid w:val="00287720"/>
    <w:rsid w:val="00291935"/>
    <w:rsid w:val="0029E83C"/>
    <w:rsid w:val="002A5919"/>
    <w:rsid w:val="002C3342"/>
    <w:rsid w:val="002C363C"/>
    <w:rsid w:val="002C4149"/>
    <w:rsid w:val="002C5D65"/>
    <w:rsid w:val="002C62A5"/>
    <w:rsid w:val="002C662A"/>
    <w:rsid w:val="002D375C"/>
    <w:rsid w:val="002D5788"/>
    <w:rsid w:val="002D7D9F"/>
    <w:rsid w:val="002E41E1"/>
    <w:rsid w:val="002E6AE7"/>
    <w:rsid w:val="002F1F86"/>
    <w:rsid w:val="002F409E"/>
    <w:rsid w:val="002F6BE6"/>
    <w:rsid w:val="003006BA"/>
    <w:rsid w:val="003022B1"/>
    <w:rsid w:val="00304F36"/>
    <w:rsid w:val="003066CE"/>
    <w:rsid w:val="0031646A"/>
    <w:rsid w:val="003169BE"/>
    <w:rsid w:val="003323C5"/>
    <w:rsid w:val="003343AA"/>
    <w:rsid w:val="00346D17"/>
    <w:rsid w:val="003545AD"/>
    <w:rsid w:val="003560EE"/>
    <w:rsid w:val="003628FE"/>
    <w:rsid w:val="003630A3"/>
    <w:rsid w:val="00363B3E"/>
    <w:rsid w:val="00364BDC"/>
    <w:rsid w:val="00364C0A"/>
    <w:rsid w:val="003653B6"/>
    <w:rsid w:val="00367986"/>
    <w:rsid w:val="00367BBC"/>
    <w:rsid w:val="0037733A"/>
    <w:rsid w:val="00385700"/>
    <w:rsid w:val="003857E5"/>
    <w:rsid w:val="00386D5F"/>
    <w:rsid w:val="003901C1"/>
    <w:rsid w:val="00393D3A"/>
    <w:rsid w:val="00396C55"/>
    <w:rsid w:val="0039730A"/>
    <w:rsid w:val="00397C97"/>
    <w:rsid w:val="003A0158"/>
    <w:rsid w:val="003A21C2"/>
    <w:rsid w:val="003A2D82"/>
    <w:rsid w:val="003A4DB9"/>
    <w:rsid w:val="003A4FCE"/>
    <w:rsid w:val="003B5594"/>
    <w:rsid w:val="003B5DBF"/>
    <w:rsid w:val="003B7AF7"/>
    <w:rsid w:val="003B7DB6"/>
    <w:rsid w:val="003C0075"/>
    <w:rsid w:val="003C181F"/>
    <w:rsid w:val="003C5D55"/>
    <w:rsid w:val="003C6E92"/>
    <w:rsid w:val="003D4CB3"/>
    <w:rsid w:val="003E3304"/>
    <w:rsid w:val="003E4FBE"/>
    <w:rsid w:val="003E5002"/>
    <w:rsid w:val="003E798C"/>
    <w:rsid w:val="003F41FD"/>
    <w:rsid w:val="004043B9"/>
    <w:rsid w:val="00407CDB"/>
    <w:rsid w:val="00407EFB"/>
    <w:rsid w:val="00410E53"/>
    <w:rsid w:val="00415536"/>
    <w:rsid w:val="00424BA6"/>
    <w:rsid w:val="00430529"/>
    <w:rsid w:val="0044095A"/>
    <w:rsid w:val="0044711A"/>
    <w:rsid w:val="0045015C"/>
    <w:rsid w:val="00452AB4"/>
    <w:rsid w:val="00461A20"/>
    <w:rsid w:val="00463375"/>
    <w:rsid w:val="004650BB"/>
    <w:rsid w:val="00466D2F"/>
    <w:rsid w:val="0047241F"/>
    <w:rsid w:val="004730A9"/>
    <w:rsid w:val="00475BEF"/>
    <w:rsid w:val="004812AE"/>
    <w:rsid w:val="00490530"/>
    <w:rsid w:val="00490D4B"/>
    <w:rsid w:val="004A216D"/>
    <w:rsid w:val="004A79C3"/>
    <w:rsid w:val="004B28B5"/>
    <w:rsid w:val="004B495B"/>
    <w:rsid w:val="004C481A"/>
    <w:rsid w:val="004C5C21"/>
    <w:rsid w:val="004C6A1F"/>
    <w:rsid w:val="004D67B8"/>
    <w:rsid w:val="004D6CE9"/>
    <w:rsid w:val="004E56A8"/>
    <w:rsid w:val="004E7D72"/>
    <w:rsid w:val="004F3314"/>
    <w:rsid w:val="004F5E94"/>
    <w:rsid w:val="004F5FC5"/>
    <w:rsid w:val="00511E7E"/>
    <w:rsid w:val="00513620"/>
    <w:rsid w:val="00534CFF"/>
    <w:rsid w:val="00537896"/>
    <w:rsid w:val="00550C6D"/>
    <w:rsid w:val="005612B0"/>
    <w:rsid w:val="00561853"/>
    <w:rsid w:val="0056221B"/>
    <w:rsid w:val="0057037E"/>
    <w:rsid w:val="00574A15"/>
    <w:rsid w:val="00574AFA"/>
    <w:rsid w:val="00581BC4"/>
    <w:rsid w:val="0059138D"/>
    <w:rsid w:val="005938D7"/>
    <w:rsid w:val="005947D2"/>
    <w:rsid w:val="00595B65"/>
    <w:rsid w:val="0059779D"/>
    <w:rsid w:val="005A02E1"/>
    <w:rsid w:val="005A1FB0"/>
    <w:rsid w:val="005A5079"/>
    <w:rsid w:val="005A574C"/>
    <w:rsid w:val="005A7E60"/>
    <w:rsid w:val="005B243B"/>
    <w:rsid w:val="005B3D59"/>
    <w:rsid w:val="005B4536"/>
    <w:rsid w:val="005B7536"/>
    <w:rsid w:val="005C4C99"/>
    <w:rsid w:val="005C5743"/>
    <w:rsid w:val="005D04A3"/>
    <w:rsid w:val="005D0B7A"/>
    <w:rsid w:val="005E2D69"/>
    <w:rsid w:val="005E6C42"/>
    <w:rsid w:val="005F0539"/>
    <w:rsid w:val="005F06A9"/>
    <w:rsid w:val="005F1678"/>
    <w:rsid w:val="00603090"/>
    <w:rsid w:val="00613A28"/>
    <w:rsid w:val="00614015"/>
    <w:rsid w:val="00620119"/>
    <w:rsid w:val="00625403"/>
    <w:rsid w:val="006356AF"/>
    <w:rsid w:val="00636F7C"/>
    <w:rsid w:val="0064545F"/>
    <w:rsid w:val="00651A37"/>
    <w:rsid w:val="00656161"/>
    <w:rsid w:val="00665438"/>
    <w:rsid w:val="00667124"/>
    <w:rsid w:val="006717C9"/>
    <w:rsid w:val="00672D10"/>
    <w:rsid w:val="006751C5"/>
    <w:rsid w:val="00681DD9"/>
    <w:rsid w:val="0069265A"/>
    <w:rsid w:val="006951F9"/>
    <w:rsid w:val="00695BF6"/>
    <w:rsid w:val="006A3A33"/>
    <w:rsid w:val="006A740C"/>
    <w:rsid w:val="006B0D03"/>
    <w:rsid w:val="006B718B"/>
    <w:rsid w:val="006D3957"/>
    <w:rsid w:val="006D6502"/>
    <w:rsid w:val="006E4C4A"/>
    <w:rsid w:val="006F01AB"/>
    <w:rsid w:val="00701888"/>
    <w:rsid w:val="00702D3D"/>
    <w:rsid w:val="007076C1"/>
    <w:rsid w:val="00712E48"/>
    <w:rsid w:val="00714358"/>
    <w:rsid w:val="00724809"/>
    <w:rsid w:val="0072725A"/>
    <w:rsid w:val="00727296"/>
    <w:rsid w:val="00731B8E"/>
    <w:rsid w:val="00732932"/>
    <w:rsid w:val="00744E90"/>
    <w:rsid w:val="00753195"/>
    <w:rsid w:val="00757DC6"/>
    <w:rsid w:val="007647ED"/>
    <w:rsid w:val="00771101"/>
    <w:rsid w:val="007776E3"/>
    <w:rsid w:val="00780E89"/>
    <w:rsid w:val="007848D7"/>
    <w:rsid w:val="007955C3"/>
    <w:rsid w:val="007969E9"/>
    <w:rsid w:val="007A32DD"/>
    <w:rsid w:val="007A37B4"/>
    <w:rsid w:val="007A3F70"/>
    <w:rsid w:val="007A5925"/>
    <w:rsid w:val="007B249B"/>
    <w:rsid w:val="007C38D3"/>
    <w:rsid w:val="007C5BDF"/>
    <w:rsid w:val="007D0486"/>
    <w:rsid w:val="007E1653"/>
    <w:rsid w:val="007F4B9B"/>
    <w:rsid w:val="00804E13"/>
    <w:rsid w:val="0081020A"/>
    <w:rsid w:val="00817B8C"/>
    <w:rsid w:val="00820FBF"/>
    <w:rsid w:val="00821725"/>
    <w:rsid w:val="00822A59"/>
    <w:rsid w:val="00825B6B"/>
    <w:rsid w:val="008300D9"/>
    <w:rsid w:val="00830DB7"/>
    <w:rsid w:val="00831DAA"/>
    <w:rsid w:val="008329D9"/>
    <w:rsid w:val="00835918"/>
    <w:rsid w:val="00836197"/>
    <w:rsid w:val="008401A3"/>
    <w:rsid w:val="00844EB3"/>
    <w:rsid w:val="00855F28"/>
    <w:rsid w:val="00860D9C"/>
    <w:rsid w:val="00861A2A"/>
    <w:rsid w:val="00862137"/>
    <w:rsid w:val="00863C03"/>
    <w:rsid w:val="00864BFB"/>
    <w:rsid w:val="0086640A"/>
    <w:rsid w:val="0086752C"/>
    <w:rsid w:val="008710AE"/>
    <w:rsid w:val="00871A2B"/>
    <w:rsid w:val="0087732A"/>
    <w:rsid w:val="00884276"/>
    <w:rsid w:val="00894903"/>
    <w:rsid w:val="00895132"/>
    <w:rsid w:val="00895564"/>
    <w:rsid w:val="00896DA6"/>
    <w:rsid w:val="008A0FF8"/>
    <w:rsid w:val="008A3D80"/>
    <w:rsid w:val="008B6C38"/>
    <w:rsid w:val="008B7E7F"/>
    <w:rsid w:val="008D1375"/>
    <w:rsid w:val="008D56DE"/>
    <w:rsid w:val="008D5E1C"/>
    <w:rsid w:val="008E01CF"/>
    <w:rsid w:val="008E2040"/>
    <w:rsid w:val="008F3C07"/>
    <w:rsid w:val="008F5912"/>
    <w:rsid w:val="009055F9"/>
    <w:rsid w:val="00913C90"/>
    <w:rsid w:val="0091433D"/>
    <w:rsid w:val="00916272"/>
    <w:rsid w:val="00921C1B"/>
    <w:rsid w:val="00923E35"/>
    <w:rsid w:val="00924A51"/>
    <w:rsid w:val="0093743E"/>
    <w:rsid w:val="00940910"/>
    <w:rsid w:val="009409A4"/>
    <w:rsid w:val="00942129"/>
    <w:rsid w:val="00945897"/>
    <w:rsid w:val="00947632"/>
    <w:rsid w:val="00950E93"/>
    <w:rsid w:val="00952648"/>
    <w:rsid w:val="00953571"/>
    <w:rsid w:val="009560B6"/>
    <w:rsid w:val="009612A9"/>
    <w:rsid w:val="009818AE"/>
    <w:rsid w:val="00986437"/>
    <w:rsid w:val="00987B5C"/>
    <w:rsid w:val="0099287E"/>
    <w:rsid w:val="0099460B"/>
    <w:rsid w:val="00995DC3"/>
    <w:rsid w:val="009A2455"/>
    <w:rsid w:val="009A3560"/>
    <w:rsid w:val="009B2410"/>
    <w:rsid w:val="009B4B24"/>
    <w:rsid w:val="009B5EF5"/>
    <w:rsid w:val="009B7521"/>
    <w:rsid w:val="009B75C9"/>
    <w:rsid w:val="009C4F46"/>
    <w:rsid w:val="009D09E8"/>
    <w:rsid w:val="009D4809"/>
    <w:rsid w:val="009E3E37"/>
    <w:rsid w:val="009E4142"/>
    <w:rsid w:val="009E56EE"/>
    <w:rsid w:val="009E78A3"/>
    <w:rsid w:val="009F48CF"/>
    <w:rsid w:val="009F5E6A"/>
    <w:rsid w:val="00A0656F"/>
    <w:rsid w:val="00A07361"/>
    <w:rsid w:val="00A164F5"/>
    <w:rsid w:val="00A17AFB"/>
    <w:rsid w:val="00A20A39"/>
    <w:rsid w:val="00A21370"/>
    <w:rsid w:val="00A22629"/>
    <w:rsid w:val="00A25399"/>
    <w:rsid w:val="00A27269"/>
    <w:rsid w:val="00A31EA9"/>
    <w:rsid w:val="00A32AE8"/>
    <w:rsid w:val="00A340F6"/>
    <w:rsid w:val="00A41183"/>
    <w:rsid w:val="00A4142B"/>
    <w:rsid w:val="00A42769"/>
    <w:rsid w:val="00A602B0"/>
    <w:rsid w:val="00A63B05"/>
    <w:rsid w:val="00A67323"/>
    <w:rsid w:val="00A84AB9"/>
    <w:rsid w:val="00A84C0D"/>
    <w:rsid w:val="00A84D18"/>
    <w:rsid w:val="00A87630"/>
    <w:rsid w:val="00A92F7D"/>
    <w:rsid w:val="00A9623F"/>
    <w:rsid w:val="00AA1038"/>
    <w:rsid w:val="00AA490E"/>
    <w:rsid w:val="00AA5E09"/>
    <w:rsid w:val="00AA6F81"/>
    <w:rsid w:val="00AB080D"/>
    <w:rsid w:val="00AB1D87"/>
    <w:rsid w:val="00AB315C"/>
    <w:rsid w:val="00AB3210"/>
    <w:rsid w:val="00AB69D5"/>
    <w:rsid w:val="00AC12F2"/>
    <w:rsid w:val="00AC7774"/>
    <w:rsid w:val="00AD5283"/>
    <w:rsid w:val="00AE1140"/>
    <w:rsid w:val="00AE2F35"/>
    <w:rsid w:val="00AE3664"/>
    <w:rsid w:val="00AF4BCB"/>
    <w:rsid w:val="00B01372"/>
    <w:rsid w:val="00B01945"/>
    <w:rsid w:val="00B126A4"/>
    <w:rsid w:val="00B1621D"/>
    <w:rsid w:val="00B229C9"/>
    <w:rsid w:val="00B2366D"/>
    <w:rsid w:val="00B23E6B"/>
    <w:rsid w:val="00B2440E"/>
    <w:rsid w:val="00B253E9"/>
    <w:rsid w:val="00B26A4D"/>
    <w:rsid w:val="00B314B2"/>
    <w:rsid w:val="00B31F00"/>
    <w:rsid w:val="00B35FE9"/>
    <w:rsid w:val="00B376DE"/>
    <w:rsid w:val="00B440BC"/>
    <w:rsid w:val="00B51D83"/>
    <w:rsid w:val="00B5234C"/>
    <w:rsid w:val="00B6108D"/>
    <w:rsid w:val="00B619D6"/>
    <w:rsid w:val="00B6261A"/>
    <w:rsid w:val="00B636B9"/>
    <w:rsid w:val="00B66AD0"/>
    <w:rsid w:val="00B754A4"/>
    <w:rsid w:val="00B76578"/>
    <w:rsid w:val="00B77BE2"/>
    <w:rsid w:val="00B8540D"/>
    <w:rsid w:val="00B93480"/>
    <w:rsid w:val="00B951AC"/>
    <w:rsid w:val="00BA1505"/>
    <w:rsid w:val="00BB68FA"/>
    <w:rsid w:val="00BB759A"/>
    <w:rsid w:val="00BC0633"/>
    <w:rsid w:val="00BC0799"/>
    <w:rsid w:val="00BC213B"/>
    <w:rsid w:val="00BC2BAA"/>
    <w:rsid w:val="00BD7D8E"/>
    <w:rsid w:val="00BE0D37"/>
    <w:rsid w:val="00BE70B2"/>
    <w:rsid w:val="00BF21C0"/>
    <w:rsid w:val="00BF2205"/>
    <w:rsid w:val="00BF41D0"/>
    <w:rsid w:val="00C0510E"/>
    <w:rsid w:val="00C11784"/>
    <w:rsid w:val="00C12CB1"/>
    <w:rsid w:val="00C12CD7"/>
    <w:rsid w:val="00C21736"/>
    <w:rsid w:val="00C24257"/>
    <w:rsid w:val="00C2674C"/>
    <w:rsid w:val="00C27AA6"/>
    <w:rsid w:val="00C3088C"/>
    <w:rsid w:val="00C32944"/>
    <w:rsid w:val="00C340B9"/>
    <w:rsid w:val="00C423A1"/>
    <w:rsid w:val="00C44034"/>
    <w:rsid w:val="00C53D56"/>
    <w:rsid w:val="00C54596"/>
    <w:rsid w:val="00C54ECC"/>
    <w:rsid w:val="00C57F09"/>
    <w:rsid w:val="00C60FFD"/>
    <w:rsid w:val="00C64FE9"/>
    <w:rsid w:val="00C65DEB"/>
    <w:rsid w:val="00C661EF"/>
    <w:rsid w:val="00C673F8"/>
    <w:rsid w:val="00C71B3B"/>
    <w:rsid w:val="00C723D9"/>
    <w:rsid w:val="00C72B19"/>
    <w:rsid w:val="00C74247"/>
    <w:rsid w:val="00C75032"/>
    <w:rsid w:val="00C756FD"/>
    <w:rsid w:val="00C90840"/>
    <w:rsid w:val="00C90F42"/>
    <w:rsid w:val="00C915BA"/>
    <w:rsid w:val="00C91D1F"/>
    <w:rsid w:val="00C976B1"/>
    <w:rsid w:val="00C97B30"/>
    <w:rsid w:val="00CA4AAA"/>
    <w:rsid w:val="00CA54C7"/>
    <w:rsid w:val="00CB11DF"/>
    <w:rsid w:val="00CB4338"/>
    <w:rsid w:val="00CC612A"/>
    <w:rsid w:val="00CC61EA"/>
    <w:rsid w:val="00CD3B18"/>
    <w:rsid w:val="00CD4364"/>
    <w:rsid w:val="00CE127E"/>
    <w:rsid w:val="00CE4122"/>
    <w:rsid w:val="00CE5DEE"/>
    <w:rsid w:val="00D10CD0"/>
    <w:rsid w:val="00D20B9E"/>
    <w:rsid w:val="00D23ED2"/>
    <w:rsid w:val="00D23FD7"/>
    <w:rsid w:val="00D31976"/>
    <w:rsid w:val="00D34B1F"/>
    <w:rsid w:val="00D401CD"/>
    <w:rsid w:val="00D45129"/>
    <w:rsid w:val="00D50636"/>
    <w:rsid w:val="00D50BCD"/>
    <w:rsid w:val="00D6068F"/>
    <w:rsid w:val="00D76CEA"/>
    <w:rsid w:val="00D773BA"/>
    <w:rsid w:val="00D77F06"/>
    <w:rsid w:val="00D92D5D"/>
    <w:rsid w:val="00D95121"/>
    <w:rsid w:val="00DA0116"/>
    <w:rsid w:val="00DA760D"/>
    <w:rsid w:val="00DB49AB"/>
    <w:rsid w:val="00DB70A2"/>
    <w:rsid w:val="00DC3B53"/>
    <w:rsid w:val="00DC6242"/>
    <w:rsid w:val="00DD13FB"/>
    <w:rsid w:val="00DD4B84"/>
    <w:rsid w:val="00DE35B5"/>
    <w:rsid w:val="00DF6C2A"/>
    <w:rsid w:val="00E0369F"/>
    <w:rsid w:val="00E104BC"/>
    <w:rsid w:val="00E14BCF"/>
    <w:rsid w:val="00E25EF2"/>
    <w:rsid w:val="00E3025F"/>
    <w:rsid w:val="00E350B1"/>
    <w:rsid w:val="00E35CE8"/>
    <w:rsid w:val="00E3613F"/>
    <w:rsid w:val="00E43CB5"/>
    <w:rsid w:val="00E44217"/>
    <w:rsid w:val="00E44B22"/>
    <w:rsid w:val="00E453EB"/>
    <w:rsid w:val="00E54C12"/>
    <w:rsid w:val="00E55993"/>
    <w:rsid w:val="00E5660E"/>
    <w:rsid w:val="00E6189A"/>
    <w:rsid w:val="00E646CE"/>
    <w:rsid w:val="00E664D7"/>
    <w:rsid w:val="00E70A53"/>
    <w:rsid w:val="00E712AD"/>
    <w:rsid w:val="00E72F2B"/>
    <w:rsid w:val="00E73779"/>
    <w:rsid w:val="00E80E39"/>
    <w:rsid w:val="00E82FF4"/>
    <w:rsid w:val="00E9235C"/>
    <w:rsid w:val="00E92548"/>
    <w:rsid w:val="00E940D5"/>
    <w:rsid w:val="00E95A79"/>
    <w:rsid w:val="00EA67B8"/>
    <w:rsid w:val="00EA6E44"/>
    <w:rsid w:val="00EA785B"/>
    <w:rsid w:val="00EB0582"/>
    <w:rsid w:val="00EB1279"/>
    <w:rsid w:val="00EB721B"/>
    <w:rsid w:val="00EC38D2"/>
    <w:rsid w:val="00EC653C"/>
    <w:rsid w:val="00EC6A2B"/>
    <w:rsid w:val="00EC6D7B"/>
    <w:rsid w:val="00ED035C"/>
    <w:rsid w:val="00ED147C"/>
    <w:rsid w:val="00ED6E16"/>
    <w:rsid w:val="00EE407D"/>
    <w:rsid w:val="00EE5EB5"/>
    <w:rsid w:val="00EE6BD4"/>
    <w:rsid w:val="00EE6E05"/>
    <w:rsid w:val="00EF0F31"/>
    <w:rsid w:val="00EF3AD4"/>
    <w:rsid w:val="00EF7935"/>
    <w:rsid w:val="00F02622"/>
    <w:rsid w:val="00F06DC2"/>
    <w:rsid w:val="00F10DDB"/>
    <w:rsid w:val="00F14026"/>
    <w:rsid w:val="00F1429E"/>
    <w:rsid w:val="00F15D09"/>
    <w:rsid w:val="00F21377"/>
    <w:rsid w:val="00F22E40"/>
    <w:rsid w:val="00F30F27"/>
    <w:rsid w:val="00F32C53"/>
    <w:rsid w:val="00F3409E"/>
    <w:rsid w:val="00F37694"/>
    <w:rsid w:val="00F40215"/>
    <w:rsid w:val="00F428C5"/>
    <w:rsid w:val="00F52882"/>
    <w:rsid w:val="00F57101"/>
    <w:rsid w:val="00F70D40"/>
    <w:rsid w:val="00F716E5"/>
    <w:rsid w:val="00F74921"/>
    <w:rsid w:val="00F74C60"/>
    <w:rsid w:val="00F75F37"/>
    <w:rsid w:val="00F776BF"/>
    <w:rsid w:val="00F85C71"/>
    <w:rsid w:val="00F87B05"/>
    <w:rsid w:val="00FA41B8"/>
    <w:rsid w:val="00FB049B"/>
    <w:rsid w:val="00FB0D28"/>
    <w:rsid w:val="00FC27EF"/>
    <w:rsid w:val="00FD196D"/>
    <w:rsid w:val="00FD467A"/>
    <w:rsid w:val="00FE232A"/>
    <w:rsid w:val="00FE5C53"/>
    <w:rsid w:val="00FE7B89"/>
    <w:rsid w:val="00FF1710"/>
    <w:rsid w:val="00FF352F"/>
    <w:rsid w:val="00FF3703"/>
    <w:rsid w:val="00FF7231"/>
    <w:rsid w:val="00FF7CBB"/>
    <w:rsid w:val="07BF6A8E"/>
    <w:rsid w:val="17E583E5"/>
    <w:rsid w:val="1811F9A9"/>
    <w:rsid w:val="2C1BB962"/>
    <w:rsid w:val="32281170"/>
    <w:rsid w:val="331A3BCA"/>
    <w:rsid w:val="3391DEA6"/>
    <w:rsid w:val="357FA195"/>
    <w:rsid w:val="3BD79E9A"/>
    <w:rsid w:val="41CB8638"/>
    <w:rsid w:val="41E26B07"/>
    <w:rsid w:val="52605FCD"/>
    <w:rsid w:val="5380E94F"/>
    <w:rsid w:val="75827704"/>
    <w:rsid w:val="7B3313F0"/>
    <w:rsid w:val="7F47DF4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AA6C"/>
  <w15:docId w15:val="{75EB3976-F6A4-4963-A523-1E80FC94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4338"/>
    <w:pPr>
      <w:spacing w:after="160" w:line="360" w:lineRule="auto"/>
      <w:jc w:val="both"/>
    </w:pPr>
    <w:rPr>
      <w:rFonts w:ascii="Arial" w:hAnsi="Arial"/>
      <w:sz w:val="22"/>
      <w:szCs w:val="22"/>
      <w:lang w:val="en-US" w:eastAsia="en-US"/>
    </w:rPr>
  </w:style>
  <w:style w:type="paragraph" w:styleId="Heading1">
    <w:name w:val="heading 1"/>
    <w:basedOn w:val="Normal"/>
    <w:next w:val="Normal"/>
    <w:link w:val="Heading1Char"/>
    <w:uiPriority w:val="9"/>
    <w:qFormat/>
    <w:rsid w:val="00CB4338"/>
    <w:pPr>
      <w:keepNext/>
      <w:keepLines/>
      <w:spacing w:before="360" w:after="80"/>
      <w:jc w:val="left"/>
      <w:outlineLvl w:val="0"/>
    </w:pPr>
    <w:rPr>
      <w:rFonts w:eastAsiaTheme="majorEastAsia" w:cstheme="majorBidi"/>
      <w:b/>
      <w:color w:val="000000" w:themeColor="text1"/>
      <w:sz w:val="24"/>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color w:val="000000" w:themeColor="text1"/>
      <w:kern w:val="2"/>
      <w:szCs w:val="32"/>
      <w:lang w:val="en-IN"/>
      <w14:ligatures w14:val="standardContextual"/>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Theme="majorEastAsia" w:cstheme="majorBidi"/>
      <w:b/>
      <w:color w:val="000000" w:themeColor="text1"/>
      <w:szCs w:val="30"/>
      <w:lang w:bidi="bn-IN"/>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hAnsiTheme="minorHAnsi"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hAnsiTheme="minorHAnsi" w:eastAsiaTheme="majorEastAsia" w:cstheme="majorBidi"/>
      <w:color w:val="262626" w:themeColor="text1" w:themeTint="D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Subtitle">
    <w:name w:val="Subtitle"/>
    <w:basedOn w:val="Normal"/>
    <w:next w:val="Normal"/>
    <w:link w:val="SubtitleChar"/>
    <w:uiPriority w:val="11"/>
    <w:qFormat/>
    <w:rPr>
      <w:rFonts w:asciiTheme="minorHAnsi" w:hAnsiTheme="minorHAnsi"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styleId="Heading1Char" w:customStyle="1">
    <w:name w:val="Heading 1 Char"/>
    <w:basedOn w:val="DefaultParagraphFont"/>
    <w:link w:val="Heading1"/>
    <w:uiPriority w:val="9"/>
    <w:qFormat/>
    <w:rsid w:val="00CB4338"/>
    <w:rPr>
      <w:rFonts w:ascii="Arial" w:hAnsi="Arial" w:eastAsiaTheme="majorEastAsia" w:cstheme="majorBidi"/>
      <w:b/>
      <w:color w:val="000000" w:themeColor="text1"/>
      <w:sz w:val="24"/>
      <w:szCs w:val="40"/>
      <w:lang w:val="en-US" w:eastAsia="en-US"/>
    </w:rPr>
  </w:style>
  <w:style w:type="character" w:styleId="Heading2Char" w:customStyle="1">
    <w:name w:val="Heading 2 Char"/>
    <w:basedOn w:val="DefaultParagraphFont"/>
    <w:link w:val="Heading2"/>
    <w:uiPriority w:val="9"/>
    <w:qFormat/>
    <w:rPr>
      <w:rFonts w:ascii="Times New Roman" w:hAnsi="Times New Roman" w:eastAsiaTheme="majorEastAsia" w:cstheme="majorBidi"/>
      <w:b/>
      <w:color w:val="000000" w:themeColor="text1"/>
      <w:szCs w:val="32"/>
    </w:rPr>
  </w:style>
  <w:style w:type="character" w:styleId="Heading3Char" w:customStyle="1">
    <w:name w:val="Heading 3 Char"/>
    <w:basedOn w:val="DefaultParagraphFont"/>
    <w:link w:val="Heading3"/>
    <w:uiPriority w:val="9"/>
    <w:semiHidden/>
    <w:qFormat/>
    <w:rPr>
      <w:rFonts w:ascii="Times New Roman" w:hAnsi="Times New Roman" w:eastAsiaTheme="majorEastAsia" w:cstheme="majorBidi"/>
      <w:b/>
      <w:color w:val="000000" w:themeColor="text1"/>
      <w:szCs w:val="30"/>
      <w:lang w:bidi="bn-IN"/>
    </w:rPr>
  </w:style>
  <w:style w:type="character" w:styleId="Heading4Char" w:customStyle="1">
    <w:name w:val="Heading 4 Char"/>
    <w:basedOn w:val="DefaultParagraphFont"/>
    <w:link w:val="Heading4"/>
    <w:uiPriority w:val="9"/>
    <w:semiHidden/>
    <w:qFormat/>
    <w:rPr>
      <w:rFonts w:eastAsiaTheme="majorEastAsia" w:cstheme="majorBidi"/>
      <w:i/>
      <w:iCs/>
      <w:color w:val="2F5496" w:themeColor="accent1" w:themeShade="BF"/>
      <w:kern w:val="0"/>
      <w:szCs w:val="22"/>
      <w:lang w:val="en-US"/>
      <w14:ligatures w14:val="none"/>
    </w:rPr>
  </w:style>
  <w:style w:type="character" w:styleId="Heading5Char" w:customStyle="1">
    <w:name w:val="Heading 5 Char"/>
    <w:basedOn w:val="DefaultParagraphFont"/>
    <w:link w:val="Heading5"/>
    <w:uiPriority w:val="9"/>
    <w:semiHidden/>
    <w:qFormat/>
    <w:rPr>
      <w:rFonts w:eastAsiaTheme="majorEastAsia" w:cstheme="majorBidi"/>
      <w:color w:val="2F5496" w:themeColor="accent1" w:themeShade="BF"/>
      <w:kern w:val="0"/>
      <w:szCs w:val="22"/>
      <w:lang w:val="en-US"/>
      <w14:ligatures w14:val="none"/>
    </w:rPr>
  </w:style>
  <w:style w:type="character" w:styleId="Heading6Char" w:customStyle="1">
    <w:name w:val="Heading 6 Char"/>
    <w:basedOn w:val="DefaultParagraphFont"/>
    <w:link w:val="Heading6"/>
    <w:uiPriority w:val="9"/>
    <w:semiHidden/>
    <w:qFormat/>
    <w:rPr>
      <w:rFonts w:eastAsiaTheme="majorEastAsia" w:cstheme="majorBidi"/>
      <w:i/>
      <w:iCs/>
      <w:color w:val="595959" w:themeColor="text1" w:themeTint="A6"/>
      <w:kern w:val="0"/>
      <w:szCs w:val="22"/>
      <w:lang w:val="en-US"/>
      <w14:ligatures w14:val="none"/>
    </w:rPr>
  </w:style>
  <w:style w:type="character" w:styleId="Heading7Char" w:customStyle="1">
    <w:name w:val="Heading 7 Char"/>
    <w:basedOn w:val="DefaultParagraphFont"/>
    <w:link w:val="Heading7"/>
    <w:uiPriority w:val="9"/>
    <w:semiHidden/>
    <w:qFormat/>
    <w:rPr>
      <w:rFonts w:eastAsiaTheme="majorEastAsia" w:cstheme="majorBidi"/>
      <w:color w:val="595959" w:themeColor="text1" w:themeTint="A6"/>
      <w:kern w:val="0"/>
      <w:szCs w:val="22"/>
      <w:lang w:val="en-US"/>
      <w14:ligatures w14:val="none"/>
    </w:rPr>
  </w:style>
  <w:style w:type="character" w:styleId="Heading8Char" w:customStyle="1">
    <w:name w:val="Heading 8 Char"/>
    <w:basedOn w:val="DefaultParagraphFont"/>
    <w:link w:val="Heading8"/>
    <w:uiPriority w:val="9"/>
    <w:semiHidden/>
    <w:qFormat/>
    <w:rPr>
      <w:rFonts w:eastAsiaTheme="majorEastAsia" w:cstheme="majorBidi"/>
      <w:i/>
      <w:iCs/>
      <w:color w:val="262626" w:themeColor="text1" w:themeTint="D9"/>
      <w:kern w:val="0"/>
      <w:szCs w:val="22"/>
      <w:lang w:val="en-US"/>
      <w14:ligatures w14:val="none"/>
    </w:rPr>
  </w:style>
  <w:style w:type="character" w:styleId="Heading9Char" w:customStyle="1">
    <w:name w:val="Heading 9 Char"/>
    <w:basedOn w:val="DefaultParagraphFont"/>
    <w:link w:val="Heading9"/>
    <w:uiPriority w:val="9"/>
    <w:semiHidden/>
    <w:qFormat/>
    <w:rPr>
      <w:rFonts w:eastAsiaTheme="majorEastAsia" w:cstheme="majorBidi"/>
      <w:color w:val="262626" w:themeColor="text1" w:themeTint="D9"/>
      <w:kern w:val="0"/>
      <w:szCs w:val="22"/>
      <w:lang w:val="en-US"/>
      <w14:ligatures w14:val="none"/>
    </w:rPr>
  </w:style>
  <w:style w:type="character" w:styleId="TitleChar" w:customStyle="1">
    <w:name w:val="Title Char"/>
    <w:basedOn w:val="DefaultParagraphFont"/>
    <w:link w:val="Title"/>
    <w:uiPriority w:val="10"/>
    <w:qFormat/>
    <w:rPr>
      <w:rFonts w:asciiTheme="majorHAnsi" w:hAnsiTheme="majorHAnsi" w:eastAsiaTheme="majorEastAsia" w:cstheme="majorBidi"/>
      <w:spacing w:val="-10"/>
      <w:kern w:val="28"/>
      <w:sz w:val="56"/>
      <w:szCs w:val="56"/>
      <w:lang w:val="en-US"/>
      <w14:ligatures w14:val="none"/>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qFormat/>
    <w:rPr>
      <w:rFonts w:ascii="Times New Roman" w:hAnsi="Times New Roman"/>
      <w:i/>
      <w:iCs/>
      <w:color w:val="404040" w:themeColor="text1" w:themeTint="BF"/>
      <w:kern w:val="0"/>
      <w:szCs w:val="22"/>
      <w:lang w:val="en-US"/>
      <w14:ligatures w14:val="none"/>
    </w:rPr>
  </w:style>
  <w:style w:type="paragraph" w:styleId="ListParagraph">
    <w:name w:val="List Paragraph"/>
    <w:basedOn w:val="Normal"/>
    <w:uiPriority w:val="34"/>
    <w:qFormat/>
    <w:pPr>
      <w:ind w:left="720"/>
      <w:contextualSpacing/>
    </w:pPr>
  </w:style>
  <w:style w:type="character" w:styleId="IntenseEmphasis1" w:customStyle="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qFormat/>
    <w:rPr>
      <w:rFonts w:ascii="Times New Roman" w:hAnsi="Times New Roman"/>
      <w:i/>
      <w:iCs/>
      <w:color w:val="2F5496" w:themeColor="accent1" w:themeShade="BF"/>
      <w:kern w:val="0"/>
      <w:szCs w:val="22"/>
      <w:lang w:val="en-US"/>
      <w14:ligatures w14:val="none"/>
    </w:rPr>
  </w:style>
  <w:style w:type="character" w:styleId="IntenseReference1" w:customStyle="1">
    <w:name w:val="Intense Reference1"/>
    <w:basedOn w:val="DefaultParagraphFont"/>
    <w:uiPriority w:val="32"/>
    <w:qFormat/>
    <w:rPr>
      <w:b/>
      <w:bCs/>
      <w:smallCaps/>
      <w:color w:val="2F5496" w:themeColor="accent1" w:themeShade="BF"/>
      <w:spacing w:val="5"/>
    </w:rPr>
  </w:style>
  <w:style w:type="character" w:styleId="UnresolvedMention1" w:customStyle="1">
    <w:name w:val="Unresolved Mention1"/>
    <w:basedOn w:val="DefaultParagraphFont"/>
    <w:uiPriority w:val="99"/>
    <w:semiHidden/>
    <w:unhideWhenUsed/>
    <w:qFormat/>
    <w:rPr>
      <w:color w:val="605E5C"/>
      <w:shd w:val="clear" w:color="auto" w:fill="E1DFDD"/>
    </w:rPr>
  </w:style>
  <w:style w:type="character" w:styleId="HeaderChar" w:customStyle="1">
    <w:name w:val="Header Char"/>
    <w:basedOn w:val="DefaultParagraphFont"/>
    <w:link w:val="Header"/>
    <w:uiPriority w:val="99"/>
    <w:qFormat/>
    <w:rPr>
      <w:rFonts w:ascii="Times New Roman" w:hAnsi="Times New Roman"/>
      <w:kern w:val="0"/>
      <w:szCs w:val="22"/>
      <w:lang w:val="en-US"/>
      <w14:ligatures w14:val="none"/>
    </w:rPr>
  </w:style>
  <w:style w:type="character" w:styleId="FooterChar" w:customStyle="1">
    <w:name w:val="Footer Char"/>
    <w:basedOn w:val="DefaultParagraphFont"/>
    <w:link w:val="Footer"/>
    <w:uiPriority w:val="99"/>
    <w:qFormat/>
    <w:rPr>
      <w:rFonts w:ascii="Times New Roman" w:hAnsi="Times New Roman"/>
      <w:kern w:val="0"/>
      <w:szCs w:val="22"/>
      <w:lang w:val="en-US"/>
      <w14:ligatures w14:val="none"/>
    </w:rPr>
  </w:style>
  <w:style w:type="paragraph" w:styleId="TOCHeading1" w:customStyle="1">
    <w:name w:val="TOC Heading1"/>
    <w:basedOn w:val="Heading1"/>
    <w:next w:val="Normal"/>
    <w:uiPriority w:val="39"/>
    <w:unhideWhenUsed/>
    <w:qFormat/>
    <w:pPr>
      <w:spacing w:before="240" w:after="0"/>
      <w:outlineLvl w:val="9"/>
    </w:pPr>
    <w:rPr>
      <w:rFonts w:asciiTheme="majorHAnsi" w:hAnsiTheme="majorHAnsi"/>
      <w:b w:val="0"/>
      <w:color w:val="2F5496" w:themeColor="accent1" w:themeShade="BF"/>
      <w:sz w:val="32"/>
      <w:szCs w:val="32"/>
    </w:rPr>
  </w:style>
  <w:style w:type="paragraph" w:styleId="TOCHeading">
    <w:name w:val="TOC Heading"/>
    <w:basedOn w:val="Heading1"/>
    <w:next w:val="Normal"/>
    <w:uiPriority w:val="39"/>
    <w:unhideWhenUsed/>
    <w:qFormat/>
    <w:rsid w:val="00CB4338"/>
    <w:pPr>
      <w:spacing w:before="240" w:after="0" w:line="259" w:lineRule="auto"/>
      <w:outlineLvl w:val="9"/>
    </w:pPr>
    <w:rPr>
      <w:rFonts w:asciiTheme="majorHAnsi" w:hAnsiTheme="majorHAnsi"/>
      <w:b w:val="0"/>
      <w:color w:val="2F5496" w:themeColor="accent1" w:themeShade="BF"/>
      <w:sz w:val="32"/>
      <w:szCs w:val="32"/>
    </w:rPr>
  </w:style>
  <w:style w:type="character" w:styleId="UnresolvedMention">
    <w:name w:val="Unresolved Mention"/>
    <w:basedOn w:val="DefaultParagraphFont"/>
    <w:uiPriority w:val="99"/>
    <w:semiHidden/>
    <w:unhideWhenUsed/>
    <w:rsid w:val="00064E37"/>
    <w:rPr>
      <w:color w:val="605E5C"/>
      <w:shd w:val="clear" w:color="auto" w:fill="E1DFDD"/>
    </w:rPr>
  </w:style>
  <w:style w:type="paragraph" w:styleId="NormalWeb">
    <w:name w:val="Normal (Web)"/>
    <w:basedOn w:val="Normal"/>
    <w:uiPriority w:val="99"/>
    <w:semiHidden/>
    <w:unhideWhenUsed/>
    <w:rsid w:val="00F22E40"/>
    <w:rPr>
      <w:rFonts w:ascii="Times New Roman" w:hAnsi="Times New Roman" w:cs="Times New Roman"/>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doi.org/10.1590/0034-7167-2017-0208" TargetMode="External" Id="rId8" /><Relationship Type="http://schemas.openxmlformats.org/officeDocument/2006/relationships/hyperlink" Target="https://www.england.nhs.uk/patient-safety/the-nhs-patient-safety-strategy/" TargetMode="External"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hyperlink" Target="https://www.hee.nhs.uk/our-work/cancer-diagnostics/cancer-communications-resource-hub/patient/how-good-communication-skills-benefit-patients-service-users-people-affected" TargetMode="External" Id="rId12" /><Relationship Type="http://schemas.openxmlformats.org/officeDocument/2006/relationships/hyperlink" Target="https://www.who.int/news-room/fact-sheets/detail/patient-safety" TargetMode="External" Id="rId17" /><Relationship Type="http://schemas.openxmlformats.org/officeDocument/2006/relationships/styles" Target="styles.xml" Id="rId2" /><Relationship Type="http://schemas.openxmlformats.org/officeDocument/2006/relationships/hyperlink" Target="https://doi.org/10.1097/01.mlr.0000178172.40344.70"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1111/j.1399-6576.2008.01717.x" TargetMode="External" Id="rId11" /><Relationship Type="http://schemas.openxmlformats.org/officeDocument/2006/relationships/footnotes" Target="footnotes.xml" Id="rId5" /><Relationship Type="http://schemas.openxmlformats.org/officeDocument/2006/relationships/hyperlink" Target="https://doi.org/10.1093/qjmed/hcu145" TargetMode="External" Id="rId15" /><Relationship Type="http://schemas.openxmlformats.org/officeDocument/2006/relationships/hyperlink" Target="https://www.gov.uk/guidance/equality-act-2010-guidance"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assets.publishing.service.gov.uk/government/uploads/system/uploads/attachment_data/file/711162/2018-05-23_Factsheet_1_-_Act_overview.pdf" TargetMode="External" Id="rId9" /><Relationship Type="http://schemas.openxmlformats.org/officeDocument/2006/relationships/hyperlink" Target="https://www.england.nhs.uk/patient-safety/patient-safety-insight/patient-safety-alerts/enduring-standards/standards-that-remain-valid/medication-safety/" TargetMode="External" Id="rId14" /><Relationship Type="http://schemas.openxmlformats.org/officeDocument/2006/relationships/footer" Target="footer.xml" Id="R4252b7eccc5b44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2EFB3-3195-4BFA-8D01-79F3FCD0C46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2025-12-08T03:47:00.0000000Z</dcterms:created>
  <dcterms:modified xsi:type="dcterms:W3CDTF">2026-04-22T20:42:13.2380584Z</dcterms:modified>
  <lastModifiedBy>Cynthia Philip D Costa E Afonso (2437224)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B32015ACF5F844B38F9BD2468203B175_12</vt:lpwstr>
  </property>
</Properties>
</file>