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BC4DD" w14:textId="46890BEC" w:rsidR="00F45F6D" w:rsidRDefault="00AA377C">
      <w:r>
        <w:t>Methodology</w:t>
      </w:r>
    </w:p>
    <w:p w14:paraId="68BA295D" w14:textId="7DBD2EF8" w:rsidR="00AA377C" w:rsidRDefault="00AA377C">
      <w:r>
        <w:t xml:space="preserve">From the detailed review of literature, this dissertation will analyse and evaluate Police Constable’s perceptions on the impact they feel their job has on their mental health. This chapter will explore the methods for obtaining reliable data which is needed </w:t>
      </w:r>
      <w:proofErr w:type="gramStart"/>
      <w:r>
        <w:t>in order to</w:t>
      </w:r>
      <w:proofErr w:type="gramEnd"/>
      <w:r>
        <w:t xml:space="preserve"> provide an answer to this question. It will also explore how the data collected will be kept private, confidential and secure. </w:t>
      </w:r>
    </w:p>
    <w:p w14:paraId="052645C9" w14:textId="4CF2B14B" w:rsidR="003D4A49" w:rsidRDefault="003D4A49">
      <w:r>
        <w:t xml:space="preserve">Research </w:t>
      </w:r>
      <w:r w:rsidR="007D56F8">
        <w:t xml:space="preserve">objectives </w:t>
      </w:r>
    </w:p>
    <w:p w14:paraId="237AF0A9" w14:textId="4549F74C" w:rsidR="00C85222" w:rsidRDefault="00C85222" w:rsidP="00C85222">
      <w:r>
        <w:t xml:space="preserve">The information intended to be collected will answer the research question as it will allow for </w:t>
      </w:r>
      <w:r w:rsidR="00771ECB">
        <w:t>P</w:t>
      </w:r>
      <w:r>
        <w:t xml:space="preserve">olice </w:t>
      </w:r>
      <w:r w:rsidR="00771ECB">
        <w:t>C</w:t>
      </w:r>
      <w:r>
        <w:t>onstable’s perceptions of their job role on their mental health. The findings can be analysed to highlight any common themes which will then be researched with the intention of finding methods for supporting mental health. The research objectives are as follows:</w:t>
      </w:r>
    </w:p>
    <w:p w14:paraId="3E6F4A5A" w14:textId="77777777" w:rsidR="00C85222" w:rsidRDefault="00C85222" w:rsidP="00C85222">
      <w:r>
        <w:t>•</w:t>
      </w:r>
      <w:r>
        <w:tab/>
        <w:t>Does the role of Police Constable have an impact on mental health?</w:t>
      </w:r>
    </w:p>
    <w:p w14:paraId="007FE0B5" w14:textId="12F71D50" w:rsidR="00535ADC" w:rsidRDefault="00C85222" w:rsidP="00C85222">
      <w:r>
        <w:t>•</w:t>
      </w:r>
      <w:r>
        <w:tab/>
        <w:t>What is the impact? Are there any common themes?</w:t>
      </w:r>
    </w:p>
    <w:p w14:paraId="06481C7C" w14:textId="062CDD0F" w:rsidR="00535ADC" w:rsidRDefault="00C85222" w:rsidP="00535ADC">
      <w:r>
        <w:t>•</w:t>
      </w:r>
      <w:r>
        <w:tab/>
      </w:r>
      <w:r w:rsidR="00A950C0">
        <w:t>Are Police Constables aware of support for mental health from their Force</w:t>
      </w:r>
      <w:r>
        <w:t>?</w:t>
      </w:r>
      <w:r w:rsidR="00A950C0">
        <w:t xml:space="preserve"> </w:t>
      </w:r>
      <w:r w:rsidR="00B30B0E">
        <w:t xml:space="preserve">Are Police Constables </w:t>
      </w:r>
      <w:r w:rsidR="00C720D0">
        <w:t xml:space="preserve">worried about sharing their challenges with mental health? </w:t>
      </w:r>
    </w:p>
    <w:p w14:paraId="16B63D24" w14:textId="4C5FB66C" w:rsidR="00535ADC" w:rsidRDefault="007F1F5E" w:rsidP="00535ADC">
      <w:pPr>
        <w:pStyle w:val="ListParagraph"/>
        <w:numPr>
          <w:ilvl w:val="0"/>
          <w:numId w:val="3"/>
        </w:numPr>
      </w:pPr>
      <w:r>
        <w:t xml:space="preserve">Would Police Constables recommend </w:t>
      </w:r>
      <w:r w:rsidR="00E0523B">
        <w:t xml:space="preserve">joining the Force? </w:t>
      </w:r>
    </w:p>
    <w:p w14:paraId="0ED16728" w14:textId="6032696E" w:rsidR="00276D20" w:rsidRDefault="00276D20">
      <w:r w:rsidRPr="00276D20">
        <w:t xml:space="preserve">This research project seeks to collect and analyse feedback from both civilian police staff and Police Constables across all ranks. By employing advanced data collection software, the study will facilitate a comparative analysis between the mental health experiences of sworn officers and their civilian counterparts. This dual-perspective approach is intended to uncover potential disparities in psychological wellbeing across different roles within the police service. The resulting data will be subjected to rigorous quantitative analysis to address the central research question and to inform evidence-based recommendations. The significance of this research lies in its potential to contribute to the growing body of literature on occupational mental health in policing, a field that continues to highlight high levels of stress, burnout, and psychological distress among officers (Drew &amp; Martin, </w:t>
      </w:r>
      <w:proofErr w:type="gramStart"/>
      <w:r w:rsidRPr="00276D20">
        <w:t>2021 ;</w:t>
      </w:r>
      <w:proofErr w:type="gramEnd"/>
      <w:r w:rsidRPr="00276D20">
        <w:t xml:space="preserve"> Haugen et al., 2017). Moreover, the study aligns with calls for more inclusive and representative mental health research within law enforcement, particularly </w:t>
      </w:r>
      <w:proofErr w:type="gramStart"/>
      <w:r w:rsidRPr="00276D20">
        <w:t>in light of</w:t>
      </w:r>
      <w:proofErr w:type="gramEnd"/>
      <w:r w:rsidRPr="00276D20">
        <w:t xml:space="preserve"> persistent stigma and barriers to help-seeking (Corrigan, 2004; Milne, 2021). By integrating perspectives from both sworn and non-sworn personnel, this research aims to provide a more holistic understanding of mental health challenges within contemporary policing.</w:t>
      </w:r>
    </w:p>
    <w:p w14:paraId="638D4C7C" w14:textId="1A9986B4" w:rsidR="005A6E0F" w:rsidRDefault="005A6E0F">
      <w:r w:rsidRPr="005A6E0F">
        <w:t xml:space="preserve">Initially, conducting interviews with Police Constables was considered as a means of obtaining in-depth, personal insights into each of the research questions. However, upon further reflection, this approach was deemed less suitable due to several factors, </w:t>
      </w:r>
      <w:r w:rsidRPr="005A6E0F">
        <w:lastRenderedPageBreak/>
        <w:t>including ethical considerations, time limitations, potential for interviewer bias, and organisational constraints. Consequently, an alternative method of data collection was selected to ensure greater feasibility and methodological rigour.</w:t>
      </w:r>
    </w:p>
    <w:p w14:paraId="65CAB237" w14:textId="3E83DBA0" w:rsidR="003C1E74" w:rsidRDefault="003C1E74">
      <w:r>
        <w:t>Quantitative data</w:t>
      </w:r>
    </w:p>
    <w:p w14:paraId="2A9F8187" w14:textId="4FF047BD" w:rsidR="003C1E74" w:rsidRDefault="00DA5224">
      <w:r>
        <w:t xml:space="preserve">The questionnaire was available for online </w:t>
      </w:r>
      <w:r w:rsidR="00B75F55">
        <w:t>completion</w:t>
      </w:r>
      <w:r>
        <w:t xml:space="preserve"> </w:t>
      </w:r>
      <w:r w:rsidR="009B5510">
        <w:t xml:space="preserve">to facilitate participant engagement </w:t>
      </w:r>
      <w:r w:rsidR="00EF012E">
        <w:t xml:space="preserve">due to the accessibility and </w:t>
      </w:r>
      <w:r w:rsidR="00B75F55">
        <w:t xml:space="preserve">anonymity. </w:t>
      </w:r>
      <w:r w:rsidR="00312E90">
        <w:t xml:space="preserve">The questionnaire design was </w:t>
      </w:r>
      <w:r w:rsidR="0038543F">
        <w:t xml:space="preserve">deeply considered to ensure it was the most effective method for </w:t>
      </w:r>
      <w:r w:rsidR="00384BC2">
        <w:t xml:space="preserve">data collection. As highlighted in previous chapters, Police Constables </w:t>
      </w:r>
      <w:r w:rsidR="00031E7E">
        <w:t xml:space="preserve">face huge time constraints within their role, therefore </w:t>
      </w:r>
      <w:r w:rsidR="00127E39">
        <w:t xml:space="preserve">it was decided that a questionnaire </w:t>
      </w:r>
      <w:r w:rsidR="003319D7">
        <w:t xml:space="preserve">consisting of </w:t>
      </w:r>
      <w:r w:rsidR="00421BB0">
        <w:t>multiple-choice</w:t>
      </w:r>
      <w:r w:rsidR="003319D7">
        <w:t xml:space="preserve"> questions, attitude scale questions and </w:t>
      </w:r>
      <w:r w:rsidR="003B3FE6">
        <w:t xml:space="preserve">the option for text entry would be most beneficial. </w:t>
      </w:r>
      <w:r w:rsidR="003900B6">
        <w:t xml:space="preserve">This ensured that </w:t>
      </w:r>
      <w:r w:rsidR="00FA0230">
        <w:t xml:space="preserve">the questionnaire had some variety in questioning with the aim of improving participant engagement. </w:t>
      </w:r>
      <w:r w:rsidR="00B75F55">
        <w:t xml:space="preserve">By allowing participants easy and </w:t>
      </w:r>
      <w:r w:rsidR="00763DDF">
        <w:t>convenient</w:t>
      </w:r>
      <w:r w:rsidR="00B75F55">
        <w:t xml:space="preserve"> access to the questionnaire, </w:t>
      </w:r>
      <w:r w:rsidR="00763DDF">
        <w:t xml:space="preserve">it may be suggested that </w:t>
      </w:r>
      <w:r w:rsidR="00967E45">
        <w:t xml:space="preserve">the </w:t>
      </w:r>
      <w:r w:rsidR="00603F47">
        <w:t xml:space="preserve">accuracy of findings is </w:t>
      </w:r>
      <w:r w:rsidR="00312E90">
        <w:t xml:space="preserve">improved due to higher amounts of participation. </w:t>
      </w:r>
      <w:proofErr w:type="gramStart"/>
      <w:r w:rsidR="003C1E74">
        <w:t>Therefore</w:t>
      </w:r>
      <w:proofErr w:type="gramEnd"/>
      <w:r w:rsidR="007756E0">
        <w:t xml:space="preserve"> using this </w:t>
      </w:r>
      <w:r w:rsidR="003C1E74">
        <w:t>method for data collection ensures</w:t>
      </w:r>
      <w:r w:rsidR="007756E0">
        <w:t xml:space="preserve"> anonymity </w:t>
      </w:r>
      <w:proofErr w:type="gramStart"/>
      <w:r w:rsidR="007756E0">
        <w:t>and also</w:t>
      </w:r>
      <w:proofErr w:type="gramEnd"/>
      <w:r w:rsidR="003C1E74">
        <w:t xml:space="preserve"> a methodological approach to interpretation and contextualisation of findings. </w:t>
      </w:r>
    </w:p>
    <w:p w14:paraId="7469B9EA" w14:textId="55164462" w:rsidR="00AA377C" w:rsidRDefault="00BA2D93">
      <w:r>
        <w:t xml:space="preserve">The intended number of participants for the research questionnaire was 30 participants, as highlighted in the research proposal sheet. However, </w:t>
      </w:r>
      <w:r w:rsidR="0089105D" w:rsidRPr="005C37CD">
        <w:t>15</w:t>
      </w:r>
      <w:r w:rsidR="00D93389" w:rsidRPr="005C37CD">
        <w:t>0</w:t>
      </w:r>
      <w:r w:rsidR="0089105D" w:rsidRPr="005C37CD">
        <w:t xml:space="preserve"> </w:t>
      </w:r>
      <w:r w:rsidR="00F47C83" w:rsidRPr="005C37CD">
        <w:t>responses</w:t>
      </w:r>
      <w:r w:rsidR="0089105D">
        <w:t xml:space="preserve"> from participants were collected, which suggests that the </w:t>
      </w:r>
      <w:r w:rsidR="00F47C83">
        <w:t>well-considered</w:t>
      </w:r>
      <w:r w:rsidR="0089105D">
        <w:t xml:space="preserve"> means for data collection were beneficial as it </w:t>
      </w:r>
      <w:r w:rsidR="00F47C83">
        <w:t>led</w:t>
      </w:r>
      <w:r w:rsidR="0089105D">
        <w:t xml:space="preserve"> to much higher rates of participation than </w:t>
      </w:r>
      <w:r w:rsidR="00F47C83">
        <w:t>originally considered.</w:t>
      </w:r>
    </w:p>
    <w:p w14:paraId="407D60E0" w14:textId="681D4698" w:rsidR="003C1E74" w:rsidRDefault="003C1E74" w:rsidP="003C1E74">
      <w:r>
        <w:t>Ethical considerations</w:t>
      </w:r>
    </w:p>
    <w:p w14:paraId="5B47CDCE" w14:textId="2394A746" w:rsidR="003C1E74" w:rsidRDefault="003C1E74" w:rsidP="003C1E74">
      <w:r>
        <w:t>This research project has strictly adhered to the ethical research guidelines which were published by The British Educational Association (</w:t>
      </w:r>
      <w:r w:rsidRPr="009E4D57">
        <w:t>BERA, 2011).</w:t>
      </w:r>
      <w:r>
        <w:t xml:space="preserve"> Prior to collecting any data, an ethics form was completed</w:t>
      </w:r>
      <w:r w:rsidR="00A60184">
        <w:t>,</w:t>
      </w:r>
      <w:r>
        <w:t xml:space="preserve"> giving in-depth details of the research methods</w:t>
      </w:r>
      <w:r w:rsidR="00A60184">
        <w:t xml:space="preserve"> intended. </w:t>
      </w:r>
      <w:r w:rsidR="00A60184" w:rsidRPr="009E4D57">
        <w:t xml:space="preserve">Fleming and </w:t>
      </w:r>
      <w:proofErr w:type="spellStart"/>
      <w:r w:rsidR="00A60184" w:rsidRPr="009E4D57">
        <w:t>Zegwaard</w:t>
      </w:r>
      <w:proofErr w:type="spellEnd"/>
      <w:r w:rsidR="00A60184" w:rsidRPr="009E4D57">
        <w:t xml:space="preserve"> (2018</w:t>
      </w:r>
      <w:r w:rsidR="00A60184">
        <w:t xml:space="preserve">) explain that it is essential to have ethical approval for before commencing any research. The completed ethics form was then </w:t>
      </w:r>
      <w:r>
        <w:t xml:space="preserve">submitted and approved </w:t>
      </w:r>
      <w:r w:rsidR="00A60184">
        <w:t xml:space="preserve">of by University Trinity Saint David. A copy of the approved ethics form can be found in the appendices.  </w:t>
      </w:r>
    </w:p>
    <w:p w14:paraId="1753D40F" w14:textId="570EA088" w:rsidR="003C1E74" w:rsidRDefault="003C1E74" w:rsidP="003C1E74">
      <w:r>
        <w:t>Informed consent</w:t>
      </w:r>
    </w:p>
    <w:p w14:paraId="6F3F6F71" w14:textId="5790DC2A" w:rsidR="001C3C8D" w:rsidRDefault="00391756" w:rsidP="003C1E74">
      <w:r>
        <w:t>Dens</w:t>
      </w:r>
      <w:r w:rsidR="007B3608">
        <w:t xml:space="preserve">combe (2010) </w:t>
      </w:r>
      <w:r w:rsidR="00B249A0">
        <w:t xml:space="preserve">highlighted the importance of </w:t>
      </w:r>
      <w:r w:rsidR="00C51BB8">
        <w:t>participants</w:t>
      </w:r>
      <w:r w:rsidR="00B249A0">
        <w:t xml:space="preserve"> having informed consent</w:t>
      </w:r>
      <w:r w:rsidR="006E1B04">
        <w:t xml:space="preserve">, noting the importance of </w:t>
      </w:r>
      <w:r w:rsidR="00B6374D">
        <w:t xml:space="preserve">explaining the rights </w:t>
      </w:r>
      <w:r w:rsidR="00C51BB8">
        <w:t xml:space="preserve">which they have and </w:t>
      </w:r>
      <w:r w:rsidR="00472D6D">
        <w:t xml:space="preserve">providing them with relevant information regarding the research and data collection </w:t>
      </w:r>
      <w:r w:rsidR="003339D9">
        <w:t xml:space="preserve">prior to them taking part. </w:t>
      </w:r>
      <w:r w:rsidR="00631853">
        <w:t xml:space="preserve">All participants were </w:t>
      </w:r>
      <w:r w:rsidR="00BD6E4F">
        <w:t>informed of this information via The Beat secure</w:t>
      </w:r>
      <w:r w:rsidR="003346E2">
        <w:t>, internal webpage</w:t>
      </w:r>
      <w:r w:rsidR="007A6302">
        <w:t>.</w:t>
      </w:r>
    </w:p>
    <w:p w14:paraId="06463CAA" w14:textId="77777777" w:rsidR="009E4D57" w:rsidRDefault="009E4D57" w:rsidP="003C1E74"/>
    <w:p w14:paraId="2EDF5B4A" w14:textId="77777777" w:rsidR="009E4D57" w:rsidRDefault="009E4D57" w:rsidP="003C1E74"/>
    <w:p w14:paraId="2558ACA1" w14:textId="57B5695C" w:rsidR="003C1E74" w:rsidRDefault="003C1E74" w:rsidP="003C1E74">
      <w:r>
        <w:lastRenderedPageBreak/>
        <w:t xml:space="preserve">Withdrawal rights </w:t>
      </w:r>
    </w:p>
    <w:p w14:paraId="0A8BA848" w14:textId="3E64A08C" w:rsidR="003C1E74" w:rsidRDefault="007A6302" w:rsidP="003C1E74">
      <w:r>
        <w:t xml:space="preserve">Participants were also informed of their withdrawal rights </w:t>
      </w:r>
      <w:r w:rsidR="006E0DD1">
        <w:t xml:space="preserve">as per guidelines shared by BERA (2011). </w:t>
      </w:r>
      <w:r w:rsidR="00D34938">
        <w:t xml:space="preserve">It is a </w:t>
      </w:r>
      <w:proofErr w:type="gramStart"/>
      <w:r w:rsidR="00D34938">
        <w:t>participants</w:t>
      </w:r>
      <w:proofErr w:type="gramEnd"/>
      <w:r w:rsidR="00D34938">
        <w:t xml:space="preserve"> right to be able to withdraw from any research project, at any time and without the need to give a reason why (Fleming and </w:t>
      </w:r>
      <w:proofErr w:type="spellStart"/>
      <w:r w:rsidR="00D34938">
        <w:t>Zegwaard</w:t>
      </w:r>
      <w:proofErr w:type="spellEnd"/>
      <w:r w:rsidR="00D34938">
        <w:t xml:space="preserve">, 2018). </w:t>
      </w:r>
      <w:r w:rsidR="00AC60F2">
        <w:t>Part</w:t>
      </w:r>
      <w:r w:rsidR="00370477">
        <w:t>icipants were informed prior to conducting the questionnaire that they may withdraw at any time by not submitting their answers for data collection. This ensured that their answers would not be able to be collected for analysis.</w:t>
      </w:r>
    </w:p>
    <w:p w14:paraId="2CFB2638" w14:textId="29EACBB9" w:rsidR="003C1E74" w:rsidRDefault="003C1E74" w:rsidP="003C1E74">
      <w:r>
        <w:t xml:space="preserve">Anonymity and confidentiality </w:t>
      </w:r>
    </w:p>
    <w:p w14:paraId="2D0E3E64" w14:textId="77777777" w:rsidR="003D017C" w:rsidRDefault="003D017C" w:rsidP="003D017C">
      <w:r>
        <w:t>Participants were clearly informed that their responses would remain strictly confidential and anonymous. This assurance was essential in fostering honest participation, as anonymity has been shown to encourage more candid responses (Denscombe, 2010). To further safeguard participant privacy, the questionnaire was distributed via a secure online platform accessible exclusively to police personnel. This measure ensured that only the intended target group could access and complete the survey, thereby maintaining the integrity and confidentiality of the data collected.</w:t>
      </w:r>
    </w:p>
    <w:p w14:paraId="247A90E9" w14:textId="1CC17F6C" w:rsidR="003D017C" w:rsidRDefault="003D017C" w:rsidP="00175BC6">
      <w:r>
        <w:t>Additionally, participants were given the option to refrain from answering any question by selecting “prefer not to say,” reinforcing their autonomy throughout the process. The design of the questionnaire itself avoided the collection of identifiable information, thereby supporting participant anonymity. Access to the raw data was restricted solely to the researcher, who is responsible for ensuring that all data will be securely destroyed upon completion of the analysis. Copies of the questionnaire and the approved ethics form are included in the appendices for reference.</w:t>
      </w:r>
    </w:p>
    <w:p w14:paraId="1545DBD4" w14:textId="056F9382" w:rsidR="00175BC6" w:rsidRPr="00175BC6" w:rsidRDefault="00175BC6" w:rsidP="00175BC6">
      <w:r w:rsidRPr="00175BC6">
        <w:t>In summary, the methodology adopted for this research has been carefully designed to ensure the collection of reliable, relevant, and ethically sound data.</w:t>
      </w:r>
      <w:r w:rsidR="00B03D5A">
        <w:t xml:space="preserve"> Additionally, it will ensure that data collected will be kept highly confidential </w:t>
      </w:r>
      <w:r w:rsidR="00D0764A">
        <w:t xml:space="preserve">and anonymous to protect Officers’ identities. </w:t>
      </w:r>
      <w:r w:rsidRPr="00175BC6">
        <w:t>While initial consideration was given to qualitative interviews with Police Constables, practical limitations—including ethical concerns, time constraints, and organisational barriers—necessitated a shift towards a more feasible and scalable quantitative approach. By utilising structured data collection tools, this study aims to capture a broad spectrum of perspectives from both sworn officers and civilian police staff. This methodological framework not only supports the research objectives but also enhances the validity and generalisability of the findings. Ultimately, the chosen approach provides a robust foundation for analysing mental health trends within policing and for generating informed, evidence-based recommendations.</w:t>
      </w:r>
    </w:p>
    <w:p w14:paraId="7B387973" w14:textId="63626A12" w:rsidR="0038574F" w:rsidRDefault="0038574F" w:rsidP="003C1E74"/>
    <w:p w14:paraId="075DB667" w14:textId="77777777" w:rsidR="0038574F" w:rsidRDefault="0038574F" w:rsidP="003C1E74"/>
    <w:p w14:paraId="6334850F" w14:textId="77777777" w:rsidR="0038574F" w:rsidRDefault="0038574F" w:rsidP="003C1E74"/>
    <w:p w14:paraId="176614A1" w14:textId="77777777" w:rsidR="0038574F" w:rsidRDefault="0038574F" w:rsidP="003C1E74"/>
    <w:p w14:paraId="1A10E9FB" w14:textId="77777777" w:rsidR="0038574F" w:rsidRDefault="0038574F" w:rsidP="003C1E74"/>
    <w:p w14:paraId="1BF0E632" w14:textId="5E56D358" w:rsidR="0038574F" w:rsidRDefault="0038574F" w:rsidP="003C1E74">
      <w:r>
        <w:t>Reference list:</w:t>
      </w:r>
    </w:p>
    <w:p w14:paraId="6FAA3C64" w14:textId="77777777" w:rsidR="005E006D" w:rsidRDefault="005E006D" w:rsidP="00D12CD0">
      <w:pPr>
        <w:ind w:left="360"/>
      </w:pPr>
      <w:r>
        <w:t>British Educational Research Association (BERA) (2011)</w:t>
      </w:r>
      <w:r>
        <w:t>.</w:t>
      </w:r>
      <w:r>
        <w:t xml:space="preserve"> Ethical Guidelines for Educational Research. London: BERA. Available at: https://www.bera.ac.uk/publication/bera-ethical-guidelines-for-educational-research-2011 (Accessed: 31 May 2025).</w:t>
      </w:r>
    </w:p>
    <w:p w14:paraId="70DBCE5F" w14:textId="77777777" w:rsidR="005E006D" w:rsidRDefault="005E006D" w:rsidP="00D12CD0">
      <w:pPr>
        <w:ind w:left="360"/>
      </w:pPr>
      <w:r>
        <w:t xml:space="preserve">Corrigan, P.W. (2004) How stigma interferes with mental health care. American Psychologist, 59(7), pp. 614–625. [Accessed via APA </w:t>
      </w:r>
      <w:proofErr w:type="spellStart"/>
      <w:r>
        <w:t>PsycNet</w:t>
      </w:r>
      <w:proofErr w:type="spellEnd"/>
      <w:r>
        <w:t>].</w:t>
      </w:r>
    </w:p>
    <w:p w14:paraId="3B891111" w14:textId="77777777" w:rsidR="005E006D" w:rsidRDefault="005E006D" w:rsidP="00D12CD0">
      <w:pPr>
        <w:ind w:left="360"/>
      </w:pPr>
      <w:r>
        <w:t>Denscombe, M. (2010)</w:t>
      </w:r>
      <w:r>
        <w:t>.</w:t>
      </w:r>
      <w:r>
        <w:t xml:space="preserve"> The Good Research Guide for Small-Scale Social Research Projects. 4th ed. Buckingham: Open University Press.</w:t>
      </w:r>
    </w:p>
    <w:p w14:paraId="14608B13" w14:textId="77777777" w:rsidR="005E006D" w:rsidRDefault="005E006D" w:rsidP="00D12CD0">
      <w:pPr>
        <w:ind w:left="360"/>
      </w:pPr>
      <w:r>
        <w:t xml:space="preserve">Drew, J.M. &amp; Martin, S. (2021) A national study of police mental health in the USA: Stigma, mental health and help-seeking </w:t>
      </w:r>
      <w:proofErr w:type="spellStart"/>
      <w:r>
        <w:t>behaviors</w:t>
      </w:r>
      <w:proofErr w:type="spellEnd"/>
      <w:r>
        <w:t>. Journal of Police and Criminal Psychology, 36, pp. 295–306. Available at: https://link.springer.com/article/10.1007/s11896-020-09424-9 [Accessed 31 May 2025].</w:t>
      </w:r>
    </w:p>
    <w:p w14:paraId="56C41FD5" w14:textId="77777777" w:rsidR="005E006D" w:rsidRDefault="005E006D" w:rsidP="00D12CD0">
      <w:pPr>
        <w:ind w:left="360"/>
      </w:pPr>
      <w:r>
        <w:t xml:space="preserve">Fleming, J. and </w:t>
      </w:r>
      <w:proofErr w:type="spellStart"/>
      <w:r>
        <w:t>Zegwaard</w:t>
      </w:r>
      <w:proofErr w:type="spellEnd"/>
      <w:r>
        <w:t>, K.E. (2018)</w:t>
      </w:r>
      <w:r>
        <w:t>.</w:t>
      </w:r>
      <w:r>
        <w:t xml:space="preserve"> Methodologies, methods and ethical considerations for conducting research in work-integrated learning. International Journal of Work-Integrated Learning, Special Issue, 19, pp. 205–213. Available at: https://eric.ed.gov/?id=EJ1196755 (Accessed: 31 May 2025).</w:t>
      </w:r>
    </w:p>
    <w:p w14:paraId="3D06169B" w14:textId="77777777" w:rsidR="005E006D" w:rsidRDefault="005E006D" w:rsidP="00D12CD0">
      <w:pPr>
        <w:ind w:left="360"/>
      </w:pPr>
      <w:r>
        <w:t xml:space="preserve">Haugen, P.T., McCrillis, A.M., Smid, G.E. &amp; </w:t>
      </w:r>
      <w:proofErr w:type="spellStart"/>
      <w:r>
        <w:t>Nijdam</w:t>
      </w:r>
      <w:proofErr w:type="spellEnd"/>
      <w:r>
        <w:t>, M.J. (2017) Mental health stigma and barriers to mental health care for first responders: A systematic review and meta-analysis. Journal of Psychiatric Research, 94, pp. 218–229. [Accessed via Springer].</w:t>
      </w:r>
    </w:p>
    <w:p w14:paraId="2D9E0530" w14:textId="77777777" w:rsidR="005E006D" w:rsidRDefault="005E006D" w:rsidP="00D12CD0">
      <w:pPr>
        <w:ind w:left="360"/>
      </w:pPr>
      <w:r>
        <w:t>Milne, S.J. (2021) Understanding mental health stigma in policing: A qualitative exploration of officers’ experiences. Policing: A Journal of Policy and Practice. [Online ahead of print]. [Accessed via Oxford Academic].</w:t>
      </w:r>
    </w:p>
    <w:sectPr w:rsidR="005E00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D3B5B"/>
    <w:multiLevelType w:val="hybridMultilevel"/>
    <w:tmpl w:val="76088C14"/>
    <w:lvl w:ilvl="0" w:tplc="C828195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F7EB8"/>
    <w:multiLevelType w:val="hybridMultilevel"/>
    <w:tmpl w:val="C40A3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714A61"/>
    <w:multiLevelType w:val="hybridMultilevel"/>
    <w:tmpl w:val="448E7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4663977">
    <w:abstractNumId w:val="0"/>
  </w:num>
  <w:num w:numId="2" w16cid:durableId="1348099990">
    <w:abstractNumId w:val="2"/>
  </w:num>
  <w:num w:numId="3" w16cid:durableId="15505314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77C"/>
    <w:rsid w:val="00031E7E"/>
    <w:rsid w:val="00102AA7"/>
    <w:rsid w:val="00127E39"/>
    <w:rsid w:val="00175BC6"/>
    <w:rsid w:val="001C3C8D"/>
    <w:rsid w:val="001D4BA7"/>
    <w:rsid w:val="001F0CE1"/>
    <w:rsid w:val="00220CA3"/>
    <w:rsid w:val="00276D20"/>
    <w:rsid w:val="00312E90"/>
    <w:rsid w:val="003319D7"/>
    <w:rsid w:val="003339D9"/>
    <w:rsid w:val="003346E2"/>
    <w:rsid w:val="00370477"/>
    <w:rsid w:val="00384BC2"/>
    <w:rsid w:val="0038543F"/>
    <w:rsid w:val="0038574F"/>
    <w:rsid w:val="003900B6"/>
    <w:rsid w:val="00391756"/>
    <w:rsid w:val="003A32A1"/>
    <w:rsid w:val="003B3FE6"/>
    <w:rsid w:val="003C1E74"/>
    <w:rsid w:val="003C24E9"/>
    <w:rsid w:val="003D017C"/>
    <w:rsid w:val="003D0630"/>
    <w:rsid w:val="003D4A49"/>
    <w:rsid w:val="00421BB0"/>
    <w:rsid w:val="00472D6D"/>
    <w:rsid w:val="004928A7"/>
    <w:rsid w:val="004B5B68"/>
    <w:rsid w:val="00535ADC"/>
    <w:rsid w:val="0057153A"/>
    <w:rsid w:val="005A6E0F"/>
    <w:rsid w:val="005A7758"/>
    <w:rsid w:val="005C37CD"/>
    <w:rsid w:val="005E006D"/>
    <w:rsid w:val="00603F47"/>
    <w:rsid w:val="006066F1"/>
    <w:rsid w:val="00631853"/>
    <w:rsid w:val="006E0DD1"/>
    <w:rsid w:val="006E1B04"/>
    <w:rsid w:val="00715AC3"/>
    <w:rsid w:val="00763DDF"/>
    <w:rsid w:val="00771ECB"/>
    <w:rsid w:val="007756E0"/>
    <w:rsid w:val="00786E2D"/>
    <w:rsid w:val="007A6302"/>
    <w:rsid w:val="007B3608"/>
    <w:rsid w:val="007D56F8"/>
    <w:rsid w:val="007E3668"/>
    <w:rsid w:val="007F1F5E"/>
    <w:rsid w:val="00836D74"/>
    <w:rsid w:val="008734C5"/>
    <w:rsid w:val="0089105D"/>
    <w:rsid w:val="0092634E"/>
    <w:rsid w:val="00940B52"/>
    <w:rsid w:val="00967E45"/>
    <w:rsid w:val="00986C43"/>
    <w:rsid w:val="009A3B64"/>
    <w:rsid w:val="009B362E"/>
    <w:rsid w:val="009B5510"/>
    <w:rsid w:val="009E4D57"/>
    <w:rsid w:val="00A60184"/>
    <w:rsid w:val="00A950C0"/>
    <w:rsid w:val="00A960EF"/>
    <w:rsid w:val="00AA377C"/>
    <w:rsid w:val="00AB3BD7"/>
    <w:rsid w:val="00AC60F2"/>
    <w:rsid w:val="00AE7276"/>
    <w:rsid w:val="00B03D5A"/>
    <w:rsid w:val="00B249A0"/>
    <w:rsid w:val="00B30B0E"/>
    <w:rsid w:val="00B60B1E"/>
    <w:rsid w:val="00B6374D"/>
    <w:rsid w:val="00B75F55"/>
    <w:rsid w:val="00B91F7A"/>
    <w:rsid w:val="00BA2D93"/>
    <w:rsid w:val="00BB7009"/>
    <w:rsid w:val="00BD6E4F"/>
    <w:rsid w:val="00C2164F"/>
    <w:rsid w:val="00C43D6C"/>
    <w:rsid w:val="00C51BB8"/>
    <w:rsid w:val="00C57422"/>
    <w:rsid w:val="00C720D0"/>
    <w:rsid w:val="00C807BF"/>
    <w:rsid w:val="00C85222"/>
    <w:rsid w:val="00D0764A"/>
    <w:rsid w:val="00D12CD0"/>
    <w:rsid w:val="00D34938"/>
    <w:rsid w:val="00D62A95"/>
    <w:rsid w:val="00D93389"/>
    <w:rsid w:val="00DA5224"/>
    <w:rsid w:val="00E0523B"/>
    <w:rsid w:val="00EE48E1"/>
    <w:rsid w:val="00EF012E"/>
    <w:rsid w:val="00F45F6D"/>
    <w:rsid w:val="00F47C83"/>
    <w:rsid w:val="00F7457D"/>
    <w:rsid w:val="00F90DA3"/>
    <w:rsid w:val="00FA0230"/>
    <w:rsid w:val="00FA6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85341"/>
  <w15:chartTrackingRefBased/>
  <w15:docId w15:val="{AB00143D-0DBC-46E0-96AB-68EE843B2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7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37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37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37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37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37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37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37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37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7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37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37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37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37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37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37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37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377C"/>
    <w:rPr>
      <w:rFonts w:eastAsiaTheme="majorEastAsia" w:cstheme="majorBidi"/>
      <w:color w:val="272727" w:themeColor="text1" w:themeTint="D8"/>
    </w:rPr>
  </w:style>
  <w:style w:type="paragraph" w:styleId="Title">
    <w:name w:val="Title"/>
    <w:basedOn w:val="Normal"/>
    <w:next w:val="Normal"/>
    <w:link w:val="TitleChar"/>
    <w:uiPriority w:val="10"/>
    <w:qFormat/>
    <w:rsid w:val="00AA37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37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37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37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377C"/>
    <w:pPr>
      <w:spacing w:before="160"/>
      <w:jc w:val="center"/>
    </w:pPr>
    <w:rPr>
      <w:i/>
      <w:iCs/>
      <w:color w:val="404040" w:themeColor="text1" w:themeTint="BF"/>
    </w:rPr>
  </w:style>
  <w:style w:type="character" w:customStyle="1" w:styleId="QuoteChar">
    <w:name w:val="Quote Char"/>
    <w:basedOn w:val="DefaultParagraphFont"/>
    <w:link w:val="Quote"/>
    <w:uiPriority w:val="29"/>
    <w:rsid w:val="00AA377C"/>
    <w:rPr>
      <w:i/>
      <w:iCs/>
      <w:color w:val="404040" w:themeColor="text1" w:themeTint="BF"/>
    </w:rPr>
  </w:style>
  <w:style w:type="paragraph" w:styleId="ListParagraph">
    <w:name w:val="List Paragraph"/>
    <w:basedOn w:val="Normal"/>
    <w:uiPriority w:val="34"/>
    <w:qFormat/>
    <w:rsid w:val="00AA377C"/>
    <w:pPr>
      <w:ind w:left="720"/>
      <w:contextualSpacing/>
    </w:pPr>
  </w:style>
  <w:style w:type="character" w:styleId="IntenseEmphasis">
    <w:name w:val="Intense Emphasis"/>
    <w:basedOn w:val="DefaultParagraphFont"/>
    <w:uiPriority w:val="21"/>
    <w:qFormat/>
    <w:rsid w:val="00AA377C"/>
    <w:rPr>
      <w:i/>
      <w:iCs/>
      <w:color w:val="0F4761" w:themeColor="accent1" w:themeShade="BF"/>
    </w:rPr>
  </w:style>
  <w:style w:type="paragraph" w:styleId="IntenseQuote">
    <w:name w:val="Intense Quote"/>
    <w:basedOn w:val="Normal"/>
    <w:next w:val="Normal"/>
    <w:link w:val="IntenseQuoteChar"/>
    <w:uiPriority w:val="30"/>
    <w:qFormat/>
    <w:rsid w:val="00AA37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377C"/>
    <w:rPr>
      <w:i/>
      <w:iCs/>
      <w:color w:val="0F4761" w:themeColor="accent1" w:themeShade="BF"/>
    </w:rPr>
  </w:style>
  <w:style w:type="character" w:styleId="IntenseReference">
    <w:name w:val="Intense Reference"/>
    <w:basedOn w:val="DefaultParagraphFont"/>
    <w:uiPriority w:val="32"/>
    <w:qFormat/>
    <w:rsid w:val="00AA377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9519904">
      <w:bodyDiv w:val="1"/>
      <w:marLeft w:val="0"/>
      <w:marRight w:val="0"/>
      <w:marTop w:val="0"/>
      <w:marBottom w:val="0"/>
      <w:divBdr>
        <w:top w:val="none" w:sz="0" w:space="0" w:color="auto"/>
        <w:left w:val="none" w:sz="0" w:space="0" w:color="auto"/>
        <w:bottom w:val="none" w:sz="0" w:space="0" w:color="auto"/>
        <w:right w:val="none" w:sz="0" w:space="0" w:color="auto"/>
      </w:divBdr>
    </w:div>
    <w:div w:id="992215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178</TotalTime>
  <Pages>4</Pages>
  <Words>1428</Words>
  <Characters>8143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Peake, Joshua</dc:creator>
  <cp:keywords/>
  <dc:description/>
  <cp:lastModifiedBy>Peake, Joshua</cp:lastModifiedBy>
  <cp:revision>93</cp:revision>
  <dcterms:created xsi:type="dcterms:W3CDTF">2025-05-10T19:31:00Z</dcterms:created>
  <dcterms:modified xsi:type="dcterms:W3CDTF">2025-05-31T17:22:00Z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2025-05-10T20:08:07Z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9d6660c9-3cf4-43f1-829c-e0a2da472df5</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