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480" w:lineRule="auto"/>
        <w:jc w:val="center"/>
        <w:rPr>
          <w:rFonts w:cs="Times New Roman"/>
          <w:b/>
          <w:bCs/>
          <w:sz w:val="24"/>
          <w:szCs w:val="24"/>
        </w:rPr>
      </w:pPr>
      <w:bookmarkStart w:id="0" w:name="_Hlk133694312"/>
    </w:p>
    <w:p>
      <w:pPr>
        <w:spacing w:line="480" w:lineRule="auto"/>
        <w:jc w:val="center"/>
        <w:rPr>
          <w:rFonts w:cs="Times New Roman"/>
          <w:b/>
          <w:bCs/>
          <w:sz w:val="24"/>
          <w:szCs w:val="24"/>
        </w:rPr>
      </w:pPr>
    </w:p>
    <w:p>
      <w:pPr>
        <w:spacing w:line="480" w:lineRule="auto"/>
        <w:jc w:val="both"/>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r>
        <w:rPr>
          <w:rFonts w:cs="Times New Roman"/>
          <w:b/>
          <w:bCs/>
          <w:sz w:val="24"/>
          <w:szCs w:val="24"/>
        </w:rPr>
        <w:t>Organisational Change Case Study</w:t>
      </w:r>
    </w:p>
    <w:p>
      <w:pPr>
        <w:spacing w:line="480" w:lineRule="auto"/>
        <w:jc w:val="center"/>
        <w:rPr>
          <w:rFonts w:cs="Times New Roman"/>
          <w:b/>
          <w:bCs/>
          <w:sz w:val="24"/>
          <w:szCs w:val="24"/>
        </w:rPr>
      </w:pPr>
    </w:p>
    <w:p>
      <w:pPr>
        <w:spacing w:line="480" w:lineRule="auto"/>
        <w:jc w:val="center"/>
        <w:rPr>
          <w:rFonts w:cs="Times New Roman"/>
          <w:b/>
          <w:bCs/>
          <w:sz w:val="24"/>
          <w:szCs w:val="24"/>
        </w:rPr>
      </w:pPr>
      <w:r>
        <w:rPr>
          <w:rFonts w:cs="Times New Roman"/>
          <w:b/>
          <w:bCs/>
          <w:sz w:val="24"/>
          <w:szCs w:val="24"/>
        </w:rPr>
        <w:t>Business System Change of the United Nations</w:t>
      </w:r>
    </w:p>
    <w:p>
      <w:pPr>
        <w:spacing w:line="480" w:lineRule="auto"/>
        <w:jc w:val="center"/>
        <w:rPr>
          <w:rFonts w:hint="eastAsia" w:cs="Times New Roman"/>
          <w:b w:val="0"/>
          <w:bCs w:val="0"/>
          <w:sz w:val="24"/>
          <w:szCs w:val="24"/>
          <w:lang w:val="en-US" w:eastAsia="zh-CN"/>
        </w:rPr>
      </w:pPr>
      <w:r>
        <w:rPr>
          <w:rFonts w:hint="eastAsia" w:cs="Times New Roman"/>
          <w:b w:val="0"/>
          <w:bCs w:val="0"/>
          <w:sz w:val="24"/>
          <w:szCs w:val="24"/>
          <w:lang w:val="en-US" w:eastAsia="zh-CN"/>
        </w:rPr>
        <w:t xml:space="preserve">Module: </w:t>
      </w:r>
      <w:r>
        <w:rPr>
          <w:rFonts w:hint="eastAsia" w:cs="Times New Roman"/>
          <w:b w:val="0"/>
          <w:bCs w:val="0"/>
          <w:sz w:val="24"/>
          <w:szCs w:val="24"/>
          <w:lang w:val="en-US" w:eastAsia="zh-CN"/>
        </w:rPr>
        <w:t>Change and Stability Management(BMMB7000)</w:t>
      </w:r>
    </w:p>
    <w:p>
      <w:pPr>
        <w:spacing w:line="480" w:lineRule="auto"/>
        <w:jc w:val="center"/>
        <w:rPr>
          <w:rFonts w:hint="eastAsia" w:cs="Times New Roman"/>
          <w:b w:val="0"/>
          <w:bCs w:val="0"/>
          <w:sz w:val="24"/>
          <w:szCs w:val="24"/>
          <w:lang w:val="en-US" w:eastAsia="zh-CN"/>
        </w:rPr>
      </w:pPr>
      <w:r>
        <w:rPr>
          <w:rFonts w:hint="eastAsia" w:cs="Times New Roman"/>
          <w:b w:val="0"/>
          <w:bCs w:val="0"/>
          <w:sz w:val="24"/>
          <w:szCs w:val="24"/>
          <w:lang w:val="en-US" w:eastAsia="zh-CN"/>
        </w:rPr>
        <w:t>Student Name：</w:t>
      </w:r>
      <w:r>
        <w:rPr>
          <w:rFonts w:hint="eastAsia" w:cs="Times New Roman"/>
          <w:b w:val="0"/>
          <w:bCs w:val="0"/>
          <w:sz w:val="24"/>
          <w:szCs w:val="24"/>
          <w:lang w:val="en-US" w:eastAsia="zh-CN"/>
        </w:rPr>
        <w:t>Guiqing Jin</w:t>
      </w:r>
    </w:p>
    <w:p>
      <w:pPr>
        <w:spacing w:line="480" w:lineRule="auto"/>
        <w:jc w:val="center"/>
        <w:rPr>
          <w:rFonts w:hint="default" w:cs="Times New Roman"/>
          <w:b w:val="0"/>
          <w:bCs w:val="0"/>
          <w:sz w:val="24"/>
          <w:szCs w:val="24"/>
          <w:lang w:val="en-US" w:eastAsia="zh-CN"/>
        </w:rPr>
      </w:pPr>
      <w:r>
        <w:rPr>
          <w:rFonts w:hint="eastAsia" w:cs="Times New Roman"/>
          <w:b w:val="0"/>
          <w:bCs w:val="0"/>
          <w:sz w:val="24"/>
          <w:szCs w:val="24"/>
          <w:lang w:val="en-US" w:eastAsia="zh-CN"/>
        </w:rPr>
        <w:t>Student Number:</w:t>
      </w:r>
      <w:r>
        <w:rPr>
          <w:rFonts w:hint="eastAsia" w:cs="Times New Roman"/>
          <w:b w:val="0"/>
          <w:bCs w:val="0"/>
          <w:sz w:val="24"/>
          <w:szCs w:val="24"/>
          <w:lang w:val="en-US" w:eastAsia="zh-CN"/>
        </w:rPr>
        <w:t xml:space="preserve"> 2215446</w:t>
      </w:r>
    </w:p>
    <w:p>
      <w:pPr>
        <w:spacing w:line="480" w:lineRule="auto"/>
        <w:jc w:val="center"/>
        <w:rPr>
          <w:rFonts w:hint="default" w:cs="Times New Roman"/>
          <w:b w:val="0"/>
          <w:bCs w:val="0"/>
          <w:sz w:val="24"/>
          <w:szCs w:val="24"/>
          <w:lang w:val="en-US" w:eastAsia="zh-CN"/>
        </w:rPr>
      </w:pPr>
      <w:r>
        <w:rPr>
          <w:rFonts w:hint="eastAsia" w:cs="Times New Roman"/>
          <w:b w:val="0"/>
          <w:bCs w:val="0"/>
          <w:sz w:val="24"/>
          <w:szCs w:val="24"/>
          <w:lang w:val="en-US" w:eastAsia="zh-CN"/>
        </w:rPr>
        <w:t xml:space="preserve">Lecturer: </w:t>
      </w:r>
      <w:r>
        <w:rPr>
          <w:rFonts w:hint="eastAsia" w:cs="Times New Roman"/>
          <w:b w:val="0"/>
          <w:bCs w:val="0"/>
          <w:sz w:val="24"/>
          <w:szCs w:val="24"/>
          <w:lang w:val="en-US" w:eastAsia="zh-CN"/>
        </w:rPr>
        <w:t>Marie Pitson</w:t>
      </w:r>
    </w:p>
    <w:p>
      <w:pPr>
        <w:spacing w:line="480" w:lineRule="auto"/>
        <w:jc w:val="center"/>
        <w:rPr>
          <w:rFonts w:cs="Times New Roman"/>
          <w:b w:val="0"/>
          <w:bCs w:val="0"/>
          <w:sz w:val="24"/>
          <w:szCs w:val="24"/>
        </w:rPr>
      </w:pPr>
      <w:r>
        <w:rPr>
          <w:rFonts w:hint="eastAsia" w:cs="Times New Roman"/>
          <w:b w:val="0"/>
          <w:bCs w:val="0"/>
          <w:sz w:val="24"/>
          <w:szCs w:val="24"/>
        </w:rPr>
        <w:t>W</w:t>
      </w:r>
      <w:r>
        <w:rPr>
          <w:rFonts w:cs="Times New Roman"/>
          <w:b w:val="0"/>
          <w:bCs w:val="0"/>
          <w:sz w:val="24"/>
          <w:szCs w:val="24"/>
        </w:rPr>
        <w:t xml:space="preserve">ord Count: </w:t>
      </w:r>
      <w:r>
        <w:rPr>
          <w:rFonts w:cs="Times New Roman"/>
          <w:b w:val="0"/>
          <w:bCs w:val="0"/>
          <w:sz w:val="24"/>
          <w:szCs w:val="24"/>
        </w:rPr>
        <w:t>3,574</w:t>
      </w:r>
      <w:bookmarkStart w:id="26" w:name="_GoBack"/>
      <w:bookmarkEnd w:id="26"/>
    </w:p>
    <w:p>
      <w:pPr>
        <w:spacing w:line="480" w:lineRule="auto"/>
        <w:jc w:val="center"/>
        <w:rPr>
          <w:rFonts w:cs="Times New Roman"/>
          <w:b w:val="0"/>
          <w:bCs w:val="0"/>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center"/>
        <w:rPr>
          <w:rFonts w:cs="Times New Roman"/>
          <w:b/>
          <w:bCs/>
          <w:sz w:val="24"/>
          <w:szCs w:val="24"/>
        </w:rPr>
      </w:pPr>
    </w:p>
    <w:p>
      <w:pPr>
        <w:spacing w:line="480" w:lineRule="auto"/>
        <w:jc w:val="both"/>
        <w:rPr>
          <w:rFonts w:cs="Times New Roman"/>
          <w:b/>
          <w:bCs/>
          <w:sz w:val="24"/>
          <w:szCs w:val="24"/>
        </w:rPr>
      </w:pPr>
    </w:p>
    <w:p>
      <w:pPr>
        <w:pStyle w:val="3"/>
        <w:spacing w:before="0" w:after="0" w:line="480" w:lineRule="auto"/>
        <w:jc w:val="center"/>
        <w:rPr>
          <w:rFonts w:ascii="Times New Roman" w:hAnsi="Times New Roman" w:eastAsia="宋体" w:cs="Times New Roman"/>
          <w:sz w:val="24"/>
          <w:szCs w:val="24"/>
        </w:rPr>
      </w:pPr>
      <w:bookmarkStart w:id="1" w:name="_Toc134034343"/>
      <w:r>
        <w:rPr>
          <w:rFonts w:ascii="Times New Roman" w:hAnsi="Times New Roman" w:eastAsia="宋体" w:cs="Times New Roman"/>
          <w:sz w:val="24"/>
          <w:szCs w:val="24"/>
        </w:rPr>
        <w:t>Executive Summary</w:t>
      </w:r>
      <w:bookmarkEnd w:id="1"/>
    </w:p>
    <w:p>
      <w:pPr>
        <w:spacing w:line="480" w:lineRule="auto"/>
        <w:rPr>
          <w:rFonts w:cs="Times New Roman"/>
          <w:sz w:val="24"/>
          <w:szCs w:val="24"/>
        </w:rPr>
      </w:pPr>
      <w:r>
        <w:rPr>
          <w:rFonts w:cs="Times New Roman"/>
          <w:sz w:val="24"/>
          <w:szCs w:val="24"/>
        </w:rPr>
        <w:t>In recent years, the United Nations (UN) has launched a business system change plan, which focuses on adopting a new business system “Umoja” to replace the original IMIS system, thereby standardising and simplifying the UN’s business process and improving its operational efficiency and management level. The purpose of this report is to conduct in-depth analysis and evaluation of the UN’s business system change by using relevant change management models and theories.</w:t>
      </w:r>
      <w:bookmarkEnd w:id="0"/>
      <w:r>
        <w:rPr>
          <w:rFonts w:cs="Times New Roman"/>
          <w:sz w:val="24"/>
          <w:szCs w:val="24"/>
        </w:rPr>
        <w:t xml:space="preserve"> Through relevant analysis and evaluation, this report obtained some main findings. First of all, the UN’s business system change was a planned change, an incremental change, an operational change, and an organisation-level change. Secondly, the UN management faced some driving forces and restraining forces in the process of implementing this change, and driving forces scored higher than restraining forces. This promoted the smooth implementation of this change. Thirdly, this change involved four categories of stakeholders that played different roles in the change, and the UN management took different strategies to ensure the success of this change. Fourthly, the change process and effectiveness of this change was assessed. Generally, the change was carried out in a gradual manner and had good effectiveness. Finally, some recommendations were also made for the UN to better implement business change in the future.</w:t>
      </w:r>
    </w:p>
    <w:p>
      <w:pPr>
        <w:spacing w:line="480" w:lineRule="auto"/>
        <w:rPr>
          <w:rFonts w:cs="Times New Roman"/>
          <w:sz w:val="24"/>
          <w:szCs w:val="24"/>
        </w:rPr>
      </w:pPr>
    </w:p>
    <w:p>
      <w:pPr>
        <w:spacing w:line="480" w:lineRule="auto"/>
        <w:rPr>
          <w:rFonts w:cs="Times New Roman"/>
          <w:sz w:val="24"/>
          <w:szCs w:val="24"/>
        </w:rPr>
      </w:pPr>
    </w:p>
    <w:p>
      <w:pPr>
        <w:spacing w:line="480" w:lineRule="auto"/>
        <w:rPr>
          <w:rFonts w:cs="Times New Roman"/>
          <w:sz w:val="24"/>
          <w:szCs w:val="24"/>
        </w:rPr>
      </w:pPr>
    </w:p>
    <w:p>
      <w:pPr>
        <w:spacing w:line="480" w:lineRule="auto"/>
        <w:rPr>
          <w:rFonts w:cs="Times New Roman"/>
          <w:sz w:val="24"/>
          <w:szCs w:val="24"/>
        </w:rPr>
      </w:pPr>
    </w:p>
    <w:sdt>
      <w:sdtPr>
        <w:rPr>
          <w:rFonts w:ascii="Times New Roman" w:hAnsi="Times New Roman" w:eastAsia="宋体" w:cstheme="minorBidi"/>
          <w:color w:val="auto"/>
          <w:kern w:val="2"/>
          <w:sz w:val="21"/>
          <w:szCs w:val="22"/>
          <w:lang w:val="zh-CN"/>
        </w:rPr>
        <w:id w:val="739456034"/>
        <w:docPartObj>
          <w:docPartGallery w:val="Table of Contents"/>
          <w:docPartUnique/>
        </w:docPartObj>
      </w:sdtPr>
      <w:sdtEndPr>
        <w:rPr>
          <w:rFonts w:ascii="Times New Roman" w:hAnsi="Times New Roman" w:eastAsia="宋体" w:cstheme="minorBidi"/>
          <w:b/>
          <w:bCs/>
          <w:color w:val="auto"/>
          <w:kern w:val="2"/>
          <w:sz w:val="24"/>
          <w:szCs w:val="24"/>
          <w:lang w:val="zh-CN"/>
        </w:rPr>
      </w:sdtEndPr>
      <w:sdtContent>
        <w:p>
          <w:pPr>
            <w:pStyle w:val="17"/>
            <w:spacing w:before="0" w:line="480" w:lineRule="auto"/>
            <w:jc w:val="center"/>
            <w:rPr>
              <w:rFonts w:ascii="Times New Roman" w:hAnsi="Times New Roman" w:cs="Times New Roman"/>
              <w:b/>
              <w:bCs/>
              <w:color w:val="auto"/>
              <w:sz w:val="24"/>
              <w:szCs w:val="24"/>
            </w:rPr>
          </w:pPr>
          <w:r>
            <w:rPr>
              <w:rFonts w:ascii="Times New Roman" w:hAnsi="Times New Roman" w:cs="Times New Roman"/>
              <w:b/>
              <w:bCs/>
              <w:color w:val="auto"/>
              <w:sz w:val="24"/>
              <w:szCs w:val="24"/>
              <w:lang w:val="zh-CN"/>
            </w:rPr>
            <w:t>Table of Contents</w:t>
          </w:r>
        </w:p>
        <w:p>
          <w:pPr>
            <w:pStyle w:val="6"/>
            <w:tabs>
              <w:tab w:val="right" w:leader="dot" w:pos="8296"/>
            </w:tabs>
            <w:spacing w:line="360" w:lineRule="auto"/>
            <w:ind w:left="0" w:leftChars="0"/>
            <w:rPr>
              <w:sz w:val="24"/>
              <w:szCs w:val="24"/>
            </w:rPr>
          </w:pPr>
          <w:r>
            <w:rPr>
              <w:sz w:val="24"/>
              <w:szCs w:val="24"/>
            </w:rPr>
            <w:fldChar w:fldCharType="begin"/>
          </w:r>
          <w:r>
            <w:rPr>
              <w:sz w:val="24"/>
              <w:szCs w:val="24"/>
            </w:rPr>
            <w:instrText xml:space="preserve"> TOC \o "1-3" \h \z \u </w:instrText>
          </w:r>
          <w:r>
            <w:rPr>
              <w:sz w:val="24"/>
              <w:szCs w:val="24"/>
            </w:rPr>
            <w:fldChar w:fldCharType="separate"/>
          </w:r>
          <w:r>
            <w:fldChar w:fldCharType="begin"/>
          </w:r>
          <w:r>
            <w:instrText xml:space="preserve"> HYPERLINK \l "_Toc134034343" </w:instrText>
          </w:r>
          <w:r>
            <w:fldChar w:fldCharType="separate"/>
          </w:r>
          <w:r>
            <w:rPr>
              <w:rStyle w:val="10"/>
              <w:rFonts w:cs="Times New Roman"/>
              <w:color w:val="auto"/>
              <w:sz w:val="24"/>
              <w:szCs w:val="24"/>
            </w:rPr>
            <w:t>Executive Summary</w:t>
          </w:r>
          <w:r>
            <w:rPr>
              <w:sz w:val="24"/>
              <w:szCs w:val="24"/>
            </w:rPr>
            <w:tab/>
          </w:r>
          <w:r>
            <w:rPr>
              <w:sz w:val="24"/>
              <w:szCs w:val="24"/>
            </w:rPr>
            <w:fldChar w:fldCharType="begin"/>
          </w:r>
          <w:r>
            <w:rPr>
              <w:sz w:val="24"/>
              <w:szCs w:val="24"/>
            </w:rPr>
            <w:instrText xml:space="preserve"> PAGEREF _Toc134034343 \h </w:instrText>
          </w:r>
          <w:r>
            <w:rPr>
              <w:sz w:val="24"/>
              <w:szCs w:val="24"/>
            </w:rPr>
            <w:fldChar w:fldCharType="separate"/>
          </w:r>
          <w:r>
            <w:rPr>
              <w:sz w:val="24"/>
              <w:szCs w:val="24"/>
            </w:rPr>
            <w:t>2</w:t>
          </w:r>
          <w:r>
            <w:rPr>
              <w:sz w:val="24"/>
              <w:szCs w:val="24"/>
            </w:rPr>
            <w:fldChar w:fldCharType="end"/>
          </w:r>
          <w:r>
            <w:rPr>
              <w:sz w:val="24"/>
              <w:szCs w:val="24"/>
            </w:rPr>
            <w:fldChar w:fldCharType="end"/>
          </w:r>
        </w:p>
        <w:p>
          <w:pPr>
            <w:pStyle w:val="6"/>
            <w:tabs>
              <w:tab w:val="right" w:leader="dot" w:pos="8296"/>
            </w:tabs>
            <w:spacing w:line="360" w:lineRule="auto"/>
            <w:ind w:left="0" w:leftChars="0"/>
            <w:rPr>
              <w:sz w:val="24"/>
              <w:szCs w:val="24"/>
            </w:rPr>
          </w:pPr>
          <w:r>
            <w:fldChar w:fldCharType="begin"/>
          </w:r>
          <w:r>
            <w:instrText xml:space="preserve"> HYPERLINK \l "_Toc134034344" </w:instrText>
          </w:r>
          <w:r>
            <w:fldChar w:fldCharType="separate"/>
          </w:r>
          <w:r>
            <w:rPr>
              <w:rStyle w:val="10"/>
              <w:rFonts w:cs="Times New Roman"/>
              <w:color w:val="auto"/>
              <w:sz w:val="24"/>
              <w:szCs w:val="24"/>
            </w:rPr>
            <w:t>1. Introduction</w:t>
          </w:r>
          <w:r>
            <w:rPr>
              <w:sz w:val="24"/>
              <w:szCs w:val="24"/>
            </w:rPr>
            <w:tab/>
          </w:r>
          <w:r>
            <w:rPr>
              <w:sz w:val="24"/>
              <w:szCs w:val="24"/>
            </w:rPr>
            <w:fldChar w:fldCharType="begin"/>
          </w:r>
          <w:r>
            <w:rPr>
              <w:sz w:val="24"/>
              <w:szCs w:val="24"/>
            </w:rPr>
            <w:instrText xml:space="preserve"> PAGEREF _Toc134034344 \h </w:instrText>
          </w:r>
          <w:r>
            <w:rPr>
              <w:sz w:val="24"/>
              <w:szCs w:val="24"/>
            </w:rPr>
            <w:fldChar w:fldCharType="separate"/>
          </w:r>
          <w:r>
            <w:rPr>
              <w:sz w:val="24"/>
              <w:szCs w:val="24"/>
            </w:rPr>
            <w:t>4</w:t>
          </w:r>
          <w:r>
            <w:rPr>
              <w:sz w:val="24"/>
              <w:szCs w:val="24"/>
            </w:rPr>
            <w:fldChar w:fldCharType="end"/>
          </w:r>
          <w:r>
            <w:rPr>
              <w:sz w:val="24"/>
              <w:szCs w:val="24"/>
            </w:rPr>
            <w:fldChar w:fldCharType="end"/>
          </w:r>
        </w:p>
        <w:p>
          <w:pPr>
            <w:pStyle w:val="6"/>
            <w:tabs>
              <w:tab w:val="right" w:leader="dot" w:pos="8296"/>
            </w:tabs>
            <w:spacing w:line="360" w:lineRule="auto"/>
            <w:ind w:left="0" w:leftChars="0"/>
            <w:rPr>
              <w:sz w:val="24"/>
              <w:szCs w:val="24"/>
            </w:rPr>
          </w:pPr>
          <w:r>
            <w:fldChar w:fldCharType="begin"/>
          </w:r>
          <w:r>
            <w:instrText xml:space="preserve"> HYPERLINK \l "_Toc134034345" </w:instrText>
          </w:r>
          <w:r>
            <w:fldChar w:fldCharType="separate"/>
          </w:r>
          <w:r>
            <w:rPr>
              <w:rStyle w:val="10"/>
              <w:rFonts w:cs="Times New Roman"/>
              <w:color w:val="auto"/>
              <w:sz w:val="24"/>
              <w:szCs w:val="24"/>
            </w:rPr>
            <w:t>2. The UN’s Business System Change</w:t>
          </w:r>
          <w:r>
            <w:rPr>
              <w:sz w:val="24"/>
              <w:szCs w:val="24"/>
            </w:rPr>
            <w:tab/>
          </w:r>
          <w:r>
            <w:rPr>
              <w:sz w:val="24"/>
              <w:szCs w:val="24"/>
            </w:rPr>
            <w:fldChar w:fldCharType="begin"/>
          </w:r>
          <w:r>
            <w:rPr>
              <w:sz w:val="24"/>
              <w:szCs w:val="24"/>
            </w:rPr>
            <w:instrText xml:space="preserve"> PAGEREF _Toc134034345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sz w:val="24"/>
              <w:szCs w:val="24"/>
            </w:rPr>
          </w:pPr>
          <w:r>
            <w:fldChar w:fldCharType="begin"/>
          </w:r>
          <w:r>
            <w:instrText xml:space="preserve"> HYPERLINK \l "_Toc134034346" </w:instrText>
          </w:r>
          <w:r>
            <w:fldChar w:fldCharType="separate"/>
          </w:r>
          <w:r>
            <w:rPr>
              <w:rStyle w:val="10"/>
              <w:rFonts w:cs="Times New Roman"/>
              <w:color w:val="auto"/>
              <w:sz w:val="24"/>
              <w:szCs w:val="24"/>
            </w:rPr>
            <w:t>2.1 Definition of Change Management</w:t>
          </w:r>
          <w:r>
            <w:rPr>
              <w:sz w:val="24"/>
              <w:szCs w:val="24"/>
            </w:rPr>
            <w:tab/>
          </w:r>
          <w:r>
            <w:rPr>
              <w:sz w:val="24"/>
              <w:szCs w:val="24"/>
            </w:rPr>
            <w:fldChar w:fldCharType="begin"/>
          </w:r>
          <w:r>
            <w:rPr>
              <w:sz w:val="24"/>
              <w:szCs w:val="24"/>
            </w:rPr>
            <w:instrText xml:space="preserve"> PAGEREF _Toc134034346 \h </w:instrText>
          </w:r>
          <w:r>
            <w:rPr>
              <w:sz w:val="24"/>
              <w:szCs w:val="24"/>
            </w:rPr>
            <w:fldChar w:fldCharType="separate"/>
          </w:r>
          <w:r>
            <w:rPr>
              <w:sz w:val="24"/>
              <w:szCs w:val="24"/>
            </w:rPr>
            <w:t>5</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sz w:val="24"/>
              <w:szCs w:val="24"/>
            </w:rPr>
          </w:pPr>
          <w:r>
            <w:fldChar w:fldCharType="begin"/>
          </w:r>
          <w:r>
            <w:instrText xml:space="preserve"> HYPERLINK \l "_Toc134034347" </w:instrText>
          </w:r>
          <w:r>
            <w:fldChar w:fldCharType="separate"/>
          </w:r>
          <w:r>
            <w:rPr>
              <w:rStyle w:val="10"/>
              <w:rFonts w:cs="Times New Roman"/>
              <w:color w:val="auto"/>
              <w:sz w:val="24"/>
              <w:szCs w:val="24"/>
            </w:rPr>
            <w:t>2.2 Business profile</w:t>
          </w:r>
          <w:r>
            <w:rPr>
              <w:sz w:val="24"/>
              <w:szCs w:val="24"/>
            </w:rPr>
            <w:tab/>
          </w:r>
          <w:r>
            <w:rPr>
              <w:sz w:val="24"/>
              <w:szCs w:val="24"/>
            </w:rPr>
            <w:fldChar w:fldCharType="begin"/>
          </w:r>
          <w:r>
            <w:rPr>
              <w:sz w:val="24"/>
              <w:szCs w:val="24"/>
            </w:rPr>
            <w:instrText xml:space="preserve"> PAGEREF _Toc134034347 \h </w:instrText>
          </w:r>
          <w:r>
            <w:rPr>
              <w:sz w:val="24"/>
              <w:szCs w:val="24"/>
            </w:rPr>
            <w:fldChar w:fldCharType="separate"/>
          </w:r>
          <w:r>
            <w:rPr>
              <w:sz w:val="24"/>
              <w:szCs w:val="24"/>
            </w:rPr>
            <w:t>6</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sz w:val="24"/>
              <w:szCs w:val="24"/>
            </w:rPr>
          </w:pPr>
          <w:r>
            <w:fldChar w:fldCharType="begin"/>
          </w:r>
          <w:r>
            <w:instrText xml:space="preserve"> HYPERLINK \l "_Toc134034348" </w:instrText>
          </w:r>
          <w:r>
            <w:fldChar w:fldCharType="separate"/>
          </w:r>
          <w:r>
            <w:rPr>
              <w:rStyle w:val="10"/>
              <w:rFonts w:cs="Times New Roman"/>
              <w:color w:val="auto"/>
              <w:sz w:val="24"/>
              <w:szCs w:val="24"/>
            </w:rPr>
            <w:t>2.3 Background Information</w:t>
          </w:r>
          <w:r>
            <w:rPr>
              <w:sz w:val="24"/>
              <w:szCs w:val="24"/>
            </w:rPr>
            <w:tab/>
          </w:r>
          <w:r>
            <w:rPr>
              <w:sz w:val="24"/>
              <w:szCs w:val="24"/>
            </w:rPr>
            <w:fldChar w:fldCharType="begin"/>
          </w:r>
          <w:r>
            <w:rPr>
              <w:sz w:val="24"/>
              <w:szCs w:val="24"/>
            </w:rPr>
            <w:instrText xml:space="preserve"> PAGEREF _Toc134034348 \h </w:instrText>
          </w:r>
          <w:r>
            <w:rPr>
              <w:sz w:val="24"/>
              <w:szCs w:val="24"/>
            </w:rPr>
            <w:fldChar w:fldCharType="separate"/>
          </w:r>
          <w:r>
            <w:rPr>
              <w:sz w:val="24"/>
              <w:szCs w:val="24"/>
            </w:rPr>
            <w:t>7</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sz w:val="24"/>
              <w:szCs w:val="24"/>
            </w:rPr>
          </w:pPr>
          <w:r>
            <w:fldChar w:fldCharType="begin"/>
          </w:r>
          <w:r>
            <w:instrText xml:space="preserve"> HYPERLINK \l "_Toc134034349" </w:instrText>
          </w:r>
          <w:r>
            <w:fldChar w:fldCharType="separate"/>
          </w:r>
          <w:r>
            <w:rPr>
              <w:rStyle w:val="10"/>
              <w:rFonts w:cs="Times New Roman"/>
              <w:color w:val="auto"/>
              <w:sz w:val="24"/>
              <w:szCs w:val="24"/>
            </w:rPr>
            <w:t>2.4 Change Program of UN’s Business System</w:t>
          </w:r>
          <w:r>
            <w:rPr>
              <w:sz w:val="24"/>
              <w:szCs w:val="24"/>
            </w:rPr>
            <w:tab/>
          </w:r>
          <w:r>
            <w:rPr>
              <w:sz w:val="24"/>
              <w:szCs w:val="24"/>
            </w:rPr>
            <w:fldChar w:fldCharType="begin"/>
          </w:r>
          <w:r>
            <w:rPr>
              <w:sz w:val="24"/>
              <w:szCs w:val="24"/>
            </w:rPr>
            <w:instrText xml:space="preserve"> PAGEREF _Toc134034349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"_Toc134034350" </w:instrText>
          </w:r>
          <w:r>
            <w:fldChar w:fldCharType="separate"/>
          </w:r>
          <w:r>
            <w:rPr>
              <w:rStyle w:val="10"/>
              <w:rFonts w:cs="Times New Roman"/>
              <w:color w:val="auto"/>
              <w:sz w:val="24"/>
              <w:szCs w:val="24"/>
            </w:rPr>
            <w:t>2.4.1 Change process</w:t>
          </w:r>
          <w:r>
            <w:rPr>
              <w:sz w:val="24"/>
              <w:szCs w:val="24"/>
            </w:rPr>
            <w:tab/>
          </w:r>
          <w:r>
            <w:rPr>
              <w:sz w:val="24"/>
              <w:szCs w:val="24"/>
            </w:rPr>
            <w:fldChar w:fldCharType="begin"/>
          </w:r>
          <w:r>
            <w:rPr>
              <w:sz w:val="24"/>
              <w:szCs w:val="24"/>
            </w:rPr>
            <w:instrText xml:space="preserve"> PAGEREF _Toc134034350 \h </w:instrText>
          </w:r>
          <w:r>
            <w:rPr>
              <w:sz w:val="24"/>
              <w:szCs w:val="24"/>
            </w:rPr>
            <w:fldChar w:fldCharType="separate"/>
          </w:r>
          <w:r>
            <w:rPr>
              <w:sz w:val="24"/>
              <w:szCs w:val="24"/>
            </w:rPr>
            <w:t>9</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"_Toc134034351" </w:instrText>
          </w:r>
          <w:r>
            <w:fldChar w:fldCharType="separate"/>
          </w:r>
          <w:r>
            <w:rPr>
              <w:rStyle w:val="10"/>
              <w:rFonts w:cs="Times New Roman"/>
              <w:color w:val="auto"/>
              <w:sz w:val="24"/>
              <w:szCs w:val="24"/>
            </w:rPr>
            <w:t>2.4.2 Typology of change</w:t>
          </w:r>
          <w:r>
            <w:rPr>
              <w:sz w:val="24"/>
              <w:szCs w:val="24"/>
            </w:rPr>
            <w:tab/>
          </w:r>
          <w:r>
            <w:rPr>
              <w:sz w:val="24"/>
              <w:szCs w:val="24"/>
            </w:rPr>
            <w:fldChar w:fldCharType="begin"/>
          </w:r>
          <w:r>
            <w:rPr>
              <w:sz w:val="24"/>
              <w:szCs w:val="24"/>
            </w:rPr>
            <w:instrText xml:space="preserve"> PAGEREF _Toc134034351 \h </w:instrText>
          </w:r>
          <w:r>
            <w:rPr>
              <w:sz w:val="24"/>
              <w:szCs w:val="24"/>
            </w:rPr>
            <w:fldChar w:fldCharType="separate"/>
          </w:r>
          <w:r>
            <w:rPr>
              <w:sz w:val="24"/>
              <w:szCs w:val="24"/>
            </w:rPr>
            <w:t>10</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sz w:val="24"/>
              <w:szCs w:val="24"/>
            </w:rPr>
          </w:pPr>
          <w:r>
            <w:fldChar w:fldCharType="begin"/>
          </w:r>
          <w:r>
            <w:instrText xml:space="preserve"> HYPERLINK \l "_Toc134034352" </w:instrText>
          </w:r>
          <w:r>
            <w:fldChar w:fldCharType="separate"/>
          </w:r>
          <w:r>
            <w:rPr>
              <w:rStyle w:val="10"/>
              <w:rFonts w:cs="Times New Roman"/>
              <w:color w:val="auto"/>
              <w:sz w:val="24"/>
              <w:szCs w:val="24"/>
            </w:rPr>
            <w:t>2.5 Kurt Lewin’s Force Field Analysis</w:t>
          </w:r>
          <w:r>
            <w:rPr>
              <w:sz w:val="24"/>
              <w:szCs w:val="24"/>
            </w:rPr>
            <w:tab/>
          </w:r>
          <w:r>
            <w:rPr>
              <w:sz w:val="24"/>
              <w:szCs w:val="24"/>
            </w:rPr>
            <w:fldChar w:fldCharType="begin"/>
          </w:r>
          <w:r>
            <w:rPr>
              <w:sz w:val="24"/>
              <w:szCs w:val="24"/>
            </w:rPr>
            <w:instrText xml:space="preserve"> PAGEREF _Toc134034352 \h </w:instrText>
          </w:r>
          <w:r>
            <w:rPr>
              <w:sz w:val="24"/>
              <w:szCs w:val="24"/>
            </w:rPr>
            <w:fldChar w:fldCharType="separate"/>
          </w:r>
          <w:r>
            <w:rPr>
              <w:sz w:val="24"/>
              <w:szCs w:val="24"/>
            </w:rPr>
            <w:t>12</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"_Toc134034353" </w:instrText>
          </w:r>
          <w:r>
            <w:fldChar w:fldCharType="separate"/>
          </w:r>
          <w:r>
            <w:rPr>
              <w:rStyle w:val="10"/>
              <w:rFonts w:cs="Times New Roman"/>
              <w:color w:val="auto"/>
              <w:sz w:val="24"/>
              <w:szCs w:val="24"/>
            </w:rPr>
            <w:t>2.5.1 Driving forces for change</w:t>
          </w:r>
          <w:r>
            <w:rPr>
              <w:sz w:val="24"/>
              <w:szCs w:val="24"/>
            </w:rPr>
            <w:tab/>
          </w:r>
          <w:r>
            <w:rPr>
              <w:sz w:val="24"/>
              <w:szCs w:val="24"/>
            </w:rPr>
            <w:fldChar w:fldCharType="begin"/>
          </w:r>
          <w:r>
            <w:rPr>
              <w:sz w:val="24"/>
              <w:szCs w:val="24"/>
            </w:rPr>
            <w:instrText xml:space="preserve"> PAGEREF _Toc134034353 \h </w:instrText>
          </w:r>
          <w:r>
            <w:rPr>
              <w:sz w:val="24"/>
              <w:szCs w:val="24"/>
            </w:rPr>
            <w:fldChar w:fldCharType="separate"/>
          </w:r>
          <w:r>
            <w:rPr>
              <w:sz w:val="24"/>
              <w:szCs w:val="24"/>
            </w:rPr>
            <w:t>13</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"_Toc134034354" </w:instrText>
          </w:r>
          <w:r>
            <w:fldChar w:fldCharType="separate"/>
          </w:r>
          <w:r>
            <w:rPr>
              <w:rStyle w:val="10"/>
              <w:rFonts w:cs="Times New Roman"/>
              <w:color w:val="auto"/>
              <w:sz w:val="24"/>
              <w:szCs w:val="24"/>
            </w:rPr>
            <w:t>2.5.2 Restraining forces against change</w:t>
          </w:r>
          <w:r>
            <w:rPr>
              <w:sz w:val="24"/>
              <w:szCs w:val="24"/>
            </w:rPr>
            <w:tab/>
          </w:r>
          <w:r>
            <w:rPr>
              <w:sz w:val="24"/>
              <w:szCs w:val="24"/>
            </w:rPr>
            <w:fldChar w:fldCharType="begin"/>
          </w:r>
          <w:r>
            <w:rPr>
              <w:sz w:val="24"/>
              <w:szCs w:val="24"/>
            </w:rPr>
            <w:instrText xml:space="preserve"> PAGEREF _Toc134034354 \h </w:instrText>
          </w:r>
          <w:r>
            <w:rPr>
              <w:sz w:val="24"/>
              <w:szCs w:val="24"/>
            </w:rPr>
            <w:fldChar w:fldCharType="separate"/>
          </w:r>
          <w:r>
            <w:rPr>
              <w:sz w:val="24"/>
              <w:szCs w:val="24"/>
            </w:rPr>
            <w:t>14</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"_Toc134034355" </w:instrText>
          </w:r>
          <w:r>
            <w:fldChar w:fldCharType="separate"/>
          </w:r>
          <w:r>
            <w:rPr>
              <w:rStyle w:val="10"/>
              <w:rFonts w:cs="Times New Roman"/>
              <w:color w:val="auto"/>
              <w:sz w:val="24"/>
              <w:szCs w:val="24"/>
            </w:rPr>
            <w:t>2.5.3 Solutions</w:t>
          </w:r>
          <w:r>
            <w:rPr>
              <w:sz w:val="24"/>
              <w:szCs w:val="24"/>
            </w:rPr>
            <w:tab/>
          </w:r>
          <w:r>
            <w:rPr>
              <w:sz w:val="24"/>
              <w:szCs w:val="24"/>
            </w:rPr>
            <w:fldChar w:fldCharType="begin"/>
          </w:r>
          <w:r>
            <w:rPr>
              <w:sz w:val="24"/>
              <w:szCs w:val="24"/>
            </w:rPr>
            <w:instrText xml:space="preserve"> PAGEREF _Toc134034355 \h </w:instrText>
          </w:r>
          <w:r>
            <w:rPr>
              <w:sz w:val="24"/>
              <w:szCs w:val="24"/>
            </w:rPr>
            <w:fldChar w:fldCharType="separate"/>
          </w:r>
          <w:r>
            <w:rPr>
              <w:sz w:val="24"/>
              <w:szCs w:val="24"/>
            </w:rPr>
            <w:t>15</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sz w:val="24"/>
              <w:szCs w:val="24"/>
            </w:rPr>
          </w:pPr>
          <w:r>
            <w:fldChar w:fldCharType="begin"/>
          </w:r>
          <w:r>
            <w:instrText xml:space="preserve"> HYPERLINK \l "_Toc134034356" </w:instrText>
          </w:r>
          <w:r>
            <w:fldChar w:fldCharType="separate"/>
          </w:r>
          <w:r>
            <w:rPr>
              <w:rStyle w:val="10"/>
              <w:rFonts w:cs="Times New Roman"/>
              <w:color w:val="auto"/>
              <w:sz w:val="24"/>
              <w:szCs w:val="24"/>
            </w:rPr>
            <w:t>2.6 Stakeholder Analysis</w:t>
          </w:r>
          <w:r>
            <w:rPr>
              <w:sz w:val="24"/>
              <w:szCs w:val="24"/>
            </w:rPr>
            <w:tab/>
          </w:r>
          <w:r>
            <w:rPr>
              <w:sz w:val="24"/>
              <w:szCs w:val="24"/>
            </w:rPr>
            <w:fldChar w:fldCharType="begin"/>
          </w:r>
          <w:r>
            <w:rPr>
              <w:sz w:val="24"/>
              <w:szCs w:val="24"/>
            </w:rPr>
            <w:instrText xml:space="preserve"> PAGEREF _Toc134034356 \h </w:instrText>
          </w:r>
          <w:r>
            <w:rPr>
              <w:sz w:val="24"/>
              <w:szCs w:val="24"/>
            </w:rPr>
            <w:fldChar w:fldCharType="separate"/>
          </w:r>
          <w:r>
            <w:rPr>
              <w:sz w:val="24"/>
              <w:szCs w:val="24"/>
            </w:rPr>
            <w:t>16</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"_Toc134034357" </w:instrText>
          </w:r>
          <w:r>
            <w:fldChar w:fldCharType="separate"/>
          </w:r>
          <w:r>
            <w:rPr>
              <w:rStyle w:val="10"/>
              <w:rFonts w:cs="Times New Roman"/>
              <w:color w:val="auto"/>
              <w:sz w:val="24"/>
              <w:szCs w:val="24"/>
            </w:rPr>
            <w:t>2.6.1 Stakeholder map</w:t>
          </w:r>
          <w:r>
            <w:rPr>
              <w:sz w:val="24"/>
              <w:szCs w:val="24"/>
            </w:rPr>
            <w:tab/>
          </w:r>
          <w:r>
            <w:rPr>
              <w:sz w:val="24"/>
              <w:szCs w:val="24"/>
            </w:rPr>
            <w:fldChar w:fldCharType="begin"/>
          </w:r>
          <w:r>
            <w:rPr>
              <w:sz w:val="24"/>
              <w:szCs w:val="24"/>
            </w:rPr>
            <w:instrText xml:space="preserve"> PAGEREF _Toc134034357 \h </w:instrText>
          </w:r>
          <w:r>
            <w:rPr>
              <w:sz w:val="24"/>
              <w:szCs w:val="24"/>
            </w:rPr>
            <w:fldChar w:fldCharType="separate"/>
          </w:r>
          <w:r>
            <w:rPr>
              <w:sz w:val="24"/>
              <w:szCs w:val="24"/>
            </w:rPr>
            <w:t>16</w:t>
          </w:r>
          <w:r>
            <w:rPr>
              <w:sz w:val="24"/>
              <w:szCs w:val="24"/>
            </w:rPr>
            <w:fldChar w:fldCharType="end"/>
          </w:r>
          <w:r>
            <w:rPr>
              <w:sz w:val="24"/>
              <w:szCs w:val="24"/>
            </w:rPr>
            <w:fldChar w:fldCharType="end"/>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"_Toc134034358" </w:instrText>
          </w:r>
          <w:r>
            <w:fldChar w:fldCharType="separate"/>
          </w:r>
          <w:r>
            <w:rPr>
              <w:rStyle w:val="10"/>
              <w:rFonts w:cs="Times New Roman"/>
              <w:color w:val="auto"/>
              <w:sz w:val="24"/>
              <w:szCs w:val="24"/>
            </w:rPr>
            <w:t>2.6.2 Stakeholder roles and strategies</w:t>
          </w:r>
          <w:r>
            <w:rPr>
              <w:sz w:val="24"/>
              <w:szCs w:val="24"/>
            </w:rPr>
            <w:tab/>
          </w:r>
          <w:r>
            <w:rPr>
              <w:sz w:val="24"/>
              <w:szCs w:val="24"/>
            </w:rPr>
            <w:fldChar w:fldCharType="begin"/>
          </w:r>
          <w:r>
            <w:rPr>
              <w:sz w:val="24"/>
              <w:szCs w:val="24"/>
            </w:rPr>
            <w:instrText xml:space="preserve"> PAGEREF _Toc134034358 \h </w:instrText>
          </w:r>
          <w:r>
            <w:rPr>
              <w:sz w:val="24"/>
              <w:szCs w:val="24"/>
            </w:rPr>
            <w:fldChar w:fldCharType="separate"/>
          </w:r>
          <w:r>
            <w:rPr>
              <w:sz w:val="24"/>
              <w:szCs w:val="24"/>
            </w:rPr>
            <w:t>17</w:t>
          </w:r>
          <w:r>
            <w:rPr>
              <w:sz w:val="24"/>
              <w:szCs w:val="24"/>
            </w:rPr>
            <w:fldChar w:fldCharType="end"/>
          </w:r>
          <w:r>
            <w:rPr>
              <w:sz w:val="24"/>
              <w:szCs w:val="24"/>
            </w:rPr>
            <w:fldChar w:fldCharType="end"/>
          </w:r>
        </w:p>
        <w:p>
          <w:pPr>
            <w:pStyle w:val="6"/>
            <w:tabs>
              <w:tab w:val="right" w:leader="dot" w:pos="8296"/>
            </w:tabs>
            <w:spacing w:line="360" w:lineRule="auto"/>
            <w:ind w:left="0" w:leftChars="0" w:firstLine="420" w:firstLineChars="200"/>
            <w:rPr>
              <w:rFonts w:hint="eastAsia" w:eastAsia="宋体"/>
              <w:sz w:val="24"/>
              <w:szCs w:val="24"/>
              <w:lang w:val="en-US" w:eastAsia="zh-CN"/>
            </w:rPr>
          </w:pPr>
          <w:r>
            <w:fldChar w:fldCharType="begin"/>
          </w:r>
          <w:r>
            <w:instrText xml:space="preserve"> HYPERLINK \l "_Toc134034359" </w:instrText>
          </w:r>
          <w:r>
            <w:fldChar w:fldCharType="separate"/>
          </w:r>
          <w:r>
            <w:rPr>
              <w:rStyle w:val="10"/>
              <w:rFonts w:cs="Times New Roman"/>
              <w:color w:val="auto"/>
              <w:sz w:val="24"/>
              <w:szCs w:val="24"/>
            </w:rPr>
            <w:t>2.7 Assessment of Change</w:t>
          </w:r>
          <w:r>
            <w:rPr>
              <w:sz w:val="24"/>
              <w:szCs w:val="24"/>
            </w:rPr>
            <w:tab/>
          </w:r>
          <w:r>
            <w:rPr>
              <w:rFonts w:hint="eastAsia"/>
              <w:sz w:val="24"/>
              <w:szCs w:val="24"/>
              <w:lang w:val="en-US" w:eastAsia="zh-CN"/>
            </w:rPr>
            <w:t>1</w:t>
          </w:r>
          <w:r>
            <w:rPr>
              <w:sz w:val="24"/>
              <w:szCs w:val="24"/>
            </w:rPr>
            <w:fldChar w:fldCharType="end"/>
          </w:r>
          <w:r>
            <w:rPr>
              <w:rFonts w:hint="eastAsia"/>
              <w:sz w:val="24"/>
              <w:szCs w:val="24"/>
              <w:lang w:val="en-US" w:eastAsia="zh-CN"/>
            </w:rPr>
            <w:t>9</w:t>
          </w:r>
        </w:p>
        <w:p>
          <w:pPr>
            <w:pStyle w:val="6"/>
            <w:tabs>
              <w:tab w:val="right" w:leader="dot" w:pos="8296"/>
            </w:tabs>
            <w:spacing w:line="360" w:lineRule="auto"/>
            <w:ind w:left="0" w:leftChars="0" w:firstLine="840" w:firstLineChars="400"/>
            <w:rPr>
              <w:rFonts w:hint="eastAsia" w:eastAsia="宋体"/>
              <w:sz w:val="24"/>
              <w:szCs w:val="24"/>
              <w:lang w:val="en-US" w:eastAsia="zh-CN"/>
            </w:rPr>
          </w:pPr>
          <w:r>
            <w:fldChar w:fldCharType="begin"/>
          </w:r>
          <w:r>
            <w:instrText xml:space="preserve"> HYPERLINK \l "_Toc134034360" </w:instrText>
          </w:r>
          <w:r>
            <w:fldChar w:fldCharType="separate"/>
          </w:r>
          <w:r>
            <w:rPr>
              <w:rStyle w:val="10"/>
              <w:rFonts w:cs="Times New Roman"/>
              <w:color w:val="auto"/>
              <w:sz w:val="24"/>
              <w:szCs w:val="24"/>
            </w:rPr>
            <w:t>2.7.1 Evaluation of change process</w:t>
          </w:r>
          <w:r>
            <w:rPr>
              <w:sz w:val="24"/>
              <w:szCs w:val="24"/>
            </w:rPr>
            <w:tab/>
          </w:r>
          <w:r>
            <w:rPr>
              <w:rFonts w:hint="eastAsia"/>
              <w:sz w:val="24"/>
              <w:szCs w:val="24"/>
              <w:lang w:val="en-US" w:eastAsia="zh-CN"/>
            </w:rPr>
            <w:t>1</w:t>
          </w:r>
          <w:r>
            <w:rPr>
              <w:sz w:val="24"/>
              <w:szCs w:val="24"/>
            </w:rPr>
            <w:fldChar w:fldCharType="end"/>
          </w:r>
          <w:r>
            <w:rPr>
              <w:rFonts w:hint="eastAsia"/>
              <w:sz w:val="24"/>
              <w:szCs w:val="24"/>
              <w:lang w:val="en-US" w:eastAsia="zh-CN"/>
            </w:rPr>
            <w:t>9</w:t>
          </w:r>
        </w:p>
        <w:p>
          <w:pPr>
            <w:pStyle w:val="6"/>
            <w:tabs>
              <w:tab w:val="right" w:leader="dot" w:pos="8296"/>
            </w:tabs>
            <w:spacing w:line="360" w:lineRule="auto"/>
            <w:ind w:left="0" w:leftChars="0" w:firstLine="840" w:firstLineChars="400"/>
            <w:rPr>
              <w:sz w:val="24"/>
              <w:szCs w:val="24"/>
            </w:rPr>
          </w:pPr>
          <w:r>
            <w:fldChar w:fldCharType="begin"/>
          </w:r>
          <w:r>
            <w:instrText xml:space="preserve"> HYPERLINK \l "_Toc134034361" </w:instrText>
          </w:r>
          <w:r>
            <w:fldChar w:fldCharType="separate"/>
          </w:r>
          <w:r>
            <w:rPr>
              <w:rStyle w:val="10"/>
              <w:rFonts w:cs="Times New Roman"/>
              <w:color w:val="auto"/>
              <w:sz w:val="24"/>
              <w:szCs w:val="24"/>
            </w:rPr>
            <w:t>2.7.2 Effectiveness in reality</w:t>
          </w:r>
          <w:r>
            <w:rPr>
              <w:sz w:val="24"/>
              <w:szCs w:val="24"/>
            </w:rPr>
            <w:tab/>
          </w:r>
          <w:r>
            <w:rPr>
              <w:sz w:val="24"/>
              <w:szCs w:val="24"/>
            </w:rPr>
            <w:fldChar w:fldCharType="begin"/>
          </w:r>
          <w:r>
            <w:rPr>
              <w:sz w:val="24"/>
              <w:szCs w:val="24"/>
            </w:rPr>
            <w:instrText xml:space="preserve"> PAGEREF _Toc134034361 \h </w:instrText>
          </w:r>
          <w:r>
            <w:rPr>
              <w:sz w:val="24"/>
              <w:szCs w:val="24"/>
            </w:rPr>
            <w:fldChar w:fldCharType="separate"/>
          </w:r>
          <w:r>
            <w:rPr>
              <w:sz w:val="24"/>
              <w:szCs w:val="24"/>
            </w:rPr>
            <w:t>21</w:t>
          </w:r>
          <w:r>
            <w:rPr>
              <w:sz w:val="24"/>
              <w:szCs w:val="24"/>
            </w:rPr>
            <w:fldChar w:fldCharType="end"/>
          </w:r>
          <w:r>
            <w:rPr>
              <w:sz w:val="24"/>
              <w:szCs w:val="24"/>
            </w:rPr>
            <w:fldChar w:fldCharType="end"/>
          </w:r>
        </w:p>
        <w:p>
          <w:pPr>
            <w:pStyle w:val="6"/>
            <w:tabs>
              <w:tab w:val="right" w:leader="dot" w:pos="8296"/>
            </w:tabs>
            <w:spacing w:line="360" w:lineRule="auto"/>
            <w:ind w:left="0" w:leftChars="0"/>
            <w:rPr>
              <w:rFonts w:hint="eastAsia" w:eastAsia="宋体"/>
              <w:sz w:val="24"/>
              <w:szCs w:val="24"/>
              <w:lang w:val="en-US" w:eastAsia="zh-CN"/>
            </w:rPr>
          </w:pPr>
          <w:r>
            <w:fldChar w:fldCharType="begin"/>
          </w:r>
          <w:r>
            <w:instrText xml:space="preserve"> HYPERLINK \l "_Toc134034362" </w:instrText>
          </w:r>
          <w:r>
            <w:fldChar w:fldCharType="separate"/>
          </w:r>
          <w:r>
            <w:rPr>
              <w:rStyle w:val="10"/>
              <w:rFonts w:cs="Times New Roman"/>
              <w:color w:val="auto"/>
              <w:sz w:val="24"/>
              <w:szCs w:val="24"/>
            </w:rPr>
            <w:t>3. Conclusion</w:t>
          </w:r>
          <w:r>
            <w:rPr>
              <w:sz w:val="24"/>
              <w:szCs w:val="24"/>
            </w:rPr>
            <w:tab/>
          </w:r>
          <w:r>
            <w:rPr>
              <w:rFonts w:hint="eastAsia"/>
              <w:sz w:val="24"/>
              <w:szCs w:val="24"/>
              <w:lang w:val="en-US" w:eastAsia="zh-CN"/>
            </w:rPr>
            <w:t>2</w:t>
          </w:r>
          <w:r>
            <w:rPr>
              <w:sz w:val="24"/>
              <w:szCs w:val="24"/>
            </w:rPr>
            <w:fldChar w:fldCharType="end"/>
          </w:r>
          <w:r>
            <w:rPr>
              <w:rFonts w:hint="eastAsia"/>
              <w:sz w:val="24"/>
              <w:szCs w:val="24"/>
              <w:lang w:val="en-US" w:eastAsia="zh-CN"/>
            </w:rPr>
            <w:t>3</w:t>
          </w:r>
        </w:p>
        <w:p>
          <w:pPr>
            <w:pStyle w:val="6"/>
            <w:tabs>
              <w:tab w:val="right" w:leader="dot" w:pos="8296"/>
            </w:tabs>
            <w:spacing w:line="360" w:lineRule="auto"/>
            <w:ind w:left="0" w:leftChars="0"/>
            <w:rPr>
              <w:sz w:val="24"/>
              <w:szCs w:val="24"/>
            </w:rPr>
          </w:pPr>
          <w:r>
            <w:fldChar w:fldCharType="begin"/>
          </w:r>
          <w:r>
            <w:instrText xml:space="preserve"> HYPERLINK \l "_Toc134034363" </w:instrText>
          </w:r>
          <w:r>
            <w:fldChar w:fldCharType="separate"/>
          </w:r>
          <w:r>
            <w:rPr>
              <w:rStyle w:val="10"/>
              <w:rFonts w:cs="Times New Roman"/>
              <w:color w:val="auto"/>
              <w:sz w:val="24"/>
              <w:szCs w:val="24"/>
            </w:rPr>
            <w:t>4. Recommendations</w:t>
          </w:r>
          <w:r>
            <w:rPr>
              <w:sz w:val="24"/>
              <w:szCs w:val="24"/>
            </w:rPr>
            <w:tab/>
          </w:r>
          <w:r>
            <w:rPr>
              <w:sz w:val="24"/>
              <w:szCs w:val="24"/>
            </w:rPr>
            <w:fldChar w:fldCharType="begin"/>
          </w:r>
          <w:r>
            <w:rPr>
              <w:sz w:val="24"/>
              <w:szCs w:val="24"/>
            </w:rPr>
            <w:instrText xml:space="preserve"> PAGEREF _Toc134034363 \h </w:instrText>
          </w:r>
          <w:r>
            <w:rPr>
              <w:sz w:val="24"/>
              <w:szCs w:val="24"/>
            </w:rPr>
            <w:fldChar w:fldCharType="separate"/>
          </w:r>
          <w:r>
            <w:rPr>
              <w:sz w:val="24"/>
              <w:szCs w:val="24"/>
            </w:rPr>
            <w:t>23</w:t>
          </w:r>
          <w:r>
            <w:rPr>
              <w:sz w:val="24"/>
              <w:szCs w:val="24"/>
            </w:rPr>
            <w:fldChar w:fldCharType="end"/>
          </w:r>
          <w:r>
            <w:rPr>
              <w:sz w:val="24"/>
              <w:szCs w:val="24"/>
            </w:rPr>
            <w:fldChar w:fldCharType="end"/>
          </w:r>
        </w:p>
        <w:p>
          <w:pPr>
            <w:pStyle w:val="6"/>
            <w:tabs>
              <w:tab w:val="right" w:leader="dot" w:pos="8296"/>
            </w:tabs>
            <w:spacing w:line="360" w:lineRule="auto"/>
            <w:ind w:left="0" w:leftChars="0"/>
            <w:rPr>
              <w:sz w:val="24"/>
              <w:szCs w:val="24"/>
            </w:rPr>
          </w:pPr>
          <w:r>
            <w:fldChar w:fldCharType="begin"/>
          </w:r>
          <w:r>
            <w:instrText xml:space="preserve"> HYPERLINK \l "_Toc134034364" </w:instrText>
          </w:r>
          <w:r>
            <w:fldChar w:fldCharType="separate"/>
          </w:r>
          <w:r>
            <w:rPr>
              <w:rStyle w:val="10"/>
              <w:rFonts w:cs="Times New Roman"/>
              <w:color w:val="auto"/>
              <w:sz w:val="24"/>
              <w:szCs w:val="24"/>
            </w:rPr>
            <w:t>References</w:t>
          </w:r>
          <w:r>
            <w:rPr>
              <w:sz w:val="24"/>
              <w:szCs w:val="24"/>
            </w:rPr>
            <w:tab/>
          </w:r>
          <w:r>
            <w:rPr>
              <w:sz w:val="24"/>
              <w:szCs w:val="24"/>
            </w:rPr>
            <w:fldChar w:fldCharType="begin"/>
          </w:r>
          <w:r>
            <w:rPr>
              <w:sz w:val="24"/>
              <w:szCs w:val="24"/>
            </w:rPr>
            <w:instrText xml:space="preserve"> PAGEREF _Toc134034364 \h </w:instrText>
          </w:r>
          <w:r>
            <w:rPr>
              <w:sz w:val="24"/>
              <w:szCs w:val="24"/>
            </w:rPr>
            <w:fldChar w:fldCharType="separate"/>
          </w:r>
          <w:r>
            <w:rPr>
              <w:sz w:val="24"/>
              <w:szCs w:val="24"/>
            </w:rPr>
            <w:t>25</w:t>
          </w:r>
          <w:r>
            <w:rPr>
              <w:sz w:val="24"/>
              <w:szCs w:val="24"/>
            </w:rPr>
            <w:fldChar w:fldCharType="end"/>
          </w:r>
          <w:r>
            <w:rPr>
              <w:sz w:val="24"/>
              <w:szCs w:val="24"/>
            </w:rPr>
            <w:fldChar w:fldCharType="end"/>
          </w:r>
        </w:p>
        <w:p>
          <w:pPr>
            <w:spacing w:line="480" w:lineRule="auto"/>
            <w:rPr>
              <w:sz w:val="24"/>
              <w:szCs w:val="24"/>
            </w:rPr>
          </w:pPr>
          <w:r>
            <w:rPr>
              <w:b/>
              <w:bCs/>
              <w:sz w:val="24"/>
              <w:szCs w:val="24"/>
              <w:lang w:val="zh-CN"/>
            </w:rPr>
            <w:fldChar w:fldCharType="end"/>
          </w:r>
        </w:p>
      </w:sdtContent>
    </w:sdt>
    <w:p>
      <w:pPr>
        <w:spacing w:line="480" w:lineRule="auto"/>
        <w:rPr>
          <w:rFonts w:cs="Times New Roman"/>
          <w:sz w:val="24"/>
          <w:szCs w:val="24"/>
        </w:rPr>
      </w:pPr>
    </w:p>
    <w:p>
      <w:pPr>
        <w:spacing w:line="480" w:lineRule="auto"/>
        <w:rPr>
          <w:rFonts w:cs="Times New Roman"/>
          <w:sz w:val="24"/>
          <w:szCs w:val="24"/>
        </w:rPr>
      </w:pPr>
    </w:p>
    <w:p>
      <w:pPr>
        <w:spacing w:line="480" w:lineRule="auto"/>
        <w:rPr>
          <w:rFonts w:cs="Times New Roman"/>
          <w:sz w:val="24"/>
          <w:szCs w:val="24"/>
        </w:rPr>
      </w:pP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2" w:name="_Toc134034344"/>
      <w:r>
        <w:rPr>
          <w:rFonts w:ascii="Times New Roman" w:hAnsi="Times New Roman" w:eastAsia="宋体" w:cs="Times New Roman"/>
          <w:sz w:val="24"/>
          <w:szCs w:val="24"/>
        </w:rPr>
        <w:t>1. Introduction</w:t>
      </w:r>
      <w:bookmarkEnd w:id="2"/>
    </w:p>
    <w:p>
      <w:pPr>
        <w:spacing w:line="480" w:lineRule="auto"/>
        <w:rPr>
          <w:rFonts w:cs="Times New Roman"/>
          <w:sz w:val="24"/>
          <w:szCs w:val="24"/>
        </w:rPr>
      </w:pPr>
      <w:r>
        <w:rPr>
          <w:rFonts w:cs="Times New Roman"/>
          <w:sz w:val="24"/>
          <w:szCs w:val="24"/>
        </w:rPr>
        <w:t>The United Nations (UN) was established in 1945 with the aim of maintaining international peace and security and developing friendly relations and economic and social cooperation (The United Nations, 2023a). To fulfill its mission, the UN has nearly 40 different institutions and projects working globally, such as peacekeeping operations, United Nations High Commissioner for Refugees (UNHCR), United Nations Development Programme (UNDP), etc. It</w:t>
      </w:r>
      <w:r>
        <w:rPr>
          <w:rFonts w:hint="eastAsia" w:cs="Times New Roman"/>
          <w:sz w:val="24"/>
          <w:szCs w:val="24"/>
        </w:rPr>
        <w:t>s</w:t>
      </w:r>
      <w:r>
        <w:rPr>
          <w:rFonts w:cs="Times New Roman"/>
          <w:sz w:val="24"/>
          <w:szCs w:val="24"/>
        </w:rPr>
        <w:t xml:space="preserve"> business scope covers political, security, humanitarian, and development fields (Weiss &amp; Daws, 2020).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For a long time, the UN’s various businesses have relied on a management information system called “IMIS”. However, the system has become inadequate in managing big data and responding to contemporary complex environments </w:t>
      </w:r>
      <w:r>
        <w:rPr>
          <w:rFonts w:hint="eastAsia" w:cs="Times New Roman"/>
          <w:sz w:val="24"/>
          <w:szCs w:val="24"/>
        </w:rPr>
        <w:t>(</w:t>
      </w:r>
      <w:r>
        <w:rPr>
          <w:rFonts w:cs="Times New Roman"/>
          <w:sz w:val="24"/>
          <w:szCs w:val="24"/>
        </w:rPr>
        <w:t>Vos &amp; Van den Enden, 2020). In 2019, the UN launched a two-year business system change plan to replace the IMIS system with Umoja. The main function of Umoja is to standardise and simplify the UN’s business process, internal rules and accounting, in order to achieve the integration of resource management and improve the UN’s operational efficiency and management level (UNICC, 2023). In November 2021, Umoja was officially launched by the UN, which marked the success of its business system change (Umoja, 2023).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Therefore, this report aims to make an in-depth analysis and evaluation of the business system change in the UN by using relevant change management models and theories. Generally, based on introducing the definition of change management, business profile and background information of this change, this report will analyse the change program of the UN’s business system, conduct Kurt Lewin Force Field Analysis to determine the driving and restraining forces of change, make stakeholder analysis, and assess the change.</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3" w:name="_Toc134034345"/>
      <w:r>
        <w:rPr>
          <w:rFonts w:ascii="Times New Roman" w:hAnsi="Times New Roman" w:eastAsia="宋体" w:cs="Times New Roman"/>
          <w:sz w:val="24"/>
          <w:szCs w:val="24"/>
        </w:rPr>
        <w:t xml:space="preserve">2. </w:t>
      </w:r>
      <w:bookmarkStart w:id="4" w:name="_Hlk133688690"/>
      <w:r>
        <w:rPr>
          <w:rFonts w:ascii="Times New Roman" w:hAnsi="Times New Roman" w:eastAsia="宋体" w:cs="Times New Roman"/>
          <w:sz w:val="24"/>
          <w:szCs w:val="24"/>
        </w:rPr>
        <w:t>The UN’s Business System Change</w:t>
      </w:r>
      <w:bookmarkEnd w:id="3"/>
      <w:bookmarkEnd w:id="4"/>
    </w:p>
    <w:p>
      <w:pPr>
        <w:pStyle w:val="3"/>
        <w:spacing w:before="0" w:after="0" w:line="480" w:lineRule="auto"/>
        <w:rPr>
          <w:rFonts w:ascii="Times New Roman" w:hAnsi="Times New Roman" w:eastAsia="宋体" w:cs="Times New Roman"/>
          <w:sz w:val="24"/>
          <w:szCs w:val="24"/>
        </w:rPr>
      </w:pPr>
      <w:bookmarkStart w:id="5" w:name="_Toc134034346"/>
      <w:r>
        <w:rPr>
          <w:rFonts w:ascii="Times New Roman" w:hAnsi="Times New Roman" w:eastAsia="宋体" w:cs="Times New Roman"/>
          <w:sz w:val="24"/>
          <w:szCs w:val="24"/>
        </w:rPr>
        <w:t>2.1 Definition of Change Management</w:t>
      </w:r>
      <w:bookmarkEnd w:id="5"/>
    </w:p>
    <w:p>
      <w:pPr>
        <w:spacing w:line="480" w:lineRule="auto"/>
        <w:rPr>
          <w:rFonts w:cs="Times New Roman"/>
          <w:sz w:val="24"/>
          <w:szCs w:val="24"/>
        </w:rPr>
      </w:pPr>
      <w:r>
        <w:rPr>
          <w:rFonts w:cs="Times New Roman"/>
          <w:sz w:val="24"/>
          <w:szCs w:val="24"/>
        </w:rPr>
        <w:t>According to Lewin (1947), change is a process that involves three stages, namely unfreezing, changing and refreezing. The purpose of the unfreezing stage is to overcome organisational inertia and current preferences. The changing stage guides an organisation to a new state. The refreezing stage stabilises change and prevents regression. This process describes the stages and sequences that successful organisational change must go through. This model has practical value in guiding the process of organisational change (Burnes, 2020).</w:t>
      </w:r>
    </w:p>
    <w:p>
      <w:pPr>
        <w:spacing w:line="480" w:lineRule="auto"/>
        <w:rPr>
          <w:rFonts w:cs="Times New Roman"/>
          <w:sz w:val="24"/>
          <w:szCs w:val="24"/>
        </w:rPr>
      </w:pPr>
    </w:p>
    <w:p>
      <w:pPr>
        <w:spacing w:line="480" w:lineRule="auto"/>
        <w:rPr>
          <w:rFonts w:cs="Times New Roman"/>
          <w:b/>
          <w:bCs/>
          <w:sz w:val="24"/>
          <w:szCs w:val="24"/>
        </w:rPr>
      </w:pPr>
      <w:r>
        <w:rPr>
          <w:rFonts w:cs="Times New Roman"/>
          <w:sz w:val="24"/>
          <w:szCs w:val="24"/>
        </w:rPr>
        <w:t xml:space="preserve">Cameron &amp; Green (2015) consider that change management is the process of planning, organising and implementing change activities to enable organisations, teams and individuals to develop their own capabilities and performance. Its focus is on the organisational development and improvement brought about by change, rather than the change itself (Shea &amp; Solomon, 2020). The essence of change management is to promote the transformation of an organisation from its current state to its desired new state. It needs to unfreeze the current organisational structure, establish a sense of urgency among management, develop practical and feasible change plans, determine the driving and restraining forces of change, obtain support from key stakeholders, and carry out meticulous management in combination with the new state to satisfy the current and future needs of the organisation </w:t>
      </w:r>
      <w:r>
        <w:rPr>
          <w:rFonts w:cs="Times New Roman"/>
          <w:b/>
          <w:bCs/>
          <w:sz w:val="24"/>
          <w:szCs w:val="24"/>
        </w:rPr>
        <w:t>(</w:t>
      </w:r>
      <w:r>
        <w:rPr>
          <w:rFonts w:cs="Times New Roman"/>
          <w:sz w:val="24"/>
          <w:szCs w:val="24"/>
        </w:rPr>
        <w:t>Hayes, 2021</w:t>
      </w:r>
      <w:r>
        <w:rPr>
          <w:rFonts w:cs="Times New Roman"/>
          <w:b/>
          <w:bCs/>
          <w:sz w:val="24"/>
          <w:szCs w:val="24"/>
        </w:rPr>
        <w:t>).</w:t>
      </w:r>
    </w:p>
    <w:p>
      <w:pPr>
        <w:spacing w:line="480" w:lineRule="auto"/>
        <w:rPr>
          <w:rFonts w:cs="Times New Roman"/>
          <w:b/>
          <w:bCs/>
          <w:sz w:val="24"/>
          <w:szCs w:val="24"/>
        </w:rPr>
      </w:pPr>
    </w:p>
    <w:p>
      <w:pPr>
        <w:pStyle w:val="3"/>
        <w:spacing w:before="0" w:after="0" w:line="480" w:lineRule="auto"/>
        <w:rPr>
          <w:rFonts w:ascii="Times New Roman" w:hAnsi="Times New Roman" w:eastAsia="宋体" w:cs="Times New Roman"/>
          <w:sz w:val="24"/>
          <w:szCs w:val="24"/>
        </w:rPr>
      </w:pPr>
      <w:bookmarkStart w:id="6" w:name="_Toc134034347"/>
      <w:r>
        <w:rPr>
          <w:rFonts w:ascii="Times New Roman" w:hAnsi="Times New Roman" w:eastAsia="宋体" w:cs="Times New Roman"/>
          <w:sz w:val="24"/>
          <w:szCs w:val="24"/>
        </w:rPr>
        <w:t>2.2 Business profile</w:t>
      </w:r>
      <w:bookmarkEnd w:id="6"/>
    </w:p>
    <w:p>
      <w:pPr>
        <w:spacing w:line="480" w:lineRule="auto"/>
        <w:rPr>
          <w:rFonts w:cs="Times New Roman"/>
          <w:sz w:val="24"/>
          <w:szCs w:val="24"/>
        </w:rPr>
      </w:pPr>
      <w:r>
        <w:rPr>
          <w:rFonts w:cs="Times New Roman"/>
          <w:sz w:val="24"/>
          <w:szCs w:val="24"/>
        </w:rPr>
        <w:t>Umoja is the core system for human resource management (HRM), financial management, supply chain management (SCM), project management, and business analysis within the UN.</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terms of HRM, Umoja achieves the centralisation and sharing of HR data, including employee information, compensation, performance management, talent recruitment and other modules. The UN departments and committees can conduct talent recruitment, job appointments and promotions based on standardised data provided by Umoja (Flanding &amp; Grabman,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financial management, Umoja realises the standardisation of UN accounting standards, and all funds and departments can carry out expenditure management, budgeting and financial reporting on a unified platform. Umoja also has a complete payment process to enable electronic payments within the UN and its business partners (Pollard, 2020).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SCM, Umoja electronically manages the UN’s procurement and contracts, and achieves electronic management of supplier and supply chain data. Each business department can publish procurement requirements, evaluate bids, sign contracts, and make electronic payments for procurement based on Umoja (Montiel et al., 2021).</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terms of project management, Umoja has complete project configuration and execution management functions, and various departments of the UN can establish projects, divide tasks, manage progress and resources, manage risks, and report projects based on Umoja (Flanding &amp; Grabman,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Generally, Umoja adopts an ERP system to realise the standardised management and integration of the UN’s key business modules, which has strongly promoted the UN’s digital transformation. Its adoption of Umoja has brought about profound changes in the UN’s organisational structure and culture, and the management of these changes is key to the success of its business system change.</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7" w:name="_Toc134034348"/>
      <w:r>
        <w:rPr>
          <w:rFonts w:ascii="Times New Roman" w:hAnsi="Times New Roman" w:eastAsia="宋体" w:cs="Times New Roman"/>
          <w:sz w:val="24"/>
          <w:szCs w:val="24"/>
        </w:rPr>
        <w:t>2.3 Background Information</w:t>
      </w:r>
      <w:bookmarkEnd w:id="7"/>
    </w:p>
    <w:p>
      <w:pPr>
        <w:spacing w:line="480" w:lineRule="auto"/>
        <w:rPr>
          <w:rFonts w:cs="Times New Roman"/>
          <w:sz w:val="24"/>
          <w:szCs w:val="24"/>
        </w:rPr>
      </w:pPr>
      <w:r>
        <w:rPr>
          <w:rFonts w:cs="Times New Roman"/>
          <w:sz w:val="24"/>
          <w:szCs w:val="24"/>
        </w:rPr>
        <w:t>The UN has been facing unprecedented environmental changes since its establishment for over 70 years. In recent years, due to setbacks in the globalisation process, intensified global warming, frequent wars and natural disasters, Brexit, COVID-19 epidemic and other factors, the UN’s business system has been severely impacted (Mingst et al.,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Brexit has led to the UN’s loss of main partner and think tank within the EU, and subtle changes in the influence and focus of other countries in the UN (Gifkins et al., 2019). There is a risk of funding shortage for UN projects and activities in Europe. This requires the UN to adjust its strategic deployment and resource allocation in the European region based on changes in the situation (Dobrescu,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The COVID-19 pandemic has affected the UN’s effectiveness in promoting multilateral diplomacy and international cooperation </w:t>
      </w:r>
      <w:r>
        <w:rPr>
          <w:rFonts w:hint="eastAsia" w:cs="Times New Roman"/>
          <w:sz w:val="24"/>
          <w:szCs w:val="24"/>
        </w:rPr>
        <w:t>(</w:t>
      </w:r>
      <w:r>
        <w:rPr>
          <w:rFonts w:cs="Times New Roman"/>
          <w:sz w:val="24"/>
          <w:szCs w:val="24"/>
        </w:rPr>
        <w:t>Abdulai &amp; Baffour Awuah, 2021). The UN has cancelled or postponed many conferences and activities (such as the United Nations Conference on the Sea, the United Nations Biodiversity Summit, etc.) (The United Nations, 2023b). COVID-19 made it difficult for the UN to carry out humanitarian work normally, and also resulted in a decrease in its fiscal revenue.</w:t>
      </w:r>
      <w:r>
        <w:rPr>
          <w:sz w:val="24"/>
          <w:szCs w:val="24"/>
        </w:rPr>
        <w:t xml:space="preserve"> </w:t>
      </w:r>
      <w:r>
        <w:rPr>
          <w:rFonts w:cs="Times New Roman"/>
          <w:sz w:val="24"/>
          <w:szCs w:val="24"/>
        </w:rPr>
        <w:t>This is because the main financial source of the UN is voluntary contributions from Member States, and COVID-19 has plunged many countries into economic crisis, reducing their funding to the UN (Kotter et al., 2021).</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Therefore, the above factors have promoted the digital transformation of UN businesses. The adoption of Umoja helps UN better adapt to environmental changes and improve its operational efficiency. This is crucial for the UN to achieve sustainable development goals and better serve member states </w:t>
      </w:r>
      <w:r>
        <w:rPr>
          <w:rFonts w:hint="eastAsia" w:cs="Times New Roman"/>
          <w:sz w:val="24"/>
          <w:szCs w:val="24"/>
        </w:rPr>
        <w:t>(</w:t>
      </w:r>
      <w:r>
        <w:rPr>
          <w:rFonts w:cs="Times New Roman"/>
          <w:sz w:val="24"/>
          <w:szCs w:val="24"/>
        </w:rPr>
        <w:t>Ziadlou, 2021).</w:t>
      </w:r>
    </w:p>
    <w:p>
      <w:pPr>
        <w:pStyle w:val="3"/>
        <w:spacing w:before="0" w:after="0" w:line="480" w:lineRule="auto"/>
        <w:rPr>
          <w:rFonts w:ascii="Times New Roman" w:hAnsi="Times New Roman" w:eastAsia="宋体" w:cs="Times New Roman"/>
          <w:sz w:val="24"/>
          <w:szCs w:val="24"/>
        </w:rPr>
      </w:pPr>
      <w:bookmarkStart w:id="8" w:name="_Toc134034349"/>
      <w:r>
        <w:rPr>
          <w:rFonts w:ascii="Times New Roman" w:hAnsi="Times New Roman" w:eastAsia="宋体" w:cs="Times New Roman"/>
          <w:sz w:val="24"/>
          <w:szCs w:val="24"/>
        </w:rPr>
        <w:t>2.4 Change Program of UN’s Business System</w:t>
      </w:r>
      <w:bookmarkEnd w:id="8"/>
    </w:p>
    <w:p>
      <w:pPr>
        <w:pStyle w:val="3"/>
        <w:spacing w:before="0" w:after="0" w:line="480" w:lineRule="auto"/>
        <w:rPr>
          <w:rFonts w:ascii="Times New Roman" w:hAnsi="Times New Roman" w:eastAsia="宋体" w:cs="Times New Roman"/>
          <w:sz w:val="24"/>
          <w:szCs w:val="24"/>
        </w:rPr>
      </w:pPr>
      <w:bookmarkStart w:id="9" w:name="_Toc134034350"/>
      <w:r>
        <w:rPr>
          <w:rFonts w:ascii="Times New Roman" w:hAnsi="Times New Roman" w:eastAsia="宋体" w:cs="Times New Roman"/>
          <w:sz w:val="24"/>
          <w:szCs w:val="24"/>
        </w:rPr>
        <w:t>2.4.1 Change process</w:t>
      </w:r>
      <w:bookmarkEnd w:id="9"/>
    </w:p>
    <w:p>
      <w:pPr>
        <w:spacing w:line="480" w:lineRule="auto"/>
        <w:rPr>
          <w:rFonts w:cs="Times New Roman"/>
          <w:sz w:val="24"/>
          <w:szCs w:val="24"/>
        </w:rPr>
      </w:pPr>
      <w:r>
        <w:rPr>
          <w:rFonts w:cs="Times New Roman"/>
          <w:sz w:val="24"/>
          <w:szCs w:val="24"/>
        </w:rPr>
        <w:t xml:space="preserve">The UN adopted a progressive approach to promote this business system change. The entire change process was carried out in stages, and used pilot promotion methods to minimise the impact and interference on the UN’s businesses </w:t>
      </w:r>
      <w:r>
        <w:rPr>
          <w:rFonts w:hint="eastAsia" w:cs="Times New Roman"/>
          <w:sz w:val="24"/>
          <w:szCs w:val="24"/>
        </w:rPr>
        <w:t>(</w:t>
      </w:r>
      <w:r>
        <w:rPr>
          <w:rFonts w:cs="Times New Roman"/>
          <w:sz w:val="24"/>
          <w:szCs w:val="24"/>
        </w:rPr>
        <w:t>Supriharyanti &amp; Sukoco, 2023).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Before deploying the new Umoja system, the UN conducted a gap analysis of the IMIS system and found that it could no longer meet the business needs of the digital age </w:t>
      </w:r>
      <w:r>
        <w:rPr>
          <w:rFonts w:hint="eastAsia" w:cs="Times New Roman"/>
          <w:sz w:val="24"/>
          <w:szCs w:val="24"/>
        </w:rPr>
        <w:t>(</w:t>
      </w:r>
      <w:r>
        <w:rPr>
          <w:rFonts w:cs="Times New Roman"/>
          <w:sz w:val="24"/>
          <w:szCs w:val="24"/>
        </w:rPr>
        <w:t>General &amp; Gordon, 2022).</w:t>
      </w:r>
      <w:r>
        <w:rPr>
          <w:sz w:val="24"/>
          <w:szCs w:val="24"/>
        </w:rPr>
        <w:t xml:space="preserve"> </w:t>
      </w:r>
      <w:r>
        <w:rPr>
          <w:rFonts w:cs="Times New Roman"/>
          <w:sz w:val="24"/>
          <w:szCs w:val="24"/>
        </w:rPr>
        <w:t>In 2019, the UN officially launched the Umoja project, marking the beginning of its business system change. During the project initiation phase, the UN determined the project scope, developed a change vision, and established a project team and change network. The project team focused on training staff to reduce their resistance, and selected non business critical departments for the first pilot (Flanding &amp; Grabman,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During the pilot phase, the project team verified Umoja’s applicability in the UN environment, and continuously improved the change plan based on the pilot effect. A successful pilot could help alleviate employees’ concerns (Garg &amp; Dwivedi, 2020).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the promotion phase, the project team initiated the training and trial operation of Umoja in various UN regional offices, and continuously revised the implementation plan based on feedback. The management vigorously promoted the necessity and significance of change internally (The UN Secretary-General, 2018).</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Before Umoja was launched, the project team consulted with various business departments to adjust the system to fully satisfy business needs, and developed a data processing and business continuity plan. In November 2021, the Umoja system was officially launched, marking the completion of this change (Umoja, 2023).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After the stable operation of Umoja, the project team began to implement business reengineering and unmanned approval projects within the UN, to simplify the business process and maximise the effectiveness of Umoja. The management also introduced incentive policies to encourage employees to actively use and explore this system (Umoja, 2023).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Overall, the UN adopted a progressive approach to conduct this business system change, and the management took corresponding measures to relieve employee anxiety and create conditions for the successful implementation of change </w:t>
      </w:r>
      <w:r>
        <w:rPr>
          <w:rFonts w:hint="eastAsia" w:cs="Times New Roman"/>
          <w:sz w:val="24"/>
          <w:szCs w:val="24"/>
        </w:rPr>
        <w:t>(</w:t>
      </w:r>
      <w:r>
        <w:rPr>
          <w:rFonts w:cs="Times New Roman"/>
          <w:sz w:val="24"/>
          <w:szCs w:val="24"/>
        </w:rPr>
        <w:t>Anderson, 2019).</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0" w:name="_Toc134034351"/>
      <w:r>
        <w:rPr>
          <w:rFonts w:ascii="Times New Roman" w:hAnsi="Times New Roman" w:eastAsia="宋体" w:cs="Times New Roman"/>
          <w:sz w:val="24"/>
          <w:szCs w:val="24"/>
        </w:rPr>
        <w:t>2.4.2 Typology of change</w:t>
      </w:r>
      <w:bookmarkEnd w:id="10"/>
    </w:p>
    <w:p>
      <w:pPr>
        <w:spacing w:line="480" w:lineRule="auto"/>
        <w:rPr>
          <w:rFonts w:cs="Times New Roman"/>
          <w:sz w:val="24"/>
          <w:szCs w:val="24"/>
        </w:rPr>
      </w:pPr>
      <w:r>
        <w:rPr>
          <w:rFonts w:cs="Times New Roman"/>
          <w:sz w:val="24"/>
          <w:szCs w:val="24"/>
        </w:rPr>
        <w:t>According to Hodges &amp; Gill’s (2015) typology of change, the UN’s business system change belonged to a synthesis of multiple types of change.</w:t>
      </w:r>
    </w:p>
    <w:p>
      <w:pPr>
        <w:spacing w:line="480" w:lineRule="auto"/>
        <w:rPr>
          <w:rFonts w:cs="Times New Roman"/>
          <w:sz w:val="24"/>
          <w:szCs w:val="24"/>
        </w:rPr>
      </w:pPr>
    </w:p>
    <w:p>
      <w:pPr>
        <w:spacing w:line="480" w:lineRule="auto"/>
        <w:jc w:val="center"/>
        <w:rPr>
          <w:rFonts w:cs="Times New Roman"/>
          <w:sz w:val="24"/>
          <w:szCs w:val="24"/>
        </w:rPr>
      </w:pPr>
      <w:r>
        <w:rPr>
          <w:sz w:val="24"/>
          <w:szCs w:val="24"/>
        </w:rPr>
        <w:drawing>
          <wp:inline distT="0" distB="0" distL="0" distR="0">
            <wp:extent cx="5273040" cy="1864360"/>
            <wp:effectExtent l="0" t="0" r="3810" b="2540"/>
            <wp:docPr id="57535100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351003" name="图片 1"/>
                    <pic:cNvPicPr>
                      <a:picLocks noChangeAspect="1"/>
                    </pic:cNvPicPr>
                  </pic:nvPicPr>
                  <pic:blipFill>
                    <a:blip r:embed="rId5"/>
                    <a:stretch>
                      <a:fillRect/>
                    </a:stretch>
                  </pic:blipFill>
                  <pic:spPr>
                    <a:xfrm>
                      <a:off x="0" y="0"/>
                      <a:ext cx="5286792" cy="1869222"/>
                    </a:xfrm>
                    <a:prstGeom prst="rect">
                      <a:avLst/>
                    </a:prstGeom>
                  </pic:spPr>
                </pic:pic>
              </a:graphicData>
            </a:graphic>
          </wp:inline>
        </w:drawing>
      </w:r>
    </w:p>
    <w:p>
      <w:pPr>
        <w:spacing w:line="480" w:lineRule="auto"/>
        <w:jc w:val="center"/>
        <w:rPr>
          <w:rFonts w:cs="Times New Roman"/>
          <w:sz w:val="24"/>
          <w:szCs w:val="24"/>
        </w:rPr>
      </w:pPr>
      <w:r>
        <w:rPr>
          <w:rFonts w:cs="Times New Roman"/>
          <w:sz w:val="24"/>
          <w:szCs w:val="24"/>
        </w:rPr>
        <w:t>Figure 1: Typology of change</w:t>
      </w:r>
    </w:p>
    <w:p>
      <w:pPr>
        <w:spacing w:line="480" w:lineRule="auto"/>
        <w:jc w:val="center"/>
        <w:rPr>
          <w:rFonts w:cs="Times New Roman"/>
          <w:sz w:val="24"/>
          <w:szCs w:val="24"/>
        </w:rPr>
      </w:pPr>
      <w:r>
        <w:rPr>
          <w:rFonts w:cs="Times New Roman"/>
          <w:sz w:val="24"/>
          <w:szCs w:val="24"/>
        </w:rPr>
        <w:t>(Hodges &amp; Gill, 2015)</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Firstly, </w:t>
      </w:r>
      <w:r>
        <w:rPr>
          <w:rFonts w:hint="eastAsia" w:cs="Times New Roman"/>
          <w:sz w:val="24"/>
          <w:szCs w:val="24"/>
        </w:rPr>
        <w:t>this</w:t>
      </w:r>
      <w:r>
        <w:rPr>
          <w:rFonts w:cs="Times New Roman"/>
          <w:sz w:val="24"/>
          <w:szCs w:val="24"/>
        </w:rPr>
        <w:t xml:space="preserve"> </w:t>
      </w:r>
      <w:r>
        <w:rPr>
          <w:rFonts w:hint="eastAsia" w:cs="Times New Roman"/>
          <w:sz w:val="24"/>
          <w:szCs w:val="24"/>
        </w:rPr>
        <w:t>change</w:t>
      </w:r>
      <w:r>
        <w:rPr>
          <w:rFonts w:cs="Times New Roman"/>
          <w:sz w:val="24"/>
          <w:szCs w:val="24"/>
        </w:rPr>
        <w:t xml:space="preserve"> was a planned change. After discovering that the IMIS could not satisfy the needs of the digital era, the UN management decided to replace IMIS with Umoja in a planned manner. This was a top-down decision and planning for change (Rosenbaum, More &amp; Steane, 2018).</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Secondly, this change was an incremental change. The UN adopted a phased implementation approach, by selecting non critical business departments to pilot first, and gradually promoting it to the entire organisation based on the pilot effect. This alleviated the trauma of change and created an environment for employees to adapt to it (Cummings &amp; Worley, 2014).</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Thirdly, this change was an operational change. The adoption of Umoja has changed the operational methods and processes within UN, including HRM, financial management, SCM and project management. This makes UN operations more standardised and efficient (Flanding &amp; Grabman,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Finally, this change also belonged to organisational-level change, </w:t>
      </w:r>
      <w:r>
        <w:rPr>
          <w:rFonts w:hint="eastAsia" w:cs="Times New Roman"/>
          <w:sz w:val="24"/>
          <w:szCs w:val="24"/>
        </w:rPr>
        <w:t>which</w:t>
      </w:r>
      <w:r>
        <w:rPr>
          <w:rFonts w:cs="Times New Roman"/>
          <w:sz w:val="24"/>
          <w:szCs w:val="24"/>
        </w:rPr>
        <w:t xml:space="preserve"> was conducted within the entire organisation of the UN. The adoption of Umoja has not only changed the technical operation of UN, but more importantly changed its organisational structure and culture (Cummings &amp; Worley, 2023).</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1" w:name="_Toc134034352"/>
      <w:r>
        <w:rPr>
          <w:rFonts w:ascii="Times New Roman" w:hAnsi="Times New Roman" w:eastAsia="宋体" w:cs="Times New Roman"/>
          <w:sz w:val="24"/>
          <w:szCs w:val="24"/>
        </w:rPr>
        <w:t>2.5 Kurt Lewin’s Force Field Analysis</w:t>
      </w:r>
      <w:bookmarkEnd w:id="11"/>
    </w:p>
    <w:p>
      <w:pPr>
        <w:spacing w:line="480" w:lineRule="auto"/>
        <w:rPr>
          <w:rFonts w:cs="Times New Roman"/>
          <w:sz w:val="24"/>
          <w:szCs w:val="24"/>
        </w:rPr>
      </w:pPr>
      <w:r>
        <w:rPr>
          <w:rFonts w:cs="Times New Roman"/>
          <w:sz w:val="24"/>
          <w:szCs w:val="24"/>
        </w:rPr>
        <w:t>As a tool for analysing and understanding change situations, Kurt Lewin’s Force Field Analysis holds that change is caused by an imbalance between driving forces and restraining forces of change. By analysing these two competing forces in change, managers could determine the direction and feasibility of change (Lewin, 1951).</w:t>
      </w:r>
    </w:p>
    <w:p>
      <w:pPr>
        <w:spacing w:line="480" w:lineRule="auto"/>
        <w:rPr>
          <w:rFonts w:cs="Times New Roman"/>
          <w:sz w:val="24"/>
          <w:szCs w:val="24"/>
        </w:rPr>
      </w:pPr>
      <w:r>
        <w:drawing>
          <wp:inline distT="0" distB="0" distL="0" distR="0">
            <wp:extent cx="5273675" cy="3183890"/>
            <wp:effectExtent l="0" t="0" r="3175" b="0"/>
            <wp:docPr id="158008397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083977" name="图片 1"/>
                    <pic:cNvPicPr>
                      <a:picLocks noChangeAspect="1"/>
                    </pic:cNvPicPr>
                  </pic:nvPicPr>
                  <pic:blipFill>
                    <a:blip r:embed="rId6"/>
                    <a:stretch>
                      <a:fillRect/>
                    </a:stretch>
                  </pic:blipFill>
                  <pic:spPr>
                    <a:xfrm>
                      <a:off x="0" y="0"/>
                      <a:ext cx="5297508" cy="3198298"/>
                    </a:xfrm>
                    <a:prstGeom prst="rect">
                      <a:avLst/>
                    </a:prstGeom>
                  </pic:spPr>
                </pic:pic>
              </a:graphicData>
            </a:graphic>
          </wp:inline>
        </w:drawing>
      </w:r>
    </w:p>
    <w:p>
      <w:pPr>
        <w:spacing w:line="480" w:lineRule="auto"/>
        <w:jc w:val="center"/>
        <w:rPr>
          <w:rFonts w:cs="Times New Roman"/>
          <w:sz w:val="24"/>
          <w:szCs w:val="24"/>
        </w:rPr>
      </w:pPr>
      <w:r>
        <w:rPr>
          <w:rFonts w:cs="Times New Roman"/>
          <w:sz w:val="24"/>
          <w:szCs w:val="24"/>
        </w:rPr>
        <w:t>Figure 2: Kurt Lewin’s Force Field Analysis of the UN’s business system change</w:t>
      </w:r>
    </w:p>
    <w:p>
      <w:pPr>
        <w:spacing w:line="480" w:lineRule="auto"/>
        <w:rPr>
          <w:rFonts w:cs="Times New Roman"/>
          <w:b/>
          <w:bCs/>
          <w:sz w:val="24"/>
          <w:szCs w:val="24"/>
        </w:rPr>
      </w:pPr>
    </w:p>
    <w:p>
      <w:pPr>
        <w:pStyle w:val="3"/>
        <w:spacing w:before="0" w:after="0" w:line="480" w:lineRule="auto"/>
        <w:rPr>
          <w:rFonts w:ascii="Times New Roman" w:hAnsi="Times New Roman" w:eastAsia="宋体" w:cs="Times New Roman"/>
          <w:sz w:val="24"/>
          <w:szCs w:val="24"/>
        </w:rPr>
      </w:pPr>
      <w:bookmarkStart w:id="12" w:name="_Toc134034353"/>
      <w:r>
        <w:rPr>
          <w:rFonts w:ascii="Times New Roman" w:hAnsi="Times New Roman" w:eastAsia="宋体" w:cs="Times New Roman"/>
          <w:sz w:val="24"/>
          <w:szCs w:val="24"/>
        </w:rPr>
        <w:t>2.5.1 Driving forces for change</w:t>
      </w:r>
      <w:bookmarkEnd w:id="12"/>
    </w:p>
    <w:p>
      <w:pPr>
        <w:spacing w:line="480" w:lineRule="auto"/>
        <w:rPr>
          <w:rFonts w:cs="Times New Roman"/>
          <w:sz w:val="24"/>
          <w:szCs w:val="24"/>
        </w:rPr>
      </w:pPr>
      <w:r>
        <w:rPr>
          <w:rFonts w:cs="Times New Roman"/>
          <w:sz w:val="24"/>
          <w:szCs w:val="24"/>
        </w:rPr>
        <w:t>As shown in Figure 2, there are five major driving forces for the UN’s business system change.</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1) The need for digital transformation</w:t>
      </w:r>
    </w:p>
    <w:p>
      <w:pPr>
        <w:spacing w:line="480" w:lineRule="auto"/>
        <w:rPr>
          <w:rFonts w:cs="Times New Roman"/>
          <w:sz w:val="24"/>
          <w:szCs w:val="24"/>
        </w:rPr>
      </w:pPr>
      <w:r>
        <w:rPr>
          <w:rFonts w:cs="Times New Roman"/>
          <w:sz w:val="24"/>
          <w:szCs w:val="24"/>
        </w:rPr>
        <w:t>The Umoja system could satisfy the need of UN to change its existing business system to adapt to the digital age, so its need for digital transformation drove this change (Penmetsa &amp; Bruque-Camara, 2021).</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2) Pressure to improve work efficiency</w:t>
      </w:r>
    </w:p>
    <w:p>
      <w:pPr>
        <w:spacing w:line="480" w:lineRule="auto"/>
        <w:rPr>
          <w:rFonts w:cs="Times New Roman"/>
          <w:sz w:val="24"/>
          <w:szCs w:val="24"/>
        </w:rPr>
      </w:pPr>
      <w:r>
        <w:rPr>
          <w:rFonts w:cs="Times New Roman"/>
          <w:sz w:val="24"/>
          <w:szCs w:val="24"/>
        </w:rPr>
        <w:t>The problems with the IMIS system seriously affected the UN’s work efficiency, which gave rise to its momentum for change in adopting Umoja.</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(3) The scarcity of financial resources</w:t>
      </w:r>
    </w:p>
    <w:p>
      <w:pPr>
        <w:spacing w:line="480" w:lineRule="auto"/>
        <w:rPr>
          <w:rFonts w:cs="Times New Roman"/>
          <w:sz w:val="24"/>
          <w:szCs w:val="24"/>
        </w:rPr>
      </w:pPr>
      <w:r>
        <w:rPr>
          <w:rFonts w:cs="Times New Roman"/>
          <w:sz w:val="24"/>
          <w:szCs w:val="24"/>
        </w:rPr>
        <w:t>The high maintenance costs and low work efficiency of IMIS put financial pressure on the UN, which drove it to adopt Umoja to reduce costs (Vos &amp; Van den Enden, 2020).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(4) Changes in customer need</w:t>
      </w:r>
    </w:p>
    <w:p>
      <w:pPr>
        <w:spacing w:line="480" w:lineRule="auto"/>
        <w:rPr>
          <w:rFonts w:cs="Times New Roman"/>
          <w:sz w:val="24"/>
          <w:szCs w:val="24"/>
        </w:rPr>
      </w:pPr>
      <w:r>
        <w:rPr>
          <w:rFonts w:cs="Times New Roman"/>
          <w:sz w:val="24"/>
          <w:szCs w:val="24"/>
        </w:rPr>
        <w:t xml:space="preserve">The global environment is rapidly changing, and customers’ needs for the UN are also changing. This requires the UN’s business system to be more flexible and efficient </w:t>
      </w:r>
      <w:r>
        <w:rPr>
          <w:rFonts w:hint="eastAsia" w:cs="Times New Roman"/>
          <w:sz w:val="24"/>
          <w:szCs w:val="24"/>
        </w:rPr>
        <w:t>(</w:t>
      </w:r>
      <w:r>
        <w:rPr>
          <w:rFonts w:cs="Times New Roman"/>
          <w:sz w:val="24"/>
          <w:szCs w:val="24"/>
        </w:rPr>
        <w:t>Munro, 2020). Umoja could satisfy this need and therefore drove this change.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(5) Promotion by management</w:t>
      </w:r>
    </w:p>
    <w:p>
      <w:pPr>
        <w:spacing w:line="480" w:lineRule="auto"/>
        <w:rPr>
          <w:rFonts w:cs="Times New Roman"/>
          <w:sz w:val="24"/>
          <w:szCs w:val="24"/>
        </w:rPr>
      </w:pPr>
      <w:r>
        <w:rPr>
          <w:rFonts w:cs="Times New Roman"/>
          <w:sz w:val="24"/>
          <w:szCs w:val="24"/>
        </w:rPr>
        <w:t>The management promoted the change from IMIS to Umoja for the sake of improving the UN’s operational efficiency and management level, which was the fundamental driving force for the change (Pollard, 2020).</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3" w:name="_Toc134034354"/>
      <w:r>
        <w:rPr>
          <w:rFonts w:ascii="Times New Roman" w:hAnsi="Times New Roman" w:eastAsia="宋体" w:cs="Times New Roman"/>
          <w:sz w:val="24"/>
          <w:szCs w:val="24"/>
        </w:rPr>
        <w:t>2.5.2 Restraining forces against change</w:t>
      </w:r>
      <w:bookmarkEnd w:id="13"/>
    </w:p>
    <w:p>
      <w:pPr>
        <w:spacing w:line="480" w:lineRule="auto"/>
        <w:rPr>
          <w:rFonts w:cs="Times New Roman"/>
          <w:sz w:val="24"/>
          <w:szCs w:val="24"/>
        </w:rPr>
      </w:pPr>
      <w:r>
        <w:rPr>
          <w:rFonts w:cs="Times New Roman"/>
          <w:sz w:val="24"/>
          <w:szCs w:val="24"/>
        </w:rPr>
        <w:t>Compared to the driving forces, there are also some restraining forces against</w:t>
      </w:r>
      <w:r>
        <w:rPr>
          <w:rFonts w:hint="eastAsia" w:cs="Times New Roman"/>
          <w:sz w:val="24"/>
          <w:szCs w:val="24"/>
        </w:rPr>
        <w:t xml:space="preserve"> </w:t>
      </w:r>
      <w:r>
        <w:rPr>
          <w:rFonts w:cs="Times New Roman"/>
          <w:sz w:val="24"/>
          <w:szCs w:val="24"/>
        </w:rPr>
        <w:t>the UN’s business system change (see Figure 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(1) Familiarity and inertia</w:t>
      </w:r>
    </w:p>
    <w:p>
      <w:pPr>
        <w:spacing w:line="480" w:lineRule="auto"/>
        <w:rPr>
          <w:rFonts w:cs="Times New Roman"/>
          <w:sz w:val="24"/>
          <w:szCs w:val="24"/>
        </w:rPr>
      </w:pPr>
      <w:r>
        <w:rPr>
          <w:rFonts w:cs="Times New Roman"/>
          <w:sz w:val="24"/>
          <w:szCs w:val="24"/>
        </w:rPr>
        <w:t>Employees became proficient in the IMIS system, and transitioning to Umoja means learning and adapting to new business process, which could create habitual resistance.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(2) Uncertainty</w:t>
      </w:r>
    </w:p>
    <w:p>
      <w:pPr>
        <w:spacing w:line="480" w:lineRule="auto"/>
        <w:rPr>
          <w:rFonts w:cs="Times New Roman"/>
          <w:sz w:val="24"/>
          <w:szCs w:val="24"/>
        </w:rPr>
      </w:pPr>
      <w:r>
        <w:rPr>
          <w:rFonts w:cs="Times New Roman"/>
          <w:sz w:val="24"/>
          <w:szCs w:val="24"/>
        </w:rPr>
        <w:t>Whether Umoja is applicable and what impact it will have could make employees feel uneasy and anxious, which was a source of resistance (Cummings &amp; Worley, 2014).</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(3) An increase in workload</w:t>
      </w:r>
    </w:p>
    <w:p>
      <w:pPr>
        <w:spacing w:line="480" w:lineRule="auto"/>
        <w:rPr>
          <w:rFonts w:cs="Times New Roman"/>
          <w:sz w:val="24"/>
          <w:szCs w:val="24"/>
        </w:rPr>
      </w:pPr>
      <w:r>
        <w:rPr>
          <w:rFonts w:cs="Times New Roman"/>
          <w:sz w:val="24"/>
          <w:szCs w:val="24"/>
        </w:rPr>
        <w:t>The training and trial operation process of Umoja may temporarily increase the workload of employees, which was also a resistance against this change.</w:t>
      </w:r>
    </w:p>
    <w:p>
      <w:pPr>
        <w:spacing w:line="480" w:lineRule="auto"/>
        <w:rPr>
          <w:rFonts w:cs="Times New Roman"/>
          <w:sz w:val="24"/>
          <w:szCs w:val="24"/>
        </w:rPr>
      </w:pPr>
      <w:r>
        <w:rPr>
          <w:rFonts w:cs="Times New Roman"/>
          <w:sz w:val="24"/>
          <w:szCs w:val="24"/>
        </w:rPr>
        <w:t>(4) Stakeholder dissatisfaction</w:t>
      </w:r>
    </w:p>
    <w:p>
      <w:pPr>
        <w:spacing w:line="480" w:lineRule="auto"/>
        <w:rPr>
          <w:rFonts w:cs="Times New Roman"/>
          <w:sz w:val="24"/>
          <w:szCs w:val="24"/>
        </w:rPr>
      </w:pPr>
      <w:r>
        <w:rPr>
          <w:rFonts w:cs="Times New Roman"/>
          <w:sz w:val="24"/>
          <w:szCs w:val="24"/>
        </w:rPr>
        <w:t xml:space="preserve">Some departments or individuals may face resource restructuring or role changes due to the adoption of Umoja, which could lead to dissatisfaction and resistance from stakeholders </w:t>
      </w:r>
      <w:r>
        <w:rPr>
          <w:rFonts w:hint="eastAsia" w:cs="Times New Roman"/>
          <w:sz w:val="24"/>
          <w:szCs w:val="24"/>
        </w:rPr>
        <w:t>(</w:t>
      </w:r>
      <w:r>
        <w:rPr>
          <w:rFonts w:cs="Times New Roman"/>
          <w:sz w:val="24"/>
          <w:szCs w:val="24"/>
        </w:rPr>
        <w:t>Nadim &amp; Singh, 2019).</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(5) Technical barriers</w:t>
      </w:r>
    </w:p>
    <w:p>
      <w:pPr>
        <w:spacing w:line="480" w:lineRule="auto"/>
        <w:rPr>
          <w:rFonts w:cs="Times New Roman"/>
          <w:sz w:val="24"/>
          <w:szCs w:val="24"/>
        </w:rPr>
      </w:pPr>
      <w:r>
        <w:rPr>
          <w:rFonts w:cs="Times New Roman"/>
          <w:sz w:val="24"/>
          <w:szCs w:val="24"/>
        </w:rPr>
        <w:t xml:space="preserve">The adoption of Umoja may temporarily interrupt the UN’s businesses or result in data loss, which could be seen as a technical resistance factor </w:t>
      </w:r>
      <w:r>
        <w:rPr>
          <w:rFonts w:hint="eastAsia" w:cs="Times New Roman"/>
          <w:sz w:val="24"/>
          <w:szCs w:val="24"/>
        </w:rPr>
        <w:t>(</w:t>
      </w:r>
      <w:r>
        <w:rPr>
          <w:rFonts w:cs="Times New Roman"/>
          <w:sz w:val="24"/>
          <w:szCs w:val="24"/>
        </w:rPr>
        <w:t>Maddox, 2021).</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4" w:name="_Toc134034355"/>
      <w:r>
        <w:rPr>
          <w:rFonts w:ascii="Times New Roman" w:hAnsi="Times New Roman" w:eastAsia="宋体" w:cs="Times New Roman"/>
          <w:sz w:val="24"/>
          <w:szCs w:val="24"/>
        </w:rPr>
        <w:t>2.5.3 Solutions</w:t>
      </w:r>
      <w:bookmarkEnd w:id="14"/>
    </w:p>
    <w:p>
      <w:pPr>
        <w:spacing w:line="480" w:lineRule="auto"/>
        <w:rPr>
          <w:rFonts w:cs="Times New Roman"/>
          <w:sz w:val="24"/>
          <w:szCs w:val="24"/>
        </w:rPr>
      </w:pPr>
      <w:r>
        <w:rPr>
          <w:rFonts w:cs="Times New Roman"/>
          <w:sz w:val="24"/>
          <w:szCs w:val="24"/>
        </w:rPr>
        <w:t>The key to the successful transformation from IMIS to Umoja lies in the UN’s effective measures to address the impact of various restraining forces, including:</w:t>
      </w:r>
    </w:p>
    <w:p>
      <w:pPr>
        <w:spacing w:line="480" w:lineRule="auto"/>
        <w:rPr>
          <w:rFonts w:cs="Times New Roman"/>
          <w:sz w:val="24"/>
          <w:szCs w:val="24"/>
        </w:rPr>
      </w:pPr>
    </w:p>
    <w:p>
      <w:pPr>
        <w:pStyle w:val="14"/>
        <w:numPr>
          <w:ilvl w:val="0"/>
          <w:numId w:val="1"/>
        </w:numPr>
        <w:spacing w:line="480" w:lineRule="auto"/>
        <w:ind w:firstLineChars="0"/>
        <w:rPr>
          <w:rFonts w:cs="Times New Roman"/>
          <w:sz w:val="24"/>
          <w:szCs w:val="24"/>
        </w:rPr>
      </w:pPr>
      <w:r>
        <w:rPr>
          <w:rFonts w:cs="Times New Roman"/>
          <w:sz w:val="24"/>
          <w:szCs w:val="24"/>
        </w:rPr>
        <w:t xml:space="preserve">Strengthen training and publicity to enhance employees’ awareness of change and reduce their inertia and uncertainty </w:t>
      </w:r>
      <w:r>
        <w:rPr>
          <w:rFonts w:hint="eastAsia" w:cs="Times New Roman"/>
          <w:sz w:val="24"/>
          <w:szCs w:val="24"/>
        </w:rPr>
        <w:t>(</w:t>
      </w:r>
      <w:r>
        <w:rPr>
          <w:rFonts w:cs="Times New Roman"/>
          <w:sz w:val="24"/>
          <w:szCs w:val="24"/>
        </w:rPr>
        <w:t>Greenfield, 2008);</w:t>
      </w:r>
    </w:p>
    <w:p>
      <w:pPr>
        <w:pStyle w:val="14"/>
        <w:numPr>
          <w:ilvl w:val="0"/>
          <w:numId w:val="1"/>
        </w:numPr>
        <w:spacing w:line="480" w:lineRule="auto"/>
        <w:ind w:firstLineChars="0"/>
        <w:rPr>
          <w:rFonts w:cs="Times New Roman"/>
          <w:sz w:val="24"/>
          <w:szCs w:val="24"/>
        </w:rPr>
      </w:pPr>
      <w:r>
        <w:rPr>
          <w:rFonts w:cs="Times New Roman"/>
          <w:sz w:val="24"/>
          <w:szCs w:val="24"/>
        </w:rPr>
        <w:t>Select appropriate pilot sites to test Umoja and cultivate more changers to enhance the impact of change;</w:t>
      </w:r>
    </w:p>
    <w:p>
      <w:pPr>
        <w:pStyle w:val="14"/>
        <w:numPr>
          <w:ilvl w:val="0"/>
          <w:numId w:val="1"/>
        </w:numPr>
        <w:spacing w:line="480" w:lineRule="auto"/>
        <w:ind w:firstLineChars="0"/>
        <w:rPr>
          <w:rFonts w:cs="Times New Roman"/>
          <w:sz w:val="24"/>
          <w:szCs w:val="24"/>
        </w:rPr>
      </w:pPr>
      <w:r>
        <w:rPr>
          <w:rFonts w:cs="Times New Roman"/>
          <w:sz w:val="24"/>
          <w:szCs w:val="24"/>
        </w:rPr>
        <w:t>Improve the implementation plan to reduce employees’ workload and technical barriers;</w:t>
      </w:r>
    </w:p>
    <w:p>
      <w:pPr>
        <w:pStyle w:val="14"/>
        <w:numPr>
          <w:ilvl w:val="0"/>
          <w:numId w:val="1"/>
        </w:numPr>
        <w:spacing w:line="480" w:lineRule="auto"/>
        <w:ind w:firstLineChars="0"/>
        <w:rPr>
          <w:rFonts w:cs="Times New Roman"/>
          <w:sz w:val="24"/>
          <w:szCs w:val="24"/>
        </w:rPr>
      </w:pPr>
      <w:r>
        <w:rPr>
          <w:rFonts w:cs="Times New Roman"/>
          <w:sz w:val="24"/>
          <w:szCs w:val="24"/>
        </w:rPr>
        <w:t>Properly handle stakeholder dissatisfaction and make them become promoters of change;</w:t>
      </w:r>
    </w:p>
    <w:p>
      <w:pPr>
        <w:pStyle w:val="14"/>
        <w:numPr>
          <w:ilvl w:val="0"/>
          <w:numId w:val="1"/>
        </w:numPr>
        <w:spacing w:line="480" w:lineRule="auto"/>
        <w:ind w:firstLineChars="0"/>
        <w:rPr>
          <w:rFonts w:cs="Times New Roman"/>
          <w:sz w:val="24"/>
          <w:szCs w:val="24"/>
        </w:rPr>
      </w:pPr>
      <w:r>
        <w:rPr>
          <w:rFonts w:cs="Times New Roman"/>
          <w:sz w:val="24"/>
          <w:szCs w:val="24"/>
        </w:rPr>
        <w:t>Flexibly respond to environmental changes to reduce employees’ anxiety and resistance and create a stable environment for deepening change (Carnall &amp; Todnem, 2014).</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summary, the above driving factors together drove the UN to overcome restraining forces and successfully transit from IMIS to Umoja. The management team weakened the negative impact of restraining forces by developing practical and feasible change plans and using effective change management methods, and ultimately successfully conducted this business system change.</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5" w:name="_Toc134034356"/>
      <w:r>
        <w:rPr>
          <w:rFonts w:ascii="Times New Roman" w:hAnsi="Times New Roman" w:eastAsia="宋体" w:cs="Times New Roman"/>
          <w:sz w:val="24"/>
          <w:szCs w:val="24"/>
        </w:rPr>
        <w:t>2.6 Stakeholder Analysis</w:t>
      </w:r>
      <w:bookmarkEnd w:id="15"/>
    </w:p>
    <w:p>
      <w:pPr>
        <w:pStyle w:val="3"/>
        <w:spacing w:before="0" w:after="0" w:line="480" w:lineRule="auto"/>
        <w:rPr>
          <w:rFonts w:ascii="Times New Roman" w:hAnsi="Times New Roman" w:eastAsia="宋体" w:cs="Times New Roman"/>
          <w:sz w:val="24"/>
          <w:szCs w:val="24"/>
        </w:rPr>
      </w:pPr>
      <w:bookmarkStart w:id="16" w:name="_Toc134034357"/>
      <w:r>
        <w:rPr>
          <w:rFonts w:ascii="Times New Roman" w:hAnsi="Times New Roman" w:eastAsia="宋体" w:cs="Times New Roman"/>
          <w:sz w:val="24"/>
          <w:szCs w:val="24"/>
        </w:rPr>
        <w:t>2.6.1 Stakeholder map</w:t>
      </w:r>
      <w:bookmarkEnd w:id="16"/>
    </w:p>
    <w:p>
      <w:pPr>
        <w:spacing w:line="480" w:lineRule="auto"/>
        <w:jc w:val="center"/>
        <w:rPr>
          <w:rFonts w:cs="Times New Roman"/>
          <w:sz w:val="24"/>
          <w:szCs w:val="24"/>
        </w:rPr>
      </w:pPr>
      <w:r>
        <w:drawing>
          <wp:inline distT="0" distB="0" distL="0" distR="0">
            <wp:extent cx="5272405" cy="2067560"/>
            <wp:effectExtent l="0" t="0" r="4445" b="8890"/>
            <wp:docPr id="129196481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964812" name="图片 1"/>
                    <pic:cNvPicPr>
                      <a:picLocks noChangeAspect="1"/>
                    </pic:cNvPicPr>
                  </pic:nvPicPr>
                  <pic:blipFill>
                    <a:blip r:embed="rId7"/>
                    <a:stretch>
                      <a:fillRect/>
                    </a:stretch>
                  </pic:blipFill>
                  <pic:spPr>
                    <a:xfrm>
                      <a:off x="0" y="0"/>
                      <a:ext cx="5290322" cy="2074344"/>
                    </a:xfrm>
                    <a:prstGeom prst="rect">
                      <a:avLst/>
                    </a:prstGeom>
                  </pic:spPr>
                </pic:pic>
              </a:graphicData>
            </a:graphic>
          </wp:inline>
        </w:drawing>
      </w:r>
    </w:p>
    <w:p>
      <w:pPr>
        <w:spacing w:line="480" w:lineRule="auto"/>
        <w:jc w:val="center"/>
        <w:rPr>
          <w:rFonts w:cs="Times New Roman"/>
          <w:sz w:val="24"/>
          <w:szCs w:val="24"/>
        </w:rPr>
      </w:pPr>
      <w:r>
        <w:rPr>
          <w:rFonts w:cs="Times New Roman"/>
          <w:sz w:val="24"/>
          <w:szCs w:val="24"/>
        </w:rPr>
        <w:t>Figure 3: Stakeholder map</w:t>
      </w:r>
    </w:p>
    <w:p>
      <w:pPr>
        <w:spacing w:line="480" w:lineRule="auto"/>
        <w:jc w:val="center"/>
        <w:rPr>
          <w:rFonts w:cs="Times New Roman"/>
          <w:sz w:val="24"/>
          <w:szCs w:val="24"/>
        </w:rPr>
      </w:pPr>
      <w:r>
        <w:rPr>
          <w:rFonts w:cs="Times New Roman"/>
          <w:sz w:val="24"/>
          <w:szCs w:val="24"/>
        </w:rPr>
        <w:t>(Mendelow, 1991)</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A</w:t>
      </w:r>
      <w:r>
        <w:rPr>
          <w:rFonts w:cs="Times New Roman"/>
          <w:sz w:val="24"/>
          <w:szCs w:val="24"/>
        </w:rPr>
        <w:t>ccording to the stakeholder map, stakeholders involved in the UN’s business system change were mainly divided into the following four categories.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Governments of UN member states have relatively higher power and higher interest. For example, they have higher decision-making power, especially major donors (such as the U.S., China, etc.). In the fiscal year 2022, the U.S. had the highest UN membership fee of $623 million, followed by China ($438 million) (United Nations Security Council, 2023).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Certain departments within UN had higher power but lower interest. For example, the UN General Assembly Affairs Department needed to adjust resource allocation and job responsibilities during the initial implementation of Umoja.</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The UN staff had lower power but higher interest. Umoja has changed the daily work of over 38,000 UN staff, who belonged to the interest groups that need to be taken care of (Umoja, 2023).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Suppliers and partners had lower power and lower interest and belonged to the surrounding groups.</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7" w:name="_Toc134034358"/>
      <w:r>
        <w:rPr>
          <w:rFonts w:ascii="Times New Roman" w:hAnsi="Times New Roman" w:eastAsia="宋体" w:cs="Times New Roman"/>
          <w:sz w:val="24"/>
          <w:szCs w:val="24"/>
        </w:rPr>
        <w:t>2.6.2 Stakeholder roles and strategies</w:t>
      </w:r>
      <w:bookmarkEnd w:id="17"/>
    </w:p>
    <w:p>
      <w:pPr>
        <w:spacing w:line="480" w:lineRule="auto"/>
        <w:rPr>
          <w:rFonts w:cs="Times New Roman"/>
          <w:sz w:val="24"/>
          <w:szCs w:val="24"/>
        </w:rPr>
      </w:pPr>
      <w:r>
        <w:rPr>
          <w:rFonts w:cs="Times New Roman"/>
          <w:sz w:val="24"/>
          <w:szCs w:val="24"/>
        </w:rPr>
        <w:t>For those four categories of stakeholders, they played different roles in this business system change, and the UN adopted different strategies to ensure the smooth implementation of this change (see Table 1).</w:t>
      </w:r>
    </w:p>
    <w:p>
      <w:pPr>
        <w:spacing w:line="480" w:lineRule="auto"/>
        <w:rPr>
          <w:rFonts w:cs="Times New Roman"/>
          <w:sz w:val="24"/>
          <w:szCs w:val="24"/>
        </w:rPr>
      </w:pPr>
    </w:p>
    <w:p>
      <w:pPr>
        <w:spacing w:line="480" w:lineRule="auto"/>
        <w:jc w:val="center"/>
        <w:rPr>
          <w:rFonts w:cs="Times New Roman"/>
          <w:sz w:val="24"/>
          <w:szCs w:val="24"/>
        </w:rPr>
      </w:pPr>
      <w:r>
        <w:rPr>
          <w:rFonts w:hint="eastAsia" w:cs="Times New Roman"/>
          <w:sz w:val="24"/>
          <w:szCs w:val="24"/>
        </w:rPr>
        <w:t>T</w:t>
      </w:r>
      <w:r>
        <w:rPr>
          <w:rFonts w:cs="Times New Roman"/>
          <w:sz w:val="24"/>
          <w:szCs w:val="24"/>
        </w:rPr>
        <w:t>able 1: Stakeholder roles and strategies</w:t>
      </w:r>
    </w:p>
    <w:tbl>
      <w:tblPr>
        <w:tblStyle w:val="8"/>
        <w:tblW w:w="9776"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273"/>
        <w:gridCol w:w="2258"/>
        <w:gridCol w:w="524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73" w:type="dxa"/>
          </w:tcPr>
          <w:p>
            <w:pPr>
              <w:spacing w:line="480" w:lineRule="auto"/>
              <w:jc w:val="center"/>
              <w:rPr>
                <w:rFonts w:cs="Times New Roman"/>
                <w:b/>
                <w:bCs/>
                <w:sz w:val="24"/>
                <w:szCs w:val="24"/>
              </w:rPr>
            </w:pPr>
            <w:r>
              <w:rPr>
                <w:rFonts w:hint="eastAsia" w:cs="Times New Roman"/>
                <w:b/>
                <w:bCs/>
                <w:sz w:val="24"/>
                <w:szCs w:val="24"/>
              </w:rPr>
              <w:t>S</w:t>
            </w:r>
            <w:r>
              <w:rPr>
                <w:rFonts w:cs="Times New Roman"/>
                <w:b/>
                <w:bCs/>
                <w:sz w:val="24"/>
                <w:szCs w:val="24"/>
              </w:rPr>
              <w:t>takeholders</w:t>
            </w:r>
          </w:p>
        </w:tc>
        <w:tc>
          <w:tcPr>
            <w:tcW w:w="2258" w:type="dxa"/>
          </w:tcPr>
          <w:p>
            <w:pPr>
              <w:spacing w:line="480" w:lineRule="auto"/>
              <w:jc w:val="center"/>
              <w:rPr>
                <w:rFonts w:cs="Times New Roman"/>
                <w:b/>
                <w:bCs/>
                <w:sz w:val="24"/>
                <w:szCs w:val="24"/>
              </w:rPr>
            </w:pPr>
            <w:r>
              <w:rPr>
                <w:rFonts w:cs="Times New Roman"/>
                <w:b/>
                <w:bCs/>
                <w:sz w:val="24"/>
                <w:szCs w:val="24"/>
              </w:rPr>
              <w:t>Stakeholder roles</w:t>
            </w:r>
          </w:p>
        </w:tc>
        <w:tc>
          <w:tcPr>
            <w:tcW w:w="5245" w:type="dxa"/>
          </w:tcPr>
          <w:p>
            <w:pPr>
              <w:spacing w:line="480" w:lineRule="auto"/>
              <w:jc w:val="center"/>
              <w:rPr>
                <w:rFonts w:cs="Times New Roman"/>
                <w:b/>
                <w:bCs/>
                <w:sz w:val="24"/>
                <w:szCs w:val="24"/>
              </w:rPr>
            </w:pPr>
            <w:r>
              <w:rPr>
                <w:rFonts w:cs="Times New Roman"/>
                <w:b/>
                <w:bCs/>
                <w:sz w:val="24"/>
                <w:szCs w:val="24"/>
              </w:rPr>
              <w:t>Strategies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73" w:type="dxa"/>
          </w:tcPr>
          <w:p>
            <w:pPr>
              <w:spacing w:line="480" w:lineRule="auto"/>
              <w:rPr>
                <w:rFonts w:cs="Times New Roman"/>
                <w:sz w:val="24"/>
                <w:szCs w:val="24"/>
              </w:rPr>
            </w:pPr>
            <w:r>
              <w:rPr>
                <w:rFonts w:cs="Times New Roman"/>
                <w:sz w:val="24"/>
                <w:szCs w:val="24"/>
              </w:rPr>
              <w:t>Governments of UN member states</w:t>
            </w:r>
          </w:p>
        </w:tc>
        <w:tc>
          <w:tcPr>
            <w:tcW w:w="2258" w:type="dxa"/>
          </w:tcPr>
          <w:p>
            <w:pPr>
              <w:spacing w:line="480" w:lineRule="auto"/>
              <w:rPr>
                <w:rFonts w:cs="Times New Roman"/>
                <w:sz w:val="24"/>
                <w:szCs w:val="24"/>
              </w:rPr>
            </w:pPr>
            <w:r>
              <w:rPr>
                <w:rFonts w:cs="Times New Roman"/>
                <w:sz w:val="24"/>
                <w:szCs w:val="24"/>
              </w:rPr>
              <w:t>Sponsors and funders of change</w:t>
            </w:r>
          </w:p>
        </w:tc>
        <w:tc>
          <w:tcPr>
            <w:tcW w:w="5245" w:type="dxa"/>
          </w:tcPr>
          <w:p>
            <w:pPr>
              <w:spacing w:line="480" w:lineRule="auto"/>
              <w:rPr>
                <w:rFonts w:cs="Times New Roman"/>
                <w:sz w:val="24"/>
                <w:szCs w:val="24"/>
              </w:rPr>
            </w:pPr>
            <w:r>
              <w:rPr>
                <w:rFonts w:cs="Times New Roman"/>
                <w:sz w:val="24"/>
                <w:szCs w:val="24"/>
              </w:rPr>
              <w:t>Strengthened communication with them and ensured their participation and decision-making power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73" w:type="dxa"/>
          </w:tcPr>
          <w:p>
            <w:pPr>
              <w:spacing w:line="480" w:lineRule="auto"/>
              <w:rPr>
                <w:rFonts w:cs="Times New Roman"/>
                <w:sz w:val="24"/>
                <w:szCs w:val="24"/>
              </w:rPr>
            </w:pPr>
            <w:r>
              <w:rPr>
                <w:rFonts w:cs="Times New Roman"/>
                <w:sz w:val="24"/>
                <w:szCs w:val="24"/>
              </w:rPr>
              <w:t>Certain departments within UN</w:t>
            </w:r>
          </w:p>
        </w:tc>
        <w:tc>
          <w:tcPr>
            <w:tcW w:w="2258" w:type="dxa"/>
          </w:tcPr>
          <w:p>
            <w:pPr>
              <w:spacing w:line="480" w:lineRule="auto"/>
              <w:rPr>
                <w:rFonts w:cs="Times New Roman"/>
                <w:sz w:val="24"/>
                <w:szCs w:val="24"/>
              </w:rPr>
            </w:pPr>
            <w:r>
              <w:rPr>
                <w:rFonts w:cs="Times New Roman"/>
                <w:sz w:val="24"/>
                <w:szCs w:val="24"/>
              </w:rPr>
              <w:t>Potential obstacles to change</w:t>
            </w:r>
          </w:p>
        </w:tc>
        <w:tc>
          <w:tcPr>
            <w:tcW w:w="5245" w:type="dxa"/>
          </w:tcPr>
          <w:p>
            <w:pPr>
              <w:spacing w:line="480" w:lineRule="auto"/>
              <w:rPr>
                <w:rFonts w:cs="Times New Roman"/>
                <w:sz w:val="24"/>
                <w:szCs w:val="24"/>
              </w:rPr>
            </w:pPr>
            <w:r>
              <w:rPr>
                <w:rFonts w:cs="Times New Roman"/>
                <w:sz w:val="24"/>
                <w:szCs w:val="24"/>
              </w:rPr>
              <w:t>Actively negotiated with them and properly addressed their dissatisfaction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73" w:type="dxa"/>
          </w:tcPr>
          <w:p>
            <w:pPr>
              <w:spacing w:line="480" w:lineRule="auto"/>
              <w:rPr>
                <w:rFonts w:cs="Times New Roman"/>
                <w:sz w:val="24"/>
                <w:szCs w:val="24"/>
              </w:rPr>
            </w:pPr>
            <w:r>
              <w:rPr>
                <w:rFonts w:cs="Times New Roman"/>
                <w:sz w:val="24"/>
                <w:szCs w:val="24"/>
              </w:rPr>
              <w:t>The UN staff</w:t>
            </w:r>
          </w:p>
        </w:tc>
        <w:tc>
          <w:tcPr>
            <w:tcW w:w="2258" w:type="dxa"/>
          </w:tcPr>
          <w:p>
            <w:pPr>
              <w:spacing w:line="480" w:lineRule="auto"/>
              <w:rPr>
                <w:rFonts w:cs="Times New Roman"/>
                <w:sz w:val="24"/>
                <w:szCs w:val="24"/>
              </w:rPr>
            </w:pPr>
            <w:r>
              <w:rPr>
                <w:rFonts w:cs="Times New Roman"/>
                <w:sz w:val="24"/>
                <w:szCs w:val="24"/>
              </w:rPr>
              <w:t>Implementers and influencers of change</w:t>
            </w:r>
          </w:p>
        </w:tc>
        <w:tc>
          <w:tcPr>
            <w:tcW w:w="5245" w:type="dxa"/>
          </w:tcPr>
          <w:p>
            <w:pPr>
              <w:spacing w:line="480" w:lineRule="auto"/>
              <w:rPr>
                <w:rFonts w:cs="Times New Roman"/>
                <w:sz w:val="24"/>
                <w:szCs w:val="24"/>
              </w:rPr>
            </w:pPr>
            <w:r>
              <w:rPr>
                <w:rFonts w:cs="Times New Roman"/>
                <w:sz w:val="24"/>
                <w:szCs w:val="24"/>
              </w:rPr>
              <w:t>Strengthened training and support to maximise their interests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2273" w:type="dxa"/>
          </w:tcPr>
          <w:p>
            <w:pPr>
              <w:spacing w:line="480" w:lineRule="auto"/>
              <w:rPr>
                <w:rFonts w:cs="Times New Roman"/>
                <w:sz w:val="24"/>
                <w:szCs w:val="24"/>
              </w:rPr>
            </w:pPr>
            <w:r>
              <w:rPr>
                <w:rFonts w:cs="Times New Roman"/>
                <w:sz w:val="24"/>
                <w:szCs w:val="24"/>
              </w:rPr>
              <w:t>Suppliers and partners</w:t>
            </w:r>
          </w:p>
        </w:tc>
        <w:tc>
          <w:tcPr>
            <w:tcW w:w="2258" w:type="dxa"/>
          </w:tcPr>
          <w:p>
            <w:pPr>
              <w:spacing w:line="480" w:lineRule="auto"/>
              <w:rPr>
                <w:rFonts w:cs="Times New Roman"/>
                <w:sz w:val="24"/>
                <w:szCs w:val="24"/>
              </w:rPr>
            </w:pPr>
            <w:r>
              <w:rPr>
                <w:rFonts w:cs="Times New Roman"/>
                <w:sz w:val="24"/>
                <w:szCs w:val="24"/>
              </w:rPr>
              <w:t>Surrounding groups of change</w:t>
            </w:r>
          </w:p>
        </w:tc>
        <w:tc>
          <w:tcPr>
            <w:tcW w:w="5245" w:type="dxa"/>
          </w:tcPr>
          <w:p>
            <w:pPr>
              <w:spacing w:line="480" w:lineRule="auto"/>
              <w:rPr>
                <w:rFonts w:cs="Times New Roman"/>
                <w:sz w:val="24"/>
                <w:szCs w:val="24"/>
              </w:rPr>
            </w:pPr>
            <w:r>
              <w:rPr>
                <w:rFonts w:cs="Times New Roman"/>
                <w:sz w:val="24"/>
                <w:szCs w:val="24"/>
              </w:rPr>
              <w:t>Conducted timely communication with them and gained their support and cooperation</w:t>
            </w:r>
          </w:p>
        </w:tc>
      </w:tr>
    </w:tbl>
    <w:p>
      <w:pPr>
        <w:spacing w:line="480" w:lineRule="auto"/>
        <w:jc w:val="center"/>
        <w:rPr>
          <w:rFonts w:cs="Times New Roman"/>
          <w:sz w:val="24"/>
          <w:szCs w:val="24"/>
        </w:rPr>
      </w:pPr>
      <w:r>
        <w:rPr>
          <w:rFonts w:hint="eastAsia" w:cs="Times New Roman"/>
          <w:sz w:val="24"/>
          <w:szCs w:val="24"/>
        </w:rPr>
        <w:t>(</w:t>
      </w:r>
      <w:r>
        <w:rPr>
          <w:rFonts w:cs="Times New Roman"/>
          <w:sz w:val="24"/>
          <w:szCs w:val="24"/>
        </w:rPr>
        <w:t>Buchanan &amp; Badham, 2008; Burnes, 2017; Cameron &amp; Green, 2020)</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18" w:name="_Toc134034359"/>
      <w:r>
        <w:rPr>
          <w:rFonts w:ascii="Times New Roman" w:hAnsi="Times New Roman" w:eastAsia="宋体" w:cs="Times New Roman"/>
          <w:sz w:val="24"/>
          <w:szCs w:val="24"/>
        </w:rPr>
        <w:t>2.7 Assessment of Change</w:t>
      </w:r>
      <w:bookmarkEnd w:id="18"/>
    </w:p>
    <w:p>
      <w:pPr>
        <w:pStyle w:val="3"/>
        <w:spacing w:before="0" w:after="0" w:line="480" w:lineRule="auto"/>
        <w:rPr>
          <w:rFonts w:ascii="Times New Roman" w:hAnsi="Times New Roman" w:eastAsia="宋体" w:cs="Times New Roman"/>
          <w:sz w:val="24"/>
          <w:szCs w:val="24"/>
        </w:rPr>
      </w:pPr>
      <w:bookmarkStart w:id="19" w:name="_Toc134034360"/>
      <w:r>
        <w:rPr>
          <w:rFonts w:ascii="Times New Roman" w:hAnsi="Times New Roman" w:eastAsia="宋体" w:cs="Times New Roman"/>
          <w:sz w:val="24"/>
          <w:szCs w:val="24"/>
        </w:rPr>
        <w:t>2.7.1 Evaluation of change process</w:t>
      </w:r>
      <w:bookmarkEnd w:id="19"/>
    </w:p>
    <w:p>
      <w:pPr>
        <w:spacing w:line="480" w:lineRule="auto"/>
        <w:jc w:val="center"/>
        <w:rPr>
          <w:rFonts w:cs="Times New Roman"/>
          <w:b/>
          <w:bCs/>
          <w:sz w:val="24"/>
          <w:szCs w:val="24"/>
        </w:rPr>
      </w:pPr>
      <w:r>
        <w:rPr>
          <w:sz w:val="24"/>
          <w:szCs w:val="24"/>
        </w:rPr>
        <w:drawing>
          <wp:inline distT="0" distB="0" distL="0" distR="0">
            <wp:extent cx="5274310" cy="2392680"/>
            <wp:effectExtent l="0" t="0" r="2540" b="7620"/>
            <wp:docPr id="25152204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522041" name="图片 1"/>
                    <pic:cNvPicPr>
                      <a:picLocks noChangeAspect="1"/>
                    </pic:cNvPicPr>
                  </pic:nvPicPr>
                  <pic:blipFill>
                    <a:blip r:embed="rId8"/>
                    <a:stretch>
                      <a:fillRect/>
                    </a:stretch>
                  </pic:blipFill>
                  <pic:spPr>
                    <a:xfrm>
                      <a:off x="0" y="0"/>
                      <a:ext cx="5274310" cy="2392680"/>
                    </a:xfrm>
                    <a:prstGeom prst="rect">
                      <a:avLst/>
                    </a:prstGeom>
                  </pic:spPr>
                </pic:pic>
              </a:graphicData>
            </a:graphic>
          </wp:inline>
        </w:drawing>
      </w:r>
    </w:p>
    <w:p>
      <w:pPr>
        <w:spacing w:line="480" w:lineRule="auto"/>
        <w:jc w:val="center"/>
        <w:rPr>
          <w:rFonts w:cs="Times New Roman"/>
          <w:sz w:val="24"/>
          <w:szCs w:val="24"/>
        </w:rPr>
      </w:pPr>
      <w:r>
        <w:rPr>
          <w:rFonts w:cs="Times New Roman"/>
          <w:sz w:val="24"/>
          <w:szCs w:val="24"/>
        </w:rPr>
        <w:t>Figure 4: Kotter’s 8 step model</w:t>
      </w:r>
    </w:p>
    <w:p>
      <w:pPr>
        <w:spacing w:line="480" w:lineRule="auto"/>
        <w:jc w:val="center"/>
        <w:rPr>
          <w:rFonts w:cs="Times New Roman"/>
          <w:sz w:val="24"/>
          <w:szCs w:val="24"/>
        </w:rPr>
      </w:pPr>
      <w:r>
        <w:rPr>
          <w:rFonts w:hint="eastAsia" w:cs="Times New Roman"/>
          <w:sz w:val="24"/>
          <w:szCs w:val="24"/>
        </w:rPr>
        <w:t>(</w:t>
      </w:r>
      <w:r>
        <w:rPr>
          <w:rFonts w:cs="Times New Roman"/>
          <w:sz w:val="24"/>
          <w:szCs w:val="24"/>
        </w:rPr>
        <w:t>Kotter, 2009)</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According to Kotter’s (2009) 8 step model, the evaluation of the UN’s change process from IMIS to Umoja is as follows.</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1) Create urgency (9/10)</w:t>
      </w:r>
    </w:p>
    <w:p>
      <w:pPr>
        <w:spacing w:line="480" w:lineRule="auto"/>
        <w:rPr>
          <w:rFonts w:cs="Times New Roman"/>
          <w:sz w:val="24"/>
          <w:szCs w:val="24"/>
        </w:rPr>
      </w:pPr>
      <w:r>
        <w:rPr>
          <w:rFonts w:cs="Times New Roman"/>
          <w:sz w:val="24"/>
          <w:szCs w:val="24"/>
        </w:rPr>
        <w:t>The UN management recognised that the IMIS system is difficult to meet the expanding business needs and financial regulatory requirements of the UN, and there is an urgent need for a new system to improve work efficiency and transparency. This established a sense of urgency and necessity to drive this change.</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2) Form a powerful coalition (7/10)</w:t>
      </w:r>
    </w:p>
    <w:p>
      <w:pPr>
        <w:spacing w:line="480" w:lineRule="auto"/>
        <w:rPr>
          <w:rFonts w:cs="Times New Roman"/>
          <w:sz w:val="24"/>
          <w:szCs w:val="24"/>
        </w:rPr>
      </w:pPr>
      <w:r>
        <w:rPr>
          <w:rFonts w:cs="Times New Roman"/>
          <w:sz w:val="24"/>
          <w:szCs w:val="24"/>
        </w:rPr>
        <w:t>The UN management and representatives of member states formed the Umoja Project Steering Committee, which served as alliance leaders to organise the change process.</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3) Create a vision for change (8/10)</w:t>
      </w:r>
    </w:p>
    <w:p>
      <w:pPr>
        <w:spacing w:line="480" w:lineRule="auto"/>
        <w:rPr>
          <w:rFonts w:cs="Times New Roman"/>
          <w:sz w:val="24"/>
          <w:szCs w:val="24"/>
        </w:rPr>
      </w:pPr>
      <w:r>
        <w:rPr>
          <w:rFonts w:cs="Times New Roman"/>
          <w:sz w:val="24"/>
          <w:szCs w:val="24"/>
        </w:rPr>
        <w:t>The Umoja project aimed to create an efficient, standardised and modular business management system to satisfy the current and future needs of UN. This gave employees clear expectations for the new system.</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4) Communicate the vision (5/10)</w:t>
      </w:r>
    </w:p>
    <w:p>
      <w:pPr>
        <w:spacing w:line="480" w:lineRule="auto"/>
        <w:rPr>
          <w:rFonts w:cs="Times New Roman"/>
          <w:sz w:val="24"/>
          <w:szCs w:val="24"/>
        </w:rPr>
      </w:pPr>
      <w:r>
        <w:rPr>
          <w:rFonts w:cs="Times New Roman"/>
          <w:sz w:val="24"/>
          <w:szCs w:val="24"/>
        </w:rPr>
        <w:t>The Committee communicated the vision and progress of this change through formal documents and meetings, and promoted it throughout the system to provide employees with a clear understanding of the change. This enhanced employees’ support and response to change.</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5) Empower action (8/10)</w:t>
      </w:r>
    </w:p>
    <w:p>
      <w:pPr>
        <w:spacing w:line="480" w:lineRule="auto"/>
        <w:rPr>
          <w:rFonts w:cs="Times New Roman"/>
          <w:sz w:val="24"/>
          <w:szCs w:val="24"/>
        </w:rPr>
      </w:pPr>
      <w:r>
        <w:rPr>
          <w:rFonts w:cs="Times New Roman"/>
          <w:sz w:val="24"/>
          <w:szCs w:val="24"/>
        </w:rPr>
        <w:t>The UN Member States provided financial support, authorised the UN Secretariat to be responsible for the implementation of this change, and granted the management necessary power to implement change.</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6) Create quick wins (6/10)</w:t>
      </w:r>
    </w:p>
    <w:p>
      <w:pPr>
        <w:spacing w:line="480" w:lineRule="auto"/>
        <w:rPr>
          <w:rFonts w:cs="Times New Roman"/>
          <w:sz w:val="24"/>
          <w:szCs w:val="24"/>
        </w:rPr>
      </w:pPr>
      <w:r>
        <w:rPr>
          <w:rFonts w:cs="Times New Roman"/>
          <w:sz w:val="24"/>
          <w:szCs w:val="24"/>
        </w:rPr>
        <w:t>The Umoja system was first piloted in a few non critical departments and achieved success during the trial operation period, which led to more people believing in the applicability of Umoja and creating conditions for large-scale promotion.</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7) Build on the change (9/10)</w:t>
      </w:r>
    </w:p>
    <w:p>
      <w:pPr>
        <w:spacing w:line="480" w:lineRule="auto"/>
        <w:rPr>
          <w:rFonts w:cs="Times New Roman"/>
          <w:sz w:val="24"/>
          <w:szCs w:val="24"/>
        </w:rPr>
      </w:pPr>
      <w:r>
        <w:rPr>
          <w:rFonts w:cs="Times New Roman"/>
          <w:sz w:val="24"/>
          <w:szCs w:val="24"/>
        </w:rPr>
        <w:t>The UN management continuously reviewed and improved the Umoja system and implementation plan, and made adjustments based on environmental changes. This provided a foundation for deepening the promotion of change and addressing various challenges in implementation.</w:t>
      </w:r>
    </w:p>
    <w:p>
      <w:pPr>
        <w:spacing w:line="480" w:lineRule="auto"/>
        <w:rPr>
          <w:rFonts w:cs="Times New Roman"/>
          <w:sz w:val="24"/>
          <w:szCs w:val="24"/>
        </w:rPr>
      </w:pPr>
    </w:p>
    <w:p>
      <w:pPr>
        <w:spacing w:line="480" w:lineRule="auto"/>
        <w:rPr>
          <w:rFonts w:cs="Times New Roman"/>
          <w:sz w:val="24"/>
          <w:szCs w:val="24"/>
        </w:rPr>
      </w:pPr>
      <w:r>
        <w:rPr>
          <w:rFonts w:hint="eastAsia" w:cs="Times New Roman"/>
          <w:sz w:val="24"/>
          <w:szCs w:val="24"/>
        </w:rPr>
        <w:t>(</w:t>
      </w:r>
      <w:r>
        <w:rPr>
          <w:rFonts w:cs="Times New Roman"/>
          <w:sz w:val="24"/>
          <w:szCs w:val="24"/>
        </w:rPr>
        <w:t>8) Make it stick (8/10)</w:t>
      </w:r>
    </w:p>
    <w:p>
      <w:pPr>
        <w:spacing w:line="480" w:lineRule="auto"/>
        <w:rPr>
          <w:rFonts w:cs="Times New Roman"/>
          <w:sz w:val="24"/>
          <w:szCs w:val="24"/>
        </w:rPr>
      </w:pPr>
      <w:r>
        <w:rPr>
          <w:rFonts w:cs="Times New Roman"/>
          <w:sz w:val="24"/>
          <w:szCs w:val="24"/>
        </w:rPr>
        <w:t>The implementation of Umoja marked a fundamental change in the UN business management model. The new system has become the dominant mode of organisational management and operation, and the change has achieved a success.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In short, the UN management followed a gradual process of change to promote the successful transformation of its business system from IMIS to Umoja, and achieve a fundamental change of business management model.</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20" w:name="_Toc134034361"/>
      <w:r>
        <w:rPr>
          <w:rFonts w:ascii="Times New Roman" w:hAnsi="Times New Roman" w:eastAsia="宋体" w:cs="Times New Roman"/>
          <w:sz w:val="24"/>
          <w:szCs w:val="24"/>
        </w:rPr>
        <w:t>2.7.2 Effectiveness in reality</w:t>
      </w:r>
      <w:bookmarkEnd w:id="20"/>
    </w:p>
    <w:p>
      <w:pPr>
        <w:spacing w:line="480" w:lineRule="auto"/>
        <w:rPr>
          <w:rFonts w:cs="Times New Roman"/>
          <w:sz w:val="24"/>
          <w:szCs w:val="24"/>
        </w:rPr>
      </w:pPr>
      <w:r>
        <w:rPr>
          <w:rFonts w:cs="Times New Roman"/>
          <w:sz w:val="24"/>
          <w:szCs w:val="24"/>
        </w:rPr>
        <w:t>The implementation of the Umoja system has fundamentally changed the business management model of UN, and greatly improved the efficiency and standardisation level of management and operations.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In terms of resource allocation and cost control, the implementation of Umoja has increased the UN’s resource utilisation rate by about 20%. Taking the 2021-2022 fiscal year as an example, Umoja achieved cost savings of up to $112 million for the UN through unified and standardised business process </w:t>
      </w:r>
      <w:r>
        <w:rPr>
          <w:rFonts w:hint="eastAsia" w:cs="Times New Roman"/>
          <w:sz w:val="24"/>
          <w:szCs w:val="24"/>
        </w:rPr>
        <w:t>(</w:t>
      </w:r>
      <w:r>
        <w:rPr>
          <w:rFonts w:cs="Times New Roman"/>
          <w:sz w:val="24"/>
          <w:szCs w:val="24"/>
        </w:rPr>
        <w:t>UNICC, 2023). This greatly enhanced the UN’s financial control capability and resource utilisation efficiency.</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In data quality and information sharing, Umoja provides accurate and timely financial and business information for the UN senior management. The UN Secretary General could directly understand the personnel allocation, fund utilisation and business progress of various departments from data reports, which makes decision-making more precise and scientific </w:t>
      </w:r>
      <w:r>
        <w:rPr>
          <w:rFonts w:hint="eastAsia" w:cs="Times New Roman"/>
          <w:sz w:val="24"/>
          <w:szCs w:val="24"/>
        </w:rPr>
        <w:t>(</w:t>
      </w:r>
      <w:r>
        <w:rPr>
          <w:rFonts w:cs="Times New Roman"/>
          <w:sz w:val="24"/>
          <w:szCs w:val="24"/>
        </w:rPr>
        <w:t>Pollard, 2020).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In terms of workflow, Umoja has standardised internal business process within the UN, simplified cross-departmental collaboration and data sharing processes. Taking HRM for example, Umoja has achieved one-stop online operations in employee recruitment, training and welfare, which helps to greatly improve work efficiency </w:t>
      </w:r>
      <w:r>
        <w:rPr>
          <w:rFonts w:hint="eastAsia" w:cs="Times New Roman"/>
          <w:sz w:val="24"/>
          <w:szCs w:val="24"/>
        </w:rPr>
        <w:t>(</w:t>
      </w:r>
      <w:r>
        <w:rPr>
          <w:rFonts w:cs="Times New Roman"/>
          <w:sz w:val="24"/>
          <w:szCs w:val="24"/>
        </w:rPr>
        <w:t>Flanding &amp; Grabman, 2022).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Moreover, in business continuity, Umoja has strong disaster recovery capability. Even in the event of a disaster at a critical facility, the core module may resume operation within a few hours. This ensures the continuous operation of UN’s main businesses and enhances the UN’s risk resistance capability </w:t>
      </w:r>
      <w:r>
        <w:rPr>
          <w:rFonts w:hint="eastAsia" w:cs="Times New Roman"/>
          <w:sz w:val="24"/>
          <w:szCs w:val="24"/>
        </w:rPr>
        <w:t>(</w:t>
      </w:r>
      <w:r>
        <w:rPr>
          <w:rFonts w:cs="Times New Roman"/>
          <w:sz w:val="24"/>
          <w:szCs w:val="24"/>
        </w:rPr>
        <w:t>Vos &amp; Van den Enden, 2020).</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21" w:name="_Toc134034362"/>
      <w:r>
        <w:rPr>
          <w:rFonts w:ascii="Times New Roman" w:hAnsi="Times New Roman" w:eastAsia="宋体" w:cs="Times New Roman"/>
          <w:sz w:val="24"/>
          <w:szCs w:val="24"/>
        </w:rPr>
        <w:t>3. Conclusion</w:t>
      </w:r>
      <w:bookmarkEnd w:id="21"/>
    </w:p>
    <w:p>
      <w:pPr>
        <w:spacing w:line="480" w:lineRule="auto"/>
        <w:rPr>
          <w:rFonts w:cs="Times New Roman"/>
          <w:sz w:val="24"/>
          <w:szCs w:val="24"/>
        </w:rPr>
      </w:pPr>
      <w:r>
        <w:rPr>
          <w:rFonts w:cs="Times New Roman"/>
          <w:sz w:val="24"/>
          <w:szCs w:val="24"/>
        </w:rPr>
        <w:t>This report used some change management models and theories to analyse and evaluate the UN’s business system change. Firstly, this change was a planned change, an incremental change, an operational change, and an organisation-level change. Secondly, the UN management faced some driving forces and restraining forces when implementing this change, and driving forces scored higher than restraining forces. This promoted the smooth implementation of this change. Thirdly, this change involved four categories of stakeholders that played different roles in the change, and the UN management took different strategies for the success of the change. Finally, the change process and effectiveness of this change was assessed.</w:t>
      </w:r>
    </w:p>
    <w:p>
      <w:pPr>
        <w:spacing w:line="480" w:lineRule="auto"/>
        <w:rPr>
          <w:rFonts w:cs="Times New Roman"/>
          <w:sz w:val="24"/>
          <w:szCs w:val="24"/>
        </w:rPr>
      </w:pPr>
    </w:p>
    <w:p>
      <w:pPr>
        <w:pStyle w:val="3"/>
        <w:spacing w:before="0" w:after="0" w:line="480" w:lineRule="auto"/>
        <w:rPr>
          <w:rFonts w:ascii="Times New Roman" w:hAnsi="Times New Roman" w:eastAsia="宋体" w:cs="Times New Roman"/>
          <w:sz w:val="24"/>
          <w:szCs w:val="24"/>
        </w:rPr>
      </w:pPr>
      <w:bookmarkStart w:id="22" w:name="_Toc134034363"/>
      <w:r>
        <w:rPr>
          <w:rFonts w:ascii="Times New Roman" w:hAnsi="Times New Roman" w:eastAsia="宋体" w:cs="Times New Roman"/>
          <w:sz w:val="24"/>
          <w:szCs w:val="24"/>
        </w:rPr>
        <w:t>4. Recommendations</w:t>
      </w:r>
      <w:bookmarkEnd w:id="22"/>
    </w:p>
    <w:p>
      <w:pPr>
        <w:spacing w:line="480" w:lineRule="auto"/>
        <w:rPr>
          <w:rFonts w:cs="Times New Roman"/>
          <w:sz w:val="24"/>
          <w:szCs w:val="24"/>
        </w:rPr>
      </w:pPr>
      <w:r>
        <w:rPr>
          <w:rFonts w:cs="Times New Roman"/>
          <w:sz w:val="24"/>
          <w:szCs w:val="24"/>
        </w:rPr>
        <w:t>Based on the analysis and evaluation of this change, some recommendations may be made for the future business change and digital transformation of the UN.</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To begin with, the UN is recommended to continuously promote the normalisation and standardisation. The Umoja system implements the standardisation and modularisation of business process, which is the cornerstone of achieving efficient collaboration and full system supervision. The UN should continuously improve and enrich the norms and standards of its business processes.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Second, the UN needs to improve the intelligence level of the system. The application of new technologies (such as artificial intelligence, etc.) can be developed on the Umoja system, which will significantly improve the intelligence and automation level of the system, and further enhance its business processing efficiency.</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Third, the UN needs to strengthen the cultivation of digital talents. Digital transformation requires large-scale technical and management talents. The UN should seize the opportunity to promote the research and practice of new models of talent development, and strengthen the cultivation of their digital skills and management capabilities.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Last but not least, the UN is recommended to listen carefully to user feedback and needs. The widespread use of Umoja could generate a large amount of user data and feedback, which is a valuable resource for improvement of the system. The UN should establish and improve a mechanism and channel for collecting user feedback and requirements, and regularly review and analyse these feedback and requirements, and integrating relevant content into the improvement of the system.</w:t>
      </w:r>
      <w:r>
        <w:rPr>
          <w:sz w:val="24"/>
          <w:szCs w:val="24"/>
        </w:rPr>
        <w:t xml:space="preserve"> </w:t>
      </w:r>
      <w:r>
        <w:rPr>
          <w:rFonts w:cs="Times New Roman"/>
          <w:sz w:val="24"/>
          <w:szCs w:val="24"/>
        </w:rPr>
        <w:t>This may continuously bring the application of new technologies closer to users, satisfy their actual needs, and create a more practical usage environment for the entire organisation.</w:t>
      </w:r>
      <w:r>
        <w:rPr>
          <w:sz w:val="24"/>
          <w:szCs w:val="24"/>
        </w:rPr>
        <w:t xml:space="preserve"> </w:t>
      </w:r>
      <w:r>
        <w:rPr>
          <w:rFonts w:cs="Times New Roman"/>
          <w:sz w:val="24"/>
          <w:szCs w:val="24"/>
        </w:rPr>
        <w:t>This will help the UN remain a digital pioneer and a model for global public service.</w:t>
      </w:r>
    </w:p>
    <w:p>
      <w:pPr>
        <w:pStyle w:val="3"/>
        <w:spacing w:before="0" w:after="0" w:line="480" w:lineRule="auto"/>
        <w:rPr>
          <w:rFonts w:ascii="Times New Roman" w:hAnsi="Times New Roman" w:eastAsia="宋体" w:cs="Times New Roman"/>
          <w:sz w:val="24"/>
          <w:szCs w:val="24"/>
        </w:rPr>
      </w:pPr>
      <w:bookmarkStart w:id="23" w:name="_Toc134034364"/>
    </w:p>
    <w:p>
      <w:pPr>
        <w:rPr>
          <w:rFonts w:ascii="Times New Roman" w:hAnsi="Times New Roman" w:eastAsia="宋体" w:cs="Times New Roman"/>
          <w:sz w:val="24"/>
          <w:szCs w:val="24"/>
        </w:rPr>
      </w:pPr>
    </w:p>
    <w:p>
      <w:pPr>
        <w:rPr>
          <w:rFonts w:ascii="Times New Roman" w:hAnsi="Times New Roman" w:eastAsia="宋体" w:cs="Times New Roman"/>
          <w:sz w:val="24"/>
          <w:szCs w:val="24"/>
        </w:rPr>
      </w:pPr>
    </w:p>
    <w:p>
      <w:pPr>
        <w:pStyle w:val="3"/>
        <w:spacing w:before="0" w:after="0" w:line="480" w:lineRule="auto"/>
        <w:rPr>
          <w:rFonts w:ascii="Times New Roman" w:hAnsi="Times New Roman" w:eastAsia="宋体" w:cs="Times New Roman"/>
          <w:sz w:val="24"/>
          <w:szCs w:val="24"/>
        </w:rPr>
      </w:pPr>
      <w:r>
        <w:rPr>
          <w:rFonts w:ascii="Times New Roman" w:hAnsi="Times New Roman" w:eastAsia="宋体" w:cs="Times New Roman"/>
          <w:sz w:val="24"/>
          <w:szCs w:val="24"/>
        </w:rPr>
        <w:t>References</w:t>
      </w:r>
      <w:bookmarkEnd w:id="23"/>
    </w:p>
    <w:p>
      <w:pPr>
        <w:spacing w:line="480" w:lineRule="auto"/>
        <w:rPr>
          <w:rFonts w:cs="Times New Roman"/>
          <w:sz w:val="24"/>
          <w:szCs w:val="24"/>
        </w:rPr>
      </w:pPr>
      <w:r>
        <w:rPr>
          <w:rFonts w:cs="Times New Roman"/>
          <w:sz w:val="24"/>
          <w:szCs w:val="24"/>
        </w:rPr>
        <w:t xml:space="preserve">Abdulai, R.T. &amp; Baffour Awuah, K.G. (2021), ‘COVID-19 and Sustainability’, in R.T. Abdulai and K.G. Baffour Awuah (Ed.) </w:t>
      </w:r>
      <w:r>
        <w:rPr>
          <w:rFonts w:cs="Times New Roman"/>
          <w:i/>
          <w:iCs/>
          <w:sz w:val="24"/>
          <w:szCs w:val="24"/>
        </w:rPr>
        <w:t>Sustainable Real Estate in the Developing World</w:t>
      </w:r>
      <w:r>
        <w:rPr>
          <w:rFonts w:cs="Times New Roman"/>
          <w:sz w:val="24"/>
          <w:szCs w:val="24"/>
        </w:rPr>
        <w:t xml:space="preserve"> (pp. 207-229), Bingley: Emerald Publishing Limited.</w:t>
      </w:r>
    </w:p>
    <w:p>
      <w:pPr>
        <w:spacing w:line="480" w:lineRule="auto"/>
        <w:rPr>
          <w:rFonts w:cs="Times New Roman"/>
          <w:sz w:val="24"/>
          <w:szCs w:val="24"/>
        </w:rPr>
      </w:pPr>
    </w:p>
    <w:p>
      <w:pPr>
        <w:spacing w:line="480" w:lineRule="auto"/>
        <w:rPr>
          <w:rFonts w:cs="Times New Roman"/>
          <w:sz w:val="24"/>
          <w:szCs w:val="24"/>
        </w:rPr>
      </w:pPr>
      <w:bookmarkStart w:id="24" w:name="_Hlk134199734"/>
      <w:bookmarkStart w:id="25" w:name="_Hlk134199792"/>
      <w:r>
        <w:rPr>
          <w:rFonts w:cs="Times New Roman"/>
          <w:sz w:val="24"/>
          <w:szCs w:val="24"/>
        </w:rPr>
        <w:t>Anderson,</w:t>
      </w:r>
      <w:bookmarkEnd w:id="24"/>
      <w:r>
        <w:rPr>
          <w:rFonts w:cs="Times New Roman"/>
          <w:sz w:val="24"/>
          <w:szCs w:val="24"/>
        </w:rPr>
        <w:t xml:space="preserve"> D.L. (2019), </w:t>
      </w:r>
      <w:r>
        <w:rPr>
          <w:rFonts w:cs="Times New Roman"/>
          <w:i/>
          <w:iCs/>
          <w:sz w:val="24"/>
          <w:szCs w:val="24"/>
        </w:rPr>
        <w:t>Organization Development: The Process of Leading Organizational Change</w:t>
      </w:r>
      <w:r>
        <w:rPr>
          <w:rFonts w:cs="Times New Roman"/>
          <w:sz w:val="24"/>
          <w:szCs w:val="24"/>
        </w:rPr>
        <w:t>, (5</w:t>
      </w:r>
      <w:r>
        <w:rPr>
          <w:rFonts w:cs="Times New Roman"/>
          <w:sz w:val="24"/>
          <w:szCs w:val="24"/>
          <w:vertAlign w:val="superscript"/>
        </w:rPr>
        <w:t>th</w:t>
      </w:r>
      <w:r>
        <w:rPr>
          <w:rFonts w:cs="Times New Roman"/>
          <w:sz w:val="24"/>
          <w:szCs w:val="24"/>
        </w:rPr>
        <w:t xml:space="preserve"> Ed), London: SAGE Publications.</w:t>
      </w:r>
    </w:p>
    <w:bookmarkEnd w:id="25"/>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Buchanan, D.A. &amp; Badham, R.J. (2008), </w:t>
      </w:r>
      <w:r>
        <w:rPr>
          <w:rFonts w:cs="Times New Roman"/>
          <w:i/>
          <w:iCs/>
          <w:sz w:val="24"/>
          <w:szCs w:val="24"/>
        </w:rPr>
        <w:t>Power, Politics and Organisational Change</w:t>
      </w:r>
      <w:r>
        <w:rPr>
          <w:rFonts w:cs="Times New Roman"/>
          <w:sz w:val="24"/>
          <w:szCs w:val="24"/>
        </w:rPr>
        <w:t>, (2</w:t>
      </w:r>
      <w:r>
        <w:rPr>
          <w:rFonts w:cs="Times New Roman"/>
          <w:sz w:val="24"/>
          <w:szCs w:val="24"/>
          <w:vertAlign w:val="superscript"/>
        </w:rPr>
        <w:t>nd</w:t>
      </w:r>
      <w:r>
        <w:rPr>
          <w:rFonts w:cs="Times New Roman"/>
          <w:sz w:val="24"/>
          <w:szCs w:val="24"/>
        </w:rPr>
        <w:t xml:space="preserve"> Ed), London: Sage Publications.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Burnes, B. (2017), </w:t>
      </w:r>
      <w:r>
        <w:rPr>
          <w:rFonts w:cs="Times New Roman"/>
          <w:i/>
          <w:iCs/>
          <w:sz w:val="24"/>
          <w:szCs w:val="24"/>
        </w:rPr>
        <w:t>Managing Change</w:t>
      </w:r>
      <w:r>
        <w:rPr>
          <w:rFonts w:cs="Times New Roman"/>
          <w:sz w:val="24"/>
          <w:szCs w:val="24"/>
        </w:rPr>
        <w:t>, (7</w:t>
      </w:r>
      <w:r>
        <w:rPr>
          <w:rFonts w:cs="Times New Roman"/>
          <w:sz w:val="24"/>
          <w:szCs w:val="24"/>
          <w:vertAlign w:val="superscript"/>
        </w:rPr>
        <w:t>th</w:t>
      </w:r>
      <w:r>
        <w:rPr>
          <w:rFonts w:cs="Times New Roman"/>
          <w:sz w:val="24"/>
          <w:szCs w:val="24"/>
        </w:rPr>
        <w:t xml:space="preserve"> Ed), Harlow: Pearson.</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Burnes, B. (2020), ‘The origins of Lewin’s three-step model of change’, </w:t>
      </w:r>
      <w:r>
        <w:rPr>
          <w:rFonts w:cs="Times New Roman"/>
          <w:sz w:val="24"/>
          <w:szCs w:val="24"/>
          <w:u w:val="single"/>
        </w:rPr>
        <w:t>Journal of Applied Behavioral Science</w:t>
      </w:r>
      <w:r>
        <w:rPr>
          <w:rFonts w:cs="Times New Roman"/>
          <w:sz w:val="24"/>
          <w:szCs w:val="24"/>
        </w:rPr>
        <w:t>, 56:1, pp. 32-59.</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Cameron, E. &amp; Green, M. (2012), </w:t>
      </w:r>
      <w:r>
        <w:rPr>
          <w:rFonts w:cs="Times New Roman"/>
          <w:i/>
          <w:iCs/>
          <w:sz w:val="24"/>
          <w:szCs w:val="24"/>
        </w:rPr>
        <w:t>Making Sense of Change Management: A Complete</w:t>
      </w:r>
      <w:r>
        <w:rPr>
          <w:rFonts w:hint="eastAsia" w:cs="Times New Roman"/>
          <w:i/>
          <w:iCs/>
          <w:sz w:val="24"/>
          <w:szCs w:val="24"/>
        </w:rPr>
        <w:t xml:space="preserve"> </w:t>
      </w:r>
      <w:r>
        <w:rPr>
          <w:rFonts w:cs="Times New Roman"/>
          <w:i/>
          <w:iCs/>
          <w:sz w:val="24"/>
          <w:szCs w:val="24"/>
        </w:rPr>
        <w:t>Guide to the Models, Tools and Techniques of Organisational Change</w:t>
      </w:r>
      <w:r>
        <w:rPr>
          <w:rFonts w:cs="Times New Roman"/>
          <w:sz w:val="24"/>
          <w:szCs w:val="24"/>
        </w:rPr>
        <w:t>, (3</w:t>
      </w:r>
      <w:r>
        <w:rPr>
          <w:rFonts w:cs="Times New Roman"/>
          <w:sz w:val="24"/>
          <w:szCs w:val="24"/>
          <w:vertAlign w:val="superscript"/>
        </w:rPr>
        <w:t>rd</w:t>
      </w:r>
      <w:r>
        <w:rPr>
          <w:rFonts w:cs="Times New Roman"/>
          <w:sz w:val="24"/>
          <w:szCs w:val="24"/>
        </w:rPr>
        <w:t xml:space="preserve"> Ed), Philadelphia: Kogan Page.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Cameron, E. &amp; Green, M. (2020), </w:t>
      </w:r>
      <w:r>
        <w:rPr>
          <w:rFonts w:cs="Times New Roman"/>
          <w:i/>
          <w:iCs/>
          <w:sz w:val="24"/>
          <w:szCs w:val="24"/>
        </w:rPr>
        <w:t>Making Sense of Change Management: A Complete Guide to the Models, Tools and Techniques of Organizational Change</w:t>
      </w:r>
      <w:r>
        <w:rPr>
          <w:rFonts w:cs="Times New Roman"/>
          <w:sz w:val="24"/>
          <w:szCs w:val="24"/>
        </w:rPr>
        <w:t>, (5</w:t>
      </w:r>
      <w:r>
        <w:rPr>
          <w:rFonts w:cs="Times New Roman"/>
          <w:sz w:val="24"/>
          <w:szCs w:val="24"/>
          <w:vertAlign w:val="superscript"/>
        </w:rPr>
        <w:t>th</w:t>
      </w:r>
      <w:r>
        <w:rPr>
          <w:rFonts w:cs="Times New Roman"/>
          <w:sz w:val="24"/>
          <w:szCs w:val="24"/>
        </w:rPr>
        <w:t xml:space="preserve"> Ed), London: Kogan Page.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Carnall, C. &amp; Todnem, B. (2014), </w:t>
      </w:r>
      <w:r>
        <w:rPr>
          <w:rFonts w:cs="Times New Roman"/>
          <w:i/>
          <w:iCs/>
          <w:sz w:val="24"/>
          <w:szCs w:val="24"/>
        </w:rPr>
        <w:t>Managing Change in Organisations</w:t>
      </w:r>
      <w:r>
        <w:rPr>
          <w:rFonts w:cs="Times New Roman"/>
          <w:sz w:val="24"/>
          <w:szCs w:val="24"/>
        </w:rPr>
        <w:t>, (6</w:t>
      </w:r>
      <w:r>
        <w:rPr>
          <w:rFonts w:cs="Times New Roman"/>
          <w:sz w:val="24"/>
          <w:szCs w:val="24"/>
          <w:vertAlign w:val="superscript"/>
        </w:rPr>
        <w:t>th</w:t>
      </w:r>
      <w:r>
        <w:rPr>
          <w:rFonts w:cs="Times New Roman"/>
          <w:sz w:val="24"/>
          <w:szCs w:val="24"/>
        </w:rPr>
        <w:t xml:space="preserve"> Ed), Harlow: Pearson.</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Cummings, T.G. &amp; Worley, C.G. (2014), </w:t>
      </w:r>
      <w:r>
        <w:rPr>
          <w:rFonts w:cs="Times New Roman"/>
          <w:i/>
          <w:iCs/>
          <w:sz w:val="24"/>
          <w:szCs w:val="24"/>
        </w:rPr>
        <w:t>Organization Development and Change</w:t>
      </w:r>
      <w:r>
        <w:rPr>
          <w:rFonts w:cs="Times New Roman"/>
          <w:sz w:val="24"/>
          <w:szCs w:val="24"/>
        </w:rPr>
        <w:t>, (10</w:t>
      </w:r>
      <w:r>
        <w:rPr>
          <w:rFonts w:cs="Times New Roman"/>
          <w:sz w:val="24"/>
          <w:szCs w:val="24"/>
          <w:vertAlign w:val="superscript"/>
        </w:rPr>
        <w:t>th</w:t>
      </w:r>
      <w:r>
        <w:rPr>
          <w:rFonts w:cs="Times New Roman"/>
          <w:sz w:val="24"/>
          <w:szCs w:val="24"/>
        </w:rPr>
        <w:t xml:space="preserve"> Ed), Boston: Cengage Learning.</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Cummings, T.G. &amp; Worley, C.G. (2023), ‘Applying Management and Organization Theory to Organization Change: More Than Meets the Eye’, in D.A., Noumair, A.B. Shani and D.P., Zandee (Ed.), </w:t>
      </w:r>
      <w:r>
        <w:rPr>
          <w:rFonts w:cs="Times New Roman"/>
          <w:i/>
          <w:iCs/>
          <w:sz w:val="24"/>
          <w:szCs w:val="24"/>
        </w:rPr>
        <w:t>Research in Organizational Change and Development</w:t>
      </w:r>
      <w:r>
        <w:rPr>
          <w:rFonts w:cs="Times New Roman"/>
          <w:sz w:val="24"/>
          <w:szCs w:val="24"/>
        </w:rPr>
        <w:t xml:space="preserve"> (pp. 129-154), Bingley: Emerald Publishing Limited.</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Dobrescu, E.M. (2022), ‘United Nations Challenges and Opportunities’, </w:t>
      </w:r>
      <w:r>
        <w:rPr>
          <w:rFonts w:cs="Times New Roman"/>
          <w:sz w:val="24"/>
          <w:szCs w:val="24"/>
          <w:u w:val="single"/>
        </w:rPr>
        <w:t>Journal of Defense Resources Management</w:t>
      </w:r>
      <w:r>
        <w:rPr>
          <w:rFonts w:cs="Times New Roman"/>
          <w:sz w:val="24"/>
          <w:szCs w:val="24"/>
        </w:rPr>
        <w:t>, 13:1, pp. 211-216.</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Flanding, J.P. &amp; Grabman, G.M. (2022), </w:t>
      </w:r>
      <w:r>
        <w:rPr>
          <w:rFonts w:cs="Times New Roman"/>
          <w:i/>
          <w:iCs/>
          <w:sz w:val="24"/>
          <w:szCs w:val="24"/>
        </w:rPr>
        <w:t>Purpose-driven Innovation: Lessons from Managing Change in the United Nations</w:t>
      </w:r>
      <w:r>
        <w:rPr>
          <w:rFonts w:cs="Times New Roman"/>
          <w:sz w:val="24"/>
          <w:szCs w:val="24"/>
        </w:rPr>
        <w:t>, Bingley: Emerald Publishing.</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Garg, R. &amp; Dwivedi, Y.K. (2020), ‘Understanding the Role of User Resistance in ERP Implementation: Lessons from the Umoja System at UN’, </w:t>
      </w:r>
      <w:r>
        <w:rPr>
          <w:rFonts w:cs="Times New Roman"/>
          <w:sz w:val="24"/>
          <w:szCs w:val="24"/>
          <w:u w:val="single"/>
        </w:rPr>
        <w:t>Journal of Enterprise Information Management</w:t>
      </w:r>
      <w:r>
        <w:rPr>
          <w:rFonts w:cs="Times New Roman"/>
          <w:sz w:val="24"/>
          <w:szCs w:val="24"/>
        </w:rPr>
        <w:t>, 33:6, pp. 1048-1069.</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General, M. &amp; Gordon, R. (2022), </w:t>
      </w:r>
      <w:r>
        <w:rPr>
          <w:rFonts w:cs="Times New Roman"/>
          <w:i/>
          <w:iCs/>
          <w:sz w:val="24"/>
          <w:szCs w:val="24"/>
        </w:rPr>
        <w:t>An Introduction to the UN System and Its Role in International Peace and Security</w:t>
      </w:r>
      <w:r>
        <w:rPr>
          <w:rFonts w:cs="Times New Roman"/>
          <w:sz w:val="24"/>
          <w:szCs w:val="24"/>
        </w:rPr>
        <w:t>, (5</w:t>
      </w:r>
      <w:r>
        <w:rPr>
          <w:rFonts w:cs="Times New Roman"/>
          <w:sz w:val="24"/>
          <w:szCs w:val="24"/>
          <w:vertAlign w:val="superscript"/>
        </w:rPr>
        <w:t>th</w:t>
      </w:r>
      <w:r>
        <w:rPr>
          <w:rFonts w:cs="Times New Roman"/>
          <w:sz w:val="24"/>
          <w:szCs w:val="24"/>
        </w:rPr>
        <w:t xml:space="preserve"> Ed), Virginia: Peace Operations Training Institute.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Gifkins, J., Jarvis, S. &amp; Ralph, J. (2019), ‘Brexit and the UN Security Council: declining British influence?’, </w:t>
      </w:r>
      <w:r>
        <w:rPr>
          <w:rFonts w:cs="Times New Roman"/>
          <w:sz w:val="24"/>
          <w:szCs w:val="24"/>
          <w:u w:val="single"/>
        </w:rPr>
        <w:t>International Affairs</w:t>
      </w:r>
      <w:r>
        <w:rPr>
          <w:rFonts w:cs="Times New Roman"/>
          <w:sz w:val="24"/>
          <w:szCs w:val="24"/>
        </w:rPr>
        <w:t>, 95:6, pp. 1349-1368.</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Greenfield, A. (2008), </w:t>
      </w:r>
      <w:r>
        <w:rPr>
          <w:rFonts w:cs="Times New Roman"/>
          <w:i/>
          <w:iCs/>
          <w:sz w:val="24"/>
          <w:szCs w:val="24"/>
        </w:rPr>
        <w:t>The 5 Forces of Change: A Blueprint for Leading Successful Change</w:t>
      </w:r>
      <w:r>
        <w:rPr>
          <w:rFonts w:cs="Times New Roman"/>
          <w:sz w:val="24"/>
          <w:szCs w:val="24"/>
        </w:rPr>
        <w:t>, New York: Management Books.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Hayes, J. (2021), </w:t>
      </w:r>
      <w:r>
        <w:rPr>
          <w:rFonts w:cs="Times New Roman"/>
          <w:i/>
          <w:iCs/>
          <w:sz w:val="24"/>
          <w:szCs w:val="24"/>
        </w:rPr>
        <w:t>The Theory and Practice of Change Management</w:t>
      </w:r>
      <w:r>
        <w:rPr>
          <w:rFonts w:cs="Times New Roman"/>
          <w:sz w:val="24"/>
          <w:szCs w:val="24"/>
        </w:rPr>
        <w:t>, (6</w:t>
      </w:r>
      <w:r>
        <w:rPr>
          <w:rFonts w:cs="Times New Roman"/>
          <w:sz w:val="24"/>
          <w:szCs w:val="24"/>
          <w:vertAlign w:val="superscript"/>
        </w:rPr>
        <w:t>th</w:t>
      </w:r>
      <w:r>
        <w:rPr>
          <w:rFonts w:cs="Times New Roman"/>
          <w:sz w:val="24"/>
          <w:szCs w:val="24"/>
        </w:rPr>
        <w:t xml:space="preserve"> Ed), London: Bloomsbury Academic.</w:t>
      </w:r>
    </w:p>
    <w:p>
      <w:pPr>
        <w:spacing w:line="480" w:lineRule="auto"/>
        <w:rPr>
          <w:rFonts w:cs="Times New Roman"/>
          <w:sz w:val="24"/>
          <w:szCs w:val="24"/>
        </w:rPr>
      </w:pPr>
    </w:p>
    <w:p>
      <w:pPr>
        <w:rPr>
          <w:rFonts w:cs="Times New Roman"/>
          <w:sz w:val="24"/>
          <w:szCs w:val="24"/>
        </w:rPr>
      </w:pPr>
      <w:r>
        <w:rPr>
          <w:rFonts w:cs="Times New Roman"/>
          <w:sz w:val="24"/>
          <w:szCs w:val="24"/>
        </w:rPr>
        <w:t xml:space="preserve">Hodges, J. &amp; Gill, R. (2015), </w:t>
      </w:r>
      <w:r>
        <w:rPr>
          <w:rFonts w:cs="Times New Roman"/>
          <w:i/>
          <w:iCs/>
          <w:sz w:val="24"/>
          <w:szCs w:val="24"/>
        </w:rPr>
        <w:t>Sustaining Change in Organizations</w:t>
      </w:r>
      <w:r>
        <w:rPr>
          <w:rFonts w:cs="Times New Roman"/>
          <w:sz w:val="24"/>
          <w:szCs w:val="24"/>
        </w:rPr>
        <w:t>, London: Sage.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Kotter, J.P. (2009), </w:t>
      </w:r>
      <w:r>
        <w:rPr>
          <w:rFonts w:cs="Times New Roman"/>
          <w:i/>
          <w:iCs/>
          <w:sz w:val="24"/>
          <w:szCs w:val="24"/>
        </w:rPr>
        <w:t>Leading Change</w:t>
      </w:r>
      <w:r>
        <w:rPr>
          <w:rFonts w:cs="Times New Roman"/>
          <w:sz w:val="24"/>
          <w:szCs w:val="24"/>
        </w:rPr>
        <w:t>, Mass: Harvard Business Essentials.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Kotter, J.P., Akhtar, V. &amp; Gupta, G. (2021), </w:t>
      </w:r>
      <w:r>
        <w:rPr>
          <w:rFonts w:cs="Times New Roman"/>
          <w:i/>
          <w:iCs/>
          <w:sz w:val="24"/>
          <w:szCs w:val="24"/>
        </w:rPr>
        <w:t>Change: How Organizations Achieve Hard-to-Imagine Results in Uncertain and Volatile Times</w:t>
      </w:r>
      <w:r>
        <w:rPr>
          <w:rFonts w:cs="Times New Roman"/>
          <w:sz w:val="24"/>
          <w:szCs w:val="24"/>
        </w:rPr>
        <w:t>, New Jersey: Wiley.</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Lewin, K. (1947), ‘Frontiers in Group Dynamics’, </w:t>
      </w:r>
      <w:r>
        <w:rPr>
          <w:rFonts w:cs="Times New Roman"/>
          <w:sz w:val="24"/>
          <w:szCs w:val="24"/>
          <w:u w:val="single"/>
        </w:rPr>
        <w:t>Human Relations</w:t>
      </w:r>
      <w:r>
        <w:rPr>
          <w:rFonts w:cs="Times New Roman"/>
          <w:sz w:val="24"/>
          <w:szCs w:val="24"/>
        </w:rPr>
        <w:t>, 1:1, pp. 5-41</w:t>
      </w:r>
      <w:r>
        <w:rPr>
          <w:rFonts w:hint="eastAsia" w:cs="Times New Roman"/>
          <w:sz w:val="24"/>
          <w:szCs w:val="24"/>
        </w:rPr>
        <w:t>.</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Lewin, K. (1951), </w:t>
      </w:r>
      <w:r>
        <w:rPr>
          <w:rFonts w:cs="Times New Roman"/>
          <w:i/>
          <w:iCs/>
          <w:sz w:val="24"/>
          <w:szCs w:val="24"/>
        </w:rPr>
        <w:t>Field Theory in Social Science</w:t>
      </w:r>
      <w:r>
        <w:rPr>
          <w:rFonts w:cs="Times New Roman"/>
          <w:sz w:val="24"/>
          <w:szCs w:val="24"/>
        </w:rPr>
        <w:t>, New York: Harper and Row.</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Maddox, J. (2021), </w:t>
      </w:r>
      <w:r>
        <w:rPr>
          <w:rFonts w:cs="Times New Roman"/>
          <w:i/>
          <w:iCs/>
          <w:sz w:val="24"/>
          <w:szCs w:val="24"/>
        </w:rPr>
        <w:t>Embracing Resistance to Change: Facilitating Change Differently Through the Paradox of Resistance</w:t>
      </w:r>
      <w:r>
        <w:rPr>
          <w:rFonts w:cs="Times New Roman"/>
          <w:sz w:val="24"/>
          <w:szCs w:val="24"/>
        </w:rPr>
        <w:t>, ‎ Oregon: Wanderlust Publishing.</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Mendelow, A. (1991), </w:t>
      </w:r>
      <w:r>
        <w:rPr>
          <w:rFonts w:cs="Times New Roman"/>
          <w:i/>
          <w:iCs/>
          <w:sz w:val="24"/>
          <w:szCs w:val="24"/>
        </w:rPr>
        <w:t>Stakeholder Mapping</w:t>
      </w:r>
      <w:r>
        <w:rPr>
          <w:rFonts w:cs="Times New Roman"/>
          <w:sz w:val="24"/>
          <w:szCs w:val="24"/>
        </w:rPr>
        <w:t>, MA: Cambridge.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Mingst, K.A., Karns, M.P. &amp; Lyon A.J. (2022), </w:t>
      </w:r>
      <w:r>
        <w:rPr>
          <w:rFonts w:cs="Times New Roman"/>
          <w:i/>
          <w:iCs/>
          <w:sz w:val="24"/>
          <w:szCs w:val="24"/>
        </w:rPr>
        <w:t>The United Nations in the 21st Century</w:t>
      </w:r>
      <w:r>
        <w:rPr>
          <w:rFonts w:cs="Times New Roman"/>
          <w:sz w:val="24"/>
          <w:szCs w:val="24"/>
        </w:rPr>
        <w:t xml:space="preserve"> (6</w:t>
      </w:r>
      <w:r>
        <w:rPr>
          <w:rFonts w:cs="Times New Roman"/>
          <w:sz w:val="24"/>
          <w:szCs w:val="24"/>
          <w:vertAlign w:val="superscript"/>
        </w:rPr>
        <w:t>th</w:t>
      </w:r>
      <w:r>
        <w:rPr>
          <w:rFonts w:cs="Times New Roman"/>
          <w:sz w:val="24"/>
          <w:szCs w:val="24"/>
        </w:rPr>
        <w:t xml:space="preserve"> Ed), London: Routledge.</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Montiel, I., Cuervo-Cazurra, A., Park, J. &amp; Antolín-López, R. (2021), ‘Implementing the United Nations’ Sustainable Development Goals in international business’, </w:t>
      </w:r>
      <w:r>
        <w:rPr>
          <w:rFonts w:cs="Times New Roman"/>
          <w:sz w:val="24"/>
          <w:szCs w:val="24"/>
          <w:u w:val="single"/>
        </w:rPr>
        <w:t>Journal of International Business Studies</w:t>
      </w:r>
      <w:r>
        <w:rPr>
          <w:rFonts w:cs="Times New Roman"/>
          <w:sz w:val="24"/>
          <w:szCs w:val="24"/>
        </w:rPr>
        <w:t>, 52:5, pp. 999-1030.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Munro, V. (2020), ‘The Universal Sustainable Development Goals for Purpose and Change’, in </w:t>
      </w:r>
      <w:r>
        <w:rPr>
          <w:rFonts w:cs="Times New Roman"/>
          <w:i/>
          <w:iCs/>
          <w:sz w:val="24"/>
          <w:szCs w:val="24"/>
        </w:rPr>
        <w:t>CSR for Purpose, Shared Value and Deep Transformation</w:t>
      </w:r>
      <w:r>
        <w:rPr>
          <w:rFonts w:cs="Times New Roman"/>
          <w:sz w:val="24"/>
          <w:szCs w:val="24"/>
        </w:rPr>
        <w:t xml:space="preserve"> (pp. 85-117), Bingley: Emerald Publishing Limited.</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Nadim, A. &amp; Singh, P. (2019), ‘Leading change for success: embracing resistance’, </w:t>
      </w:r>
      <w:r>
        <w:rPr>
          <w:rFonts w:cs="Times New Roman"/>
          <w:sz w:val="24"/>
          <w:szCs w:val="24"/>
          <w:u w:val="single"/>
        </w:rPr>
        <w:t>European Business Review</w:t>
      </w:r>
      <w:r>
        <w:rPr>
          <w:rFonts w:cs="Times New Roman"/>
          <w:sz w:val="24"/>
          <w:szCs w:val="24"/>
        </w:rPr>
        <w:t>, 31:4, pp. 512-523.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Penmetsa, M.K. &amp; Bruque-Camara, S. (2021), ‘A framework for building a sustainable digital nation: essential elements and challenges’, </w:t>
      </w:r>
      <w:r>
        <w:rPr>
          <w:rFonts w:cs="Times New Roman"/>
          <w:sz w:val="24"/>
          <w:szCs w:val="24"/>
          <w:u w:val="single"/>
        </w:rPr>
        <w:t>Digital Policy, Regulation and Governance</w:t>
      </w:r>
      <w:r>
        <w:rPr>
          <w:rFonts w:cs="Times New Roman"/>
          <w:sz w:val="24"/>
          <w:szCs w:val="24"/>
        </w:rPr>
        <w:t>, 23:3, pp. 262-286.</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Pollard, C. (2020), ‘Enterprise resource planning project (Umoja)’, [Online]. Available: </w:t>
      </w:r>
      <w:r>
        <w:fldChar w:fldCharType="begin"/>
      </w:r>
      <w:r>
        <w:instrText xml:space="preserve"> HYPERLINK "https://www.un.org/en/ga/fifth/75/statements/141_PPB2021_Umoja/C5_75_0m_ST_141_PPB2021_Umoja_ASG_Controller.pdf" </w:instrText>
      </w:r>
      <w:r>
        <w:fldChar w:fldCharType="separate"/>
      </w:r>
      <w:r>
        <w:rPr>
          <w:rStyle w:val="10"/>
          <w:rFonts w:cs="Times New Roman"/>
          <w:color w:val="auto"/>
          <w:sz w:val="24"/>
          <w:szCs w:val="24"/>
        </w:rPr>
        <w:t>https://www.un.org/en/ga/fifth/75/statements/141_PPB2021_Umoja/C5_75_0m_ST_141_PPB2021_Umoja_ASG_Controller.pdf</w:t>
      </w:r>
      <w:r>
        <w:rPr>
          <w:rStyle w:val="10"/>
          <w:rFonts w:cs="Times New Roman"/>
          <w:color w:val="auto"/>
          <w:sz w:val="24"/>
          <w:szCs w:val="24"/>
        </w:rPr>
        <w:fldChar w:fldCharType="end"/>
      </w:r>
      <w:r>
        <w:rPr>
          <w:rFonts w:cs="Times New Roman"/>
          <w:sz w:val="24"/>
          <w:szCs w:val="24"/>
        </w:rPr>
        <w:t>, [2023, April, 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Rosenbaum, D., More, E. &amp; Steane, P. (2018), ‘Planned organisational change management: Forward to the past? An exploratory literature review’, </w:t>
      </w:r>
      <w:r>
        <w:rPr>
          <w:rFonts w:cs="Times New Roman"/>
          <w:sz w:val="24"/>
          <w:szCs w:val="24"/>
          <w:u w:val="single"/>
        </w:rPr>
        <w:t>Journal of Organizational Change Management</w:t>
      </w:r>
      <w:r>
        <w:rPr>
          <w:rFonts w:cs="Times New Roman"/>
          <w:sz w:val="24"/>
          <w:szCs w:val="24"/>
        </w:rPr>
        <w:t>, 31:2, pp. 286-303.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Shea, G.P. &amp; Solomon, C.A. (2020), </w:t>
      </w:r>
      <w:r>
        <w:rPr>
          <w:rFonts w:cs="Times New Roman"/>
          <w:i/>
          <w:iCs/>
          <w:sz w:val="24"/>
          <w:szCs w:val="24"/>
        </w:rPr>
        <w:t>Leading Successful Change: 8 Keys to Making Change Work</w:t>
      </w:r>
      <w:r>
        <w:rPr>
          <w:rFonts w:cs="Times New Roman"/>
          <w:sz w:val="24"/>
          <w:szCs w:val="24"/>
        </w:rPr>
        <w:t>, (Revised and Updated Edition), Philadelphia: Wharton School Press.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Supriharyanti, E. &amp; Sukoco, B.M. (2023), ‘Organizational change capability: a systematic review and future research directions’, </w:t>
      </w:r>
      <w:r>
        <w:rPr>
          <w:rFonts w:cs="Times New Roman"/>
          <w:sz w:val="24"/>
          <w:szCs w:val="24"/>
          <w:u w:val="single"/>
        </w:rPr>
        <w:t>Management Research Review</w:t>
      </w:r>
      <w:r>
        <w:rPr>
          <w:rFonts w:cs="Times New Roman"/>
          <w:sz w:val="24"/>
          <w:szCs w:val="24"/>
        </w:rPr>
        <w:t>, 46:1, pp. 46-81.</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The UN Secretary-General (2018), ‘Repositioning the United Nations development system to deliver on the 2030 Agenda: our promise for dignity, prosperity and peace on a healthy planet (Advance unedited version)’, [Online]. Available: </w:t>
      </w:r>
      <w:r>
        <w:fldChar w:fldCharType="begin"/>
      </w:r>
      <w:r>
        <w:instrText xml:space="preserve"> HYPERLINK "https://sdgs.un.org/documents/repositioning-united-nations-development-syste-23089" </w:instrText>
      </w:r>
      <w:r>
        <w:fldChar w:fldCharType="separate"/>
      </w:r>
      <w:r>
        <w:rPr>
          <w:rStyle w:val="10"/>
          <w:rFonts w:cs="Times New Roman"/>
          <w:color w:val="auto"/>
          <w:sz w:val="24"/>
          <w:szCs w:val="24"/>
        </w:rPr>
        <w:t>https://sdgs.un.org/documents/repositioning-united-nations-development-syste-23089</w:t>
      </w:r>
      <w:r>
        <w:rPr>
          <w:rStyle w:val="10"/>
          <w:rFonts w:cs="Times New Roman"/>
          <w:color w:val="auto"/>
          <w:sz w:val="24"/>
          <w:szCs w:val="24"/>
        </w:rPr>
        <w:fldChar w:fldCharType="end"/>
      </w:r>
      <w:r>
        <w:rPr>
          <w:rFonts w:cs="Times New Roman"/>
          <w:sz w:val="24"/>
          <w:szCs w:val="24"/>
        </w:rPr>
        <w:t>, [2023, April, 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The United Nations (2023a), ‘About Us’, [Online]. Available:  </w:t>
      </w:r>
      <w:r>
        <w:fldChar w:fldCharType="begin"/>
      </w:r>
      <w:r>
        <w:instrText xml:space="preserve"> HYPERLINK "https://www.un.org/en/about-us" </w:instrText>
      </w:r>
      <w:r>
        <w:fldChar w:fldCharType="separate"/>
      </w:r>
      <w:r>
        <w:rPr>
          <w:rStyle w:val="10"/>
          <w:rFonts w:cs="Times New Roman"/>
          <w:color w:val="auto"/>
          <w:sz w:val="24"/>
          <w:szCs w:val="24"/>
        </w:rPr>
        <w:t>https://www.un.org/en/about-us</w:t>
      </w:r>
      <w:r>
        <w:rPr>
          <w:rStyle w:val="10"/>
          <w:rFonts w:cs="Times New Roman"/>
          <w:color w:val="auto"/>
          <w:sz w:val="24"/>
          <w:szCs w:val="24"/>
        </w:rPr>
        <w:fldChar w:fldCharType="end"/>
      </w:r>
      <w:r>
        <w:rPr>
          <w:rFonts w:cs="Times New Roman"/>
          <w:sz w:val="24"/>
          <w:szCs w:val="24"/>
        </w:rPr>
        <w:t>, [2023, April, 18].</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The United Nations (2023b), ‘UN Response to COVID-19’, [Online]. Available:  </w:t>
      </w:r>
      <w:r>
        <w:fldChar w:fldCharType="begin"/>
      </w:r>
      <w:r>
        <w:instrText xml:space="preserve"> HYPERLINK "https://www.un.org/en/coronavirus/UN-response" </w:instrText>
      </w:r>
      <w:r>
        <w:fldChar w:fldCharType="separate"/>
      </w:r>
      <w:r>
        <w:rPr>
          <w:rStyle w:val="10"/>
          <w:rFonts w:cs="Times New Roman"/>
          <w:color w:val="auto"/>
          <w:sz w:val="24"/>
          <w:szCs w:val="24"/>
        </w:rPr>
        <w:t>https://www.un.org/en/coronavirus/UN-response</w:t>
      </w:r>
      <w:r>
        <w:rPr>
          <w:rStyle w:val="10"/>
          <w:rFonts w:cs="Times New Roman"/>
          <w:color w:val="auto"/>
          <w:sz w:val="24"/>
          <w:szCs w:val="24"/>
        </w:rPr>
        <w:fldChar w:fldCharType="end"/>
      </w:r>
      <w:r>
        <w:rPr>
          <w:rFonts w:cs="Times New Roman"/>
          <w:sz w:val="24"/>
          <w:szCs w:val="24"/>
        </w:rPr>
        <w:t>, [2023, April, 19].</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Umoja (2023), ‘Umoja’, [Online]. Available:  </w:t>
      </w:r>
      <w:r>
        <w:fldChar w:fldCharType="begin"/>
      </w:r>
      <w:r>
        <w:instrText xml:space="preserve"> HYPERLINK "https://umoja.un.org/" </w:instrText>
      </w:r>
      <w:r>
        <w:fldChar w:fldCharType="separate"/>
      </w:r>
      <w:r>
        <w:rPr>
          <w:rStyle w:val="10"/>
          <w:rFonts w:cs="Times New Roman"/>
          <w:color w:val="auto"/>
          <w:sz w:val="24"/>
          <w:szCs w:val="24"/>
        </w:rPr>
        <w:t>https://umoja.un.org/</w:t>
      </w:r>
      <w:r>
        <w:rPr>
          <w:rStyle w:val="10"/>
          <w:rFonts w:cs="Times New Roman"/>
          <w:color w:val="auto"/>
          <w:sz w:val="24"/>
          <w:szCs w:val="24"/>
        </w:rPr>
        <w:fldChar w:fldCharType="end"/>
      </w:r>
      <w:r>
        <w:rPr>
          <w:rFonts w:cs="Times New Roman"/>
          <w:sz w:val="24"/>
          <w:szCs w:val="24"/>
        </w:rPr>
        <w:t>, [2023, April, 19].</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UNICC (2023), ‘SAP ERP Support Grows to Include the UN’s Umoja ERP Support Services’, [Online]. Available: </w:t>
      </w:r>
      <w:r>
        <w:fldChar w:fldCharType="begin"/>
      </w:r>
      <w:r>
        <w:instrText xml:space="preserve"> HYPERLINK "https://www.unicc.org/news/2022/04/13/sap-erp-support-grows-to-include-the-uns-umoja-erp-support-services/" </w:instrText>
      </w:r>
      <w:r>
        <w:fldChar w:fldCharType="separate"/>
      </w:r>
      <w:r>
        <w:rPr>
          <w:rStyle w:val="10"/>
          <w:rFonts w:cs="Times New Roman"/>
          <w:color w:val="auto"/>
          <w:sz w:val="24"/>
          <w:szCs w:val="24"/>
        </w:rPr>
        <w:t>https://www.unicc.org/news/2022/04/13/sap-erp-support-grows-to-include-the-uns-umoja-erp-support-services/</w:t>
      </w:r>
      <w:r>
        <w:rPr>
          <w:rStyle w:val="10"/>
          <w:rFonts w:cs="Times New Roman"/>
          <w:color w:val="auto"/>
          <w:sz w:val="24"/>
          <w:szCs w:val="24"/>
        </w:rPr>
        <w:fldChar w:fldCharType="end"/>
      </w:r>
      <w:r>
        <w:rPr>
          <w:rFonts w:cs="Times New Roman"/>
          <w:sz w:val="24"/>
          <w:szCs w:val="24"/>
        </w:rPr>
        <w:t>, [2023, April, 20].</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United Nations Security Council (2023), ‘Current Members’, [Online]. Available: </w:t>
      </w:r>
      <w:r>
        <w:fldChar w:fldCharType="begin"/>
      </w:r>
      <w:r>
        <w:instrText xml:space="preserve"> HYPERLINK "https://www.un.org/securitycouncil/content/current-members" </w:instrText>
      </w:r>
      <w:r>
        <w:fldChar w:fldCharType="separate"/>
      </w:r>
      <w:r>
        <w:rPr>
          <w:rStyle w:val="10"/>
          <w:rFonts w:cs="Times New Roman"/>
          <w:color w:val="auto"/>
          <w:sz w:val="24"/>
          <w:szCs w:val="24"/>
        </w:rPr>
        <w:t>https://www.un.org/securitycouncil/content/current-members</w:t>
      </w:r>
      <w:r>
        <w:rPr>
          <w:rStyle w:val="10"/>
          <w:rFonts w:cs="Times New Roman"/>
          <w:color w:val="auto"/>
          <w:sz w:val="24"/>
          <w:szCs w:val="24"/>
        </w:rPr>
        <w:fldChar w:fldCharType="end"/>
      </w:r>
      <w:r>
        <w:rPr>
          <w:rFonts w:cs="Times New Roman"/>
          <w:sz w:val="24"/>
          <w:szCs w:val="24"/>
        </w:rPr>
        <w:t>, [2023, April, 22].</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Vos, R. J. &amp; Van den Enden, R. (2020), ‘The United Nations Umoja System: An Analysis of Its Impact on Organizational Effectiveness’, </w:t>
      </w:r>
      <w:r>
        <w:rPr>
          <w:rFonts w:cs="Times New Roman"/>
          <w:sz w:val="24"/>
          <w:szCs w:val="24"/>
          <w:u w:val="single"/>
        </w:rPr>
        <w:t>Public Administration Review</w:t>
      </w:r>
      <w:r>
        <w:rPr>
          <w:rFonts w:cs="Times New Roman"/>
          <w:sz w:val="24"/>
          <w:szCs w:val="24"/>
        </w:rPr>
        <w:t>, 80:2, pp. 254-263.</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Weiss, T.G. &amp; Daws, S. (Ed.) (2020), </w:t>
      </w:r>
      <w:r>
        <w:rPr>
          <w:rFonts w:cs="Times New Roman"/>
          <w:i/>
          <w:iCs/>
          <w:sz w:val="24"/>
          <w:szCs w:val="24"/>
        </w:rPr>
        <w:t>The Oxford Handbook on the United Nations</w:t>
      </w:r>
      <w:r>
        <w:rPr>
          <w:rFonts w:cs="Times New Roman"/>
          <w:sz w:val="24"/>
          <w:szCs w:val="24"/>
        </w:rPr>
        <w:t>, (2</w:t>
      </w:r>
      <w:r>
        <w:rPr>
          <w:rFonts w:cs="Times New Roman"/>
          <w:sz w:val="24"/>
          <w:szCs w:val="24"/>
          <w:vertAlign w:val="superscript"/>
        </w:rPr>
        <w:t>nd</w:t>
      </w:r>
      <w:r>
        <w:rPr>
          <w:rFonts w:cs="Times New Roman"/>
          <w:sz w:val="24"/>
          <w:szCs w:val="24"/>
        </w:rPr>
        <w:t xml:space="preserve"> Ed), Oxford: Oxford University Press.</w:t>
      </w:r>
    </w:p>
    <w:p>
      <w:pPr>
        <w:spacing w:line="480" w:lineRule="auto"/>
        <w:rPr>
          <w:rFonts w:cs="Times New Roman"/>
          <w:sz w:val="24"/>
          <w:szCs w:val="24"/>
        </w:rPr>
      </w:pPr>
    </w:p>
    <w:p>
      <w:pPr>
        <w:spacing w:line="480" w:lineRule="auto"/>
        <w:rPr>
          <w:rFonts w:cs="Times New Roman"/>
          <w:sz w:val="24"/>
          <w:szCs w:val="24"/>
        </w:rPr>
      </w:pPr>
      <w:r>
        <w:rPr>
          <w:rFonts w:cs="Times New Roman"/>
          <w:sz w:val="24"/>
          <w:szCs w:val="24"/>
        </w:rPr>
        <w:t xml:space="preserve">Ziadlou, D. (2021), ‘Strategies during digital transformation to make progress in achievement of sustainable development by 2030’, </w:t>
      </w:r>
      <w:r>
        <w:rPr>
          <w:rFonts w:cs="Times New Roman"/>
          <w:sz w:val="24"/>
          <w:szCs w:val="24"/>
          <w:u w:val="single"/>
        </w:rPr>
        <w:t>Leadership in Health Services</w:t>
      </w:r>
      <w:r>
        <w:rPr>
          <w:rFonts w:cs="Times New Roman"/>
          <w:sz w:val="24"/>
          <w:szCs w:val="24"/>
        </w:rPr>
        <w:t>, 34:4, pp. 375-391.</w:t>
      </w:r>
    </w:p>
    <w:p>
      <w:pPr>
        <w:spacing w:line="480" w:lineRule="auto"/>
        <w:rPr>
          <w:rFonts w:hint="eastAsia" w:cs="Times New Roman"/>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ArialMT">
    <w:altName w:val="Arial"/>
    <w:panose1 w:val="00000000000000000000"/>
    <w:charset w:val="00"/>
    <w:family w:val="roman"/>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3412299"/>
      <w:docPartObj>
        <w:docPartGallery w:val="autotext"/>
      </w:docPartObj>
    </w:sdtPr>
    <w:sdtContent>
      <w:p>
        <w:pPr>
          <w:pStyle w:val="4"/>
          <w:jc w:val="right"/>
        </w:pPr>
        <w:r>
          <w:fldChar w:fldCharType="begin"/>
        </w:r>
        <w:r>
          <w:instrText xml:space="preserve">PAGE   \* MERGEFORMAT</w:instrText>
        </w:r>
        <w:r>
          <w:fldChar w:fldCharType="separate"/>
        </w:r>
        <w:r>
          <w:rPr>
            <w:lang w:val="zh-CN"/>
          </w:rPr>
          <w:t>2</w:t>
        </w:r>
        <w:r>
          <w:fldChar w:fldCharType="end"/>
        </w:r>
      </w:p>
    </w:sdtContent>
  </w:sdt>
  <w:p>
    <w:pPr>
      <w:pStyle w:val="4"/>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6F8D4FA8"/>
    <w:multiLevelType w:val="multilevel"/>
    <w:tmpl w:val="6F8D4FA8"/>
    <w:lvl w:ilvl="0" w:tentative="0">
      <w:start w:val="1"/>
      <w:numFmt w:val="bullet"/>
      <w:lvlText w:val=""/>
      <w:lvlJc w:val="left"/>
      <w:pPr>
        <w:ind w:left="440" w:hanging="440"/>
      </w:pPr>
      <w:rPr>
        <w:rFonts w:hint="default" w:ascii="Wingdings" w:hAnsi="Wingdings"/>
      </w:rPr>
    </w:lvl>
    <w:lvl w:ilvl="1" w:tentative="0">
      <w:start w:val="1"/>
      <w:numFmt w:val="bullet"/>
      <w:lvlText w:val=""/>
      <w:lvlJc w:val="left"/>
      <w:pPr>
        <w:ind w:left="880" w:hanging="440"/>
      </w:pPr>
      <w:rPr>
        <w:rFonts w:hint="default" w:ascii="Wingdings" w:hAnsi="Wingdings"/>
      </w:rPr>
    </w:lvl>
    <w:lvl w:ilvl="2" w:tentative="0">
      <w:start w:val="1"/>
      <w:numFmt w:val="bullet"/>
      <w:lvlText w:val=""/>
      <w:lvlJc w:val="left"/>
      <w:pPr>
        <w:ind w:left="1320" w:hanging="440"/>
      </w:pPr>
      <w:rPr>
        <w:rFonts w:hint="default" w:ascii="Wingdings" w:hAnsi="Wingdings"/>
      </w:rPr>
    </w:lvl>
    <w:lvl w:ilvl="3" w:tentative="0">
      <w:start w:val="1"/>
      <w:numFmt w:val="bullet"/>
      <w:lvlText w:val=""/>
      <w:lvlJc w:val="left"/>
      <w:pPr>
        <w:ind w:left="1760" w:hanging="440"/>
      </w:pPr>
      <w:rPr>
        <w:rFonts w:hint="default" w:ascii="Wingdings" w:hAnsi="Wingdings"/>
      </w:rPr>
    </w:lvl>
    <w:lvl w:ilvl="4" w:tentative="0">
      <w:start w:val="1"/>
      <w:numFmt w:val="bullet"/>
      <w:lvlText w:val=""/>
      <w:lvlJc w:val="left"/>
      <w:pPr>
        <w:ind w:left="2200" w:hanging="440"/>
      </w:pPr>
      <w:rPr>
        <w:rFonts w:hint="default" w:ascii="Wingdings" w:hAnsi="Wingdings"/>
      </w:rPr>
    </w:lvl>
    <w:lvl w:ilvl="5" w:tentative="0">
      <w:start w:val="1"/>
      <w:numFmt w:val="bullet"/>
      <w:lvlText w:val=""/>
      <w:lvlJc w:val="left"/>
      <w:pPr>
        <w:ind w:left="2640" w:hanging="440"/>
      </w:pPr>
      <w:rPr>
        <w:rFonts w:hint="default" w:ascii="Wingdings" w:hAnsi="Wingdings"/>
      </w:rPr>
    </w:lvl>
    <w:lvl w:ilvl="6" w:tentative="0">
      <w:start w:val="1"/>
      <w:numFmt w:val="bullet"/>
      <w:lvlText w:val=""/>
      <w:lvlJc w:val="left"/>
      <w:pPr>
        <w:ind w:left="3080" w:hanging="440"/>
      </w:pPr>
      <w:rPr>
        <w:rFonts w:hint="default" w:ascii="Wingdings" w:hAnsi="Wingdings"/>
      </w:rPr>
    </w:lvl>
    <w:lvl w:ilvl="7" w:tentative="0">
      <w:start w:val="1"/>
      <w:numFmt w:val="bullet"/>
      <w:lvlText w:val=""/>
      <w:lvlJc w:val="left"/>
      <w:pPr>
        <w:ind w:left="3520" w:hanging="440"/>
      </w:pPr>
      <w:rPr>
        <w:rFonts w:hint="default" w:ascii="Wingdings" w:hAnsi="Wingdings"/>
      </w:rPr>
    </w:lvl>
    <w:lvl w:ilvl="8" w:tentative="0">
      <w:start w:val="1"/>
      <w:numFmt w:val="bullet"/>
      <w:lvlText w:val=""/>
      <w:lvlJc w:val="left"/>
      <w:pPr>
        <w:ind w:left="3960" w:hanging="44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0"/>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N2YzNjBkOTgyNWQ1YTMxYzM3MzMwNWFiODNmOWIzYWMifQ=="/>
  </w:docVars>
  <w:rsids>
    <w:rsidRoot w:val="00057EA0"/>
    <w:rsid w:val="00001F85"/>
    <w:rsid w:val="00005F45"/>
    <w:rsid w:val="00012F4E"/>
    <w:rsid w:val="000230C9"/>
    <w:rsid w:val="000310C3"/>
    <w:rsid w:val="00044448"/>
    <w:rsid w:val="00050D89"/>
    <w:rsid w:val="00057EA0"/>
    <w:rsid w:val="00087374"/>
    <w:rsid w:val="000A372A"/>
    <w:rsid w:val="000C4895"/>
    <w:rsid w:val="000D6E50"/>
    <w:rsid w:val="000E6BF0"/>
    <w:rsid w:val="000F43E0"/>
    <w:rsid w:val="00104E45"/>
    <w:rsid w:val="001116CF"/>
    <w:rsid w:val="0013216B"/>
    <w:rsid w:val="0013691B"/>
    <w:rsid w:val="0014181D"/>
    <w:rsid w:val="00147F45"/>
    <w:rsid w:val="00162EB1"/>
    <w:rsid w:val="00192F93"/>
    <w:rsid w:val="001D5723"/>
    <w:rsid w:val="001D6F64"/>
    <w:rsid w:val="001E1A6C"/>
    <w:rsid w:val="001E7B38"/>
    <w:rsid w:val="001F2160"/>
    <w:rsid w:val="0020039C"/>
    <w:rsid w:val="002259D9"/>
    <w:rsid w:val="002348A7"/>
    <w:rsid w:val="00245505"/>
    <w:rsid w:val="00281A57"/>
    <w:rsid w:val="00285D81"/>
    <w:rsid w:val="0029439A"/>
    <w:rsid w:val="00295B0D"/>
    <w:rsid w:val="002A479C"/>
    <w:rsid w:val="002C7164"/>
    <w:rsid w:val="002D0431"/>
    <w:rsid w:val="002F23B6"/>
    <w:rsid w:val="00300FEF"/>
    <w:rsid w:val="00303886"/>
    <w:rsid w:val="00311B60"/>
    <w:rsid w:val="00331FDE"/>
    <w:rsid w:val="0035137E"/>
    <w:rsid w:val="003603A5"/>
    <w:rsid w:val="00381A3A"/>
    <w:rsid w:val="00383593"/>
    <w:rsid w:val="003B1C2F"/>
    <w:rsid w:val="003B7EF7"/>
    <w:rsid w:val="003C1315"/>
    <w:rsid w:val="003C212A"/>
    <w:rsid w:val="003C47D6"/>
    <w:rsid w:val="003D5138"/>
    <w:rsid w:val="003D7CC7"/>
    <w:rsid w:val="00403BFA"/>
    <w:rsid w:val="00405E90"/>
    <w:rsid w:val="00420466"/>
    <w:rsid w:val="00424261"/>
    <w:rsid w:val="0046256D"/>
    <w:rsid w:val="004A306B"/>
    <w:rsid w:val="004A6AF3"/>
    <w:rsid w:val="004D54F2"/>
    <w:rsid w:val="004E4D20"/>
    <w:rsid w:val="004F0603"/>
    <w:rsid w:val="005160B3"/>
    <w:rsid w:val="00525850"/>
    <w:rsid w:val="005313F6"/>
    <w:rsid w:val="00537140"/>
    <w:rsid w:val="00563BF3"/>
    <w:rsid w:val="00586251"/>
    <w:rsid w:val="005E3F2A"/>
    <w:rsid w:val="005F15CA"/>
    <w:rsid w:val="0060155A"/>
    <w:rsid w:val="006158E7"/>
    <w:rsid w:val="00631EE7"/>
    <w:rsid w:val="00653DC6"/>
    <w:rsid w:val="00676AFD"/>
    <w:rsid w:val="00677BF3"/>
    <w:rsid w:val="00680DCB"/>
    <w:rsid w:val="00694DD4"/>
    <w:rsid w:val="006C5888"/>
    <w:rsid w:val="006E268A"/>
    <w:rsid w:val="006E41A3"/>
    <w:rsid w:val="00701D61"/>
    <w:rsid w:val="00734B1C"/>
    <w:rsid w:val="00735BF5"/>
    <w:rsid w:val="007540CD"/>
    <w:rsid w:val="00764C71"/>
    <w:rsid w:val="007942EA"/>
    <w:rsid w:val="007D5209"/>
    <w:rsid w:val="00803E2E"/>
    <w:rsid w:val="00805FC4"/>
    <w:rsid w:val="00846226"/>
    <w:rsid w:val="008B1DAF"/>
    <w:rsid w:val="008F70D9"/>
    <w:rsid w:val="00907DCB"/>
    <w:rsid w:val="00927BCB"/>
    <w:rsid w:val="0094608F"/>
    <w:rsid w:val="00957FB6"/>
    <w:rsid w:val="00975835"/>
    <w:rsid w:val="00981515"/>
    <w:rsid w:val="0098653E"/>
    <w:rsid w:val="00987342"/>
    <w:rsid w:val="009A29FA"/>
    <w:rsid w:val="009A652A"/>
    <w:rsid w:val="009B7686"/>
    <w:rsid w:val="00A21B0C"/>
    <w:rsid w:val="00A45469"/>
    <w:rsid w:val="00A50C8A"/>
    <w:rsid w:val="00A55C67"/>
    <w:rsid w:val="00A62D8B"/>
    <w:rsid w:val="00A66A1D"/>
    <w:rsid w:val="00A745C4"/>
    <w:rsid w:val="00AA6977"/>
    <w:rsid w:val="00AE5B70"/>
    <w:rsid w:val="00B026AE"/>
    <w:rsid w:val="00B14E91"/>
    <w:rsid w:val="00B31272"/>
    <w:rsid w:val="00B424F4"/>
    <w:rsid w:val="00B434F3"/>
    <w:rsid w:val="00B46B8E"/>
    <w:rsid w:val="00B52F5F"/>
    <w:rsid w:val="00B531EE"/>
    <w:rsid w:val="00B76B13"/>
    <w:rsid w:val="00B82ECA"/>
    <w:rsid w:val="00BD6BD8"/>
    <w:rsid w:val="00BE28B6"/>
    <w:rsid w:val="00BE6FD9"/>
    <w:rsid w:val="00BF6E93"/>
    <w:rsid w:val="00C31D22"/>
    <w:rsid w:val="00C625CD"/>
    <w:rsid w:val="00C82601"/>
    <w:rsid w:val="00C91905"/>
    <w:rsid w:val="00CA64CC"/>
    <w:rsid w:val="00CD46DF"/>
    <w:rsid w:val="00CD7221"/>
    <w:rsid w:val="00CF7B1D"/>
    <w:rsid w:val="00D061B7"/>
    <w:rsid w:val="00D44FD3"/>
    <w:rsid w:val="00D562C3"/>
    <w:rsid w:val="00D61635"/>
    <w:rsid w:val="00D74E0D"/>
    <w:rsid w:val="00D77622"/>
    <w:rsid w:val="00D77682"/>
    <w:rsid w:val="00DA311F"/>
    <w:rsid w:val="00DC57B4"/>
    <w:rsid w:val="00DD2920"/>
    <w:rsid w:val="00DD3DE7"/>
    <w:rsid w:val="00DF2318"/>
    <w:rsid w:val="00E10C31"/>
    <w:rsid w:val="00E110B0"/>
    <w:rsid w:val="00E22E79"/>
    <w:rsid w:val="00E26C18"/>
    <w:rsid w:val="00E32215"/>
    <w:rsid w:val="00EB283E"/>
    <w:rsid w:val="00EB6307"/>
    <w:rsid w:val="00EC1D07"/>
    <w:rsid w:val="00EC54AB"/>
    <w:rsid w:val="00EC6897"/>
    <w:rsid w:val="00F02F37"/>
    <w:rsid w:val="00F1474B"/>
    <w:rsid w:val="00F166CA"/>
    <w:rsid w:val="00F2068F"/>
    <w:rsid w:val="00F24F84"/>
    <w:rsid w:val="00F560D7"/>
    <w:rsid w:val="00F63A03"/>
    <w:rsid w:val="00F766E2"/>
    <w:rsid w:val="00F8314B"/>
    <w:rsid w:val="00F86926"/>
    <w:rsid w:val="00FC16C1"/>
    <w:rsid w:val="00FF0DFE"/>
    <w:rsid w:val="00FF0E54"/>
    <w:rsid w:val="00FF3426"/>
    <w:rsid w:val="13DF098D"/>
    <w:rsid w:val="474C0582"/>
    <w:rsid w:val="5EE554E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imes New Roman" w:hAnsi="Times New Roman" w:eastAsia="宋体" w:cstheme="minorBidi"/>
      <w:kern w:val="2"/>
      <w:sz w:val="21"/>
      <w:szCs w:val="22"/>
      <w:lang w:val="en-US" w:eastAsia="zh-CN" w:bidi="ar-SA"/>
    </w:rPr>
  </w:style>
  <w:style w:type="paragraph" w:styleId="2">
    <w:name w:val="heading 1"/>
    <w:basedOn w:val="1"/>
    <w:next w:val="1"/>
    <w:link w:val="16"/>
    <w:qFormat/>
    <w:uiPriority w:val="9"/>
    <w:pPr>
      <w:keepNext/>
      <w:keepLines/>
      <w:spacing w:before="340" w:after="330" w:line="578" w:lineRule="auto"/>
      <w:outlineLvl w:val="0"/>
    </w:pPr>
    <w:rPr>
      <w:b/>
      <w:bCs/>
      <w:kern w:val="44"/>
      <w:sz w:val="44"/>
      <w:szCs w:val="44"/>
    </w:rPr>
  </w:style>
  <w:style w:type="paragraph" w:styleId="3">
    <w:name w:val="heading 2"/>
    <w:basedOn w:val="1"/>
    <w:next w:val="1"/>
    <w:link w:val="13"/>
    <w:unhideWhenUsed/>
    <w:qFormat/>
    <w:uiPriority w:val="9"/>
    <w:pPr>
      <w:keepNext/>
      <w:keepLines/>
      <w:spacing w:before="260" w:after="260" w:line="416" w:lineRule="auto"/>
      <w:outlineLvl w:val="1"/>
    </w:pPr>
    <w:rPr>
      <w:rFonts w:asciiTheme="majorHAnsi" w:hAnsiTheme="majorHAnsi" w:eastAsiaTheme="majorEastAsia" w:cstheme="majorBidi"/>
      <w:b/>
      <w:bCs/>
      <w:sz w:val="32"/>
      <w:szCs w:val="32"/>
    </w:rPr>
  </w:style>
  <w:style w:type="character" w:default="1" w:styleId="9">
    <w:name w:val="Default Paragraph Font"/>
    <w:semiHidden/>
    <w:unhideWhenUsed/>
    <w:uiPriority w:val="1"/>
  </w:style>
  <w:style w:type="table" w:default="1" w:styleId="7">
    <w:name w:val="Normal Table"/>
    <w:semiHidden/>
    <w:unhideWhenUsed/>
    <w:uiPriority w:val="99"/>
    <w:tblPr>
      <w:tblCellMar>
        <w:top w:w="0" w:type="dxa"/>
        <w:left w:w="108" w:type="dxa"/>
        <w:bottom w:w="0" w:type="dxa"/>
        <w:right w:w="108" w:type="dxa"/>
      </w:tblCellMar>
    </w:tblPr>
  </w:style>
  <w:style w:type="paragraph" w:styleId="4">
    <w:name w:val="footer"/>
    <w:basedOn w:val="1"/>
    <w:link w:val="12"/>
    <w:unhideWhenUsed/>
    <w:qFormat/>
    <w:uiPriority w:val="99"/>
    <w:pPr>
      <w:tabs>
        <w:tab w:val="center" w:pos="4153"/>
        <w:tab w:val="right" w:pos="8306"/>
      </w:tabs>
      <w:snapToGrid w:val="0"/>
      <w:jc w:val="left"/>
    </w:pPr>
    <w:rPr>
      <w:sz w:val="18"/>
      <w:szCs w:val="18"/>
    </w:rPr>
  </w:style>
  <w:style w:type="paragraph" w:styleId="5">
    <w:name w:val="header"/>
    <w:basedOn w:val="1"/>
    <w:link w:val="11"/>
    <w:unhideWhenUsed/>
    <w:uiPriority w:val="99"/>
    <w:pPr>
      <w:tabs>
        <w:tab w:val="center" w:pos="4153"/>
        <w:tab w:val="right" w:pos="8306"/>
      </w:tabs>
      <w:snapToGrid w:val="0"/>
      <w:jc w:val="center"/>
    </w:pPr>
    <w:rPr>
      <w:sz w:val="18"/>
      <w:szCs w:val="18"/>
    </w:rPr>
  </w:style>
  <w:style w:type="paragraph" w:styleId="6">
    <w:name w:val="toc 2"/>
    <w:basedOn w:val="1"/>
    <w:next w:val="1"/>
    <w:unhideWhenUsed/>
    <w:uiPriority w:val="39"/>
    <w:pPr>
      <w:ind w:left="420" w:leftChars="200"/>
    </w:pPr>
  </w:style>
  <w:style w:type="table" w:styleId="8">
    <w:name w:val="Table Grid"/>
    <w:basedOn w:val="7"/>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nhideWhenUsed/>
    <w:uiPriority w:val="99"/>
    <w:rPr>
      <w:color w:val="0563C1" w:themeColor="hyperlink"/>
      <w:u w:val="single"/>
      <w14:textFill>
        <w14:solidFill>
          <w14:schemeClr w14:val="hlink"/>
        </w14:solidFill>
      </w14:textFill>
    </w:rPr>
  </w:style>
  <w:style w:type="character" w:customStyle="1" w:styleId="11">
    <w:name w:val="页眉 字符"/>
    <w:basedOn w:val="9"/>
    <w:link w:val="5"/>
    <w:uiPriority w:val="99"/>
    <w:rPr>
      <w:sz w:val="18"/>
      <w:szCs w:val="18"/>
    </w:rPr>
  </w:style>
  <w:style w:type="character" w:customStyle="1" w:styleId="12">
    <w:name w:val="页脚 字符"/>
    <w:basedOn w:val="9"/>
    <w:link w:val="4"/>
    <w:uiPriority w:val="99"/>
    <w:rPr>
      <w:sz w:val="18"/>
      <w:szCs w:val="18"/>
    </w:rPr>
  </w:style>
  <w:style w:type="character" w:customStyle="1" w:styleId="13">
    <w:name w:val="标题 2 字符"/>
    <w:basedOn w:val="9"/>
    <w:link w:val="3"/>
    <w:uiPriority w:val="9"/>
    <w:rPr>
      <w:rFonts w:asciiTheme="majorHAnsi" w:hAnsiTheme="majorHAnsi" w:eastAsiaTheme="majorEastAsia" w:cstheme="majorBidi"/>
      <w:b/>
      <w:bCs/>
      <w:sz w:val="32"/>
      <w:szCs w:val="32"/>
    </w:rPr>
  </w:style>
  <w:style w:type="paragraph" w:styleId="14">
    <w:name w:val="List Paragraph"/>
    <w:basedOn w:val="1"/>
    <w:qFormat/>
    <w:uiPriority w:val="34"/>
    <w:pPr>
      <w:ind w:firstLine="420" w:firstLineChars="200"/>
    </w:pPr>
  </w:style>
  <w:style w:type="character" w:customStyle="1" w:styleId="15">
    <w:name w:val="fontstyle01"/>
    <w:basedOn w:val="9"/>
    <w:uiPriority w:val="0"/>
    <w:rPr>
      <w:rFonts w:hint="default" w:ascii="ArialMT" w:hAnsi="ArialMT"/>
      <w:color w:val="000000"/>
      <w:sz w:val="24"/>
      <w:szCs w:val="24"/>
    </w:rPr>
  </w:style>
  <w:style w:type="character" w:customStyle="1" w:styleId="16">
    <w:name w:val="标题 1 字符"/>
    <w:basedOn w:val="9"/>
    <w:link w:val="2"/>
    <w:uiPriority w:val="9"/>
    <w:rPr>
      <w:b/>
      <w:bCs/>
      <w:kern w:val="44"/>
      <w:sz w:val="44"/>
      <w:szCs w:val="44"/>
    </w:rPr>
  </w:style>
  <w:style w:type="paragraph" w:customStyle="1" w:styleId="17">
    <w:name w:val="TOC Heading"/>
    <w:basedOn w:val="2"/>
    <w:next w:val="1"/>
    <w:unhideWhenUsed/>
    <w:qFormat/>
    <w:uiPriority w:val="39"/>
    <w:pPr>
      <w:widowControl/>
      <w:spacing w:before="240" w:after="0" w:line="259" w:lineRule="auto"/>
      <w:jc w:val="left"/>
      <w:outlineLvl w:val="9"/>
    </w:pPr>
    <w:rPr>
      <w:rFonts w:asciiTheme="majorHAnsi" w:hAnsiTheme="majorHAnsi" w:eastAsiaTheme="majorEastAsia" w:cstheme="majorBidi"/>
      <w:b w:val="0"/>
      <w:bCs w:val="0"/>
      <w:color w:val="2F5597" w:themeColor="accent1" w:themeShade="BF"/>
      <w:kern w:val="0"/>
      <w:sz w:val="32"/>
      <w:szCs w:val="32"/>
    </w:rPr>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4A9BE9-A58F-4638-B8E4-B9A5EF99C9DE}">
  <ds:schemaRefs/>
</ds:datastoreItem>
</file>

<file path=docProps/app.xml><?xml version="1.0" encoding="utf-8"?>
<Properties xmlns="http://schemas.openxmlformats.org/officeDocument/2006/extended-properties" xmlns:vt="http://schemas.openxmlformats.org/officeDocument/2006/docPropsVTypes">
  <Template>Normal</Template>
  <Pages>31</Pages>
  <Words>5155</Words>
  <Characters>29389</Characters>
  <Lines>244</Lines>
  <Paragraphs>68</Paragraphs>
  <TotalTime>1332</TotalTime>
  <ScaleCrop>false</ScaleCrop>
  <LinksUpToDate>false</LinksUpToDate>
  <CharactersWithSpaces>34476</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2023-04-29T08:56:00Z</dcterms:created>
  <dc:creator>金桂清</dc:creator>
  <cp:lastModifiedBy>金桂清（好学近乎知）</cp:lastModifiedBy>
  <dcterms:modified xsi:type="dcterms:W3CDTF">2023-05-05T14:29:11Z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7D3365FA2CA64344BABFD60586D345EF_12</vt:lpwstr>
  </property>
</Properties>
</file>