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61824C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E3E38">
        <w:rPr>
          <w:rFonts w:asciiTheme="minorBidi" w:hAnsiTheme="minorBidi"/>
          <w:sz w:val="28"/>
          <w:szCs w:val="28"/>
        </w:rPr>
        <w:t>Nadejda Ducantoni</w:t>
      </w:r>
    </w:p>
    <w:p w14:paraId="485B6F49" w14:textId="1CA8B5E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E3E38">
        <w:rPr>
          <w:rFonts w:asciiTheme="minorBidi" w:hAnsiTheme="minorBidi"/>
          <w:sz w:val="28"/>
          <w:szCs w:val="28"/>
        </w:rPr>
        <w:t>2531000</w:t>
      </w:r>
    </w:p>
    <w:p w14:paraId="3C1E7A20" w14:textId="52191AB4"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FE3E38">
        <w:rPr>
          <w:rFonts w:asciiTheme="minorBidi" w:hAnsiTheme="minorBidi"/>
          <w:sz w:val="28"/>
          <w:szCs w:val="28"/>
        </w:rPr>
        <w:t>LCHS4001</w:t>
      </w:r>
    </w:p>
    <w:p w14:paraId="4EEB2DA3" w14:textId="4DACEE66" w:rsidR="00ED5964" w:rsidRPr="00FE3E38" w:rsidRDefault="00ED5964" w:rsidP="00ED5964">
      <w:pPr>
        <w:jc w:val="both"/>
        <w:rPr>
          <w:rFonts w:asciiTheme="minorBidi" w:hAnsiTheme="minorBidi"/>
          <w:b/>
          <w:bCs/>
          <w:sz w:val="28"/>
          <w:szCs w:val="28"/>
        </w:rPr>
      </w:pPr>
      <w:r>
        <w:rPr>
          <w:rFonts w:asciiTheme="minorBidi" w:hAnsiTheme="minorBidi"/>
          <w:sz w:val="28"/>
          <w:szCs w:val="28"/>
        </w:rPr>
        <w:t xml:space="preserve">Module: </w:t>
      </w:r>
      <w:r w:rsidR="00FE3E38" w:rsidRPr="00FE3E38">
        <w:rPr>
          <w:rFonts w:asciiTheme="minorBidi" w:hAnsiTheme="minorBidi"/>
          <w:sz w:val="28"/>
          <w:szCs w:val="28"/>
        </w:rPr>
        <w:t>Academic and Employability Skills</w:t>
      </w:r>
    </w:p>
    <w:p w14:paraId="112342CB" w14:textId="48AD4F4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E3E38">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030D6F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E3E38">
        <w:rPr>
          <w:rFonts w:asciiTheme="minorBidi" w:hAnsiTheme="minorBidi"/>
          <w:sz w:val="28"/>
          <w:szCs w:val="28"/>
        </w:rPr>
        <w:t>21.04.2026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7FD90338"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A45A94">
              <w:rPr>
                <w:rStyle w:val="Hyperlink"/>
              </w:rPr>
              <w:t>Elderly Care Worker</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E61C588"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A45A94">
              <w:rPr>
                <w:rStyle w:val="Hyperlink"/>
              </w:rPr>
              <w:t>Elderly Care Worker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0D374CA0"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A45A94">
              <w:rPr>
                <w:rStyle w:val="Hyperlink"/>
              </w:rPr>
              <w:t>Elderly Care Worker</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7005774A"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A45A94">
              <w:rPr>
                <w:rStyle w:val="Hyperlink"/>
              </w:rPr>
              <w:t xml:space="preserve">Elderly Care Worker </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DEE816A"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A45A94">
              <w:rPr>
                <w:rStyle w:val="Hyperlink"/>
              </w:rPr>
              <w:t>Elderly Care Worker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50F3186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4CC61BC1" w14:textId="16E563FB" w:rsidR="00F36ADC" w:rsidRPr="00242974" w:rsidRDefault="00FE3E38" w:rsidP="0156E134">
      <w:pPr>
        <w:spacing w:after="0" w:line="240" w:lineRule="auto"/>
        <w:rPr>
          <w:sz w:val="22"/>
        </w:rPr>
      </w:pPr>
      <w:r w:rsidRPr="00FE3E38">
        <w:rPr>
          <w:sz w:val="22"/>
        </w:rPr>
        <w:t xml:space="preserve">Health and social care sector </w:t>
      </w:r>
      <w:proofErr w:type="gramStart"/>
      <w:r w:rsidRPr="00FE3E38">
        <w:rPr>
          <w:sz w:val="22"/>
        </w:rPr>
        <w:t>is</w:t>
      </w:r>
      <w:proofErr w:type="gramEnd"/>
      <w:r w:rsidRPr="00FE3E38">
        <w:rPr>
          <w:sz w:val="22"/>
        </w:rPr>
        <w:t xml:space="preserve"> important in addressing the needs of vulnerable groups especially the elderly who need more physical, emotional and social care. It is developed with an increased global life expectancy, the need of the elderly in the high-quality care services keeps growing. The elderly care worker is also a professional in this sector who plays a crucial role in ensuring the wellbeing, dignity and independence of the elderly in the care facilities, hospitals and community. This report aims to discuss the work of an elderly care worker, define and describe three key competencies that are necessary to practice effectively, and assess ways to improve the skills. The report will present a description of the job and the duties it involves, then discuss the main skills, and conclude with assessment of the strategies of improvement with reference to academic evidence.</w:t>
      </w:r>
    </w:p>
    <w:p w14:paraId="64F36E68" w14:textId="0320F14B" w:rsidR="3C659699" w:rsidRDefault="3C659699" w:rsidP="0CF501EC">
      <w:pPr>
        <w:pStyle w:val="Heading2"/>
        <w:rPr>
          <w:color w:val="4472C4" w:themeColor="accent1"/>
        </w:rPr>
      </w:pPr>
      <w:bookmarkStart w:id="1" w:name="_Toc1915621813"/>
      <w:r w:rsidRPr="0CF501EC">
        <w:rPr>
          <w:color w:val="4471C4"/>
        </w:rPr>
        <w:t xml:space="preserve">2 </w:t>
      </w:r>
      <w:r w:rsidR="00A45A94">
        <w:rPr>
          <w:color w:val="4471C4"/>
        </w:rPr>
        <w:t>Elderly Care Worker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2B007A1A"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A45A94">
        <w:rPr>
          <w:color w:val="4471C4"/>
        </w:rPr>
        <w:t>Elderly Care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26F123F" w14:textId="77777777" w:rsidR="00FE3E38" w:rsidRDefault="00FE3E38" w:rsidP="00FE3E38">
      <w:pPr>
        <w:spacing w:after="0" w:line="240" w:lineRule="auto"/>
        <w:jc w:val="both"/>
        <w:rPr>
          <w:sz w:val="22"/>
        </w:rPr>
      </w:pPr>
      <w:r w:rsidRPr="00FE3E38">
        <w:rPr>
          <w:sz w:val="22"/>
        </w:rPr>
        <w:t>An elderly care worker also will be required to directly assist older adults who also might be physically weak, mentally frail, or have long-term illnesses. This is a critical role in supporting good life and encouraging independence among service users. Workers in elderly care also help with the daily living process like bathing, dressing, feeding and mobility support so that people can keep their dignity and comfort in their daily lives.</w:t>
      </w:r>
    </w:p>
    <w:p w14:paraId="41B8D1F0" w14:textId="77777777" w:rsidR="00A45A94" w:rsidRPr="00FE3E38" w:rsidRDefault="00A45A94" w:rsidP="00FE3E38">
      <w:pPr>
        <w:spacing w:after="0" w:line="240" w:lineRule="auto"/>
        <w:jc w:val="both"/>
        <w:rPr>
          <w:sz w:val="22"/>
        </w:rPr>
      </w:pPr>
    </w:p>
    <w:p w14:paraId="1A1BC54B" w14:textId="77777777" w:rsidR="00FE3E38" w:rsidRDefault="00FE3E38" w:rsidP="00FE3E38">
      <w:pPr>
        <w:spacing w:after="0" w:line="240" w:lineRule="auto"/>
        <w:jc w:val="both"/>
        <w:rPr>
          <w:sz w:val="22"/>
        </w:rPr>
      </w:pPr>
      <w:r w:rsidRPr="00FE3E38">
        <w:rPr>
          <w:sz w:val="22"/>
        </w:rPr>
        <w:t>Besides physical care, they also keep track of the health and well-being of service users by noticing behavioural, mood or physical changes, and respond to the situation by reporting this to healthcare professionals. Burton et al. (2022) emphasise the role of proper observation and communication by care workers in improving monitoring and quality of care outcomes, and structured data systems in care homes play a crucial role in this process.</w:t>
      </w:r>
    </w:p>
    <w:p w14:paraId="072F3B82" w14:textId="77777777" w:rsidR="00A45A94" w:rsidRPr="00FE3E38" w:rsidRDefault="00A45A94" w:rsidP="00FE3E38">
      <w:pPr>
        <w:spacing w:after="0" w:line="240" w:lineRule="auto"/>
        <w:jc w:val="both"/>
        <w:rPr>
          <w:sz w:val="22"/>
        </w:rPr>
      </w:pPr>
    </w:p>
    <w:p w14:paraId="366C8FE2" w14:textId="77777777" w:rsidR="00FE3E38" w:rsidRPr="00FE3E38" w:rsidRDefault="00FE3E38" w:rsidP="00FE3E38">
      <w:pPr>
        <w:spacing w:after="0" w:line="240" w:lineRule="auto"/>
        <w:jc w:val="both"/>
        <w:rPr>
          <w:sz w:val="22"/>
        </w:rPr>
      </w:pPr>
      <w:r w:rsidRPr="00FE3E38">
        <w:rPr>
          <w:sz w:val="22"/>
        </w:rPr>
        <w:t>Moreover, elderly care workers also offer emotional and social support through talking and encouraging them to participate in activities and minimise loneliness that is a significant factor among the older generations. This position is demanding in terms of patience, empathy, and good interpersonal skills, as well as to make sure that person-centred care is provided effectively (Sharkiya,2023). Thus, the elderly care worker is of utmost importance in assisting the physical and emotional demands of older adults in the healthcare system.</w:t>
      </w:r>
    </w:p>
    <w:p w14:paraId="26E0D1A5" w14:textId="06C7C686" w:rsidR="0156E134" w:rsidRDefault="0156E134" w:rsidP="0156E134">
      <w:pPr>
        <w:spacing w:after="0" w:line="240" w:lineRule="auto"/>
        <w:jc w:val="both"/>
        <w:rPr>
          <w:sz w:val="22"/>
        </w:rPr>
      </w:pPr>
    </w:p>
    <w:p w14:paraId="4010C35E" w14:textId="0929EDCA"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A45A94">
        <w:rPr>
          <w:color w:val="4471C4"/>
        </w:rPr>
        <w:t>Elderly Care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2D770F4E" w14:textId="08514C6E" w:rsidR="006123FC" w:rsidRDefault="006123FC" w:rsidP="006123FC">
      <w:pPr>
        <w:spacing w:after="0" w:line="240" w:lineRule="auto"/>
        <w:jc w:val="both"/>
        <w:rPr>
          <w:sz w:val="21"/>
          <w:szCs w:val="21"/>
        </w:rPr>
      </w:pPr>
      <w:r w:rsidRPr="006123FC">
        <w:rPr>
          <w:sz w:val="21"/>
          <w:szCs w:val="21"/>
        </w:rPr>
        <w:t>Communication is one of the most essential skills one needs to have in the elderly care. Communication is developed with a</w:t>
      </w:r>
      <w:r>
        <w:rPr>
          <w:sz w:val="21"/>
          <w:szCs w:val="21"/>
        </w:rPr>
        <w:t xml:space="preserve"> </w:t>
      </w:r>
      <w:proofErr w:type="gramStart"/>
      <w:r w:rsidRPr="006123FC">
        <w:rPr>
          <w:sz w:val="21"/>
          <w:szCs w:val="21"/>
        </w:rPr>
        <w:t>needs of service users</w:t>
      </w:r>
      <w:proofErr w:type="gramEnd"/>
      <w:r w:rsidRPr="006123FC">
        <w:rPr>
          <w:sz w:val="21"/>
          <w:szCs w:val="21"/>
        </w:rPr>
        <w:t xml:space="preserve"> as well as how they can support them. Most senior citizens can develop a hearing loss, dementia, or cognitive impairment, and communication can be complicated. </w:t>
      </w:r>
      <w:proofErr w:type="spellStart"/>
      <w:r w:rsidRPr="006123FC">
        <w:rPr>
          <w:sz w:val="21"/>
          <w:szCs w:val="21"/>
        </w:rPr>
        <w:t>Sharkiya</w:t>
      </w:r>
      <w:proofErr w:type="spellEnd"/>
      <w:r w:rsidRPr="006123FC">
        <w:rPr>
          <w:sz w:val="21"/>
          <w:szCs w:val="21"/>
        </w:rPr>
        <w:t xml:space="preserve"> (2023) notes that an effective communication is develop a key element of patient-centred outcomes and safety in the healthcare environments </w:t>
      </w:r>
      <w:proofErr w:type="gramStart"/>
      <w:r w:rsidRPr="006123FC">
        <w:rPr>
          <w:sz w:val="21"/>
          <w:szCs w:val="21"/>
        </w:rPr>
        <w:t>and also</w:t>
      </w:r>
      <w:proofErr w:type="gramEnd"/>
      <w:r w:rsidRPr="006123FC">
        <w:rPr>
          <w:sz w:val="21"/>
          <w:szCs w:val="21"/>
        </w:rPr>
        <w:t xml:space="preserve"> contributes to better outcomes. As an illustration, when giving an elderly patient instructions concerning medication, it is important to communicate in a way that will not cause one to go wrong but rather get the right medication.</w:t>
      </w:r>
    </w:p>
    <w:p w14:paraId="72F4546C" w14:textId="77777777" w:rsidR="00A45A94" w:rsidRPr="006123FC" w:rsidRDefault="00A45A94" w:rsidP="006123FC">
      <w:pPr>
        <w:spacing w:after="0" w:line="240" w:lineRule="auto"/>
        <w:jc w:val="both"/>
        <w:rPr>
          <w:sz w:val="21"/>
          <w:szCs w:val="21"/>
        </w:rPr>
      </w:pPr>
    </w:p>
    <w:p w14:paraId="4B92DF6E" w14:textId="77777777" w:rsidR="006123FC" w:rsidRDefault="006123FC" w:rsidP="006123FC">
      <w:pPr>
        <w:spacing w:after="0" w:line="240" w:lineRule="auto"/>
        <w:jc w:val="both"/>
        <w:rPr>
          <w:sz w:val="21"/>
          <w:szCs w:val="21"/>
        </w:rPr>
      </w:pPr>
      <w:r w:rsidRPr="006123FC">
        <w:rPr>
          <w:sz w:val="21"/>
          <w:szCs w:val="21"/>
        </w:rPr>
        <w:lastRenderedPageBreak/>
        <w:t xml:space="preserve">Empathy and compassion are another skill that is required. Older adults are often vulnerable, anxious, or lonely and are assisted by the workers of the field of elderly care. Empathy enables that the workers to empathise with all the patients’ feelings </w:t>
      </w:r>
      <w:proofErr w:type="gramStart"/>
      <w:r w:rsidRPr="006123FC">
        <w:rPr>
          <w:sz w:val="21"/>
          <w:szCs w:val="21"/>
        </w:rPr>
        <w:t>and also</w:t>
      </w:r>
      <w:proofErr w:type="gramEnd"/>
      <w:r w:rsidRPr="006123FC">
        <w:rPr>
          <w:sz w:val="21"/>
          <w:szCs w:val="21"/>
        </w:rPr>
        <w:t xml:space="preserve"> compassion ensures that they take an action to support the patients. Nathoo et al. (2021) also highlight that compassion is a key determinant in the delivering high-quality care to older people and it is strongly linked with to positive health outcomes. As an example, develop as caring reaction in the situation with a patient with the dementia makes them less anxious and enhances trust.</w:t>
      </w:r>
    </w:p>
    <w:p w14:paraId="0830AB35" w14:textId="77777777" w:rsidR="00A45A94" w:rsidRPr="006123FC" w:rsidRDefault="00A45A94" w:rsidP="006123FC">
      <w:pPr>
        <w:spacing w:after="0" w:line="240" w:lineRule="auto"/>
        <w:jc w:val="both"/>
        <w:rPr>
          <w:sz w:val="21"/>
          <w:szCs w:val="21"/>
        </w:rPr>
      </w:pPr>
    </w:p>
    <w:p w14:paraId="5C924C5C" w14:textId="094E4D03" w:rsidR="006123FC" w:rsidRDefault="006123FC" w:rsidP="006123FC">
      <w:pPr>
        <w:spacing w:after="0" w:line="240" w:lineRule="auto"/>
        <w:jc w:val="both"/>
        <w:rPr>
          <w:sz w:val="21"/>
          <w:szCs w:val="21"/>
        </w:rPr>
      </w:pPr>
      <w:r w:rsidRPr="006123FC">
        <w:rPr>
          <w:sz w:val="21"/>
          <w:szCs w:val="21"/>
        </w:rPr>
        <w:t xml:space="preserve">Another essential skill in caring of the elderly is time management. Employees are usually expected to perform various </w:t>
      </w:r>
      <w:proofErr w:type="gramStart"/>
      <w:r w:rsidRPr="006123FC">
        <w:rPr>
          <w:sz w:val="21"/>
          <w:szCs w:val="21"/>
        </w:rPr>
        <w:t>tasks</w:t>
      </w:r>
      <w:proofErr w:type="gramEnd"/>
      <w:r w:rsidRPr="006123FC">
        <w:rPr>
          <w:sz w:val="21"/>
          <w:szCs w:val="21"/>
        </w:rPr>
        <w:t xml:space="preserve"> and some include personal care, paperwork and checking health statuses. Prioritisation will help to focus on urgent needs and provide care in the most reasonable way without interrupting regular care. The importance of effective task management is evidenced by the fact that staffing and workload directly affect the quality of care in nursing homes (</w:t>
      </w:r>
      <w:proofErr w:type="spellStart"/>
      <w:r w:rsidRPr="006123FC">
        <w:rPr>
          <w:sz w:val="21"/>
          <w:szCs w:val="21"/>
        </w:rPr>
        <w:t>Davlyatov</w:t>
      </w:r>
      <w:proofErr w:type="spellEnd"/>
      <w:r w:rsidRPr="006123FC">
        <w:rPr>
          <w:sz w:val="21"/>
          <w:szCs w:val="21"/>
        </w:rPr>
        <w:t xml:space="preserve">, 2025). Time mismanagement could lead to omission of care </w:t>
      </w:r>
      <w:proofErr w:type="gramStart"/>
      <w:r w:rsidRPr="006123FC">
        <w:rPr>
          <w:sz w:val="21"/>
          <w:szCs w:val="21"/>
        </w:rPr>
        <w:t>tasks</w:t>
      </w:r>
      <w:proofErr w:type="gramEnd"/>
      <w:r w:rsidRPr="006123FC">
        <w:rPr>
          <w:sz w:val="21"/>
          <w:szCs w:val="21"/>
        </w:rPr>
        <w:t xml:space="preserve"> and this could have adverse implications on patient safety</w:t>
      </w:r>
      <w:r w:rsidR="00A45A94">
        <w:rPr>
          <w:sz w:val="21"/>
          <w:szCs w:val="21"/>
        </w:rPr>
        <w:t>.</w:t>
      </w:r>
    </w:p>
    <w:p w14:paraId="71A49D92" w14:textId="77777777" w:rsidR="00A45A94" w:rsidRPr="006123FC" w:rsidRDefault="00A45A94" w:rsidP="006123FC">
      <w:pPr>
        <w:spacing w:after="0" w:line="240" w:lineRule="auto"/>
        <w:jc w:val="both"/>
        <w:rPr>
          <w:sz w:val="21"/>
          <w:szCs w:val="21"/>
        </w:rPr>
      </w:pPr>
    </w:p>
    <w:p w14:paraId="7388579C" w14:textId="77777777" w:rsidR="006123FC" w:rsidRPr="006123FC" w:rsidRDefault="006123FC" w:rsidP="006123FC">
      <w:pPr>
        <w:spacing w:after="0" w:line="240" w:lineRule="auto"/>
        <w:jc w:val="both"/>
        <w:rPr>
          <w:sz w:val="21"/>
          <w:szCs w:val="21"/>
        </w:rPr>
      </w:pPr>
      <w:r w:rsidRPr="006123FC">
        <w:rPr>
          <w:sz w:val="21"/>
          <w:szCs w:val="21"/>
        </w:rPr>
        <w:t>Conversely, the lack of such skills may greatly affect the quality of care. This may result in misunderstanding, wrong treatment, and dissatisfaction by the patients due to poor communication. Emotional distress and lack of trust between patients and staff may result due to the lack of empathy. Poor time management may result in care delays and higher risks on patient safety. Thus, the skills will be vital in providing safe, effective and person-centred care in the elderly care environment.</w:t>
      </w:r>
    </w:p>
    <w:p w14:paraId="7338813D" w14:textId="77777777" w:rsidR="00C85A7C" w:rsidRPr="00242974" w:rsidRDefault="00C85A7C" w:rsidP="00C85A7C">
      <w:pPr>
        <w:spacing w:after="0" w:line="240" w:lineRule="auto"/>
        <w:jc w:val="both"/>
        <w:rPr>
          <w:sz w:val="21"/>
          <w:szCs w:val="21"/>
        </w:rPr>
      </w:pPr>
    </w:p>
    <w:p w14:paraId="2CAEA1EC" w14:textId="06D027D1"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6123FC">
        <w:rPr>
          <w:color w:val="4471C4"/>
        </w:rPr>
        <w:t>Elderly Care Worker</w:t>
      </w:r>
    </w:p>
    <w:p w14:paraId="01C49510" w14:textId="6DA6A1A7"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A45A94">
        <w:rPr>
          <w:color w:val="4471C4"/>
        </w:rPr>
        <w:t>Elderly Care Worker</w:t>
      </w:r>
    </w:p>
    <w:p w14:paraId="56FFB40D" w14:textId="346ABA57" w:rsidR="006123FC" w:rsidRDefault="006123FC" w:rsidP="006123FC">
      <w:pPr>
        <w:pStyle w:val="ListParagraph"/>
        <w:spacing w:after="0"/>
        <w:rPr>
          <w:sz w:val="21"/>
          <w:szCs w:val="21"/>
        </w:rPr>
      </w:pPr>
      <w:r w:rsidRPr="006123FC">
        <w:rPr>
          <w:sz w:val="21"/>
          <w:szCs w:val="21"/>
        </w:rPr>
        <w:t xml:space="preserve">Structured training programmes and practical experience can be used to develop communication skills. Communication training assists care workers to acquire active listening skills, articulate speech and non-verbal communication skills. </w:t>
      </w:r>
      <w:proofErr w:type="spellStart"/>
      <w:r w:rsidRPr="006123FC">
        <w:rPr>
          <w:sz w:val="21"/>
          <w:szCs w:val="21"/>
        </w:rPr>
        <w:t>Sharkiya</w:t>
      </w:r>
      <w:proofErr w:type="spellEnd"/>
      <w:r w:rsidRPr="006123FC">
        <w:rPr>
          <w:sz w:val="21"/>
          <w:szCs w:val="21"/>
        </w:rPr>
        <w:t xml:space="preserve"> (2023) emphasises that patient-centred care outcomes can be greatly enhanced through training in communication. Practically, the role-playing activities also can assist workers to understand</w:t>
      </w:r>
      <w:r>
        <w:rPr>
          <w:sz w:val="21"/>
          <w:szCs w:val="21"/>
        </w:rPr>
        <w:t xml:space="preserve"> </w:t>
      </w:r>
      <w:r w:rsidRPr="006123FC">
        <w:rPr>
          <w:sz w:val="21"/>
          <w:szCs w:val="21"/>
        </w:rPr>
        <w:t xml:space="preserve">how to effectively communicate with the cognitively impaired patients </w:t>
      </w:r>
      <w:proofErr w:type="gramStart"/>
      <w:r w:rsidRPr="006123FC">
        <w:rPr>
          <w:sz w:val="21"/>
          <w:szCs w:val="21"/>
        </w:rPr>
        <w:t>in order to</w:t>
      </w:r>
      <w:proofErr w:type="gramEnd"/>
      <w:r w:rsidRPr="006123FC">
        <w:rPr>
          <w:sz w:val="21"/>
          <w:szCs w:val="21"/>
        </w:rPr>
        <w:t xml:space="preserve"> enhance clarity and understanding in real life scenarios. Reflective practice and the educational interventions can help to develop empathy and compassion. Nathoo et al. (2021) state that one of the key aspects of training medical professionals to also deliver compassionate care is education. Reflective practice </w:t>
      </w:r>
      <w:proofErr w:type="gramStart"/>
      <w:r w:rsidRPr="006123FC">
        <w:rPr>
          <w:sz w:val="21"/>
          <w:szCs w:val="21"/>
        </w:rPr>
        <w:t>is enables</w:t>
      </w:r>
      <w:proofErr w:type="gramEnd"/>
      <w:r w:rsidRPr="006123FC">
        <w:rPr>
          <w:sz w:val="21"/>
          <w:szCs w:val="21"/>
        </w:rPr>
        <w:t xml:space="preserve"> care workers to reflect on their experiences and how a patients might experience various situations. pondering over experiences with stressed patients aids in assisting workers enhance emotional acuity and receptiveness to upcoming care scenarios.</w:t>
      </w:r>
    </w:p>
    <w:p w14:paraId="11666723" w14:textId="77777777" w:rsidR="006123FC" w:rsidRPr="006123FC" w:rsidRDefault="006123FC" w:rsidP="006123FC">
      <w:pPr>
        <w:pStyle w:val="ListParagraph"/>
        <w:spacing w:after="0"/>
        <w:rPr>
          <w:sz w:val="21"/>
          <w:szCs w:val="21"/>
        </w:rPr>
      </w:pPr>
    </w:p>
    <w:p w14:paraId="2AAB355C" w14:textId="77777777" w:rsidR="006123FC" w:rsidRDefault="006123FC" w:rsidP="006123FC">
      <w:pPr>
        <w:pStyle w:val="ListParagraph"/>
        <w:spacing w:after="0"/>
        <w:rPr>
          <w:sz w:val="21"/>
          <w:szCs w:val="21"/>
        </w:rPr>
      </w:pPr>
      <w:r w:rsidRPr="006123FC">
        <w:rPr>
          <w:sz w:val="21"/>
          <w:szCs w:val="21"/>
        </w:rPr>
        <w:t xml:space="preserve">Workload planning tools, work environment training and experience can enhance time management skills. Achieving efficient management of tasks by care workers can be done using structured schedules and prioritisation techniques. </w:t>
      </w:r>
      <w:proofErr w:type="spellStart"/>
      <w:r w:rsidRPr="006123FC">
        <w:rPr>
          <w:sz w:val="21"/>
          <w:szCs w:val="21"/>
        </w:rPr>
        <w:t>Davlyatov</w:t>
      </w:r>
      <w:proofErr w:type="spellEnd"/>
      <w:r w:rsidRPr="006123FC">
        <w:rPr>
          <w:sz w:val="21"/>
          <w:szCs w:val="21"/>
        </w:rPr>
        <w:t xml:space="preserve"> et al. (2025) also stress that the quality of care in nursing homes is directly related to staffing and workload management. Practically, care workers </w:t>
      </w:r>
      <w:proofErr w:type="gramStart"/>
      <w:r w:rsidRPr="006123FC">
        <w:rPr>
          <w:sz w:val="21"/>
          <w:szCs w:val="21"/>
        </w:rPr>
        <w:t>are able to</w:t>
      </w:r>
      <w:proofErr w:type="gramEnd"/>
      <w:r w:rsidRPr="006123FC">
        <w:rPr>
          <w:sz w:val="21"/>
          <w:szCs w:val="21"/>
        </w:rPr>
        <w:t xml:space="preserve"> enhance efficiency by putting more emphasis on urgent patient needs, including the management of pain, as well as making sure that routine tasks are accomplished within the available times.</w:t>
      </w:r>
    </w:p>
    <w:p w14:paraId="76634347" w14:textId="77777777" w:rsidR="006123FC" w:rsidRPr="006123FC" w:rsidRDefault="006123FC" w:rsidP="006123FC">
      <w:pPr>
        <w:pStyle w:val="ListParagraph"/>
        <w:spacing w:after="0"/>
        <w:rPr>
          <w:sz w:val="21"/>
          <w:szCs w:val="21"/>
        </w:rPr>
      </w:pPr>
    </w:p>
    <w:p w14:paraId="052ACDB6" w14:textId="77777777" w:rsidR="006123FC" w:rsidRPr="006123FC" w:rsidRDefault="006123FC" w:rsidP="006123FC">
      <w:pPr>
        <w:pStyle w:val="ListParagraph"/>
        <w:spacing w:after="0"/>
        <w:rPr>
          <w:sz w:val="21"/>
          <w:szCs w:val="21"/>
        </w:rPr>
      </w:pPr>
      <w:r w:rsidRPr="006123FC">
        <w:rPr>
          <w:sz w:val="21"/>
          <w:szCs w:val="21"/>
        </w:rPr>
        <w:lastRenderedPageBreak/>
        <w:t>Also, the enhancement of organisational systems in care homes helps to better manage time. Burton et al. (2022) emphasise that care homes are better monitored and more efficient with structured data and systematic approaches. This will guarantee that care workers are able to spend time wisely and decrease the impact of administration.</w:t>
      </w:r>
    </w:p>
    <w:p w14:paraId="58A1B501" w14:textId="2F942CCF" w:rsidR="0156E134" w:rsidRDefault="0156E134" w:rsidP="0156E134">
      <w:pPr>
        <w:pStyle w:val="ListParagraph"/>
        <w:spacing w:after="0"/>
        <w:rPr>
          <w:sz w:val="21"/>
          <w:szCs w:val="21"/>
        </w:rPr>
      </w:pPr>
    </w:p>
    <w:p w14:paraId="072CFBCF" w14:textId="77777777" w:rsidR="006123FC" w:rsidRDefault="006123FC"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1799977123"/>
      <w:r w:rsidRPr="0CF501EC">
        <w:rPr>
          <w:color w:val="4471C4"/>
        </w:rPr>
        <w:t>4</w:t>
      </w:r>
      <w:r w:rsidR="00A946CB" w:rsidRPr="0CF501EC">
        <w:rPr>
          <w:color w:val="4471C4"/>
        </w:rPr>
        <w:t xml:space="preserve"> Conclusion</w:t>
      </w:r>
      <w:bookmarkEnd w:id="6"/>
    </w:p>
    <w:p w14:paraId="76565AE3" w14:textId="19FD0D11" w:rsidR="003458DB" w:rsidRPr="00D676C3" w:rsidRDefault="006123FC" w:rsidP="006123FC">
      <w:pPr>
        <w:pStyle w:val="ListParagraph"/>
        <w:spacing w:after="0" w:line="240" w:lineRule="auto"/>
        <w:rPr>
          <w:sz w:val="22"/>
        </w:rPr>
      </w:pPr>
      <w:r w:rsidRPr="006123FC">
        <w:rPr>
          <w:sz w:val="22"/>
        </w:rPr>
        <w:t xml:space="preserve">Conclusively, the contribution of the elderly care worker is also imperative in assisting the increasing ageing population </w:t>
      </w:r>
      <w:proofErr w:type="gramStart"/>
      <w:r w:rsidRPr="006123FC">
        <w:rPr>
          <w:sz w:val="22"/>
        </w:rPr>
        <w:t>and also</w:t>
      </w:r>
      <w:proofErr w:type="gramEnd"/>
      <w:r w:rsidRPr="006123FC">
        <w:rPr>
          <w:sz w:val="22"/>
        </w:rPr>
        <w:t xml:space="preserve"> delivering quality care to them. The work will also entail physical support, emotional care, and the checking on the welfare of the elderly. The most significant skills also needed to practice effectively are identified as communication, empathy, and time management. The skills also have a direct impact on patient safety, satisfaction and the quality of care. The literature sources also highlight the good impacts of structured training, reflective practice and improved systems in organisations as the effective strategies in also developing skills.</w:t>
      </w:r>
      <w:r w:rsidR="00F1720B" w:rsidRPr="00D676C3">
        <w:rPr>
          <w:sz w:val="22"/>
        </w:rPr>
        <w:t xml:space="preserve"> </w:t>
      </w: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1911583216"/>
      <w:r w:rsidRPr="0CF501EC">
        <w:rPr>
          <w:color w:val="4471C4"/>
        </w:rPr>
        <w:t>5 Reference List</w:t>
      </w:r>
      <w:bookmarkEnd w:id="7"/>
    </w:p>
    <w:p w14:paraId="13ECB2A1" w14:textId="77777777" w:rsidR="006123FC" w:rsidRPr="006123FC" w:rsidRDefault="006123FC" w:rsidP="006123FC">
      <w:r w:rsidRPr="006123FC">
        <w:t>Bharadwaj, S. and Ali, H., 2026. Demystifying Quality Metrics and Unveiling the True Measure of Quality of Care in Nursing Homes: Mixed Effects Analysis. JMIR Human Factors, 13, p.e72770.</w:t>
      </w:r>
    </w:p>
    <w:p w14:paraId="7A8D94E4" w14:textId="77777777" w:rsidR="006123FC" w:rsidRPr="006123FC" w:rsidRDefault="006123FC" w:rsidP="006123FC">
      <w:r w:rsidRPr="006123FC">
        <w:t xml:space="preserve">Burton, J.K., Wolters, A.T., Towers, A.M., Jones, L., Meyer, J., Gordon, A.L., Irvine, L., Hanratty, B., Spilsbury, K., Peryer, G. and Rand, S., 2022. Developing a minimum data set for older adult care homes in the UK: exploring the concept and defining early core principles. The Lancet Healthy Longevity, 3(3), </w:t>
      </w:r>
      <w:proofErr w:type="gramStart"/>
      <w:r w:rsidRPr="006123FC">
        <w:t>pp.e</w:t>
      </w:r>
      <w:proofErr w:type="gramEnd"/>
      <w:r w:rsidRPr="006123FC">
        <w:t>186-e193.</w:t>
      </w:r>
    </w:p>
    <w:p w14:paraId="2495D6D5" w14:textId="77777777" w:rsidR="006123FC" w:rsidRPr="006123FC" w:rsidRDefault="006123FC" w:rsidP="006123FC">
      <w:r w:rsidRPr="006123FC">
        <w:t xml:space="preserve">Croes, R., Padrón-Ávila, H., Rivera, M. and </w:t>
      </w:r>
      <w:proofErr w:type="spellStart"/>
      <w:r w:rsidRPr="006123FC">
        <w:t>Renduchintala</w:t>
      </w:r>
      <w:proofErr w:type="spellEnd"/>
      <w:r w:rsidRPr="006123FC">
        <w:t>, C., 2025. A triadic model of job retention and turnover dynamics in the hospitality industry. International Journal of Contemporary Hospitality Management, 37(3), pp.700-721.</w:t>
      </w:r>
    </w:p>
    <w:p w14:paraId="235F615A" w14:textId="77777777" w:rsidR="006123FC" w:rsidRPr="006123FC" w:rsidRDefault="006123FC" w:rsidP="006123FC">
      <w:r w:rsidRPr="006123FC">
        <w:t xml:space="preserve">Davlyatov, G.K., </w:t>
      </w:r>
      <w:proofErr w:type="spellStart"/>
      <w:r w:rsidRPr="006123FC">
        <w:t>Bowblis</w:t>
      </w:r>
      <w:proofErr w:type="spellEnd"/>
      <w:r w:rsidRPr="006123FC">
        <w:t>, J.R., Karabukayeva, A. and Miller, C.R., 2025. Social Service Staffing and Quality of Care Outcomes in US Nursing Homes. Journal of the American Medical Directors Association, 26(12), p.105924.</w:t>
      </w:r>
    </w:p>
    <w:p w14:paraId="1D268779" w14:textId="77777777" w:rsidR="006123FC" w:rsidRPr="006123FC" w:rsidRDefault="006123FC" w:rsidP="006123FC">
      <w:r w:rsidRPr="006123FC">
        <w:t xml:space="preserve">Folorunsho, S., </w:t>
      </w:r>
      <w:proofErr w:type="spellStart"/>
      <w:r w:rsidRPr="006123FC">
        <w:t>Sanmori</w:t>
      </w:r>
      <w:proofErr w:type="spellEnd"/>
      <w:r w:rsidRPr="006123FC">
        <w:t>, M. and Suleiman, M., 2025. The role of formal social networks in mitigating age-related mental stress among older Nigerians living in poverty: Insights from social capital theory. Cambridge Prisms: Global Mental Health, 12, p.e56.</w:t>
      </w:r>
    </w:p>
    <w:p w14:paraId="6A27F543" w14:textId="77777777" w:rsidR="006123FC" w:rsidRPr="006123FC" w:rsidRDefault="006123FC" w:rsidP="006123FC">
      <w:r w:rsidRPr="006123FC">
        <w:t xml:space="preserve">Kim, J. and </w:t>
      </w:r>
      <w:proofErr w:type="spellStart"/>
      <w:r w:rsidRPr="006123FC">
        <w:t>Stepick</w:t>
      </w:r>
      <w:proofErr w:type="spellEnd"/>
      <w:r w:rsidRPr="006123FC">
        <w:t>, L., 2025. Moving Within and out of Direct Care: An Analysis of Annual Mobility of Direct Care Workers.</w:t>
      </w:r>
    </w:p>
    <w:p w14:paraId="19F8F00C" w14:textId="77777777" w:rsidR="006123FC" w:rsidRPr="006123FC" w:rsidRDefault="006123FC" w:rsidP="006123FC">
      <w:r w:rsidRPr="006123FC">
        <w:t>Moreno-Martínez, M. and Sánchez-Martínez, I., 2025, January. The associated factors of work engagement, work overload, work satisfaction, and emotional exhaustion and their effect on healthcare workers: a cross-sectional study. In Healthcare (Vol. 13, No. 2, p. 162). MDPI.</w:t>
      </w:r>
    </w:p>
    <w:p w14:paraId="7E1DB4A1" w14:textId="77777777" w:rsidR="006123FC" w:rsidRPr="006123FC" w:rsidRDefault="006123FC" w:rsidP="006123FC">
      <w:r w:rsidRPr="006123FC">
        <w:t>Nathoo, S., Shaw, D.G. and Sandy, P.T., 2021. Determinants of compassion in providing care to older people: Educational implications. Nurse education today, 101, p.104878.</w:t>
      </w:r>
    </w:p>
    <w:p w14:paraId="54A76E23" w14:textId="77777777" w:rsidR="006123FC" w:rsidRPr="006123FC" w:rsidRDefault="006123FC" w:rsidP="006123FC">
      <w:r w:rsidRPr="006123FC">
        <w:t xml:space="preserve">Schmader, T. and Block, K., 2025. Why do women care more &amp; men couldn't care </w:t>
      </w:r>
      <w:proofErr w:type="gramStart"/>
      <w:r w:rsidRPr="006123FC">
        <w:t>less?.</w:t>
      </w:r>
      <w:proofErr w:type="gramEnd"/>
      <w:r w:rsidRPr="006123FC">
        <w:t xml:space="preserve"> Daedalus, 154(1), pp.82-97.</w:t>
      </w:r>
    </w:p>
    <w:p w14:paraId="3639130D" w14:textId="77777777" w:rsidR="006123FC" w:rsidRPr="006123FC" w:rsidRDefault="006123FC" w:rsidP="006123FC">
      <w:r w:rsidRPr="006123FC">
        <w:t xml:space="preserve">Schutter, T., Koper, I., Vissers, K. and </w:t>
      </w:r>
      <w:proofErr w:type="spellStart"/>
      <w:r w:rsidRPr="006123FC">
        <w:t>Hasselaar</w:t>
      </w:r>
      <w:proofErr w:type="spellEnd"/>
      <w:r w:rsidRPr="006123FC">
        <w:t>, J., 2025. Social support sources for people with palliative care needs at home: a scoping review. BMC palliative care, 24(1), p.34.</w:t>
      </w:r>
    </w:p>
    <w:p w14:paraId="469CA780" w14:textId="77777777" w:rsidR="006123FC" w:rsidRPr="006123FC" w:rsidRDefault="006123FC" w:rsidP="006123FC">
      <w:proofErr w:type="spellStart"/>
      <w:r w:rsidRPr="006123FC">
        <w:t>Sharkiya</w:t>
      </w:r>
      <w:proofErr w:type="spellEnd"/>
      <w:r w:rsidRPr="006123FC">
        <w:t>, S.H., 2023. Quality communication can improve patient-centred health outcomes among older patients: a rapid review. BMC health services research, 23(1), p.886.</w:t>
      </w:r>
    </w:p>
    <w:p w14:paraId="1B51C29C" w14:textId="77777777" w:rsidR="006123FC" w:rsidRPr="006123FC" w:rsidRDefault="006123FC" w:rsidP="006123FC">
      <w:r w:rsidRPr="006123FC">
        <w:t xml:space="preserve">Theodorakis, N., Kollia, Z., Christodoulou, M., Nella, I., </w:t>
      </w:r>
      <w:proofErr w:type="spellStart"/>
      <w:r w:rsidRPr="006123FC">
        <w:t>Spathara</w:t>
      </w:r>
      <w:proofErr w:type="spellEnd"/>
      <w:r w:rsidRPr="006123FC">
        <w:t xml:space="preserve">, A., </w:t>
      </w:r>
      <w:proofErr w:type="spellStart"/>
      <w:r w:rsidRPr="006123FC">
        <w:t>Athinaou</w:t>
      </w:r>
      <w:proofErr w:type="spellEnd"/>
      <w:r w:rsidRPr="006123FC">
        <w:t xml:space="preserve">, S., </w:t>
      </w:r>
      <w:proofErr w:type="spellStart"/>
      <w:r w:rsidRPr="006123FC">
        <w:t>Triantafylli</w:t>
      </w:r>
      <w:proofErr w:type="spellEnd"/>
      <w:r w:rsidRPr="006123FC">
        <w:t xml:space="preserve">, G., Hitas, C., Anagnostou, D., </w:t>
      </w:r>
      <w:proofErr w:type="spellStart"/>
      <w:r w:rsidRPr="006123FC">
        <w:t>Kreouzi</w:t>
      </w:r>
      <w:proofErr w:type="spellEnd"/>
      <w:r w:rsidRPr="006123FC">
        <w:t>, M. and Kalantzi, S., 2025. Barriers to implementing</w:t>
      </w:r>
    </w:p>
    <w:p w14:paraId="2AA3AB85" w14:textId="77777777" w:rsidR="006123FC" w:rsidRPr="006123FC" w:rsidRDefault="006123FC" w:rsidP="006123FC">
      <w:r w:rsidRPr="006123FC">
        <w:t>effective healthcare practices for the aging population: approaches to identification and management. Cureus, 17(2).</w:t>
      </w:r>
    </w:p>
    <w:p w14:paraId="63F7E6C7" w14:textId="77777777" w:rsidR="006123FC" w:rsidRPr="006123FC" w:rsidRDefault="006123FC" w:rsidP="006123FC">
      <w:proofErr w:type="spellStart"/>
      <w:r w:rsidRPr="006123FC">
        <w:t>Traga</w:t>
      </w:r>
      <w:proofErr w:type="spellEnd"/>
      <w:r w:rsidRPr="006123FC">
        <w:t xml:space="preserve"> </w:t>
      </w:r>
      <w:proofErr w:type="spellStart"/>
      <w:r w:rsidRPr="006123FC">
        <w:t>Philippakos</w:t>
      </w:r>
      <w:proofErr w:type="spellEnd"/>
      <w:r w:rsidRPr="006123FC">
        <w:t>, Z.A., 2026, February. CREDIBLE: A Framework for Critical Source Evaluation—From Information Consumers to Critical Evaluators. In AI in Education (Vol. 2, No. 1, p. 3). MDPI.</w:t>
      </w:r>
    </w:p>
    <w:p w14:paraId="1D0F2D59" w14:textId="6F8BE5FE" w:rsidR="004552CE" w:rsidRPr="006123FC" w:rsidRDefault="006123FC" w:rsidP="005E44B5">
      <w:proofErr w:type="spellStart"/>
      <w:r w:rsidRPr="006123FC">
        <w:t>Zettna</w:t>
      </w:r>
      <w:proofErr w:type="spellEnd"/>
      <w:r w:rsidRPr="006123FC">
        <w:t xml:space="preserve">, N., Yam, C., Kunzelmann, A., Forner, V.W., Dey, S., </w:t>
      </w:r>
      <w:proofErr w:type="spellStart"/>
      <w:r w:rsidRPr="006123FC">
        <w:t>Askovic</w:t>
      </w:r>
      <w:proofErr w:type="spellEnd"/>
      <w:r w:rsidRPr="006123FC">
        <w:t>, M., Johnson, A., Nguyen, H., Jolly, A. and Parker, S.K., 2025. Crystal clear: How leaders and coworkers together shape role clarity and well‐being for employees in social care. Human Resource Management, 64(1), pp.5-20.</w:t>
      </w:r>
    </w:p>
    <w:sectPr w:rsidR="004552CE" w:rsidRPr="006123FC"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21EE9" w14:textId="77777777" w:rsidR="00CF5ABE" w:rsidRDefault="00CF5ABE" w:rsidP="003C7C97">
      <w:pPr>
        <w:spacing w:after="0" w:line="240" w:lineRule="auto"/>
      </w:pPr>
      <w:r>
        <w:separator/>
      </w:r>
    </w:p>
  </w:endnote>
  <w:endnote w:type="continuationSeparator" w:id="0">
    <w:p w14:paraId="1E6F4C16" w14:textId="77777777" w:rsidR="00CF5ABE" w:rsidRDefault="00CF5AB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894FA" w14:textId="77777777" w:rsidR="00CF5ABE" w:rsidRDefault="00CF5ABE" w:rsidP="003C7C97">
      <w:pPr>
        <w:spacing w:after="0" w:line="240" w:lineRule="auto"/>
      </w:pPr>
      <w:r>
        <w:separator/>
      </w:r>
    </w:p>
  </w:footnote>
  <w:footnote w:type="continuationSeparator" w:id="0">
    <w:p w14:paraId="613FA55F" w14:textId="77777777" w:rsidR="00CF5ABE" w:rsidRDefault="00CF5AB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872636F2"/>
    <w:lvl w:ilvl="0" w:tplc="6310F160">
      <w:start w:val="1"/>
      <w:numFmt w:val="bullet"/>
      <w:lvlText w:val=""/>
      <w:lvlJc w:val="left"/>
      <w:pPr>
        <w:ind w:left="720" w:hanging="360"/>
      </w:pPr>
      <w:rPr>
        <w:rFonts w:ascii="Symbol" w:hAnsi="Symbol" w:hint="default"/>
      </w:rPr>
    </w:lvl>
    <w:lvl w:ilvl="1" w:tplc="822C6A3C">
      <w:start w:val="1"/>
      <w:numFmt w:val="bullet"/>
      <w:lvlText w:val="o"/>
      <w:lvlJc w:val="left"/>
      <w:pPr>
        <w:ind w:left="1440" w:hanging="360"/>
      </w:pPr>
      <w:rPr>
        <w:rFonts w:ascii="Courier New" w:hAnsi="Courier New" w:hint="default"/>
      </w:rPr>
    </w:lvl>
    <w:lvl w:ilvl="2" w:tplc="1A5698B6">
      <w:start w:val="1"/>
      <w:numFmt w:val="bullet"/>
      <w:lvlText w:val=""/>
      <w:lvlJc w:val="left"/>
      <w:pPr>
        <w:ind w:left="2160" w:hanging="360"/>
      </w:pPr>
      <w:rPr>
        <w:rFonts w:ascii="Wingdings" w:hAnsi="Wingdings" w:hint="default"/>
      </w:rPr>
    </w:lvl>
    <w:lvl w:ilvl="3" w:tplc="041AD3A6">
      <w:start w:val="1"/>
      <w:numFmt w:val="bullet"/>
      <w:lvlText w:val=""/>
      <w:lvlJc w:val="left"/>
      <w:pPr>
        <w:ind w:left="2880" w:hanging="360"/>
      </w:pPr>
      <w:rPr>
        <w:rFonts w:ascii="Symbol" w:hAnsi="Symbol" w:hint="default"/>
      </w:rPr>
    </w:lvl>
    <w:lvl w:ilvl="4" w:tplc="3C46934C">
      <w:start w:val="1"/>
      <w:numFmt w:val="bullet"/>
      <w:lvlText w:val="o"/>
      <w:lvlJc w:val="left"/>
      <w:pPr>
        <w:ind w:left="3600" w:hanging="360"/>
      </w:pPr>
      <w:rPr>
        <w:rFonts w:ascii="Courier New" w:hAnsi="Courier New" w:hint="default"/>
      </w:rPr>
    </w:lvl>
    <w:lvl w:ilvl="5" w:tplc="6F92A1D2">
      <w:start w:val="1"/>
      <w:numFmt w:val="bullet"/>
      <w:lvlText w:val=""/>
      <w:lvlJc w:val="left"/>
      <w:pPr>
        <w:ind w:left="4320" w:hanging="360"/>
      </w:pPr>
      <w:rPr>
        <w:rFonts w:ascii="Wingdings" w:hAnsi="Wingdings" w:hint="default"/>
      </w:rPr>
    </w:lvl>
    <w:lvl w:ilvl="6" w:tplc="7716FF8E">
      <w:start w:val="1"/>
      <w:numFmt w:val="bullet"/>
      <w:lvlText w:val=""/>
      <w:lvlJc w:val="left"/>
      <w:pPr>
        <w:ind w:left="5040" w:hanging="360"/>
      </w:pPr>
      <w:rPr>
        <w:rFonts w:ascii="Symbol" w:hAnsi="Symbol" w:hint="default"/>
      </w:rPr>
    </w:lvl>
    <w:lvl w:ilvl="7" w:tplc="7CAC722C">
      <w:start w:val="1"/>
      <w:numFmt w:val="bullet"/>
      <w:lvlText w:val="o"/>
      <w:lvlJc w:val="left"/>
      <w:pPr>
        <w:ind w:left="5760" w:hanging="360"/>
      </w:pPr>
      <w:rPr>
        <w:rFonts w:ascii="Courier New" w:hAnsi="Courier New" w:hint="default"/>
      </w:rPr>
    </w:lvl>
    <w:lvl w:ilvl="8" w:tplc="A11C2C2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75CCADCE"/>
    <w:lvl w:ilvl="0" w:tplc="3550B4B8">
      <w:start w:val="1"/>
      <w:numFmt w:val="bullet"/>
      <w:lvlText w:val=""/>
      <w:lvlJc w:val="left"/>
      <w:pPr>
        <w:ind w:left="720" w:hanging="360"/>
      </w:pPr>
      <w:rPr>
        <w:rFonts w:ascii="Symbol" w:hAnsi="Symbol" w:hint="default"/>
      </w:rPr>
    </w:lvl>
    <w:lvl w:ilvl="1" w:tplc="6D92EA6C">
      <w:start w:val="1"/>
      <w:numFmt w:val="bullet"/>
      <w:lvlText w:val="o"/>
      <w:lvlJc w:val="left"/>
      <w:pPr>
        <w:ind w:left="1440" w:hanging="360"/>
      </w:pPr>
      <w:rPr>
        <w:rFonts w:ascii="Courier New" w:hAnsi="Courier New" w:hint="default"/>
      </w:rPr>
    </w:lvl>
    <w:lvl w:ilvl="2" w:tplc="B38C95CE">
      <w:start w:val="1"/>
      <w:numFmt w:val="bullet"/>
      <w:lvlText w:val=""/>
      <w:lvlJc w:val="left"/>
      <w:pPr>
        <w:ind w:left="2160" w:hanging="360"/>
      </w:pPr>
      <w:rPr>
        <w:rFonts w:ascii="Wingdings" w:hAnsi="Wingdings" w:hint="default"/>
      </w:rPr>
    </w:lvl>
    <w:lvl w:ilvl="3" w:tplc="99164ED8">
      <w:start w:val="1"/>
      <w:numFmt w:val="bullet"/>
      <w:lvlText w:val=""/>
      <w:lvlJc w:val="left"/>
      <w:pPr>
        <w:ind w:left="2880" w:hanging="360"/>
      </w:pPr>
      <w:rPr>
        <w:rFonts w:ascii="Symbol" w:hAnsi="Symbol" w:hint="default"/>
      </w:rPr>
    </w:lvl>
    <w:lvl w:ilvl="4" w:tplc="07803D0A">
      <w:start w:val="1"/>
      <w:numFmt w:val="bullet"/>
      <w:lvlText w:val="o"/>
      <w:lvlJc w:val="left"/>
      <w:pPr>
        <w:ind w:left="3600" w:hanging="360"/>
      </w:pPr>
      <w:rPr>
        <w:rFonts w:ascii="Courier New" w:hAnsi="Courier New" w:hint="default"/>
      </w:rPr>
    </w:lvl>
    <w:lvl w:ilvl="5" w:tplc="22A44B8C">
      <w:start w:val="1"/>
      <w:numFmt w:val="bullet"/>
      <w:lvlText w:val=""/>
      <w:lvlJc w:val="left"/>
      <w:pPr>
        <w:ind w:left="4320" w:hanging="360"/>
      </w:pPr>
      <w:rPr>
        <w:rFonts w:ascii="Wingdings" w:hAnsi="Wingdings" w:hint="default"/>
      </w:rPr>
    </w:lvl>
    <w:lvl w:ilvl="6" w:tplc="9586CCB8">
      <w:start w:val="1"/>
      <w:numFmt w:val="bullet"/>
      <w:lvlText w:val=""/>
      <w:lvlJc w:val="left"/>
      <w:pPr>
        <w:ind w:left="5040" w:hanging="360"/>
      </w:pPr>
      <w:rPr>
        <w:rFonts w:ascii="Symbol" w:hAnsi="Symbol" w:hint="default"/>
      </w:rPr>
    </w:lvl>
    <w:lvl w:ilvl="7" w:tplc="69066702">
      <w:start w:val="1"/>
      <w:numFmt w:val="bullet"/>
      <w:lvlText w:val="o"/>
      <w:lvlJc w:val="left"/>
      <w:pPr>
        <w:ind w:left="5760" w:hanging="360"/>
      </w:pPr>
      <w:rPr>
        <w:rFonts w:ascii="Courier New" w:hAnsi="Courier New" w:hint="default"/>
      </w:rPr>
    </w:lvl>
    <w:lvl w:ilvl="8" w:tplc="247AA99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DC2AB8A8"/>
    <w:lvl w:ilvl="0" w:tplc="BAFCD5F8">
      <w:start w:val="1"/>
      <w:numFmt w:val="bullet"/>
      <w:lvlText w:val=""/>
      <w:lvlJc w:val="left"/>
      <w:pPr>
        <w:ind w:left="720" w:hanging="360"/>
      </w:pPr>
      <w:rPr>
        <w:rFonts w:ascii="Symbol" w:hAnsi="Symbol" w:hint="default"/>
      </w:rPr>
    </w:lvl>
    <w:lvl w:ilvl="1" w:tplc="3662BA06">
      <w:start w:val="1"/>
      <w:numFmt w:val="bullet"/>
      <w:lvlText w:val="o"/>
      <w:lvlJc w:val="left"/>
      <w:pPr>
        <w:ind w:left="1440" w:hanging="360"/>
      </w:pPr>
      <w:rPr>
        <w:rFonts w:ascii="Courier New" w:hAnsi="Courier New" w:hint="default"/>
      </w:rPr>
    </w:lvl>
    <w:lvl w:ilvl="2" w:tplc="31920F68">
      <w:start w:val="1"/>
      <w:numFmt w:val="bullet"/>
      <w:lvlText w:val=""/>
      <w:lvlJc w:val="left"/>
      <w:pPr>
        <w:ind w:left="2160" w:hanging="360"/>
      </w:pPr>
      <w:rPr>
        <w:rFonts w:ascii="Wingdings" w:hAnsi="Wingdings" w:hint="default"/>
      </w:rPr>
    </w:lvl>
    <w:lvl w:ilvl="3" w:tplc="71C2C174">
      <w:start w:val="1"/>
      <w:numFmt w:val="bullet"/>
      <w:lvlText w:val=""/>
      <w:lvlJc w:val="left"/>
      <w:pPr>
        <w:ind w:left="2880" w:hanging="360"/>
      </w:pPr>
      <w:rPr>
        <w:rFonts w:ascii="Symbol" w:hAnsi="Symbol" w:hint="default"/>
      </w:rPr>
    </w:lvl>
    <w:lvl w:ilvl="4" w:tplc="32426AFC">
      <w:start w:val="1"/>
      <w:numFmt w:val="bullet"/>
      <w:lvlText w:val="o"/>
      <w:lvlJc w:val="left"/>
      <w:pPr>
        <w:ind w:left="3600" w:hanging="360"/>
      </w:pPr>
      <w:rPr>
        <w:rFonts w:ascii="Courier New" w:hAnsi="Courier New" w:hint="default"/>
      </w:rPr>
    </w:lvl>
    <w:lvl w:ilvl="5" w:tplc="DA6E329E">
      <w:start w:val="1"/>
      <w:numFmt w:val="bullet"/>
      <w:lvlText w:val=""/>
      <w:lvlJc w:val="left"/>
      <w:pPr>
        <w:ind w:left="4320" w:hanging="360"/>
      </w:pPr>
      <w:rPr>
        <w:rFonts w:ascii="Wingdings" w:hAnsi="Wingdings" w:hint="default"/>
      </w:rPr>
    </w:lvl>
    <w:lvl w:ilvl="6" w:tplc="42DC3D7E">
      <w:start w:val="1"/>
      <w:numFmt w:val="bullet"/>
      <w:lvlText w:val=""/>
      <w:lvlJc w:val="left"/>
      <w:pPr>
        <w:ind w:left="5040" w:hanging="360"/>
      </w:pPr>
      <w:rPr>
        <w:rFonts w:ascii="Symbol" w:hAnsi="Symbol" w:hint="default"/>
      </w:rPr>
    </w:lvl>
    <w:lvl w:ilvl="7" w:tplc="80B06412">
      <w:start w:val="1"/>
      <w:numFmt w:val="bullet"/>
      <w:lvlText w:val="o"/>
      <w:lvlJc w:val="left"/>
      <w:pPr>
        <w:ind w:left="5760" w:hanging="360"/>
      </w:pPr>
      <w:rPr>
        <w:rFonts w:ascii="Courier New" w:hAnsi="Courier New" w:hint="default"/>
      </w:rPr>
    </w:lvl>
    <w:lvl w:ilvl="8" w:tplc="83CE1702">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7AE4F850"/>
    <w:lvl w:ilvl="0" w:tplc="CEDE90DC">
      <w:start w:val="1"/>
      <w:numFmt w:val="bullet"/>
      <w:lvlText w:val=""/>
      <w:lvlJc w:val="left"/>
      <w:pPr>
        <w:ind w:left="720" w:hanging="360"/>
      </w:pPr>
      <w:rPr>
        <w:rFonts w:ascii="Symbol" w:hAnsi="Symbol" w:hint="default"/>
      </w:rPr>
    </w:lvl>
    <w:lvl w:ilvl="1" w:tplc="B4FE129C">
      <w:start w:val="1"/>
      <w:numFmt w:val="bullet"/>
      <w:lvlText w:val="o"/>
      <w:lvlJc w:val="left"/>
      <w:pPr>
        <w:ind w:left="1440" w:hanging="360"/>
      </w:pPr>
      <w:rPr>
        <w:rFonts w:ascii="Courier New" w:hAnsi="Courier New" w:hint="default"/>
      </w:rPr>
    </w:lvl>
    <w:lvl w:ilvl="2" w:tplc="37042178">
      <w:start w:val="1"/>
      <w:numFmt w:val="bullet"/>
      <w:lvlText w:val=""/>
      <w:lvlJc w:val="left"/>
      <w:pPr>
        <w:ind w:left="2160" w:hanging="360"/>
      </w:pPr>
      <w:rPr>
        <w:rFonts w:ascii="Wingdings" w:hAnsi="Wingdings" w:hint="default"/>
      </w:rPr>
    </w:lvl>
    <w:lvl w:ilvl="3" w:tplc="5E9030B6">
      <w:start w:val="1"/>
      <w:numFmt w:val="bullet"/>
      <w:lvlText w:val=""/>
      <w:lvlJc w:val="left"/>
      <w:pPr>
        <w:ind w:left="2880" w:hanging="360"/>
      </w:pPr>
      <w:rPr>
        <w:rFonts w:ascii="Symbol" w:hAnsi="Symbol" w:hint="default"/>
      </w:rPr>
    </w:lvl>
    <w:lvl w:ilvl="4" w:tplc="1BA4B3E0">
      <w:start w:val="1"/>
      <w:numFmt w:val="bullet"/>
      <w:lvlText w:val="o"/>
      <w:lvlJc w:val="left"/>
      <w:pPr>
        <w:ind w:left="3600" w:hanging="360"/>
      </w:pPr>
      <w:rPr>
        <w:rFonts w:ascii="Courier New" w:hAnsi="Courier New" w:hint="default"/>
      </w:rPr>
    </w:lvl>
    <w:lvl w:ilvl="5" w:tplc="48069F7C">
      <w:start w:val="1"/>
      <w:numFmt w:val="bullet"/>
      <w:lvlText w:val=""/>
      <w:lvlJc w:val="left"/>
      <w:pPr>
        <w:ind w:left="4320" w:hanging="360"/>
      </w:pPr>
      <w:rPr>
        <w:rFonts w:ascii="Wingdings" w:hAnsi="Wingdings" w:hint="default"/>
      </w:rPr>
    </w:lvl>
    <w:lvl w:ilvl="6" w:tplc="C016B2DE">
      <w:start w:val="1"/>
      <w:numFmt w:val="bullet"/>
      <w:lvlText w:val=""/>
      <w:lvlJc w:val="left"/>
      <w:pPr>
        <w:ind w:left="5040" w:hanging="360"/>
      </w:pPr>
      <w:rPr>
        <w:rFonts w:ascii="Symbol" w:hAnsi="Symbol" w:hint="default"/>
      </w:rPr>
    </w:lvl>
    <w:lvl w:ilvl="7" w:tplc="8F4AB10A">
      <w:start w:val="1"/>
      <w:numFmt w:val="bullet"/>
      <w:lvlText w:val="o"/>
      <w:lvlJc w:val="left"/>
      <w:pPr>
        <w:ind w:left="5760" w:hanging="360"/>
      </w:pPr>
      <w:rPr>
        <w:rFonts w:ascii="Courier New" w:hAnsi="Courier New" w:hint="default"/>
      </w:rPr>
    </w:lvl>
    <w:lvl w:ilvl="8" w:tplc="6630D53A">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C2D4EE0E"/>
    <w:lvl w:ilvl="0" w:tplc="4C9458D4">
      <w:start w:val="1"/>
      <w:numFmt w:val="bullet"/>
      <w:lvlText w:val=""/>
      <w:lvlJc w:val="left"/>
      <w:pPr>
        <w:ind w:left="720" w:hanging="360"/>
      </w:pPr>
      <w:rPr>
        <w:rFonts w:ascii="Symbol" w:hAnsi="Symbol" w:hint="default"/>
      </w:rPr>
    </w:lvl>
    <w:lvl w:ilvl="1" w:tplc="2BC22EEC">
      <w:start w:val="1"/>
      <w:numFmt w:val="bullet"/>
      <w:lvlText w:val="o"/>
      <w:lvlJc w:val="left"/>
      <w:pPr>
        <w:ind w:left="1440" w:hanging="360"/>
      </w:pPr>
      <w:rPr>
        <w:rFonts w:ascii="Courier New" w:hAnsi="Courier New" w:hint="default"/>
      </w:rPr>
    </w:lvl>
    <w:lvl w:ilvl="2" w:tplc="7CFE992A">
      <w:start w:val="1"/>
      <w:numFmt w:val="bullet"/>
      <w:lvlText w:val=""/>
      <w:lvlJc w:val="left"/>
      <w:pPr>
        <w:ind w:left="2160" w:hanging="360"/>
      </w:pPr>
      <w:rPr>
        <w:rFonts w:ascii="Wingdings" w:hAnsi="Wingdings" w:hint="default"/>
      </w:rPr>
    </w:lvl>
    <w:lvl w:ilvl="3" w:tplc="6910E7F2">
      <w:start w:val="1"/>
      <w:numFmt w:val="bullet"/>
      <w:lvlText w:val=""/>
      <w:lvlJc w:val="left"/>
      <w:pPr>
        <w:ind w:left="2880" w:hanging="360"/>
      </w:pPr>
      <w:rPr>
        <w:rFonts w:ascii="Symbol" w:hAnsi="Symbol" w:hint="default"/>
      </w:rPr>
    </w:lvl>
    <w:lvl w:ilvl="4" w:tplc="AFAE57DE">
      <w:start w:val="1"/>
      <w:numFmt w:val="bullet"/>
      <w:lvlText w:val="o"/>
      <w:lvlJc w:val="left"/>
      <w:pPr>
        <w:ind w:left="3600" w:hanging="360"/>
      </w:pPr>
      <w:rPr>
        <w:rFonts w:ascii="Courier New" w:hAnsi="Courier New" w:hint="default"/>
      </w:rPr>
    </w:lvl>
    <w:lvl w:ilvl="5" w:tplc="5894A816">
      <w:start w:val="1"/>
      <w:numFmt w:val="bullet"/>
      <w:lvlText w:val=""/>
      <w:lvlJc w:val="left"/>
      <w:pPr>
        <w:ind w:left="4320" w:hanging="360"/>
      </w:pPr>
      <w:rPr>
        <w:rFonts w:ascii="Wingdings" w:hAnsi="Wingdings" w:hint="default"/>
      </w:rPr>
    </w:lvl>
    <w:lvl w:ilvl="6" w:tplc="CC021740">
      <w:start w:val="1"/>
      <w:numFmt w:val="bullet"/>
      <w:lvlText w:val=""/>
      <w:lvlJc w:val="left"/>
      <w:pPr>
        <w:ind w:left="5040" w:hanging="360"/>
      </w:pPr>
      <w:rPr>
        <w:rFonts w:ascii="Symbol" w:hAnsi="Symbol" w:hint="default"/>
      </w:rPr>
    </w:lvl>
    <w:lvl w:ilvl="7" w:tplc="5308E910">
      <w:start w:val="1"/>
      <w:numFmt w:val="bullet"/>
      <w:lvlText w:val="o"/>
      <w:lvlJc w:val="left"/>
      <w:pPr>
        <w:ind w:left="5760" w:hanging="360"/>
      </w:pPr>
      <w:rPr>
        <w:rFonts w:ascii="Courier New" w:hAnsi="Courier New" w:hint="default"/>
      </w:rPr>
    </w:lvl>
    <w:lvl w:ilvl="8" w:tplc="96FE0232">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B48E4DF2"/>
    <w:lvl w:ilvl="0" w:tplc="B04862C0">
      <w:start w:val="1"/>
      <w:numFmt w:val="bullet"/>
      <w:lvlText w:val=""/>
      <w:lvlJc w:val="left"/>
      <w:pPr>
        <w:ind w:left="720" w:hanging="360"/>
      </w:pPr>
      <w:rPr>
        <w:rFonts w:ascii="Symbol" w:hAnsi="Symbol" w:hint="default"/>
      </w:rPr>
    </w:lvl>
    <w:lvl w:ilvl="1" w:tplc="F8321DE8">
      <w:start w:val="1"/>
      <w:numFmt w:val="bullet"/>
      <w:lvlText w:val="o"/>
      <w:lvlJc w:val="left"/>
      <w:pPr>
        <w:ind w:left="1440" w:hanging="360"/>
      </w:pPr>
      <w:rPr>
        <w:rFonts w:ascii="Courier New" w:hAnsi="Courier New" w:hint="default"/>
      </w:rPr>
    </w:lvl>
    <w:lvl w:ilvl="2" w:tplc="92822E22">
      <w:start w:val="1"/>
      <w:numFmt w:val="bullet"/>
      <w:lvlText w:val=""/>
      <w:lvlJc w:val="left"/>
      <w:pPr>
        <w:ind w:left="2160" w:hanging="360"/>
      </w:pPr>
      <w:rPr>
        <w:rFonts w:ascii="Wingdings" w:hAnsi="Wingdings" w:hint="default"/>
      </w:rPr>
    </w:lvl>
    <w:lvl w:ilvl="3" w:tplc="2B107D82">
      <w:start w:val="1"/>
      <w:numFmt w:val="bullet"/>
      <w:lvlText w:val=""/>
      <w:lvlJc w:val="left"/>
      <w:pPr>
        <w:ind w:left="2880" w:hanging="360"/>
      </w:pPr>
      <w:rPr>
        <w:rFonts w:ascii="Symbol" w:hAnsi="Symbol" w:hint="default"/>
      </w:rPr>
    </w:lvl>
    <w:lvl w:ilvl="4" w:tplc="66BA6792">
      <w:start w:val="1"/>
      <w:numFmt w:val="bullet"/>
      <w:lvlText w:val="o"/>
      <w:lvlJc w:val="left"/>
      <w:pPr>
        <w:ind w:left="3600" w:hanging="360"/>
      </w:pPr>
      <w:rPr>
        <w:rFonts w:ascii="Courier New" w:hAnsi="Courier New" w:hint="default"/>
      </w:rPr>
    </w:lvl>
    <w:lvl w:ilvl="5" w:tplc="D4C64634">
      <w:start w:val="1"/>
      <w:numFmt w:val="bullet"/>
      <w:lvlText w:val=""/>
      <w:lvlJc w:val="left"/>
      <w:pPr>
        <w:ind w:left="4320" w:hanging="360"/>
      </w:pPr>
      <w:rPr>
        <w:rFonts w:ascii="Wingdings" w:hAnsi="Wingdings" w:hint="default"/>
      </w:rPr>
    </w:lvl>
    <w:lvl w:ilvl="6" w:tplc="AFF6F504">
      <w:start w:val="1"/>
      <w:numFmt w:val="bullet"/>
      <w:lvlText w:val=""/>
      <w:lvlJc w:val="left"/>
      <w:pPr>
        <w:ind w:left="5040" w:hanging="360"/>
      </w:pPr>
      <w:rPr>
        <w:rFonts w:ascii="Symbol" w:hAnsi="Symbol" w:hint="default"/>
      </w:rPr>
    </w:lvl>
    <w:lvl w:ilvl="7" w:tplc="413CFACA">
      <w:start w:val="1"/>
      <w:numFmt w:val="bullet"/>
      <w:lvlText w:val="o"/>
      <w:lvlJc w:val="left"/>
      <w:pPr>
        <w:ind w:left="5760" w:hanging="360"/>
      </w:pPr>
      <w:rPr>
        <w:rFonts w:ascii="Courier New" w:hAnsi="Courier New" w:hint="default"/>
      </w:rPr>
    </w:lvl>
    <w:lvl w:ilvl="8" w:tplc="B822A71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5881140">
    <w:abstractNumId w:val="11"/>
  </w:num>
  <w:num w:numId="2" w16cid:durableId="1793472801">
    <w:abstractNumId w:val="12"/>
  </w:num>
  <w:num w:numId="3" w16cid:durableId="434835633">
    <w:abstractNumId w:val="1"/>
  </w:num>
  <w:num w:numId="4" w16cid:durableId="2065249580">
    <w:abstractNumId w:val="3"/>
  </w:num>
  <w:num w:numId="5" w16cid:durableId="1159543380">
    <w:abstractNumId w:val="15"/>
  </w:num>
  <w:num w:numId="6" w16cid:durableId="45541315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123FC"/>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92BF6"/>
    <w:rsid w:val="007B0F6D"/>
    <w:rsid w:val="007C62C3"/>
    <w:rsid w:val="007D25AA"/>
    <w:rsid w:val="007F0873"/>
    <w:rsid w:val="00805726"/>
    <w:rsid w:val="00815117"/>
    <w:rsid w:val="00824CB1"/>
    <w:rsid w:val="008520F8"/>
    <w:rsid w:val="00855F34"/>
    <w:rsid w:val="008826B6"/>
    <w:rsid w:val="008B0B22"/>
    <w:rsid w:val="008C58B0"/>
    <w:rsid w:val="008C591B"/>
    <w:rsid w:val="008C6182"/>
    <w:rsid w:val="0090779E"/>
    <w:rsid w:val="00926458"/>
    <w:rsid w:val="00933720"/>
    <w:rsid w:val="00990A2F"/>
    <w:rsid w:val="009C7E52"/>
    <w:rsid w:val="009E4934"/>
    <w:rsid w:val="009F40A7"/>
    <w:rsid w:val="009F5CE6"/>
    <w:rsid w:val="00A035CD"/>
    <w:rsid w:val="00A45A94"/>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CE1732"/>
    <w:rsid w:val="00CF5ABE"/>
    <w:rsid w:val="00D10AAF"/>
    <w:rsid w:val="00D27540"/>
    <w:rsid w:val="00D4006B"/>
    <w:rsid w:val="00D40D7A"/>
    <w:rsid w:val="00D64A0D"/>
    <w:rsid w:val="00D676C3"/>
    <w:rsid w:val="00D750B4"/>
    <w:rsid w:val="00D81C18"/>
    <w:rsid w:val="00D8461A"/>
    <w:rsid w:val="00D95CAF"/>
    <w:rsid w:val="00DB60B6"/>
    <w:rsid w:val="00DC1CC6"/>
    <w:rsid w:val="00DD5135"/>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012D"/>
    <w:rsid w:val="00F915D6"/>
    <w:rsid w:val="00FE3E38"/>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1808</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Nadejda Ducantoni (2531000)</cp:lastModifiedBy>
  <cp:revision>2</cp:revision>
  <dcterms:created xsi:type="dcterms:W3CDTF">2026-04-21T10:47:00Z</dcterms:created>
  <dcterms:modified xsi:type="dcterms:W3CDTF">2026-04-21T10:47:00Z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