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16A37" w:rsidP="055A5763" w:rsidRDefault="7C607EB1" w14:paraId="4884DA65" w14:textId="5DB2067B">
      <w:pPr>
        <w:tabs>
          <w:tab w:val="center" w:pos="5564"/>
        </w:tabs>
        <w:spacing w:after="434" w:line="259" w:lineRule="auto"/>
        <w:ind w:left="-25"/>
        <w:rPr>
          <w:rFonts w:ascii="Arial" w:hAnsi="Arial" w:eastAsia="Arial" w:cs="Arial"/>
          <w:color w:val="000000" w:themeColor="text1"/>
        </w:rPr>
      </w:pPr>
      <w:r w:rsidRPr="055A5763">
        <w:rPr>
          <w:rFonts w:ascii="Arial" w:hAnsi="Arial" w:eastAsia="Arial" w:cs="Arial"/>
          <w:color w:val="000000" w:themeColor="text1"/>
          <w:sz w:val="20"/>
          <w:szCs w:val="20"/>
          <w:lang w:val="en-GB"/>
        </w:rPr>
        <w:t xml:space="preserve"> </w:t>
      </w:r>
      <w:r w:rsidRPr="055A5763">
        <w:rPr>
          <w:rFonts w:ascii="Times New Roman" w:hAnsi="Times New Roman" w:eastAsia="Times New Roman" w:cs="Times New Roman"/>
          <w:color w:val="000000" w:themeColor="text1"/>
          <w:lang w:val="en-GB"/>
        </w:rPr>
        <w:t xml:space="preserve"> </w:t>
      </w:r>
      <w:r w:rsidR="4969E1CC">
        <w:rPr>
          <w:noProof/>
        </w:rPr>
        <w:drawing>
          <wp:inline distT="0" distB="0" distL="0" distR="0" wp14:anchorId="099937D5" wp14:editId="11910325">
            <wp:extent cx="5010150" cy="1381803"/>
            <wp:effectExtent l="0" t="0" r="0" b="0"/>
            <wp:docPr id="180328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81339" name="Picture 1190881339"/>
                    <pic:cNvPicPr/>
                  </pic:nvPicPr>
                  <pic:blipFill>
                    <a:blip r:embed="rId5">
                      <a:extLst>
                        <a:ext uri="{28A0092B-C50C-407E-A947-70E740481C1C}">
                          <a14:useLocalDpi xmlns:a14="http://schemas.microsoft.com/office/drawing/2010/main"/>
                        </a:ext>
                      </a:extLst>
                    </a:blip>
                    <a:stretch>
                      <a:fillRect/>
                    </a:stretch>
                  </pic:blipFill>
                  <pic:spPr>
                    <a:xfrm>
                      <a:off x="0" y="0"/>
                      <a:ext cx="5010150" cy="1381803"/>
                    </a:xfrm>
                    <a:prstGeom prst="rect">
                      <a:avLst/>
                    </a:prstGeom>
                  </pic:spPr>
                </pic:pic>
              </a:graphicData>
            </a:graphic>
          </wp:inline>
        </w:drawing>
      </w:r>
    </w:p>
    <w:p w:rsidR="00F16A37" w:rsidP="39932731" w:rsidRDefault="7C607EB1" w14:paraId="05D59A72" w14:textId="09BE64F0">
      <w:pPr>
        <w:spacing w:after="0" w:line="259" w:lineRule="auto"/>
        <w:ind w:hanging="10"/>
        <w:rPr>
          <w:rFonts w:ascii="Times New Roman" w:hAnsi="Times New Roman" w:eastAsia="Times New Roman" w:cs="Times New Roman"/>
          <w:color w:val="000000" w:themeColor="text1"/>
          <w:sz w:val="20"/>
          <w:szCs w:val="20"/>
        </w:rPr>
      </w:pPr>
      <w:r w:rsidRPr="055A5763">
        <w:rPr>
          <w:rFonts w:ascii="Times New Roman" w:hAnsi="Times New Roman" w:eastAsia="Times New Roman" w:cs="Times New Roman"/>
          <w:color w:val="000000" w:themeColor="text1"/>
          <w:sz w:val="20"/>
          <w:szCs w:val="20"/>
          <w:lang w:val="en-GB"/>
        </w:rPr>
        <w:t xml:space="preserve"> </w:t>
      </w:r>
    </w:p>
    <w:p w:rsidR="00F16A37" w:rsidP="055A5763" w:rsidRDefault="5B2825CE" w14:paraId="1E4A142E" w14:textId="1D7B072E">
      <w:pPr>
        <w:spacing w:after="0" w:line="259" w:lineRule="auto"/>
        <w:ind w:right="1322"/>
      </w:pPr>
      <w:r w:rsidRPr="055A5763">
        <w:rPr>
          <w:rFonts w:ascii="Arial" w:hAnsi="Arial" w:eastAsia="Arial" w:cs="Arial"/>
          <w:b/>
          <w:bCs/>
          <w:sz w:val="36"/>
          <w:szCs w:val="36"/>
          <w:lang w:val="en-GB"/>
        </w:rPr>
        <w:t>Master of Business Administration</w:t>
      </w:r>
      <w:r w:rsidRPr="055A5763" w:rsidR="7C607EB1">
        <w:rPr>
          <w:rFonts w:ascii="Arial" w:hAnsi="Arial" w:eastAsia="Arial" w:cs="Arial"/>
          <w:b/>
          <w:bCs/>
          <w:color w:val="000000" w:themeColor="text1"/>
          <w:sz w:val="36"/>
          <w:szCs w:val="36"/>
          <w:lang w:val="en-GB"/>
        </w:rPr>
        <w:t xml:space="preserve"> </w:t>
      </w:r>
    </w:p>
    <w:p w:rsidR="055A5763" w:rsidP="055A5763" w:rsidRDefault="055A5763" w14:paraId="0FAB9ABA" w14:textId="3A4D3E5D">
      <w:pPr>
        <w:spacing w:after="0" w:line="259" w:lineRule="auto"/>
        <w:ind w:right="1322"/>
        <w:rPr>
          <w:rFonts w:ascii="Arial" w:hAnsi="Arial" w:eastAsia="Arial" w:cs="Arial"/>
          <w:b/>
          <w:bCs/>
          <w:color w:val="000000" w:themeColor="text1"/>
          <w:sz w:val="36"/>
          <w:szCs w:val="36"/>
          <w:lang w:val="en-GB"/>
        </w:rPr>
      </w:pPr>
    </w:p>
    <w:p w:rsidR="63883171" w:rsidP="055A5763" w:rsidRDefault="63883171" w14:paraId="6B7359AD" w14:textId="283175F6">
      <w:pPr>
        <w:spacing w:after="0" w:line="259" w:lineRule="auto"/>
      </w:pPr>
      <w:r w:rsidRPr="055A5763">
        <w:rPr>
          <w:rFonts w:ascii="Arial" w:hAnsi="Arial" w:eastAsia="Arial" w:cs="Arial"/>
          <w:b/>
          <w:bCs/>
          <w:sz w:val="36"/>
          <w:szCs w:val="36"/>
          <w:lang w:val="en-GB"/>
        </w:rPr>
        <w:t>Marketing Management LCMB7024</w:t>
      </w:r>
    </w:p>
    <w:p w:rsidR="055A5763" w:rsidP="055A5763" w:rsidRDefault="055A5763" w14:paraId="5DF5692B" w14:textId="32C08F1D">
      <w:pPr>
        <w:spacing w:after="0" w:line="259" w:lineRule="auto"/>
        <w:rPr>
          <w:rFonts w:ascii="Arial" w:hAnsi="Arial" w:eastAsia="Arial" w:cs="Arial"/>
          <w:b/>
          <w:bCs/>
          <w:sz w:val="36"/>
          <w:szCs w:val="36"/>
          <w:lang w:val="en-GB"/>
        </w:rPr>
      </w:pPr>
    </w:p>
    <w:p w:rsidR="63883171" w:rsidP="055A5763" w:rsidRDefault="63883171" w14:paraId="445773CF" w14:textId="03CA45E2">
      <w:pPr>
        <w:spacing w:after="0" w:line="259" w:lineRule="auto"/>
        <w:rPr>
          <w:rFonts w:ascii="Arial" w:hAnsi="Arial" w:eastAsia="Arial" w:cs="Arial"/>
          <w:b/>
          <w:bCs/>
          <w:sz w:val="36"/>
          <w:szCs w:val="36"/>
          <w:lang w:val="en-GB"/>
        </w:rPr>
      </w:pPr>
      <w:r w:rsidRPr="055A5763">
        <w:rPr>
          <w:rFonts w:ascii="Arial" w:hAnsi="Arial" w:eastAsia="Arial" w:cs="Arial"/>
          <w:b/>
          <w:bCs/>
          <w:sz w:val="36"/>
          <w:szCs w:val="36"/>
          <w:lang w:val="en-GB"/>
        </w:rPr>
        <w:t xml:space="preserve">Assessment </w:t>
      </w:r>
      <w:r w:rsidRPr="055A5763" w:rsidR="130D574E">
        <w:rPr>
          <w:rFonts w:ascii="Arial" w:hAnsi="Arial" w:eastAsia="Arial" w:cs="Arial"/>
          <w:b/>
          <w:bCs/>
          <w:sz w:val="36"/>
          <w:szCs w:val="36"/>
          <w:lang w:val="en-GB"/>
        </w:rPr>
        <w:t>c</w:t>
      </w:r>
      <w:r w:rsidRPr="055A5763">
        <w:rPr>
          <w:rFonts w:ascii="Arial" w:hAnsi="Arial" w:eastAsia="Arial" w:cs="Arial"/>
          <w:b/>
          <w:bCs/>
          <w:sz w:val="36"/>
          <w:szCs w:val="36"/>
          <w:lang w:val="en-GB"/>
        </w:rPr>
        <w:t>omponent 1: Marketing Environment Analysis</w:t>
      </w:r>
    </w:p>
    <w:p w:rsidR="055A5763" w:rsidP="055A5763" w:rsidRDefault="055A5763" w14:paraId="1F506C4C" w14:textId="2B74A998">
      <w:pPr>
        <w:spacing w:after="0" w:line="259" w:lineRule="auto"/>
        <w:rPr>
          <w:rFonts w:ascii="Arial" w:hAnsi="Arial" w:eastAsia="Arial" w:cs="Arial"/>
          <w:b/>
          <w:bCs/>
          <w:sz w:val="36"/>
          <w:szCs w:val="36"/>
          <w:lang w:val="en-GB"/>
        </w:rPr>
      </w:pPr>
    </w:p>
    <w:p w:rsidR="240E39B3" w:rsidP="055A5763" w:rsidRDefault="240E39B3" w14:paraId="72F94DCD" w14:textId="098D4513">
      <w:pPr>
        <w:spacing w:after="0" w:line="259" w:lineRule="auto"/>
        <w:ind w:left="10" w:right="58" w:hanging="10"/>
        <w:rPr>
          <w:rFonts w:ascii="Arial" w:hAnsi="Arial" w:eastAsia="Arial" w:cs="Arial"/>
          <w:b w:val="1"/>
          <w:bCs w:val="1"/>
          <w:sz w:val="36"/>
          <w:szCs w:val="36"/>
          <w:lang w:val="en-GB"/>
        </w:rPr>
      </w:pPr>
      <w:r w:rsidRPr="4A638A00" w:rsidR="6EA7FEFC">
        <w:rPr>
          <w:rFonts w:ascii="Arial" w:hAnsi="Arial" w:eastAsia="Arial" w:cs="Arial"/>
          <w:b w:val="1"/>
          <w:bCs w:val="1"/>
          <w:sz w:val="36"/>
          <w:szCs w:val="36"/>
          <w:lang w:val="en-GB"/>
        </w:rPr>
        <w:t>L</w:t>
      </w:r>
      <w:r w:rsidRPr="4A638A00" w:rsidR="4E3D96AD">
        <w:rPr>
          <w:rFonts w:ascii="Arial" w:hAnsi="Arial" w:eastAsia="Arial" w:cs="Arial"/>
          <w:b w:val="1"/>
          <w:bCs w:val="1"/>
          <w:sz w:val="36"/>
          <w:szCs w:val="36"/>
          <w:lang w:val="en-GB"/>
        </w:rPr>
        <w:t xml:space="preserve">ecturer's </w:t>
      </w:r>
      <w:r w:rsidRPr="4A638A00" w:rsidR="539D4A9B">
        <w:rPr>
          <w:rFonts w:ascii="Arial" w:hAnsi="Arial" w:eastAsia="Arial" w:cs="Arial"/>
          <w:b w:val="1"/>
          <w:bCs w:val="1"/>
          <w:sz w:val="36"/>
          <w:szCs w:val="36"/>
          <w:lang w:val="en-GB"/>
        </w:rPr>
        <w:t>N</w:t>
      </w:r>
      <w:r w:rsidRPr="4A638A00" w:rsidR="4E3D96AD">
        <w:rPr>
          <w:rFonts w:ascii="Arial" w:hAnsi="Arial" w:eastAsia="Arial" w:cs="Arial"/>
          <w:b w:val="1"/>
          <w:bCs w:val="1"/>
          <w:sz w:val="36"/>
          <w:szCs w:val="36"/>
          <w:lang w:val="en-GB"/>
        </w:rPr>
        <w:t xml:space="preserve">ame: Taonga Kaonga Sobere-Snithers </w:t>
      </w:r>
    </w:p>
    <w:p w:rsidR="055A5763" w:rsidP="055A5763" w:rsidRDefault="055A5763" w14:paraId="421EC0BC" w14:textId="4641288F">
      <w:pPr>
        <w:spacing w:after="0" w:line="259" w:lineRule="auto"/>
        <w:ind w:left="10" w:right="58" w:hanging="10"/>
        <w:jc w:val="center"/>
        <w:rPr>
          <w:rFonts w:ascii="Arial" w:hAnsi="Arial" w:eastAsia="Arial" w:cs="Arial"/>
          <w:b/>
          <w:bCs/>
          <w:sz w:val="36"/>
          <w:szCs w:val="36"/>
          <w:lang w:val="en-GB"/>
        </w:rPr>
      </w:pPr>
    </w:p>
    <w:p w:rsidR="00F16A37" w:rsidP="055A5763" w:rsidRDefault="7C607EB1" w14:paraId="6CD6C936" w14:textId="05C66B78">
      <w:pPr>
        <w:spacing w:after="0" w:line="259" w:lineRule="auto"/>
        <w:ind w:left="10" w:right="58" w:hanging="10"/>
        <w:rPr>
          <w:rFonts w:ascii="Arial" w:hAnsi="Arial" w:eastAsia="Arial" w:cs="Arial"/>
          <w:b/>
          <w:bCs/>
          <w:color w:val="000000" w:themeColor="text1"/>
          <w:sz w:val="36"/>
          <w:szCs w:val="36"/>
          <w:lang w:val="en-GB"/>
        </w:rPr>
      </w:pPr>
      <w:r w:rsidRPr="055A5763">
        <w:rPr>
          <w:rFonts w:ascii="Arial" w:hAnsi="Arial" w:eastAsia="Arial" w:cs="Arial"/>
          <w:b/>
          <w:bCs/>
          <w:color w:val="000000" w:themeColor="text1"/>
          <w:sz w:val="36"/>
          <w:szCs w:val="36"/>
          <w:lang w:val="en-GB"/>
        </w:rPr>
        <w:t xml:space="preserve">Full Name: Kodesha Grant  </w:t>
      </w:r>
    </w:p>
    <w:p w:rsidR="055A5763" w:rsidP="055A5763" w:rsidRDefault="055A5763" w14:paraId="6E400E67" w14:textId="3B039BB2">
      <w:pPr>
        <w:spacing w:after="0" w:line="259" w:lineRule="auto"/>
        <w:ind w:left="10" w:right="58" w:hanging="10"/>
        <w:rPr>
          <w:rFonts w:ascii="Arial" w:hAnsi="Arial" w:eastAsia="Arial" w:cs="Arial"/>
          <w:b/>
          <w:bCs/>
          <w:color w:val="000000" w:themeColor="text1"/>
          <w:sz w:val="36"/>
          <w:szCs w:val="36"/>
          <w:lang w:val="en-GB"/>
        </w:rPr>
      </w:pPr>
    </w:p>
    <w:p w:rsidR="23FF61BA" w:rsidP="055A5763" w:rsidRDefault="23FF61BA" w14:paraId="12B93664" w14:textId="0B1951A4">
      <w:pPr>
        <w:spacing w:after="0" w:line="259" w:lineRule="auto"/>
        <w:ind w:left="10" w:right="58" w:hanging="10"/>
        <w:rPr>
          <w:rFonts w:ascii="Arial" w:hAnsi="Arial" w:eastAsia="Arial" w:cs="Arial"/>
          <w:b/>
          <w:bCs/>
          <w:color w:val="000000" w:themeColor="text1"/>
          <w:sz w:val="36"/>
          <w:szCs w:val="36"/>
          <w:lang w:val="en-GB"/>
        </w:rPr>
      </w:pPr>
      <w:r w:rsidRPr="055A5763">
        <w:rPr>
          <w:rFonts w:ascii="Arial" w:hAnsi="Arial" w:eastAsia="Arial" w:cs="Arial"/>
          <w:b/>
          <w:bCs/>
          <w:color w:val="000000" w:themeColor="text1"/>
          <w:sz w:val="36"/>
          <w:szCs w:val="36"/>
          <w:lang w:val="en-GB"/>
        </w:rPr>
        <w:t>Student Number :2310545</w:t>
      </w:r>
    </w:p>
    <w:p w:rsidR="055A5763" w:rsidP="055A5763" w:rsidRDefault="055A5763" w14:paraId="69192934" w14:textId="766D9DB8">
      <w:pPr>
        <w:spacing w:after="0" w:line="259" w:lineRule="auto"/>
        <w:ind w:left="10" w:right="58" w:hanging="10"/>
        <w:rPr>
          <w:rFonts w:ascii="Arial" w:hAnsi="Arial" w:eastAsia="Arial" w:cs="Arial"/>
          <w:b/>
          <w:bCs/>
          <w:color w:val="000000" w:themeColor="text1"/>
          <w:sz w:val="36"/>
          <w:szCs w:val="36"/>
          <w:lang w:val="en-GB"/>
        </w:rPr>
      </w:pPr>
    </w:p>
    <w:p w:rsidR="23FF61BA" w:rsidP="055A5763" w:rsidRDefault="23FF61BA" w14:paraId="62D53FEF" w14:textId="205E993C">
      <w:pPr>
        <w:spacing w:after="0" w:line="259" w:lineRule="auto"/>
        <w:ind w:left="10"/>
        <w:rPr>
          <w:rFonts w:ascii="Arial" w:hAnsi="Arial" w:eastAsia="Arial" w:cs="Arial"/>
          <w:b/>
          <w:bCs/>
          <w:color w:val="000000" w:themeColor="text1"/>
          <w:sz w:val="36"/>
          <w:szCs w:val="36"/>
          <w:lang w:val="en-GB"/>
        </w:rPr>
      </w:pPr>
      <w:r w:rsidRPr="055A5763">
        <w:rPr>
          <w:rFonts w:ascii="Arial" w:hAnsi="Arial" w:eastAsia="Arial" w:cs="Arial"/>
          <w:b/>
          <w:bCs/>
          <w:color w:val="000000" w:themeColor="text1"/>
          <w:sz w:val="36"/>
          <w:szCs w:val="36"/>
          <w:lang w:val="en-GB"/>
        </w:rPr>
        <w:t xml:space="preserve">Final </w:t>
      </w:r>
      <w:r w:rsidRPr="055A5763" w:rsidR="7AF32E92">
        <w:rPr>
          <w:rFonts w:ascii="Arial" w:hAnsi="Arial" w:eastAsia="Arial" w:cs="Arial"/>
          <w:b/>
          <w:bCs/>
          <w:color w:val="000000" w:themeColor="text1"/>
          <w:sz w:val="36"/>
          <w:szCs w:val="36"/>
          <w:lang w:val="en-GB"/>
        </w:rPr>
        <w:t>W</w:t>
      </w:r>
      <w:r w:rsidRPr="055A5763">
        <w:rPr>
          <w:rFonts w:ascii="Arial" w:hAnsi="Arial" w:eastAsia="Arial" w:cs="Arial"/>
          <w:b/>
          <w:bCs/>
          <w:color w:val="000000" w:themeColor="text1"/>
          <w:sz w:val="36"/>
          <w:szCs w:val="36"/>
          <w:lang w:val="en-GB"/>
        </w:rPr>
        <w:t xml:space="preserve">ord </w:t>
      </w:r>
      <w:r w:rsidRPr="055A5763" w:rsidR="27A432B7">
        <w:rPr>
          <w:rFonts w:ascii="Arial" w:hAnsi="Arial" w:eastAsia="Arial" w:cs="Arial"/>
          <w:b/>
          <w:bCs/>
          <w:color w:val="000000" w:themeColor="text1"/>
          <w:sz w:val="36"/>
          <w:szCs w:val="36"/>
          <w:lang w:val="en-GB"/>
        </w:rPr>
        <w:t>C</w:t>
      </w:r>
      <w:r w:rsidRPr="055A5763">
        <w:rPr>
          <w:rFonts w:ascii="Arial" w:hAnsi="Arial" w:eastAsia="Arial" w:cs="Arial"/>
          <w:b/>
          <w:bCs/>
          <w:color w:val="000000" w:themeColor="text1"/>
          <w:sz w:val="36"/>
          <w:szCs w:val="36"/>
          <w:lang w:val="en-GB"/>
        </w:rPr>
        <w:t>ount:</w:t>
      </w:r>
      <w:r w:rsidRPr="055A5763" w:rsidR="4307CD08">
        <w:rPr>
          <w:rFonts w:ascii="Arial" w:hAnsi="Arial" w:eastAsia="Arial" w:cs="Arial"/>
          <w:b/>
          <w:bCs/>
          <w:color w:val="000000" w:themeColor="text1"/>
          <w:sz w:val="36"/>
          <w:szCs w:val="36"/>
          <w:lang w:val="en-GB"/>
        </w:rPr>
        <w:t xml:space="preserve"> 2500</w:t>
      </w:r>
    </w:p>
    <w:p w:rsidR="055A5763" w:rsidP="055A5763" w:rsidRDefault="055A5763" w14:paraId="3A17A9E7" w14:textId="7DA81132">
      <w:pPr>
        <w:spacing w:after="0" w:line="259" w:lineRule="auto"/>
        <w:ind w:left="10"/>
        <w:rPr>
          <w:rFonts w:ascii="Arial" w:hAnsi="Arial" w:eastAsia="Arial" w:cs="Arial"/>
          <w:b/>
          <w:bCs/>
          <w:color w:val="000000" w:themeColor="text1"/>
          <w:sz w:val="36"/>
          <w:szCs w:val="36"/>
          <w:lang w:val="en-GB"/>
        </w:rPr>
      </w:pPr>
    </w:p>
    <w:p w:rsidR="23FF61BA" w:rsidP="4AD194CA" w:rsidRDefault="23FF61BA" w14:paraId="5A785BDD" w14:textId="0F32A01B">
      <w:pPr>
        <w:spacing w:after="0" w:line="259" w:lineRule="auto"/>
        <w:ind w:left="10"/>
        <w:rPr>
          <w:rFonts w:ascii="Arial" w:hAnsi="Arial" w:eastAsia="Arial" w:cs="Arial"/>
          <w:b w:val="1"/>
          <w:bCs w:val="1"/>
          <w:color w:val="000000" w:themeColor="text1" w:themeTint="FF" w:themeShade="FF"/>
          <w:sz w:val="36"/>
          <w:szCs w:val="36"/>
          <w:lang w:val="en-GB"/>
        </w:rPr>
      </w:pPr>
      <w:r w:rsidRPr="4A638A00" w:rsidR="5FC2CD86">
        <w:rPr>
          <w:rFonts w:ascii="Arial" w:hAnsi="Arial" w:eastAsia="Arial" w:cs="Arial"/>
          <w:b w:val="1"/>
          <w:bCs w:val="1"/>
          <w:color w:val="000000" w:themeColor="text1" w:themeTint="FF" w:themeShade="FF"/>
          <w:sz w:val="36"/>
          <w:szCs w:val="36"/>
          <w:lang w:val="en-GB"/>
        </w:rPr>
        <w:t>Submission Date:</w:t>
      </w:r>
      <w:r w:rsidRPr="4A638A00" w:rsidR="7C72B617">
        <w:rPr>
          <w:rFonts w:ascii="Arial" w:hAnsi="Arial" w:eastAsia="Arial" w:cs="Arial"/>
          <w:b w:val="1"/>
          <w:bCs w:val="1"/>
          <w:color w:val="000000" w:themeColor="text1" w:themeTint="FF" w:themeShade="FF"/>
          <w:sz w:val="36"/>
          <w:szCs w:val="36"/>
          <w:lang w:val="en-GB"/>
        </w:rPr>
        <w:t xml:space="preserve"> </w:t>
      </w:r>
      <w:r w:rsidRPr="4A638A00" w:rsidR="1FA9CC33">
        <w:rPr>
          <w:rFonts w:ascii="Arial" w:hAnsi="Arial" w:eastAsia="Arial" w:cs="Arial"/>
          <w:b w:val="1"/>
          <w:bCs w:val="1"/>
          <w:color w:val="000000" w:themeColor="text1" w:themeTint="FF" w:themeShade="FF"/>
          <w:sz w:val="36"/>
          <w:szCs w:val="36"/>
          <w:lang w:val="en-GB"/>
        </w:rPr>
        <w:t>22/10/2026</w:t>
      </w:r>
    </w:p>
    <w:p w:rsidR="055A5763" w:rsidP="055A5763" w:rsidRDefault="055A5763" w14:paraId="0B790073" w14:textId="1DB9AEB7">
      <w:pPr>
        <w:spacing w:after="0" w:line="259" w:lineRule="auto"/>
        <w:ind w:left="10"/>
        <w:rPr>
          <w:rFonts w:ascii="arial bold" w:hAnsi="arial bold" w:eastAsia="arial bold" w:cs="arial bold"/>
          <w:b/>
          <w:bCs/>
          <w:color w:val="000000" w:themeColor="text1"/>
          <w:sz w:val="36"/>
          <w:szCs w:val="36"/>
          <w:lang w:val="en-GB"/>
        </w:rPr>
      </w:pPr>
    </w:p>
    <w:p w:rsidR="055A5763" w:rsidP="4AD194CA" w:rsidRDefault="055A5763" w14:paraId="6195A0A9" w14:textId="48B0ED66">
      <w:pPr>
        <w:pStyle w:val="Heading1"/>
        <w:spacing w:before="0" w:after="0" w:line="300" w:lineRule="auto"/>
        <w:ind/>
        <w:rPr>
          <w:rFonts w:ascii="Segoe UI" w:hAnsi="Segoe UI" w:eastAsia="Segoe UI" w:cs="Segoe UI"/>
          <w:sz w:val="21"/>
          <w:szCs w:val="21"/>
          <w:lang w:val="en-GB"/>
        </w:rPr>
      </w:pPr>
      <w:bookmarkStart w:name="_Toc584183064" w:id="1956388251"/>
      <w:r w:rsidRPr="5A3801E9" w:rsidR="34ADA42C">
        <w:rPr>
          <w:rFonts w:ascii="Arial" w:hAnsi="Arial" w:eastAsia="Arial" w:cs="Arial"/>
          <w:b w:val="1"/>
          <w:bCs w:val="1"/>
          <w:color w:val="auto"/>
          <w:sz w:val="42"/>
          <w:szCs w:val="42"/>
          <w:lang w:val="en-GB"/>
        </w:rPr>
        <w:t>BHP Mining Company (Australia) Formerly (Broken Hill Proprietary)</w:t>
      </w:r>
      <w:bookmarkEnd w:id="1956388251"/>
    </w:p>
    <w:p w:rsidR="055A5763" w:rsidP="055A5763" w:rsidRDefault="055A5763" w14:paraId="6D8B8F86" w14:textId="4B66E67A">
      <w:pPr>
        <w:spacing w:after="0" w:line="259" w:lineRule="auto"/>
        <w:ind w:left="10"/>
        <w:rPr>
          <w:rFonts w:ascii="arial bold" w:hAnsi="arial bold" w:eastAsia="arial bold" w:cs="arial bold"/>
          <w:b w:val="1"/>
          <w:bCs w:val="1"/>
          <w:color w:val="000000" w:themeColor="text1"/>
          <w:sz w:val="36"/>
          <w:szCs w:val="36"/>
          <w:lang w:val="en-GB"/>
        </w:rPr>
      </w:pPr>
    </w:p>
    <w:p w:rsidR="055A5763" w:rsidP="055A5763" w:rsidRDefault="055A5763" w14:paraId="754EDDAB" w14:textId="68984C66">
      <w:pPr>
        <w:spacing w:after="0" w:line="259" w:lineRule="auto"/>
        <w:ind w:left="10" w:right="58" w:hanging="10"/>
        <w:rPr>
          <w:rFonts w:ascii="arial bold" w:hAnsi="arial bold" w:eastAsia="arial bold" w:cs="arial bold"/>
          <w:color w:val="000000" w:themeColor="text1"/>
          <w:sz w:val="36"/>
          <w:szCs w:val="36"/>
          <w:lang w:val="en-GB"/>
        </w:rPr>
      </w:pPr>
    </w:p>
    <w:p w:rsidR="00F16A37" w:rsidP="4A638A00" w:rsidRDefault="3440852A" w14:paraId="38358C4B" w14:textId="671447D7">
      <w:pPr>
        <w:spacing w:after="0" w:line="259" w:lineRule="auto"/>
        <w:ind w:left="97" w:hanging="10"/>
      </w:pPr>
      <w:r w:rsidRPr="4A638A00" w:rsidR="11A02564">
        <w:rPr>
          <w:rFonts w:ascii="arial bold" w:hAnsi="arial bold" w:eastAsia="arial bold" w:cs="arial bold"/>
          <w:b w:val="1"/>
          <w:bCs w:val="1"/>
          <w:color w:val="000000" w:themeColor="text1" w:themeTint="FF" w:themeShade="FF"/>
          <w:sz w:val="36"/>
          <w:szCs w:val="36"/>
          <w:lang w:val="en-GB"/>
        </w:rPr>
        <w:t xml:space="preserve"> </w:t>
      </w:r>
      <w:r w:rsidRPr="4A638A00" w:rsidR="0E691D89">
        <w:rPr>
          <w:rFonts w:ascii="Arial" w:hAnsi="Arial" w:eastAsia="Arial" w:cs="Arial"/>
          <w:b w:val="1"/>
          <w:bCs w:val="1"/>
          <w:sz w:val="36"/>
          <w:szCs w:val="36"/>
          <w:lang w:val="en-GB"/>
        </w:rPr>
        <w:t>Table of Contents:</w:t>
      </w:r>
      <w:r w:rsidRPr="4A638A00" w:rsidR="0E691D89">
        <w:rPr>
          <w:rFonts w:ascii="Arial" w:hAnsi="Arial" w:eastAsia="Arial" w:cs="Arial"/>
          <w:sz w:val="22"/>
          <w:szCs w:val="22"/>
          <w:lang w:val="en-GB"/>
        </w:rPr>
        <w:t xml:space="preserve"> </w:t>
      </w:r>
    </w:p>
    <w:sdt>
      <w:sdtPr>
        <w:id w:val="1187664369"/>
        <w:docPartObj>
          <w:docPartGallery w:val="Table of Contents"/>
          <w:docPartUnique/>
        </w:docPartObj>
      </w:sdtPr>
      <w:sdtEndPr/>
      <w:sdtContent>
        <w:p w:rsidR="6E490EE5" w:rsidP="5A3801E9" w:rsidRDefault="6E490EE5" w14:paraId="79C108F0" w14:textId="46E332AA">
          <w:pPr>
            <w:pStyle w:val="TOC1"/>
            <w:tabs>
              <w:tab w:val="right" w:leader="dot" w:pos="9360"/>
            </w:tabs>
          </w:pPr>
          <w:r>
            <w:fldChar w:fldCharType="begin"/>
          </w:r>
          <w:r>
            <w:instrText xml:space="preserve">TOC \o "1-9" \z \u \h</w:instrText>
          </w:r>
          <w:r>
            <w:fldChar w:fldCharType="separate"/>
          </w:r>
          <w:r>
            <w:fldChar w:fldCharType="begin"/>
          </w:r>
          <w:r>
            <w:instrText xml:space="preserve">HYPERLINK  \l  "_Toc584183064" </w:instrText>
          </w:r>
          <w:r>
            <w:fldChar w:fldCharType="separate"/>
          </w:r>
          <w:r w:rsidR="5A3801E9">
            <w:rPr/>
            <w:t>BHP Mining Company (Australia) Formerly (Broken Hill Proprietary)</w:t>
          </w:r>
          <w:r>
            <w:tab/>
          </w:r>
          <w:r>
            <w:fldChar w:fldCharType="begin"/>
          </w:r>
          <w:r>
            <w:instrText xml:space="preserve">PAGEREF _Toc584183064 \h</w:instrText>
          </w:r>
          <w:r>
            <w:fldChar w:fldCharType="separate"/>
          </w:r>
          <w:r w:rsidR="5A3801E9">
            <w:rPr/>
            <w:t>1</w:t>
          </w:r>
          <w:r>
            <w:fldChar w:fldCharType="end"/>
          </w:r>
          <w:r>
            <w:fldChar w:fldCharType="end"/>
          </w:r>
        </w:p>
        <w:p w:rsidR="6E490EE5" w:rsidP="5A3801E9" w:rsidRDefault="6E490EE5" w14:paraId="0B039728" w14:textId="6EC5F2E2">
          <w:pPr>
            <w:pStyle w:val="TOC1"/>
            <w:tabs>
              <w:tab w:val="right" w:leader="dot" w:pos="9360"/>
            </w:tabs>
          </w:pPr>
          <w:r>
            <w:fldChar w:fldCharType="begin"/>
          </w:r>
          <w:r>
            <w:instrText xml:space="preserve">HYPERLINK  \l  "_Toc1567593541" </w:instrText>
          </w:r>
          <w:r>
            <w:fldChar w:fldCharType="separate"/>
          </w:r>
          <w:r w:rsidR="5A3801E9">
            <w:rPr/>
            <w:t>Task 1: Marketing Environment Analysis - BHP's Transition Towards Lower-Carbon Products</w:t>
          </w:r>
          <w:r>
            <w:tab/>
          </w:r>
          <w:r>
            <w:fldChar w:fldCharType="begin"/>
          </w:r>
          <w:r>
            <w:instrText xml:space="preserve">PAGEREF _Toc1567593541 \h</w:instrText>
          </w:r>
          <w:r>
            <w:fldChar w:fldCharType="separate"/>
          </w:r>
          <w:r w:rsidR="5A3801E9">
            <w:rPr/>
            <w:t>2</w:t>
          </w:r>
          <w:r>
            <w:fldChar w:fldCharType="end"/>
          </w:r>
          <w:r>
            <w:fldChar w:fldCharType="end"/>
          </w:r>
        </w:p>
        <w:p w:rsidR="6E490EE5" w:rsidP="5A3801E9" w:rsidRDefault="6E490EE5" w14:paraId="5C7B4DBA" w14:textId="09F1159A">
          <w:pPr>
            <w:pStyle w:val="TOC2"/>
            <w:tabs>
              <w:tab w:val="right" w:leader="dot" w:pos="9360"/>
            </w:tabs>
          </w:pPr>
          <w:r>
            <w:fldChar w:fldCharType="begin"/>
          </w:r>
          <w:r>
            <w:instrText xml:space="preserve">HYPERLINK  \l  "_Toc1535236826" </w:instrText>
          </w:r>
          <w:r>
            <w:fldChar w:fldCharType="separate"/>
          </w:r>
          <w:r w:rsidR="5A3801E9">
            <w:rPr/>
            <w:t>Introduction</w:t>
          </w:r>
          <w:r>
            <w:tab/>
          </w:r>
          <w:r>
            <w:fldChar w:fldCharType="begin"/>
          </w:r>
          <w:r>
            <w:instrText xml:space="preserve">PAGEREF _Toc1535236826 \h</w:instrText>
          </w:r>
          <w:r>
            <w:fldChar w:fldCharType="separate"/>
          </w:r>
          <w:r w:rsidR="5A3801E9">
            <w:rPr/>
            <w:t>2</w:t>
          </w:r>
          <w:r>
            <w:fldChar w:fldCharType="end"/>
          </w:r>
          <w:r>
            <w:fldChar w:fldCharType="end"/>
          </w:r>
        </w:p>
        <w:p w:rsidR="6E490EE5" w:rsidP="5A3801E9" w:rsidRDefault="6E490EE5" w14:paraId="17763A1C" w14:textId="0A0D094C">
          <w:pPr>
            <w:pStyle w:val="TOC2"/>
            <w:tabs>
              <w:tab w:val="right" w:leader="dot" w:pos="9360"/>
            </w:tabs>
          </w:pPr>
          <w:r>
            <w:fldChar w:fldCharType="begin"/>
          </w:r>
          <w:r>
            <w:instrText xml:space="preserve">HYPERLINK  \l  "_Toc885113653" </w:instrText>
          </w:r>
          <w:r>
            <w:fldChar w:fldCharType="separate"/>
          </w:r>
          <w:r w:rsidR="5A3801E9">
            <w:rPr/>
            <w:t>Environmental Factors</w:t>
          </w:r>
          <w:r>
            <w:tab/>
          </w:r>
          <w:r>
            <w:fldChar w:fldCharType="begin"/>
          </w:r>
          <w:r>
            <w:instrText xml:space="preserve">PAGEREF _Toc885113653 \h</w:instrText>
          </w:r>
          <w:r>
            <w:fldChar w:fldCharType="separate"/>
          </w:r>
          <w:r w:rsidR="5A3801E9">
            <w:rPr/>
            <w:t>3</w:t>
          </w:r>
          <w:r>
            <w:fldChar w:fldCharType="end"/>
          </w:r>
          <w:r>
            <w:fldChar w:fldCharType="end"/>
          </w:r>
        </w:p>
        <w:p w:rsidR="6E490EE5" w:rsidP="5A3801E9" w:rsidRDefault="6E490EE5" w14:paraId="09B5A10A" w14:textId="41464732">
          <w:pPr>
            <w:pStyle w:val="TOC2"/>
            <w:tabs>
              <w:tab w:val="right" w:leader="dot" w:pos="9360"/>
            </w:tabs>
          </w:pPr>
          <w:r>
            <w:fldChar w:fldCharType="begin"/>
          </w:r>
          <w:r>
            <w:instrText xml:space="preserve">HYPERLINK  \l  "_Toc920036185" </w:instrText>
          </w:r>
          <w:r>
            <w:fldChar w:fldCharType="separate"/>
          </w:r>
          <w:r w:rsidR="5A3801E9">
            <w:rPr/>
            <w:t>Political Factors</w:t>
          </w:r>
          <w:r>
            <w:tab/>
          </w:r>
          <w:r>
            <w:fldChar w:fldCharType="begin"/>
          </w:r>
          <w:r>
            <w:instrText xml:space="preserve">PAGEREF _Toc920036185 \h</w:instrText>
          </w:r>
          <w:r>
            <w:fldChar w:fldCharType="separate"/>
          </w:r>
          <w:r w:rsidR="5A3801E9">
            <w:rPr/>
            <w:t>4</w:t>
          </w:r>
          <w:r>
            <w:fldChar w:fldCharType="end"/>
          </w:r>
          <w:r>
            <w:fldChar w:fldCharType="end"/>
          </w:r>
        </w:p>
        <w:p w:rsidR="6E490EE5" w:rsidP="5A3801E9" w:rsidRDefault="6E490EE5" w14:paraId="7F7093D0" w14:textId="052E6080">
          <w:pPr>
            <w:pStyle w:val="TOC2"/>
            <w:tabs>
              <w:tab w:val="right" w:leader="dot" w:pos="9360"/>
            </w:tabs>
          </w:pPr>
          <w:r>
            <w:fldChar w:fldCharType="begin"/>
          </w:r>
          <w:r>
            <w:instrText xml:space="preserve">HYPERLINK  \l  "_Toc801610688" </w:instrText>
          </w:r>
          <w:r>
            <w:fldChar w:fldCharType="separate"/>
          </w:r>
          <w:r w:rsidR="5A3801E9">
            <w:rPr/>
            <w:t>Technological Factors</w:t>
          </w:r>
          <w:r>
            <w:tab/>
          </w:r>
          <w:r>
            <w:fldChar w:fldCharType="begin"/>
          </w:r>
          <w:r>
            <w:instrText xml:space="preserve">PAGEREF _Toc801610688 \h</w:instrText>
          </w:r>
          <w:r>
            <w:fldChar w:fldCharType="separate"/>
          </w:r>
          <w:r w:rsidR="5A3801E9">
            <w:rPr/>
            <w:t>5</w:t>
          </w:r>
          <w:r>
            <w:fldChar w:fldCharType="end"/>
          </w:r>
          <w:r>
            <w:fldChar w:fldCharType="end"/>
          </w:r>
        </w:p>
        <w:p w:rsidR="6E490EE5" w:rsidP="5A3801E9" w:rsidRDefault="6E490EE5" w14:paraId="7D875226" w14:textId="39854073">
          <w:pPr>
            <w:pStyle w:val="TOC1"/>
            <w:tabs>
              <w:tab w:val="right" w:leader="dot" w:pos="9360"/>
            </w:tabs>
          </w:pPr>
          <w:r>
            <w:fldChar w:fldCharType="begin"/>
          </w:r>
          <w:r>
            <w:instrText xml:space="preserve">HYPERLINK  \l  "_Toc336029320" </w:instrText>
          </w:r>
          <w:r>
            <w:fldChar w:fldCharType="separate"/>
          </w:r>
          <w:r w:rsidR="5A3801E9">
            <w:rPr/>
            <w:t>Task 2: Strategic Growth and Competitive Positioning for BHP Mining Company Australia</w:t>
          </w:r>
          <w:r>
            <w:tab/>
          </w:r>
          <w:r>
            <w:fldChar w:fldCharType="begin"/>
          </w:r>
          <w:r>
            <w:instrText xml:space="preserve">PAGEREF _Toc336029320 \h</w:instrText>
          </w:r>
          <w:r>
            <w:fldChar w:fldCharType="separate"/>
          </w:r>
          <w:r w:rsidR="5A3801E9">
            <w:rPr/>
            <w:t>6</w:t>
          </w:r>
          <w:r>
            <w:fldChar w:fldCharType="end"/>
          </w:r>
          <w:r>
            <w:fldChar w:fldCharType="end"/>
          </w:r>
        </w:p>
        <w:p w:rsidR="6E490EE5" w:rsidP="5A3801E9" w:rsidRDefault="6E490EE5" w14:paraId="1C1EB080" w14:textId="1AAB11B4">
          <w:pPr>
            <w:pStyle w:val="TOC2"/>
            <w:tabs>
              <w:tab w:val="right" w:leader="dot" w:pos="9360"/>
            </w:tabs>
          </w:pPr>
          <w:r>
            <w:fldChar w:fldCharType="begin"/>
          </w:r>
          <w:r>
            <w:instrText xml:space="preserve">HYPERLINK  \l  "_Toc1726473516" </w:instrText>
          </w:r>
          <w:r>
            <w:fldChar w:fldCharType="separate"/>
          </w:r>
          <w:r w:rsidR="5A3801E9">
            <w:rPr/>
            <w:t>Porter's Generic Strategies</w:t>
          </w:r>
          <w:r>
            <w:tab/>
          </w:r>
          <w:r>
            <w:fldChar w:fldCharType="begin"/>
          </w:r>
          <w:r>
            <w:instrText xml:space="preserve">PAGEREF _Toc1726473516 \h</w:instrText>
          </w:r>
          <w:r>
            <w:fldChar w:fldCharType="separate"/>
          </w:r>
          <w:r w:rsidR="5A3801E9">
            <w:rPr/>
            <w:t>7</w:t>
          </w:r>
          <w:r>
            <w:fldChar w:fldCharType="end"/>
          </w:r>
          <w:r>
            <w:fldChar w:fldCharType="end"/>
          </w:r>
        </w:p>
        <w:p w:rsidR="6E490EE5" w:rsidP="5A3801E9" w:rsidRDefault="6E490EE5" w14:paraId="67B6F3E2" w14:textId="688D4D8F">
          <w:pPr>
            <w:pStyle w:val="TOC2"/>
            <w:tabs>
              <w:tab w:val="right" w:leader="dot" w:pos="9360"/>
            </w:tabs>
          </w:pPr>
          <w:r>
            <w:fldChar w:fldCharType="begin"/>
          </w:r>
          <w:r>
            <w:instrText xml:space="preserve">HYPERLINK  \l  "_Toc2063288025" </w:instrText>
          </w:r>
          <w:r>
            <w:fldChar w:fldCharType="separate"/>
          </w:r>
          <w:r w:rsidR="5A3801E9">
            <w:rPr/>
            <w:t>Recommended Strategy: Differentiation</w:t>
          </w:r>
          <w:r>
            <w:tab/>
          </w:r>
          <w:r>
            <w:fldChar w:fldCharType="begin"/>
          </w:r>
          <w:r>
            <w:instrText xml:space="preserve">PAGEREF _Toc2063288025 \h</w:instrText>
          </w:r>
          <w:r>
            <w:fldChar w:fldCharType="separate"/>
          </w:r>
          <w:r w:rsidR="5A3801E9">
            <w:rPr/>
            <w:t>7</w:t>
          </w:r>
          <w:r>
            <w:fldChar w:fldCharType="end"/>
          </w:r>
          <w:r>
            <w:fldChar w:fldCharType="end"/>
          </w:r>
        </w:p>
        <w:p w:rsidR="6E490EE5" w:rsidP="5A3801E9" w:rsidRDefault="6E490EE5" w14:paraId="4AB2E6E1" w14:textId="4A15DED0">
          <w:pPr>
            <w:pStyle w:val="TOC2"/>
            <w:tabs>
              <w:tab w:val="right" w:leader="dot" w:pos="9360"/>
            </w:tabs>
          </w:pPr>
          <w:r>
            <w:fldChar w:fldCharType="begin"/>
          </w:r>
          <w:r>
            <w:instrText xml:space="preserve">HYPERLINK  \l  "_Toc202152960" </w:instrText>
          </w:r>
          <w:r>
            <w:fldChar w:fldCharType="separate"/>
          </w:r>
          <w:r w:rsidR="5A3801E9">
            <w:rPr/>
            <w:t>Achieving Competitive Advantage</w:t>
          </w:r>
          <w:r>
            <w:tab/>
          </w:r>
          <w:r>
            <w:fldChar w:fldCharType="begin"/>
          </w:r>
          <w:r>
            <w:instrText xml:space="preserve">PAGEREF _Toc202152960 \h</w:instrText>
          </w:r>
          <w:r>
            <w:fldChar w:fldCharType="separate"/>
          </w:r>
          <w:r w:rsidR="5A3801E9">
            <w:rPr/>
            <w:t>7</w:t>
          </w:r>
          <w:r>
            <w:fldChar w:fldCharType="end"/>
          </w:r>
          <w:r>
            <w:fldChar w:fldCharType="end"/>
          </w:r>
        </w:p>
        <w:p w:rsidR="6E490EE5" w:rsidP="5A3801E9" w:rsidRDefault="6E490EE5" w14:paraId="1385CCA9" w14:textId="7CB9CA36">
          <w:pPr>
            <w:pStyle w:val="TOC3"/>
            <w:tabs>
              <w:tab w:val="right" w:leader="dot" w:pos="9360"/>
            </w:tabs>
          </w:pPr>
          <w:r>
            <w:fldChar w:fldCharType="begin"/>
          </w:r>
          <w:r>
            <w:instrText xml:space="preserve">HYPERLINK  \l  "_Toc1761195626" </w:instrText>
          </w:r>
          <w:r>
            <w:fldChar w:fldCharType="separate"/>
          </w:r>
          <w:r w:rsidR="5A3801E9">
            <w:rPr/>
            <w:t>Sustainability Leadership</w:t>
          </w:r>
          <w:r>
            <w:tab/>
          </w:r>
          <w:r>
            <w:fldChar w:fldCharType="begin"/>
          </w:r>
          <w:r>
            <w:instrText xml:space="preserve">PAGEREF _Toc1761195626 \h</w:instrText>
          </w:r>
          <w:r>
            <w:fldChar w:fldCharType="separate"/>
          </w:r>
          <w:r w:rsidR="5A3801E9">
            <w:rPr/>
            <w:t>8</w:t>
          </w:r>
          <w:r>
            <w:fldChar w:fldCharType="end"/>
          </w:r>
          <w:r>
            <w:fldChar w:fldCharType="end"/>
          </w:r>
        </w:p>
        <w:p w:rsidR="6E490EE5" w:rsidP="5A3801E9" w:rsidRDefault="6E490EE5" w14:paraId="7F25BCB6" w14:textId="0D778C54">
          <w:pPr>
            <w:pStyle w:val="TOC3"/>
            <w:tabs>
              <w:tab w:val="right" w:leader="dot" w:pos="9360"/>
            </w:tabs>
          </w:pPr>
          <w:r>
            <w:fldChar w:fldCharType="begin"/>
          </w:r>
          <w:r>
            <w:instrText xml:space="preserve">HYPERLINK  \l  "_Toc375188813" </w:instrText>
          </w:r>
          <w:r>
            <w:fldChar w:fldCharType="separate"/>
          </w:r>
          <w:r w:rsidR="5A3801E9">
            <w:rPr/>
            <w:t>Investment in Future-Facing Commodities</w:t>
          </w:r>
          <w:r>
            <w:tab/>
          </w:r>
          <w:r>
            <w:fldChar w:fldCharType="begin"/>
          </w:r>
          <w:r>
            <w:instrText xml:space="preserve">PAGEREF _Toc375188813 \h</w:instrText>
          </w:r>
          <w:r>
            <w:fldChar w:fldCharType="separate"/>
          </w:r>
          <w:r w:rsidR="5A3801E9">
            <w:rPr/>
            <w:t>8</w:t>
          </w:r>
          <w:r>
            <w:fldChar w:fldCharType="end"/>
          </w:r>
          <w:r>
            <w:fldChar w:fldCharType="end"/>
          </w:r>
        </w:p>
        <w:p w:rsidR="4A638A00" w:rsidP="5A3801E9" w:rsidRDefault="4A638A00" w14:paraId="34C7DFF8" w14:textId="703AD603">
          <w:pPr>
            <w:pStyle w:val="TOC3"/>
            <w:tabs>
              <w:tab w:val="right" w:leader="dot" w:pos="9360"/>
            </w:tabs>
          </w:pPr>
          <w:r>
            <w:fldChar w:fldCharType="begin"/>
          </w:r>
          <w:r>
            <w:instrText xml:space="preserve">HYPERLINK  \l  "_Toc1821163610" </w:instrText>
          </w:r>
          <w:r>
            <w:fldChar w:fldCharType="separate"/>
          </w:r>
          <w:r w:rsidR="5A3801E9">
            <w:rPr/>
            <w:t>Innovation and Technology</w:t>
          </w:r>
          <w:r>
            <w:tab/>
          </w:r>
          <w:r>
            <w:fldChar w:fldCharType="begin"/>
          </w:r>
          <w:r>
            <w:instrText xml:space="preserve">PAGEREF _Toc1821163610 \h</w:instrText>
          </w:r>
          <w:r>
            <w:fldChar w:fldCharType="separate"/>
          </w:r>
          <w:r w:rsidR="5A3801E9">
            <w:rPr/>
            <w:t>8</w:t>
          </w:r>
          <w:r>
            <w:fldChar w:fldCharType="end"/>
          </w:r>
          <w:r>
            <w:fldChar w:fldCharType="end"/>
          </w:r>
        </w:p>
        <w:p w:rsidR="4A638A00" w:rsidP="5A3801E9" w:rsidRDefault="4A638A00" w14:paraId="1A21948A" w14:textId="72DFEEB0">
          <w:pPr>
            <w:pStyle w:val="TOC2"/>
            <w:tabs>
              <w:tab w:val="right" w:leader="dot" w:pos="9360"/>
            </w:tabs>
          </w:pPr>
          <w:r>
            <w:fldChar w:fldCharType="begin"/>
          </w:r>
          <w:r>
            <w:instrText xml:space="preserve">HYPERLINK  \l  "_Toc1332916883" </w:instrText>
          </w:r>
          <w:r>
            <w:fldChar w:fldCharType="separate"/>
          </w:r>
          <w:r w:rsidR="5A3801E9">
            <w:rPr/>
            <w:t>Benefits of the Differentiation Strategy</w:t>
          </w:r>
          <w:r>
            <w:tab/>
          </w:r>
          <w:r>
            <w:fldChar w:fldCharType="begin"/>
          </w:r>
          <w:r>
            <w:instrText xml:space="preserve">PAGEREF _Toc1332916883 \h</w:instrText>
          </w:r>
          <w:r>
            <w:fldChar w:fldCharType="separate"/>
          </w:r>
          <w:r w:rsidR="5A3801E9">
            <w:rPr/>
            <w:t>9</w:t>
          </w:r>
          <w:r>
            <w:fldChar w:fldCharType="end"/>
          </w:r>
          <w:r>
            <w:fldChar w:fldCharType="end"/>
          </w:r>
        </w:p>
        <w:p w:rsidR="4A638A00" w:rsidP="5A3801E9" w:rsidRDefault="4A638A00" w14:paraId="2A0E7F88" w14:textId="298FA8BB">
          <w:pPr>
            <w:pStyle w:val="TOC1"/>
            <w:tabs>
              <w:tab w:val="right" w:leader="dot" w:pos="9360"/>
            </w:tabs>
          </w:pPr>
          <w:r>
            <w:fldChar w:fldCharType="begin"/>
          </w:r>
          <w:r>
            <w:instrText xml:space="preserve">HYPERLINK  \l  "_Toc1469363139" </w:instrText>
          </w:r>
          <w:r>
            <w:fldChar w:fldCharType="separate"/>
          </w:r>
          <w:r w:rsidR="5A3801E9">
            <w:rPr/>
            <w:t>Task 3: Managerial and Professional Reflection</w:t>
          </w:r>
          <w:r>
            <w:tab/>
          </w:r>
          <w:r>
            <w:fldChar w:fldCharType="begin"/>
          </w:r>
          <w:r>
            <w:instrText xml:space="preserve">PAGEREF _Toc1469363139 \h</w:instrText>
          </w:r>
          <w:r>
            <w:fldChar w:fldCharType="separate"/>
          </w:r>
          <w:r w:rsidR="5A3801E9">
            <w:rPr/>
            <w:t>10</w:t>
          </w:r>
          <w:r>
            <w:fldChar w:fldCharType="end"/>
          </w:r>
          <w:r>
            <w:fldChar w:fldCharType="end"/>
          </w:r>
        </w:p>
        <w:p w:rsidR="4A638A00" w:rsidP="5A3801E9" w:rsidRDefault="4A638A00" w14:paraId="1A398F27" w14:textId="2CD463A0">
          <w:pPr>
            <w:pStyle w:val="TOC2"/>
            <w:tabs>
              <w:tab w:val="right" w:leader="dot" w:pos="9360"/>
            </w:tabs>
          </w:pPr>
          <w:r>
            <w:fldChar w:fldCharType="begin"/>
          </w:r>
          <w:r>
            <w:instrText xml:space="preserve">HYPERLINK  \l  "_Toc2007298876" </w:instrText>
          </w:r>
          <w:r>
            <w:fldChar w:fldCharType="separate"/>
          </w:r>
          <w:r w:rsidR="5A3801E9">
            <w:rPr/>
            <w:t>References</w:t>
          </w:r>
          <w:r>
            <w:tab/>
          </w:r>
          <w:r>
            <w:fldChar w:fldCharType="begin"/>
          </w:r>
          <w:r>
            <w:instrText xml:space="preserve">PAGEREF _Toc2007298876 \h</w:instrText>
          </w:r>
          <w:r>
            <w:fldChar w:fldCharType="separate"/>
          </w:r>
          <w:r w:rsidR="5A3801E9">
            <w:rPr/>
            <w:t>12</w:t>
          </w:r>
          <w:r>
            <w:fldChar w:fldCharType="end"/>
          </w:r>
          <w:r>
            <w:fldChar w:fldCharType="end"/>
          </w:r>
        </w:p>
        <w:p w:rsidR="6E490EE5" w:rsidRDefault="6E490EE5" w14:paraId="59886322" w14:textId="6B53231F">
          <w:r>
            <w:fldChar w:fldCharType="end"/>
          </w:r>
        </w:p>
      </w:sdtContent>
    </w:sdt>
    <w:p w:rsidR="6E490EE5" w:rsidP="6E490EE5" w:rsidRDefault="6E490EE5" w14:paraId="6C383DFE" w14:textId="65ABB37A">
      <w:pPr>
        <w:pStyle w:val="ListParagraph"/>
        <w:spacing w:after="0" w:line="360" w:lineRule="auto"/>
        <w:ind w:left="360"/>
        <w:rPr>
          <w:rFonts w:ascii="Arial" w:hAnsi="Arial" w:eastAsia="Arial" w:cs="Arial"/>
          <w:sz w:val="22"/>
          <w:szCs w:val="22"/>
          <w:lang w:val="en-GB"/>
        </w:rPr>
      </w:pPr>
    </w:p>
    <w:p w:rsidR="00F16A37" w:rsidP="055A5763" w:rsidRDefault="00F16A37" w14:paraId="572FD5AD" w14:textId="454B30EE">
      <w:pPr>
        <w:spacing w:after="0" w:line="259" w:lineRule="auto"/>
        <w:ind w:left="2611" w:hanging="10"/>
        <w:rPr>
          <w:rFonts w:ascii="Arial" w:hAnsi="Arial" w:eastAsia="Arial" w:cs="Arial"/>
          <w:b/>
          <w:bCs/>
          <w:color w:val="000000" w:themeColor="text1"/>
          <w:sz w:val="52"/>
          <w:szCs w:val="52"/>
          <w:lang w:val="en-GB"/>
        </w:rPr>
      </w:pPr>
    </w:p>
    <w:p w:rsidR="00F16A37" w:rsidP="39932731" w:rsidRDefault="00F16A37" w14:paraId="7ABB4DC6" w14:textId="10D52F35">
      <w:pPr>
        <w:spacing w:after="0" w:line="259" w:lineRule="auto"/>
        <w:ind w:left="2611" w:hanging="10"/>
        <w:rPr>
          <w:rFonts w:ascii="Arial" w:hAnsi="Arial" w:eastAsia="Arial" w:cs="Arial"/>
          <w:b/>
          <w:bCs/>
          <w:color w:val="000000" w:themeColor="text1"/>
          <w:sz w:val="52"/>
          <w:szCs w:val="52"/>
          <w:lang w:val="en-GB"/>
        </w:rPr>
      </w:pPr>
    </w:p>
    <w:p w:rsidR="00F16A37" w:rsidP="39932731" w:rsidRDefault="00F16A37" w14:paraId="192CB098" w14:textId="4E36C417">
      <w:pPr>
        <w:spacing w:after="0" w:line="259" w:lineRule="auto"/>
        <w:ind w:left="2611" w:hanging="10"/>
        <w:rPr>
          <w:rFonts w:ascii="Arial" w:hAnsi="Arial" w:eastAsia="Arial" w:cs="Arial"/>
          <w:b/>
          <w:bCs/>
          <w:color w:val="000000" w:themeColor="text1"/>
          <w:sz w:val="52"/>
          <w:szCs w:val="52"/>
          <w:lang w:val="en-GB"/>
        </w:rPr>
      </w:pPr>
    </w:p>
    <w:p w:rsidR="6E490EE5" w:rsidP="4AD194CA" w:rsidRDefault="6E490EE5" w14:paraId="3FEB031D" w14:textId="0236ED53">
      <w:pPr>
        <w:pStyle w:val="Heading1"/>
        <w:spacing w:before="0" w:after="0" w:line="259" w:lineRule="auto"/>
        <w:ind w:left="2601" w:hanging="0"/>
        <w:rPr>
          <w:rFonts w:ascii="Arial" w:hAnsi="Arial" w:eastAsia="Arial" w:cs="Arial"/>
          <w:b w:val="1"/>
          <w:bCs w:val="1"/>
          <w:color w:val="000000" w:themeColor="text1" w:themeTint="FF" w:themeShade="FF"/>
          <w:sz w:val="52"/>
          <w:szCs w:val="52"/>
          <w:lang w:val="en-GB"/>
        </w:rPr>
      </w:pPr>
    </w:p>
    <w:p w:rsidR="719EDED1" w:rsidP="6E490EE5" w:rsidRDefault="719EDED1" w14:paraId="12C7AB67" w14:textId="78CFC789">
      <w:pPr>
        <w:rPr>
          <w:lang w:val="en-GB"/>
        </w:rPr>
      </w:pPr>
    </w:p>
    <w:p w:rsidR="6E490EE5" w:rsidP="5A3801E9" w:rsidRDefault="6E490EE5" w14:paraId="59CA51C6" w14:textId="0E73FC5F">
      <w:pPr>
        <w:pStyle w:val="Heading1"/>
        <w:spacing w:before="0" w:beforeAutospacing="off" w:after="0" w:afterAutospacing="off" w:line="300" w:lineRule="auto"/>
        <w:jc w:val="both"/>
        <w:rPr>
          <w:rFonts w:ascii="Arial" w:hAnsi="Arial" w:eastAsia="Arial" w:cs="Arial"/>
          <w:b w:val="1"/>
          <w:bCs w:val="1"/>
          <w:i w:val="0"/>
          <w:iCs w:val="0"/>
          <w:noProof w:val="0"/>
          <w:color w:val="auto"/>
          <w:sz w:val="42"/>
          <w:szCs w:val="42"/>
          <w:lang w:val="en-GB"/>
        </w:rPr>
      </w:pPr>
      <w:bookmarkStart w:name="_Toc1567593541" w:id="508506222"/>
      <w:r w:rsidRPr="5A3801E9" w:rsidR="03516028">
        <w:rPr>
          <w:rFonts w:ascii="Arial" w:hAnsi="Arial" w:eastAsia="Arial" w:cs="Arial"/>
          <w:b w:val="1"/>
          <w:bCs w:val="1"/>
          <w:i w:val="0"/>
          <w:iCs w:val="0"/>
          <w:noProof w:val="0"/>
          <w:color w:val="auto"/>
          <w:sz w:val="42"/>
          <w:szCs w:val="42"/>
          <w:lang w:val="en-GB"/>
        </w:rPr>
        <w:t>Task 1: Marketing Environment Analysis - BHP's Transition Towards Lower-Carbon Products</w:t>
      </w:r>
      <w:bookmarkEnd w:id="508506222"/>
    </w:p>
    <w:p w:rsidR="6E490EE5" w:rsidP="5A3801E9" w:rsidRDefault="6E490EE5" w14:paraId="78DA4995" w14:textId="71974E46">
      <w:pPr>
        <w:pStyle w:val="Heading2"/>
        <w:spacing w:before="0" w:beforeAutospacing="off" w:after="0" w:afterAutospacing="off" w:line="300" w:lineRule="auto"/>
        <w:jc w:val="both"/>
        <w:rPr>
          <w:rFonts w:ascii="Arial" w:hAnsi="Arial" w:eastAsia="Arial" w:cs="Arial"/>
          <w:b w:val="1"/>
          <w:bCs w:val="1"/>
          <w:i w:val="0"/>
          <w:iCs w:val="0"/>
          <w:noProof w:val="0"/>
          <w:color w:val="auto"/>
          <w:sz w:val="31"/>
          <w:szCs w:val="31"/>
          <w:lang w:val="en-GB"/>
        </w:rPr>
      </w:pPr>
      <w:bookmarkStart w:name="_Toc1535236826" w:id="57794254"/>
      <w:r w:rsidRPr="5A3801E9" w:rsidR="03516028">
        <w:rPr>
          <w:rFonts w:ascii="Arial" w:hAnsi="Arial" w:eastAsia="Arial" w:cs="Arial"/>
          <w:b w:val="1"/>
          <w:bCs w:val="1"/>
          <w:i w:val="0"/>
          <w:iCs w:val="0"/>
          <w:noProof w:val="0"/>
          <w:color w:val="auto"/>
          <w:sz w:val="31"/>
          <w:szCs w:val="31"/>
          <w:lang w:val="en-GB"/>
        </w:rPr>
        <w:t>Introduction</w:t>
      </w:r>
      <w:bookmarkEnd w:id="57794254"/>
    </w:p>
    <w:p w:rsidR="6E490EE5" w:rsidP="4A638A00" w:rsidRDefault="6E490EE5" w14:paraId="16D48C92" w14:textId="019B6FA4">
      <w:p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A638A00" w:rsidR="4ADDF3FF">
        <w:rPr>
          <w:rFonts w:ascii="Arial" w:hAnsi="Arial" w:eastAsia="Arial" w:cs="Arial"/>
          <w:color w:val="auto"/>
          <w:sz w:val="24"/>
          <w:szCs w:val="24"/>
          <w:lang w:val="en-GB"/>
        </w:rPr>
        <w:t>BHP is one of the world's largest mining and resources companies, headquartered in Australia and operating across commodities including iron ore, copper, nickel and potash. In recent years, the company has increasingly positioned itself to benefit from the global transition to a low-carbon economy through investments in commodities that support electrification, renewable energy infrastructure and sustainable agriculture. BHP acknowledges that climate change presents both risks and opportunities and has committed to reducing greenhouse gas emissions while increasing exposure to products that enable decarbonisation</w:t>
      </w:r>
      <w:r w:rsidRPr="4A638A00" w:rsidR="4ADDF3FF">
        <w:rPr>
          <w:rFonts w:ascii="Arial" w:hAnsi="Arial" w:eastAsia="Arial" w:cs="Arial"/>
          <w:color w:val="auto"/>
          <w:sz w:val="24"/>
          <w:szCs w:val="24"/>
          <w:lang w:val="en-GB"/>
        </w:rPr>
        <w:t xml:space="preserve"> </w:t>
      </w:r>
      <w:r w:rsidRPr="4A638A00" w:rsidR="4ADDF3FF">
        <w:rPr>
          <w:rFonts w:ascii="Arial" w:hAnsi="Arial" w:eastAsia="Arial" w:cs="Arial"/>
          <w:color w:val="auto"/>
          <w:sz w:val="24"/>
          <w:szCs w:val="24"/>
          <w:lang w:val="en-GB"/>
        </w:rPr>
        <w:t>(Irwin et al.2021</w:t>
      </w:r>
      <w:r w:rsidRPr="4A638A00" w:rsidR="4ADDF3FF">
        <w:rPr>
          <w:rFonts w:ascii="Arial" w:hAnsi="Arial" w:eastAsia="Arial" w:cs="Arial"/>
          <w:color w:val="auto"/>
          <w:sz w:val="24"/>
          <w:szCs w:val="24"/>
          <w:lang w:val="en-GB"/>
        </w:rPr>
        <w:t>)</w:t>
      </w:r>
      <w:r w:rsidRPr="4A638A00" w:rsidR="4ADDF3FF">
        <w:rPr>
          <w:rFonts w:ascii="Arial" w:hAnsi="Arial" w:eastAsia="Arial" w:cs="Arial"/>
          <w:color w:val="auto"/>
          <w:sz w:val="24"/>
          <w:szCs w:val="24"/>
          <w:lang w:val="en-GB"/>
        </w:rPr>
        <w:t>.</w:t>
      </w:r>
    </w:p>
    <w:p w:rsidR="6E490EE5" w:rsidP="4A638A00" w:rsidRDefault="6E490EE5" w14:paraId="0B19A470" w14:textId="26DD1252">
      <w:pPr>
        <w:pStyle w:val="Normal"/>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Analysing the external marketing environment is a critical step in developing effective business and growth strategies. It enables organisations to </w:t>
      </w:r>
      <w:r w:rsidRPr="4A638A00" w:rsidR="03516028">
        <w:rPr>
          <w:rFonts w:ascii="Arial" w:hAnsi="Arial" w:eastAsia="Arial" w:cs="Arial"/>
          <w:b w:val="0"/>
          <w:bCs w:val="0"/>
          <w:i w:val="0"/>
          <w:iCs w:val="0"/>
          <w:noProof w:val="0"/>
          <w:color w:val="auto"/>
          <w:sz w:val="24"/>
          <w:szCs w:val="24"/>
          <w:lang w:val="en-GB"/>
        </w:rPr>
        <w:t>identify</w:t>
      </w:r>
      <w:r w:rsidRPr="4A638A00" w:rsidR="03516028">
        <w:rPr>
          <w:rFonts w:ascii="Arial" w:hAnsi="Arial" w:eastAsia="Arial" w:cs="Arial"/>
          <w:b w:val="0"/>
          <w:bCs w:val="0"/>
          <w:i w:val="0"/>
          <w:iCs w:val="0"/>
          <w:noProof w:val="0"/>
          <w:color w:val="auto"/>
          <w:sz w:val="24"/>
          <w:szCs w:val="24"/>
          <w:lang w:val="en-GB"/>
        </w:rPr>
        <w:t xml:space="preserve"> opportunities, </w:t>
      </w:r>
      <w:r w:rsidRPr="4A638A00" w:rsidR="03516028">
        <w:rPr>
          <w:rFonts w:ascii="Arial" w:hAnsi="Arial" w:eastAsia="Arial" w:cs="Arial"/>
          <w:b w:val="0"/>
          <w:bCs w:val="0"/>
          <w:i w:val="0"/>
          <w:iCs w:val="0"/>
          <w:noProof w:val="0"/>
          <w:color w:val="auto"/>
          <w:sz w:val="24"/>
          <w:szCs w:val="24"/>
          <w:lang w:val="en-GB"/>
        </w:rPr>
        <w:t>anticipate</w:t>
      </w:r>
      <w:r w:rsidRPr="4A638A00" w:rsidR="03516028">
        <w:rPr>
          <w:rFonts w:ascii="Arial" w:hAnsi="Arial" w:eastAsia="Arial" w:cs="Arial"/>
          <w:b w:val="0"/>
          <w:bCs w:val="0"/>
          <w:i w:val="0"/>
          <w:iCs w:val="0"/>
          <w:noProof w:val="0"/>
          <w:color w:val="auto"/>
          <w:sz w:val="24"/>
          <w:szCs w:val="24"/>
          <w:lang w:val="en-GB"/>
        </w:rPr>
        <w:t xml:space="preserve"> challenges and respond to changes within the wider environment. For BHP, one of the world's largest mining and resources companies, understanding external influences is particularly important as the business transitions towards a lower-carbon future. The mining sector is being transformed by climate change concerns, evolving government policies and technological advancements, all of which are influencing demand for critical minerals such as copper, </w:t>
      </w:r>
      <w:r w:rsidRPr="4A638A00" w:rsidR="03516028">
        <w:rPr>
          <w:rFonts w:ascii="Arial" w:hAnsi="Arial" w:eastAsia="Arial" w:cs="Arial"/>
          <w:b w:val="0"/>
          <w:bCs w:val="0"/>
          <w:i w:val="0"/>
          <w:iCs w:val="0"/>
          <w:noProof w:val="0"/>
          <w:color w:val="auto"/>
          <w:sz w:val="24"/>
          <w:szCs w:val="24"/>
          <w:lang w:val="en-GB"/>
        </w:rPr>
        <w:t>nickel</w:t>
      </w:r>
      <w:r w:rsidRPr="4A638A00" w:rsidR="03516028">
        <w:rPr>
          <w:rFonts w:ascii="Arial" w:hAnsi="Arial" w:eastAsia="Arial" w:cs="Arial"/>
          <w:b w:val="0"/>
          <w:bCs w:val="0"/>
          <w:i w:val="0"/>
          <w:iCs w:val="0"/>
          <w:noProof w:val="0"/>
          <w:color w:val="auto"/>
          <w:sz w:val="24"/>
          <w:szCs w:val="24"/>
          <w:lang w:val="en-GB"/>
        </w:rPr>
        <w:t xml:space="preserve"> and potash. BHP has recognised these changes and is increasing its focus on products that support decarbonisation, </w:t>
      </w:r>
      <w:r w:rsidRPr="4A638A00" w:rsidR="03516028">
        <w:rPr>
          <w:rFonts w:ascii="Arial" w:hAnsi="Arial" w:eastAsia="Arial" w:cs="Arial"/>
          <w:b w:val="0"/>
          <w:bCs w:val="0"/>
          <w:i w:val="0"/>
          <w:iCs w:val="0"/>
          <w:noProof w:val="0"/>
          <w:color w:val="auto"/>
          <w:sz w:val="24"/>
          <w:szCs w:val="24"/>
          <w:lang w:val="en-GB"/>
        </w:rPr>
        <w:t>electrification</w:t>
      </w:r>
      <w:r w:rsidRPr="4A638A00" w:rsidR="03516028">
        <w:rPr>
          <w:rFonts w:ascii="Arial" w:hAnsi="Arial" w:eastAsia="Arial" w:cs="Arial"/>
          <w:b w:val="0"/>
          <w:bCs w:val="0"/>
          <w:i w:val="0"/>
          <w:iCs w:val="0"/>
          <w:noProof w:val="0"/>
          <w:color w:val="auto"/>
          <w:sz w:val="24"/>
          <w:szCs w:val="24"/>
          <w:lang w:val="en-GB"/>
        </w:rPr>
        <w:t xml:space="preserve"> and the transition to a net-zero economy</w:t>
      </w:r>
      <w:r w:rsidRPr="4A638A00" w:rsidR="1013043E">
        <w:rPr>
          <w:rFonts w:ascii="Arial" w:hAnsi="Arial" w:eastAsia="Arial" w:cs="Arial"/>
          <w:b w:val="0"/>
          <w:bCs w:val="0"/>
          <w:i w:val="0"/>
          <w:iCs w:val="0"/>
          <w:noProof w:val="0"/>
          <w:color w:val="auto"/>
          <w:sz w:val="24"/>
          <w:szCs w:val="24"/>
          <w:lang w:val="en-GB"/>
        </w:rPr>
        <w:t xml:space="preserve"> </w:t>
      </w:r>
      <w:r w:rsidRPr="4A638A00" w:rsidR="1013043E">
        <w:rPr>
          <w:rFonts w:ascii="Arial" w:hAnsi="Arial" w:eastAsia="Arial" w:cs="Arial"/>
          <w:color w:val="auto"/>
          <w:sz w:val="24"/>
          <w:szCs w:val="24"/>
          <w:lang w:val="en-GB"/>
        </w:rPr>
        <w:t>(Irwin et al.2021</w:t>
      </w:r>
      <w:r w:rsidRPr="4A638A00" w:rsidR="03516028">
        <w:rPr>
          <w:rFonts w:ascii="Arial" w:hAnsi="Arial" w:eastAsia="Arial" w:cs="Arial"/>
          <w:b w:val="0"/>
          <w:bCs w:val="0"/>
          <w:i w:val="0"/>
          <w:iCs w:val="0"/>
          <w:noProof w:val="0"/>
          <w:color w:val="auto"/>
          <w:sz w:val="24"/>
          <w:szCs w:val="24"/>
          <w:lang w:val="en-GB"/>
        </w:rPr>
        <w:t xml:space="preserve">. </w:t>
      </w:r>
    </w:p>
    <w:p w:rsidR="6E490EE5" w:rsidP="4A638A00" w:rsidRDefault="6E490EE5" w14:paraId="7700079C" w14:textId="49641456">
      <w:p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 xml:space="preserve">This report critically analyses three key macro-environmental factors from the PESTLE framework that are influencing BHP's transition towards lower-carbon products: </w:t>
      </w:r>
      <w:r w:rsidRPr="4A638A00" w:rsidR="03516028">
        <w:rPr>
          <w:rFonts w:ascii="Arial" w:hAnsi="Arial" w:eastAsia="Arial" w:cs="Arial"/>
          <w:b w:val="1"/>
          <w:bCs w:val="1"/>
          <w:i w:val="0"/>
          <w:iCs w:val="0"/>
          <w:noProof w:val="0"/>
          <w:color w:val="auto"/>
          <w:sz w:val="24"/>
          <w:szCs w:val="24"/>
          <w:lang w:val="en-GB"/>
        </w:rPr>
        <w:t>Environmental, Political and Technological factors</w:t>
      </w:r>
      <w:r w:rsidRPr="4A638A00" w:rsidR="03516028">
        <w:rPr>
          <w:rFonts w:ascii="Arial" w:hAnsi="Arial" w:eastAsia="Arial" w:cs="Arial"/>
          <w:b w:val="0"/>
          <w:bCs w:val="0"/>
          <w:i w:val="0"/>
          <w:iCs w:val="0"/>
          <w:noProof w:val="0"/>
          <w:color w:val="auto"/>
          <w:sz w:val="24"/>
          <w:szCs w:val="24"/>
          <w:lang w:val="en-GB"/>
        </w:rPr>
        <w:t>. Particular emphasis is placed on the Environmental factor because it is the most significant driver of change within the mining industry.</w:t>
      </w:r>
    </w:p>
    <w:p w:rsidR="6E490EE5" w:rsidP="5A3801E9" w:rsidRDefault="6E490EE5" w14:paraId="5AA9664D" w14:textId="0D757882">
      <w:pPr>
        <w:pStyle w:val="Heading2"/>
        <w:spacing w:before="0" w:beforeAutospacing="off" w:after="120" w:afterAutospacing="off" w:line="300" w:lineRule="auto"/>
        <w:jc w:val="both"/>
        <w:rPr>
          <w:rFonts w:ascii="Segoe UI" w:hAnsi="Segoe UI" w:eastAsia="Segoe UI" w:cs="Segoe UI"/>
          <w:b w:val="1"/>
          <w:bCs w:val="1"/>
          <w:i w:val="0"/>
          <w:iCs w:val="0"/>
          <w:noProof w:val="0"/>
          <w:color w:val="auto"/>
          <w:sz w:val="31"/>
          <w:szCs w:val="31"/>
          <w:lang w:val="en-GB"/>
        </w:rPr>
      </w:pPr>
      <w:bookmarkStart w:name="_Toc885113653" w:id="1422299187"/>
      <w:r w:rsidRPr="5A3801E9" w:rsidR="03516028">
        <w:rPr>
          <w:rFonts w:ascii="Segoe UI" w:hAnsi="Segoe UI" w:eastAsia="Segoe UI" w:cs="Segoe UI"/>
          <w:b w:val="1"/>
          <w:bCs w:val="1"/>
          <w:i w:val="0"/>
          <w:iCs w:val="0"/>
          <w:noProof w:val="0"/>
          <w:color w:val="auto"/>
          <w:sz w:val="31"/>
          <w:szCs w:val="31"/>
          <w:lang w:val="en-GB"/>
        </w:rPr>
        <w:t>Environmental Factors</w:t>
      </w:r>
      <w:bookmarkEnd w:id="1422299187"/>
    </w:p>
    <w:p w:rsidR="6E490EE5" w:rsidP="4A638A00" w:rsidRDefault="6E490EE5" w14:paraId="677F59B7" w14:textId="6BC2753D">
      <w:pPr>
        <w:pStyle w:val="Normal"/>
        <w:spacing w:before="0" w:beforeAutospacing="off" w:after="12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 xml:space="preserve">The environmental factor is the most influential macro-environmental force affecting BHP's transition towards lower-carbon products. Growing concern over climate change, rising global temperatures and greenhouse gas emissions has led governments, </w:t>
      </w:r>
      <w:r w:rsidRPr="4A638A00" w:rsidR="03516028">
        <w:rPr>
          <w:rFonts w:ascii="Arial" w:hAnsi="Arial" w:eastAsia="Arial" w:cs="Arial"/>
          <w:b w:val="0"/>
          <w:bCs w:val="0"/>
          <w:i w:val="0"/>
          <w:iCs w:val="0"/>
          <w:noProof w:val="0"/>
          <w:color w:val="auto"/>
          <w:sz w:val="24"/>
          <w:szCs w:val="24"/>
          <w:lang w:val="en-GB"/>
        </w:rPr>
        <w:t>businesses</w:t>
      </w:r>
      <w:r w:rsidRPr="4A638A00" w:rsidR="03516028">
        <w:rPr>
          <w:rFonts w:ascii="Arial" w:hAnsi="Arial" w:eastAsia="Arial" w:cs="Arial"/>
          <w:b w:val="0"/>
          <w:bCs w:val="0"/>
          <w:i w:val="0"/>
          <w:iCs w:val="0"/>
          <w:noProof w:val="0"/>
          <w:color w:val="auto"/>
          <w:sz w:val="24"/>
          <w:szCs w:val="24"/>
          <w:lang w:val="en-GB"/>
        </w:rPr>
        <w:t xml:space="preserve"> and consumers to </w:t>
      </w:r>
      <w:r w:rsidRPr="4A638A00" w:rsidR="03516028">
        <w:rPr>
          <w:rFonts w:ascii="Arial" w:hAnsi="Arial" w:eastAsia="Arial" w:cs="Arial"/>
          <w:b w:val="0"/>
          <w:bCs w:val="0"/>
          <w:i w:val="0"/>
          <w:iCs w:val="0"/>
          <w:noProof w:val="0"/>
          <w:color w:val="auto"/>
          <w:sz w:val="24"/>
          <w:szCs w:val="24"/>
          <w:lang w:val="en-GB"/>
        </w:rPr>
        <w:t>seek</w:t>
      </w:r>
      <w:r w:rsidRPr="4A638A00" w:rsidR="03516028">
        <w:rPr>
          <w:rFonts w:ascii="Arial" w:hAnsi="Arial" w:eastAsia="Arial" w:cs="Arial"/>
          <w:b w:val="0"/>
          <w:bCs w:val="0"/>
          <w:i w:val="0"/>
          <w:iCs w:val="0"/>
          <w:noProof w:val="0"/>
          <w:color w:val="auto"/>
          <w:sz w:val="24"/>
          <w:szCs w:val="24"/>
          <w:lang w:val="en-GB"/>
        </w:rPr>
        <w:t xml:space="preserve"> more sustainable solutions. As a result, demand for minerals essential to renewable energy technologies and electrification is increasing significantly</w:t>
      </w:r>
      <w:r w:rsidRPr="4A638A00" w:rsidR="5B33B7B4">
        <w:rPr>
          <w:rFonts w:ascii="Times New Roman" w:hAnsi="Times New Roman" w:eastAsia="Times New Roman" w:cs="Times New Roman"/>
          <w:noProof w:val="0"/>
          <w:sz w:val="24"/>
          <w:szCs w:val="24"/>
          <w:lang w:val="en-GB"/>
        </w:rPr>
        <w:t xml:space="preserve"> (Acharya.2024)</w:t>
      </w:r>
      <w:r w:rsidRPr="4A638A00" w:rsidR="03516028">
        <w:rPr>
          <w:rFonts w:ascii="Arial" w:hAnsi="Arial" w:eastAsia="Arial" w:cs="Arial"/>
          <w:b w:val="0"/>
          <w:bCs w:val="0"/>
          <w:i w:val="0"/>
          <w:iCs w:val="0"/>
          <w:noProof w:val="0"/>
          <w:color w:val="auto"/>
          <w:sz w:val="24"/>
          <w:szCs w:val="24"/>
          <w:lang w:val="en-GB"/>
        </w:rPr>
        <w:t>.</w:t>
      </w:r>
    </w:p>
    <w:p w:rsidR="6E490EE5" w:rsidP="4A638A00" w:rsidRDefault="6E490EE5" w14:paraId="4167E877" w14:textId="48570879">
      <w:pPr>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For BHP, this change presents major opportunities. The transition to renewable energy, electric vehicles (EVs) and battery storage systems requires substantial quantities of copper and nickel. Copper is a critical </w:t>
      </w:r>
      <w:r w:rsidRPr="4A638A00" w:rsidR="03516028">
        <w:rPr>
          <w:rFonts w:ascii="Arial" w:hAnsi="Arial" w:eastAsia="Arial" w:cs="Arial"/>
          <w:b w:val="0"/>
          <w:bCs w:val="0"/>
          <w:i w:val="0"/>
          <w:iCs w:val="0"/>
          <w:noProof w:val="0"/>
          <w:color w:val="auto"/>
          <w:sz w:val="24"/>
          <w:szCs w:val="24"/>
          <w:lang w:val="en-GB"/>
        </w:rPr>
        <w:t>component</w:t>
      </w:r>
      <w:r w:rsidRPr="4A638A00" w:rsidR="03516028">
        <w:rPr>
          <w:rFonts w:ascii="Arial" w:hAnsi="Arial" w:eastAsia="Arial" w:cs="Arial"/>
          <w:b w:val="0"/>
          <w:bCs w:val="0"/>
          <w:i w:val="0"/>
          <w:iCs w:val="0"/>
          <w:noProof w:val="0"/>
          <w:color w:val="auto"/>
          <w:sz w:val="24"/>
          <w:szCs w:val="24"/>
          <w:lang w:val="en-GB"/>
        </w:rPr>
        <w:t xml:space="preserve"> of EVs, renewable energy generation systems and electricity transmission networks. As countries invest in achieving net-zero targets, demand for these commodities is expected to increase. Recognising this trend, BHP has </w:t>
      </w:r>
      <w:r w:rsidRPr="4A638A00" w:rsidR="03516028">
        <w:rPr>
          <w:rFonts w:ascii="Arial" w:hAnsi="Arial" w:eastAsia="Arial" w:cs="Arial"/>
          <w:b w:val="0"/>
          <w:bCs w:val="0"/>
          <w:i w:val="0"/>
          <w:iCs w:val="0"/>
          <w:noProof w:val="0"/>
          <w:color w:val="auto"/>
          <w:sz w:val="24"/>
          <w:szCs w:val="24"/>
          <w:lang w:val="en-GB"/>
        </w:rPr>
        <w:t>stated</w:t>
      </w:r>
      <w:r w:rsidRPr="4A638A00" w:rsidR="03516028">
        <w:rPr>
          <w:rFonts w:ascii="Arial" w:hAnsi="Arial" w:eastAsia="Arial" w:cs="Arial"/>
          <w:b w:val="0"/>
          <w:bCs w:val="0"/>
          <w:i w:val="0"/>
          <w:iCs w:val="0"/>
          <w:noProof w:val="0"/>
          <w:color w:val="auto"/>
          <w:sz w:val="24"/>
          <w:szCs w:val="24"/>
          <w:lang w:val="en-GB"/>
        </w:rPr>
        <w:t xml:space="preserve"> that it aims to increase its exposure to products that support decarbonisation and electrification while reducing the risk of holding assets that may become less valuable in a low-carbon economy. </w:t>
      </w:r>
    </w:p>
    <w:p w:rsidR="6E490EE5" w:rsidP="4A638A00" w:rsidRDefault="6E490EE5" w14:paraId="73D99349" w14:textId="1BDC8622">
      <w:pPr>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BHP has already increased investment in copper projects and continues to position itself as a major supplier of minerals needed to support the global energy transition. The company has </w:t>
      </w:r>
      <w:r w:rsidRPr="4A638A00" w:rsidR="03516028">
        <w:rPr>
          <w:rFonts w:ascii="Arial" w:hAnsi="Arial" w:eastAsia="Arial" w:cs="Arial"/>
          <w:b w:val="0"/>
          <w:bCs w:val="0"/>
          <w:i w:val="0"/>
          <w:iCs w:val="0"/>
          <w:noProof w:val="0"/>
          <w:color w:val="auto"/>
          <w:sz w:val="24"/>
          <w:szCs w:val="24"/>
          <w:lang w:val="en-GB"/>
        </w:rPr>
        <w:t>identified</w:t>
      </w:r>
      <w:r w:rsidRPr="4A638A00" w:rsidR="03516028">
        <w:rPr>
          <w:rFonts w:ascii="Arial" w:hAnsi="Arial" w:eastAsia="Arial" w:cs="Arial"/>
          <w:b w:val="0"/>
          <w:bCs w:val="0"/>
          <w:i w:val="0"/>
          <w:iCs w:val="0"/>
          <w:noProof w:val="0"/>
          <w:color w:val="auto"/>
          <w:sz w:val="24"/>
          <w:szCs w:val="24"/>
          <w:lang w:val="en-GB"/>
        </w:rPr>
        <w:t xml:space="preserve"> copper as a key growth commodity due to its importance in clean energy infrastructure and electric transportation systems. </w:t>
      </w:r>
    </w:p>
    <w:p w:rsidR="6E490EE5" w:rsidP="4A638A00" w:rsidRDefault="6E490EE5" w14:paraId="14A7E229" w14:textId="3D143E84">
      <w:pPr>
        <w:pStyle w:val="Normal"/>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Environmental pressures are also influencing how BHP </w:t>
      </w:r>
      <w:r w:rsidRPr="4A638A00" w:rsidR="03516028">
        <w:rPr>
          <w:rFonts w:ascii="Arial" w:hAnsi="Arial" w:eastAsia="Arial" w:cs="Arial"/>
          <w:b w:val="0"/>
          <w:bCs w:val="0"/>
          <w:i w:val="0"/>
          <w:iCs w:val="0"/>
          <w:noProof w:val="0"/>
          <w:color w:val="auto"/>
          <w:sz w:val="24"/>
          <w:szCs w:val="24"/>
          <w:lang w:val="en-GB"/>
        </w:rPr>
        <w:t>operates</w:t>
      </w:r>
      <w:r w:rsidRPr="4A638A00" w:rsidR="03516028">
        <w:rPr>
          <w:rFonts w:ascii="Arial" w:hAnsi="Arial" w:eastAsia="Arial" w:cs="Arial"/>
          <w:b w:val="0"/>
          <w:bCs w:val="0"/>
          <w:i w:val="0"/>
          <w:iCs w:val="0"/>
          <w:noProof w:val="0"/>
          <w:color w:val="auto"/>
          <w:sz w:val="24"/>
          <w:szCs w:val="24"/>
          <w:lang w:val="en-GB"/>
        </w:rPr>
        <w:t xml:space="preserve">. Stakeholders increasingly expect mining companies to reduce emissions, minimise environmental impacts and </w:t>
      </w:r>
      <w:r w:rsidRPr="4A638A00" w:rsidR="03516028">
        <w:rPr>
          <w:rFonts w:ascii="Arial" w:hAnsi="Arial" w:eastAsia="Arial" w:cs="Arial"/>
          <w:b w:val="0"/>
          <w:bCs w:val="0"/>
          <w:i w:val="0"/>
          <w:iCs w:val="0"/>
          <w:noProof w:val="0"/>
          <w:color w:val="auto"/>
          <w:sz w:val="24"/>
          <w:szCs w:val="24"/>
          <w:lang w:val="en-GB"/>
        </w:rPr>
        <w:t>demonstrate</w:t>
      </w:r>
      <w:r w:rsidRPr="4A638A00" w:rsidR="03516028">
        <w:rPr>
          <w:rFonts w:ascii="Arial" w:hAnsi="Arial" w:eastAsia="Arial" w:cs="Arial"/>
          <w:b w:val="0"/>
          <w:bCs w:val="0"/>
          <w:i w:val="0"/>
          <w:iCs w:val="0"/>
          <w:noProof w:val="0"/>
          <w:color w:val="auto"/>
          <w:sz w:val="24"/>
          <w:szCs w:val="24"/>
          <w:lang w:val="en-GB"/>
        </w:rPr>
        <w:t xml:space="preserve"> responsible resource extraction practices. In response, BHP has </w:t>
      </w:r>
      <w:r w:rsidRPr="4A638A00" w:rsidR="03516028">
        <w:rPr>
          <w:rFonts w:ascii="Arial" w:hAnsi="Arial" w:eastAsia="Arial" w:cs="Arial"/>
          <w:b w:val="0"/>
          <w:bCs w:val="0"/>
          <w:i w:val="0"/>
          <w:iCs w:val="0"/>
          <w:noProof w:val="0"/>
          <w:color w:val="auto"/>
          <w:sz w:val="24"/>
          <w:szCs w:val="24"/>
          <w:lang w:val="en-GB"/>
        </w:rPr>
        <w:t>established</w:t>
      </w:r>
      <w:r w:rsidRPr="4A638A00" w:rsidR="03516028">
        <w:rPr>
          <w:rFonts w:ascii="Arial" w:hAnsi="Arial" w:eastAsia="Arial" w:cs="Arial"/>
          <w:b w:val="0"/>
          <w:bCs w:val="0"/>
          <w:i w:val="0"/>
          <w:iCs w:val="0"/>
          <w:noProof w:val="0"/>
          <w:color w:val="auto"/>
          <w:sz w:val="24"/>
          <w:szCs w:val="24"/>
          <w:lang w:val="en-GB"/>
        </w:rPr>
        <w:t xml:space="preserve"> operational greenhouse gas reduction targets and long-term net-zero ambitions for its assets. The company continues to invest in sustainability initiatives and low-carbon operational technologies</w:t>
      </w:r>
      <w:r w:rsidRPr="4A638A00" w:rsidR="2519ACF6">
        <w:rPr>
          <w:rFonts w:ascii="Arial" w:hAnsi="Arial" w:eastAsia="Arial" w:cs="Arial"/>
          <w:b w:val="0"/>
          <w:bCs w:val="0"/>
          <w:i w:val="0"/>
          <w:iCs w:val="0"/>
          <w:noProof w:val="0"/>
          <w:color w:val="auto"/>
          <w:sz w:val="24"/>
          <w:szCs w:val="24"/>
          <w:lang w:val="en-GB"/>
        </w:rPr>
        <w:t xml:space="preserve"> </w:t>
      </w:r>
      <w:r w:rsidRPr="4A638A00" w:rsidR="2519ACF6">
        <w:rPr>
          <w:rFonts w:ascii="Times New Roman" w:hAnsi="Times New Roman" w:eastAsia="Times New Roman" w:cs="Times New Roman"/>
          <w:noProof w:val="0"/>
          <w:sz w:val="24"/>
          <w:szCs w:val="24"/>
          <w:lang w:val="en-GB"/>
        </w:rPr>
        <w:t>(Acharya.2024)</w:t>
      </w:r>
      <w:r w:rsidRPr="4A638A00" w:rsidR="2519ACF6">
        <w:rPr>
          <w:rFonts w:ascii="Arial" w:hAnsi="Arial" w:eastAsia="Arial" w:cs="Arial"/>
          <w:b w:val="0"/>
          <w:bCs w:val="0"/>
          <w:i w:val="0"/>
          <w:iCs w:val="0"/>
          <w:noProof w:val="0"/>
          <w:color w:val="auto"/>
          <w:sz w:val="24"/>
          <w:szCs w:val="24"/>
          <w:lang w:val="en-GB"/>
        </w:rPr>
        <w:t>.</w:t>
      </w:r>
      <w:r w:rsidRPr="4A638A00" w:rsidR="03516028">
        <w:rPr>
          <w:rFonts w:ascii="Arial" w:hAnsi="Arial" w:eastAsia="Arial" w:cs="Arial"/>
          <w:b w:val="0"/>
          <w:bCs w:val="0"/>
          <w:i w:val="0"/>
          <w:iCs w:val="0"/>
          <w:noProof w:val="0"/>
          <w:color w:val="auto"/>
          <w:sz w:val="24"/>
          <w:szCs w:val="24"/>
          <w:lang w:val="en-GB"/>
        </w:rPr>
        <w:t xml:space="preserve"> </w:t>
      </w:r>
    </w:p>
    <w:p w:rsidR="6E490EE5" w:rsidP="4A638A00" w:rsidRDefault="6E490EE5" w14:paraId="6C9A4DA3" w14:textId="15A5ED4F">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However, environmental factors also create challenges. Achieving environmental targets requires substantial investment in renewable energy sources, electrified equipment and emissions reduction technologies. These investments can be costly and may affect short-term profitability. Additionally, mining operations can have significant environmental impacts, meaning BHP faces ongoing scrutiny from regulators, investors and communities regarding its sustainability performance.</w:t>
      </w:r>
    </w:p>
    <w:p w:rsidR="6E490EE5" w:rsidP="4A638A00" w:rsidRDefault="6E490EE5" w14:paraId="3343911E" w14:textId="273CD374">
      <w:pPr>
        <w:pStyle w:val="Normal"/>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 xml:space="preserve">Another challenge is transition risk. While demand for transition minerals is expected to rise, uncertainty </w:t>
      </w:r>
      <w:r w:rsidRPr="4A638A00" w:rsidR="03516028">
        <w:rPr>
          <w:rFonts w:ascii="Arial" w:hAnsi="Arial" w:eastAsia="Arial" w:cs="Arial"/>
          <w:b w:val="0"/>
          <w:bCs w:val="0"/>
          <w:i w:val="0"/>
          <w:iCs w:val="0"/>
          <w:noProof w:val="0"/>
          <w:color w:val="auto"/>
          <w:sz w:val="24"/>
          <w:szCs w:val="24"/>
          <w:lang w:val="en-GB"/>
        </w:rPr>
        <w:t>remains</w:t>
      </w:r>
      <w:r w:rsidRPr="4A638A00" w:rsidR="03516028">
        <w:rPr>
          <w:rFonts w:ascii="Arial" w:hAnsi="Arial" w:eastAsia="Arial" w:cs="Arial"/>
          <w:b w:val="0"/>
          <w:bCs w:val="0"/>
          <w:i w:val="0"/>
          <w:iCs w:val="0"/>
          <w:noProof w:val="0"/>
          <w:color w:val="auto"/>
          <w:sz w:val="24"/>
          <w:szCs w:val="24"/>
          <w:lang w:val="en-GB"/>
        </w:rPr>
        <w:t xml:space="preserve"> </w:t>
      </w:r>
      <w:r w:rsidRPr="4A638A00" w:rsidR="03516028">
        <w:rPr>
          <w:rFonts w:ascii="Arial" w:hAnsi="Arial" w:eastAsia="Arial" w:cs="Arial"/>
          <w:b w:val="0"/>
          <w:bCs w:val="0"/>
          <w:i w:val="0"/>
          <w:iCs w:val="0"/>
          <w:noProof w:val="0"/>
          <w:color w:val="auto"/>
          <w:sz w:val="24"/>
          <w:szCs w:val="24"/>
          <w:lang w:val="en-GB"/>
        </w:rPr>
        <w:t>regarding</w:t>
      </w:r>
      <w:r w:rsidRPr="4A638A00" w:rsidR="03516028">
        <w:rPr>
          <w:rFonts w:ascii="Arial" w:hAnsi="Arial" w:eastAsia="Arial" w:cs="Arial"/>
          <w:b w:val="0"/>
          <w:bCs w:val="0"/>
          <w:i w:val="0"/>
          <w:iCs w:val="0"/>
          <w:noProof w:val="0"/>
          <w:color w:val="auto"/>
          <w:sz w:val="24"/>
          <w:szCs w:val="24"/>
          <w:lang w:val="en-GB"/>
        </w:rPr>
        <w:t xml:space="preserve"> future environmental regulations, technological </w:t>
      </w:r>
      <w:r w:rsidRPr="4A638A00" w:rsidR="03516028">
        <w:rPr>
          <w:rFonts w:ascii="Arial" w:hAnsi="Arial" w:eastAsia="Arial" w:cs="Arial"/>
          <w:b w:val="0"/>
          <w:bCs w:val="0"/>
          <w:i w:val="0"/>
          <w:iCs w:val="0"/>
          <w:noProof w:val="0"/>
          <w:color w:val="auto"/>
          <w:sz w:val="24"/>
          <w:szCs w:val="24"/>
          <w:lang w:val="en-GB"/>
        </w:rPr>
        <w:t>developments</w:t>
      </w:r>
      <w:r w:rsidRPr="4A638A00" w:rsidR="03516028">
        <w:rPr>
          <w:rFonts w:ascii="Arial" w:hAnsi="Arial" w:eastAsia="Arial" w:cs="Arial"/>
          <w:b w:val="0"/>
          <w:bCs w:val="0"/>
          <w:i w:val="0"/>
          <w:iCs w:val="0"/>
          <w:noProof w:val="0"/>
          <w:color w:val="auto"/>
          <w:sz w:val="24"/>
          <w:szCs w:val="24"/>
          <w:lang w:val="en-GB"/>
        </w:rPr>
        <w:t xml:space="preserve"> and commodity demand. BHP must balance investment in low-carbon growth opportunities while managing risks associated with changing environmental expectations</w:t>
      </w:r>
      <w:r w:rsidRPr="4A638A00" w:rsidR="7168D655">
        <w:rPr>
          <w:rFonts w:ascii="Arial" w:hAnsi="Arial" w:eastAsia="Arial" w:cs="Arial"/>
          <w:b w:val="0"/>
          <w:bCs w:val="0"/>
          <w:i w:val="0"/>
          <w:iCs w:val="0"/>
          <w:noProof w:val="0"/>
          <w:color w:val="auto"/>
          <w:sz w:val="24"/>
          <w:szCs w:val="24"/>
          <w:lang w:val="en-GB"/>
        </w:rPr>
        <w:t xml:space="preserve"> </w:t>
      </w:r>
      <w:r w:rsidRPr="4A638A00" w:rsidR="7168D655">
        <w:rPr>
          <w:rFonts w:ascii="Times New Roman" w:hAnsi="Times New Roman" w:eastAsia="Times New Roman" w:cs="Times New Roman"/>
          <w:noProof w:val="0"/>
          <w:sz w:val="24"/>
          <w:szCs w:val="24"/>
          <w:lang w:val="en-GB"/>
        </w:rPr>
        <w:t>(Acharya.2024)</w:t>
      </w:r>
      <w:r w:rsidRPr="4A638A00" w:rsidR="7168D655">
        <w:rPr>
          <w:rFonts w:ascii="Arial" w:hAnsi="Arial" w:eastAsia="Arial" w:cs="Arial"/>
          <w:b w:val="0"/>
          <w:bCs w:val="0"/>
          <w:i w:val="0"/>
          <w:iCs w:val="0"/>
          <w:noProof w:val="0"/>
          <w:color w:val="auto"/>
          <w:sz w:val="24"/>
          <w:szCs w:val="24"/>
          <w:lang w:val="en-GB"/>
        </w:rPr>
        <w:t>.</w:t>
      </w:r>
    </w:p>
    <w:p w:rsidR="6E490EE5" w:rsidP="4A638A00" w:rsidRDefault="6E490EE5" w14:paraId="7D5F6FB1" w14:textId="6AA77C69">
      <w:pPr>
        <w:spacing w:before="210" w:beforeAutospacing="off" w:after="210" w:afterAutospacing="off" w:line="300" w:lineRule="auto"/>
        <w:jc w:val="both"/>
        <w:rPr>
          <w:rFonts w:ascii="Arial" w:hAnsi="Arial" w:eastAsia="Arial" w:cs="Arial"/>
          <w:b w:val="0"/>
          <w:bCs w:val="0"/>
          <w:i w:val="0"/>
          <w:iCs w:val="0"/>
          <w:noProof w:val="0"/>
          <w:color w:val="auto"/>
          <w:sz w:val="21"/>
          <w:szCs w:val="21"/>
          <w:lang w:val="en-GB"/>
        </w:rPr>
      </w:pPr>
      <w:r w:rsidRPr="4A638A00" w:rsidR="03516028">
        <w:rPr>
          <w:rFonts w:ascii="Arial" w:hAnsi="Arial" w:eastAsia="Arial" w:cs="Arial"/>
          <w:b w:val="0"/>
          <w:bCs w:val="0"/>
          <w:i w:val="0"/>
          <w:iCs w:val="0"/>
          <w:noProof w:val="0"/>
          <w:color w:val="auto"/>
          <w:sz w:val="24"/>
          <w:szCs w:val="24"/>
          <w:lang w:val="en-GB"/>
        </w:rPr>
        <w:t>Overall, environmental factors create both significant opportunities and substantial challenges. Nevertheless, they remain the primary driver of BHP's strategic shift towards lower-carbon products and sustainable business operations</w:t>
      </w:r>
      <w:r w:rsidRPr="4A638A00" w:rsidR="03516028">
        <w:rPr>
          <w:rFonts w:ascii="Arial" w:hAnsi="Arial" w:eastAsia="Arial" w:cs="Arial"/>
          <w:b w:val="0"/>
          <w:bCs w:val="0"/>
          <w:i w:val="0"/>
          <w:iCs w:val="0"/>
          <w:noProof w:val="0"/>
          <w:color w:val="auto"/>
          <w:sz w:val="21"/>
          <w:szCs w:val="21"/>
          <w:lang w:val="en-GB"/>
        </w:rPr>
        <w:t>.</w:t>
      </w:r>
    </w:p>
    <w:p w:rsidR="6E490EE5" w:rsidP="4A638A00" w:rsidRDefault="6E490EE5" w14:paraId="701755CC" w14:textId="30D9E1DA">
      <w:pPr>
        <w:spacing w:before="0" w:beforeAutospacing="off" w:after="0" w:afterAutospacing="off" w:line="300" w:lineRule="auto"/>
        <w:jc w:val="both"/>
        <w:rPr>
          <w:rFonts w:ascii="Arial" w:hAnsi="Arial" w:eastAsia="Arial" w:cs="Arial"/>
          <w:color w:val="auto"/>
        </w:rPr>
      </w:pPr>
    </w:p>
    <w:p w:rsidR="6E490EE5" w:rsidP="5A3801E9" w:rsidRDefault="6E490EE5" w14:paraId="7D81AEC8" w14:textId="117F063E">
      <w:pPr>
        <w:pStyle w:val="Heading2"/>
        <w:spacing w:before="261" w:beforeAutospacing="off" w:after="261" w:afterAutospacing="off" w:line="300" w:lineRule="auto"/>
        <w:jc w:val="both"/>
        <w:rPr>
          <w:rFonts w:ascii="Arial" w:hAnsi="Arial" w:eastAsia="Arial" w:cs="Arial"/>
          <w:b w:val="1"/>
          <w:bCs w:val="1"/>
          <w:i w:val="0"/>
          <w:iCs w:val="0"/>
          <w:noProof w:val="0"/>
          <w:color w:val="auto"/>
          <w:sz w:val="31"/>
          <w:szCs w:val="31"/>
          <w:lang w:val="en-GB"/>
        </w:rPr>
      </w:pPr>
      <w:bookmarkStart w:name="_Toc920036185" w:id="1005028703"/>
      <w:r w:rsidRPr="5A3801E9" w:rsidR="03516028">
        <w:rPr>
          <w:rFonts w:ascii="Arial" w:hAnsi="Arial" w:eastAsia="Arial" w:cs="Arial"/>
          <w:b w:val="1"/>
          <w:bCs w:val="1"/>
          <w:i w:val="0"/>
          <w:iCs w:val="0"/>
          <w:noProof w:val="0"/>
          <w:color w:val="auto"/>
          <w:sz w:val="31"/>
          <w:szCs w:val="31"/>
          <w:lang w:val="en-GB"/>
        </w:rPr>
        <w:t>Political Factors</w:t>
      </w:r>
      <w:bookmarkEnd w:id="1005028703"/>
    </w:p>
    <w:p w:rsidR="6E490EE5" w:rsidP="4A638A00" w:rsidRDefault="6E490EE5" w14:paraId="23F488BD" w14:textId="76DDA813">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Political factors are another important influence on BHP's strategic direction. Governments around the world are implementing climate policies, emissions targets and environmental regulations designed to support the transition to a lower-carbon economy.</w:t>
      </w:r>
    </w:p>
    <w:p w:rsidR="6E490EE5" w:rsidP="4A638A00" w:rsidRDefault="6E490EE5" w14:paraId="110B90ED" w14:textId="12FD160D">
      <w:pPr>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Many countries have committed to achieving net-zero emissions over the coming decades. To support these commitments, governments are investing heavily in renewable energy projects, electric vehicle </w:t>
      </w:r>
      <w:r w:rsidRPr="4A638A00" w:rsidR="03516028">
        <w:rPr>
          <w:rFonts w:ascii="Arial" w:hAnsi="Arial" w:eastAsia="Arial" w:cs="Arial"/>
          <w:b w:val="0"/>
          <w:bCs w:val="0"/>
          <w:i w:val="0"/>
          <w:iCs w:val="0"/>
          <w:noProof w:val="0"/>
          <w:color w:val="auto"/>
          <w:sz w:val="24"/>
          <w:szCs w:val="24"/>
          <w:lang w:val="en-GB"/>
        </w:rPr>
        <w:t>infrastructure</w:t>
      </w:r>
      <w:r w:rsidRPr="4A638A00" w:rsidR="03516028">
        <w:rPr>
          <w:rFonts w:ascii="Arial" w:hAnsi="Arial" w:eastAsia="Arial" w:cs="Arial"/>
          <w:b w:val="0"/>
          <w:bCs w:val="0"/>
          <w:i w:val="0"/>
          <w:iCs w:val="0"/>
          <w:noProof w:val="0"/>
          <w:color w:val="auto"/>
          <w:sz w:val="24"/>
          <w:szCs w:val="24"/>
          <w:lang w:val="en-GB"/>
        </w:rPr>
        <w:t xml:space="preserve"> and power network upgrades. These investments create increased demand for commodities such as copper and nickel, providing significant growth opportunities for BHP. </w:t>
      </w:r>
    </w:p>
    <w:p w:rsidR="6E490EE5" w:rsidP="4A638A00" w:rsidRDefault="6E490EE5" w14:paraId="2AB8B265" w14:textId="17DB4E82">
      <w:pPr>
        <w:pStyle w:val="Normal"/>
        <w:spacing w:before="210" w:beforeAutospacing="off" w:after="210" w:afterAutospacing="off" w:line="300" w:lineRule="auto"/>
        <w:jc w:val="both"/>
        <w:rPr>
          <w:rFonts w:ascii="Arial" w:hAnsi="Arial" w:eastAsia="Arial" w:cs="Arial"/>
          <w:noProof w:val="0"/>
          <w:sz w:val="24"/>
          <w:szCs w:val="24"/>
          <w:lang w:val="en-GB"/>
        </w:rPr>
      </w:pPr>
      <w:r w:rsidRPr="4A638A00" w:rsidR="03516028">
        <w:rPr>
          <w:rFonts w:ascii="Arial" w:hAnsi="Arial" w:eastAsia="Arial" w:cs="Arial"/>
          <w:b w:val="0"/>
          <w:bCs w:val="0"/>
          <w:i w:val="0"/>
          <w:iCs w:val="0"/>
          <w:noProof w:val="0"/>
          <w:color w:val="auto"/>
          <w:sz w:val="24"/>
          <w:szCs w:val="24"/>
          <w:lang w:val="en-GB"/>
        </w:rPr>
        <w:t xml:space="preserve">Government policy also influences investor confidence and long-term market stability. When governments introduce clear climate strategies and support renewable energy development, businesses such as BHP gain greater certainty </w:t>
      </w:r>
      <w:r w:rsidRPr="4A638A00" w:rsidR="03516028">
        <w:rPr>
          <w:rFonts w:ascii="Arial" w:hAnsi="Arial" w:eastAsia="Arial" w:cs="Arial"/>
          <w:b w:val="0"/>
          <w:bCs w:val="0"/>
          <w:i w:val="0"/>
          <w:iCs w:val="0"/>
          <w:noProof w:val="0"/>
          <w:color w:val="auto"/>
          <w:sz w:val="24"/>
          <w:szCs w:val="24"/>
          <w:lang w:val="en-GB"/>
        </w:rPr>
        <w:t>regarding</w:t>
      </w:r>
      <w:r w:rsidRPr="4A638A00" w:rsidR="03516028">
        <w:rPr>
          <w:rFonts w:ascii="Arial" w:hAnsi="Arial" w:eastAsia="Arial" w:cs="Arial"/>
          <w:b w:val="0"/>
          <w:bCs w:val="0"/>
          <w:i w:val="0"/>
          <w:iCs w:val="0"/>
          <w:noProof w:val="0"/>
          <w:color w:val="auto"/>
          <w:sz w:val="24"/>
          <w:szCs w:val="24"/>
          <w:lang w:val="en-GB"/>
        </w:rPr>
        <w:t xml:space="preserve"> future demand for transition minerals. This encourages investment in new mining projects and resource development</w:t>
      </w:r>
      <w:r w:rsidRPr="4A638A00" w:rsidR="30712136">
        <w:rPr>
          <w:rFonts w:ascii="Arial" w:hAnsi="Arial" w:eastAsia="Arial" w:cs="Arial"/>
          <w:b w:val="0"/>
          <w:bCs w:val="0"/>
          <w:i w:val="0"/>
          <w:iCs w:val="0"/>
          <w:noProof w:val="0"/>
          <w:color w:val="auto"/>
          <w:sz w:val="24"/>
          <w:szCs w:val="24"/>
          <w:lang w:val="en-GB"/>
        </w:rPr>
        <w:t xml:space="preserve"> </w:t>
      </w:r>
      <w:r w:rsidRPr="4A638A00" w:rsidR="30712136">
        <w:rPr>
          <w:rFonts w:ascii="Times New Roman" w:hAnsi="Times New Roman" w:eastAsia="Times New Roman" w:cs="Times New Roman"/>
          <w:noProof w:val="0"/>
          <w:sz w:val="24"/>
          <w:szCs w:val="24"/>
          <w:lang w:val="en-GB"/>
        </w:rPr>
        <w:t>(Silva and Castañeda-Ayarza.2021).</w:t>
      </w:r>
    </w:p>
    <w:p w:rsidR="6E490EE5" w:rsidP="4A638A00" w:rsidRDefault="6E490EE5" w14:paraId="10F314A6" w14:textId="52DFAB81">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However, political factors can also create challenges. Mining companies must comply with environmental legislation, planning requirements and emissions regulations across multiple countries and jurisdictions. Regulatory requirements can increase compliance costs and extend project approval timelines.</w:t>
      </w:r>
    </w:p>
    <w:p w:rsidR="6E490EE5" w:rsidP="4A638A00" w:rsidRDefault="6E490EE5" w14:paraId="7FBA4271" w14:textId="70432C82">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Political uncertainty may also affect investment decisions. Changes in government priorities, trade policies or environmental regulations can alter the attractiveness of certain projects and create uncertainty regarding future returns. Given the significant capital investment required for major mining operations, regulatory unpredictability can become a considerable business risk.</w:t>
      </w:r>
    </w:p>
    <w:p w:rsidR="6E490EE5" w:rsidP="4A638A00" w:rsidRDefault="6E490EE5" w14:paraId="2E15657D" w14:textId="1039CB48">
      <w:pPr>
        <w:pStyle w:val="Normal"/>
        <w:spacing w:before="210" w:beforeAutospacing="off" w:after="210" w:afterAutospacing="off" w:line="300" w:lineRule="auto"/>
        <w:jc w:val="both"/>
      </w:pPr>
      <w:r w:rsidRPr="4A638A00" w:rsidR="03516028">
        <w:rPr>
          <w:rFonts w:ascii="Arial" w:hAnsi="Arial" w:eastAsia="Arial" w:cs="Arial"/>
          <w:b w:val="0"/>
          <w:bCs w:val="0"/>
          <w:i w:val="0"/>
          <w:iCs w:val="0"/>
          <w:noProof w:val="0"/>
          <w:color w:val="auto"/>
          <w:sz w:val="24"/>
          <w:szCs w:val="24"/>
          <w:lang w:val="en-GB"/>
        </w:rPr>
        <w:t xml:space="preserve">Despite these challenges, the overall direction of government policy is creating favourable conditions for BHP's investment in commodities that support decarbonisation and clean energy technologies. By aligning its strategy with global climate and sustainability </w:t>
      </w:r>
      <w:r w:rsidRPr="4A638A00" w:rsidR="03516028">
        <w:rPr>
          <w:rFonts w:ascii="Arial" w:hAnsi="Arial" w:eastAsia="Arial" w:cs="Arial"/>
          <w:b w:val="0"/>
          <w:bCs w:val="0"/>
          <w:i w:val="0"/>
          <w:iCs w:val="0"/>
          <w:noProof w:val="0"/>
          <w:color w:val="auto"/>
          <w:sz w:val="24"/>
          <w:szCs w:val="24"/>
          <w:lang w:val="en-GB"/>
        </w:rPr>
        <w:t>objectives</w:t>
      </w:r>
      <w:r w:rsidRPr="4A638A00" w:rsidR="03516028">
        <w:rPr>
          <w:rFonts w:ascii="Arial" w:hAnsi="Arial" w:eastAsia="Arial" w:cs="Arial"/>
          <w:b w:val="0"/>
          <w:bCs w:val="0"/>
          <w:i w:val="0"/>
          <w:iCs w:val="0"/>
          <w:noProof w:val="0"/>
          <w:color w:val="auto"/>
          <w:sz w:val="24"/>
          <w:szCs w:val="24"/>
          <w:lang w:val="en-GB"/>
        </w:rPr>
        <w:t xml:space="preserve">, BHP can </w:t>
      </w:r>
      <w:r w:rsidRPr="4A638A00" w:rsidR="03516028">
        <w:rPr>
          <w:rFonts w:ascii="Arial" w:hAnsi="Arial" w:eastAsia="Arial" w:cs="Arial"/>
          <w:b w:val="0"/>
          <w:bCs w:val="0"/>
          <w:i w:val="0"/>
          <w:iCs w:val="0"/>
          <w:noProof w:val="0"/>
          <w:color w:val="auto"/>
          <w:sz w:val="24"/>
          <w:szCs w:val="24"/>
          <w:lang w:val="en-GB"/>
        </w:rPr>
        <w:t>benefit</w:t>
      </w:r>
      <w:r w:rsidRPr="4A638A00" w:rsidR="03516028">
        <w:rPr>
          <w:rFonts w:ascii="Arial" w:hAnsi="Arial" w:eastAsia="Arial" w:cs="Arial"/>
          <w:b w:val="0"/>
          <w:bCs w:val="0"/>
          <w:i w:val="0"/>
          <w:iCs w:val="0"/>
          <w:noProof w:val="0"/>
          <w:color w:val="auto"/>
          <w:sz w:val="24"/>
          <w:szCs w:val="24"/>
          <w:lang w:val="en-GB"/>
        </w:rPr>
        <w:t xml:space="preserve"> from long-term policy support while managing regulatory risks</w:t>
      </w:r>
      <w:r w:rsidRPr="4A638A00" w:rsidR="3FA89D26">
        <w:rPr>
          <w:rFonts w:ascii="Arial" w:hAnsi="Arial" w:eastAsia="Arial" w:cs="Arial"/>
          <w:b w:val="0"/>
          <w:bCs w:val="0"/>
          <w:i w:val="0"/>
          <w:iCs w:val="0"/>
          <w:noProof w:val="0"/>
          <w:color w:val="auto"/>
          <w:sz w:val="24"/>
          <w:szCs w:val="24"/>
          <w:lang w:val="en-GB"/>
        </w:rPr>
        <w:t xml:space="preserve"> </w:t>
      </w:r>
      <w:r w:rsidRPr="4A638A00" w:rsidR="3FA89D26">
        <w:rPr>
          <w:rFonts w:ascii="Times New Roman" w:hAnsi="Times New Roman" w:eastAsia="Times New Roman" w:cs="Times New Roman"/>
          <w:noProof w:val="0"/>
          <w:sz w:val="24"/>
          <w:szCs w:val="24"/>
          <w:lang w:val="en-GB"/>
        </w:rPr>
        <w:t>(Silva and Castañeda-Ayarza.2021).</w:t>
      </w:r>
    </w:p>
    <w:p w:rsidR="6E490EE5" w:rsidP="5A3801E9" w:rsidRDefault="6E490EE5" w14:paraId="1D85ABF5" w14:textId="2A9A0149">
      <w:pPr>
        <w:pStyle w:val="Heading2"/>
        <w:spacing w:before="0" w:beforeAutospacing="off" w:after="120" w:afterAutospacing="off" w:line="300" w:lineRule="auto"/>
        <w:jc w:val="both"/>
        <w:rPr>
          <w:rFonts w:ascii="Arial" w:hAnsi="Arial" w:eastAsia="Arial" w:cs="Arial"/>
          <w:b w:val="1"/>
          <w:bCs w:val="1"/>
          <w:i w:val="0"/>
          <w:iCs w:val="0"/>
          <w:noProof w:val="0"/>
          <w:color w:val="auto"/>
          <w:sz w:val="31"/>
          <w:szCs w:val="31"/>
          <w:lang w:val="en-GB"/>
        </w:rPr>
      </w:pPr>
      <w:bookmarkStart w:name="_Toc801610688" w:id="610841826"/>
      <w:r w:rsidRPr="5A3801E9" w:rsidR="03516028">
        <w:rPr>
          <w:rFonts w:ascii="Arial" w:hAnsi="Arial" w:eastAsia="Arial" w:cs="Arial"/>
          <w:b w:val="1"/>
          <w:bCs w:val="1"/>
          <w:i w:val="0"/>
          <w:iCs w:val="0"/>
          <w:noProof w:val="0"/>
          <w:color w:val="auto"/>
          <w:sz w:val="31"/>
          <w:szCs w:val="31"/>
          <w:lang w:val="en-GB"/>
        </w:rPr>
        <w:t>Technological Factors</w:t>
      </w:r>
      <w:bookmarkEnd w:id="610841826"/>
    </w:p>
    <w:p w:rsidR="6E490EE5" w:rsidP="4A638A00" w:rsidRDefault="6E490EE5" w14:paraId="5A8674E7" w14:textId="182403B5">
      <w:pPr>
        <w:spacing w:before="0" w:beforeAutospacing="off" w:after="12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Technological developments are playing an increasingly important role in BHP's transition towards a lower-carbon business model. Advances in renewable energy, battery technology, automation and mining equipment are transforming how mining companies operate and compete.</w:t>
      </w:r>
    </w:p>
    <w:p w:rsidR="6E490EE5" w:rsidP="4A638A00" w:rsidRDefault="6E490EE5" w14:paraId="45ED4A69" w14:textId="046C2DD1">
      <w:pPr>
        <w:pStyle w:val="Normal"/>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One of the most significant opportunities arises from innovations supporting the energy transition. Growing adoption of electric vehicles, battery storage systems and renewable energy technologies is increasing demand for minerals supplied by BHP, particularly copper and nickel. As technological innovation accelerates, these industries are expected to expand further, creating </w:t>
      </w:r>
      <w:r w:rsidRPr="4A638A00" w:rsidR="03516028">
        <w:rPr>
          <w:rFonts w:ascii="Arial" w:hAnsi="Arial" w:eastAsia="Arial" w:cs="Arial"/>
          <w:b w:val="0"/>
          <w:bCs w:val="0"/>
          <w:i w:val="0"/>
          <w:iCs w:val="0"/>
          <w:noProof w:val="0"/>
          <w:color w:val="auto"/>
          <w:sz w:val="24"/>
          <w:szCs w:val="24"/>
          <w:lang w:val="en-GB"/>
        </w:rPr>
        <w:t>additional</w:t>
      </w:r>
      <w:r w:rsidRPr="4A638A00" w:rsidR="03516028">
        <w:rPr>
          <w:rFonts w:ascii="Arial" w:hAnsi="Arial" w:eastAsia="Arial" w:cs="Arial"/>
          <w:b w:val="0"/>
          <w:bCs w:val="0"/>
          <w:i w:val="0"/>
          <w:iCs w:val="0"/>
          <w:noProof w:val="0"/>
          <w:color w:val="auto"/>
          <w:sz w:val="24"/>
          <w:szCs w:val="24"/>
          <w:lang w:val="en-GB"/>
        </w:rPr>
        <w:t xml:space="preserve"> demand for critical resources</w:t>
      </w:r>
      <w:r w:rsidRPr="4A638A00" w:rsidR="427A3DD0">
        <w:rPr>
          <w:rFonts w:ascii="Arial" w:hAnsi="Arial" w:eastAsia="Arial" w:cs="Arial"/>
          <w:b w:val="0"/>
          <w:bCs w:val="0"/>
          <w:i w:val="0"/>
          <w:iCs w:val="0"/>
          <w:noProof w:val="0"/>
          <w:color w:val="auto"/>
          <w:sz w:val="24"/>
          <w:szCs w:val="24"/>
          <w:lang w:val="en-GB"/>
        </w:rPr>
        <w:t xml:space="preserve"> </w:t>
      </w:r>
      <w:r w:rsidRPr="4A638A00" w:rsidR="427A3DD0">
        <w:rPr>
          <w:rFonts w:ascii="Times New Roman" w:hAnsi="Times New Roman" w:eastAsia="Times New Roman" w:cs="Times New Roman"/>
          <w:noProof w:val="0"/>
          <w:sz w:val="24"/>
          <w:szCs w:val="24"/>
          <w:lang w:val="en-GB"/>
        </w:rPr>
        <w:t>(De Sousa and Castañeda-Ayarza.2022).</w:t>
      </w:r>
      <w:r w:rsidRPr="4A638A00" w:rsidR="03516028">
        <w:rPr>
          <w:rFonts w:ascii="Arial" w:hAnsi="Arial" w:eastAsia="Arial" w:cs="Arial"/>
          <w:b w:val="0"/>
          <w:bCs w:val="0"/>
          <w:i w:val="0"/>
          <w:iCs w:val="0"/>
          <w:noProof w:val="0"/>
          <w:color w:val="auto"/>
          <w:sz w:val="24"/>
          <w:szCs w:val="24"/>
          <w:lang w:val="en-GB"/>
        </w:rPr>
        <w:t xml:space="preserve"> </w:t>
      </w:r>
    </w:p>
    <w:p w:rsidR="6E490EE5" w:rsidP="4A638A00" w:rsidRDefault="6E490EE5" w14:paraId="47A5D884" w14:textId="3CE6B2CD">
      <w:pPr>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Technology is also helping BHP improve operational sustainability. The company has entered partnerships focused on battery-powered mining equipment and energy storage solutions to support emissions reduction and operational decarbonisation. These initiatives </w:t>
      </w:r>
      <w:r w:rsidRPr="4A638A00" w:rsidR="03516028">
        <w:rPr>
          <w:rFonts w:ascii="Arial" w:hAnsi="Arial" w:eastAsia="Arial" w:cs="Arial"/>
          <w:b w:val="0"/>
          <w:bCs w:val="0"/>
          <w:i w:val="0"/>
          <w:iCs w:val="0"/>
          <w:noProof w:val="0"/>
          <w:color w:val="auto"/>
          <w:sz w:val="24"/>
          <w:szCs w:val="24"/>
          <w:lang w:val="en-GB"/>
        </w:rPr>
        <w:t>demonstrate</w:t>
      </w:r>
      <w:r w:rsidRPr="4A638A00" w:rsidR="03516028">
        <w:rPr>
          <w:rFonts w:ascii="Arial" w:hAnsi="Arial" w:eastAsia="Arial" w:cs="Arial"/>
          <w:b w:val="0"/>
          <w:bCs w:val="0"/>
          <w:i w:val="0"/>
          <w:iCs w:val="0"/>
          <w:noProof w:val="0"/>
          <w:color w:val="auto"/>
          <w:sz w:val="24"/>
          <w:szCs w:val="24"/>
          <w:lang w:val="en-GB"/>
        </w:rPr>
        <w:t xml:space="preserve"> how technological innovation can help achieve environmental </w:t>
      </w:r>
      <w:r w:rsidRPr="4A638A00" w:rsidR="03516028">
        <w:rPr>
          <w:rFonts w:ascii="Arial" w:hAnsi="Arial" w:eastAsia="Arial" w:cs="Arial"/>
          <w:b w:val="0"/>
          <w:bCs w:val="0"/>
          <w:i w:val="0"/>
          <w:iCs w:val="0"/>
          <w:noProof w:val="0"/>
          <w:color w:val="auto"/>
          <w:sz w:val="24"/>
          <w:szCs w:val="24"/>
          <w:lang w:val="en-GB"/>
        </w:rPr>
        <w:t>objectives</w:t>
      </w:r>
      <w:r w:rsidRPr="4A638A00" w:rsidR="03516028">
        <w:rPr>
          <w:rFonts w:ascii="Arial" w:hAnsi="Arial" w:eastAsia="Arial" w:cs="Arial"/>
          <w:b w:val="0"/>
          <w:bCs w:val="0"/>
          <w:i w:val="0"/>
          <w:iCs w:val="0"/>
          <w:noProof w:val="0"/>
          <w:color w:val="auto"/>
          <w:sz w:val="24"/>
          <w:szCs w:val="24"/>
          <w:lang w:val="en-GB"/>
        </w:rPr>
        <w:t xml:space="preserve"> while improving productivity and efficiency. </w:t>
      </w:r>
    </w:p>
    <w:p w:rsidR="6E490EE5" w:rsidP="4A638A00" w:rsidRDefault="6E490EE5" w14:paraId="740992C4" w14:textId="2A71A791">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Automation and digital technologies also offer opportunities to improve safety, reduce operating costs and enhance resource management. Advanced analytics, artificial intelligence and automated systems can increase operational efficiency while reducing waste and environmental impacts.</w:t>
      </w:r>
    </w:p>
    <w:p w:rsidR="6E490EE5" w:rsidP="4A638A00" w:rsidRDefault="6E490EE5" w14:paraId="71B8E181" w14:textId="179BD3EC">
      <w:pPr>
        <w:pStyle w:val="Normal"/>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 xml:space="preserve">Despite these benefits, technological factors also present challenges. </w:t>
      </w:r>
      <w:r w:rsidRPr="4A638A00" w:rsidR="03516028">
        <w:rPr>
          <w:rFonts w:ascii="Arial" w:hAnsi="Arial" w:eastAsia="Arial" w:cs="Arial"/>
          <w:b w:val="0"/>
          <w:bCs w:val="0"/>
          <w:i w:val="0"/>
          <w:iCs w:val="0"/>
          <w:noProof w:val="0"/>
          <w:color w:val="auto"/>
          <w:sz w:val="24"/>
          <w:szCs w:val="24"/>
          <w:lang w:val="en-GB"/>
        </w:rPr>
        <w:t>New technologies</w:t>
      </w:r>
      <w:r w:rsidRPr="4A638A00" w:rsidR="03516028">
        <w:rPr>
          <w:rFonts w:ascii="Arial" w:hAnsi="Arial" w:eastAsia="Arial" w:cs="Arial"/>
          <w:b w:val="0"/>
          <w:bCs w:val="0"/>
          <w:i w:val="0"/>
          <w:iCs w:val="0"/>
          <w:noProof w:val="0"/>
          <w:color w:val="auto"/>
          <w:sz w:val="24"/>
          <w:szCs w:val="24"/>
          <w:lang w:val="en-GB"/>
        </w:rPr>
        <w:t xml:space="preserve"> often require significant financial investment and may involve implementation risks. Rapid technological change can make existing equipment obsolete, requiring continuous investment to remain competitive. Furthermore, mining companies face uncertainty </w:t>
      </w:r>
      <w:r w:rsidRPr="4A638A00" w:rsidR="03516028">
        <w:rPr>
          <w:rFonts w:ascii="Arial" w:hAnsi="Arial" w:eastAsia="Arial" w:cs="Arial"/>
          <w:b w:val="0"/>
          <w:bCs w:val="0"/>
          <w:i w:val="0"/>
          <w:iCs w:val="0"/>
          <w:noProof w:val="0"/>
          <w:color w:val="auto"/>
          <w:sz w:val="24"/>
          <w:szCs w:val="24"/>
          <w:lang w:val="en-GB"/>
        </w:rPr>
        <w:t>regarding</w:t>
      </w:r>
      <w:r w:rsidRPr="4A638A00" w:rsidR="03516028">
        <w:rPr>
          <w:rFonts w:ascii="Arial" w:hAnsi="Arial" w:eastAsia="Arial" w:cs="Arial"/>
          <w:b w:val="0"/>
          <w:bCs w:val="0"/>
          <w:i w:val="0"/>
          <w:iCs w:val="0"/>
          <w:noProof w:val="0"/>
          <w:color w:val="auto"/>
          <w:sz w:val="24"/>
          <w:szCs w:val="24"/>
          <w:lang w:val="en-GB"/>
        </w:rPr>
        <w:t xml:space="preserve"> which technologies will </w:t>
      </w:r>
      <w:r w:rsidRPr="4A638A00" w:rsidR="03516028">
        <w:rPr>
          <w:rFonts w:ascii="Arial" w:hAnsi="Arial" w:eastAsia="Arial" w:cs="Arial"/>
          <w:b w:val="0"/>
          <w:bCs w:val="0"/>
          <w:i w:val="0"/>
          <w:iCs w:val="0"/>
          <w:noProof w:val="0"/>
          <w:color w:val="auto"/>
          <w:sz w:val="24"/>
          <w:szCs w:val="24"/>
          <w:lang w:val="en-GB"/>
        </w:rPr>
        <w:t>ultimately become</w:t>
      </w:r>
      <w:r w:rsidRPr="4A638A00" w:rsidR="03516028">
        <w:rPr>
          <w:rFonts w:ascii="Arial" w:hAnsi="Arial" w:eastAsia="Arial" w:cs="Arial"/>
          <w:b w:val="0"/>
          <w:bCs w:val="0"/>
          <w:i w:val="0"/>
          <w:iCs w:val="0"/>
          <w:noProof w:val="0"/>
          <w:color w:val="auto"/>
          <w:sz w:val="24"/>
          <w:szCs w:val="24"/>
          <w:lang w:val="en-GB"/>
        </w:rPr>
        <w:t xml:space="preserve"> industry standards</w:t>
      </w:r>
      <w:r w:rsidRPr="4A638A00" w:rsidR="5562B698">
        <w:rPr>
          <w:rFonts w:ascii="Arial" w:hAnsi="Arial" w:eastAsia="Arial" w:cs="Arial"/>
          <w:b w:val="0"/>
          <w:bCs w:val="0"/>
          <w:i w:val="0"/>
          <w:iCs w:val="0"/>
          <w:noProof w:val="0"/>
          <w:color w:val="auto"/>
          <w:sz w:val="24"/>
          <w:szCs w:val="24"/>
          <w:lang w:val="en-GB"/>
        </w:rPr>
        <w:t xml:space="preserve"> </w:t>
      </w:r>
      <w:r w:rsidRPr="4A638A00" w:rsidR="5562B698">
        <w:rPr>
          <w:rFonts w:ascii="Times New Roman" w:hAnsi="Times New Roman" w:eastAsia="Times New Roman" w:cs="Times New Roman"/>
          <w:noProof w:val="0"/>
          <w:sz w:val="24"/>
          <w:szCs w:val="24"/>
          <w:lang w:val="en-GB"/>
        </w:rPr>
        <w:t>(De Sousa and Castañeda-Ayarza.2022</w:t>
      </w:r>
      <w:r w:rsidRPr="4A638A00" w:rsidR="5562B698">
        <w:rPr>
          <w:rFonts w:ascii="Times New Roman" w:hAnsi="Times New Roman" w:eastAsia="Times New Roman" w:cs="Times New Roman"/>
          <w:noProof w:val="0"/>
          <w:sz w:val="24"/>
          <w:szCs w:val="24"/>
          <w:lang w:val="en-GB"/>
        </w:rPr>
        <w:t>).</w:t>
      </w:r>
    </w:p>
    <w:p w:rsidR="6E490EE5" w:rsidP="4A638A00" w:rsidRDefault="6E490EE5" w14:paraId="3DCF1FE9" w14:textId="365787C5">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Nevertheless, technological innovation remains essential to BHP's ability to reduce emissions, increase operational efficiency and provide the resources required for global decarbonisation efforts.</w:t>
      </w:r>
    </w:p>
    <w:p w:rsidR="6E490EE5" w:rsidP="4A638A00" w:rsidRDefault="6E490EE5" w14:paraId="346719F4" w14:textId="1DA90871">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The analysis demonstrates that Environmental, Political and Technological factors are the most significant macro-environmental influences affecting BHP's transition towards lower-carbon products.</w:t>
      </w:r>
    </w:p>
    <w:p w:rsidR="6E490EE5" w:rsidP="4A638A00" w:rsidRDefault="6E490EE5" w14:paraId="618A4E5A" w14:textId="106B9E01">
      <w:pPr>
        <w:pStyle w:val="Normal"/>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The Environmental factor is the most influential because climate change concerns and decarbonisation efforts are fundamentally reshaping demand within the mining industry. These changes create significant opportunities for BHP through increased demand for copper and other critical minerals, while also presenting challenges relating to emissions reduction and sustainability performance</w:t>
      </w:r>
      <w:r w:rsidRPr="4A638A00" w:rsidR="4235E008">
        <w:rPr>
          <w:rFonts w:ascii="Arial" w:hAnsi="Arial" w:eastAsia="Arial" w:cs="Arial"/>
          <w:b w:val="0"/>
          <w:bCs w:val="0"/>
          <w:i w:val="0"/>
          <w:iCs w:val="0"/>
          <w:noProof w:val="0"/>
          <w:color w:val="auto"/>
          <w:sz w:val="24"/>
          <w:szCs w:val="24"/>
          <w:lang w:val="en-GB"/>
        </w:rPr>
        <w:t xml:space="preserve"> </w:t>
      </w:r>
      <w:r w:rsidRPr="4A638A00" w:rsidR="4235E008">
        <w:rPr>
          <w:rFonts w:ascii="Times New Roman" w:hAnsi="Times New Roman" w:eastAsia="Times New Roman" w:cs="Times New Roman"/>
          <w:noProof w:val="0"/>
          <w:sz w:val="24"/>
          <w:szCs w:val="24"/>
          <w:lang w:val="en-GB"/>
        </w:rPr>
        <w:t>(De Sousa and Castañeda-Ayarza.2022).</w:t>
      </w:r>
      <w:r w:rsidRPr="4A638A00" w:rsidR="03516028">
        <w:rPr>
          <w:rFonts w:ascii="Arial" w:hAnsi="Arial" w:eastAsia="Arial" w:cs="Arial"/>
          <w:b w:val="0"/>
          <w:bCs w:val="0"/>
          <w:i w:val="0"/>
          <w:iCs w:val="0"/>
          <w:noProof w:val="0"/>
          <w:color w:val="auto"/>
          <w:sz w:val="24"/>
          <w:szCs w:val="24"/>
          <w:lang w:val="en-GB"/>
        </w:rPr>
        <w:t xml:space="preserve"> </w:t>
      </w:r>
    </w:p>
    <w:p w:rsidR="6E490EE5" w:rsidP="4A638A00" w:rsidRDefault="6E490EE5" w14:paraId="1AE4F2A1" w14:textId="61110366">
      <w:pPr>
        <w:spacing w:before="210" w:beforeAutospacing="off" w:after="210" w:afterAutospacing="off" w:line="300" w:lineRule="auto"/>
        <w:jc w:val="both"/>
        <w:rPr>
          <w:rFonts w:ascii="Arial" w:hAnsi="Arial" w:eastAsia="Arial" w:cs="Arial"/>
          <w:b w:val="0"/>
          <w:bCs w:val="0"/>
          <w:i w:val="0"/>
          <w:iCs w:val="0"/>
          <w:strike w:val="0"/>
          <w:dstrike w:val="0"/>
          <w:noProof w:val="0"/>
          <w:color w:val="auto"/>
          <w:sz w:val="24"/>
          <w:szCs w:val="24"/>
          <w:u w:val="none"/>
          <w:lang w:val="en-GB"/>
        </w:rPr>
      </w:pPr>
      <w:r w:rsidRPr="4A638A00" w:rsidR="03516028">
        <w:rPr>
          <w:rFonts w:ascii="Arial" w:hAnsi="Arial" w:eastAsia="Arial" w:cs="Arial"/>
          <w:b w:val="0"/>
          <w:bCs w:val="0"/>
          <w:i w:val="0"/>
          <w:iCs w:val="0"/>
          <w:noProof w:val="0"/>
          <w:color w:val="auto"/>
          <w:sz w:val="24"/>
          <w:szCs w:val="24"/>
          <w:lang w:val="en-GB"/>
        </w:rPr>
        <w:t xml:space="preserve">Political factors support this transition through climate policies, environmental </w:t>
      </w:r>
      <w:r w:rsidRPr="4A638A00" w:rsidR="03516028">
        <w:rPr>
          <w:rFonts w:ascii="Arial" w:hAnsi="Arial" w:eastAsia="Arial" w:cs="Arial"/>
          <w:b w:val="0"/>
          <w:bCs w:val="0"/>
          <w:i w:val="0"/>
          <w:iCs w:val="0"/>
          <w:noProof w:val="0"/>
          <w:color w:val="auto"/>
          <w:sz w:val="24"/>
          <w:szCs w:val="24"/>
          <w:lang w:val="en-GB"/>
        </w:rPr>
        <w:t>regulations</w:t>
      </w:r>
      <w:r w:rsidRPr="4A638A00" w:rsidR="03516028">
        <w:rPr>
          <w:rFonts w:ascii="Arial" w:hAnsi="Arial" w:eastAsia="Arial" w:cs="Arial"/>
          <w:b w:val="0"/>
          <w:bCs w:val="0"/>
          <w:i w:val="0"/>
          <w:iCs w:val="0"/>
          <w:noProof w:val="0"/>
          <w:color w:val="auto"/>
          <w:sz w:val="24"/>
          <w:szCs w:val="24"/>
          <w:lang w:val="en-GB"/>
        </w:rPr>
        <w:t xml:space="preserve"> and government investment in clean energy infrastructure, although regulatory complexity and policy uncertainty remain challenges. Meanwhile, technological factors are enabling both the growth of clean energy industries and improvements in mining operations through innovation and decarbonisation initiatives. </w:t>
      </w:r>
    </w:p>
    <w:p w:rsidR="6E490EE5" w:rsidP="4A638A00" w:rsidRDefault="6E490EE5" w14:paraId="177CA3E5" w14:textId="7D9C6A8A">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4A638A00" w:rsidR="03516028">
        <w:rPr>
          <w:rFonts w:ascii="Arial" w:hAnsi="Arial" w:eastAsia="Arial" w:cs="Arial"/>
          <w:b w:val="0"/>
          <w:bCs w:val="0"/>
          <w:i w:val="0"/>
          <w:iCs w:val="0"/>
          <w:noProof w:val="0"/>
          <w:color w:val="auto"/>
          <w:sz w:val="24"/>
          <w:szCs w:val="24"/>
          <w:lang w:val="en-GB"/>
        </w:rPr>
        <w:t xml:space="preserve">Overall, these three macro-environmental factors create </w:t>
      </w:r>
      <w:r w:rsidRPr="4A638A00" w:rsidR="03516028">
        <w:rPr>
          <w:rFonts w:ascii="Arial" w:hAnsi="Arial" w:eastAsia="Arial" w:cs="Arial"/>
          <w:b w:val="0"/>
          <w:bCs w:val="0"/>
          <w:i w:val="0"/>
          <w:iCs w:val="0"/>
          <w:noProof w:val="0"/>
          <w:color w:val="auto"/>
          <w:sz w:val="24"/>
          <w:szCs w:val="24"/>
          <w:lang w:val="en-GB"/>
        </w:rPr>
        <w:t>a strong foundation</w:t>
      </w:r>
      <w:r w:rsidRPr="4A638A00" w:rsidR="03516028">
        <w:rPr>
          <w:rFonts w:ascii="Arial" w:hAnsi="Arial" w:eastAsia="Arial" w:cs="Arial"/>
          <w:b w:val="0"/>
          <w:bCs w:val="0"/>
          <w:i w:val="0"/>
          <w:iCs w:val="0"/>
          <w:noProof w:val="0"/>
          <w:color w:val="auto"/>
          <w:sz w:val="24"/>
          <w:szCs w:val="24"/>
          <w:lang w:val="en-GB"/>
        </w:rPr>
        <w:t xml:space="preserve"> for understanding the opportunities and challenges facing BHP as it transitions towards a more sustainable and lower-carbon future.</w:t>
      </w:r>
    </w:p>
    <w:p w:rsidR="6E490EE5" w:rsidP="4A638A00" w:rsidRDefault="6E490EE5" w14:paraId="41B0777D" w14:textId="03A021D1">
      <w:pPr>
        <w:pStyle w:val="Heading1"/>
        <w:spacing w:before="0" w:beforeAutospacing="off" w:after="0" w:afterAutospacing="off" w:line="300" w:lineRule="auto"/>
      </w:pPr>
      <w:bookmarkStart w:name="_Toc336029320" w:id="1052041603"/>
      <w:r w:rsidRPr="5A3801E9" w:rsidR="05D1F640">
        <w:rPr>
          <w:rFonts w:ascii="Arial" w:hAnsi="Arial" w:eastAsia="Arial" w:cs="Arial"/>
          <w:b w:val="1"/>
          <w:bCs w:val="1"/>
          <w:i w:val="0"/>
          <w:iCs w:val="0"/>
          <w:noProof w:val="0"/>
          <w:color w:val="auto"/>
          <w:sz w:val="42"/>
          <w:szCs w:val="42"/>
          <w:lang w:val="en-GB"/>
        </w:rPr>
        <w:t>Task 2: Strategic Growth and Competitive Positioning for BHP Mining Company Australia</w:t>
      </w:r>
      <w:bookmarkEnd w:id="1052041603"/>
      <w:r w:rsidRPr="5A3801E9" w:rsidR="05D1F640">
        <w:rPr>
          <w:rFonts w:ascii="Arial" w:hAnsi="Arial" w:eastAsia="Arial" w:cs="Arial"/>
          <w:b w:val="0"/>
          <w:bCs w:val="0"/>
          <w:i w:val="0"/>
          <w:iCs w:val="0"/>
          <w:noProof w:val="0"/>
          <w:color w:val="auto"/>
          <w:sz w:val="24"/>
          <w:szCs w:val="24"/>
          <w:lang w:val="en-GB"/>
        </w:rPr>
        <w:t xml:space="preserve">  </w:t>
      </w:r>
    </w:p>
    <w:p w:rsidR="6E490EE5" w:rsidP="4A638A00" w:rsidRDefault="6E490EE5" w14:paraId="188B2075" w14:textId="1EEC897F">
      <w:pPr>
        <w:pStyle w:val="Normal"/>
        <w:spacing w:before="210" w:after="210" w:line="300" w:lineRule="auto"/>
        <w:rPr>
          <w:rFonts w:ascii="Arial" w:hAnsi="Arial" w:eastAsia="Arial" w:cs="Arial"/>
          <w:b w:val="0"/>
          <w:bCs w:val="0"/>
          <w:i w:val="0"/>
          <w:iCs w:val="0"/>
          <w:noProof w:val="0"/>
          <w:color w:val="auto"/>
          <w:sz w:val="24"/>
          <w:szCs w:val="24"/>
          <w:lang w:val="en-GB"/>
        </w:rPr>
      </w:pPr>
      <w:r w:rsidRPr="4A638A00" w:rsidR="6CFF9E43">
        <w:rPr>
          <w:rFonts w:ascii="Arial" w:hAnsi="Arial" w:eastAsia="Arial" w:cs="Arial"/>
          <w:b w:val="0"/>
          <w:bCs w:val="0"/>
          <w:i w:val="0"/>
          <w:iCs w:val="0"/>
          <w:noProof w:val="0"/>
          <w:color w:val="auto"/>
          <w:sz w:val="24"/>
          <w:szCs w:val="24"/>
          <w:lang w:val="en-GB"/>
        </w:rPr>
        <w:t>The external environment analysis</w:t>
      </w:r>
      <w:r w:rsidRPr="4A638A00" w:rsidR="6CFF9E43">
        <w:rPr>
          <w:rFonts w:ascii="Arial" w:hAnsi="Arial" w:eastAsia="Arial" w:cs="Arial"/>
          <w:b w:val="0"/>
          <w:bCs w:val="0"/>
          <w:i w:val="0"/>
          <w:iCs w:val="0"/>
          <w:noProof w:val="0"/>
          <w:color w:val="auto"/>
          <w:sz w:val="24"/>
          <w:szCs w:val="24"/>
          <w:lang w:val="en-GB"/>
        </w:rPr>
        <w:t xml:space="preserve"> identifie</w:t>
      </w:r>
      <w:r w:rsidRPr="4A638A00" w:rsidR="6CFF9E43">
        <w:rPr>
          <w:rFonts w:ascii="Arial" w:hAnsi="Arial" w:eastAsia="Arial" w:cs="Arial"/>
          <w:b w:val="0"/>
          <w:bCs w:val="0"/>
          <w:i w:val="0"/>
          <w:iCs w:val="0"/>
          <w:noProof w:val="0"/>
          <w:color w:val="auto"/>
          <w:sz w:val="24"/>
          <w:szCs w:val="24"/>
          <w:lang w:val="en-GB"/>
        </w:rPr>
        <w:t>d environmental,</w:t>
      </w:r>
      <w:r w:rsidRPr="4A638A00" w:rsidR="6CFF9E43">
        <w:rPr>
          <w:rFonts w:ascii="Arial" w:hAnsi="Arial" w:eastAsia="Arial" w:cs="Arial"/>
          <w:b w:val="0"/>
          <w:bCs w:val="0"/>
          <w:i w:val="0"/>
          <w:iCs w:val="0"/>
          <w:noProof w:val="0"/>
          <w:color w:val="auto"/>
          <w:sz w:val="24"/>
          <w:szCs w:val="24"/>
          <w:lang w:val="en-GB"/>
        </w:rPr>
        <w:t xml:space="preserve"> politica</w:t>
      </w:r>
      <w:r w:rsidRPr="4A638A00" w:rsidR="6CFF9E43">
        <w:rPr>
          <w:rFonts w:ascii="Arial" w:hAnsi="Arial" w:eastAsia="Arial" w:cs="Arial"/>
          <w:b w:val="0"/>
          <w:bCs w:val="0"/>
          <w:i w:val="0"/>
          <w:iCs w:val="0"/>
          <w:noProof w:val="0"/>
          <w:color w:val="auto"/>
          <w:sz w:val="24"/>
          <w:szCs w:val="24"/>
          <w:lang w:val="en-GB"/>
        </w:rPr>
        <w:t>l and technological factors as the key drivers influencing BHP's transition towards a lower-carbon future. Increasing global focus on climate change, government commitments to net-zero emissions and growing demand for critical minerals are creating both opportunities and challenges for the mining industry. In response, BHP has</w:t>
      </w:r>
      <w:r w:rsidRPr="4A638A00" w:rsidR="6CFF9E43">
        <w:rPr>
          <w:rFonts w:ascii="Arial" w:hAnsi="Arial" w:eastAsia="Arial" w:cs="Arial"/>
          <w:b w:val="0"/>
          <w:bCs w:val="0"/>
          <w:i w:val="0"/>
          <w:iCs w:val="0"/>
          <w:noProof w:val="0"/>
          <w:color w:val="auto"/>
          <w:sz w:val="24"/>
          <w:szCs w:val="24"/>
          <w:lang w:val="en-GB"/>
        </w:rPr>
        <w:t xml:space="preserve"> state</w:t>
      </w:r>
      <w:r w:rsidRPr="4A638A00" w:rsidR="6CFF9E43">
        <w:rPr>
          <w:rFonts w:ascii="Arial" w:hAnsi="Arial" w:eastAsia="Arial" w:cs="Arial"/>
          <w:b w:val="0"/>
          <w:bCs w:val="0"/>
          <w:i w:val="0"/>
          <w:iCs w:val="0"/>
          <w:noProof w:val="0"/>
          <w:color w:val="auto"/>
          <w:sz w:val="24"/>
          <w:szCs w:val="24"/>
          <w:lang w:val="en-GB"/>
        </w:rPr>
        <w:t>d its intention to increase exposure to commodities that support decarbonisation, electrification and sustainable development while reducing climate-related risks (</w:t>
      </w:r>
      <w:r w:rsidRPr="4A638A00" w:rsidR="6CFF9E43">
        <w:rPr>
          <w:rFonts w:ascii="Times New Roman" w:hAnsi="Times New Roman" w:eastAsia="Times New Roman" w:cs="Times New Roman"/>
          <w:noProof w:val="0"/>
          <w:color w:val="auto"/>
          <w:sz w:val="24"/>
          <w:szCs w:val="24"/>
          <w:lang w:val="en-GB"/>
        </w:rPr>
        <w:t>BHP.2026).</w:t>
      </w:r>
    </w:p>
    <w:p w:rsidR="6E490EE5" w:rsidP="4A638A00" w:rsidRDefault="6E490EE5" w14:paraId="0EC0796A" w14:textId="100D849D">
      <w:pPr>
        <w:pStyle w:val="Normal"/>
        <w:spacing w:before="120" w:beforeAutospacing="off" w:after="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 xml:space="preserve">To achieve long-term growth and </w:t>
      </w:r>
      <w:r w:rsidRPr="4A638A00" w:rsidR="161C0843">
        <w:rPr>
          <w:rFonts w:ascii="Arial" w:hAnsi="Arial" w:eastAsia="Arial" w:cs="Arial"/>
          <w:b w:val="0"/>
          <w:bCs w:val="0"/>
          <w:i w:val="0"/>
          <w:iCs w:val="0"/>
          <w:noProof w:val="0"/>
          <w:color w:val="auto"/>
          <w:sz w:val="24"/>
          <w:szCs w:val="24"/>
          <w:lang w:val="en-GB"/>
        </w:rPr>
        <w:t>maintain</w:t>
      </w:r>
      <w:r w:rsidRPr="4A638A00" w:rsidR="161C0843">
        <w:rPr>
          <w:rFonts w:ascii="Arial" w:hAnsi="Arial" w:eastAsia="Arial" w:cs="Arial"/>
          <w:b w:val="0"/>
          <w:bCs w:val="0"/>
          <w:i w:val="0"/>
          <w:iCs w:val="0"/>
          <w:noProof w:val="0"/>
          <w:color w:val="auto"/>
          <w:sz w:val="24"/>
          <w:szCs w:val="24"/>
          <w:lang w:val="en-GB"/>
        </w:rPr>
        <w:t xml:space="preserve"> its market position, BHP </w:t>
      </w:r>
      <w:r w:rsidRPr="4A638A00" w:rsidR="161C0843">
        <w:rPr>
          <w:rFonts w:ascii="Arial" w:hAnsi="Arial" w:eastAsia="Arial" w:cs="Arial"/>
          <w:b w:val="0"/>
          <w:bCs w:val="0"/>
          <w:i w:val="0"/>
          <w:iCs w:val="0"/>
          <w:noProof w:val="0"/>
          <w:color w:val="auto"/>
          <w:sz w:val="24"/>
          <w:szCs w:val="24"/>
          <w:lang w:val="en-GB"/>
        </w:rPr>
        <w:t>requires</w:t>
      </w:r>
      <w:r w:rsidRPr="4A638A00" w:rsidR="161C0843">
        <w:rPr>
          <w:rFonts w:ascii="Arial" w:hAnsi="Arial" w:eastAsia="Arial" w:cs="Arial"/>
          <w:b w:val="0"/>
          <w:bCs w:val="0"/>
          <w:i w:val="0"/>
          <w:iCs w:val="0"/>
          <w:noProof w:val="0"/>
          <w:color w:val="auto"/>
          <w:sz w:val="24"/>
          <w:szCs w:val="24"/>
          <w:lang w:val="en-GB"/>
        </w:rPr>
        <w:t xml:space="preserve"> a strategy that not only responds to changing market conditions but also creates a sustainable competitive advantage. Using </w:t>
      </w:r>
      <w:r w:rsidRPr="4A638A00" w:rsidR="161C0843">
        <w:rPr>
          <w:rFonts w:ascii="Arial" w:hAnsi="Arial" w:eastAsia="Arial" w:cs="Arial"/>
          <w:b w:val="1"/>
          <w:bCs w:val="1"/>
          <w:i w:val="0"/>
          <w:iCs w:val="0"/>
          <w:noProof w:val="0"/>
          <w:color w:val="auto"/>
          <w:sz w:val="24"/>
          <w:szCs w:val="24"/>
          <w:lang w:val="en-GB"/>
        </w:rPr>
        <w:t>Porter's Generic Strategies</w:t>
      </w:r>
      <w:r w:rsidRPr="4A638A00" w:rsidR="161C0843">
        <w:rPr>
          <w:rFonts w:ascii="Arial" w:hAnsi="Arial" w:eastAsia="Arial" w:cs="Arial"/>
          <w:b w:val="0"/>
          <w:bCs w:val="0"/>
          <w:i w:val="0"/>
          <w:iCs w:val="0"/>
          <w:noProof w:val="0"/>
          <w:color w:val="auto"/>
          <w:sz w:val="24"/>
          <w:szCs w:val="24"/>
          <w:lang w:val="en-GB"/>
        </w:rPr>
        <w:t xml:space="preserve">, this report recommends that BHP adopts a </w:t>
      </w:r>
      <w:r w:rsidRPr="4A638A00" w:rsidR="161C0843">
        <w:rPr>
          <w:rFonts w:ascii="Arial" w:hAnsi="Arial" w:eastAsia="Arial" w:cs="Arial"/>
          <w:b w:val="1"/>
          <w:bCs w:val="1"/>
          <w:i w:val="0"/>
          <w:iCs w:val="0"/>
          <w:noProof w:val="0"/>
          <w:color w:val="auto"/>
          <w:sz w:val="24"/>
          <w:szCs w:val="24"/>
          <w:lang w:val="en-GB"/>
        </w:rPr>
        <w:t>Differentiation Strategy</w:t>
      </w:r>
      <w:r w:rsidRPr="4A638A00" w:rsidR="161C0843">
        <w:rPr>
          <w:rFonts w:ascii="Arial" w:hAnsi="Arial" w:eastAsia="Arial" w:cs="Arial"/>
          <w:b w:val="0"/>
          <w:bCs w:val="0"/>
          <w:i w:val="0"/>
          <w:iCs w:val="0"/>
          <w:noProof w:val="0"/>
          <w:color w:val="auto"/>
          <w:sz w:val="24"/>
          <w:szCs w:val="24"/>
          <w:lang w:val="en-GB"/>
        </w:rPr>
        <w:t xml:space="preserve"> to strengthen its position as a leader in sustainable mining and lower-carbon products</w:t>
      </w:r>
      <w:r w:rsidRPr="4A638A00" w:rsidR="42D2A6A8">
        <w:rPr>
          <w:rFonts w:ascii="Arial" w:hAnsi="Arial" w:eastAsia="Arial" w:cs="Arial"/>
          <w:b w:val="0"/>
          <w:bCs w:val="0"/>
          <w:i w:val="0"/>
          <w:iCs w:val="0"/>
          <w:noProof w:val="0"/>
          <w:color w:val="auto"/>
          <w:sz w:val="24"/>
          <w:szCs w:val="24"/>
          <w:lang w:val="en-GB"/>
        </w:rPr>
        <w:t xml:space="preserve"> (</w:t>
      </w:r>
      <w:r w:rsidRPr="4A638A00" w:rsidR="42D2A6A8">
        <w:rPr>
          <w:rFonts w:ascii="Times New Roman" w:hAnsi="Times New Roman" w:eastAsia="Times New Roman" w:cs="Times New Roman"/>
          <w:noProof w:val="0"/>
          <w:color w:val="auto"/>
          <w:sz w:val="24"/>
          <w:szCs w:val="24"/>
          <w:lang w:val="en-GB"/>
        </w:rPr>
        <w:t>BHP.2026).</w:t>
      </w:r>
    </w:p>
    <w:p w:rsidR="6E490EE5" w:rsidP="5A3801E9" w:rsidRDefault="6E490EE5" w14:paraId="0F18AF5D" w14:textId="5DC75D26">
      <w:pPr>
        <w:pStyle w:val="Heading2"/>
        <w:spacing w:before="120" w:beforeAutospacing="off" w:after="0" w:afterAutospacing="off" w:line="300" w:lineRule="auto"/>
        <w:rPr>
          <w:rFonts w:ascii="Arial" w:hAnsi="Arial" w:eastAsia="Arial" w:cs="Arial"/>
          <w:b w:val="1"/>
          <w:bCs w:val="1"/>
          <w:i w:val="0"/>
          <w:iCs w:val="0"/>
          <w:noProof w:val="0"/>
          <w:color w:val="auto"/>
          <w:sz w:val="31"/>
          <w:szCs w:val="31"/>
          <w:lang w:val="en-GB"/>
        </w:rPr>
      </w:pPr>
      <w:bookmarkStart w:name="_Toc1726473516" w:id="1741059085"/>
      <w:r w:rsidRPr="5A3801E9" w:rsidR="161C0843">
        <w:rPr>
          <w:rFonts w:ascii="Arial" w:hAnsi="Arial" w:eastAsia="Arial" w:cs="Arial"/>
          <w:b w:val="1"/>
          <w:bCs w:val="1"/>
          <w:i w:val="0"/>
          <w:iCs w:val="0"/>
          <w:noProof w:val="0"/>
          <w:color w:val="auto"/>
          <w:sz w:val="31"/>
          <w:szCs w:val="31"/>
          <w:lang w:val="en-GB"/>
        </w:rPr>
        <w:t>Porter's Generic Strategies</w:t>
      </w:r>
      <w:bookmarkEnd w:id="1741059085"/>
    </w:p>
    <w:p w:rsidR="6E490EE5" w:rsidP="4A638A00" w:rsidRDefault="6E490EE5" w14:paraId="4B92F2A0" w14:textId="11FA1A21">
      <w:pPr>
        <w:pStyle w:val="Normal"/>
        <w:spacing w:before="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According to Michael Porter, organisations can achieve competitive advantage through three generic strategies: Cost Leadership, Differentiation and Focus. While BHP benefits from economies of scale and strong operational efficiency, a Differentiation Strategy is the most suitable approach for supporting its transition to a lower-carbon business model</w:t>
      </w:r>
      <w:r w:rsidRPr="4A638A00" w:rsidR="3267DFBC">
        <w:rPr>
          <w:rFonts w:ascii="Arial" w:hAnsi="Arial" w:eastAsia="Arial" w:cs="Arial"/>
          <w:b w:val="0"/>
          <w:bCs w:val="0"/>
          <w:i w:val="0"/>
          <w:iCs w:val="0"/>
          <w:noProof w:val="0"/>
          <w:color w:val="auto"/>
          <w:sz w:val="24"/>
          <w:szCs w:val="24"/>
          <w:lang w:val="en-GB"/>
        </w:rPr>
        <w:t xml:space="preserve"> </w:t>
      </w:r>
      <w:r w:rsidRPr="4A638A00" w:rsidR="3267DFBC">
        <w:rPr>
          <w:rFonts w:ascii="Times New Roman" w:hAnsi="Times New Roman" w:eastAsia="Times New Roman" w:cs="Times New Roman"/>
          <w:noProof w:val="0"/>
          <w:sz w:val="24"/>
          <w:szCs w:val="24"/>
          <w:lang w:val="en-GB"/>
        </w:rPr>
        <w:t>(Akan et al.2026)</w:t>
      </w:r>
      <w:r w:rsidRPr="4A638A00" w:rsidR="161C0843">
        <w:rPr>
          <w:rFonts w:ascii="Arial" w:hAnsi="Arial" w:eastAsia="Arial" w:cs="Arial"/>
          <w:b w:val="0"/>
          <w:bCs w:val="0"/>
          <w:i w:val="0"/>
          <w:iCs w:val="0"/>
          <w:noProof w:val="0"/>
          <w:color w:val="auto"/>
          <w:sz w:val="24"/>
          <w:szCs w:val="24"/>
          <w:lang w:val="en-GB"/>
        </w:rPr>
        <w:t>.</w:t>
      </w:r>
    </w:p>
    <w:p w:rsidR="6E490EE5" w:rsidP="4A638A00" w:rsidRDefault="6E490EE5" w14:paraId="34D2C3E7" w14:textId="5488625A">
      <w:pPr>
        <w:pStyle w:val="Normal"/>
        <w:spacing w:before="0" w:beforeAutospacing="off" w:after="12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 xml:space="preserve">Differentiation involves offering products or services that are perceived as unique and valuable by customers. For BHP, this means distinguishing itself from competitors through sustainability leadership, responsible resource extraction, </w:t>
      </w:r>
      <w:r w:rsidRPr="4A638A00" w:rsidR="161C0843">
        <w:rPr>
          <w:rFonts w:ascii="Arial" w:hAnsi="Arial" w:eastAsia="Arial" w:cs="Arial"/>
          <w:b w:val="0"/>
          <w:bCs w:val="0"/>
          <w:i w:val="0"/>
          <w:iCs w:val="0"/>
          <w:noProof w:val="0"/>
          <w:color w:val="auto"/>
          <w:sz w:val="24"/>
          <w:szCs w:val="24"/>
          <w:lang w:val="en-GB"/>
        </w:rPr>
        <w:t>innovation</w:t>
      </w:r>
      <w:r w:rsidRPr="4A638A00" w:rsidR="161C0843">
        <w:rPr>
          <w:rFonts w:ascii="Arial" w:hAnsi="Arial" w:eastAsia="Arial" w:cs="Arial"/>
          <w:b w:val="0"/>
          <w:bCs w:val="0"/>
          <w:i w:val="0"/>
          <w:iCs w:val="0"/>
          <w:noProof w:val="0"/>
          <w:color w:val="auto"/>
          <w:sz w:val="24"/>
          <w:szCs w:val="24"/>
          <w:lang w:val="en-GB"/>
        </w:rPr>
        <w:t xml:space="preserve"> and the supply of minerals that are essential for the global energy transition</w:t>
      </w:r>
      <w:r w:rsidRPr="4A638A00" w:rsidR="4EF4E1D6">
        <w:rPr>
          <w:rFonts w:ascii="Arial" w:hAnsi="Arial" w:eastAsia="Arial" w:cs="Arial"/>
          <w:b w:val="0"/>
          <w:bCs w:val="0"/>
          <w:i w:val="0"/>
          <w:iCs w:val="0"/>
          <w:noProof w:val="0"/>
          <w:color w:val="auto"/>
          <w:sz w:val="24"/>
          <w:szCs w:val="24"/>
          <w:lang w:val="en-GB"/>
        </w:rPr>
        <w:t xml:space="preserve"> </w:t>
      </w:r>
      <w:r w:rsidRPr="4A638A00" w:rsidR="4EF4E1D6">
        <w:rPr>
          <w:rFonts w:ascii="Times New Roman" w:hAnsi="Times New Roman" w:eastAsia="Times New Roman" w:cs="Times New Roman"/>
          <w:noProof w:val="0"/>
          <w:sz w:val="24"/>
          <w:szCs w:val="24"/>
          <w:lang w:val="en-GB"/>
        </w:rPr>
        <w:t>(Akan et al.2026)</w:t>
      </w:r>
      <w:r w:rsidRPr="4A638A00" w:rsidR="4EF4E1D6">
        <w:rPr>
          <w:rFonts w:ascii="Arial" w:hAnsi="Arial" w:eastAsia="Arial" w:cs="Arial"/>
          <w:b w:val="0"/>
          <w:bCs w:val="0"/>
          <w:i w:val="0"/>
          <w:iCs w:val="0"/>
          <w:noProof w:val="0"/>
          <w:color w:val="auto"/>
          <w:sz w:val="24"/>
          <w:szCs w:val="24"/>
          <w:lang w:val="en-GB"/>
        </w:rPr>
        <w:t>.</w:t>
      </w:r>
    </w:p>
    <w:p w:rsidR="6E490EE5" w:rsidP="5A3801E9" w:rsidRDefault="6E490EE5" w14:paraId="53007BBB" w14:textId="22F75F8D">
      <w:pPr>
        <w:pStyle w:val="Heading2"/>
        <w:spacing w:before="120" w:beforeAutospacing="off" w:after="0" w:afterAutospacing="off" w:line="300" w:lineRule="auto"/>
        <w:rPr>
          <w:rFonts w:ascii="Arial" w:hAnsi="Arial" w:eastAsia="Arial" w:cs="Arial"/>
          <w:b w:val="1"/>
          <w:bCs w:val="1"/>
          <w:i w:val="0"/>
          <w:iCs w:val="0"/>
          <w:noProof w:val="0"/>
          <w:color w:val="auto"/>
          <w:sz w:val="31"/>
          <w:szCs w:val="31"/>
          <w:lang w:val="en-GB"/>
        </w:rPr>
      </w:pPr>
      <w:bookmarkStart w:name="_Toc2063288025" w:id="443946505"/>
      <w:r w:rsidRPr="5A3801E9" w:rsidR="161C0843">
        <w:rPr>
          <w:rFonts w:ascii="Arial" w:hAnsi="Arial" w:eastAsia="Arial" w:cs="Arial"/>
          <w:b w:val="1"/>
          <w:bCs w:val="1"/>
          <w:i w:val="0"/>
          <w:iCs w:val="0"/>
          <w:noProof w:val="0"/>
          <w:color w:val="auto"/>
          <w:sz w:val="31"/>
          <w:szCs w:val="31"/>
          <w:lang w:val="en-GB"/>
        </w:rPr>
        <w:t>Recommended Strategy: Differentiation</w:t>
      </w:r>
      <w:bookmarkEnd w:id="443946505"/>
    </w:p>
    <w:p w:rsidR="6E490EE5" w:rsidP="4A638A00" w:rsidRDefault="6E490EE5" w14:paraId="6D23F39F" w14:textId="3714B05D">
      <w:pPr>
        <w:pStyle w:val="Normal"/>
        <w:spacing w:before="120" w:beforeAutospacing="off" w:after="0" w:afterAutospacing="off" w:line="300" w:lineRule="auto"/>
        <w:rPr>
          <w:rFonts w:ascii="Arial" w:hAnsi="Arial" w:eastAsia="Arial" w:cs="Arial"/>
          <w:b w:val="0"/>
          <w:bCs w:val="0"/>
          <w:i w:val="0"/>
          <w:iCs w:val="0"/>
          <w:strike w:val="0"/>
          <w:dstrike w:val="0"/>
          <w:noProof w:val="0"/>
          <w:color w:val="auto"/>
          <w:sz w:val="24"/>
          <w:szCs w:val="24"/>
          <w:u w:val="none"/>
          <w:lang w:val="en-GB"/>
        </w:rPr>
      </w:pPr>
      <w:r w:rsidRPr="4A638A00" w:rsidR="161C0843">
        <w:rPr>
          <w:rFonts w:ascii="Arial" w:hAnsi="Arial" w:eastAsia="Arial" w:cs="Arial"/>
          <w:b w:val="0"/>
          <w:bCs w:val="0"/>
          <w:i w:val="0"/>
          <w:iCs w:val="0"/>
          <w:noProof w:val="0"/>
          <w:color w:val="auto"/>
          <w:sz w:val="24"/>
          <w:szCs w:val="24"/>
          <w:lang w:val="en-GB"/>
        </w:rPr>
        <w:t xml:space="preserve">BHP should focus on becoming the preferred supplier of sustainably produced minerals that support renewable energy technologies, electric </w:t>
      </w:r>
      <w:r w:rsidRPr="4A638A00" w:rsidR="161C0843">
        <w:rPr>
          <w:rFonts w:ascii="Arial" w:hAnsi="Arial" w:eastAsia="Arial" w:cs="Arial"/>
          <w:b w:val="0"/>
          <w:bCs w:val="0"/>
          <w:i w:val="0"/>
          <w:iCs w:val="0"/>
          <w:noProof w:val="0"/>
          <w:color w:val="auto"/>
          <w:sz w:val="24"/>
          <w:szCs w:val="24"/>
          <w:lang w:val="en-GB"/>
        </w:rPr>
        <w:t>vehicles</w:t>
      </w:r>
      <w:r w:rsidRPr="4A638A00" w:rsidR="161C0843">
        <w:rPr>
          <w:rFonts w:ascii="Arial" w:hAnsi="Arial" w:eastAsia="Arial" w:cs="Arial"/>
          <w:b w:val="0"/>
          <w:bCs w:val="0"/>
          <w:i w:val="0"/>
          <w:iCs w:val="0"/>
          <w:noProof w:val="0"/>
          <w:color w:val="auto"/>
          <w:sz w:val="24"/>
          <w:szCs w:val="24"/>
          <w:lang w:val="en-GB"/>
        </w:rPr>
        <w:t xml:space="preserve"> and electrification infrastructure. This approach aligns with the company's climate strategy and long-term commitment to supporting the transition to a net-zero economy</w:t>
      </w:r>
      <w:r w:rsidRPr="4A638A00" w:rsidR="53F3C8E8">
        <w:rPr>
          <w:rFonts w:ascii="Arial" w:hAnsi="Arial" w:eastAsia="Arial" w:cs="Arial"/>
          <w:b w:val="0"/>
          <w:bCs w:val="0"/>
          <w:i w:val="0"/>
          <w:iCs w:val="0"/>
          <w:noProof w:val="0"/>
          <w:color w:val="auto"/>
          <w:sz w:val="24"/>
          <w:szCs w:val="24"/>
          <w:lang w:val="en-GB"/>
        </w:rPr>
        <w:t xml:space="preserve"> </w:t>
      </w:r>
      <w:r w:rsidRPr="4A638A00" w:rsidR="53F3C8E8">
        <w:rPr>
          <w:rFonts w:ascii="Times New Roman" w:hAnsi="Times New Roman" w:eastAsia="Times New Roman" w:cs="Times New Roman"/>
          <w:noProof w:val="0"/>
          <w:sz w:val="24"/>
          <w:szCs w:val="24"/>
          <w:lang w:val="en-GB"/>
        </w:rPr>
        <w:t>(Allen and Helms.2006).</w:t>
      </w:r>
      <w:r w:rsidRPr="4A638A00" w:rsidR="161C0843">
        <w:rPr>
          <w:rFonts w:ascii="Arial" w:hAnsi="Arial" w:eastAsia="Arial" w:cs="Arial"/>
          <w:b w:val="0"/>
          <w:bCs w:val="0"/>
          <w:i w:val="0"/>
          <w:iCs w:val="0"/>
          <w:noProof w:val="0"/>
          <w:color w:val="auto"/>
          <w:sz w:val="24"/>
          <w:szCs w:val="24"/>
          <w:lang w:val="en-GB"/>
        </w:rPr>
        <w:t xml:space="preserve"> </w:t>
      </w:r>
    </w:p>
    <w:p w:rsidR="6E490EE5" w:rsidP="4A638A00" w:rsidRDefault="6E490EE5" w14:paraId="3B7B233F" w14:textId="3E989B48">
      <w:pPr>
        <w:pStyle w:val="Normal"/>
        <w:spacing w:before="210" w:beforeAutospacing="off" w:after="210" w:afterAutospacing="off" w:line="300" w:lineRule="auto"/>
        <w:rPr>
          <w:rFonts w:ascii="Arial" w:hAnsi="Arial" w:eastAsia="Arial" w:cs="Arial"/>
          <w:b w:val="0"/>
          <w:bCs w:val="0"/>
          <w:i w:val="0"/>
          <w:iCs w:val="0"/>
          <w:strike w:val="0"/>
          <w:dstrike w:val="0"/>
          <w:noProof w:val="0"/>
          <w:color w:val="auto"/>
          <w:sz w:val="24"/>
          <w:szCs w:val="24"/>
          <w:u w:val="none"/>
          <w:lang w:val="en-GB"/>
        </w:rPr>
      </w:pPr>
      <w:r w:rsidRPr="4A638A00" w:rsidR="161C0843">
        <w:rPr>
          <w:rFonts w:ascii="Arial" w:hAnsi="Arial" w:eastAsia="Arial" w:cs="Arial"/>
          <w:b w:val="0"/>
          <w:bCs w:val="0"/>
          <w:i w:val="0"/>
          <w:iCs w:val="0"/>
          <w:noProof w:val="0"/>
          <w:color w:val="auto"/>
          <w:sz w:val="24"/>
          <w:szCs w:val="24"/>
          <w:lang w:val="en-GB"/>
        </w:rPr>
        <w:t xml:space="preserve">A key element of this strategy is the company's growing focus on copper and other transition minerals. Copper plays an essential role in renewable energy systems, battery storage </w:t>
      </w:r>
      <w:r w:rsidRPr="4A638A00" w:rsidR="161C0843">
        <w:rPr>
          <w:rFonts w:ascii="Arial" w:hAnsi="Arial" w:eastAsia="Arial" w:cs="Arial"/>
          <w:b w:val="0"/>
          <w:bCs w:val="0"/>
          <w:i w:val="0"/>
          <w:iCs w:val="0"/>
          <w:noProof w:val="0"/>
          <w:color w:val="auto"/>
          <w:sz w:val="24"/>
          <w:szCs w:val="24"/>
          <w:lang w:val="en-GB"/>
        </w:rPr>
        <w:t>technology</w:t>
      </w:r>
      <w:r w:rsidRPr="4A638A00" w:rsidR="161C0843">
        <w:rPr>
          <w:rFonts w:ascii="Arial" w:hAnsi="Arial" w:eastAsia="Arial" w:cs="Arial"/>
          <w:b w:val="0"/>
          <w:bCs w:val="0"/>
          <w:i w:val="0"/>
          <w:iCs w:val="0"/>
          <w:noProof w:val="0"/>
          <w:color w:val="auto"/>
          <w:sz w:val="24"/>
          <w:szCs w:val="24"/>
          <w:lang w:val="en-GB"/>
        </w:rPr>
        <w:t xml:space="preserve"> and electric vehicles. BHP has increasingly prioritised investment in copper assets and projects because of the strong long-term demand expected from the global energy transition</w:t>
      </w:r>
      <w:r w:rsidRPr="4A638A00" w:rsidR="508F53F3">
        <w:rPr>
          <w:rFonts w:ascii="Arial" w:hAnsi="Arial" w:eastAsia="Arial" w:cs="Arial"/>
          <w:b w:val="0"/>
          <w:bCs w:val="0"/>
          <w:i w:val="0"/>
          <w:iCs w:val="0"/>
          <w:noProof w:val="0"/>
          <w:color w:val="auto"/>
          <w:sz w:val="24"/>
          <w:szCs w:val="24"/>
          <w:lang w:val="en-GB"/>
        </w:rPr>
        <w:t xml:space="preserve"> </w:t>
      </w:r>
      <w:r w:rsidRPr="4A638A00" w:rsidR="508F53F3">
        <w:rPr>
          <w:rFonts w:ascii="Times New Roman" w:hAnsi="Times New Roman" w:eastAsia="Times New Roman" w:cs="Times New Roman"/>
          <w:noProof w:val="0"/>
          <w:sz w:val="24"/>
          <w:szCs w:val="24"/>
          <w:lang w:val="en-GB"/>
        </w:rPr>
        <w:t>(Allen and Helms.2006).</w:t>
      </w:r>
      <w:r w:rsidRPr="4A638A00" w:rsidR="161C0843">
        <w:rPr>
          <w:rFonts w:ascii="Arial" w:hAnsi="Arial" w:eastAsia="Arial" w:cs="Arial"/>
          <w:b w:val="0"/>
          <w:bCs w:val="0"/>
          <w:i w:val="0"/>
          <w:iCs w:val="0"/>
          <w:noProof w:val="0"/>
          <w:color w:val="auto"/>
          <w:sz w:val="24"/>
          <w:szCs w:val="24"/>
          <w:lang w:val="en-GB"/>
        </w:rPr>
        <w:t xml:space="preserve"> </w:t>
      </w:r>
    </w:p>
    <w:p w:rsidR="6E490EE5" w:rsidP="4A638A00" w:rsidRDefault="6E490EE5" w14:paraId="77F90648" w14:textId="5E6E83A5">
      <w:pPr>
        <w:spacing w:before="0" w:beforeAutospacing="off" w:after="120" w:afterAutospacing="off" w:line="300" w:lineRule="auto"/>
        <w:rPr>
          <w:rFonts w:ascii="Arial" w:hAnsi="Arial" w:eastAsia="Arial" w:cs="Arial"/>
          <w:b w:val="0"/>
          <w:bCs w:val="0"/>
          <w:i w:val="0"/>
          <w:iCs w:val="0"/>
          <w:noProof w:val="0"/>
          <w:color w:val="auto"/>
          <w:sz w:val="21"/>
          <w:szCs w:val="21"/>
          <w:lang w:val="en-GB"/>
        </w:rPr>
      </w:pPr>
      <w:r w:rsidRPr="4A638A00" w:rsidR="161C0843">
        <w:rPr>
          <w:rFonts w:ascii="Arial" w:hAnsi="Arial" w:eastAsia="Arial" w:cs="Arial"/>
          <w:b w:val="0"/>
          <w:bCs w:val="0"/>
          <w:i w:val="0"/>
          <w:iCs w:val="0"/>
          <w:noProof w:val="0"/>
          <w:color w:val="auto"/>
          <w:sz w:val="24"/>
          <w:szCs w:val="24"/>
          <w:lang w:val="en-GB"/>
        </w:rPr>
        <w:t>By positioning itself as a reliable and sustainable supplier of these critical resources, BHP can establish a clear market distinction that competitors may find difficult to replicate</w:t>
      </w:r>
      <w:r w:rsidRPr="4A638A00" w:rsidR="161C0843">
        <w:rPr>
          <w:rFonts w:ascii="Arial" w:hAnsi="Arial" w:eastAsia="Arial" w:cs="Arial"/>
          <w:b w:val="0"/>
          <w:bCs w:val="0"/>
          <w:i w:val="0"/>
          <w:iCs w:val="0"/>
          <w:noProof w:val="0"/>
          <w:color w:val="auto"/>
          <w:sz w:val="21"/>
          <w:szCs w:val="21"/>
          <w:lang w:val="en-GB"/>
        </w:rPr>
        <w:t>.</w:t>
      </w:r>
    </w:p>
    <w:p w:rsidR="6E490EE5" w:rsidP="5A3801E9" w:rsidRDefault="6E490EE5" w14:paraId="0E3613CE" w14:textId="171621DE">
      <w:pPr>
        <w:pStyle w:val="Heading2"/>
        <w:spacing w:before="120" w:beforeAutospacing="off" w:after="120" w:afterAutospacing="off" w:line="300" w:lineRule="auto"/>
        <w:rPr>
          <w:rFonts w:ascii="Arial" w:hAnsi="Arial" w:eastAsia="Arial" w:cs="Arial"/>
          <w:b w:val="1"/>
          <w:bCs w:val="1"/>
          <w:i w:val="0"/>
          <w:iCs w:val="0"/>
          <w:noProof w:val="0"/>
          <w:color w:val="auto"/>
          <w:sz w:val="31"/>
          <w:szCs w:val="31"/>
          <w:lang w:val="en-GB"/>
        </w:rPr>
      </w:pPr>
      <w:bookmarkStart w:name="_Toc202152960" w:id="1965568927"/>
      <w:r w:rsidRPr="5A3801E9" w:rsidR="161C0843">
        <w:rPr>
          <w:rFonts w:ascii="Arial" w:hAnsi="Arial" w:eastAsia="Arial" w:cs="Arial"/>
          <w:b w:val="1"/>
          <w:bCs w:val="1"/>
          <w:i w:val="0"/>
          <w:iCs w:val="0"/>
          <w:noProof w:val="0"/>
          <w:color w:val="auto"/>
          <w:sz w:val="31"/>
          <w:szCs w:val="31"/>
          <w:lang w:val="en-GB"/>
        </w:rPr>
        <w:t>Achieving Competitive Advantage</w:t>
      </w:r>
      <w:bookmarkEnd w:id="1965568927"/>
    </w:p>
    <w:p w:rsidR="6E490EE5" w:rsidP="5A3801E9" w:rsidRDefault="6E490EE5" w14:paraId="57D437D2" w14:textId="75BDCF81">
      <w:pPr>
        <w:pStyle w:val="Heading3"/>
        <w:spacing w:before="0" w:beforeAutospacing="off" w:after="0" w:afterAutospacing="off" w:line="300" w:lineRule="auto"/>
        <w:rPr>
          <w:rFonts w:ascii="Arial" w:hAnsi="Arial" w:eastAsia="Arial" w:cs="Arial"/>
          <w:b w:val="1"/>
          <w:bCs w:val="1"/>
          <w:i w:val="0"/>
          <w:iCs w:val="0"/>
          <w:noProof w:val="0"/>
          <w:color w:val="auto"/>
          <w:sz w:val="24"/>
          <w:szCs w:val="24"/>
          <w:lang w:val="en-GB"/>
        </w:rPr>
      </w:pPr>
      <w:bookmarkStart w:name="_Toc1761195626" w:id="1142969229"/>
      <w:r w:rsidRPr="5A3801E9" w:rsidR="161C0843">
        <w:rPr>
          <w:rFonts w:ascii="Arial" w:hAnsi="Arial" w:eastAsia="Arial" w:cs="Arial"/>
          <w:b w:val="1"/>
          <w:bCs w:val="1"/>
          <w:i w:val="0"/>
          <w:iCs w:val="0"/>
          <w:noProof w:val="0"/>
          <w:color w:val="auto"/>
          <w:sz w:val="24"/>
          <w:szCs w:val="24"/>
          <w:lang w:val="en-GB"/>
        </w:rPr>
        <w:t>Sustainability Leadership</w:t>
      </w:r>
      <w:bookmarkEnd w:id="1142969229"/>
    </w:p>
    <w:p w:rsidR="6E490EE5" w:rsidP="4A638A00" w:rsidRDefault="6E490EE5" w14:paraId="674E8A2D" w14:textId="5F2FF171">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The most significant source of competitive advantage for BHP is its commitment to environmental sustainability.</w:t>
      </w:r>
    </w:p>
    <w:p w:rsidR="6E490EE5" w:rsidP="4A638A00" w:rsidRDefault="6E490EE5" w14:paraId="0DE0179E" w14:textId="71CA87FF">
      <w:pPr>
        <w:pStyle w:val="Normal"/>
        <w:spacing w:before="210" w:beforeAutospacing="off" w:after="210" w:afterAutospacing="off" w:line="300" w:lineRule="auto"/>
        <w:rPr>
          <w:rFonts w:ascii="Arial" w:hAnsi="Arial" w:eastAsia="Arial" w:cs="Arial"/>
          <w:noProof w:val="0"/>
          <w:sz w:val="24"/>
          <w:szCs w:val="24"/>
          <w:lang w:val="en-GB"/>
        </w:rPr>
      </w:pPr>
      <w:r w:rsidRPr="4A638A00" w:rsidR="161C0843">
        <w:rPr>
          <w:rFonts w:ascii="Arial" w:hAnsi="Arial" w:eastAsia="Arial" w:cs="Arial"/>
          <w:b w:val="0"/>
          <w:bCs w:val="0"/>
          <w:i w:val="0"/>
          <w:iCs w:val="0"/>
          <w:noProof w:val="0"/>
          <w:color w:val="auto"/>
          <w:sz w:val="24"/>
          <w:szCs w:val="24"/>
          <w:lang w:val="en-GB"/>
        </w:rPr>
        <w:t xml:space="preserve">Governments, </w:t>
      </w:r>
      <w:r w:rsidRPr="4A638A00" w:rsidR="161C0843">
        <w:rPr>
          <w:rFonts w:ascii="Arial" w:hAnsi="Arial" w:eastAsia="Arial" w:cs="Arial"/>
          <w:b w:val="0"/>
          <w:bCs w:val="0"/>
          <w:i w:val="0"/>
          <w:iCs w:val="0"/>
          <w:noProof w:val="0"/>
          <w:color w:val="auto"/>
          <w:sz w:val="24"/>
          <w:szCs w:val="24"/>
          <w:lang w:val="en-GB"/>
        </w:rPr>
        <w:t>investors</w:t>
      </w:r>
      <w:r w:rsidRPr="4A638A00" w:rsidR="161C0843">
        <w:rPr>
          <w:rFonts w:ascii="Arial" w:hAnsi="Arial" w:eastAsia="Arial" w:cs="Arial"/>
          <w:b w:val="0"/>
          <w:bCs w:val="0"/>
          <w:i w:val="0"/>
          <w:iCs w:val="0"/>
          <w:noProof w:val="0"/>
          <w:color w:val="auto"/>
          <w:sz w:val="24"/>
          <w:szCs w:val="24"/>
          <w:lang w:val="en-GB"/>
        </w:rPr>
        <w:t xml:space="preserve"> and customers increasingly expect businesses to reduce carbon emissions and </w:t>
      </w:r>
      <w:r w:rsidRPr="4A638A00" w:rsidR="161C0843">
        <w:rPr>
          <w:rFonts w:ascii="Arial" w:hAnsi="Arial" w:eastAsia="Arial" w:cs="Arial"/>
          <w:b w:val="0"/>
          <w:bCs w:val="0"/>
          <w:i w:val="0"/>
          <w:iCs w:val="0"/>
          <w:noProof w:val="0"/>
          <w:color w:val="auto"/>
          <w:sz w:val="24"/>
          <w:szCs w:val="24"/>
          <w:lang w:val="en-GB"/>
        </w:rPr>
        <w:t>demonstrate</w:t>
      </w:r>
      <w:r w:rsidRPr="4A638A00" w:rsidR="161C0843">
        <w:rPr>
          <w:rFonts w:ascii="Arial" w:hAnsi="Arial" w:eastAsia="Arial" w:cs="Arial"/>
          <w:b w:val="0"/>
          <w:bCs w:val="0"/>
          <w:i w:val="0"/>
          <w:iCs w:val="0"/>
          <w:noProof w:val="0"/>
          <w:color w:val="auto"/>
          <w:sz w:val="24"/>
          <w:szCs w:val="24"/>
          <w:lang w:val="en-GB"/>
        </w:rPr>
        <w:t xml:space="preserve"> responsible environmental practices. BHP has committed to reducing greenhouse gas emissions and pursuing long-term net-zero goals across its operations and value chain</w:t>
      </w:r>
      <w:r w:rsidRPr="4A638A00" w:rsidR="5DAA39FF">
        <w:rPr>
          <w:rFonts w:ascii="Arial" w:hAnsi="Arial" w:eastAsia="Arial" w:cs="Arial"/>
          <w:b w:val="0"/>
          <w:bCs w:val="0"/>
          <w:i w:val="0"/>
          <w:iCs w:val="0"/>
          <w:noProof w:val="0"/>
          <w:color w:val="auto"/>
          <w:sz w:val="24"/>
          <w:szCs w:val="24"/>
          <w:lang w:val="en-GB"/>
        </w:rPr>
        <w:t xml:space="preserve"> </w:t>
      </w:r>
      <w:r w:rsidRPr="4A638A00" w:rsidR="5DAA39FF">
        <w:rPr>
          <w:rFonts w:ascii="Times New Roman" w:hAnsi="Times New Roman" w:eastAsia="Times New Roman" w:cs="Times New Roman"/>
          <w:noProof w:val="0"/>
          <w:sz w:val="24"/>
          <w:szCs w:val="24"/>
          <w:lang w:val="en-GB"/>
        </w:rPr>
        <w:t>(Moon et al.2014).</w:t>
      </w:r>
    </w:p>
    <w:p w:rsidR="6E490EE5" w:rsidP="4A638A00" w:rsidRDefault="6E490EE5" w14:paraId="3C4C9D79" w14:textId="2C3DC5A9">
      <w:pPr>
        <w:pStyle w:val="Normal"/>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By continuing to invest in renewable energy projects, lower-emission mining technologies and sustainable operating practices, BHP can strengthen its reputation as a responsible mining company. This differentiation may attract environmentally conscious investors and customers seeking suppliers that align with their own sustainability objectives</w:t>
      </w:r>
      <w:r w:rsidRPr="4A638A00" w:rsidR="6CF05C80">
        <w:rPr>
          <w:rFonts w:ascii="Arial" w:hAnsi="Arial" w:eastAsia="Arial" w:cs="Arial"/>
          <w:b w:val="0"/>
          <w:bCs w:val="0"/>
          <w:i w:val="0"/>
          <w:iCs w:val="0"/>
          <w:noProof w:val="0"/>
          <w:color w:val="auto"/>
          <w:sz w:val="24"/>
          <w:szCs w:val="24"/>
          <w:lang w:val="en-GB"/>
        </w:rPr>
        <w:t xml:space="preserve"> </w:t>
      </w:r>
      <w:r w:rsidRPr="4A638A00" w:rsidR="6CF05C80">
        <w:rPr>
          <w:rFonts w:ascii="Times New Roman" w:hAnsi="Times New Roman" w:eastAsia="Times New Roman" w:cs="Times New Roman"/>
          <w:noProof w:val="0"/>
          <w:sz w:val="24"/>
          <w:szCs w:val="24"/>
          <w:lang w:val="en-GB"/>
        </w:rPr>
        <w:t>(Moon et al.2014).</w:t>
      </w:r>
    </w:p>
    <w:p w:rsidR="6E490EE5" w:rsidP="4A638A00" w:rsidRDefault="6E490EE5" w14:paraId="513D3E25" w14:textId="69D7864A">
      <w:pPr>
        <w:spacing w:before="0" w:beforeAutospacing="off" w:after="120" w:afterAutospacing="off" w:line="300" w:lineRule="auto"/>
        <w:rPr>
          <w:rFonts w:ascii="Arial" w:hAnsi="Arial" w:eastAsia="Arial" w:cs="Arial"/>
          <w:b w:val="0"/>
          <w:bCs w:val="0"/>
          <w:i w:val="0"/>
          <w:iCs w:val="0"/>
          <w:noProof w:val="0"/>
          <w:color w:val="auto"/>
          <w:sz w:val="21"/>
          <w:szCs w:val="21"/>
          <w:lang w:val="en-GB"/>
        </w:rPr>
      </w:pPr>
      <w:r w:rsidRPr="4A638A00" w:rsidR="161C0843">
        <w:rPr>
          <w:rFonts w:ascii="Arial" w:hAnsi="Arial" w:eastAsia="Arial" w:cs="Arial"/>
          <w:b w:val="0"/>
          <w:bCs w:val="0"/>
          <w:i w:val="0"/>
          <w:iCs w:val="0"/>
          <w:noProof w:val="0"/>
          <w:color w:val="auto"/>
          <w:sz w:val="24"/>
          <w:szCs w:val="24"/>
          <w:lang w:val="en-GB"/>
        </w:rPr>
        <w:t>Furthermore, strong environmental performance can improve stakeholder trust and support the company's social licence to operate in local communities and international markets.</w:t>
      </w:r>
    </w:p>
    <w:p w:rsidR="6E490EE5" w:rsidP="5A3801E9" w:rsidRDefault="6E490EE5" w14:paraId="2C45C9AA" w14:textId="259CAAD6">
      <w:pPr>
        <w:pStyle w:val="Heading3"/>
        <w:spacing w:before="0" w:beforeAutospacing="off" w:after="0" w:afterAutospacing="off" w:line="300" w:lineRule="auto"/>
        <w:rPr>
          <w:rFonts w:ascii="Arial" w:hAnsi="Arial" w:eastAsia="Arial" w:cs="Arial"/>
          <w:b w:val="1"/>
          <w:bCs w:val="1"/>
          <w:i w:val="0"/>
          <w:iCs w:val="0"/>
          <w:noProof w:val="0"/>
          <w:color w:val="auto"/>
          <w:sz w:val="24"/>
          <w:szCs w:val="24"/>
          <w:lang w:val="en-GB"/>
        </w:rPr>
      </w:pPr>
      <w:bookmarkStart w:name="_Toc375188813" w:id="951410218"/>
      <w:r w:rsidRPr="5A3801E9" w:rsidR="161C0843">
        <w:rPr>
          <w:rFonts w:ascii="Arial" w:hAnsi="Arial" w:eastAsia="Arial" w:cs="Arial"/>
          <w:b w:val="1"/>
          <w:bCs w:val="1"/>
          <w:i w:val="0"/>
          <w:iCs w:val="0"/>
          <w:noProof w:val="0"/>
          <w:color w:val="auto"/>
          <w:sz w:val="24"/>
          <w:szCs w:val="24"/>
          <w:lang w:val="en-GB"/>
        </w:rPr>
        <w:t>Investment in Future-Facing Commodities</w:t>
      </w:r>
      <w:bookmarkEnd w:id="951410218"/>
    </w:p>
    <w:p w:rsidR="6E490EE5" w:rsidP="4A638A00" w:rsidRDefault="6E490EE5" w14:paraId="24062E27" w14:textId="7A917D6D">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Another way BHP can strengthen its competitive position is through continued investment in minerals that support the low-carbon transition.</w:t>
      </w:r>
    </w:p>
    <w:p w:rsidR="6E490EE5" w:rsidP="4A638A00" w:rsidRDefault="6E490EE5" w14:paraId="4E11D45C" w14:textId="2AE4873B">
      <w:pPr>
        <w:pStyle w:val="Normal"/>
        <w:spacing w:before="210" w:beforeAutospacing="off" w:after="210" w:afterAutospacing="off" w:line="300" w:lineRule="auto"/>
        <w:rPr>
          <w:rFonts w:ascii="Arial" w:hAnsi="Arial" w:eastAsia="Arial" w:cs="Arial"/>
          <w:noProof w:val="0"/>
          <w:sz w:val="24"/>
          <w:szCs w:val="24"/>
          <w:lang w:val="en-GB"/>
        </w:rPr>
      </w:pPr>
      <w:r w:rsidRPr="4A638A00" w:rsidR="161C0843">
        <w:rPr>
          <w:rFonts w:ascii="Arial" w:hAnsi="Arial" w:eastAsia="Arial" w:cs="Arial"/>
          <w:b w:val="0"/>
          <w:bCs w:val="0"/>
          <w:i w:val="0"/>
          <w:iCs w:val="0"/>
          <w:noProof w:val="0"/>
          <w:color w:val="auto"/>
          <w:sz w:val="24"/>
          <w:szCs w:val="24"/>
          <w:lang w:val="en-GB"/>
        </w:rPr>
        <w:t xml:space="preserve">Demand for copper is expected to increase significantly as countries expand renewable energy infrastructure and electric vehicle adoption. BHP's strategic investments in copper projects provide </w:t>
      </w:r>
      <w:r w:rsidRPr="4A638A00" w:rsidR="161C0843">
        <w:rPr>
          <w:rFonts w:ascii="Arial" w:hAnsi="Arial" w:eastAsia="Arial" w:cs="Arial"/>
          <w:b w:val="0"/>
          <w:bCs w:val="0"/>
          <w:i w:val="0"/>
          <w:iCs w:val="0"/>
          <w:noProof w:val="0"/>
          <w:color w:val="auto"/>
          <w:sz w:val="24"/>
          <w:szCs w:val="24"/>
          <w:lang w:val="en-GB"/>
        </w:rPr>
        <w:t>a strong foundation</w:t>
      </w:r>
      <w:r w:rsidRPr="4A638A00" w:rsidR="161C0843">
        <w:rPr>
          <w:rFonts w:ascii="Arial" w:hAnsi="Arial" w:eastAsia="Arial" w:cs="Arial"/>
          <w:b w:val="0"/>
          <w:bCs w:val="0"/>
          <w:i w:val="0"/>
          <w:iCs w:val="0"/>
          <w:noProof w:val="0"/>
          <w:color w:val="auto"/>
          <w:sz w:val="24"/>
          <w:szCs w:val="24"/>
          <w:lang w:val="en-GB"/>
        </w:rPr>
        <w:t xml:space="preserve"> for future growth and enable the company to </w:t>
      </w:r>
      <w:r w:rsidRPr="4A638A00" w:rsidR="161C0843">
        <w:rPr>
          <w:rFonts w:ascii="Arial" w:hAnsi="Arial" w:eastAsia="Arial" w:cs="Arial"/>
          <w:b w:val="0"/>
          <w:bCs w:val="0"/>
          <w:i w:val="0"/>
          <w:iCs w:val="0"/>
          <w:noProof w:val="0"/>
          <w:color w:val="auto"/>
          <w:sz w:val="24"/>
          <w:szCs w:val="24"/>
          <w:lang w:val="en-GB"/>
        </w:rPr>
        <w:t>benefit</w:t>
      </w:r>
      <w:r w:rsidRPr="4A638A00" w:rsidR="161C0843">
        <w:rPr>
          <w:rFonts w:ascii="Arial" w:hAnsi="Arial" w:eastAsia="Arial" w:cs="Arial"/>
          <w:b w:val="0"/>
          <w:bCs w:val="0"/>
          <w:i w:val="0"/>
          <w:iCs w:val="0"/>
          <w:noProof w:val="0"/>
          <w:color w:val="auto"/>
          <w:sz w:val="24"/>
          <w:szCs w:val="24"/>
          <w:lang w:val="en-GB"/>
        </w:rPr>
        <w:t xml:space="preserve"> from these market trends</w:t>
      </w:r>
      <w:r w:rsidRPr="4A638A00" w:rsidR="3AD948FA">
        <w:rPr>
          <w:rFonts w:ascii="Arial" w:hAnsi="Arial" w:eastAsia="Arial" w:cs="Arial"/>
          <w:b w:val="0"/>
          <w:bCs w:val="0"/>
          <w:i w:val="0"/>
          <w:iCs w:val="0"/>
          <w:noProof w:val="0"/>
          <w:color w:val="auto"/>
          <w:sz w:val="24"/>
          <w:szCs w:val="24"/>
          <w:lang w:val="en-GB"/>
        </w:rPr>
        <w:t xml:space="preserve"> </w:t>
      </w:r>
      <w:r w:rsidRPr="4A638A00" w:rsidR="3AD948FA">
        <w:rPr>
          <w:rFonts w:ascii="Times New Roman" w:hAnsi="Times New Roman" w:eastAsia="Times New Roman" w:cs="Times New Roman"/>
          <w:noProof w:val="0"/>
          <w:sz w:val="24"/>
          <w:szCs w:val="24"/>
          <w:lang w:val="en-GB"/>
        </w:rPr>
        <w:t>(Moon et al.2014).</w:t>
      </w:r>
    </w:p>
    <w:p w:rsidR="6E490EE5" w:rsidP="4A638A00" w:rsidRDefault="6E490EE5" w14:paraId="7A2A3861" w14:textId="0FD8839E">
      <w:pPr>
        <w:spacing w:before="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Unlike competitors that remain heavily dependent on traditional carbon-intensive commodities, BHP can differentiate itself by focusing on products with strong long-term demand linked to global sustainability goals.</w:t>
      </w:r>
    </w:p>
    <w:p w:rsidR="6E490EE5" w:rsidP="5A3801E9" w:rsidRDefault="6E490EE5" w14:paraId="0B0CBC7D" w14:textId="56C5EF38">
      <w:pPr>
        <w:pStyle w:val="Heading3"/>
        <w:spacing w:before="120" w:beforeAutospacing="off" w:after="0" w:afterAutospacing="off" w:line="300" w:lineRule="auto"/>
        <w:rPr>
          <w:rFonts w:ascii="Arial" w:hAnsi="Arial" w:eastAsia="Arial" w:cs="Arial"/>
          <w:b w:val="1"/>
          <w:bCs w:val="1"/>
          <w:i w:val="0"/>
          <w:iCs w:val="0"/>
          <w:noProof w:val="0"/>
          <w:color w:val="auto"/>
          <w:sz w:val="24"/>
          <w:szCs w:val="24"/>
          <w:lang w:val="en-GB"/>
        </w:rPr>
      </w:pPr>
      <w:bookmarkStart w:name="_Toc1821163610" w:id="1321198697"/>
      <w:r w:rsidRPr="5A3801E9" w:rsidR="161C0843">
        <w:rPr>
          <w:rFonts w:ascii="Arial" w:hAnsi="Arial" w:eastAsia="Arial" w:cs="Arial"/>
          <w:b w:val="1"/>
          <w:bCs w:val="1"/>
          <w:i w:val="0"/>
          <w:iCs w:val="0"/>
          <w:noProof w:val="0"/>
          <w:color w:val="auto"/>
          <w:sz w:val="24"/>
          <w:szCs w:val="24"/>
          <w:lang w:val="en-GB"/>
        </w:rPr>
        <w:t>Innovation and Technology</w:t>
      </w:r>
      <w:bookmarkEnd w:id="1321198697"/>
    </w:p>
    <w:p w:rsidR="6E490EE5" w:rsidP="4A638A00" w:rsidRDefault="6E490EE5" w14:paraId="0AE66098" w14:textId="5B81F191">
      <w:pPr>
        <w:spacing w:before="120" w:beforeAutospacing="off" w:after="0" w:afterAutospacing="off" w:line="300" w:lineRule="auto"/>
      </w:pPr>
      <w:r w:rsidRPr="4A638A00" w:rsidR="161C0843">
        <w:rPr>
          <w:rFonts w:ascii="Arial" w:hAnsi="Arial" w:eastAsia="Arial" w:cs="Arial"/>
          <w:b w:val="0"/>
          <w:bCs w:val="0"/>
          <w:i w:val="0"/>
          <w:iCs w:val="0"/>
          <w:noProof w:val="0"/>
          <w:color w:val="auto"/>
          <w:sz w:val="24"/>
          <w:szCs w:val="24"/>
          <w:lang w:val="en-GB"/>
        </w:rPr>
        <w:t>Technology will play a vital role in supporting BHP's differentiation strategy.</w:t>
      </w:r>
    </w:p>
    <w:p w:rsidR="6E490EE5" w:rsidP="4A638A00" w:rsidRDefault="6E490EE5" w14:paraId="1AA1E3A7" w14:textId="199D08FA">
      <w:pPr>
        <w:pStyle w:val="Normal"/>
        <w:spacing w:before="0" w:beforeAutospacing="off" w:after="0" w:afterAutospacing="off" w:line="300" w:lineRule="auto"/>
        <w:rPr>
          <w:rFonts w:ascii="Arial" w:hAnsi="Arial" w:eastAsia="Arial" w:cs="Arial"/>
          <w:noProof w:val="0"/>
          <w:sz w:val="24"/>
          <w:szCs w:val="24"/>
          <w:lang w:val="en-GB"/>
        </w:rPr>
      </w:pPr>
      <w:r w:rsidRPr="4A638A00" w:rsidR="161C0843">
        <w:rPr>
          <w:rFonts w:ascii="Arial" w:hAnsi="Arial" w:eastAsia="Arial" w:cs="Arial"/>
          <w:b w:val="0"/>
          <w:bCs w:val="0"/>
          <w:i w:val="0"/>
          <w:iCs w:val="0"/>
          <w:noProof w:val="0"/>
          <w:color w:val="auto"/>
          <w:sz w:val="24"/>
          <w:szCs w:val="24"/>
          <w:lang w:val="en-GB"/>
        </w:rPr>
        <w:t xml:space="preserve">The company has </w:t>
      </w:r>
      <w:r w:rsidRPr="4A638A00" w:rsidR="161C0843">
        <w:rPr>
          <w:rFonts w:ascii="Arial" w:hAnsi="Arial" w:eastAsia="Arial" w:cs="Arial"/>
          <w:b w:val="0"/>
          <w:bCs w:val="0"/>
          <w:i w:val="0"/>
          <w:iCs w:val="0"/>
          <w:noProof w:val="0"/>
          <w:color w:val="auto"/>
          <w:sz w:val="24"/>
          <w:szCs w:val="24"/>
          <w:lang w:val="en-GB"/>
        </w:rPr>
        <w:t>established</w:t>
      </w:r>
      <w:r w:rsidRPr="4A638A00" w:rsidR="161C0843">
        <w:rPr>
          <w:rFonts w:ascii="Arial" w:hAnsi="Arial" w:eastAsia="Arial" w:cs="Arial"/>
          <w:b w:val="0"/>
          <w:bCs w:val="0"/>
          <w:i w:val="0"/>
          <w:iCs w:val="0"/>
          <w:noProof w:val="0"/>
          <w:color w:val="auto"/>
          <w:sz w:val="24"/>
          <w:szCs w:val="24"/>
          <w:lang w:val="en-GB"/>
        </w:rPr>
        <w:t xml:space="preserve"> partnerships aimed at developing battery-powered mining equipment, energy storage </w:t>
      </w:r>
      <w:r w:rsidRPr="4A638A00" w:rsidR="161C0843">
        <w:rPr>
          <w:rFonts w:ascii="Arial" w:hAnsi="Arial" w:eastAsia="Arial" w:cs="Arial"/>
          <w:b w:val="0"/>
          <w:bCs w:val="0"/>
          <w:i w:val="0"/>
          <w:iCs w:val="0"/>
          <w:noProof w:val="0"/>
          <w:color w:val="auto"/>
          <w:sz w:val="24"/>
          <w:szCs w:val="24"/>
          <w:lang w:val="en-GB"/>
        </w:rPr>
        <w:t>solutions</w:t>
      </w:r>
      <w:r w:rsidRPr="4A638A00" w:rsidR="161C0843">
        <w:rPr>
          <w:rFonts w:ascii="Arial" w:hAnsi="Arial" w:eastAsia="Arial" w:cs="Arial"/>
          <w:b w:val="0"/>
          <w:bCs w:val="0"/>
          <w:i w:val="0"/>
          <w:iCs w:val="0"/>
          <w:noProof w:val="0"/>
          <w:color w:val="auto"/>
          <w:sz w:val="24"/>
          <w:szCs w:val="24"/>
          <w:lang w:val="en-GB"/>
        </w:rPr>
        <w:t xml:space="preserve"> and operational decarbonisation initiatives. These investments support BHP's </w:t>
      </w:r>
      <w:r w:rsidRPr="4A638A00" w:rsidR="161C0843">
        <w:rPr>
          <w:rFonts w:ascii="Arial" w:hAnsi="Arial" w:eastAsia="Arial" w:cs="Arial"/>
          <w:b w:val="0"/>
          <w:bCs w:val="0"/>
          <w:i w:val="0"/>
          <w:iCs w:val="0"/>
          <w:noProof w:val="0"/>
          <w:color w:val="auto"/>
          <w:sz w:val="24"/>
          <w:szCs w:val="24"/>
          <w:lang w:val="en-GB"/>
        </w:rPr>
        <w:t>objective</w:t>
      </w:r>
      <w:r w:rsidRPr="4A638A00" w:rsidR="161C0843">
        <w:rPr>
          <w:rFonts w:ascii="Arial" w:hAnsi="Arial" w:eastAsia="Arial" w:cs="Arial"/>
          <w:b w:val="0"/>
          <w:bCs w:val="0"/>
          <w:i w:val="0"/>
          <w:iCs w:val="0"/>
          <w:noProof w:val="0"/>
          <w:color w:val="auto"/>
          <w:sz w:val="24"/>
          <w:szCs w:val="24"/>
          <w:lang w:val="en-GB"/>
        </w:rPr>
        <w:t xml:space="preserve"> of reducing emissions while improving productivity and efficiency</w:t>
      </w:r>
      <w:r w:rsidRPr="4A638A00" w:rsidR="4DA42C55">
        <w:rPr>
          <w:rFonts w:ascii="Arial" w:hAnsi="Arial" w:eastAsia="Arial" w:cs="Arial"/>
          <w:b w:val="0"/>
          <w:bCs w:val="0"/>
          <w:i w:val="0"/>
          <w:iCs w:val="0"/>
          <w:noProof w:val="0"/>
          <w:color w:val="auto"/>
          <w:sz w:val="24"/>
          <w:szCs w:val="24"/>
          <w:lang w:val="en-GB"/>
        </w:rPr>
        <w:t xml:space="preserve"> </w:t>
      </w:r>
      <w:r w:rsidRPr="4A638A00" w:rsidR="4DA42C55">
        <w:rPr>
          <w:rFonts w:ascii="Times New Roman" w:hAnsi="Times New Roman" w:eastAsia="Times New Roman" w:cs="Times New Roman"/>
          <w:noProof w:val="0"/>
          <w:sz w:val="24"/>
          <w:szCs w:val="24"/>
          <w:lang w:val="en-GB"/>
        </w:rPr>
        <w:t>(Moon et al.2014).</w:t>
      </w:r>
    </w:p>
    <w:p w:rsidR="6E490EE5" w:rsidP="4A638A00" w:rsidRDefault="6E490EE5" w14:paraId="5466679F" w14:textId="12822FB7">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Innovation can also improve safety, lower operating costs and enhance resource efficiency. As environmental regulations become more stringent, companies with advanced technologies and efficient operations are likely to gain a competitive advantage.</w:t>
      </w:r>
    </w:p>
    <w:p w:rsidR="6E490EE5" w:rsidP="4A638A00" w:rsidRDefault="6E490EE5" w14:paraId="2854E4BF" w14:textId="04D3C253">
      <w:pPr>
        <w:spacing w:before="0" w:beforeAutospacing="off" w:after="12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By positioning itself at the forefront of sustainable mining innovation, BHP can create additional value for customers and stakeholders while strengthening its market position.</w:t>
      </w:r>
    </w:p>
    <w:p w:rsidR="6E490EE5" w:rsidP="5A3801E9" w:rsidRDefault="6E490EE5" w14:paraId="15252400" w14:textId="0F96C859">
      <w:pPr>
        <w:pStyle w:val="Heading2"/>
        <w:spacing w:before="0" w:beforeAutospacing="off" w:after="0" w:afterAutospacing="off" w:line="300" w:lineRule="auto"/>
        <w:rPr>
          <w:rFonts w:ascii="Arial" w:hAnsi="Arial" w:eastAsia="Arial" w:cs="Arial"/>
          <w:b w:val="1"/>
          <w:bCs w:val="1"/>
          <w:i w:val="0"/>
          <w:iCs w:val="0"/>
          <w:noProof w:val="0"/>
          <w:color w:val="auto"/>
          <w:sz w:val="31"/>
          <w:szCs w:val="31"/>
          <w:lang w:val="en-GB"/>
        </w:rPr>
      </w:pPr>
      <w:bookmarkStart w:name="_Toc1332916883" w:id="1833609364"/>
      <w:r w:rsidRPr="5A3801E9" w:rsidR="161C0843">
        <w:rPr>
          <w:rFonts w:ascii="Arial" w:hAnsi="Arial" w:eastAsia="Arial" w:cs="Arial"/>
          <w:b w:val="1"/>
          <w:bCs w:val="1"/>
          <w:i w:val="0"/>
          <w:iCs w:val="0"/>
          <w:noProof w:val="0"/>
          <w:color w:val="auto"/>
          <w:sz w:val="31"/>
          <w:szCs w:val="31"/>
          <w:lang w:val="en-GB"/>
        </w:rPr>
        <w:t>Benefits of the Differentiation Strategy</w:t>
      </w:r>
      <w:bookmarkEnd w:id="1833609364"/>
    </w:p>
    <w:p w:rsidR="6E490EE5" w:rsidP="4A638A00" w:rsidRDefault="6E490EE5" w14:paraId="5FD799D5" w14:textId="1FF8EAFC">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Implementing a differentiation strategy offers several advantages for BHP.</w:t>
      </w:r>
    </w:p>
    <w:p w:rsidR="6E490EE5" w:rsidP="4A638A00" w:rsidRDefault="6E490EE5" w14:paraId="421EEC46" w14:textId="15F508D4">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First, it allows the company to respond directly to changing customer and investor expectations regarding sustainability. Customers increasingly seek suppliers that can demonstrate strong environmental performance and responsible sourcing practices.</w:t>
      </w:r>
    </w:p>
    <w:p w:rsidR="6E490EE5" w:rsidP="4A638A00" w:rsidRDefault="6E490EE5" w14:paraId="25E38A25" w14:textId="3D2B4412">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Second, differentiation reduces direct competition based solely on price. Instead of competing only through cost reductions, BHP can compete through quality, sustainability and innovation.</w:t>
      </w:r>
    </w:p>
    <w:p w:rsidR="6E490EE5" w:rsidP="4A638A00" w:rsidRDefault="6E490EE5" w14:paraId="770439FA" w14:textId="14146333">
      <w:pPr>
        <w:pStyle w:val="Normal"/>
        <w:spacing w:before="0" w:beforeAutospacing="off" w:after="120" w:afterAutospacing="off" w:line="300" w:lineRule="auto"/>
        <w:rPr>
          <w:rFonts w:ascii="Arial" w:hAnsi="Arial" w:eastAsia="Arial" w:cs="Arial"/>
          <w:noProof w:val="0"/>
          <w:sz w:val="24"/>
          <w:szCs w:val="24"/>
          <w:lang w:val="en-GB"/>
        </w:rPr>
      </w:pPr>
      <w:r w:rsidRPr="4A638A00" w:rsidR="161C0843">
        <w:rPr>
          <w:rFonts w:ascii="Arial" w:hAnsi="Arial" w:eastAsia="Arial" w:cs="Arial"/>
          <w:b w:val="0"/>
          <w:bCs w:val="0"/>
          <w:i w:val="0"/>
          <w:iCs w:val="0"/>
          <w:noProof w:val="0"/>
          <w:color w:val="auto"/>
          <w:sz w:val="24"/>
          <w:szCs w:val="24"/>
          <w:lang w:val="en-GB"/>
        </w:rPr>
        <w:t xml:space="preserve">Third, the strategy supports long-term growth by aligning the business with major global trends, including decarbonisation, </w:t>
      </w:r>
      <w:r w:rsidRPr="4A638A00" w:rsidR="161C0843">
        <w:rPr>
          <w:rFonts w:ascii="Arial" w:hAnsi="Arial" w:eastAsia="Arial" w:cs="Arial"/>
          <w:b w:val="0"/>
          <w:bCs w:val="0"/>
          <w:i w:val="0"/>
          <w:iCs w:val="0"/>
          <w:noProof w:val="0"/>
          <w:color w:val="auto"/>
          <w:sz w:val="24"/>
          <w:szCs w:val="24"/>
          <w:lang w:val="en-GB"/>
        </w:rPr>
        <w:t>electrification</w:t>
      </w:r>
      <w:r w:rsidRPr="4A638A00" w:rsidR="161C0843">
        <w:rPr>
          <w:rFonts w:ascii="Arial" w:hAnsi="Arial" w:eastAsia="Arial" w:cs="Arial"/>
          <w:b w:val="0"/>
          <w:bCs w:val="0"/>
          <w:i w:val="0"/>
          <w:iCs w:val="0"/>
          <w:noProof w:val="0"/>
          <w:color w:val="auto"/>
          <w:sz w:val="24"/>
          <w:szCs w:val="24"/>
          <w:lang w:val="en-GB"/>
        </w:rPr>
        <w:t xml:space="preserve"> and renewable energy development. As demand for critical minerals continues to rise, BHP will be well positioned to </w:t>
      </w:r>
      <w:r w:rsidRPr="4A638A00" w:rsidR="161C0843">
        <w:rPr>
          <w:rFonts w:ascii="Arial" w:hAnsi="Arial" w:eastAsia="Arial" w:cs="Arial"/>
          <w:b w:val="0"/>
          <w:bCs w:val="0"/>
          <w:i w:val="0"/>
          <w:iCs w:val="0"/>
          <w:noProof w:val="0"/>
          <w:color w:val="auto"/>
          <w:sz w:val="24"/>
          <w:szCs w:val="24"/>
          <w:lang w:val="en-GB"/>
        </w:rPr>
        <w:t>benefit</w:t>
      </w:r>
      <w:r w:rsidRPr="4A638A00" w:rsidR="161C0843">
        <w:rPr>
          <w:rFonts w:ascii="Arial" w:hAnsi="Arial" w:eastAsia="Arial" w:cs="Arial"/>
          <w:b w:val="0"/>
          <w:bCs w:val="0"/>
          <w:i w:val="0"/>
          <w:iCs w:val="0"/>
          <w:noProof w:val="0"/>
          <w:color w:val="auto"/>
          <w:sz w:val="24"/>
          <w:szCs w:val="24"/>
          <w:lang w:val="en-GB"/>
        </w:rPr>
        <w:t xml:space="preserve"> from expanding market opportunities</w:t>
      </w:r>
      <w:r w:rsidRPr="4A638A00" w:rsidR="74179544">
        <w:rPr>
          <w:rFonts w:ascii="Arial" w:hAnsi="Arial" w:eastAsia="Arial" w:cs="Arial"/>
          <w:b w:val="0"/>
          <w:bCs w:val="0"/>
          <w:i w:val="0"/>
          <w:iCs w:val="0"/>
          <w:noProof w:val="0"/>
          <w:color w:val="auto"/>
          <w:sz w:val="24"/>
          <w:szCs w:val="24"/>
          <w:lang w:val="en-GB"/>
        </w:rPr>
        <w:t xml:space="preserve"> </w:t>
      </w:r>
      <w:r w:rsidRPr="4A638A00" w:rsidR="74179544">
        <w:rPr>
          <w:rFonts w:ascii="Times New Roman" w:hAnsi="Times New Roman" w:eastAsia="Times New Roman" w:cs="Times New Roman"/>
          <w:noProof w:val="0"/>
          <w:sz w:val="24"/>
          <w:szCs w:val="24"/>
          <w:lang w:val="en-GB"/>
        </w:rPr>
        <w:t>(Levy et al.2020).</w:t>
      </w:r>
    </w:p>
    <w:p w:rsidR="6E490EE5" w:rsidP="4A638A00" w:rsidRDefault="6E490EE5" w14:paraId="455B9BF3" w14:textId="2F44C629">
      <w:pPr>
        <w:spacing w:before="0" w:beforeAutospacing="off" w:after="0" w:afterAutospacing="off" w:line="300" w:lineRule="auto"/>
        <w:rPr>
          <w:rFonts w:ascii="Arial" w:hAnsi="Arial" w:eastAsia="Arial" w:cs="Arial"/>
          <w:b w:val="1"/>
          <w:bCs w:val="1"/>
          <w:i w:val="0"/>
          <w:iCs w:val="0"/>
          <w:noProof w:val="0"/>
          <w:color w:val="auto"/>
          <w:sz w:val="31"/>
          <w:szCs w:val="31"/>
          <w:lang w:val="en-GB"/>
        </w:rPr>
      </w:pPr>
      <w:r w:rsidRPr="4A638A00" w:rsidR="161C0843">
        <w:rPr>
          <w:rFonts w:ascii="Arial" w:hAnsi="Arial" w:eastAsia="Arial" w:cs="Arial"/>
          <w:b w:val="1"/>
          <w:bCs w:val="1"/>
          <w:i w:val="0"/>
          <w:iCs w:val="0"/>
          <w:noProof w:val="0"/>
          <w:color w:val="auto"/>
          <w:sz w:val="31"/>
          <w:szCs w:val="31"/>
          <w:lang w:val="en-GB"/>
        </w:rPr>
        <w:t>Challenges and Risks</w:t>
      </w:r>
    </w:p>
    <w:p w:rsidR="6E490EE5" w:rsidP="4A638A00" w:rsidRDefault="6E490EE5" w14:paraId="2B8DB49D" w14:textId="76749008">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Despite its benefits, the differentiation strategy also presents challenges.</w:t>
      </w:r>
    </w:p>
    <w:p w:rsidR="6E490EE5" w:rsidP="4A638A00" w:rsidRDefault="6E490EE5" w14:paraId="1650624C" w14:textId="2CDAD51E">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Investments in sustainable technologies, emissions reduction initiatives and new mining projects require significant capital expenditure. These costs may affect profitability in the short term.</w:t>
      </w:r>
    </w:p>
    <w:p w:rsidR="6E490EE5" w:rsidP="4A638A00" w:rsidRDefault="6E490EE5" w14:paraId="54CF1A6F" w14:textId="4A1D90F2">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There is also uncertainty surrounding future commodity prices, technological developments and government policies. Changes in these areas could impact expected returns from major investments.</w:t>
      </w:r>
    </w:p>
    <w:p w:rsidR="6E490EE5" w:rsidP="4A638A00" w:rsidRDefault="6E490EE5" w14:paraId="04E7B80A" w14:textId="33A3A0A9">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161C0843">
        <w:rPr>
          <w:rFonts w:ascii="Arial" w:hAnsi="Arial" w:eastAsia="Arial" w:cs="Arial"/>
          <w:b w:val="0"/>
          <w:bCs w:val="0"/>
          <w:i w:val="0"/>
          <w:iCs w:val="0"/>
          <w:noProof w:val="0"/>
          <w:color w:val="auto"/>
          <w:sz w:val="24"/>
          <w:szCs w:val="24"/>
          <w:lang w:val="en-GB"/>
        </w:rPr>
        <w:t>Additionally, competitors are making similar commitments to sustainability and low-carbon products. BHP must therefore ensure that its environmental performance, innovation and operational capabilities remain ahead of industry standards to maintain its competitive advantage.</w:t>
      </w:r>
    </w:p>
    <w:p w:rsidR="6E490EE5" w:rsidP="4A638A00" w:rsidRDefault="6E490EE5" w14:paraId="0DD951DD" w14:textId="6DEAC70C">
      <w:pPr>
        <w:pStyle w:val="Normal"/>
        <w:spacing w:before="210" w:beforeAutospacing="off" w:after="210" w:afterAutospacing="off" w:line="300" w:lineRule="auto"/>
        <w:rPr>
          <w:rFonts w:ascii="Arial" w:hAnsi="Arial" w:eastAsia="Arial" w:cs="Arial"/>
          <w:noProof w:val="0"/>
          <w:sz w:val="24"/>
          <w:szCs w:val="24"/>
          <w:lang w:val="en-GB"/>
        </w:rPr>
      </w:pPr>
      <w:r w:rsidRPr="4A638A00" w:rsidR="161C0843">
        <w:rPr>
          <w:rFonts w:ascii="Arial" w:hAnsi="Arial" w:eastAsia="Arial" w:cs="Arial"/>
          <w:b w:val="0"/>
          <w:bCs w:val="0"/>
          <w:i w:val="0"/>
          <w:iCs w:val="0"/>
          <w:noProof w:val="0"/>
          <w:color w:val="auto"/>
          <w:sz w:val="24"/>
          <w:szCs w:val="24"/>
          <w:lang w:val="en-GB"/>
        </w:rPr>
        <w:t xml:space="preserve">Using Porter's Generic Strategies, a </w:t>
      </w:r>
      <w:r w:rsidRPr="4A638A00" w:rsidR="161C0843">
        <w:rPr>
          <w:rFonts w:ascii="Arial" w:hAnsi="Arial" w:eastAsia="Arial" w:cs="Arial"/>
          <w:b w:val="1"/>
          <w:bCs w:val="1"/>
          <w:i w:val="0"/>
          <w:iCs w:val="0"/>
          <w:noProof w:val="0"/>
          <w:color w:val="auto"/>
          <w:sz w:val="24"/>
          <w:szCs w:val="24"/>
          <w:lang w:val="en-GB"/>
        </w:rPr>
        <w:t>Differentiation Strategy</w:t>
      </w:r>
      <w:r w:rsidRPr="4A638A00" w:rsidR="161C0843">
        <w:rPr>
          <w:rFonts w:ascii="Arial" w:hAnsi="Arial" w:eastAsia="Arial" w:cs="Arial"/>
          <w:b w:val="0"/>
          <w:bCs w:val="0"/>
          <w:i w:val="0"/>
          <w:iCs w:val="0"/>
          <w:noProof w:val="0"/>
          <w:color w:val="auto"/>
          <w:sz w:val="24"/>
          <w:szCs w:val="24"/>
          <w:lang w:val="en-GB"/>
        </w:rPr>
        <w:t xml:space="preserve"> is the most </w:t>
      </w:r>
      <w:r w:rsidRPr="4A638A00" w:rsidR="161C0843">
        <w:rPr>
          <w:rFonts w:ascii="Arial" w:hAnsi="Arial" w:eastAsia="Arial" w:cs="Arial"/>
          <w:b w:val="0"/>
          <w:bCs w:val="0"/>
          <w:i w:val="0"/>
          <w:iCs w:val="0"/>
          <w:noProof w:val="0"/>
          <w:color w:val="auto"/>
          <w:sz w:val="24"/>
          <w:szCs w:val="24"/>
          <w:lang w:val="en-GB"/>
        </w:rPr>
        <w:t>appropriate growth</w:t>
      </w:r>
      <w:r w:rsidRPr="4A638A00" w:rsidR="161C0843">
        <w:rPr>
          <w:rFonts w:ascii="Arial" w:hAnsi="Arial" w:eastAsia="Arial" w:cs="Arial"/>
          <w:b w:val="0"/>
          <w:bCs w:val="0"/>
          <w:i w:val="0"/>
          <w:iCs w:val="0"/>
          <w:noProof w:val="0"/>
          <w:color w:val="auto"/>
          <w:sz w:val="24"/>
          <w:szCs w:val="24"/>
          <w:lang w:val="en-GB"/>
        </w:rPr>
        <w:t xml:space="preserve"> approach for BHP as it transitions towards a lower-carbon business model. By focusing on sustainability leadership, investment in future-facing commodities such as copper and the adoption of innovative low-carbon technologies, BHP can distinguish itself from competitors and strengthen its long-term market position</w:t>
      </w:r>
      <w:r w:rsidRPr="4A638A00" w:rsidR="14FA4A0D">
        <w:rPr>
          <w:rFonts w:ascii="Arial" w:hAnsi="Arial" w:eastAsia="Arial" w:cs="Arial"/>
          <w:b w:val="0"/>
          <w:bCs w:val="0"/>
          <w:i w:val="0"/>
          <w:iCs w:val="0"/>
          <w:noProof w:val="0"/>
          <w:color w:val="auto"/>
          <w:sz w:val="24"/>
          <w:szCs w:val="24"/>
          <w:lang w:val="en-GB"/>
        </w:rPr>
        <w:t xml:space="preserve"> </w:t>
      </w:r>
      <w:r w:rsidRPr="4A638A00" w:rsidR="14FA4A0D">
        <w:rPr>
          <w:rFonts w:ascii="Times New Roman" w:hAnsi="Times New Roman" w:eastAsia="Times New Roman" w:cs="Times New Roman"/>
          <w:noProof w:val="0"/>
          <w:sz w:val="24"/>
          <w:szCs w:val="24"/>
          <w:lang w:val="en-GB"/>
        </w:rPr>
        <w:t>(Levy et al.2020).</w:t>
      </w:r>
    </w:p>
    <w:p w:rsidR="6E490EE5" w:rsidP="4A638A00" w:rsidRDefault="6E490EE5" w14:paraId="1A48D886" w14:textId="58284712">
      <w:pPr>
        <w:spacing w:before="210" w:beforeAutospacing="off" w:after="210" w:afterAutospacing="off" w:line="300" w:lineRule="auto"/>
        <w:rPr>
          <w:rFonts w:ascii="Arial" w:hAnsi="Arial" w:eastAsia="Arial" w:cs="Arial"/>
          <w:b w:val="0"/>
          <w:bCs w:val="0"/>
          <w:i w:val="0"/>
          <w:iCs w:val="0"/>
          <w:strike w:val="0"/>
          <w:dstrike w:val="0"/>
          <w:noProof w:val="0"/>
          <w:color w:val="auto"/>
          <w:sz w:val="24"/>
          <w:szCs w:val="24"/>
          <w:u w:val="none"/>
          <w:lang w:val="en-GB"/>
        </w:rPr>
      </w:pPr>
      <w:r w:rsidRPr="4A638A00" w:rsidR="161C0843">
        <w:rPr>
          <w:rFonts w:ascii="Arial" w:hAnsi="Arial" w:eastAsia="Arial" w:cs="Arial"/>
          <w:b w:val="0"/>
          <w:bCs w:val="0"/>
          <w:i w:val="0"/>
          <w:iCs w:val="0"/>
          <w:noProof w:val="0"/>
          <w:color w:val="auto"/>
          <w:sz w:val="24"/>
          <w:szCs w:val="24"/>
          <w:lang w:val="en-GB"/>
        </w:rPr>
        <w:t xml:space="preserve">This strategy will enable BHP to achieve a sustainable competitive advantage while supporting global decarbonisation efforts and responding to the growing demand for resources that are essential to the transition towards a cleaner and more sustainable economy. </w:t>
      </w:r>
    </w:p>
    <w:p w:rsidR="6E490EE5" w:rsidP="5A3801E9" w:rsidRDefault="6E490EE5" w14:paraId="56A499E7" w14:textId="6A35CEB7">
      <w:pPr>
        <w:pStyle w:val="Heading1"/>
        <w:spacing w:before="0" w:beforeAutospacing="off" w:after="0" w:afterAutospacing="off" w:line="300" w:lineRule="auto"/>
        <w:rPr>
          <w:rFonts w:ascii="Arial" w:hAnsi="Arial" w:eastAsia="Arial" w:cs="Arial"/>
          <w:b w:val="1"/>
          <w:bCs w:val="1"/>
          <w:i w:val="0"/>
          <w:iCs w:val="0"/>
          <w:noProof w:val="0"/>
          <w:color w:val="auto"/>
          <w:sz w:val="42"/>
          <w:szCs w:val="42"/>
          <w:lang w:val="en-GB"/>
        </w:rPr>
      </w:pPr>
      <w:bookmarkStart w:name="_Toc1469363139" w:id="752784467"/>
      <w:r w:rsidRPr="5A3801E9" w:rsidR="6CE8A7A1">
        <w:rPr>
          <w:rFonts w:ascii="Arial" w:hAnsi="Arial" w:eastAsia="Arial" w:cs="Arial"/>
          <w:b w:val="1"/>
          <w:bCs w:val="1"/>
          <w:i w:val="0"/>
          <w:iCs w:val="0"/>
          <w:noProof w:val="0"/>
          <w:color w:val="auto"/>
          <w:sz w:val="42"/>
          <w:szCs w:val="42"/>
          <w:lang w:val="en-GB"/>
        </w:rPr>
        <w:t>Task 3: Managerial and Professional Reflection</w:t>
      </w:r>
      <w:bookmarkEnd w:id="752784467"/>
    </w:p>
    <w:p w:rsidR="6E490EE5" w:rsidP="4A638A00" w:rsidRDefault="6E490EE5" w14:paraId="7EA8F283" w14:textId="5A5A77F8">
      <w:pPr>
        <w:pStyle w:val="Normal"/>
        <w:spacing w:before="0" w:beforeAutospacing="off" w:after="0" w:afterAutospacing="off" w:line="300" w:lineRule="auto"/>
        <w:rPr>
          <w:rFonts w:ascii="Arial" w:hAnsi="Arial" w:eastAsia="Arial" w:cs="Arial"/>
          <w:noProof w:val="0"/>
          <w:sz w:val="24"/>
          <w:szCs w:val="24"/>
          <w:lang w:val="en-GB"/>
        </w:rPr>
      </w:pPr>
      <w:r w:rsidRPr="4A638A00" w:rsidR="6CE8A7A1">
        <w:rPr>
          <w:rFonts w:ascii="Arial" w:hAnsi="Arial" w:eastAsia="Arial" w:cs="Arial"/>
          <w:b w:val="0"/>
          <w:bCs w:val="0"/>
          <w:i w:val="0"/>
          <w:iCs w:val="0"/>
          <w:noProof w:val="0"/>
          <w:color w:val="auto"/>
          <w:sz w:val="24"/>
          <w:szCs w:val="24"/>
          <w:lang w:val="en-GB"/>
        </w:rPr>
        <w:t xml:space="preserve">This report examined how BHP can strengthen its position during the transition to a lower-carbon economy. If presenting these findings to senior leadership, I would explain that the decisions made throughout the report were based on the organisation's strategic importance within the global mining industry and its strong commitment to supporting decarbonisation through the production of critical minerals. BHP has publicly recognised the opportunities and risks associated with climate change and has outlined plans to increase its exposure to commodities that support electrification, renewable </w:t>
      </w:r>
      <w:r w:rsidRPr="4A638A00" w:rsidR="6CE8A7A1">
        <w:rPr>
          <w:rFonts w:ascii="Arial" w:hAnsi="Arial" w:eastAsia="Arial" w:cs="Arial"/>
          <w:b w:val="0"/>
          <w:bCs w:val="0"/>
          <w:i w:val="0"/>
          <w:iCs w:val="0"/>
          <w:noProof w:val="0"/>
          <w:color w:val="auto"/>
          <w:sz w:val="24"/>
          <w:szCs w:val="24"/>
          <w:lang w:val="en-GB"/>
        </w:rPr>
        <w:t>energy</w:t>
      </w:r>
      <w:r w:rsidRPr="4A638A00" w:rsidR="6CE8A7A1">
        <w:rPr>
          <w:rFonts w:ascii="Arial" w:hAnsi="Arial" w:eastAsia="Arial" w:cs="Arial"/>
          <w:b w:val="0"/>
          <w:bCs w:val="0"/>
          <w:i w:val="0"/>
          <w:iCs w:val="0"/>
          <w:noProof w:val="0"/>
          <w:color w:val="auto"/>
          <w:sz w:val="24"/>
          <w:szCs w:val="24"/>
          <w:lang w:val="en-GB"/>
        </w:rPr>
        <w:t xml:space="preserve"> and the transition to a net-zero economy</w:t>
      </w:r>
      <w:r w:rsidRPr="4A638A00" w:rsidR="4D360B6D">
        <w:rPr>
          <w:rFonts w:ascii="Arial" w:hAnsi="Arial" w:eastAsia="Arial" w:cs="Arial"/>
          <w:b w:val="0"/>
          <w:bCs w:val="0"/>
          <w:i w:val="0"/>
          <w:iCs w:val="0"/>
          <w:noProof w:val="0"/>
          <w:color w:val="auto"/>
          <w:sz w:val="24"/>
          <w:szCs w:val="24"/>
          <w:lang w:val="en-GB"/>
        </w:rPr>
        <w:t xml:space="preserve"> </w:t>
      </w:r>
      <w:r w:rsidRPr="4A638A00" w:rsidR="4D360B6D">
        <w:rPr>
          <w:rFonts w:ascii="Times New Roman" w:hAnsi="Times New Roman" w:eastAsia="Times New Roman" w:cs="Times New Roman"/>
          <w:noProof w:val="0"/>
          <w:sz w:val="24"/>
          <w:szCs w:val="24"/>
          <w:lang w:val="en-GB"/>
        </w:rPr>
        <w:t>(Silva and Castañeda-Ayarza.2021).</w:t>
      </w:r>
    </w:p>
    <w:p w:rsidR="6E490EE5" w:rsidP="4A638A00" w:rsidRDefault="6E490EE5" w14:paraId="0E17B511" w14:textId="4A7442F6">
      <w:pPr>
        <w:pStyle w:val="Normal"/>
        <w:spacing w:before="210" w:beforeAutospacing="off" w:after="210" w:afterAutospacing="off" w:line="300" w:lineRule="auto"/>
        <w:rPr>
          <w:rFonts w:ascii="Arial" w:hAnsi="Arial" w:eastAsia="Arial" w:cs="Arial"/>
          <w:noProof w:val="0"/>
          <w:sz w:val="24"/>
          <w:szCs w:val="24"/>
          <w:lang w:val="en-GB"/>
        </w:rPr>
      </w:pPr>
      <w:r w:rsidRPr="4A638A00" w:rsidR="6CE8A7A1">
        <w:rPr>
          <w:rFonts w:ascii="Arial" w:hAnsi="Arial" w:eastAsia="Arial" w:cs="Arial"/>
          <w:b w:val="0"/>
          <w:bCs w:val="0"/>
          <w:i w:val="0"/>
          <w:iCs w:val="0"/>
          <w:noProof w:val="0"/>
          <w:color w:val="auto"/>
          <w:sz w:val="24"/>
          <w:szCs w:val="24"/>
          <w:lang w:val="en-GB"/>
        </w:rPr>
        <w:t xml:space="preserve">The decision to select BHP as the focus of this report was driven by its position as one of the world's leading mining companies and its active role in the energy transition. The company is uniquely placed to </w:t>
      </w:r>
      <w:r w:rsidRPr="4A638A00" w:rsidR="6CE8A7A1">
        <w:rPr>
          <w:rFonts w:ascii="Arial" w:hAnsi="Arial" w:eastAsia="Arial" w:cs="Arial"/>
          <w:b w:val="0"/>
          <w:bCs w:val="0"/>
          <w:i w:val="0"/>
          <w:iCs w:val="0"/>
          <w:noProof w:val="0"/>
          <w:color w:val="auto"/>
          <w:sz w:val="24"/>
          <w:szCs w:val="24"/>
          <w:lang w:val="en-GB"/>
        </w:rPr>
        <w:t>benefit</w:t>
      </w:r>
      <w:r w:rsidRPr="4A638A00" w:rsidR="6CE8A7A1">
        <w:rPr>
          <w:rFonts w:ascii="Arial" w:hAnsi="Arial" w:eastAsia="Arial" w:cs="Arial"/>
          <w:b w:val="0"/>
          <w:bCs w:val="0"/>
          <w:i w:val="0"/>
          <w:iCs w:val="0"/>
          <w:noProof w:val="0"/>
          <w:color w:val="auto"/>
          <w:sz w:val="24"/>
          <w:szCs w:val="24"/>
          <w:lang w:val="en-GB"/>
        </w:rPr>
        <w:t xml:space="preserve"> from the growing demand for minerals such as copper and nickel, which are essential components in renewable energy systems, electric </w:t>
      </w:r>
      <w:r w:rsidRPr="4A638A00" w:rsidR="6CE8A7A1">
        <w:rPr>
          <w:rFonts w:ascii="Arial" w:hAnsi="Arial" w:eastAsia="Arial" w:cs="Arial"/>
          <w:b w:val="0"/>
          <w:bCs w:val="0"/>
          <w:i w:val="0"/>
          <w:iCs w:val="0"/>
          <w:noProof w:val="0"/>
          <w:color w:val="auto"/>
          <w:sz w:val="24"/>
          <w:szCs w:val="24"/>
          <w:lang w:val="en-GB"/>
        </w:rPr>
        <w:t>vehicles</w:t>
      </w:r>
      <w:r w:rsidRPr="4A638A00" w:rsidR="6CE8A7A1">
        <w:rPr>
          <w:rFonts w:ascii="Arial" w:hAnsi="Arial" w:eastAsia="Arial" w:cs="Arial"/>
          <w:b w:val="0"/>
          <w:bCs w:val="0"/>
          <w:i w:val="0"/>
          <w:iCs w:val="0"/>
          <w:noProof w:val="0"/>
          <w:color w:val="auto"/>
          <w:sz w:val="24"/>
          <w:szCs w:val="24"/>
          <w:lang w:val="en-GB"/>
        </w:rPr>
        <w:t xml:space="preserve"> and battery storage technologies. At the same time, BHP faces increasing expectations from governments, </w:t>
      </w:r>
      <w:r w:rsidRPr="4A638A00" w:rsidR="6CE8A7A1">
        <w:rPr>
          <w:rFonts w:ascii="Arial" w:hAnsi="Arial" w:eastAsia="Arial" w:cs="Arial"/>
          <w:b w:val="0"/>
          <w:bCs w:val="0"/>
          <w:i w:val="0"/>
          <w:iCs w:val="0"/>
          <w:noProof w:val="0"/>
          <w:color w:val="auto"/>
          <w:sz w:val="24"/>
          <w:szCs w:val="24"/>
          <w:lang w:val="en-GB"/>
        </w:rPr>
        <w:t>investors</w:t>
      </w:r>
      <w:r w:rsidRPr="4A638A00" w:rsidR="6CE8A7A1">
        <w:rPr>
          <w:rFonts w:ascii="Arial" w:hAnsi="Arial" w:eastAsia="Arial" w:cs="Arial"/>
          <w:b w:val="0"/>
          <w:bCs w:val="0"/>
          <w:i w:val="0"/>
          <w:iCs w:val="0"/>
          <w:noProof w:val="0"/>
          <w:color w:val="auto"/>
          <w:sz w:val="24"/>
          <w:szCs w:val="24"/>
          <w:lang w:val="en-GB"/>
        </w:rPr>
        <w:t xml:space="preserve"> and society to reduce environmental impacts and improve sustainability performance</w:t>
      </w:r>
      <w:r w:rsidRPr="4A638A00" w:rsidR="57EF5455">
        <w:rPr>
          <w:rFonts w:ascii="Arial" w:hAnsi="Arial" w:eastAsia="Arial" w:cs="Arial"/>
          <w:b w:val="0"/>
          <w:bCs w:val="0"/>
          <w:i w:val="0"/>
          <w:iCs w:val="0"/>
          <w:noProof w:val="0"/>
          <w:color w:val="auto"/>
          <w:sz w:val="24"/>
          <w:szCs w:val="24"/>
          <w:lang w:val="en-GB"/>
        </w:rPr>
        <w:t xml:space="preserve"> </w:t>
      </w:r>
      <w:r w:rsidRPr="4A638A00" w:rsidR="57EF5455">
        <w:rPr>
          <w:rFonts w:ascii="Times New Roman" w:hAnsi="Times New Roman" w:eastAsia="Times New Roman" w:cs="Times New Roman"/>
          <w:noProof w:val="0"/>
          <w:sz w:val="24"/>
          <w:szCs w:val="24"/>
          <w:lang w:val="en-GB"/>
        </w:rPr>
        <w:t>(Silva and Castañeda-Ayarza.2021).</w:t>
      </w:r>
    </w:p>
    <w:p w:rsidR="6E490EE5" w:rsidP="4A638A00" w:rsidRDefault="6E490EE5" w14:paraId="6AB8F80E" w14:textId="313B0B14">
      <w:pPr>
        <w:pStyle w:val="Normal"/>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6CE8A7A1">
        <w:rPr>
          <w:rFonts w:ascii="Arial" w:hAnsi="Arial" w:eastAsia="Arial" w:cs="Arial"/>
          <w:b w:val="0"/>
          <w:bCs w:val="0"/>
          <w:i w:val="0"/>
          <w:iCs w:val="0"/>
          <w:noProof w:val="0"/>
          <w:color w:val="auto"/>
          <w:sz w:val="24"/>
          <w:szCs w:val="24"/>
          <w:lang w:val="en-GB"/>
        </w:rPr>
        <w:t xml:space="preserve">The choice of macro-environmental factors focused on </w:t>
      </w:r>
      <w:r w:rsidRPr="4A638A00" w:rsidR="6CE8A7A1">
        <w:rPr>
          <w:rFonts w:ascii="Arial" w:hAnsi="Arial" w:eastAsia="Arial" w:cs="Arial"/>
          <w:b w:val="1"/>
          <w:bCs w:val="1"/>
          <w:i w:val="0"/>
          <w:iCs w:val="0"/>
          <w:noProof w:val="0"/>
          <w:color w:val="auto"/>
          <w:sz w:val="24"/>
          <w:szCs w:val="24"/>
          <w:lang w:val="en-GB"/>
        </w:rPr>
        <w:t>Environmental, Political and Technological factors</w:t>
      </w:r>
      <w:r w:rsidRPr="4A638A00" w:rsidR="6CE8A7A1">
        <w:rPr>
          <w:rFonts w:ascii="Arial" w:hAnsi="Arial" w:eastAsia="Arial" w:cs="Arial"/>
          <w:b w:val="0"/>
          <w:bCs w:val="0"/>
          <w:i w:val="0"/>
          <w:iCs w:val="0"/>
          <w:noProof w:val="0"/>
          <w:color w:val="auto"/>
          <w:sz w:val="24"/>
          <w:szCs w:val="24"/>
          <w:lang w:val="en-GB"/>
        </w:rPr>
        <w:t xml:space="preserve"> because these were identified as having the greatest influence on BHP's future growth and strategic direction. The Environmental factor was given the most attention because climate change is fundamentally reshaping the mining industry. Growing demand for low-carbon technologies is creating significant opportunities for BHP's copper and other transition minerals, while increasing pressure on mining companies to reduce emissions and improve environmental performance</w:t>
      </w:r>
      <w:r w:rsidRPr="4A638A00" w:rsidR="55CCFC6B">
        <w:rPr>
          <w:rFonts w:ascii="Arial" w:hAnsi="Arial" w:eastAsia="Arial" w:cs="Arial"/>
          <w:b w:val="0"/>
          <w:bCs w:val="0"/>
          <w:i w:val="0"/>
          <w:iCs w:val="0"/>
          <w:noProof w:val="0"/>
          <w:color w:val="auto"/>
          <w:sz w:val="24"/>
          <w:szCs w:val="24"/>
          <w:lang w:val="en-GB"/>
        </w:rPr>
        <w:t xml:space="preserve"> </w:t>
      </w:r>
      <w:r w:rsidRPr="4A638A00" w:rsidR="55CCFC6B">
        <w:rPr>
          <w:rFonts w:ascii="Times New Roman" w:hAnsi="Times New Roman" w:eastAsia="Times New Roman" w:cs="Times New Roman"/>
          <w:noProof w:val="0"/>
          <w:sz w:val="24"/>
          <w:szCs w:val="24"/>
          <w:lang w:val="en-GB"/>
        </w:rPr>
        <w:t>(Acharya.2024)</w:t>
      </w:r>
      <w:r w:rsidRPr="4A638A00" w:rsidR="55CCFC6B">
        <w:rPr>
          <w:rFonts w:ascii="Arial" w:hAnsi="Arial" w:eastAsia="Arial" w:cs="Arial"/>
          <w:b w:val="0"/>
          <w:bCs w:val="0"/>
          <w:i w:val="0"/>
          <w:iCs w:val="0"/>
          <w:noProof w:val="0"/>
          <w:color w:val="auto"/>
          <w:sz w:val="24"/>
          <w:szCs w:val="24"/>
          <w:lang w:val="en-GB"/>
        </w:rPr>
        <w:t>.</w:t>
      </w:r>
    </w:p>
    <w:p w:rsidR="6E490EE5" w:rsidP="4A638A00" w:rsidRDefault="6E490EE5" w14:paraId="7CB76404" w14:textId="2D78423E">
      <w:pPr>
        <w:pStyle w:val="Normal"/>
        <w:spacing w:before="210" w:beforeAutospacing="off" w:after="210" w:afterAutospacing="off" w:line="300" w:lineRule="auto"/>
        <w:rPr>
          <w:rFonts w:ascii="Arial" w:hAnsi="Arial" w:eastAsia="Arial" w:cs="Arial"/>
          <w:noProof w:val="0"/>
          <w:sz w:val="24"/>
          <w:szCs w:val="24"/>
          <w:lang w:val="en-GB"/>
        </w:rPr>
      </w:pPr>
      <w:r w:rsidRPr="4A638A00" w:rsidR="6CE8A7A1">
        <w:rPr>
          <w:rFonts w:ascii="Arial" w:hAnsi="Arial" w:eastAsia="Arial" w:cs="Arial"/>
          <w:b w:val="0"/>
          <w:bCs w:val="0"/>
          <w:i w:val="0"/>
          <w:iCs w:val="0"/>
          <w:noProof w:val="0"/>
          <w:color w:val="auto"/>
          <w:sz w:val="24"/>
          <w:szCs w:val="24"/>
          <w:lang w:val="en-GB"/>
        </w:rPr>
        <w:t xml:space="preserve">Political factors were selected because governments play </w:t>
      </w:r>
      <w:r w:rsidRPr="4A638A00" w:rsidR="6CE8A7A1">
        <w:rPr>
          <w:rFonts w:ascii="Arial" w:hAnsi="Arial" w:eastAsia="Arial" w:cs="Arial"/>
          <w:b w:val="0"/>
          <w:bCs w:val="0"/>
          <w:i w:val="0"/>
          <w:iCs w:val="0"/>
          <w:noProof w:val="0"/>
          <w:color w:val="auto"/>
          <w:sz w:val="24"/>
          <w:szCs w:val="24"/>
          <w:lang w:val="en-GB"/>
        </w:rPr>
        <w:t>a major role</w:t>
      </w:r>
      <w:r w:rsidRPr="4A638A00" w:rsidR="6CE8A7A1">
        <w:rPr>
          <w:rFonts w:ascii="Arial" w:hAnsi="Arial" w:eastAsia="Arial" w:cs="Arial"/>
          <w:b w:val="0"/>
          <w:bCs w:val="0"/>
          <w:i w:val="0"/>
          <w:iCs w:val="0"/>
          <w:noProof w:val="0"/>
          <w:color w:val="auto"/>
          <w:sz w:val="24"/>
          <w:szCs w:val="24"/>
          <w:lang w:val="en-GB"/>
        </w:rPr>
        <w:t xml:space="preserve"> in driving the transition to a low-carbon economy through climate policies, environmental </w:t>
      </w:r>
      <w:r w:rsidRPr="4A638A00" w:rsidR="6CE8A7A1">
        <w:rPr>
          <w:rFonts w:ascii="Arial" w:hAnsi="Arial" w:eastAsia="Arial" w:cs="Arial"/>
          <w:b w:val="0"/>
          <w:bCs w:val="0"/>
          <w:i w:val="0"/>
          <w:iCs w:val="0"/>
          <w:noProof w:val="0"/>
          <w:color w:val="auto"/>
          <w:sz w:val="24"/>
          <w:szCs w:val="24"/>
          <w:lang w:val="en-GB"/>
        </w:rPr>
        <w:t>regulations</w:t>
      </w:r>
      <w:r w:rsidRPr="4A638A00" w:rsidR="6CE8A7A1">
        <w:rPr>
          <w:rFonts w:ascii="Arial" w:hAnsi="Arial" w:eastAsia="Arial" w:cs="Arial"/>
          <w:b w:val="0"/>
          <w:bCs w:val="0"/>
          <w:i w:val="0"/>
          <w:iCs w:val="0"/>
          <w:noProof w:val="0"/>
          <w:color w:val="auto"/>
          <w:sz w:val="24"/>
          <w:szCs w:val="24"/>
          <w:lang w:val="en-GB"/>
        </w:rPr>
        <w:t xml:space="preserve"> and investment in clean energy infrastructure. These factors directly influence market demand, project </w:t>
      </w:r>
      <w:r w:rsidRPr="4A638A00" w:rsidR="6CE8A7A1">
        <w:rPr>
          <w:rFonts w:ascii="Arial" w:hAnsi="Arial" w:eastAsia="Arial" w:cs="Arial"/>
          <w:b w:val="0"/>
          <w:bCs w:val="0"/>
          <w:i w:val="0"/>
          <w:iCs w:val="0"/>
          <w:noProof w:val="0"/>
          <w:color w:val="auto"/>
          <w:sz w:val="24"/>
          <w:szCs w:val="24"/>
          <w:lang w:val="en-GB"/>
        </w:rPr>
        <w:t>approvals</w:t>
      </w:r>
      <w:r w:rsidRPr="4A638A00" w:rsidR="6CE8A7A1">
        <w:rPr>
          <w:rFonts w:ascii="Arial" w:hAnsi="Arial" w:eastAsia="Arial" w:cs="Arial"/>
          <w:b w:val="0"/>
          <w:bCs w:val="0"/>
          <w:i w:val="0"/>
          <w:iCs w:val="0"/>
          <w:noProof w:val="0"/>
          <w:color w:val="auto"/>
          <w:sz w:val="24"/>
          <w:szCs w:val="24"/>
          <w:lang w:val="en-GB"/>
        </w:rPr>
        <w:t xml:space="preserve"> and long-term business planning. Technological factors were included because advances in battery technology, automation and mine electrification are transforming both customer demand and mining operations. BHP's partnerships and investments in low-carbon technologies </w:t>
      </w:r>
      <w:r w:rsidRPr="4A638A00" w:rsidR="6CE8A7A1">
        <w:rPr>
          <w:rFonts w:ascii="Arial" w:hAnsi="Arial" w:eastAsia="Arial" w:cs="Arial"/>
          <w:b w:val="0"/>
          <w:bCs w:val="0"/>
          <w:i w:val="0"/>
          <w:iCs w:val="0"/>
          <w:noProof w:val="0"/>
          <w:color w:val="auto"/>
          <w:sz w:val="24"/>
          <w:szCs w:val="24"/>
          <w:lang w:val="en-GB"/>
        </w:rPr>
        <w:t>demonstrate</w:t>
      </w:r>
      <w:r w:rsidRPr="4A638A00" w:rsidR="6CE8A7A1">
        <w:rPr>
          <w:rFonts w:ascii="Arial" w:hAnsi="Arial" w:eastAsia="Arial" w:cs="Arial"/>
          <w:b w:val="0"/>
          <w:bCs w:val="0"/>
          <w:i w:val="0"/>
          <w:iCs w:val="0"/>
          <w:noProof w:val="0"/>
          <w:color w:val="auto"/>
          <w:sz w:val="24"/>
          <w:szCs w:val="24"/>
          <w:lang w:val="en-GB"/>
        </w:rPr>
        <w:t xml:space="preserve"> the importance of innovation in </w:t>
      </w:r>
      <w:r w:rsidRPr="4A638A00" w:rsidR="6CE8A7A1">
        <w:rPr>
          <w:rFonts w:ascii="Arial" w:hAnsi="Arial" w:eastAsia="Arial" w:cs="Arial"/>
          <w:b w:val="0"/>
          <w:bCs w:val="0"/>
          <w:i w:val="0"/>
          <w:iCs w:val="0"/>
          <w:noProof w:val="0"/>
          <w:color w:val="auto"/>
          <w:sz w:val="24"/>
          <w:szCs w:val="24"/>
          <w:lang w:val="en-GB"/>
        </w:rPr>
        <w:t>maintaining</w:t>
      </w:r>
      <w:r w:rsidRPr="4A638A00" w:rsidR="6CE8A7A1">
        <w:rPr>
          <w:rFonts w:ascii="Arial" w:hAnsi="Arial" w:eastAsia="Arial" w:cs="Arial"/>
          <w:b w:val="0"/>
          <w:bCs w:val="0"/>
          <w:i w:val="0"/>
          <w:iCs w:val="0"/>
          <w:noProof w:val="0"/>
          <w:color w:val="auto"/>
          <w:sz w:val="24"/>
          <w:szCs w:val="24"/>
          <w:lang w:val="en-GB"/>
        </w:rPr>
        <w:t xml:space="preserve"> competitiveness</w:t>
      </w:r>
      <w:r w:rsidRPr="4A638A00" w:rsidR="7DFB9700">
        <w:rPr>
          <w:rFonts w:ascii="Arial" w:hAnsi="Arial" w:eastAsia="Arial" w:cs="Arial"/>
          <w:b w:val="0"/>
          <w:bCs w:val="0"/>
          <w:i w:val="0"/>
          <w:iCs w:val="0"/>
          <w:noProof w:val="0"/>
          <w:color w:val="auto"/>
          <w:sz w:val="24"/>
          <w:szCs w:val="24"/>
          <w:lang w:val="en-GB"/>
        </w:rPr>
        <w:t xml:space="preserve"> </w:t>
      </w:r>
      <w:r w:rsidRPr="4A638A00" w:rsidR="7DFB9700">
        <w:rPr>
          <w:rFonts w:ascii="Times New Roman" w:hAnsi="Times New Roman" w:eastAsia="Times New Roman" w:cs="Times New Roman"/>
          <w:noProof w:val="0"/>
          <w:sz w:val="24"/>
          <w:szCs w:val="24"/>
          <w:lang w:val="en-GB"/>
        </w:rPr>
        <w:t>(Silva and Castañeda-Ayarza.2021).</w:t>
      </w:r>
    </w:p>
    <w:p w:rsidR="6E490EE5" w:rsidP="4A638A00" w:rsidRDefault="6E490EE5" w14:paraId="4261BB7B" w14:textId="486A82D8">
      <w:pPr>
        <w:spacing w:before="210" w:beforeAutospacing="off" w:after="210" w:afterAutospacing="off" w:line="300" w:lineRule="auto"/>
        <w:rPr>
          <w:rFonts w:ascii="Arial" w:hAnsi="Arial" w:eastAsia="Arial" w:cs="Arial"/>
          <w:b w:val="0"/>
          <w:bCs w:val="0"/>
          <w:i w:val="0"/>
          <w:iCs w:val="0"/>
          <w:strike w:val="0"/>
          <w:dstrike w:val="0"/>
          <w:noProof w:val="0"/>
          <w:color w:val="auto"/>
          <w:sz w:val="24"/>
          <w:szCs w:val="24"/>
          <w:u w:val="none"/>
          <w:lang w:val="en-GB"/>
        </w:rPr>
      </w:pPr>
      <w:r w:rsidRPr="4A638A00" w:rsidR="6CE8A7A1">
        <w:rPr>
          <w:rFonts w:ascii="Arial" w:hAnsi="Arial" w:eastAsia="Arial" w:cs="Arial"/>
          <w:b w:val="0"/>
          <w:bCs w:val="0"/>
          <w:i w:val="0"/>
          <w:iCs w:val="0"/>
          <w:noProof w:val="0"/>
          <w:color w:val="auto"/>
          <w:sz w:val="24"/>
          <w:szCs w:val="24"/>
          <w:lang w:val="en-GB"/>
        </w:rPr>
        <w:t xml:space="preserve">When considering strategic growth, I recommended </w:t>
      </w:r>
      <w:r w:rsidRPr="4A638A00" w:rsidR="6CE8A7A1">
        <w:rPr>
          <w:rFonts w:ascii="Arial" w:hAnsi="Arial" w:eastAsia="Arial" w:cs="Arial"/>
          <w:b w:val="1"/>
          <w:bCs w:val="1"/>
          <w:i w:val="0"/>
          <w:iCs w:val="0"/>
          <w:noProof w:val="0"/>
          <w:color w:val="auto"/>
          <w:sz w:val="24"/>
          <w:szCs w:val="24"/>
          <w:lang w:val="en-GB"/>
        </w:rPr>
        <w:t>Porter's Differentiation Strategy</w:t>
      </w:r>
      <w:r w:rsidRPr="4A638A00" w:rsidR="6CE8A7A1">
        <w:rPr>
          <w:rFonts w:ascii="Arial" w:hAnsi="Arial" w:eastAsia="Arial" w:cs="Arial"/>
          <w:b w:val="0"/>
          <w:bCs w:val="0"/>
          <w:i w:val="0"/>
          <w:iCs w:val="0"/>
          <w:noProof w:val="0"/>
          <w:color w:val="auto"/>
          <w:sz w:val="24"/>
          <w:szCs w:val="24"/>
          <w:lang w:val="en-GB"/>
        </w:rPr>
        <w:t xml:space="preserve">. This was chosen because competing solely on cost may become increasingly difficult as sustainability expectations rise across the mining sector. Instead, BHP can differentiate itself through responsible mining practices, lower-carbon </w:t>
      </w:r>
      <w:r w:rsidRPr="4A638A00" w:rsidR="6CE8A7A1">
        <w:rPr>
          <w:rFonts w:ascii="Arial" w:hAnsi="Arial" w:eastAsia="Arial" w:cs="Arial"/>
          <w:b w:val="0"/>
          <w:bCs w:val="0"/>
          <w:i w:val="0"/>
          <w:iCs w:val="0"/>
          <w:noProof w:val="0"/>
          <w:color w:val="auto"/>
          <w:sz w:val="24"/>
          <w:szCs w:val="24"/>
          <w:lang w:val="en-GB"/>
        </w:rPr>
        <w:t>operations</w:t>
      </w:r>
      <w:r w:rsidRPr="4A638A00" w:rsidR="6CE8A7A1">
        <w:rPr>
          <w:rFonts w:ascii="Arial" w:hAnsi="Arial" w:eastAsia="Arial" w:cs="Arial"/>
          <w:b w:val="0"/>
          <w:bCs w:val="0"/>
          <w:i w:val="0"/>
          <w:iCs w:val="0"/>
          <w:noProof w:val="0"/>
          <w:color w:val="auto"/>
          <w:sz w:val="24"/>
          <w:szCs w:val="24"/>
          <w:lang w:val="en-GB"/>
        </w:rPr>
        <w:t xml:space="preserve"> and its ability to supply the critical minerals </w:t>
      </w:r>
      <w:r w:rsidRPr="4A638A00" w:rsidR="6CE8A7A1">
        <w:rPr>
          <w:rFonts w:ascii="Arial" w:hAnsi="Arial" w:eastAsia="Arial" w:cs="Arial"/>
          <w:b w:val="0"/>
          <w:bCs w:val="0"/>
          <w:i w:val="0"/>
          <w:iCs w:val="0"/>
          <w:noProof w:val="0"/>
          <w:color w:val="auto"/>
          <w:sz w:val="24"/>
          <w:szCs w:val="24"/>
          <w:lang w:val="en-GB"/>
        </w:rPr>
        <w:t>required</w:t>
      </w:r>
      <w:r w:rsidRPr="4A638A00" w:rsidR="6CE8A7A1">
        <w:rPr>
          <w:rFonts w:ascii="Arial" w:hAnsi="Arial" w:eastAsia="Arial" w:cs="Arial"/>
          <w:b w:val="0"/>
          <w:bCs w:val="0"/>
          <w:i w:val="0"/>
          <w:iCs w:val="0"/>
          <w:noProof w:val="0"/>
          <w:color w:val="auto"/>
          <w:sz w:val="24"/>
          <w:szCs w:val="24"/>
          <w:lang w:val="en-GB"/>
        </w:rPr>
        <w:t xml:space="preserve"> for the global energy transition. Strong environmental performance, </w:t>
      </w:r>
      <w:r w:rsidRPr="4A638A00" w:rsidR="6CE8A7A1">
        <w:rPr>
          <w:rFonts w:ascii="Arial" w:hAnsi="Arial" w:eastAsia="Arial" w:cs="Arial"/>
          <w:b w:val="0"/>
          <w:bCs w:val="0"/>
          <w:i w:val="0"/>
          <w:iCs w:val="0"/>
          <w:noProof w:val="0"/>
          <w:color w:val="auto"/>
          <w:sz w:val="24"/>
          <w:szCs w:val="24"/>
          <w:lang w:val="en-GB"/>
        </w:rPr>
        <w:t>innovation</w:t>
      </w:r>
      <w:r w:rsidRPr="4A638A00" w:rsidR="6CE8A7A1">
        <w:rPr>
          <w:rFonts w:ascii="Arial" w:hAnsi="Arial" w:eastAsia="Arial" w:cs="Arial"/>
          <w:b w:val="0"/>
          <w:bCs w:val="0"/>
          <w:i w:val="0"/>
          <w:iCs w:val="0"/>
          <w:noProof w:val="0"/>
          <w:color w:val="auto"/>
          <w:sz w:val="24"/>
          <w:szCs w:val="24"/>
          <w:lang w:val="en-GB"/>
        </w:rPr>
        <w:t xml:space="preserve"> and sustainability leadership can help the company build a competitive advantage that is difficult for competitors to replicate. </w:t>
      </w:r>
    </w:p>
    <w:p w:rsidR="6E490EE5" w:rsidP="4A638A00" w:rsidRDefault="6E490EE5" w14:paraId="68108472" w14:textId="0BBA97DE">
      <w:pPr>
        <w:pStyle w:val="Normal"/>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6CE8A7A1">
        <w:rPr>
          <w:rFonts w:ascii="Arial" w:hAnsi="Arial" w:eastAsia="Arial" w:cs="Arial"/>
          <w:b w:val="0"/>
          <w:bCs w:val="0"/>
          <w:i w:val="0"/>
          <w:iCs w:val="0"/>
          <w:noProof w:val="0"/>
          <w:color w:val="auto"/>
          <w:sz w:val="24"/>
          <w:szCs w:val="24"/>
          <w:lang w:val="en-GB"/>
        </w:rPr>
        <w:t xml:space="preserve">Despite </w:t>
      </w:r>
      <w:r w:rsidRPr="4A638A00" w:rsidR="6CE8A7A1">
        <w:rPr>
          <w:rFonts w:ascii="Arial" w:hAnsi="Arial" w:eastAsia="Arial" w:cs="Arial"/>
          <w:b w:val="0"/>
          <w:bCs w:val="0"/>
          <w:i w:val="0"/>
          <w:iCs w:val="0"/>
          <w:noProof w:val="0"/>
          <w:color w:val="auto"/>
          <w:sz w:val="24"/>
          <w:szCs w:val="24"/>
          <w:lang w:val="en-GB"/>
        </w:rPr>
        <w:t>providing</w:t>
      </w:r>
      <w:r w:rsidRPr="4A638A00" w:rsidR="6CE8A7A1">
        <w:rPr>
          <w:rFonts w:ascii="Arial" w:hAnsi="Arial" w:eastAsia="Arial" w:cs="Arial"/>
          <w:b w:val="0"/>
          <w:bCs w:val="0"/>
          <w:i w:val="0"/>
          <w:iCs w:val="0"/>
          <w:noProof w:val="0"/>
          <w:color w:val="auto"/>
          <w:sz w:val="24"/>
          <w:szCs w:val="24"/>
          <w:lang w:val="en-GB"/>
        </w:rPr>
        <w:t xml:space="preserve"> useful insights, this analysis has several limitations. Firstly, the report relied </w:t>
      </w:r>
      <w:r w:rsidRPr="4A638A00" w:rsidR="6CE8A7A1">
        <w:rPr>
          <w:rFonts w:ascii="Arial" w:hAnsi="Arial" w:eastAsia="Arial" w:cs="Arial"/>
          <w:b w:val="0"/>
          <w:bCs w:val="0"/>
          <w:i w:val="0"/>
          <w:iCs w:val="0"/>
          <w:noProof w:val="0"/>
          <w:color w:val="auto"/>
          <w:sz w:val="24"/>
          <w:szCs w:val="24"/>
          <w:lang w:val="en-GB"/>
        </w:rPr>
        <w:t>mainly on</w:t>
      </w:r>
      <w:r w:rsidRPr="4A638A00" w:rsidR="6CE8A7A1">
        <w:rPr>
          <w:rFonts w:ascii="Arial" w:hAnsi="Arial" w:eastAsia="Arial" w:cs="Arial"/>
          <w:b w:val="0"/>
          <w:bCs w:val="0"/>
          <w:i w:val="0"/>
          <w:iCs w:val="0"/>
          <w:noProof w:val="0"/>
          <w:color w:val="auto"/>
          <w:sz w:val="24"/>
          <w:szCs w:val="24"/>
          <w:lang w:val="en-GB"/>
        </w:rPr>
        <w:t xml:space="preserve"> publicly available information and company reports. While these sources provide valuable strategic information, they may not fully reflect internal operational challenges, financial </w:t>
      </w:r>
      <w:r w:rsidRPr="4A638A00" w:rsidR="6CE8A7A1">
        <w:rPr>
          <w:rFonts w:ascii="Arial" w:hAnsi="Arial" w:eastAsia="Arial" w:cs="Arial"/>
          <w:b w:val="0"/>
          <w:bCs w:val="0"/>
          <w:i w:val="0"/>
          <w:iCs w:val="0"/>
          <w:noProof w:val="0"/>
          <w:color w:val="auto"/>
          <w:sz w:val="24"/>
          <w:szCs w:val="24"/>
          <w:lang w:val="en-GB"/>
        </w:rPr>
        <w:t>risks</w:t>
      </w:r>
      <w:r w:rsidRPr="4A638A00" w:rsidR="6CE8A7A1">
        <w:rPr>
          <w:rFonts w:ascii="Arial" w:hAnsi="Arial" w:eastAsia="Arial" w:cs="Arial"/>
          <w:b w:val="0"/>
          <w:bCs w:val="0"/>
          <w:i w:val="0"/>
          <w:iCs w:val="0"/>
          <w:noProof w:val="0"/>
          <w:color w:val="auto"/>
          <w:sz w:val="24"/>
          <w:szCs w:val="24"/>
          <w:lang w:val="en-GB"/>
        </w:rPr>
        <w:t xml:space="preserve"> or future investment priorities. Secondly, the analysis focused on only three macro-environmental factors. Other factors, such as economic conditions, global supply chain issues and social expectations, could also significantly influence BHP's performance and strategic decisions</w:t>
      </w:r>
      <w:r w:rsidRPr="4A638A00" w:rsidR="14EB8294">
        <w:rPr>
          <w:rFonts w:ascii="Arial" w:hAnsi="Arial" w:eastAsia="Arial" w:cs="Arial"/>
          <w:b w:val="0"/>
          <w:bCs w:val="0"/>
          <w:i w:val="0"/>
          <w:iCs w:val="0"/>
          <w:noProof w:val="0"/>
          <w:color w:val="auto"/>
          <w:sz w:val="24"/>
          <w:szCs w:val="24"/>
          <w:lang w:val="en-GB"/>
        </w:rPr>
        <w:t xml:space="preserve"> </w:t>
      </w:r>
      <w:r w:rsidRPr="4A638A00" w:rsidR="14EB8294">
        <w:rPr>
          <w:rFonts w:ascii="Times New Roman" w:hAnsi="Times New Roman" w:eastAsia="Times New Roman" w:cs="Times New Roman"/>
          <w:noProof w:val="0"/>
          <w:sz w:val="24"/>
          <w:szCs w:val="24"/>
          <w:lang w:val="en-GB"/>
        </w:rPr>
        <w:t>(Acharya.2024)</w:t>
      </w:r>
      <w:r w:rsidRPr="4A638A00" w:rsidR="14EB8294">
        <w:rPr>
          <w:rFonts w:ascii="Arial" w:hAnsi="Arial" w:eastAsia="Arial" w:cs="Arial"/>
          <w:b w:val="0"/>
          <w:bCs w:val="0"/>
          <w:i w:val="0"/>
          <w:iCs w:val="0"/>
          <w:noProof w:val="0"/>
          <w:color w:val="auto"/>
          <w:sz w:val="24"/>
          <w:szCs w:val="24"/>
          <w:lang w:val="en-GB"/>
        </w:rPr>
        <w:t>.</w:t>
      </w:r>
    </w:p>
    <w:p w:rsidR="6E490EE5" w:rsidP="4A638A00" w:rsidRDefault="6E490EE5" w14:paraId="03C429E5" w14:textId="3F42EA7C">
      <w:pPr>
        <w:spacing w:before="210" w:beforeAutospacing="off" w:after="210" w:afterAutospacing="off" w:line="300" w:lineRule="auto"/>
        <w:rPr>
          <w:rFonts w:ascii="Arial" w:hAnsi="Arial" w:eastAsia="Arial" w:cs="Arial"/>
          <w:b w:val="0"/>
          <w:bCs w:val="0"/>
          <w:i w:val="0"/>
          <w:iCs w:val="0"/>
          <w:noProof w:val="0"/>
          <w:color w:val="auto"/>
          <w:sz w:val="24"/>
          <w:szCs w:val="24"/>
          <w:lang w:val="en-GB"/>
        </w:rPr>
      </w:pPr>
      <w:r w:rsidRPr="4A638A00" w:rsidR="6CE8A7A1">
        <w:rPr>
          <w:rFonts w:ascii="Arial" w:hAnsi="Arial" w:eastAsia="Arial" w:cs="Arial"/>
          <w:b w:val="0"/>
          <w:bCs w:val="0"/>
          <w:i w:val="0"/>
          <w:iCs w:val="0"/>
          <w:noProof w:val="0"/>
          <w:color w:val="auto"/>
          <w:sz w:val="24"/>
          <w:szCs w:val="24"/>
          <w:lang w:val="en-GB"/>
        </w:rPr>
        <w:t xml:space="preserve">In conclusion, the report </w:t>
      </w:r>
      <w:r w:rsidRPr="4A638A00" w:rsidR="6CE8A7A1">
        <w:rPr>
          <w:rFonts w:ascii="Arial" w:hAnsi="Arial" w:eastAsia="Arial" w:cs="Arial"/>
          <w:b w:val="0"/>
          <w:bCs w:val="0"/>
          <w:i w:val="0"/>
          <w:iCs w:val="0"/>
          <w:noProof w:val="0"/>
          <w:color w:val="auto"/>
          <w:sz w:val="24"/>
          <w:szCs w:val="24"/>
          <w:lang w:val="en-GB"/>
        </w:rPr>
        <w:t>identified</w:t>
      </w:r>
      <w:r w:rsidRPr="4A638A00" w:rsidR="6CE8A7A1">
        <w:rPr>
          <w:rFonts w:ascii="Arial" w:hAnsi="Arial" w:eastAsia="Arial" w:cs="Arial"/>
          <w:b w:val="0"/>
          <w:bCs w:val="0"/>
          <w:i w:val="0"/>
          <w:iCs w:val="0"/>
          <w:noProof w:val="0"/>
          <w:color w:val="auto"/>
          <w:sz w:val="24"/>
          <w:szCs w:val="24"/>
          <w:lang w:val="en-GB"/>
        </w:rPr>
        <w:t xml:space="preserve"> significant opportunities for BHP to strengthen its position in a lower-carbon economy through sustainability leadership and strategic differentiation. However, a more comprehensive assessment supported by financial, operational and stakeholder data would be </w:t>
      </w:r>
      <w:r w:rsidRPr="4A638A00" w:rsidR="6CE8A7A1">
        <w:rPr>
          <w:rFonts w:ascii="Arial" w:hAnsi="Arial" w:eastAsia="Arial" w:cs="Arial"/>
          <w:b w:val="0"/>
          <w:bCs w:val="0"/>
          <w:i w:val="0"/>
          <w:iCs w:val="0"/>
          <w:noProof w:val="0"/>
          <w:color w:val="auto"/>
          <w:sz w:val="24"/>
          <w:szCs w:val="24"/>
          <w:lang w:val="en-GB"/>
        </w:rPr>
        <w:t>required</w:t>
      </w:r>
      <w:r w:rsidRPr="4A638A00" w:rsidR="6CE8A7A1">
        <w:rPr>
          <w:rFonts w:ascii="Arial" w:hAnsi="Arial" w:eastAsia="Arial" w:cs="Arial"/>
          <w:b w:val="0"/>
          <w:bCs w:val="0"/>
          <w:i w:val="0"/>
          <w:iCs w:val="0"/>
          <w:noProof w:val="0"/>
          <w:color w:val="auto"/>
          <w:sz w:val="24"/>
          <w:szCs w:val="24"/>
          <w:lang w:val="en-GB"/>
        </w:rPr>
        <w:t xml:space="preserve"> before making final strategic recommendations to senior leadership.</w:t>
      </w:r>
    </w:p>
    <w:p w:rsidR="6E490EE5" w:rsidP="6E490EE5" w:rsidRDefault="6E490EE5" w14:paraId="3B45B839" w14:textId="7939F09D">
      <w:pPr>
        <w:spacing w:before="210" w:after="210" w:line="300" w:lineRule="auto"/>
        <w:rPr>
          <w:rFonts w:ascii="Arial" w:hAnsi="Arial" w:eastAsia="Arial" w:cs="Arial"/>
          <w:lang w:val="en-GB"/>
        </w:rPr>
      </w:pPr>
    </w:p>
    <w:p w:rsidR="4A638A00" w:rsidP="4A638A00" w:rsidRDefault="4A638A00" w14:paraId="52594D71" w14:textId="69BD6EBE">
      <w:pPr>
        <w:spacing w:before="210" w:after="210" w:line="300" w:lineRule="auto"/>
        <w:rPr>
          <w:rFonts w:ascii="Arial" w:hAnsi="Arial" w:eastAsia="Arial" w:cs="Arial"/>
          <w:lang w:val="en-GB"/>
        </w:rPr>
      </w:pPr>
    </w:p>
    <w:p w:rsidR="4A638A00" w:rsidP="4A638A00" w:rsidRDefault="4A638A00" w14:paraId="48C71BCF" w14:textId="0B19F0E5">
      <w:pPr>
        <w:spacing w:before="210" w:after="210" w:line="300" w:lineRule="auto"/>
        <w:rPr>
          <w:rFonts w:ascii="Arial" w:hAnsi="Arial" w:eastAsia="Arial" w:cs="Arial"/>
          <w:lang w:val="en-GB"/>
        </w:rPr>
      </w:pPr>
    </w:p>
    <w:p w:rsidR="4A638A00" w:rsidP="4A638A00" w:rsidRDefault="4A638A00" w14:paraId="635D7F9C" w14:textId="4D49A67C">
      <w:pPr>
        <w:pStyle w:val="Heading2"/>
        <w:spacing w:before="261" w:after="261" w:line="300" w:lineRule="auto"/>
        <w:rPr>
          <w:rFonts w:ascii="Arial" w:hAnsi="Arial" w:eastAsia="Arial" w:cs="Arial"/>
          <w:b w:val="1"/>
          <w:bCs w:val="1"/>
          <w:color w:val="auto"/>
          <w:sz w:val="31"/>
          <w:szCs w:val="31"/>
          <w:lang w:val="en-GB"/>
        </w:rPr>
      </w:pPr>
    </w:p>
    <w:p w:rsidR="4A638A00" w:rsidP="4A638A00" w:rsidRDefault="4A638A00" w14:paraId="27A19612" w14:textId="6AAF65B1">
      <w:pPr>
        <w:pStyle w:val="Heading2"/>
        <w:spacing w:before="261" w:after="261" w:line="300" w:lineRule="auto"/>
        <w:rPr>
          <w:rFonts w:ascii="Arial" w:hAnsi="Arial" w:eastAsia="Arial" w:cs="Arial"/>
          <w:b w:val="1"/>
          <w:bCs w:val="1"/>
          <w:color w:val="auto"/>
          <w:sz w:val="31"/>
          <w:szCs w:val="31"/>
          <w:lang w:val="en-GB"/>
        </w:rPr>
      </w:pPr>
    </w:p>
    <w:p w:rsidR="4A638A00" w:rsidP="4A638A00" w:rsidRDefault="4A638A00" w14:paraId="2EC2BAED" w14:textId="47152E03">
      <w:pPr>
        <w:pStyle w:val="Heading2"/>
        <w:spacing w:before="261" w:after="261" w:line="300" w:lineRule="auto"/>
        <w:rPr>
          <w:rFonts w:ascii="Arial" w:hAnsi="Arial" w:eastAsia="Arial" w:cs="Arial"/>
          <w:b w:val="1"/>
          <w:bCs w:val="1"/>
          <w:color w:val="auto"/>
          <w:sz w:val="31"/>
          <w:szCs w:val="31"/>
          <w:lang w:val="en-GB"/>
        </w:rPr>
      </w:pPr>
    </w:p>
    <w:p w:rsidR="4A638A00" w:rsidP="4A638A00" w:rsidRDefault="4A638A00" w14:paraId="7D41E6E4" w14:textId="2967DC71">
      <w:pPr>
        <w:pStyle w:val="Normal"/>
        <w:rPr>
          <w:lang w:val="en-GB"/>
        </w:rPr>
      </w:pPr>
    </w:p>
    <w:p w:rsidR="4A638A00" w:rsidP="4A638A00" w:rsidRDefault="4A638A00" w14:paraId="13B6CA56" w14:textId="7CAA749F">
      <w:pPr>
        <w:pStyle w:val="Heading2"/>
        <w:spacing w:before="261" w:after="261" w:line="300" w:lineRule="auto"/>
        <w:rPr>
          <w:rFonts w:ascii="Arial" w:hAnsi="Arial" w:eastAsia="Arial" w:cs="Arial"/>
          <w:b w:val="1"/>
          <w:bCs w:val="1"/>
          <w:color w:val="auto"/>
          <w:sz w:val="31"/>
          <w:szCs w:val="31"/>
          <w:lang w:val="en-GB"/>
        </w:rPr>
      </w:pPr>
    </w:p>
    <w:p w:rsidR="4A638A00" w:rsidP="4A638A00" w:rsidRDefault="4A638A00" w14:paraId="01C37655" w14:textId="5AF685EC">
      <w:pPr>
        <w:pStyle w:val="Normal"/>
        <w:rPr>
          <w:lang w:val="en-GB"/>
        </w:rPr>
      </w:pPr>
    </w:p>
    <w:p w:rsidR="6D57D4B4" w:rsidP="6E490EE5" w:rsidRDefault="6D57D4B4" w14:paraId="7F502657" w14:textId="7D3AEDF1">
      <w:pPr>
        <w:pStyle w:val="Heading2"/>
        <w:spacing w:before="261" w:after="261" w:line="300" w:lineRule="auto"/>
        <w:rPr>
          <w:rFonts w:ascii="Arial" w:hAnsi="Arial" w:eastAsia="Arial" w:cs="Arial"/>
          <w:b w:val="1"/>
          <w:bCs w:val="1"/>
          <w:color w:val="auto"/>
          <w:sz w:val="31"/>
          <w:szCs w:val="31"/>
          <w:lang w:val="en-GB"/>
        </w:rPr>
      </w:pPr>
      <w:bookmarkStart w:name="_Toc2007298876" w:id="1916520622"/>
      <w:r w:rsidRPr="5A3801E9" w:rsidR="02986C03">
        <w:rPr>
          <w:rFonts w:ascii="Arial" w:hAnsi="Arial" w:eastAsia="Arial" w:cs="Arial"/>
          <w:b w:val="1"/>
          <w:bCs w:val="1"/>
          <w:color w:val="auto"/>
          <w:sz w:val="31"/>
          <w:szCs w:val="31"/>
          <w:lang w:val="en-GB"/>
        </w:rPr>
        <w:t>References</w:t>
      </w:r>
      <w:bookmarkEnd w:id="1916520622"/>
    </w:p>
    <w:p w:rsidR="6F43AE56" w:rsidP="6E490EE5" w:rsidRDefault="6F43AE56" w14:paraId="500E0239" w14:textId="2B97F773">
      <w:pPr>
        <w:spacing w:after="0" w:line="480" w:lineRule="auto"/>
        <w:ind w:left="720" w:hanging="720"/>
      </w:pPr>
      <w:r w:rsidRPr="6E490EE5">
        <w:rPr>
          <w:rFonts w:ascii="Times New Roman" w:hAnsi="Times New Roman" w:eastAsia="Times New Roman" w:cs="Times New Roman"/>
          <w:lang w:val="en-GB"/>
        </w:rPr>
        <w:t xml:space="preserve">BHP. “BHP | a Leading Global Resources Company.” </w:t>
      </w:r>
      <w:r w:rsidRPr="6E490EE5">
        <w:rPr>
          <w:rFonts w:ascii="Times New Roman" w:hAnsi="Times New Roman" w:eastAsia="Times New Roman" w:cs="Times New Roman"/>
          <w:i/>
          <w:iCs/>
          <w:lang w:val="en-GB"/>
        </w:rPr>
        <w:t>BHP</w:t>
      </w:r>
      <w:r w:rsidRPr="6E490EE5">
        <w:rPr>
          <w:rFonts w:ascii="Times New Roman" w:hAnsi="Times New Roman" w:eastAsia="Times New Roman" w:cs="Times New Roman"/>
          <w:lang w:val="en-GB"/>
        </w:rPr>
        <w:t xml:space="preserve">, 2023, </w:t>
      </w:r>
      <w:hyperlink r:id="rId10">
        <w:r w:rsidRPr="6E490EE5">
          <w:rPr>
            <w:rStyle w:val="Hyperlink"/>
            <w:lang w:val="en-GB"/>
          </w:rPr>
          <w:t>www.bhp.com</w:t>
        </w:r>
      </w:hyperlink>
      <w:r w:rsidRPr="6E490EE5">
        <w:rPr>
          <w:rFonts w:ascii="Times New Roman" w:hAnsi="Times New Roman" w:eastAsia="Times New Roman" w:cs="Times New Roman"/>
          <w:lang w:val="en-GB"/>
        </w:rPr>
        <w:t>. Accessed 19 Oct. 2026.</w:t>
      </w:r>
    </w:p>
    <w:p w:rsidR="73B3B0CA" w:rsidP="6E490EE5" w:rsidRDefault="73B3B0CA" w14:paraId="5B30A5DC" w14:textId="12435434">
      <w:pPr>
        <w:spacing w:after="0" w:line="480" w:lineRule="auto"/>
        <w:ind w:left="720" w:hanging="720"/>
      </w:pPr>
      <w:r w:rsidRPr="6E490EE5">
        <w:rPr>
          <w:rFonts w:ascii="Times New Roman" w:hAnsi="Times New Roman" w:eastAsia="Times New Roman" w:cs="Times New Roman"/>
        </w:rPr>
        <w:t xml:space="preserve">Hanson, D, and H Stuart. “Failing the Reputation Management Test: The Case of BHP, the Big Australian.” </w:t>
      </w:r>
      <w:r w:rsidRPr="6E490EE5">
        <w:rPr>
          <w:rFonts w:ascii="Times New Roman" w:hAnsi="Times New Roman" w:eastAsia="Times New Roman" w:cs="Times New Roman"/>
          <w:i/>
          <w:iCs/>
        </w:rPr>
        <w:t>Corporate Reputation Review</w:t>
      </w:r>
      <w:r w:rsidRPr="6E490EE5">
        <w:rPr>
          <w:rFonts w:ascii="Times New Roman" w:hAnsi="Times New Roman" w:eastAsia="Times New Roman" w:cs="Times New Roman"/>
        </w:rPr>
        <w:t>, vol. 4, no. 2, July 2001, pp. 128–143, 10.1057/palgrave.crr.1540138.</w:t>
      </w:r>
    </w:p>
    <w:p w:rsidR="290AA543" w:rsidP="6E490EE5" w:rsidRDefault="290AA543" w14:paraId="0A31FFEE" w14:textId="4B7C1358">
      <w:pPr>
        <w:spacing w:after="0" w:line="480" w:lineRule="auto"/>
        <w:ind w:left="720" w:hanging="720"/>
      </w:pPr>
      <w:r w:rsidRPr="6E490EE5">
        <w:rPr>
          <w:rFonts w:ascii="Times New Roman" w:hAnsi="Times New Roman" w:eastAsia="Times New Roman" w:cs="Times New Roman"/>
        </w:rPr>
        <w:t xml:space="preserve">BHP. “Climate Change.” </w:t>
      </w:r>
      <w:r w:rsidRPr="6E490EE5">
        <w:rPr>
          <w:rFonts w:ascii="Times New Roman" w:hAnsi="Times New Roman" w:eastAsia="Times New Roman" w:cs="Times New Roman"/>
          <w:i/>
          <w:iCs/>
        </w:rPr>
        <w:t>Bhp.Com</w:t>
      </w:r>
      <w:r w:rsidRPr="6E490EE5">
        <w:rPr>
          <w:rFonts w:ascii="Times New Roman" w:hAnsi="Times New Roman" w:eastAsia="Times New Roman" w:cs="Times New Roman"/>
        </w:rPr>
        <w:t xml:space="preserve">, 2024, </w:t>
      </w:r>
      <w:hyperlink r:id="rId11">
        <w:r w:rsidRPr="6E490EE5">
          <w:rPr>
            <w:rStyle w:val="Hyperlink"/>
          </w:rPr>
          <w:t>www.bhp.com/sustainability/climate-change</w:t>
        </w:r>
      </w:hyperlink>
      <w:r w:rsidRPr="6E490EE5">
        <w:rPr>
          <w:rFonts w:ascii="Times New Roman" w:hAnsi="Times New Roman" w:eastAsia="Times New Roman" w:cs="Times New Roman"/>
        </w:rPr>
        <w:t>. Accessed 19 Oct. 2026.</w:t>
      </w:r>
    </w:p>
    <w:p w:rsidR="7E543433" w:rsidP="6E490EE5" w:rsidRDefault="7E543433" w14:paraId="03A05944" w14:textId="7D74BBA7">
      <w:pPr>
        <w:spacing w:after="0" w:line="480" w:lineRule="auto"/>
        <w:ind w:left="720" w:hanging="720"/>
      </w:pPr>
      <w:r w:rsidRPr="6E490EE5">
        <w:rPr>
          <w:rFonts w:ascii="Times New Roman" w:hAnsi="Times New Roman" w:eastAsia="Times New Roman" w:cs="Times New Roman"/>
        </w:rPr>
        <w:t xml:space="preserve">---. </w:t>
      </w:r>
      <w:r w:rsidRPr="6E490EE5">
        <w:rPr>
          <w:rFonts w:ascii="Times New Roman" w:hAnsi="Times New Roman" w:eastAsia="Times New Roman" w:cs="Times New Roman"/>
          <w:i/>
          <w:iCs/>
        </w:rPr>
        <w:t>CLIMATE TRANSITION ACTION PLAN 2024 Bringing People and Resources Together to Build a Better World</w:t>
      </w:r>
      <w:r w:rsidRPr="6E490EE5">
        <w:rPr>
          <w:rFonts w:ascii="Times New Roman" w:hAnsi="Times New Roman" w:eastAsia="Times New Roman" w:cs="Times New Roman"/>
        </w:rPr>
        <w:t>. 2024.</w:t>
      </w:r>
    </w:p>
    <w:p w:rsidR="03802E3F" w:rsidP="6E490EE5" w:rsidRDefault="03802E3F" w14:paraId="082E675F" w14:textId="5712BF2F">
      <w:pPr>
        <w:spacing w:after="0" w:line="480" w:lineRule="auto"/>
        <w:ind w:left="720" w:hanging="720"/>
      </w:pPr>
      <w:r w:rsidRPr="6E490EE5">
        <w:rPr>
          <w:rFonts w:ascii="Times New Roman" w:hAnsi="Times New Roman" w:eastAsia="Times New Roman" w:cs="Times New Roman"/>
        </w:rPr>
        <w:t xml:space="preserve">Irwin, Randi, et al. “Making Green Extreme: Defending Fossil Fuel Hegemony Through Citizen Exclusion.” </w:t>
      </w:r>
      <w:r w:rsidRPr="6E490EE5">
        <w:rPr>
          <w:rFonts w:ascii="Times New Roman" w:hAnsi="Times New Roman" w:eastAsia="Times New Roman" w:cs="Times New Roman"/>
          <w:i/>
          <w:iCs/>
        </w:rPr>
        <w:t>Citizenship Studies</w:t>
      </w:r>
      <w:r w:rsidRPr="6E490EE5">
        <w:rPr>
          <w:rFonts w:ascii="Times New Roman" w:hAnsi="Times New Roman" w:eastAsia="Times New Roman" w:cs="Times New Roman"/>
        </w:rPr>
        <w:t>, vol. 26, no. 1, 30 Nov. 2021, pp. 1–17, 10.1080/13621025.2021.2011145.</w:t>
      </w:r>
    </w:p>
    <w:p w:rsidR="3B6FDBA5" w:rsidP="6E490EE5" w:rsidRDefault="3B6FDBA5" w14:paraId="0472885A" w14:textId="21D3EDE9">
      <w:pPr>
        <w:spacing w:after="0" w:line="480" w:lineRule="auto"/>
        <w:ind w:left="720" w:hanging="720"/>
      </w:pPr>
      <w:r w:rsidRPr="6E490EE5">
        <w:rPr>
          <w:rFonts w:ascii="Times New Roman" w:hAnsi="Times New Roman" w:eastAsia="Times New Roman" w:cs="Times New Roman"/>
        </w:rPr>
        <w:t xml:space="preserve">Wright, Christopher, et al. “‘We’re in the Coal Business’: Maintaining Fossil Fuel Hegemony in the Face of Climate Change.” </w:t>
      </w:r>
      <w:r w:rsidRPr="6E490EE5">
        <w:rPr>
          <w:rFonts w:ascii="Times New Roman" w:hAnsi="Times New Roman" w:eastAsia="Times New Roman" w:cs="Times New Roman"/>
          <w:i/>
          <w:iCs/>
        </w:rPr>
        <w:t>Journal of Industrial Relations</w:t>
      </w:r>
      <w:r w:rsidRPr="6E490EE5">
        <w:rPr>
          <w:rFonts w:ascii="Times New Roman" w:hAnsi="Times New Roman" w:eastAsia="Times New Roman" w:cs="Times New Roman"/>
        </w:rPr>
        <w:t>, vol. 64, no. 4, 19 Jan. 2022, p. 002218562110706, 10.1177/00221856211070632.</w:t>
      </w:r>
    </w:p>
    <w:p w:rsidR="27C4EC6A" w:rsidP="6E490EE5" w:rsidRDefault="27C4EC6A" w14:paraId="61B46B1C" w14:textId="2EBD99A2">
      <w:pPr>
        <w:spacing w:after="0" w:line="480" w:lineRule="auto"/>
        <w:ind w:left="720" w:hanging="720"/>
      </w:pPr>
      <w:r w:rsidRPr="6E490EE5">
        <w:rPr>
          <w:rFonts w:ascii="Times New Roman" w:hAnsi="Times New Roman" w:eastAsia="Times New Roman" w:cs="Times New Roman"/>
        </w:rPr>
        <w:t xml:space="preserve">Okereke, Chukwumerije, and Duncan Russel. “Regulatory Pressure and Competitive Dynamics: Carbon Management Strategies of UK Energy-Intensive Companies.” </w:t>
      </w:r>
      <w:r w:rsidRPr="6E490EE5">
        <w:rPr>
          <w:rFonts w:ascii="Times New Roman" w:hAnsi="Times New Roman" w:eastAsia="Times New Roman" w:cs="Times New Roman"/>
          <w:i/>
          <w:iCs/>
        </w:rPr>
        <w:t>California Management Review</w:t>
      </w:r>
      <w:r w:rsidRPr="6E490EE5">
        <w:rPr>
          <w:rFonts w:ascii="Times New Roman" w:hAnsi="Times New Roman" w:eastAsia="Times New Roman" w:cs="Times New Roman"/>
        </w:rPr>
        <w:t>, vol. 52, no. 4, Aug. 2010, pp. 100–124, 10.1525/cmr.2010.52.4.100.</w:t>
      </w:r>
    </w:p>
    <w:p w:rsidR="70603A02" w:rsidP="6E490EE5" w:rsidRDefault="70603A02" w14:paraId="626A2C8A" w14:textId="4870C09D">
      <w:pPr>
        <w:spacing w:after="0" w:line="480" w:lineRule="auto"/>
        <w:ind w:left="720" w:hanging="720"/>
      </w:pPr>
      <w:r w:rsidRPr="6E490EE5">
        <w:rPr>
          <w:rFonts w:ascii="Times New Roman" w:hAnsi="Times New Roman" w:eastAsia="Times New Roman" w:cs="Times New Roman"/>
        </w:rPr>
        <w:t xml:space="preserve">Bell, Candice. “PESA Australia Business Environment Review 2021.” </w:t>
      </w:r>
      <w:r w:rsidRPr="6E490EE5">
        <w:rPr>
          <w:rFonts w:ascii="Times New Roman" w:hAnsi="Times New Roman" w:eastAsia="Times New Roman" w:cs="Times New Roman"/>
          <w:i/>
          <w:iCs/>
        </w:rPr>
        <w:t>The APPEA Journal</w:t>
      </w:r>
      <w:r w:rsidRPr="6E490EE5">
        <w:rPr>
          <w:rFonts w:ascii="Times New Roman" w:hAnsi="Times New Roman" w:eastAsia="Times New Roman" w:cs="Times New Roman"/>
        </w:rPr>
        <w:t>, vol. 62, no. 2, 13 May 2022, pp. S519-S526, 10.1071/aj21224.</w:t>
      </w:r>
    </w:p>
    <w:p w:rsidR="222FC756" w:rsidP="6E490EE5" w:rsidRDefault="222FC756" w14:paraId="1323DA23" w14:textId="03773FA8">
      <w:pPr>
        <w:spacing w:after="0" w:line="480" w:lineRule="auto"/>
        <w:ind w:left="720" w:hanging="720"/>
      </w:pPr>
      <w:r w:rsidRPr="6E490EE5">
        <w:rPr>
          <w:rFonts w:ascii="Times New Roman" w:hAnsi="Times New Roman" w:eastAsia="Times New Roman" w:cs="Times New Roman"/>
        </w:rPr>
        <w:lastRenderedPageBreak/>
        <w:t xml:space="preserve">Bell, Candice. “Concurrent 13. Presentation for: PESA Australia Business Environment Review 2021.” </w:t>
      </w:r>
      <w:r w:rsidRPr="6E490EE5">
        <w:rPr>
          <w:rFonts w:ascii="Times New Roman" w:hAnsi="Times New Roman" w:eastAsia="Times New Roman" w:cs="Times New Roman"/>
          <w:i/>
          <w:iCs/>
        </w:rPr>
        <w:t>The APPEA Journal</w:t>
      </w:r>
      <w:r w:rsidRPr="6E490EE5">
        <w:rPr>
          <w:rFonts w:ascii="Times New Roman" w:hAnsi="Times New Roman" w:eastAsia="Times New Roman" w:cs="Times New Roman"/>
        </w:rPr>
        <w:t>, vol. 62, no. 4, 3 June 2022, 10.1071/aj21347.</w:t>
      </w:r>
    </w:p>
    <w:p w:rsidR="7682764B" w:rsidP="6E490EE5" w:rsidRDefault="7682764B" w14:paraId="0CB8C770" w14:textId="4E1A60E1">
      <w:pPr>
        <w:spacing w:after="0" w:line="480" w:lineRule="auto"/>
        <w:ind w:left="720" w:hanging="720"/>
      </w:pPr>
      <w:r w:rsidRPr="6E490EE5">
        <w:rPr>
          <w:rFonts w:ascii="Times New Roman" w:hAnsi="Times New Roman" w:eastAsia="Times New Roman" w:cs="Times New Roman"/>
        </w:rPr>
        <w:t xml:space="preserve">Wang, Hui, et al. “Development of a Multiple-Hybrid Population for Genome-Wide Association Studies: Theoretical Consideration and Genetic Mapping of Flowering Traits in Maize.” </w:t>
      </w:r>
      <w:r w:rsidRPr="6E490EE5">
        <w:rPr>
          <w:rFonts w:ascii="Times New Roman" w:hAnsi="Times New Roman" w:eastAsia="Times New Roman" w:cs="Times New Roman"/>
          <w:i/>
          <w:iCs/>
        </w:rPr>
        <w:t>Scientific Reports</w:t>
      </w:r>
      <w:r w:rsidRPr="6E490EE5">
        <w:rPr>
          <w:rFonts w:ascii="Times New Roman" w:hAnsi="Times New Roman" w:eastAsia="Times New Roman" w:cs="Times New Roman"/>
        </w:rPr>
        <w:t xml:space="preserve">, vol. 7, no. 1, 10 Jan. 2017, </w:t>
      </w:r>
      <w:hyperlink r:id="rId12">
        <w:r w:rsidRPr="6E490EE5">
          <w:rPr>
            <w:rStyle w:val="Hyperlink"/>
          </w:rPr>
          <w:t>www.nature.com/articles/srep40239</w:t>
        </w:r>
      </w:hyperlink>
      <w:r w:rsidRPr="6E490EE5">
        <w:rPr>
          <w:rFonts w:ascii="Times New Roman" w:hAnsi="Times New Roman" w:eastAsia="Times New Roman" w:cs="Times New Roman"/>
        </w:rPr>
        <w:t>, 10.1038/srep40239. Accessed 19 Oct. 2026.</w:t>
      </w:r>
    </w:p>
    <w:p w:rsidR="1968673F" w:rsidP="6E490EE5" w:rsidRDefault="1968673F" w14:paraId="0C163127" w14:textId="1582830E">
      <w:pPr>
        <w:spacing w:after="0" w:line="480" w:lineRule="auto"/>
        <w:ind w:left="720" w:hanging="720"/>
      </w:pPr>
      <w:r w:rsidRPr="6E490EE5">
        <w:rPr>
          <w:rFonts w:ascii="Times New Roman" w:hAnsi="Times New Roman" w:eastAsia="Times New Roman" w:cs="Times New Roman"/>
        </w:rPr>
        <w:t xml:space="preserve">Axsen, Jonn, and Kenneth S. Kurani. “Social Influence, Consumer Behavior, and Low-Carbon Energy Transitions.” </w:t>
      </w:r>
      <w:r w:rsidRPr="6E490EE5">
        <w:rPr>
          <w:rFonts w:ascii="Times New Roman" w:hAnsi="Times New Roman" w:eastAsia="Times New Roman" w:cs="Times New Roman"/>
          <w:i/>
          <w:iCs/>
        </w:rPr>
        <w:t>Annual Review of Environment and Resources</w:t>
      </w:r>
      <w:r w:rsidRPr="6E490EE5">
        <w:rPr>
          <w:rFonts w:ascii="Times New Roman" w:hAnsi="Times New Roman" w:eastAsia="Times New Roman" w:cs="Times New Roman"/>
        </w:rPr>
        <w:t>, vol. 37, no. 1, 21 Nov. 2012, pp. 311–340, 10.1146/annurev-environ-062111-145049.</w:t>
      </w:r>
    </w:p>
    <w:p w:rsidR="719C8F84" w:rsidP="6E490EE5" w:rsidRDefault="719C8F84" w14:paraId="6B0D5F10" w14:textId="1DCBBF5A">
      <w:pPr>
        <w:spacing w:after="0" w:line="480" w:lineRule="auto"/>
        <w:ind w:left="720" w:hanging="720"/>
      </w:pPr>
      <w:r w:rsidRPr="6E490EE5">
        <w:rPr>
          <w:rFonts w:ascii="Times New Roman" w:hAnsi="Times New Roman" w:eastAsia="Times New Roman" w:cs="Times New Roman"/>
        </w:rPr>
        <w:t xml:space="preserve">Obrecht, Matevž, and Matjaž Knez. “Carbon and Resource Savings of Different Cargo Container Designs.” </w:t>
      </w:r>
      <w:r w:rsidRPr="6E490EE5">
        <w:rPr>
          <w:rFonts w:ascii="Times New Roman" w:hAnsi="Times New Roman" w:eastAsia="Times New Roman" w:cs="Times New Roman"/>
          <w:i/>
          <w:iCs/>
        </w:rPr>
        <w:t>Journal of Cleaner Production</w:t>
      </w:r>
      <w:r w:rsidRPr="6E490EE5">
        <w:rPr>
          <w:rFonts w:ascii="Times New Roman" w:hAnsi="Times New Roman" w:eastAsia="Times New Roman" w:cs="Times New Roman"/>
        </w:rPr>
        <w:t>, vol. 155, July 2017, pp. 151–156, 10.1016/j.jclepro.2016.11.076.</w:t>
      </w:r>
    </w:p>
    <w:p w:rsidR="7B9B2F18" w:rsidP="6E490EE5" w:rsidRDefault="7B9B2F18" w14:paraId="2B0F3C68" w14:textId="531F7606">
      <w:pPr>
        <w:spacing w:after="0" w:line="480" w:lineRule="auto"/>
        <w:ind w:left="720" w:hanging="720"/>
      </w:pPr>
      <w:r w:rsidRPr="6E490EE5">
        <w:rPr>
          <w:rFonts w:ascii="Times New Roman" w:hAnsi="Times New Roman" w:eastAsia="Times New Roman" w:cs="Times New Roman"/>
        </w:rPr>
        <w:t xml:space="preserve">Pourmatin, Mohammad, et al. “Transition to Low-Carbon Vehicle Market: Characterization, System Dynamics Modeling, and Forecasting.” </w:t>
      </w:r>
      <w:r w:rsidRPr="6E490EE5">
        <w:rPr>
          <w:rFonts w:ascii="Times New Roman" w:hAnsi="Times New Roman" w:eastAsia="Times New Roman" w:cs="Times New Roman"/>
          <w:i/>
          <w:iCs/>
        </w:rPr>
        <w:t>Energies</w:t>
      </w:r>
      <w:r w:rsidRPr="6E490EE5">
        <w:rPr>
          <w:rFonts w:ascii="Times New Roman" w:hAnsi="Times New Roman" w:eastAsia="Times New Roman" w:cs="Times New Roman"/>
        </w:rPr>
        <w:t>, vol. 17, no. 14, 18 July 2024, p. 3525, 10.3390/en17143525.</w:t>
      </w:r>
    </w:p>
    <w:p w:rsidR="26D39E6C" w:rsidP="6E490EE5" w:rsidRDefault="26D39E6C" w14:paraId="4DC16E93" w14:textId="1F5E3F3E">
      <w:pPr>
        <w:spacing w:after="0" w:line="480" w:lineRule="auto"/>
        <w:ind w:left="720" w:hanging="720"/>
      </w:pPr>
      <w:r w:rsidRPr="6E490EE5">
        <w:rPr>
          <w:rFonts w:ascii="Times New Roman" w:hAnsi="Times New Roman" w:eastAsia="Times New Roman" w:cs="Times New Roman"/>
        </w:rPr>
        <w:t xml:space="preserve">Fu, Bing, and Suhaiza Zailani. “Factors Influencing Circular Carbon Economy Readiness Among Heavy Industries in China.” </w:t>
      </w:r>
      <w:r w:rsidRPr="6E490EE5">
        <w:rPr>
          <w:rFonts w:ascii="Times New Roman" w:hAnsi="Times New Roman" w:eastAsia="Times New Roman" w:cs="Times New Roman"/>
          <w:i/>
          <w:iCs/>
        </w:rPr>
        <w:t>Sustainability</w:t>
      </w:r>
      <w:r w:rsidRPr="6E490EE5">
        <w:rPr>
          <w:rFonts w:ascii="Times New Roman" w:hAnsi="Times New Roman" w:eastAsia="Times New Roman" w:cs="Times New Roman"/>
        </w:rPr>
        <w:t>, vol. 17, no. 3, 26 Jan. 2025, p. 999, 10.3390/su17030999.</w:t>
      </w:r>
    </w:p>
    <w:p w:rsidR="2AA4A9BD" w:rsidP="6E490EE5" w:rsidRDefault="2AA4A9BD" w14:paraId="100BE134" w14:textId="5AC30FB6">
      <w:pPr>
        <w:spacing w:after="0" w:line="480" w:lineRule="auto"/>
        <w:ind w:left="720" w:hanging="720"/>
      </w:pPr>
      <w:r w:rsidRPr="6E490EE5">
        <w:rPr>
          <w:rFonts w:ascii="Times New Roman" w:hAnsi="Times New Roman" w:eastAsia="Times New Roman" w:cs="Times New Roman"/>
        </w:rPr>
        <w:t xml:space="preserve">Espagne, Etienne. “Cross-Border Risks of a Global Economy in Mid-Transition.” </w:t>
      </w:r>
      <w:r w:rsidRPr="6E490EE5">
        <w:rPr>
          <w:rFonts w:ascii="Times New Roman" w:hAnsi="Times New Roman" w:eastAsia="Times New Roman" w:cs="Times New Roman"/>
          <w:i/>
          <w:iCs/>
        </w:rPr>
        <w:t>IMF Working Papers</w:t>
      </w:r>
      <w:r w:rsidRPr="6E490EE5">
        <w:rPr>
          <w:rFonts w:ascii="Times New Roman" w:hAnsi="Times New Roman" w:eastAsia="Times New Roman" w:cs="Times New Roman"/>
        </w:rPr>
        <w:t xml:space="preserve">, vol. 2023, no. 184, Sept. 2023, p. 1, </w:t>
      </w:r>
      <w:hyperlink r:id="rId13">
        <w:r w:rsidRPr="6E490EE5">
          <w:rPr>
            <w:rStyle w:val="Hyperlink"/>
          </w:rPr>
          <w:t>www.imf.org/-/media/Files/Publications/WP/2023/English/wpiea2023184-print-pdf.ashx</w:t>
        </w:r>
      </w:hyperlink>
      <w:r w:rsidRPr="6E490EE5">
        <w:rPr>
          <w:rFonts w:ascii="Times New Roman" w:hAnsi="Times New Roman" w:eastAsia="Times New Roman" w:cs="Times New Roman"/>
        </w:rPr>
        <w:t>, 10.5089/9798400254550.001. Accessed 19 Oct. 2026.</w:t>
      </w:r>
    </w:p>
    <w:p w:rsidR="02BD2808" w:rsidP="6E490EE5" w:rsidRDefault="02BD2808" w14:paraId="34F63F81" w14:textId="153D582A">
      <w:pPr>
        <w:spacing w:after="0" w:line="480" w:lineRule="auto"/>
        <w:ind w:left="720" w:hanging="720"/>
      </w:pPr>
      <w:r w:rsidRPr="6E490EE5">
        <w:rPr>
          <w:rFonts w:ascii="Times New Roman" w:hAnsi="Times New Roman" w:eastAsia="Times New Roman" w:cs="Times New Roman"/>
        </w:rPr>
        <w:lastRenderedPageBreak/>
        <w:t xml:space="preserve">O’Shannassy, Tim. “Sustainable Competitive Advantage or Temporary Competitive Advantage.” </w:t>
      </w:r>
      <w:r w:rsidRPr="6E490EE5">
        <w:rPr>
          <w:rFonts w:ascii="Times New Roman" w:hAnsi="Times New Roman" w:eastAsia="Times New Roman" w:cs="Times New Roman"/>
          <w:i/>
          <w:iCs/>
        </w:rPr>
        <w:t>Journal of Strategy and Management</w:t>
      </w:r>
      <w:r w:rsidRPr="6E490EE5">
        <w:rPr>
          <w:rFonts w:ascii="Times New Roman" w:hAnsi="Times New Roman" w:eastAsia="Times New Roman" w:cs="Times New Roman"/>
        </w:rPr>
        <w:t>, vol. 1, no. 2, 21 Nov. 2008, pp. 168–180, 10.1108/17554250810926357.</w:t>
      </w:r>
    </w:p>
    <w:p w:rsidR="6B6D4D8C" w:rsidP="6E490EE5" w:rsidRDefault="6B6D4D8C" w14:paraId="08AA69C4" w14:textId="0EC78D4D">
      <w:pPr>
        <w:spacing w:after="0" w:line="480" w:lineRule="auto"/>
        <w:ind w:left="720" w:hanging="720"/>
      </w:pPr>
      <w:r w:rsidRPr="6E490EE5">
        <w:rPr>
          <w:rFonts w:ascii="Times New Roman" w:hAnsi="Times New Roman" w:eastAsia="Times New Roman" w:cs="Times New Roman"/>
        </w:rPr>
        <w:t xml:space="preserve">Jang, Hyongdoo, and Erkan Topal. “Transformation of the Australian Mining Industry and Future Prospects.” </w:t>
      </w:r>
      <w:r w:rsidRPr="6E490EE5">
        <w:rPr>
          <w:rFonts w:ascii="Times New Roman" w:hAnsi="Times New Roman" w:eastAsia="Times New Roman" w:cs="Times New Roman"/>
          <w:i/>
          <w:iCs/>
        </w:rPr>
        <w:t>Mining Technology</w:t>
      </w:r>
      <w:r w:rsidRPr="6E490EE5">
        <w:rPr>
          <w:rFonts w:ascii="Times New Roman" w:hAnsi="Times New Roman" w:eastAsia="Times New Roman" w:cs="Times New Roman"/>
        </w:rPr>
        <w:t>, vol. 129, no. 3, 2020, pp. 120–134, 10.1080/25726668.2020.1786298.</w:t>
      </w:r>
    </w:p>
    <w:p w:rsidR="4581AF3F" w:rsidP="6E490EE5" w:rsidRDefault="4581AF3F" w14:paraId="0898BFBB" w14:textId="57DF4EDA">
      <w:pPr>
        <w:spacing w:after="0" w:line="480" w:lineRule="auto"/>
        <w:ind w:left="720" w:hanging="720"/>
      </w:pPr>
      <w:r w:rsidRPr="6E490EE5">
        <w:rPr>
          <w:rFonts w:ascii="Times New Roman" w:hAnsi="Times New Roman" w:eastAsia="Times New Roman" w:cs="Times New Roman"/>
        </w:rPr>
        <w:t xml:space="preserve">---. “Transformation of the Australian Mining Industry and Future Prospects.” </w:t>
      </w:r>
      <w:r w:rsidRPr="6E490EE5">
        <w:rPr>
          <w:rFonts w:ascii="Times New Roman" w:hAnsi="Times New Roman" w:eastAsia="Times New Roman" w:cs="Times New Roman"/>
          <w:i/>
          <w:iCs/>
        </w:rPr>
        <w:t>Mining Technology</w:t>
      </w:r>
      <w:r w:rsidRPr="6E490EE5">
        <w:rPr>
          <w:rFonts w:ascii="Times New Roman" w:hAnsi="Times New Roman" w:eastAsia="Times New Roman" w:cs="Times New Roman"/>
        </w:rPr>
        <w:t>, vol. 129, no. 3, 2020, pp. 120–134, 10.1080/25726668.2020.1786298.</w:t>
      </w:r>
    </w:p>
    <w:p w:rsidR="165E13B0" w:rsidP="6E490EE5" w:rsidRDefault="165E13B0" w14:paraId="6F9CFB1C" w14:textId="26B54C92">
      <w:pPr>
        <w:spacing w:after="0" w:line="480" w:lineRule="auto"/>
        <w:ind w:left="720" w:hanging="720"/>
      </w:pPr>
      <w:r w:rsidRPr="6E490EE5">
        <w:rPr>
          <w:rFonts w:ascii="Times New Roman" w:hAnsi="Times New Roman" w:eastAsia="Times New Roman" w:cs="Times New Roman"/>
        </w:rPr>
        <w:t xml:space="preserve">Ni, Hailun, et al. “Quantifying CO2 Capillary Heterogeneity Trapping Through Macroscopic Percolation Simulation.” </w:t>
      </w:r>
      <w:r w:rsidRPr="6E490EE5">
        <w:rPr>
          <w:rFonts w:ascii="Times New Roman" w:hAnsi="Times New Roman" w:eastAsia="Times New Roman" w:cs="Times New Roman"/>
          <w:i/>
          <w:iCs/>
        </w:rPr>
        <w:t>Advances in Water Resources</w:t>
      </w:r>
      <w:r w:rsidRPr="6E490EE5">
        <w:rPr>
          <w:rFonts w:ascii="Times New Roman" w:hAnsi="Times New Roman" w:eastAsia="Times New Roman" w:cs="Times New Roman"/>
        </w:rPr>
        <w:t>, vol. 155, Sept. 2021, p. 103990, 10.1016/j.advwatres.2021.103990.</w:t>
      </w:r>
    </w:p>
    <w:p w:rsidR="6E33ACF0" w:rsidP="6E490EE5" w:rsidRDefault="6E33ACF0" w14:paraId="53C3A0D8" w14:textId="73703E43">
      <w:pPr>
        <w:spacing w:after="0" w:line="480" w:lineRule="auto"/>
        <w:ind w:left="720" w:hanging="720"/>
        <w:rPr>
          <w:rFonts w:ascii="Times New Roman" w:hAnsi="Times New Roman" w:eastAsia="Times New Roman" w:cs="Times New Roman"/>
        </w:rPr>
      </w:pPr>
      <w:r w:rsidRPr="6E490EE5">
        <w:rPr>
          <w:rFonts w:ascii="Arial" w:hAnsi="Arial" w:eastAsia="Arial" w:cs="Arial"/>
          <w:color w:val="222222"/>
          <w:sz w:val="19"/>
          <w:szCs w:val="19"/>
        </w:rPr>
        <w:t xml:space="preserve">O'Neill, P. and Gibson‐Graham, J.K., 1999. Enterprise discourse and executive talk: stories that destabilize the company. </w:t>
      </w:r>
      <w:r w:rsidRPr="6E490EE5">
        <w:rPr>
          <w:rFonts w:ascii="Arial" w:hAnsi="Arial" w:eastAsia="Arial" w:cs="Arial"/>
          <w:i/>
          <w:iCs/>
          <w:color w:val="222222"/>
          <w:sz w:val="19"/>
          <w:szCs w:val="19"/>
        </w:rPr>
        <w:t>Transactions of the Institute of British Geographers</w:t>
      </w:r>
      <w:r w:rsidRPr="6E490EE5">
        <w:rPr>
          <w:rFonts w:ascii="Arial" w:hAnsi="Arial" w:eastAsia="Arial" w:cs="Arial"/>
          <w:color w:val="222222"/>
          <w:sz w:val="19"/>
          <w:szCs w:val="19"/>
        </w:rPr>
        <w:t xml:space="preserve">, </w:t>
      </w:r>
      <w:r w:rsidRPr="6E490EE5">
        <w:rPr>
          <w:rFonts w:ascii="Arial" w:hAnsi="Arial" w:eastAsia="Arial" w:cs="Arial"/>
          <w:i/>
          <w:iCs/>
          <w:color w:val="222222"/>
          <w:sz w:val="19"/>
          <w:szCs w:val="19"/>
        </w:rPr>
        <w:t>24</w:t>
      </w:r>
      <w:r w:rsidRPr="6E490EE5">
        <w:rPr>
          <w:rFonts w:ascii="Arial" w:hAnsi="Arial" w:eastAsia="Arial" w:cs="Arial"/>
          <w:color w:val="222222"/>
          <w:sz w:val="19"/>
          <w:szCs w:val="19"/>
        </w:rPr>
        <w:t>(1), pp.11-22.</w:t>
      </w:r>
    </w:p>
    <w:p w:rsidR="713E410B" w:rsidP="6E490EE5" w:rsidRDefault="713E410B" w14:paraId="2D097F42" w14:textId="02F8F489">
      <w:pPr>
        <w:spacing w:after="0" w:line="480" w:lineRule="auto"/>
        <w:ind w:left="720" w:hanging="720"/>
      </w:pPr>
      <w:r w:rsidRPr="6E490EE5">
        <w:rPr>
          <w:rFonts w:ascii="Times New Roman" w:hAnsi="Times New Roman" w:eastAsia="Times New Roman" w:cs="Times New Roman"/>
        </w:rPr>
        <w:t xml:space="preserve">Gibson-Graham, J. K. “Class Enchantment.” </w:t>
      </w:r>
      <w:r w:rsidRPr="6E490EE5">
        <w:rPr>
          <w:rFonts w:ascii="Times New Roman" w:hAnsi="Times New Roman" w:eastAsia="Times New Roman" w:cs="Times New Roman"/>
          <w:i/>
          <w:iCs/>
        </w:rPr>
        <w:t>Theory &amp; Event</w:t>
      </w:r>
      <w:r w:rsidRPr="6E490EE5">
        <w:rPr>
          <w:rFonts w:ascii="Times New Roman" w:hAnsi="Times New Roman" w:eastAsia="Times New Roman" w:cs="Times New Roman"/>
        </w:rPr>
        <w:t>, vol. 5, no. 3, 2001, 10.1353/tae.2001.0020.</w:t>
      </w:r>
    </w:p>
    <w:p w:rsidR="64D1BA22" w:rsidP="6E490EE5" w:rsidRDefault="64D1BA22" w14:paraId="49DA6D21" w14:textId="0D03B726">
      <w:pPr>
        <w:spacing w:after="0" w:line="480" w:lineRule="auto"/>
        <w:ind w:left="720" w:hanging="720"/>
      </w:pPr>
      <w:r w:rsidRPr="6E490EE5">
        <w:rPr>
          <w:rFonts w:ascii="Times New Roman" w:hAnsi="Times New Roman" w:eastAsia="Times New Roman" w:cs="Times New Roman"/>
        </w:rPr>
        <w:t xml:space="preserve">---. “Class Enchantment.” </w:t>
      </w:r>
      <w:r w:rsidRPr="6E490EE5">
        <w:rPr>
          <w:rFonts w:ascii="Times New Roman" w:hAnsi="Times New Roman" w:eastAsia="Times New Roman" w:cs="Times New Roman"/>
          <w:i/>
          <w:iCs/>
        </w:rPr>
        <w:t>Theory &amp; Event</w:t>
      </w:r>
      <w:r w:rsidRPr="6E490EE5">
        <w:rPr>
          <w:rFonts w:ascii="Times New Roman" w:hAnsi="Times New Roman" w:eastAsia="Times New Roman" w:cs="Times New Roman"/>
        </w:rPr>
        <w:t>, vol. 5, no. 3, 2001, 10.1353/tae.2001.0020.</w:t>
      </w:r>
    </w:p>
    <w:p w:rsidR="519312B4" w:rsidP="6E490EE5" w:rsidRDefault="519312B4" w14:paraId="3FADEB44" w14:textId="0E13F870">
      <w:pPr>
        <w:spacing w:after="0" w:line="480" w:lineRule="auto"/>
        <w:ind w:left="720" w:hanging="720"/>
      </w:pPr>
      <w:r w:rsidRPr="6E490EE5">
        <w:rPr>
          <w:rFonts w:ascii="Times New Roman" w:hAnsi="Times New Roman" w:eastAsia="Times New Roman" w:cs="Times New Roman"/>
        </w:rPr>
        <w:t xml:space="preserve">Hatipoglu, Burcin. “The Use of Publicly Available Information for Human Capital Analysis: Case of Three Australian Companies.” </w:t>
      </w:r>
      <w:r w:rsidRPr="6E490EE5">
        <w:rPr>
          <w:rFonts w:ascii="Times New Roman" w:hAnsi="Times New Roman" w:eastAsia="Times New Roman" w:cs="Times New Roman"/>
          <w:i/>
          <w:iCs/>
        </w:rPr>
        <w:t>Vie &amp; Sciences de L’entreprise</w:t>
      </w:r>
      <w:r w:rsidRPr="6E490EE5">
        <w:rPr>
          <w:rFonts w:ascii="Times New Roman" w:hAnsi="Times New Roman" w:eastAsia="Times New Roman" w:cs="Times New Roman"/>
        </w:rPr>
        <w:t>, vol. N° 207, no. 1, 12 Nov. 2019, pp. 119–137, 10.3917/vse.207.0119.</w:t>
      </w:r>
    </w:p>
    <w:p w:rsidR="2B5FD3C2" w:rsidP="6E490EE5" w:rsidRDefault="2B5FD3C2" w14:paraId="46D5C576" w14:textId="184E575C">
      <w:pPr>
        <w:spacing w:after="0" w:line="480" w:lineRule="auto"/>
        <w:ind w:left="720" w:hanging="720"/>
      </w:pPr>
      <w:r w:rsidRPr="4A638A00" w:rsidR="035106B9">
        <w:rPr>
          <w:rFonts w:ascii="Times New Roman" w:hAnsi="Times New Roman" w:eastAsia="Times New Roman" w:cs="Times New Roman"/>
        </w:rPr>
        <w:t xml:space="preserve">HARISUDIN, MOHAMAD, et al. “SYNERGY GRAND STRATEGY MATRIX, SWOT and QSPM as DETERMINANTS of TEMPEH PRODUCT DEVELOPMENT STRATEGY.” </w:t>
      </w:r>
      <w:r w:rsidRPr="4A638A00" w:rsidR="035106B9">
        <w:rPr>
          <w:rFonts w:ascii="Times New Roman" w:hAnsi="Times New Roman" w:eastAsia="Times New Roman" w:cs="Times New Roman"/>
          <w:i w:val="1"/>
          <w:iCs w:val="1"/>
        </w:rPr>
        <w:t>Journal of Sustainability Science and Management</w:t>
      </w:r>
      <w:r w:rsidRPr="4A638A00" w:rsidR="035106B9">
        <w:rPr>
          <w:rFonts w:ascii="Times New Roman" w:hAnsi="Times New Roman" w:eastAsia="Times New Roman" w:cs="Times New Roman"/>
        </w:rPr>
        <w:t>, vol. 17, no. 8, 31 Aug. 2022, pp. 62–80, jssm.umt.edu.my/wp-content/uploads/sites/51/2022/08/4-JSSM-Volume-17-Number-8-August-2022.pdf, 10.46754/jssm.2022.08.004. Accessed 19 Oct. 2026.</w:t>
      </w:r>
    </w:p>
    <w:p w:rsidR="4A7A2F52" w:rsidP="4A638A00" w:rsidRDefault="4A7A2F52" w14:paraId="398C5460" w14:textId="3D4B1E10">
      <w:pPr>
        <w:spacing w:before="0" w:beforeAutospacing="off" w:after="0" w:afterAutospacing="off" w:line="480" w:lineRule="auto"/>
        <w:ind w:left="720" w:right="0" w:hanging="720"/>
      </w:pPr>
      <w:r w:rsidRPr="4A638A00" w:rsidR="4A7A2F52">
        <w:rPr>
          <w:rFonts w:ascii="Times New Roman" w:hAnsi="Times New Roman" w:eastAsia="Times New Roman" w:cs="Times New Roman"/>
          <w:noProof w:val="0"/>
          <w:sz w:val="24"/>
          <w:szCs w:val="24"/>
          <w:lang w:val="en-US"/>
        </w:rPr>
        <w:t xml:space="preserve">Silva, Anderson Luís da, and Juan Arturo Castañeda-Ayarza. “Macro-Environment Analysis of the Corn Ethanol Fuel Development in Brazil.” </w:t>
      </w:r>
      <w:r w:rsidRPr="4A638A00" w:rsidR="4A7A2F52">
        <w:rPr>
          <w:rFonts w:ascii="Times New Roman" w:hAnsi="Times New Roman" w:eastAsia="Times New Roman" w:cs="Times New Roman"/>
          <w:i w:val="1"/>
          <w:iCs w:val="1"/>
          <w:noProof w:val="0"/>
          <w:sz w:val="24"/>
          <w:szCs w:val="24"/>
          <w:lang w:val="en-US"/>
        </w:rPr>
        <w:t>Renewable and Sustainable Energy Reviews</w:t>
      </w:r>
      <w:r w:rsidRPr="4A638A00" w:rsidR="4A7A2F52">
        <w:rPr>
          <w:rFonts w:ascii="Times New Roman" w:hAnsi="Times New Roman" w:eastAsia="Times New Roman" w:cs="Times New Roman"/>
          <w:noProof w:val="0"/>
          <w:sz w:val="24"/>
          <w:szCs w:val="24"/>
          <w:lang w:val="en-US"/>
        </w:rPr>
        <w:t>, vol. 135, no. 1, Jan. 2021, p. 110387, 10.1016/j.rser.2020.110387.</w:t>
      </w:r>
    </w:p>
    <w:p w:rsidR="2DE2505B" w:rsidP="4A638A00" w:rsidRDefault="2DE2505B" w14:paraId="48D65840" w14:textId="62A4B134">
      <w:pPr>
        <w:spacing w:before="0" w:beforeAutospacing="off" w:after="0" w:afterAutospacing="off" w:line="480" w:lineRule="auto"/>
        <w:ind w:left="720" w:right="0" w:hanging="720"/>
      </w:pPr>
      <w:r w:rsidRPr="4A638A00" w:rsidR="2DE2505B">
        <w:rPr>
          <w:rFonts w:ascii="Times New Roman" w:hAnsi="Times New Roman" w:eastAsia="Times New Roman" w:cs="Times New Roman"/>
          <w:noProof w:val="0"/>
          <w:sz w:val="24"/>
          <w:szCs w:val="24"/>
          <w:lang w:val="en-US"/>
        </w:rPr>
        <w:t xml:space="preserve">De Sousa, Gabriel Carvalho, and Juan Arturo Castañeda-Ayarza. “PESTEL Analysis and the Macro-Environmental Factors That Influence the Development of the Electric and Hybrid Vehicles Industry in Brazil.” </w:t>
      </w:r>
      <w:r w:rsidRPr="4A638A00" w:rsidR="2DE2505B">
        <w:rPr>
          <w:rFonts w:ascii="Times New Roman" w:hAnsi="Times New Roman" w:eastAsia="Times New Roman" w:cs="Times New Roman"/>
          <w:i w:val="1"/>
          <w:iCs w:val="1"/>
          <w:noProof w:val="0"/>
          <w:sz w:val="24"/>
          <w:szCs w:val="24"/>
          <w:lang w:val="en-US"/>
        </w:rPr>
        <w:t>Case Studies on Transport Policy</w:t>
      </w:r>
      <w:r w:rsidRPr="4A638A00" w:rsidR="2DE2505B">
        <w:rPr>
          <w:rFonts w:ascii="Times New Roman" w:hAnsi="Times New Roman" w:eastAsia="Times New Roman" w:cs="Times New Roman"/>
          <w:noProof w:val="0"/>
          <w:sz w:val="24"/>
          <w:szCs w:val="24"/>
          <w:lang w:val="en-US"/>
        </w:rPr>
        <w:t xml:space="preserve">, vol. 10, no. 1, 17 Feb. 2022, pp. 686–699, </w:t>
      </w:r>
      <w:hyperlink r:id="Red89dbd86e8f448a">
        <w:r w:rsidRPr="4A638A00" w:rsidR="2DE2505B">
          <w:rPr>
            <w:rStyle w:val="Hyperlink"/>
            <w:noProof w:val="0"/>
            <w:lang w:val="en-US"/>
          </w:rPr>
          <w:t>www.sciencedirect.com/science/article/abs/pii/S2213624X22000347</w:t>
        </w:r>
      </w:hyperlink>
      <w:r w:rsidRPr="4A638A00" w:rsidR="2DE2505B">
        <w:rPr>
          <w:rFonts w:ascii="Times New Roman" w:hAnsi="Times New Roman" w:eastAsia="Times New Roman" w:cs="Times New Roman"/>
          <w:noProof w:val="0"/>
          <w:sz w:val="24"/>
          <w:szCs w:val="24"/>
          <w:lang w:val="en-US"/>
        </w:rPr>
        <w:t>, 10.1016/j.cstp.2022.01.030. Accessed 20 Oct. 2026.</w:t>
      </w:r>
    </w:p>
    <w:p w:rsidR="097DC2DC" w:rsidP="4A638A00" w:rsidRDefault="097DC2DC" w14:paraId="3BD8C0C3" w14:textId="0B27E4C2">
      <w:pPr>
        <w:spacing w:before="0" w:beforeAutospacing="off" w:after="0" w:afterAutospacing="off" w:line="480" w:lineRule="auto"/>
        <w:ind w:left="720" w:right="0" w:hanging="720"/>
      </w:pPr>
      <w:r w:rsidRPr="4A638A00" w:rsidR="097DC2DC">
        <w:rPr>
          <w:rFonts w:ascii="Times New Roman" w:hAnsi="Times New Roman" w:eastAsia="Times New Roman" w:cs="Times New Roman"/>
          <w:noProof w:val="0"/>
          <w:sz w:val="24"/>
          <w:szCs w:val="24"/>
          <w:lang w:val="en-US"/>
        </w:rPr>
        <w:t xml:space="preserve">Akan, Obasi, et al. “Critical Tactics for Implementing Porter’s Generic Strategies.” </w:t>
      </w:r>
      <w:r w:rsidRPr="4A638A00" w:rsidR="097DC2DC">
        <w:rPr>
          <w:rFonts w:ascii="Times New Roman" w:hAnsi="Times New Roman" w:eastAsia="Times New Roman" w:cs="Times New Roman"/>
          <w:i w:val="1"/>
          <w:iCs w:val="1"/>
          <w:noProof w:val="0"/>
          <w:sz w:val="24"/>
          <w:szCs w:val="24"/>
          <w:lang w:val="en-US"/>
        </w:rPr>
        <w:t>Journal of Business Strategy</w:t>
      </w:r>
      <w:r w:rsidRPr="4A638A00" w:rsidR="097DC2DC">
        <w:rPr>
          <w:rFonts w:ascii="Times New Roman" w:hAnsi="Times New Roman" w:eastAsia="Times New Roman" w:cs="Times New Roman"/>
          <w:noProof w:val="0"/>
          <w:sz w:val="24"/>
          <w:szCs w:val="24"/>
          <w:lang w:val="en-US"/>
        </w:rPr>
        <w:t xml:space="preserve">, vol. 27, no. 1, 1 Jan. 2006, pp. 43–53, </w:t>
      </w:r>
      <w:hyperlink r:id="Rf46d0f725e3f4fab">
        <w:r w:rsidRPr="4A638A00" w:rsidR="097DC2DC">
          <w:rPr>
            <w:rStyle w:val="Hyperlink"/>
            <w:noProof w:val="0"/>
            <w:lang w:val="en-US"/>
          </w:rPr>
          <w:t>www.emerald.com/insight/content/doi/10.1108/02756660610640173/full/html</w:t>
        </w:r>
      </w:hyperlink>
      <w:r w:rsidRPr="4A638A00" w:rsidR="097DC2DC">
        <w:rPr>
          <w:rFonts w:ascii="Times New Roman" w:hAnsi="Times New Roman" w:eastAsia="Times New Roman" w:cs="Times New Roman"/>
          <w:noProof w:val="0"/>
          <w:sz w:val="24"/>
          <w:szCs w:val="24"/>
          <w:lang w:val="en-US"/>
        </w:rPr>
        <w:t xml:space="preserve">, </w:t>
      </w:r>
      <w:hyperlink r:id="R01d9ee4dbdb04572">
        <w:r w:rsidRPr="4A638A00" w:rsidR="097DC2DC">
          <w:rPr>
            <w:rStyle w:val="Hyperlink"/>
            <w:noProof w:val="0"/>
            <w:lang w:val="en-US"/>
          </w:rPr>
          <w:t>https://doi.org/10.1108/02756660610640173</w:t>
        </w:r>
      </w:hyperlink>
      <w:r w:rsidRPr="4A638A00" w:rsidR="097DC2DC">
        <w:rPr>
          <w:rFonts w:ascii="Times New Roman" w:hAnsi="Times New Roman" w:eastAsia="Times New Roman" w:cs="Times New Roman"/>
          <w:noProof w:val="0"/>
          <w:sz w:val="24"/>
          <w:szCs w:val="24"/>
          <w:lang w:val="en-US"/>
        </w:rPr>
        <w:t>. Accessed 20 Oct. 2026.</w:t>
      </w:r>
    </w:p>
    <w:p w:rsidR="0EF0F414" w:rsidP="4A638A00" w:rsidRDefault="0EF0F414" w14:paraId="46575113" w14:textId="45D87218">
      <w:pPr>
        <w:spacing w:before="0" w:beforeAutospacing="off" w:after="0" w:afterAutospacing="off" w:line="480" w:lineRule="auto"/>
        <w:ind w:left="720" w:right="0" w:hanging="720"/>
      </w:pPr>
      <w:r w:rsidRPr="4A638A00" w:rsidR="0EF0F414">
        <w:rPr>
          <w:rFonts w:ascii="Times New Roman" w:hAnsi="Times New Roman" w:eastAsia="Times New Roman" w:cs="Times New Roman"/>
          <w:noProof w:val="0"/>
          <w:sz w:val="24"/>
          <w:szCs w:val="24"/>
          <w:lang w:val="en-US"/>
        </w:rPr>
        <w:t xml:space="preserve">Allen, Richard S., and Marilyn M. Helms. “Linking Strategic Practices and Organizational Performance to Porter’s Generic Strategies.” </w:t>
      </w:r>
      <w:r w:rsidRPr="4A638A00" w:rsidR="0EF0F414">
        <w:rPr>
          <w:rFonts w:ascii="Times New Roman" w:hAnsi="Times New Roman" w:eastAsia="Times New Roman" w:cs="Times New Roman"/>
          <w:i w:val="1"/>
          <w:iCs w:val="1"/>
          <w:noProof w:val="0"/>
          <w:sz w:val="24"/>
          <w:szCs w:val="24"/>
          <w:lang w:val="en-US"/>
        </w:rPr>
        <w:t>Business Process Management Journal</w:t>
      </w:r>
      <w:r w:rsidRPr="4A638A00" w:rsidR="0EF0F414">
        <w:rPr>
          <w:rFonts w:ascii="Times New Roman" w:hAnsi="Times New Roman" w:eastAsia="Times New Roman" w:cs="Times New Roman"/>
          <w:noProof w:val="0"/>
          <w:sz w:val="24"/>
          <w:szCs w:val="24"/>
          <w:lang w:val="en-US"/>
        </w:rPr>
        <w:t>, vol. 12, no. 4, July 2006, pp. 433–454, 10.1108/14637150610678069.</w:t>
      </w:r>
    </w:p>
    <w:p w:rsidR="4CEC288D" w:rsidP="4A638A00" w:rsidRDefault="4CEC288D" w14:paraId="484B467D" w14:textId="0DBE319B">
      <w:pPr>
        <w:spacing w:before="0" w:beforeAutospacing="off" w:after="0" w:afterAutospacing="off" w:line="480" w:lineRule="auto"/>
        <w:ind w:left="720" w:right="0" w:hanging="720"/>
      </w:pPr>
      <w:r w:rsidRPr="4A638A00" w:rsidR="4CEC288D">
        <w:rPr>
          <w:rFonts w:ascii="Times New Roman" w:hAnsi="Times New Roman" w:eastAsia="Times New Roman" w:cs="Times New Roman"/>
          <w:noProof w:val="0"/>
          <w:sz w:val="24"/>
          <w:szCs w:val="24"/>
          <w:lang w:val="en-US"/>
        </w:rPr>
        <w:t xml:space="preserve">Moon, Hwy Chang, et al. “Extending Porter’s Generic Strategies: From Three to Eight.” </w:t>
      </w:r>
      <w:r w:rsidRPr="4A638A00" w:rsidR="4CEC288D">
        <w:rPr>
          <w:rFonts w:ascii="Times New Roman" w:hAnsi="Times New Roman" w:eastAsia="Times New Roman" w:cs="Times New Roman"/>
          <w:i w:val="1"/>
          <w:iCs w:val="1"/>
          <w:noProof w:val="0"/>
          <w:sz w:val="24"/>
          <w:szCs w:val="24"/>
          <w:lang w:val="en-US"/>
        </w:rPr>
        <w:t>European J. Of International Management</w:t>
      </w:r>
      <w:r w:rsidRPr="4A638A00" w:rsidR="4CEC288D">
        <w:rPr>
          <w:rFonts w:ascii="Times New Roman" w:hAnsi="Times New Roman" w:eastAsia="Times New Roman" w:cs="Times New Roman"/>
          <w:noProof w:val="0"/>
          <w:sz w:val="24"/>
          <w:szCs w:val="24"/>
          <w:lang w:val="en-US"/>
        </w:rPr>
        <w:t xml:space="preserve">, vol. 8, no. 2, 2014, p. 205, </w:t>
      </w:r>
      <w:hyperlink r:id="R856995c7c8de44cf">
        <w:r w:rsidRPr="4A638A00" w:rsidR="4CEC288D">
          <w:rPr>
            <w:rStyle w:val="Hyperlink"/>
            <w:noProof w:val="0"/>
            <w:lang w:val="en-US"/>
          </w:rPr>
          <w:t>www.inderscienceonline.com/doi/abs/10.1504/EJIM.2014.059583</w:t>
        </w:r>
      </w:hyperlink>
      <w:r w:rsidRPr="4A638A00" w:rsidR="4CEC288D">
        <w:rPr>
          <w:rFonts w:ascii="Times New Roman" w:hAnsi="Times New Roman" w:eastAsia="Times New Roman" w:cs="Times New Roman"/>
          <w:noProof w:val="0"/>
          <w:sz w:val="24"/>
          <w:szCs w:val="24"/>
          <w:lang w:val="en-US"/>
        </w:rPr>
        <w:t>, 10.1504/ejim.2014.059583. Accessed 20 Oct. 2026.</w:t>
      </w:r>
    </w:p>
    <w:p w:rsidR="4A638A00" w:rsidP="4A638A00" w:rsidRDefault="4A638A00" w14:paraId="66AE064E" w14:textId="33ACE20E">
      <w:pPr>
        <w:spacing w:after="0" w:line="480" w:lineRule="auto"/>
        <w:ind w:left="720" w:hanging="720"/>
        <w:rPr>
          <w:rFonts w:ascii="Times New Roman" w:hAnsi="Times New Roman" w:eastAsia="Times New Roman" w:cs="Times New Roman"/>
        </w:rPr>
      </w:pPr>
    </w:p>
    <w:p w:rsidR="6E490EE5" w:rsidP="6E490EE5" w:rsidRDefault="6E490EE5" w14:paraId="33C1397D" w14:textId="7F9760AD">
      <w:pPr>
        <w:spacing w:after="0" w:line="480" w:lineRule="auto"/>
        <w:ind w:left="720" w:hanging="720"/>
        <w:rPr>
          <w:rFonts w:ascii="Times New Roman" w:hAnsi="Times New Roman" w:eastAsia="Times New Roman" w:cs="Times New Roman"/>
        </w:rPr>
      </w:pPr>
    </w:p>
    <w:p w:rsidR="6E490EE5" w:rsidRDefault="6E490EE5" w14:paraId="01E64D4C" w14:textId="6E6993B3"/>
    <w:sectPr w:rsidR="6E490EE5">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E5078"/>
    <w:multiLevelType w:val="hybridMultilevel"/>
    <w:tmpl w:val="1E062B16"/>
    <w:lvl w:ilvl="0" w:tplc="2F2C0866">
      <w:start w:val="1"/>
      <w:numFmt w:val="lowerLetter"/>
      <w:lvlText w:val="q"/>
      <w:lvlJc w:val="left"/>
      <w:pPr>
        <w:ind w:left="720" w:hanging="360"/>
      </w:pPr>
    </w:lvl>
    <w:lvl w:ilvl="1" w:tplc="9F88A814">
      <w:start w:val="1"/>
      <w:numFmt w:val="bullet"/>
      <w:lvlText w:val="o"/>
      <w:lvlJc w:val="left"/>
      <w:pPr>
        <w:ind w:left="1440" w:hanging="360"/>
      </w:pPr>
      <w:rPr>
        <w:rFonts w:hint="default" w:ascii="Symbol" w:hAnsi="Symbol"/>
      </w:rPr>
    </w:lvl>
    <w:lvl w:ilvl="2" w:tplc="90A6AFCE">
      <w:start w:val="1"/>
      <w:numFmt w:val="lowerRoman"/>
      <w:lvlText w:val="%3."/>
      <w:lvlJc w:val="right"/>
      <w:pPr>
        <w:ind w:left="2160" w:hanging="180"/>
      </w:pPr>
    </w:lvl>
    <w:lvl w:ilvl="3" w:tplc="22CE9520">
      <w:start w:val="1"/>
      <w:numFmt w:val="decimal"/>
      <w:lvlText w:val="%4."/>
      <w:lvlJc w:val="left"/>
      <w:pPr>
        <w:ind w:left="2880" w:hanging="360"/>
      </w:pPr>
    </w:lvl>
    <w:lvl w:ilvl="4" w:tplc="97BEF89E">
      <w:start w:val="1"/>
      <w:numFmt w:val="lowerLetter"/>
      <w:lvlText w:val="%5."/>
      <w:lvlJc w:val="left"/>
      <w:pPr>
        <w:ind w:left="3600" w:hanging="360"/>
      </w:pPr>
    </w:lvl>
    <w:lvl w:ilvl="5" w:tplc="6862106A">
      <w:start w:val="1"/>
      <w:numFmt w:val="lowerRoman"/>
      <w:lvlText w:val="%6."/>
      <w:lvlJc w:val="right"/>
      <w:pPr>
        <w:ind w:left="4320" w:hanging="180"/>
      </w:pPr>
    </w:lvl>
    <w:lvl w:ilvl="6" w:tplc="F7A0772A">
      <w:start w:val="1"/>
      <w:numFmt w:val="decimal"/>
      <w:lvlText w:val="%7."/>
      <w:lvlJc w:val="left"/>
      <w:pPr>
        <w:ind w:left="5040" w:hanging="360"/>
      </w:pPr>
    </w:lvl>
    <w:lvl w:ilvl="7" w:tplc="1A7A277C">
      <w:start w:val="1"/>
      <w:numFmt w:val="lowerLetter"/>
      <w:lvlText w:val="%8."/>
      <w:lvlJc w:val="left"/>
      <w:pPr>
        <w:ind w:left="5760" w:hanging="360"/>
      </w:pPr>
    </w:lvl>
    <w:lvl w:ilvl="8" w:tplc="475CE50E">
      <w:start w:val="1"/>
      <w:numFmt w:val="lowerRoman"/>
      <w:lvlText w:val="%9."/>
      <w:lvlJc w:val="right"/>
      <w:pPr>
        <w:ind w:left="6480" w:hanging="180"/>
      </w:pPr>
    </w:lvl>
  </w:abstractNum>
  <w:abstractNum w:abstractNumId="1" w15:restartNumberingAfterBreak="0">
    <w:nsid w:val="0D49F1E6"/>
    <w:multiLevelType w:val="hybridMultilevel"/>
    <w:tmpl w:val="A06A76F6"/>
    <w:lvl w:ilvl="0" w:tplc="26EA6ACA">
      <w:start w:val="1"/>
      <w:numFmt w:val="bullet"/>
      <w:lvlText w:val=""/>
      <w:lvlJc w:val="left"/>
      <w:pPr>
        <w:ind w:left="720" w:hanging="360"/>
      </w:pPr>
      <w:rPr>
        <w:rFonts w:hint="default" w:ascii="Symbol" w:hAnsi="Symbol"/>
      </w:rPr>
    </w:lvl>
    <w:lvl w:ilvl="1" w:tplc="55D0A356">
      <w:start w:val="1"/>
      <w:numFmt w:val="bullet"/>
      <w:lvlText w:val="o"/>
      <w:lvlJc w:val="left"/>
      <w:pPr>
        <w:ind w:left="1440" w:hanging="360"/>
      </w:pPr>
      <w:rPr>
        <w:rFonts w:hint="default" w:ascii="Courier New" w:hAnsi="Courier New"/>
      </w:rPr>
    </w:lvl>
    <w:lvl w:ilvl="2" w:tplc="A3961966">
      <w:start w:val="1"/>
      <w:numFmt w:val="bullet"/>
      <w:lvlText w:val=""/>
      <w:lvlJc w:val="left"/>
      <w:pPr>
        <w:ind w:left="2160" w:hanging="360"/>
      </w:pPr>
      <w:rPr>
        <w:rFonts w:hint="default" w:ascii="Wingdings" w:hAnsi="Wingdings"/>
      </w:rPr>
    </w:lvl>
    <w:lvl w:ilvl="3" w:tplc="BB740492">
      <w:start w:val="1"/>
      <w:numFmt w:val="bullet"/>
      <w:lvlText w:val=""/>
      <w:lvlJc w:val="left"/>
      <w:pPr>
        <w:ind w:left="2880" w:hanging="360"/>
      </w:pPr>
      <w:rPr>
        <w:rFonts w:hint="default" w:ascii="Symbol" w:hAnsi="Symbol"/>
      </w:rPr>
    </w:lvl>
    <w:lvl w:ilvl="4" w:tplc="A1282A82">
      <w:start w:val="1"/>
      <w:numFmt w:val="bullet"/>
      <w:lvlText w:val="o"/>
      <w:lvlJc w:val="left"/>
      <w:pPr>
        <w:ind w:left="3600" w:hanging="360"/>
      </w:pPr>
      <w:rPr>
        <w:rFonts w:hint="default" w:ascii="Courier New" w:hAnsi="Courier New"/>
      </w:rPr>
    </w:lvl>
    <w:lvl w:ilvl="5" w:tplc="4306BB08">
      <w:start w:val="1"/>
      <w:numFmt w:val="bullet"/>
      <w:lvlText w:val=""/>
      <w:lvlJc w:val="left"/>
      <w:pPr>
        <w:ind w:left="4320" w:hanging="360"/>
      </w:pPr>
      <w:rPr>
        <w:rFonts w:hint="default" w:ascii="Wingdings" w:hAnsi="Wingdings"/>
      </w:rPr>
    </w:lvl>
    <w:lvl w:ilvl="6" w:tplc="CABC106C">
      <w:start w:val="1"/>
      <w:numFmt w:val="bullet"/>
      <w:lvlText w:val=""/>
      <w:lvlJc w:val="left"/>
      <w:pPr>
        <w:ind w:left="5040" w:hanging="360"/>
      </w:pPr>
      <w:rPr>
        <w:rFonts w:hint="default" w:ascii="Symbol" w:hAnsi="Symbol"/>
      </w:rPr>
    </w:lvl>
    <w:lvl w:ilvl="7" w:tplc="71AAFDB2">
      <w:start w:val="1"/>
      <w:numFmt w:val="bullet"/>
      <w:lvlText w:val="o"/>
      <w:lvlJc w:val="left"/>
      <w:pPr>
        <w:ind w:left="5760" w:hanging="360"/>
      </w:pPr>
      <w:rPr>
        <w:rFonts w:hint="default" w:ascii="Courier New" w:hAnsi="Courier New"/>
      </w:rPr>
    </w:lvl>
    <w:lvl w:ilvl="8" w:tplc="5D04FD10">
      <w:start w:val="1"/>
      <w:numFmt w:val="bullet"/>
      <w:lvlText w:val=""/>
      <w:lvlJc w:val="left"/>
      <w:pPr>
        <w:ind w:left="6480" w:hanging="360"/>
      </w:pPr>
      <w:rPr>
        <w:rFonts w:hint="default" w:ascii="Wingdings" w:hAnsi="Wingdings"/>
      </w:rPr>
    </w:lvl>
  </w:abstractNum>
  <w:abstractNum w:abstractNumId="2" w15:restartNumberingAfterBreak="0">
    <w:nsid w:val="280CDAB5"/>
    <w:multiLevelType w:val="hybridMultilevel"/>
    <w:tmpl w:val="2C121E30"/>
    <w:lvl w:ilvl="0" w:tplc="5BC87FCE">
      <w:start w:val="1"/>
      <w:numFmt w:val="bullet"/>
      <w:lvlText w:val=""/>
      <w:lvlJc w:val="left"/>
      <w:pPr>
        <w:ind w:left="720" w:hanging="360"/>
      </w:pPr>
      <w:rPr>
        <w:rFonts w:hint="default" w:ascii="Symbol" w:hAnsi="Symbol"/>
      </w:rPr>
    </w:lvl>
    <w:lvl w:ilvl="1" w:tplc="5F42F65C">
      <w:start w:val="1"/>
      <w:numFmt w:val="bullet"/>
      <w:lvlText w:val="o"/>
      <w:lvlJc w:val="left"/>
      <w:pPr>
        <w:ind w:left="1440" w:hanging="360"/>
      </w:pPr>
      <w:rPr>
        <w:rFonts w:hint="default" w:ascii="Courier New" w:hAnsi="Courier New"/>
      </w:rPr>
    </w:lvl>
    <w:lvl w:ilvl="2" w:tplc="C0DC5D8C">
      <w:start w:val="1"/>
      <w:numFmt w:val="bullet"/>
      <w:lvlText w:val=""/>
      <w:lvlJc w:val="left"/>
      <w:pPr>
        <w:ind w:left="2160" w:hanging="360"/>
      </w:pPr>
      <w:rPr>
        <w:rFonts w:hint="default" w:ascii="Wingdings" w:hAnsi="Wingdings"/>
      </w:rPr>
    </w:lvl>
    <w:lvl w:ilvl="3" w:tplc="1C60FEEE">
      <w:start w:val="1"/>
      <w:numFmt w:val="bullet"/>
      <w:lvlText w:val=""/>
      <w:lvlJc w:val="left"/>
      <w:pPr>
        <w:ind w:left="2880" w:hanging="360"/>
      </w:pPr>
      <w:rPr>
        <w:rFonts w:hint="default" w:ascii="Symbol" w:hAnsi="Symbol"/>
      </w:rPr>
    </w:lvl>
    <w:lvl w:ilvl="4" w:tplc="93DCDF80">
      <w:start w:val="1"/>
      <w:numFmt w:val="bullet"/>
      <w:lvlText w:val="o"/>
      <w:lvlJc w:val="left"/>
      <w:pPr>
        <w:ind w:left="3600" w:hanging="360"/>
      </w:pPr>
      <w:rPr>
        <w:rFonts w:hint="default" w:ascii="Courier New" w:hAnsi="Courier New"/>
      </w:rPr>
    </w:lvl>
    <w:lvl w:ilvl="5" w:tplc="BEE4EC16">
      <w:start w:val="1"/>
      <w:numFmt w:val="bullet"/>
      <w:lvlText w:val=""/>
      <w:lvlJc w:val="left"/>
      <w:pPr>
        <w:ind w:left="4320" w:hanging="360"/>
      </w:pPr>
      <w:rPr>
        <w:rFonts w:hint="default" w:ascii="Wingdings" w:hAnsi="Wingdings"/>
      </w:rPr>
    </w:lvl>
    <w:lvl w:ilvl="6" w:tplc="C04CBEF2">
      <w:start w:val="1"/>
      <w:numFmt w:val="bullet"/>
      <w:lvlText w:val=""/>
      <w:lvlJc w:val="left"/>
      <w:pPr>
        <w:ind w:left="5040" w:hanging="360"/>
      </w:pPr>
      <w:rPr>
        <w:rFonts w:hint="default" w:ascii="Symbol" w:hAnsi="Symbol"/>
      </w:rPr>
    </w:lvl>
    <w:lvl w:ilvl="7" w:tplc="CE80A5FE">
      <w:start w:val="1"/>
      <w:numFmt w:val="bullet"/>
      <w:lvlText w:val="o"/>
      <w:lvlJc w:val="left"/>
      <w:pPr>
        <w:ind w:left="5760" w:hanging="360"/>
      </w:pPr>
      <w:rPr>
        <w:rFonts w:hint="default" w:ascii="Courier New" w:hAnsi="Courier New"/>
      </w:rPr>
    </w:lvl>
    <w:lvl w:ilvl="8" w:tplc="A86003E0">
      <w:start w:val="1"/>
      <w:numFmt w:val="bullet"/>
      <w:lvlText w:val=""/>
      <w:lvlJc w:val="left"/>
      <w:pPr>
        <w:ind w:left="6480" w:hanging="360"/>
      </w:pPr>
      <w:rPr>
        <w:rFonts w:hint="default" w:ascii="Wingdings" w:hAnsi="Wingdings"/>
      </w:rPr>
    </w:lvl>
  </w:abstractNum>
  <w:abstractNum w:abstractNumId="3" w15:restartNumberingAfterBreak="0">
    <w:nsid w:val="2905903A"/>
    <w:multiLevelType w:val="hybridMultilevel"/>
    <w:tmpl w:val="78642D8E"/>
    <w:lvl w:ilvl="0" w:tplc="2E02534A">
      <w:start w:val="1"/>
      <w:numFmt w:val="bullet"/>
      <w:lvlText w:val=""/>
      <w:lvlJc w:val="left"/>
      <w:pPr>
        <w:ind w:left="720" w:hanging="360"/>
      </w:pPr>
      <w:rPr>
        <w:rFonts w:hint="default" w:ascii="Symbol" w:hAnsi="Symbol"/>
      </w:rPr>
    </w:lvl>
    <w:lvl w:ilvl="1" w:tplc="B2BA1662">
      <w:start w:val="1"/>
      <w:numFmt w:val="bullet"/>
      <w:lvlText w:val="o"/>
      <w:lvlJc w:val="left"/>
      <w:pPr>
        <w:ind w:left="1440" w:hanging="360"/>
      </w:pPr>
      <w:rPr>
        <w:rFonts w:hint="default" w:ascii="Courier New" w:hAnsi="Courier New"/>
      </w:rPr>
    </w:lvl>
    <w:lvl w:ilvl="2" w:tplc="F2925418">
      <w:start w:val="1"/>
      <w:numFmt w:val="bullet"/>
      <w:lvlText w:val=""/>
      <w:lvlJc w:val="left"/>
      <w:pPr>
        <w:ind w:left="2160" w:hanging="360"/>
      </w:pPr>
      <w:rPr>
        <w:rFonts w:hint="default" w:ascii="Wingdings" w:hAnsi="Wingdings"/>
      </w:rPr>
    </w:lvl>
    <w:lvl w:ilvl="3" w:tplc="99FCC99C">
      <w:start w:val="1"/>
      <w:numFmt w:val="bullet"/>
      <w:lvlText w:val=""/>
      <w:lvlJc w:val="left"/>
      <w:pPr>
        <w:ind w:left="2880" w:hanging="360"/>
      </w:pPr>
      <w:rPr>
        <w:rFonts w:hint="default" w:ascii="Symbol" w:hAnsi="Symbol"/>
      </w:rPr>
    </w:lvl>
    <w:lvl w:ilvl="4" w:tplc="1DD0225A">
      <w:start w:val="1"/>
      <w:numFmt w:val="bullet"/>
      <w:lvlText w:val="o"/>
      <w:lvlJc w:val="left"/>
      <w:pPr>
        <w:ind w:left="3600" w:hanging="360"/>
      </w:pPr>
      <w:rPr>
        <w:rFonts w:hint="default" w:ascii="Courier New" w:hAnsi="Courier New"/>
      </w:rPr>
    </w:lvl>
    <w:lvl w:ilvl="5" w:tplc="2CDEB9A0">
      <w:start w:val="1"/>
      <w:numFmt w:val="bullet"/>
      <w:lvlText w:val=""/>
      <w:lvlJc w:val="left"/>
      <w:pPr>
        <w:ind w:left="4320" w:hanging="360"/>
      </w:pPr>
      <w:rPr>
        <w:rFonts w:hint="default" w:ascii="Wingdings" w:hAnsi="Wingdings"/>
      </w:rPr>
    </w:lvl>
    <w:lvl w:ilvl="6" w:tplc="AA169DC2">
      <w:start w:val="1"/>
      <w:numFmt w:val="bullet"/>
      <w:lvlText w:val=""/>
      <w:lvlJc w:val="left"/>
      <w:pPr>
        <w:ind w:left="5040" w:hanging="360"/>
      </w:pPr>
      <w:rPr>
        <w:rFonts w:hint="default" w:ascii="Symbol" w:hAnsi="Symbol"/>
      </w:rPr>
    </w:lvl>
    <w:lvl w:ilvl="7" w:tplc="BEBE179E">
      <w:start w:val="1"/>
      <w:numFmt w:val="bullet"/>
      <w:lvlText w:val="o"/>
      <w:lvlJc w:val="left"/>
      <w:pPr>
        <w:ind w:left="5760" w:hanging="360"/>
      </w:pPr>
      <w:rPr>
        <w:rFonts w:hint="default" w:ascii="Courier New" w:hAnsi="Courier New"/>
      </w:rPr>
    </w:lvl>
    <w:lvl w:ilvl="8" w:tplc="69D0DE28">
      <w:start w:val="1"/>
      <w:numFmt w:val="bullet"/>
      <w:lvlText w:val=""/>
      <w:lvlJc w:val="left"/>
      <w:pPr>
        <w:ind w:left="6480" w:hanging="360"/>
      </w:pPr>
      <w:rPr>
        <w:rFonts w:hint="default" w:ascii="Wingdings" w:hAnsi="Wingdings"/>
      </w:rPr>
    </w:lvl>
  </w:abstractNum>
  <w:abstractNum w:abstractNumId="4" w15:restartNumberingAfterBreak="0">
    <w:nsid w:val="2B320783"/>
    <w:multiLevelType w:val="hybridMultilevel"/>
    <w:tmpl w:val="CBF62ACC"/>
    <w:lvl w:ilvl="0" w:tplc="3E5A8294">
      <w:start w:val="1"/>
      <w:numFmt w:val="bullet"/>
      <w:lvlText w:val=""/>
      <w:lvlJc w:val="left"/>
      <w:pPr>
        <w:ind w:left="720" w:hanging="360"/>
      </w:pPr>
      <w:rPr>
        <w:rFonts w:hint="default" w:ascii="Symbol" w:hAnsi="Symbol"/>
      </w:rPr>
    </w:lvl>
    <w:lvl w:ilvl="1" w:tplc="0A10516A">
      <w:start w:val="1"/>
      <w:numFmt w:val="bullet"/>
      <w:lvlText w:val="o"/>
      <w:lvlJc w:val="left"/>
      <w:pPr>
        <w:ind w:left="1440" w:hanging="360"/>
      </w:pPr>
      <w:rPr>
        <w:rFonts w:hint="default" w:ascii="Courier New" w:hAnsi="Courier New"/>
      </w:rPr>
    </w:lvl>
    <w:lvl w:ilvl="2" w:tplc="A19C624C">
      <w:start w:val="1"/>
      <w:numFmt w:val="bullet"/>
      <w:lvlText w:val=""/>
      <w:lvlJc w:val="left"/>
      <w:pPr>
        <w:ind w:left="2160" w:hanging="360"/>
      </w:pPr>
      <w:rPr>
        <w:rFonts w:hint="default" w:ascii="Wingdings" w:hAnsi="Wingdings"/>
      </w:rPr>
    </w:lvl>
    <w:lvl w:ilvl="3" w:tplc="8A566652">
      <w:start w:val="1"/>
      <w:numFmt w:val="bullet"/>
      <w:lvlText w:val=""/>
      <w:lvlJc w:val="left"/>
      <w:pPr>
        <w:ind w:left="2880" w:hanging="360"/>
      </w:pPr>
      <w:rPr>
        <w:rFonts w:hint="default" w:ascii="Symbol" w:hAnsi="Symbol"/>
      </w:rPr>
    </w:lvl>
    <w:lvl w:ilvl="4" w:tplc="CC068FB8">
      <w:start w:val="1"/>
      <w:numFmt w:val="bullet"/>
      <w:lvlText w:val="o"/>
      <w:lvlJc w:val="left"/>
      <w:pPr>
        <w:ind w:left="3600" w:hanging="360"/>
      </w:pPr>
      <w:rPr>
        <w:rFonts w:hint="default" w:ascii="Courier New" w:hAnsi="Courier New"/>
      </w:rPr>
    </w:lvl>
    <w:lvl w:ilvl="5" w:tplc="333E51A0">
      <w:start w:val="1"/>
      <w:numFmt w:val="bullet"/>
      <w:lvlText w:val=""/>
      <w:lvlJc w:val="left"/>
      <w:pPr>
        <w:ind w:left="4320" w:hanging="360"/>
      </w:pPr>
      <w:rPr>
        <w:rFonts w:hint="default" w:ascii="Wingdings" w:hAnsi="Wingdings"/>
      </w:rPr>
    </w:lvl>
    <w:lvl w:ilvl="6" w:tplc="C38EB46C">
      <w:start w:val="1"/>
      <w:numFmt w:val="bullet"/>
      <w:lvlText w:val=""/>
      <w:lvlJc w:val="left"/>
      <w:pPr>
        <w:ind w:left="5040" w:hanging="360"/>
      </w:pPr>
      <w:rPr>
        <w:rFonts w:hint="default" w:ascii="Symbol" w:hAnsi="Symbol"/>
      </w:rPr>
    </w:lvl>
    <w:lvl w:ilvl="7" w:tplc="143A4E32">
      <w:start w:val="1"/>
      <w:numFmt w:val="bullet"/>
      <w:lvlText w:val="o"/>
      <w:lvlJc w:val="left"/>
      <w:pPr>
        <w:ind w:left="5760" w:hanging="360"/>
      </w:pPr>
      <w:rPr>
        <w:rFonts w:hint="default" w:ascii="Courier New" w:hAnsi="Courier New"/>
      </w:rPr>
    </w:lvl>
    <w:lvl w:ilvl="8" w:tplc="2B8C1156">
      <w:start w:val="1"/>
      <w:numFmt w:val="bullet"/>
      <w:lvlText w:val=""/>
      <w:lvlJc w:val="left"/>
      <w:pPr>
        <w:ind w:left="6480" w:hanging="360"/>
      </w:pPr>
      <w:rPr>
        <w:rFonts w:hint="default" w:ascii="Wingdings" w:hAnsi="Wingdings"/>
      </w:rPr>
    </w:lvl>
  </w:abstractNum>
  <w:abstractNum w:abstractNumId="5" w15:restartNumberingAfterBreak="0">
    <w:nsid w:val="5BBF678C"/>
    <w:multiLevelType w:val="hybridMultilevel"/>
    <w:tmpl w:val="8BB4F49E"/>
    <w:lvl w:ilvl="0" w:tplc="F6444826">
      <w:start w:val="1"/>
      <w:numFmt w:val="bullet"/>
      <w:lvlText w:val=""/>
      <w:lvlJc w:val="left"/>
      <w:pPr>
        <w:ind w:left="2160" w:hanging="360"/>
      </w:pPr>
      <w:rPr>
        <w:rFonts w:ascii="Symbol" w:hAnsi="Symbol"/>
      </w:rPr>
    </w:lvl>
    <w:lvl w:ilvl="1" w:tplc="4934B728">
      <w:start w:val="1"/>
      <w:numFmt w:val="bullet"/>
      <w:lvlText w:val=""/>
      <w:lvlJc w:val="left"/>
      <w:pPr>
        <w:ind w:left="2160" w:hanging="360"/>
      </w:pPr>
      <w:rPr>
        <w:rFonts w:ascii="Symbol" w:hAnsi="Symbol"/>
      </w:rPr>
    </w:lvl>
    <w:lvl w:ilvl="2" w:tplc="13EA57CC">
      <w:start w:val="1"/>
      <w:numFmt w:val="bullet"/>
      <w:lvlText w:val=""/>
      <w:lvlJc w:val="left"/>
      <w:pPr>
        <w:ind w:left="2160" w:hanging="360"/>
      </w:pPr>
      <w:rPr>
        <w:rFonts w:ascii="Symbol" w:hAnsi="Symbol"/>
      </w:rPr>
    </w:lvl>
    <w:lvl w:ilvl="3" w:tplc="A08466C2">
      <w:start w:val="1"/>
      <w:numFmt w:val="bullet"/>
      <w:lvlText w:val=""/>
      <w:lvlJc w:val="left"/>
      <w:pPr>
        <w:ind w:left="2160" w:hanging="360"/>
      </w:pPr>
      <w:rPr>
        <w:rFonts w:ascii="Symbol" w:hAnsi="Symbol"/>
      </w:rPr>
    </w:lvl>
    <w:lvl w:ilvl="4" w:tplc="972C1634">
      <w:start w:val="1"/>
      <w:numFmt w:val="bullet"/>
      <w:lvlText w:val=""/>
      <w:lvlJc w:val="left"/>
      <w:pPr>
        <w:ind w:left="2160" w:hanging="360"/>
      </w:pPr>
      <w:rPr>
        <w:rFonts w:ascii="Symbol" w:hAnsi="Symbol"/>
      </w:rPr>
    </w:lvl>
    <w:lvl w:ilvl="5" w:tplc="08E22588">
      <w:start w:val="1"/>
      <w:numFmt w:val="bullet"/>
      <w:lvlText w:val=""/>
      <w:lvlJc w:val="left"/>
      <w:pPr>
        <w:ind w:left="2160" w:hanging="360"/>
      </w:pPr>
      <w:rPr>
        <w:rFonts w:ascii="Symbol" w:hAnsi="Symbol"/>
      </w:rPr>
    </w:lvl>
    <w:lvl w:ilvl="6" w:tplc="47A60BC6">
      <w:start w:val="1"/>
      <w:numFmt w:val="bullet"/>
      <w:lvlText w:val=""/>
      <w:lvlJc w:val="left"/>
      <w:pPr>
        <w:ind w:left="2160" w:hanging="360"/>
      </w:pPr>
      <w:rPr>
        <w:rFonts w:ascii="Symbol" w:hAnsi="Symbol"/>
      </w:rPr>
    </w:lvl>
    <w:lvl w:ilvl="7" w:tplc="EDBABEDC">
      <w:start w:val="1"/>
      <w:numFmt w:val="bullet"/>
      <w:lvlText w:val=""/>
      <w:lvlJc w:val="left"/>
      <w:pPr>
        <w:ind w:left="2160" w:hanging="360"/>
      </w:pPr>
      <w:rPr>
        <w:rFonts w:ascii="Symbol" w:hAnsi="Symbol"/>
      </w:rPr>
    </w:lvl>
    <w:lvl w:ilvl="8" w:tplc="9DA650AC">
      <w:start w:val="1"/>
      <w:numFmt w:val="bullet"/>
      <w:lvlText w:val=""/>
      <w:lvlJc w:val="left"/>
      <w:pPr>
        <w:ind w:left="2160" w:hanging="360"/>
      </w:pPr>
      <w:rPr>
        <w:rFonts w:ascii="Symbol" w:hAnsi="Symbol"/>
      </w:rPr>
    </w:lvl>
  </w:abstractNum>
  <w:abstractNum w:abstractNumId="6" w15:restartNumberingAfterBreak="0">
    <w:nsid w:val="60EAFEA5"/>
    <w:multiLevelType w:val="hybridMultilevel"/>
    <w:tmpl w:val="343E7EC0"/>
    <w:lvl w:ilvl="0" w:tplc="256C1160">
      <w:start w:val="1"/>
      <w:numFmt w:val="bullet"/>
      <w:lvlText w:val=""/>
      <w:lvlJc w:val="left"/>
      <w:pPr>
        <w:ind w:left="720" w:hanging="360"/>
      </w:pPr>
      <w:rPr>
        <w:rFonts w:hint="default" w:ascii="Symbol" w:hAnsi="Symbol"/>
      </w:rPr>
    </w:lvl>
    <w:lvl w:ilvl="1" w:tplc="FD8A5E52">
      <w:start w:val="1"/>
      <w:numFmt w:val="bullet"/>
      <w:lvlText w:val="o"/>
      <w:lvlJc w:val="left"/>
      <w:pPr>
        <w:ind w:left="1440" w:hanging="360"/>
      </w:pPr>
      <w:rPr>
        <w:rFonts w:hint="default" w:ascii="Courier New" w:hAnsi="Courier New"/>
      </w:rPr>
    </w:lvl>
    <w:lvl w:ilvl="2" w:tplc="F7FE959E">
      <w:start w:val="1"/>
      <w:numFmt w:val="bullet"/>
      <w:lvlText w:val=""/>
      <w:lvlJc w:val="left"/>
      <w:pPr>
        <w:ind w:left="2160" w:hanging="360"/>
      </w:pPr>
      <w:rPr>
        <w:rFonts w:hint="default" w:ascii="Wingdings" w:hAnsi="Wingdings"/>
      </w:rPr>
    </w:lvl>
    <w:lvl w:ilvl="3" w:tplc="67B62068">
      <w:start w:val="1"/>
      <w:numFmt w:val="bullet"/>
      <w:lvlText w:val=""/>
      <w:lvlJc w:val="left"/>
      <w:pPr>
        <w:ind w:left="2880" w:hanging="360"/>
      </w:pPr>
      <w:rPr>
        <w:rFonts w:hint="default" w:ascii="Symbol" w:hAnsi="Symbol"/>
      </w:rPr>
    </w:lvl>
    <w:lvl w:ilvl="4" w:tplc="B1D4B1E0">
      <w:start w:val="1"/>
      <w:numFmt w:val="bullet"/>
      <w:lvlText w:val="o"/>
      <w:lvlJc w:val="left"/>
      <w:pPr>
        <w:ind w:left="3600" w:hanging="360"/>
      </w:pPr>
      <w:rPr>
        <w:rFonts w:hint="default" w:ascii="Courier New" w:hAnsi="Courier New"/>
      </w:rPr>
    </w:lvl>
    <w:lvl w:ilvl="5" w:tplc="6C8496C8">
      <w:start w:val="1"/>
      <w:numFmt w:val="bullet"/>
      <w:lvlText w:val=""/>
      <w:lvlJc w:val="left"/>
      <w:pPr>
        <w:ind w:left="4320" w:hanging="360"/>
      </w:pPr>
      <w:rPr>
        <w:rFonts w:hint="default" w:ascii="Wingdings" w:hAnsi="Wingdings"/>
      </w:rPr>
    </w:lvl>
    <w:lvl w:ilvl="6" w:tplc="E90637B4">
      <w:start w:val="1"/>
      <w:numFmt w:val="bullet"/>
      <w:lvlText w:val=""/>
      <w:lvlJc w:val="left"/>
      <w:pPr>
        <w:ind w:left="5040" w:hanging="360"/>
      </w:pPr>
      <w:rPr>
        <w:rFonts w:hint="default" w:ascii="Symbol" w:hAnsi="Symbol"/>
      </w:rPr>
    </w:lvl>
    <w:lvl w:ilvl="7" w:tplc="6D4EE6D4">
      <w:start w:val="1"/>
      <w:numFmt w:val="bullet"/>
      <w:lvlText w:val="o"/>
      <w:lvlJc w:val="left"/>
      <w:pPr>
        <w:ind w:left="5760" w:hanging="360"/>
      </w:pPr>
      <w:rPr>
        <w:rFonts w:hint="default" w:ascii="Courier New" w:hAnsi="Courier New"/>
      </w:rPr>
    </w:lvl>
    <w:lvl w:ilvl="8" w:tplc="01F20C8A">
      <w:start w:val="1"/>
      <w:numFmt w:val="bullet"/>
      <w:lvlText w:val=""/>
      <w:lvlJc w:val="left"/>
      <w:pPr>
        <w:ind w:left="6480" w:hanging="360"/>
      </w:pPr>
      <w:rPr>
        <w:rFonts w:hint="default" w:ascii="Wingdings" w:hAnsi="Wingdings"/>
      </w:rPr>
    </w:lvl>
  </w:abstractNum>
  <w:num w:numId="1" w16cid:durableId="277376063">
    <w:abstractNumId w:val="4"/>
  </w:num>
  <w:num w:numId="2" w16cid:durableId="290206327">
    <w:abstractNumId w:val="1"/>
  </w:num>
  <w:num w:numId="3" w16cid:durableId="135605367">
    <w:abstractNumId w:val="3"/>
  </w:num>
  <w:num w:numId="4" w16cid:durableId="1524392636">
    <w:abstractNumId w:val="2"/>
  </w:num>
  <w:num w:numId="5" w16cid:durableId="1764841040">
    <w:abstractNumId w:val="6"/>
  </w:num>
  <w:num w:numId="6" w16cid:durableId="1771505679">
    <w:abstractNumId w:val="0"/>
  </w:num>
  <w:num w:numId="7" w16cid:durableId="458185290">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3B8DCD"/>
    <w:rsid w:val="00044FBF"/>
    <w:rsid w:val="00076156"/>
    <w:rsid w:val="000B1929"/>
    <w:rsid w:val="00182E03"/>
    <w:rsid w:val="00193BDF"/>
    <w:rsid w:val="00314E48"/>
    <w:rsid w:val="00333B6C"/>
    <w:rsid w:val="003361B3"/>
    <w:rsid w:val="0036023B"/>
    <w:rsid w:val="00363462"/>
    <w:rsid w:val="003D352D"/>
    <w:rsid w:val="00444A0C"/>
    <w:rsid w:val="004540A2"/>
    <w:rsid w:val="00455643"/>
    <w:rsid w:val="004574F9"/>
    <w:rsid w:val="00501757"/>
    <w:rsid w:val="00504C35"/>
    <w:rsid w:val="00571DAF"/>
    <w:rsid w:val="005C797D"/>
    <w:rsid w:val="005F5B3A"/>
    <w:rsid w:val="00603AF2"/>
    <w:rsid w:val="0067139F"/>
    <w:rsid w:val="006C6F08"/>
    <w:rsid w:val="007F3B25"/>
    <w:rsid w:val="00861C6F"/>
    <w:rsid w:val="008B6979"/>
    <w:rsid w:val="00907679"/>
    <w:rsid w:val="00922F2A"/>
    <w:rsid w:val="00A328AF"/>
    <w:rsid w:val="00B325D2"/>
    <w:rsid w:val="00B8021E"/>
    <w:rsid w:val="00B975B1"/>
    <w:rsid w:val="00BA62F2"/>
    <w:rsid w:val="00DA62DF"/>
    <w:rsid w:val="00E154CB"/>
    <w:rsid w:val="00ED4AB7"/>
    <w:rsid w:val="00F16A37"/>
    <w:rsid w:val="00F49A52"/>
    <w:rsid w:val="011E8729"/>
    <w:rsid w:val="011EF340"/>
    <w:rsid w:val="01FF0720"/>
    <w:rsid w:val="0205AF15"/>
    <w:rsid w:val="0265BF02"/>
    <w:rsid w:val="02986C03"/>
    <w:rsid w:val="02BD2808"/>
    <w:rsid w:val="035106B9"/>
    <w:rsid w:val="03516028"/>
    <w:rsid w:val="03802E3F"/>
    <w:rsid w:val="04AFAC5F"/>
    <w:rsid w:val="04B6890E"/>
    <w:rsid w:val="0511C85D"/>
    <w:rsid w:val="053BCF29"/>
    <w:rsid w:val="055A5763"/>
    <w:rsid w:val="05A33FD5"/>
    <w:rsid w:val="05A9B0F7"/>
    <w:rsid w:val="05D1F640"/>
    <w:rsid w:val="06877AA0"/>
    <w:rsid w:val="068D2564"/>
    <w:rsid w:val="08BF4199"/>
    <w:rsid w:val="08EB8DC3"/>
    <w:rsid w:val="08FB80E6"/>
    <w:rsid w:val="097DC2DC"/>
    <w:rsid w:val="0996A98D"/>
    <w:rsid w:val="0A4F030C"/>
    <w:rsid w:val="0A56D5CA"/>
    <w:rsid w:val="0A5A003B"/>
    <w:rsid w:val="0AB62935"/>
    <w:rsid w:val="0ACE7830"/>
    <w:rsid w:val="0B2EF5D5"/>
    <w:rsid w:val="0B9C4C9B"/>
    <w:rsid w:val="0BA21F61"/>
    <w:rsid w:val="0BBD6218"/>
    <w:rsid w:val="0BD3D7D7"/>
    <w:rsid w:val="0BE26ABB"/>
    <w:rsid w:val="0D55847C"/>
    <w:rsid w:val="0D55B204"/>
    <w:rsid w:val="0D6EE52D"/>
    <w:rsid w:val="0D8189D2"/>
    <w:rsid w:val="0DD06065"/>
    <w:rsid w:val="0E09E65A"/>
    <w:rsid w:val="0E4386E9"/>
    <w:rsid w:val="0E691D89"/>
    <w:rsid w:val="0E877A8B"/>
    <w:rsid w:val="0EA45F9D"/>
    <w:rsid w:val="0EED626C"/>
    <w:rsid w:val="0EF0F414"/>
    <w:rsid w:val="0EFD869B"/>
    <w:rsid w:val="0F94CCC2"/>
    <w:rsid w:val="0FA96B42"/>
    <w:rsid w:val="1013043E"/>
    <w:rsid w:val="10378D38"/>
    <w:rsid w:val="10D9FDD6"/>
    <w:rsid w:val="1178614A"/>
    <w:rsid w:val="11A02564"/>
    <w:rsid w:val="11B75716"/>
    <w:rsid w:val="124E5AC1"/>
    <w:rsid w:val="12D7A7FE"/>
    <w:rsid w:val="130D574E"/>
    <w:rsid w:val="132D2BD1"/>
    <w:rsid w:val="1384A9C3"/>
    <w:rsid w:val="1421374B"/>
    <w:rsid w:val="145D67F1"/>
    <w:rsid w:val="14EB8294"/>
    <w:rsid w:val="14FA4A0D"/>
    <w:rsid w:val="157AF1CE"/>
    <w:rsid w:val="15EDDDE4"/>
    <w:rsid w:val="15FC5B9D"/>
    <w:rsid w:val="161C0843"/>
    <w:rsid w:val="164F4E78"/>
    <w:rsid w:val="165E13B0"/>
    <w:rsid w:val="167D8B6D"/>
    <w:rsid w:val="16B0D50E"/>
    <w:rsid w:val="16D31C99"/>
    <w:rsid w:val="1803A0C8"/>
    <w:rsid w:val="182E6858"/>
    <w:rsid w:val="1846FDB6"/>
    <w:rsid w:val="1858D92D"/>
    <w:rsid w:val="1894821E"/>
    <w:rsid w:val="18AE5CF2"/>
    <w:rsid w:val="18E28A25"/>
    <w:rsid w:val="190102A4"/>
    <w:rsid w:val="1915648B"/>
    <w:rsid w:val="1968673F"/>
    <w:rsid w:val="19BCD2F7"/>
    <w:rsid w:val="1A257AF3"/>
    <w:rsid w:val="1A4ED15C"/>
    <w:rsid w:val="1A51B7B5"/>
    <w:rsid w:val="1AEE568D"/>
    <w:rsid w:val="1B2759BF"/>
    <w:rsid w:val="1B46A893"/>
    <w:rsid w:val="1B59B2A2"/>
    <w:rsid w:val="1B7FA4B3"/>
    <w:rsid w:val="1BC410E2"/>
    <w:rsid w:val="1C66C96E"/>
    <w:rsid w:val="1C70830D"/>
    <w:rsid w:val="1CC2A4CF"/>
    <w:rsid w:val="1D282F48"/>
    <w:rsid w:val="1D52025D"/>
    <w:rsid w:val="1EC49326"/>
    <w:rsid w:val="1EDC5ABF"/>
    <w:rsid w:val="1EE92BB6"/>
    <w:rsid w:val="1EFDE586"/>
    <w:rsid w:val="1F250C57"/>
    <w:rsid w:val="1F2B14C0"/>
    <w:rsid w:val="1F9614F4"/>
    <w:rsid w:val="1FA9CC33"/>
    <w:rsid w:val="20134D3A"/>
    <w:rsid w:val="2019DDDD"/>
    <w:rsid w:val="20901C5D"/>
    <w:rsid w:val="2114EE33"/>
    <w:rsid w:val="21D4248B"/>
    <w:rsid w:val="21D61CA4"/>
    <w:rsid w:val="21FE3BE1"/>
    <w:rsid w:val="220D0AD1"/>
    <w:rsid w:val="222FC756"/>
    <w:rsid w:val="2239E909"/>
    <w:rsid w:val="228753C2"/>
    <w:rsid w:val="228DED07"/>
    <w:rsid w:val="232B3842"/>
    <w:rsid w:val="23755B3E"/>
    <w:rsid w:val="239000C7"/>
    <w:rsid w:val="23BED057"/>
    <w:rsid w:val="23E0E1C5"/>
    <w:rsid w:val="23FF61BA"/>
    <w:rsid w:val="240E39B3"/>
    <w:rsid w:val="24397854"/>
    <w:rsid w:val="2458127B"/>
    <w:rsid w:val="247740C1"/>
    <w:rsid w:val="248475B4"/>
    <w:rsid w:val="248D6581"/>
    <w:rsid w:val="24ABB633"/>
    <w:rsid w:val="24B60CB7"/>
    <w:rsid w:val="24C9B3E8"/>
    <w:rsid w:val="24CE5691"/>
    <w:rsid w:val="2519ACF6"/>
    <w:rsid w:val="252FD8B0"/>
    <w:rsid w:val="25CEB3D4"/>
    <w:rsid w:val="26B58E13"/>
    <w:rsid w:val="26D015B3"/>
    <w:rsid w:val="26D39E6C"/>
    <w:rsid w:val="275D4AEC"/>
    <w:rsid w:val="27A432B7"/>
    <w:rsid w:val="27C4EC6A"/>
    <w:rsid w:val="28A1E043"/>
    <w:rsid w:val="28D41065"/>
    <w:rsid w:val="290AA543"/>
    <w:rsid w:val="2920399D"/>
    <w:rsid w:val="297D7534"/>
    <w:rsid w:val="2999EBD5"/>
    <w:rsid w:val="29AEA60F"/>
    <w:rsid w:val="29DFD1E0"/>
    <w:rsid w:val="2A28E3E3"/>
    <w:rsid w:val="2AA4A9BD"/>
    <w:rsid w:val="2AC1C643"/>
    <w:rsid w:val="2B5FD3C2"/>
    <w:rsid w:val="2BBE6EC3"/>
    <w:rsid w:val="2C90D60F"/>
    <w:rsid w:val="2D569792"/>
    <w:rsid w:val="2DA2A37A"/>
    <w:rsid w:val="2DC0E429"/>
    <w:rsid w:val="2DE2505B"/>
    <w:rsid w:val="2E0D1F97"/>
    <w:rsid w:val="2E61140B"/>
    <w:rsid w:val="2EE4849B"/>
    <w:rsid w:val="2F91C057"/>
    <w:rsid w:val="2F977E9A"/>
    <w:rsid w:val="2FD62CF2"/>
    <w:rsid w:val="30712136"/>
    <w:rsid w:val="30DCE34F"/>
    <w:rsid w:val="31A7A694"/>
    <w:rsid w:val="321FA03F"/>
    <w:rsid w:val="3221E968"/>
    <w:rsid w:val="3267DFBC"/>
    <w:rsid w:val="3275D777"/>
    <w:rsid w:val="32B65206"/>
    <w:rsid w:val="32FA3AE7"/>
    <w:rsid w:val="33F97BD4"/>
    <w:rsid w:val="342469AE"/>
    <w:rsid w:val="3440852A"/>
    <w:rsid w:val="34908C31"/>
    <w:rsid w:val="34ADA42C"/>
    <w:rsid w:val="34CA6A8A"/>
    <w:rsid w:val="35C02D6C"/>
    <w:rsid w:val="3652DA8C"/>
    <w:rsid w:val="366624D3"/>
    <w:rsid w:val="366AD538"/>
    <w:rsid w:val="369F86E2"/>
    <w:rsid w:val="36A6DDE2"/>
    <w:rsid w:val="37691B30"/>
    <w:rsid w:val="3779DD5B"/>
    <w:rsid w:val="379A9215"/>
    <w:rsid w:val="37AB492E"/>
    <w:rsid w:val="37B7E190"/>
    <w:rsid w:val="38DC9C6E"/>
    <w:rsid w:val="38E573DD"/>
    <w:rsid w:val="392B812E"/>
    <w:rsid w:val="39819643"/>
    <w:rsid w:val="39932731"/>
    <w:rsid w:val="39C9DFBE"/>
    <w:rsid w:val="39D098A8"/>
    <w:rsid w:val="3A13B958"/>
    <w:rsid w:val="3A36A8C3"/>
    <w:rsid w:val="3A487C96"/>
    <w:rsid w:val="3A9130BB"/>
    <w:rsid w:val="3AC5457E"/>
    <w:rsid w:val="3AC76B7E"/>
    <w:rsid w:val="3AD948FA"/>
    <w:rsid w:val="3B56B694"/>
    <w:rsid w:val="3B6FDBA5"/>
    <w:rsid w:val="3B805F1C"/>
    <w:rsid w:val="3BD68E62"/>
    <w:rsid w:val="3BE3FD25"/>
    <w:rsid w:val="3C032316"/>
    <w:rsid w:val="3C0B72A6"/>
    <w:rsid w:val="3C0F3C1C"/>
    <w:rsid w:val="3C16FA55"/>
    <w:rsid w:val="3C977C2F"/>
    <w:rsid w:val="3D02B5F0"/>
    <w:rsid w:val="3D8AC4BC"/>
    <w:rsid w:val="3D8BBA88"/>
    <w:rsid w:val="3D8D5F44"/>
    <w:rsid w:val="3DFA659C"/>
    <w:rsid w:val="3EC9CB28"/>
    <w:rsid w:val="3FA89D26"/>
    <w:rsid w:val="40094D45"/>
    <w:rsid w:val="402478A7"/>
    <w:rsid w:val="40484646"/>
    <w:rsid w:val="4050A0E6"/>
    <w:rsid w:val="41BAB5EE"/>
    <w:rsid w:val="41C69D33"/>
    <w:rsid w:val="41D03F48"/>
    <w:rsid w:val="4235E008"/>
    <w:rsid w:val="427A3DD0"/>
    <w:rsid w:val="42879236"/>
    <w:rsid w:val="42889ADE"/>
    <w:rsid w:val="42D2A6A8"/>
    <w:rsid w:val="42DA388D"/>
    <w:rsid w:val="4307CD08"/>
    <w:rsid w:val="4314352A"/>
    <w:rsid w:val="4367D666"/>
    <w:rsid w:val="4461A6D5"/>
    <w:rsid w:val="449C25FD"/>
    <w:rsid w:val="4502AFE7"/>
    <w:rsid w:val="451BAD22"/>
    <w:rsid w:val="45356AE2"/>
    <w:rsid w:val="455090C2"/>
    <w:rsid w:val="45513327"/>
    <w:rsid w:val="4553869E"/>
    <w:rsid w:val="4581AF3F"/>
    <w:rsid w:val="463346CD"/>
    <w:rsid w:val="464EDA41"/>
    <w:rsid w:val="46CD5437"/>
    <w:rsid w:val="46DD4AFE"/>
    <w:rsid w:val="47E2A017"/>
    <w:rsid w:val="48191197"/>
    <w:rsid w:val="4825E42B"/>
    <w:rsid w:val="484F7CAF"/>
    <w:rsid w:val="4855D8C6"/>
    <w:rsid w:val="48822DB1"/>
    <w:rsid w:val="48DB7FD3"/>
    <w:rsid w:val="4969E1CC"/>
    <w:rsid w:val="499B71A7"/>
    <w:rsid w:val="49FC4B7A"/>
    <w:rsid w:val="4A638A00"/>
    <w:rsid w:val="4A7A2F52"/>
    <w:rsid w:val="4AC18275"/>
    <w:rsid w:val="4AC576F9"/>
    <w:rsid w:val="4AD194CA"/>
    <w:rsid w:val="4AD63D58"/>
    <w:rsid w:val="4ADDF3FF"/>
    <w:rsid w:val="4AF23E9D"/>
    <w:rsid w:val="4B1D5F35"/>
    <w:rsid w:val="4B2D2CC9"/>
    <w:rsid w:val="4B51F00D"/>
    <w:rsid w:val="4B8B2103"/>
    <w:rsid w:val="4BD52FFE"/>
    <w:rsid w:val="4BF37353"/>
    <w:rsid w:val="4CEC288D"/>
    <w:rsid w:val="4D08FF63"/>
    <w:rsid w:val="4D360B6D"/>
    <w:rsid w:val="4D94D090"/>
    <w:rsid w:val="4DA42C55"/>
    <w:rsid w:val="4E1A644B"/>
    <w:rsid w:val="4E1B40EC"/>
    <w:rsid w:val="4E2AD6A1"/>
    <w:rsid w:val="4E3D96AD"/>
    <w:rsid w:val="4EA5B433"/>
    <w:rsid w:val="4EF4E1D6"/>
    <w:rsid w:val="4F547899"/>
    <w:rsid w:val="4F7DE665"/>
    <w:rsid w:val="4F995140"/>
    <w:rsid w:val="5031DC9A"/>
    <w:rsid w:val="503B8DCD"/>
    <w:rsid w:val="508F53F3"/>
    <w:rsid w:val="50DB3216"/>
    <w:rsid w:val="513B4286"/>
    <w:rsid w:val="519312B4"/>
    <w:rsid w:val="51C51B8C"/>
    <w:rsid w:val="52601814"/>
    <w:rsid w:val="5271F30B"/>
    <w:rsid w:val="5305063C"/>
    <w:rsid w:val="53577662"/>
    <w:rsid w:val="539D4A9B"/>
    <w:rsid w:val="539E3B48"/>
    <w:rsid w:val="53F3C8E8"/>
    <w:rsid w:val="5402A737"/>
    <w:rsid w:val="5433213B"/>
    <w:rsid w:val="543C3686"/>
    <w:rsid w:val="54A164BC"/>
    <w:rsid w:val="54A8DBF6"/>
    <w:rsid w:val="5554D5D9"/>
    <w:rsid w:val="5562B698"/>
    <w:rsid w:val="55CCFC6B"/>
    <w:rsid w:val="55E748EA"/>
    <w:rsid w:val="564642D7"/>
    <w:rsid w:val="5653118D"/>
    <w:rsid w:val="568D8DDE"/>
    <w:rsid w:val="56CF823D"/>
    <w:rsid w:val="57EF5455"/>
    <w:rsid w:val="57FE82B8"/>
    <w:rsid w:val="582EC068"/>
    <w:rsid w:val="58EE79E9"/>
    <w:rsid w:val="598526A6"/>
    <w:rsid w:val="5A3801E9"/>
    <w:rsid w:val="5A954B0A"/>
    <w:rsid w:val="5B1A5557"/>
    <w:rsid w:val="5B2825CE"/>
    <w:rsid w:val="5B33B7B4"/>
    <w:rsid w:val="5CE09AC7"/>
    <w:rsid w:val="5CEC5D19"/>
    <w:rsid w:val="5D2A42BF"/>
    <w:rsid w:val="5D6A50FE"/>
    <w:rsid w:val="5D7BACD2"/>
    <w:rsid w:val="5DAA39FF"/>
    <w:rsid w:val="5DB2E153"/>
    <w:rsid w:val="5E7BC24A"/>
    <w:rsid w:val="5E9BB1BF"/>
    <w:rsid w:val="5F2B4523"/>
    <w:rsid w:val="5F76A8A5"/>
    <w:rsid w:val="5FA0927B"/>
    <w:rsid w:val="5FC2CD86"/>
    <w:rsid w:val="6048EDFC"/>
    <w:rsid w:val="6075CADA"/>
    <w:rsid w:val="60CFF573"/>
    <w:rsid w:val="60E70CA7"/>
    <w:rsid w:val="6146BE60"/>
    <w:rsid w:val="621B8A6E"/>
    <w:rsid w:val="6266A110"/>
    <w:rsid w:val="62B3F73C"/>
    <w:rsid w:val="63883171"/>
    <w:rsid w:val="63E49002"/>
    <w:rsid w:val="63FFAD9C"/>
    <w:rsid w:val="64CFAB09"/>
    <w:rsid w:val="64D1BA22"/>
    <w:rsid w:val="65696FA6"/>
    <w:rsid w:val="65A678F3"/>
    <w:rsid w:val="65CA320E"/>
    <w:rsid w:val="65F90F63"/>
    <w:rsid w:val="66678463"/>
    <w:rsid w:val="66BC5B2D"/>
    <w:rsid w:val="66C54F20"/>
    <w:rsid w:val="6761B11D"/>
    <w:rsid w:val="67A7FA36"/>
    <w:rsid w:val="67E89F51"/>
    <w:rsid w:val="6874BBB0"/>
    <w:rsid w:val="68E6833D"/>
    <w:rsid w:val="69A5E7C1"/>
    <w:rsid w:val="69B35987"/>
    <w:rsid w:val="6B2EA97B"/>
    <w:rsid w:val="6B6D4D8C"/>
    <w:rsid w:val="6B7E954D"/>
    <w:rsid w:val="6BBDDADD"/>
    <w:rsid w:val="6C24FA2A"/>
    <w:rsid w:val="6C3FB740"/>
    <w:rsid w:val="6C999C5D"/>
    <w:rsid w:val="6CB9E3D1"/>
    <w:rsid w:val="6CE8A7A1"/>
    <w:rsid w:val="6CF05C80"/>
    <w:rsid w:val="6CF83E3D"/>
    <w:rsid w:val="6CFBDD91"/>
    <w:rsid w:val="6CFF9E43"/>
    <w:rsid w:val="6D15B410"/>
    <w:rsid w:val="6D277B6C"/>
    <w:rsid w:val="6D57D4B4"/>
    <w:rsid w:val="6E33ACF0"/>
    <w:rsid w:val="6E490EE5"/>
    <w:rsid w:val="6E8F8B2B"/>
    <w:rsid w:val="6EA7FEFC"/>
    <w:rsid w:val="6ECF190A"/>
    <w:rsid w:val="6EDA106E"/>
    <w:rsid w:val="6F43AE56"/>
    <w:rsid w:val="6F6445A3"/>
    <w:rsid w:val="6FF3006A"/>
    <w:rsid w:val="70175F67"/>
    <w:rsid w:val="704B6ADB"/>
    <w:rsid w:val="70603A02"/>
    <w:rsid w:val="713E410B"/>
    <w:rsid w:val="71541220"/>
    <w:rsid w:val="7168D655"/>
    <w:rsid w:val="719C8F84"/>
    <w:rsid w:val="719EDED1"/>
    <w:rsid w:val="71E60A96"/>
    <w:rsid w:val="726C9E5D"/>
    <w:rsid w:val="72BC9992"/>
    <w:rsid w:val="72E47A4A"/>
    <w:rsid w:val="730F6A9A"/>
    <w:rsid w:val="737BFD9E"/>
    <w:rsid w:val="73B3B0CA"/>
    <w:rsid w:val="73E13A4A"/>
    <w:rsid w:val="74179544"/>
    <w:rsid w:val="741B8448"/>
    <w:rsid w:val="747180AD"/>
    <w:rsid w:val="7480FD4A"/>
    <w:rsid w:val="7484702C"/>
    <w:rsid w:val="74D22C56"/>
    <w:rsid w:val="7524154C"/>
    <w:rsid w:val="7530C950"/>
    <w:rsid w:val="7545212D"/>
    <w:rsid w:val="75812A38"/>
    <w:rsid w:val="75BBFE03"/>
    <w:rsid w:val="763241E1"/>
    <w:rsid w:val="764372C9"/>
    <w:rsid w:val="7678205A"/>
    <w:rsid w:val="7682764B"/>
    <w:rsid w:val="76B758AC"/>
    <w:rsid w:val="76B7ADA8"/>
    <w:rsid w:val="77F2DFE1"/>
    <w:rsid w:val="7908E4AE"/>
    <w:rsid w:val="7910193E"/>
    <w:rsid w:val="7A132EB1"/>
    <w:rsid w:val="7A3B1988"/>
    <w:rsid w:val="7A8BE78C"/>
    <w:rsid w:val="7AF32E92"/>
    <w:rsid w:val="7AFECC05"/>
    <w:rsid w:val="7B1E4C1D"/>
    <w:rsid w:val="7B9B2F18"/>
    <w:rsid w:val="7C607EB1"/>
    <w:rsid w:val="7C72B617"/>
    <w:rsid w:val="7D12BAAF"/>
    <w:rsid w:val="7D48C62C"/>
    <w:rsid w:val="7DD94437"/>
    <w:rsid w:val="7DFB9700"/>
    <w:rsid w:val="7E543433"/>
    <w:rsid w:val="7E6CD86F"/>
    <w:rsid w:val="7EF7C507"/>
    <w:rsid w:val="7F2F2503"/>
    <w:rsid w:val="7F875489"/>
    <w:rsid w:val="7FC64D1C"/>
    <w:rsid w:val="7FE22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F33BE"/>
  <w15:chartTrackingRefBased/>
  <w15:docId w15:val="{4FC8FD9C-C1CC-4669-A165-F99B7D5C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30F6A9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30F6A9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39932731"/>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55A5763"/>
    <w:pPr>
      <w:ind w:left="720"/>
      <w:contextualSpacing/>
    </w:pPr>
  </w:style>
  <w:style w:type="character" w:styleId="Hyperlink">
    <w:name w:val="Hyperlink"/>
    <w:basedOn w:val="DefaultParagraphFont"/>
    <w:uiPriority w:val="99"/>
    <w:unhideWhenUsed/>
    <w:rsid w:val="730F6A9A"/>
    <w:rPr>
      <w:color w:val="467886"/>
      <w:u w:val="single"/>
    </w:rPr>
  </w:style>
  <w:style w:type="paragraph" w:styleId="TOC1">
    <w:name w:val="toc 1"/>
    <w:basedOn w:val="Normal"/>
    <w:next w:val="Normal"/>
    <w:uiPriority w:val="39"/>
    <w:unhideWhenUsed/>
    <w:rsid w:val="6E490EE5"/>
    <w:pPr>
      <w:spacing w:after="100"/>
    </w:pPr>
  </w:style>
  <w:style w:type="paragraph" w:styleId="TOC2">
    <w:name w:val="toc 2"/>
    <w:basedOn w:val="Normal"/>
    <w:next w:val="Normal"/>
    <w:uiPriority w:val="39"/>
    <w:unhideWhenUsed/>
    <w:rsid w:val="6E490EE5"/>
    <w:pPr>
      <w:spacing w:after="100"/>
      <w:ind w:left="220"/>
    </w:pPr>
  </w:style>
  <w:style w:type="paragraph" w:styleId="TOC3">
    <w:name w:val="toc 3"/>
    <w:basedOn w:val="Normal"/>
    <w:next w:val="Normal"/>
    <w:uiPriority w:val="39"/>
    <w:unhideWhenUsed/>
    <w:rsid w:val="6E490EE5"/>
    <w:pPr>
      <w:spacing w:after="100"/>
      <w:ind w:left="440"/>
    </w:pPr>
  </w:style>
  <w:style w:type="character" w:styleId="CommentReference">
    <w:name w:val="annotation reference"/>
    <w:basedOn w:val="DefaultParagraphFont"/>
    <w:uiPriority w:val="99"/>
    <w:semiHidden/>
    <w:unhideWhenUsed/>
    <w:rsid w:val="00861C6F"/>
    <w:rPr>
      <w:sz w:val="16"/>
      <w:szCs w:val="16"/>
    </w:rPr>
  </w:style>
  <w:style w:type="paragraph" w:styleId="CommentText">
    <w:name w:val="annotation text"/>
    <w:basedOn w:val="Normal"/>
    <w:link w:val="CommentTextChar"/>
    <w:uiPriority w:val="99"/>
    <w:unhideWhenUsed/>
    <w:rsid w:val="00861C6F"/>
    <w:pPr>
      <w:spacing w:line="240" w:lineRule="auto"/>
    </w:pPr>
    <w:rPr>
      <w:sz w:val="20"/>
      <w:szCs w:val="20"/>
    </w:rPr>
  </w:style>
  <w:style w:type="character" w:styleId="CommentTextChar" w:customStyle="1">
    <w:name w:val="Comment Text Char"/>
    <w:basedOn w:val="DefaultParagraphFont"/>
    <w:link w:val="CommentText"/>
    <w:uiPriority w:val="99"/>
    <w:rsid w:val="00861C6F"/>
    <w:rPr>
      <w:sz w:val="20"/>
      <w:szCs w:val="20"/>
    </w:rPr>
  </w:style>
  <w:style w:type="paragraph" w:styleId="CommentSubject">
    <w:name w:val="annotation subject"/>
    <w:basedOn w:val="CommentText"/>
    <w:next w:val="CommentText"/>
    <w:link w:val="CommentSubjectChar"/>
    <w:uiPriority w:val="99"/>
    <w:semiHidden/>
    <w:unhideWhenUsed/>
    <w:rsid w:val="00861C6F"/>
    <w:rPr>
      <w:b/>
      <w:bCs/>
    </w:rPr>
  </w:style>
  <w:style w:type="character" w:styleId="CommentSubjectChar" w:customStyle="1">
    <w:name w:val="Comment Subject Char"/>
    <w:basedOn w:val="CommentTextChar"/>
    <w:link w:val="CommentSubject"/>
    <w:uiPriority w:val="99"/>
    <w:semiHidden/>
    <w:rsid w:val="00861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openxmlformats.org/officeDocument/2006/relationships/hyperlink" Target="https://www.imf.org/-/media/Files/Publications/WP/2023/English/wpiea2023184-print-pdf.ashx" TargetMode="External" Id="rId13" /><Relationship Type="http://schemas.openxmlformats.org/officeDocument/2006/relationships/settings" Target="settings.xml" Id="rId3" /><Relationship Type="http://schemas.microsoft.com/office/2011/relationships/commentsExtended" Target="commentsExtended.xml" Id="rId7" /><Relationship Type="http://schemas.openxmlformats.org/officeDocument/2006/relationships/hyperlink" Target="https://www.nature.com/articles/srep40239" TargetMode="Externa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hyperlink" Target="https://www.bhp.com/sustainability/climate-change" TargetMode="External" Id="rId11" /><Relationship Type="http://schemas.openxmlformats.org/officeDocument/2006/relationships/image" Target="media/image1.png" Id="rId5" /><Relationship Type="http://schemas.microsoft.com/office/2011/relationships/people" Target="people.xml" Id="rId15" /><Relationship Type="http://schemas.openxmlformats.org/officeDocument/2006/relationships/hyperlink" Target="https://www.bhp.com" TargetMode="External" Id="rId10"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s://www.sciencedirect.com/science/article/abs/pii/S2213624X22000347" TargetMode="External" Id="Red89dbd86e8f448a" /><Relationship Type="http://schemas.openxmlformats.org/officeDocument/2006/relationships/hyperlink" Target="https://www.emerald.com/insight/content/doi/10.1108/02756660610640173/full/html" TargetMode="External" Id="Rf46d0f725e3f4fab" /><Relationship Type="http://schemas.openxmlformats.org/officeDocument/2006/relationships/hyperlink" Target="https://doi.org/10.1108/02756660610640173" TargetMode="External" Id="R01d9ee4dbdb04572" /><Relationship Type="http://schemas.openxmlformats.org/officeDocument/2006/relationships/hyperlink" Target="https://www.inderscienceonline.com/doi/abs/10.1504/EJIM.2014.059583" TargetMode="External" Id="R856995c7c8de44c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Kodesha Grant (2310545)</dc:creator>
  <keywords/>
  <dc:description/>
  <lastModifiedBy>Kodesha Grant (2310545)</lastModifiedBy>
  <revision>5</revision>
  <dcterms:created xsi:type="dcterms:W3CDTF">2026-10-20T12:22:00.0000000Z</dcterms:created>
  <dcterms:modified xsi:type="dcterms:W3CDTF">2026-10-21T16:07:05.9865946Z</dcterms:modified>
</coreProperties>
</file>