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DA8206" w14:textId="77777777" w:rsidR="0022394B" w:rsidRDefault="0022394B" w:rsidP="0022394B">
      <w:pPr>
        <w:spacing w:line="360" w:lineRule="auto"/>
        <w:jc w:val="center"/>
        <w:rPr>
          <w:rFonts w:ascii="Times" w:hAnsi="Times"/>
          <w:b/>
          <w:bCs/>
          <w:sz w:val="36"/>
          <w:szCs w:val="36"/>
        </w:rPr>
      </w:pPr>
    </w:p>
    <w:p w14:paraId="77BADFCA" w14:textId="77777777" w:rsidR="0022394B" w:rsidRPr="002978C8" w:rsidRDefault="0022394B" w:rsidP="0022394B">
      <w:pPr>
        <w:spacing w:line="360" w:lineRule="auto"/>
        <w:jc w:val="center"/>
        <w:rPr>
          <w:rFonts w:ascii="Times" w:hAnsi="Times"/>
          <w:sz w:val="36"/>
          <w:szCs w:val="36"/>
        </w:rPr>
      </w:pPr>
      <w:r w:rsidRPr="002978C8">
        <w:rPr>
          <w:rFonts w:ascii="Times" w:hAnsi="Times"/>
          <w:b/>
          <w:bCs/>
          <w:sz w:val="36"/>
          <w:szCs w:val="36"/>
        </w:rPr>
        <w:t xml:space="preserve">NAME: </w:t>
      </w:r>
      <w:r w:rsidRPr="002978C8">
        <w:rPr>
          <w:rFonts w:ascii="Times" w:hAnsi="Times"/>
          <w:sz w:val="36"/>
          <w:szCs w:val="36"/>
        </w:rPr>
        <w:t>Carmen De Luca</w:t>
      </w:r>
    </w:p>
    <w:p w14:paraId="572850C0" w14:textId="77777777" w:rsidR="0022394B" w:rsidRPr="002978C8" w:rsidRDefault="0022394B" w:rsidP="0022394B">
      <w:pPr>
        <w:spacing w:line="360" w:lineRule="auto"/>
        <w:jc w:val="center"/>
        <w:rPr>
          <w:rFonts w:ascii="Times" w:hAnsi="Times"/>
          <w:sz w:val="36"/>
          <w:szCs w:val="36"/>
        </w:rPr>
      </w:pPr>
      <w:r w:rsidRPr="002978C8">
        <w:rPr>
          <w:rFonts w:ascii="Times" w:hAnsi="Times"/>
          <w:b/>
          <w:bCs/>
          <w:sz w:val="36"/>
          <w:szCs w:val="36"/>
        </w:rPr>
        <w:t xml:space="preserve">STUDENT NUMBER: </w:t>
      </w:r>
      <w:r w:rsidRPr="002978C8">
        <w:rPr>
          <w:rFonts w:ascii="Times" w:hAnsi="Times"/>
          <w:sz w:val="36"/>
          <w:szCs w:val="36"/>
        </w:rPr>
        <w:t>2207751</w:t>
      </w:r>
    </w:p>
    <w:p w14:paraId="40AEC611" w14:textId="57F97992" w:rsidR="0022394B" w:rsidRPr="002978C8" w:rsidRDefault="0022394B" w:rsidP="0022394B">
      <w:pPr>
        <w:spacing w:line="360" w:lineRule="auto"/>
        <w:jc w:val="center"/>
        <w:rPr>
          <w:rFonts w:ascii="Times" w:hAnsi="Times"/>
          <w:sz w:val="36"/>
          <w:szCs w:val="36"/>
        </w:rPr>
      </w:pPr>
      <w:r w:rsidRPr="002978C8">
        <w:rPr>
          <w:rFonts w:ascii="Times" w:hAnsi="Times"/>
          <w:b/>
          <w:bCs/>
          <w:sz w:val="36"/>
          <w:szCs w:val="36"/>
        </w:rPr>
        <w:t xml:space="preserve">MODULE: </w:t>
      </w:r>
      <w:r w:rsidRPr="002978C8">
        <w:rPr>
          <w:rFonts w:ascii="Times" w:hAnsi="Times"/>
          <w:sz w:val="36"/>
          <w:szCs w:val="36"/>
        </w:rPr>
        <w:t xml:space="preserve"> LCMB7</w:t>
      </w:r>
      <w:r>
        <w:rPr>
          <w:rFonts w:ascii="Times" w:hAnsi="Times"/>
          <w:sz w:val="36"/>
          <w:szCs w:val="36"/>
        </w:rPr>
        <w:t>012</w:t>
      </w:r>
    </w:p>
    <w:p w14:paraId="0BF15EBC" w14:textId="793EB47A" w:rsidR="0022394B" w:rsidRPr="002978C8" w:rsidRDefault="0022394B" w:rsidP="0022394B">
      <w:pPr>
        <w:spacing w:line="360" w:lineRule="auto"/>
        <w:jc w:val="center"/>
        <w:rPr>
          <w:rFonts w:ascii="Times" w:hAnsi="Times"/>
          <w:sz w:val="36"/>
          <w:szCs w:val="36"/>
        </w:rPr>
      </w:pPr>
      <w:r w:rsidRPr="002978C8">
        <w:rPr>
          <w:rFonts w:ascii="Times" w:hAnsi="Times"/>
          <w:b/>
          <w:bCs/>
          <w:sz w:val="36"/>
          <w:szCs w:val="36"/>
        </w:rPr>
        <w:t xml:space="preserve">LECTURER: </w:t>
      </w:r>
      <w:r>
        <w:rPr>
          <w:rFonts w:ascii="Times" w:hAnsi="Times"/>
          <w:sz w:val="36"/>
          <w:szCs w:val="36"/>
        </w:rPr>
        <w:t>Konstantina Mira</w:t>
      </w:r>
    </w:p>
    <w:p w14:paraId="45CBFCA2" w14:textId="3701E2B5" w:rsidR="0022394B" w:rsidRPr="002978C8" w:rsidRDefault="0022394B" w:rsidP="0022394B">
      <w:pPr>
        <w:spacing w:line="360" w:lineRule="auto"/>
        <w:jc w:val="center"/>
        <w:rPr>
          <w:rFonts w:ascii="Times" w:hAnsi="Times"/>
          <w:sz w:val="36"/>
          <w:szCs w:val="36"/>
        </w:rPr>
      </w:pPr>
      <w:r w:rsidRPr="002978C8">
        <w:rPr>
          <w:rFonts w:ascii="Times" w:hAnsi="Times"/>
          <w:b/>
          <w:bCs/>
          <w:sz w:val="36"/>
          <w:szCs w:val="36"/>
        </w:rPr>
        <w:t xml:space="preserve">COURSE: </w:t>
      </w:r>
      <w:r>
        <w:rPr>
          <w:rFonts w:ascii="Times" w:hAnsi="Times"/>
          <w:sz w:val="36"/>
          <w:szCs w:val="36"/>
        </w:rPr>
        <w:t>Banking financial Management and financial markets</w:t>
      </w:r>
    </w:p>
    <w:p w14:paraId="3DA79E61" w14:textId="63AC2311" w:rsidR="0022394B" w:rsidRDefault="0022394B" w:rsidP="0022394B">
      <w:pPr>
        <w:spacing w:line="360" w:lineRule="auto"/>
        <w:jc w:val="center"/>
        <w:rPr>
          <w:rFonts w:ascii="Times" w:hAnsi="Times"/>
          <w:sz w:val="36"/>
          <w:szCs w:val="36"/>
        </w:rPr>
      </w:pPr>
      <w:r w:rsidRPr="002978C8">
        <w:rPr>
          <w:rFonts w:ascii="Times" w:hAnsi="Times"/>
          <w:b/>
          <w:bCs/>
          <w:sz w:val="36"/>
          <w:szCs w:val="36"/>
        </w:rPr>
        <w:t xml:space="preserve">SUBMISSION DATE: </w:t>
      </w:r>
      <w:r w:rsidR="006F6436" w:rsidRPr="006F6436">
        <w:rPr>
          <w:rFonts w:ascii="Times" w:hAnsi="Times"/>
          <w:sz w:val="36"/>
          <w:szCs w:val="36"/>
        </w:rPr>
        <w:t>09/01/2023</w:t>
      </w:r>
    </w:p>
    <w:p w14:paraId="60E32296" w14:textId="04B2C87C" w:rsidR="0022394B" w:rsidRDefault="0022394B" w:rsidP="0022394B">
      <w:pPr>
        <w:spacing w:line="360" w:lineRule="auto"/>
        <w:jc w:val="center"/>
        <w:rPr>
          <w:rFonts w:ascii="Times" w:hAnsi="Times"/>
          <w:sz w:val="36"/>
          <w:szCs w:val="36"/>
        </w:rPr>
      </w:pPr>
    </w:p>
    <w:p w14:paraId="59C1F76A" w14:textId="013D8A75" w:rsidR="0022394B" w:rsidRDefault="0022394B" w:rsidP="0022394B">
      <w:pPr>
        <w:spacing w:line="360" w:lineRule="auto"/>
        <w:jc w:val="center"/>
        <w:rPr>
          <w:rFonts w:ascii="Times" w:hAnsi="Times"/>
          <w:sz w:val="36"/>
          <w:szCs w:val="36"/>
        </w:rPr>
      </w:pPr>
    </w:p>
    <w:p w14:paraId="30F56207" w14:textId="50BE70DF" w:rsidR="0022394B" w:rsidRDefault="0022394B" w:rsidP="0022394B">
      <w:pPr>
        <w:spacing w:line="360" w:lineRule="auto"/>
        <w:jc w:val="center"/>
        <w:rPr>
          <w:rFonts w:ascii="Times" w:hAnsi="Times"/>
          <w:sz w:val="36"/>
          <w:szCs w:val="36"/>
        </w:rPr>
      </w:pPr>
    </w:p>
    <w:p w14:paraId="34FD078C" w14:textId="6A1750A3" w:rsidR="0022394B" w:rsidRDefault="0022394B" w:rsidP="0022394B">
      <w:pPr>
        <w:spacing w:line="360" w:lineRule="auto"/>
        <w:jc w:val="center"/>
        <w:rPr>
          <w:rFonts w:ascii="Times" w:hAnsi="Times"/>
          <w:sz w:val="36"/>
          <w:szCs w:val="36"/>
        </w:rPr>
      </w:pPr>
    </w:p>
    <w:p w14:paraId="1B7D61B2" w14:textId="3419B365" w:rsidR="0022394B" w:rsidRDefault="0022394B" w:rsidP="0022394B">
      <w:pPr>
        <w:spacing w:line="360" w:lineRule="auto"/>
        <w:jc w:val="center"/>
        <w:rPr>
          <w:rFonts w:ascii="Times" w:hAnsi="Times"/>
          <w:sz w:val="36"/>
          <w:szCs w:val="36"/>
        </w:rPr>
      </w:pPr>
    </w:p>
    <w:p w14:paraId="5903F957" w14:textId="08815BAC" w:rsidR="0022394B" w:rsidRDefault="0022394B" w:rsidP="0022394B">
      <w:pPr>
        <w:spacing w:line="360" w:lineRule="auto"/>
        <w:jc w:val="center"/>
        <w:rPr>
          <w:rFonts w:ascii="Times" w:hAnsi="Times"/>
          <w:sz w:val="36"/>
          <w:szCs w:val="36"/>
        </w:rPr>
      </w:pPr>
    </w:p>
    <w:p w14:paraId="65A67986" w14:textId="3E90F1AE" w:rsidR="0022394B" w:rsidRDefault="0022394B" w:rsidP="0022394B">
      <w:pPr>
        <w:spacing w:line="360" w:lineRule="auto"/>
        <w:jc w:val="center"/>
        <w:rPr>
          <w:rFonts w:ascii="Times" w:hAnsi="Times"/>
          <w:sz w:val="36"/>
          <w:szCs w:val="36"/>
        </w:rPr>
      </w:pPr>
    </w:p>
    <w:p w14:paraId="59947E8B" w14:textId="30C78EA3" w:rsidR="0022394B" w:rsidRDefault="0022394B" w:rsidP="0022394B">
      <w:pPr>
        <w:spacing w:line="360" w:lineRule="auto"/>
        <w:jc w:val="center"/>
        <w:rPr>
          <w:rFonts w:ascii="Times" w:hAnsi="Times"/>
          <w:sz w:val="36"/>
          <w:szCs w:val="36"/>
        </w:rPr>
      </w:pPr>
    </w:p>
    <w:p w14:paraId="72B7CB85" w14:textId="10079206" w:rsidR="0022394B" w:rsidRDefault="0022394B" w:rsidP="0022394B">
      <w:pPr>
        <w:spacing w:line="360" w:lineRule="auto"/>
        <w:jc w:val="center"/>
        <w:rPr>
          <w:rFonts w:ascii="Times" w:hAnsi="Times"/>
          <w:sz w:val="36"/>
          <w:szCs w:val="36"/>
        </w:rPr>
      </w:pPr>
    </w:p>
    <w:p w14:paraId="0D79A874" w14:textId="0F402D6E" w:rsidR="0022394B" w:rsidRDefault="0022394B" w:rsidP="0022394B">
      <w:pPr>
        <w:spacing w:line="360" w:lineRule="auto"/>
        <w:jc w:val="center"/>
        <w:rPr>
          <w:rFonts w:ascii="Times" w:hAnsi="Times"/>
          <w:sz w:val="36"/>
          <w:szCs w:val="36"/>
        </w:rPr>
      </w:pPr>
    </w:p>
    <w:p w14:paraId="2C1B8CC9" w14:textId="37F4BADC" w:rsidR="0022394B" w:rsidRDefault="0022394B" w:rsidP="0022394B">
      <w:pPr>
        <w:spacing w:line="360" w:lineRule="auto"/>
        <w:jc w:val="center"/>
        <w:rPr>
          <w:rFonts w:ascii="Times" w:hAnsi="Times"/>
          <w:sz w:val="36"/>
          <w:szCs w:val="36"/>
        </w:rPr>
      </w:pPr>
    </w:p>
    <w:p w14:paraId="42B15A78" w14:textId="28E8918D" w:rsidR="0022394B" w:rsidRDefault="0022394B" w:rsidP="0022394B">
      <w:pPr>
        <w:spacing w:line="360" w:lineRule="auto"/>
        <w:jc w:val="center"/>
        <w:rPr>
          <w:rFonts w:ascii="Times" w:hAnsi="Times"/>
          <w:sz w:val="36"/>
          <w:szCs w:val="36"/>
        </w:rPr>
      </w:pPr>
    </w:p>
    <w:p w14:paraId="7D248D89" w14:textId="7E56AD43" w:rsidR="0022394B" w:rsidRDefault="0022394B" w:rsidP="0022394B">
      <w:pPr>
        <w:spacing w:line="360" w:lineRule="auto"/>
        <w:jc w:val="center"/>
        <w:rPr>
          <w:rFonts w:ascii="Times" w:hAnsi="Times"/>
          <w:sz w:val="36"/>
          <w:szCs w:val="36"/>
        </w:rPr>
      </w:pPr>
    </w:p>
    <w:p w14:paraId="056674F7" w14:textId="46A1E459" w:rsidR="0022394B" w:rsidRDefault="0022394B" w:rsidP="0022394B">
      <w:pPr>
        <w:spacing w:line="360" w:lineRule="auto"/>
        <w:jc w:val="center"/>
        <w:rPr>
          <w:rFonts w:ascii="Times" w:hAnsi="Times"/>
          <w:sz w:val="36"/>
          <w:szCs w:val="36"/>
        </w:rPr>
      </w:pPr>
    </w:p>
    <w:p w14:paraId="4BC20226" w14:textId="0137D19C" w:rsidR="0022394B" w:rsidRPr="004D2678" w:rsidRDefault="0022394B" w:rsidP="0022394B">
      <w:pPr>
        <w:pStyle w:val="ListParagraph"/>
        <w:numPr>
          <w:ilvl w:val="0"/>
          <w:numId w:val="2"/>
        </w:numPr>
        <w:spacing w:line="360" w:lineRule="auto"/>
        <w:rPr>
          <w:rFonts w:ascii="Times" w:hAnsi="Times"/>
          <w:sz w:val="36"/>
          <w:szCs w:val="36"/>
        </w:rPr>
      </w:pPr>
      <w:r w:rsidRPr="004D2678">
        <w:rPr>
          <w:rFonts w:ascii="Times" w:hAnsi="Times"/>
          <w:sz w:val="36"/>
          <w:szCs w:val="36"/>
        </w:rPr>
        <w:lastRenderedPageBreak/>
        <w:t>INTRODUCTION</w:t>
      </w:r>
      <w:r w:rsidR="0004247C" w:rsidRPr="004D2678">
        <w:rPr>
          <w:rFonts w:ascii="Times" w:hAnsi="Times"/>
          <w:sz w:val="36"/>
          <w:szCs w:val="36"/>
        </w:rPr>
        <w:t xml:space="preserve"> executive summary</w:t>
      </w:r>
    </w:p>
    <w:p w14:paraId="470EC9EA" w14:textId="2D53EAB2" w:rsidR="0004247C" w:rsidRPr="0022394B" w:rsidRDefault="0004247C" w:rsidP="0022394B">
      <w:pPr>
        <w:pStyle w:val="ListParagraph"/>
        <w:numPr>
          <w:ilvl w:val="0"/>
          <w:numId w:val="2"/>
        </w:numPr>
        <w:spacing w:line="360" w:lineRule="auto"/>
        <w:rPr>
          <w:rFonts w:ascii="Times" w:hAnsi="Times"/>
          <w:sz w:val="36"/>
          <w:szCs w:val="36"/>
        </w:rPr>
      </w:pPr>
      <w:r>
        <w:rPr>
          <w:rFonts w:ascii="Times" w:hAnsi="Times"/>
          <w:sz w:val="36"/>
          <w:szCs w:val="36"/>
        </w:rPr>
        <w:t>History</w:t>
      </w:r>
    </w:p>
    <w:p w14:paraId="610F31C9" w14:textId="344D9758" w:rsidR="0022394B" w:rsidRPr="0004247C" w:rsidRDefault="0004247C" w:rsidP="0022394B">
      <w:pPr>
        <w:pStyle w:val="ListParagraph"/>
        <w:numPr>
          <w:ilvl w:val="0"/>
          <w:numId w:val="2"/>
        </w:numPr>
        <w:spacing w:line="360" w:lineRule="auto"/>
        <w:rPr>
          <w:rFonts w:ascii="Times" w:hAnsi="Times"/>
          <w:sz w:val="36"/>
          <w:szCs w:val="36"/>
        </w:rPr>
      </w:pPr>
      <w:r w:rsidRPr="0004247C">
        <w:rPr>
          <w:rFonts w:ascii="Times" w:hAnsi="Times"/>
          <w:sz w:val="36"/>
          <w:szCs w:val="36"/>
        </w:rPr>
        <w:t>A</w:t>
      </w:r>
      <w:r w:rsidR="0022394B" w:rsidRPr="0004247C">
        <w:rPr>
          <w:rFonts w:ascii="Times" w:hAnsi="Times"/>
          <w:sz w:val="36"/>
          <w:szCs w:val="36"/>
        </w:rPr>
        <w:t>fter the crisis</w:t>
      </w:r>
    </w:p>
    <w:p w14:paraId="16135A4E" w14:textId="498536FD" w:rsidR="0022394B" w:rsidRDefault="0022394B" w:rsidP="0022394B">
      <w:pPr>
        <w:pStyle w:val="ListParagraph"/>
        <w:numPr>
          <w:ilvl w:val="1"/>
          <w:numId w:val="2"/>
        </w:numPr>
        <w:spacing w:line="360" w:lineRule="auto"/>
        <w:rPr>
          <w:rFonts w:ascii="Times" w:hAnsi="Times"/>
          <w:sz w:val="36"/>
          <w:szCs w:val="36"/>
        </w:rPr>
      </w:pPr>
      <w:r>
        <w:rPr>
          <w:rFonts w:ascii="Times" w:hAnsi="Times"/>
          <w:sz w:val="36"/>
          <w:szCs w:val="36"/>
        </w:rPr>
        <w:t>Regulations United Kingdom</w:t>
      </w:r>
    </w:p>
    <w:p w14:paraId="6093B0EF" w14:textId="0F82CB21" w:rsidR="0022394B" w:rsidRDefault="0022394B" w:rsidP="0022394B">
      <w:pPr>
        <w:pStyle w:val="ListParagraph"/>
        <w:numPr>
          <w:ilvl w:val="1"/>
          <w:numId w:val="2"/>
        </w:numPr>
        <w:spacing w:line="360" w:lineRule="auto"/>
        <w:rPr>
          <w:rFonts w:ascii="Times" w:hAnsi="Times"/>
          <w:sz w:val="36"/>
          <w:szCs w:val="36"/>
        </w:rPr>
      </w:pPr>
      <w:r>
        <w:rPr>
          <w:rFonts w:ascii="Times" w:hAnsi="Times"/>
          <w:sz w:val="36"/>
          <w:szCs w:val="36"/>
        </w:rPr>
        <w:t>Regulations United States</w:t>
      </w:r>
    </w:p>
    <w:p w14:paraId="27B76F7B" w14:textId="60DC689E" w:rsidR="0004247C" w:rsidRPr="0004247C" w:rsidRDefault="0004247C" w:rsidP="0004247C">
      <w:pPr>
        <w:pStyle w:val="ListParagraph"/>
        <w:numPr>
          <w:ilvl w:val="2"/>
          <w:numId w:val="2"/>
        </w:numPr>
        <w:spacing w:line="360" w:lineRule="auto"/>
        <w:rPr>
          <w:rFonts w:ascii="Times" w:hAnsi="Times"/>
          <w:sz w:val="36"/>
          <w:szCs w:val="36"/>
        </w:rPr>
      </w:pPr>
      <w:r w:rsidRPr="0004247C">
        <w:rPr>
          <w:rFonts w:ascii="Times" w:hAnsi="Times"/>
          <w:sz w:val="36"/>
          <w:szCs w:val="36"/>
        </w:rPr>
        <w:t>Dodd-Frank Wall Street Reform</w:t>
      </w:r>
    </w:p>
    <w:p w14:paraId="1F3B41EC" w14:textId="5B07DD7B" w:rsidR="00053E12" w:rsidRDefault="0004247C" w:rsidP="0022394B">
      <w:pPr>
        <w:pStyle w:val="ListParagraph"/>
        <w:numPr>
          <w:ilvl w:val="1"/>
          <w:numId w:val="2"/>
        </w:numPr>
        <w:spacing w:line="360" w:lineRule="auto"/>
        <w:rPr>
          <w:rFonts w:ascii="Times" w:hAnsi="Times"/>
          <w:sz w:val="36"/>
          <w:szCs w:val="36"/>
        </w:rPr>
      </w:pPr>
      <w:r>
        <w:rPr>
          <w:rFonts w:ascii="Times" w:hAnsi="Times"/>
          <w:sz w:val="36"/>
          <w:szCs w:val="36"/>
        </w:rPr>
        <w:t>European Regulations</w:t>
      </w:r>
      <w:r w:rsidR="00053E12">
        <w:rPr>
          <w:rFonts w:ascii="Times" w:hAnsi="Times"/>
          <w:sz w:val="36"/>
          <w:szCs w:val="36"/>
        </w:rPr>
        <w:t xml:space="preserve"> </w:t>
      </w:r>
      <w:r>
        <w:rPr>
          <w:rFonts w:ascii="Times" w:hAnsi="Times"/>
          <w:sz w:val="36"/>
          <w:szCs w:val="36"/>
        </w:rPr>
        <w:t>–</w:t>
      </w:r>
      <w:r w:rsidR="00053E12">
        <w:rPr>
          <w:rFonts w:ascii="Times" w:hAnsi="Times"/>
          <w:sz w:val="36"/>
          <w:szCs w:val="36"/>
        </w:rPr>
        <w:t xml:space="preserve"> Basel</w:t>
      </w:r>
    </w:p>
    <w:p w14:paraId="40DBB7EE" w14:textId="5421EB86" w:rsidR="0004247C" w:rsidRDefault="0004247C" w:rsidP="0004247C">
      <w:pPr>
        <w:pStyle w:val="ListParagraph"/>
        <w:numPr>
          <w:ilvl w:val="2"/>
          <w:numId w:val="2"/>
        </w:numPr>
        <w:spacing w:line="360" w:lineRule="auto"/>
        <w:rPr>
          <w:rFonts w:ascii="Times" w:hAnsi="Times"/>
          <w:sz w:val="36"/>
          <w:szCs w:val="36"/>
        </w:rPr>
      </w:pPr>
      <w:r>
        <w:rPr>
          <w:rFonts w:ascii="Times" w:hAnsi="Times"/>
          <w:sz w:val="36"/>
          <w:szCs w:val="36"/>
        </w:rPr>
        <w:t>Capital Requirements</w:t>
      </w:r>
    </w:p>
    <w:p w14:paraId="34555024" w14:textId="4DE4E082" w:rsidR="0004247C" w:rsidRDefault="0004247C" w:rsidP="0004247C">
      <w:pPr>
        <w:pStyle w:val="ListParagraph"/>
        <w:numPr>
          <w:ilvl w:val="2"/>
          <w:numId w:val="2"/>
        </w:numPr>
        <w:spacing w:line="360" w:lineRule="auto"/>
        <w:rPr>
          <w:rFonts w:ascii="Times" w:hAnsi="Times"/>
          <w:sz w:val="36"/>
          <w:szCs w:val="36"/>
        </w:rPr>
      </w:pPr>
      <w:r>
        <w:rPr>
          <w:rFonts w:ascii="Times" w:hAnsi="Times"/>
          <w:sz w:val="36"/>
          <w:szCs w:val="36"/>
        </w:rPr>
        <w:t>Leverage Ratio</w:t>
      </w:r>
    </w:p>
    <w:p w14:paraId="02C9FB2F" w14:textId="17E434F2" w:rsidR="0022394B" w:rsidRDefault="0004247C" w:rsidP="0022394B">
      <w:pPr>
        <w:pStyle w:val="ListParagraph"/>
        <w:numPr>
          <w:ilvl w:val="0"/>
          <w:numId w:val="2"/>
        </w:numPr>
        <w:spacing w:line="360" w:lineRule="auto"/>
        <w:rPr>
          <w:rFonts w:ascii="Times" w:hAnsi="Times"/>
          <w:sz w:val="36"/>
          <w:szCs w:val="36"/>
        </w:rPr>
      </w:pPr>
      <w:r>
        <w:rPr>
          <w:rFonts w:ascii="Times" w:hAnsi="Times"/>
          <w:sz w:val="36"/>
          <w:szCs w:val="36"/>
        </w:rPr>
        <w:t>Basel accords</w:t>
      </w:r>
      <w:r w:rsidR="0022394B">
        <w:rPr>
          <w:rFonts w:ascii="Times" w:hAnsi="Times"/>
          <w:sz w:val="36"/>
          <w:szCs w:val="36"/>
        </w:rPr>
        <w:t xml:space="preserve"> to end the crisis</w:t>
      </w:r>
    </w:p>
    <w:p w14:paraId="117CBB61" w14:textId="6EAC6B3C" w:rsidR="0022394B" w:rsidRDefault="00857837" w:rsidP="0022394B">
      <w:pPr>
        <w:pStyle w:val="ListParagraph"/>
        <w:numPr>
          <w:ilvl w:val="0"/>
          <w:numId w:val="2"/>
        </w:numPr>
        <w:spacing w:line="360" w:lineRule="auto"/>
        <w:rPr>
          <w:rFonts w:ascii="Times" w:hAnsi="Times"/>
          <w:sz w:val="36"/>
          <w:szCs w:val="36"/>
        </w:rPr>
      </w:pPr>
      <w:r>
        <w:rPr>
          <w:rFonts w:ascii="Times" w:hAnsi="Times"/>
          <w:sz w:val="36"/>
          <w:szCs w:val="36"/>
        </w:rPr>
        <w:t>Lloy</w:t>
      </w:r>
      <w:r w:rsidR="0004247C">
        <w:rPr>
          <w:rFonts w:ascii="Times" w:hAnsi="Times"/>
          <w:sz w:val="36"/>
          <w:szCs w:val="36"/>
        </w:rPr>
        <w:t>d</w:t>
      </w:r>
      <w:r>
        <w:rPr>
          <w:rFonts w:ascii="Times" w:hAnsi="Times"/>
          <w:sz w:val="36"/>
          <w:szCs w:val="36"/>
        </w:rPr>
        <w:t>s bank</w:t>
      </w:r>
      <w:r w:rsidR="0004247C">
        <w:rPr>
          <w:rFonts w:ascii="Times" w:hAnsi="Times"/>
          <w:sz w:val="36"/>
          <w:szCs w:val="36"/>
        </w:rPr>
        <w:t xml:space="preserve"> with Basel</w:t>
      </w:r>
    </w:p>
    <w:p w14:paraId="48BF61EC" w14:textId="64907BF6" w:rsidR="0004247C" w:rsidRDefault="0004247C" w:rsidP="0004247C">
      <w:pPr>
        <w:pStyle w:val="ListParagraph"/>
        <w:numPr>
          <w:ilvl w:val="1"/>
          <w:numId w:val="2"/>
        </w:numPr>
        <w:spacing w:line="360" w:lineRule="auto"/>
        <w:rPr>
          <w:rFonts w:ascii="Times" w:hAnsi="Times"/>
          <w:sz w:val="36"/>
          <w:szCs w:val="36"/>
        </w:rPr>
      </w:pPr>
      <w:r>
        <w:rPr>
          <w:rFonts w:ascii="Times" w:hAnsi="Times"/>
          <w:sz w:val="36"/>
          <w:szCs w:val="36"/>
        </w:rPr>
        <w:t>Basel II</w:t>
      </w:r>
    </w:p>
    <w:p w14:paraId="12C48FAC" w14:textId="77777777" w:rsidR="001071C8" w:rsidRPr="001071C8" w:rsidRDefault="0004247C" w:rsidP="0022394B">
      <w:pPr>
        <w:pStyle w:val="ListParagraph"/>
        <w:numPr>
          <w:ilvl w:val="0"/>
          <w:numId w:val="2"/>
        </w:numPr>
        <w:spacing w:line="360" w:lineRule="auto"/>
        <w:rPr>
          <w:rFonts w:ascii="Times" w:hAnsi="Times"/>
          <w:sz w:val="36"/>
          <w:szCs w:val="36"/>
        </w:rPr>
      </w:pPr>
      <w:r w:rsidRPr="001071C8">
        <w:rPr>
          <w:rFonts w:ascii="Times" w:hAnsi="Times"/>
          <w:sz w:val="36"/>
          <w:szCs w:val="36"/>
        </w:rPr>
        <w:t xml:space="preserve">Financial </w:t>
      </w:r>
      <w:r w:rsidR="009F4746" w:rsidRPr="001071C8">
        <w:rPr>
          <w:rFonts w:ascii="Times" w:hAnsi="Times"/>
          <w:sz w:val="36"/>
          <w:szCs w:val="36"/>
        </w:rPr>
        <w:t>analysis</w:t>
      </w:r>
      <w:r w:rsidRPr="001071C8">
        <w:rPr>
          <w:rFonts w:ascii="Times" w:hAnsi="Times"/>
          <w:sz w:val="36"/>
          <w:szCs w:val="36"/>
        </w:rPr>
        <w:t xml:space="preserve"> of </w:t>
      </w:r>
      <w:proofErr w:type="spellStart"/>
      <w:r w:rsidRPr="001071C8">
        <w:rPr>
          <w:rFonts w:ascii="Times" w:hAnsi="Times"/>
          <w:sz w:val="36"/>
          <w:szCs w:val="36"/>
        </w:rPr>
        <w:t>Llyods</w:t>
      </w:r>
      <w:proofErr w:type="spellEnd"/>
      <w:r w:rsidRPr="001071C8">
        <w:rPr>
          <w:rFonts w:ascii="Times" w:hAnsi="Times"/>
          <w:sz w:val="36"/>
          <w:szCs w:val="36"/>
        </w:rPr>
        <w:t xml:space="preserve"> 2008 </w:t>
      </w:r>
      <w:r w:rsidR="001071C8" w:rsidRPr="001071C8">
        <w:rPr>
          <w:rFonts w:ascii="Times" w:hAnsi="Times"/>
          <w:sz w:val="36"/>
          <w:szCs w:val="36"/>
        </w:rPr>
        <w:t>and</w:t>
      </w:r>
      <w:r w:rsidR="00A67548" w:rsidRPr="001071C8">
        <w:rPr>
          <w:rFonts w:ascii="Times" w:hAnsi="Times"/>
          <w:sz w:val="36"/>
          <w:szCs w:val="36"/>
        </w:rPr>
        <w:t xml:space="preserve"> </w:t>
      </w:r>
      <w:r w:rsidR="001071C8" w:rsidRPr="001071C8">
        <w:rPr>
          <w:rFonts w:ascii="Times" w:hAnsi="Times"/>
          <w:sz w:val="36"/>
          <w:szCs w:val="36"/>
        </w:rPr>
        <w:t>2021</w:t>
      </w:r>
    </w:p>
    <w:p w14:paraId="78A7972B" w14:textId="77777777" w:rsidR="001071C8" w:rsidRPr="001071C8" w:rsidRDefault="001071C8" w:rsidP="001071C8">
      <w:pPr>
        <w:pStyle w:val="ListParagraph"/>
        <w:numPr>
          <w:ilvl w:val="1"/>
          <w:numId w:val="2"/>
        </w:numPr>
        <w:spacing w:line="360" w:lineRule="auto"/>
        <w:rPr>
          <w:rFonts w:ascii="Times" w:hAnsi="Times"/>
          <w:sz w:val="36"/>
          <w:szCs w:val="36"/>
        </w:rPr>
      </w:pPr>
      <w:r w:rsidRPr="001071C8">
        <w:rPr>
          <w:rFonts w:ascii="Times" w:hAnsi="Times"/>
          <w:sz w:val="36"/>
          <w:szCs w:val="36"/>
        </w:rPr>
        <w:t>Income statement of Lloyds</w:t>
      </w:r>
    </w:p>
    <w:p w14:paraId="131047BE" w14:textId="77777777" w:rsidR="001071C8" w:rsidRPr="001071C8" w:rsidRDefault="001071C8" w:rsidP="001071C8">
      <w:pPr>
        <w:pStyle w:val="ListParagraph"/>
        <w:numPr>
          <w:ilvl w:val="1"/>
          <w:numId w:val="2"/>
        </w:numPr>
        <w:spacing w:line="360" w:lineRule="auto"/>
        <w:rPr>
          <w:rFonts w:ascii="Times" w:hAnsi="Times"/>
          <w:sz w:val="36"/>
          <w:szCs w:val="36"/>
        </w:rPr>
      </w:pPr>
      <w:r w:rsidRPr="001071C8">
        <w:rPr>
          <w:rFonts w:ascii="Times" w:hAnsi="Times"/>
          <w:sz w:val="36"/>
          <w:szCs w:val="36"/>
        </w:rPr>
        <w:t>Balance sheet</w:t>
      </w:r>
    </w:p>
    <w:p w14:paraId="08B49C05" w14:textId="77777777" w:rsidR="001071C8" w:rsidRPr="0057375C" w:rsidRDefault="001071C8" w:rsidP="001071C8">
      <w:pPr>
        <w:pStyle w:val="ListParagraph"/>
        <w:numPr>
          <w:ilvl w:val="1"/>
          <w:numId w:val="2"/>
        </w:numPr>
        <w:spacing w:line="360" w:lineRule="auto"/>
        <w:rPr>
          <w:rFonts w:ascii="Times" w:hAnsi="Times"/>
          <w:sz w:val="36"/>
          <w:szCs w:val="36"/>
        </w:rPr>
      </w:pPr>
      <w:r w:rsidRPr="0057375C">
        <w:rPr>
          <w:rFonts w:ascii="Times" w:hAnsi="Times"/>
          <w:sz w:val="36"/>
          <w:szCs w:val="36"/>
        </w:rPr>
        <w:t>Profitability</w:t>
      </w:r>
    </w:p>
    <w:p w14:paraId="08338017" w14:textId="77777777" w:rsidR="001071C8" w:rsidRPr="0057375C" w:rsidRDefault="001071C8" w:rsidP="001071C8">
      <w:pPr>
        <w:pStyle w:val="ListParagraph"/>
        <w:numPr>
          <w:ilvl w:val="1"/>
          <w:numId w:val="2"/>
        </w:numPr>
        <w:spacing w:line="360" w:lineRule="auto"/>
        <w:rPr>
          <w:rFonts w:ascii="Times" w:hAnsi="Times"/>
          <w:sz w:val="36"/>
          <w:szCs w:val="36"/>
        </w:rPr>
      </w:pPr>
      <w:r w:rsidRPr="0057375C">
        <w:rPr>
          <w:rFonts w:ascii="Times" w:hAnsi="Times"/>
          <w:sz w:val="36"/>
          <w:szCs w:val="36"/>
        </w:rPr>
        <w:t>Liquidity</w:t>
      </w:r>
    </w:p>
    <w:p w14:paraId="52CFCC8F" w14:textId="77777777" w:rsidR="001071C8" w:rsidRPr="0057375C" w:rsidRDefault="001071C8" w:rsidP="001071C8">
      <w:pPr>
        <w:pStyle w:val="ListParagraph"/>
        <w:numPr>
          <w:ilvl w:val="1"/>
          <w:numId w:val="2"/>
        </w:numPr>
        <w:spacing w:line="360" w:lineRule="auto"/>
        <w:rPr>
          <w:rFonts w:ascii="Times" w:hAnsi="Times"/>
          <w:sz w:val="36"/>
          <w:szCs w:val="36"/>
        </w:rPr>
      </w:pPr>
      <w:r w:rsidRPr="0057375C">
        <w:rPr>
          <w:rFonts w:ascii="Times" w:hAnsi="Times"/>
          <w:sz w:val="36"/>
          <w:szCs w:val="36"/>
        </w:rPr>
        <w:t>Leverage</w:t>
      </w:r>
    </w:p>
    <w:p w14:paraId="1E448A16" w14:textId="180E55B9" w:rsidR="0004247C" w:rsidRDefault="004D2678" w:rsidP="001071C8">
      <w:pPr>
        <w:pStyle w:val="ListParagraph"/>
        <w:numPr>
          <w:ilvl w:val="0"/>
          <w:numId w:val="2"/>
        </w:numPr>
        <w:spacing w:line="360" w:lineRule="auto"/>
        <w:rPr>
          <w:rFonts w:ascii="Times" w:hAnsi="Times"/>
          <w:sz w:val="36"/>
          <w:szCs w:val="36"/>
        </w:rPr>
      </w:pPr>
      <w:r w:rsidRPr="004D2678">
        <w:rPr>
          <w:rFonts w:ascii="Times" w:hAnsi="Times"/>
          <w:sz w:val="36"/>
          <w:szCs w:val="36"/>
        </w:rPr>
        <w:t>CONCLUSION</w:t>
      </w:r>
    </w:p>
    <w:p w14:paraId="78FB5DDD" w14:textId="1624AFEC" w:rsidR="006F6436" w:rsidRPr="004D2678" w:rsidRDefault="006F6436" w:rsidP="001071C8">
      <w:pPr>
        <w:pStyle w:val="ListParagraph"/>
        <w:numPr>
          <w:ilvl w:val="0"/>
          <w:numId w:val="2"/>
        </w:numPr>
        <w:spacing w:line="360" w:lineRule="auto"/>
        <w:rPr>
          <w:rFonts w:ascii="Times" w:hAnsi="Times"/>
          <w:sz w:val="36"/>
          <w:szCs w:val="36"/>
        </w:rPr>
      </w:pPr>
      <w:r>
        <w:rPr>
          <w:rFonts w:ascii="Times" w:hAnsi="Times"/>
          <w:sz w:val="36"/>
          <w:szCs w:val="36"/>
        </w:rPr>
        <w:t>REFERENCES</w:t>
      </w:r>
    </w:p>
    <w:p w14:paraId="533E88C2" w14:textId="77777777" w:rsidR="0022394B" w:rsidRDefault="0022394B" w:rsidP="0022394B">
      <w:pPr>
        <w:pStyle w:val="ListParagraph"/>
        <w:spacing w:line="360" w:lineRule="auto"/>
        <w:rPr>
          <w:rFonts w:ascii="Times" w:hAnsi="Times"/>
          <w:sz w:val="36"/>
          <w:szCs w:val="36"/>
        </w:rPr>
      </w:pPr>
    </w:p>
    <w:p w14:paraId="50FC9ADD" w14:textId="77777777" w:rsidR="00545C0E" w:rsidRDefault="00545C0E" w:rsidP="0004247C">
      <w:pPr>
        <w:spacing w:line="360" w:lineRule="auto"/>
      </w:pPr>
    </w:p>
    <w:p w14:paraId="6E729685" w14:textId="3D055F42" w:rsidR="00FD511C" w:rsidRDefault="00FD511C" w:rsidP="0004247C">
      <w:pPr>
        <w:spacing w:line="360" w:lineRule="auto"/>
      </w:pPr>
    </w:p>
    <w:p w14:paraId="0678A218" w14:textId="4FAA4188" w:rsidR="00FD511C" w:rsidRDefault="007B35BE" w:rsidP="0004247C">
      <w:pPr>
        <w:pStyle w:val="ListParagraph"/>
        <w:numPr>
          <w:ilvl w:val="0"/>
          <w:numId w:val="3"/>
        </w:numPr>
        <w:spacing w:line="360" w:lineRule="auto"/>
        <w:rPr>
          <w:rFonts w:ascii="Times" w:hAnsi="Times"/>
        </w:rPr>
      </w:pPr>
      <w:r>
        <w:rPr>
          <w:rFonts w:ascii="Times" w:hAnsi="Times"/>
        </w:rPr>
        <w:lastRenderedPageBreak/>
        <w:t>EXECUTIVE SUMMARY</w:t>
      </w:r>
    </w:p>
    <w:p w14:paraId="2B2B1E1F" w14:textId="77777777" w:rsidR="007B35BE" w:rsidRPr="007B35BE" w:rsidRDefault="007B35BE" w:rsidP="007B35BE">
      <w:pPr>
        <w:spacing w:line="360" w:lineRule="auto"/>
        <w:rPr>
          <w:rFonts w:ascii="Times" w:hAnsi="Times"/>
        </w:rPr>
      </w:pPr>
      <w:r w:rsidRPr="007B35BE">
        <w:rPr>
          <w:rFonts w:ascii="Times" w:hAnsi="Times"/>
        </w:rPr>
        <w:t>The financial crisis began in the United States firstly with a housing market however, started to have ramifications for banks in Europe and across the world.</w:t>
      </w:r>
    </w:p>
    <w:p w14:paraId="302F5225" w14:textId="51A0EA87" w:rsidR="007B35BE" w:rsidRDefault="007B35BE" w:rsidP="007B35BE">
      <w:pPr>
        <w:spacing w:line="360" w:lineRule="auto"/>
        <w:rPr>
          <w:rFonts w:ascii="Times" w:hAnsi="Times"/>
        </w:rPr>
      </w:pPr>
      <w:r w:rsidRPr="007B35BE">
        <w:rPr>
          <w:rFonts w:ascii="Times" w:hAnsi="Times"/>
        </w:rPr>
        <w:t>In fact, what at the beginning was a problem only in the housing sector became then a major financial crisis in the history.</w:t>
      </w:r>
    </w:p>
    <w:p w14:paraId="25521B01" w14:textId="17F7017A" w:rsidR="007B35BE" w:rsidRDefault="007B35BE" w:rsidP="007B35BE">
      <w:pPr>
        <w:spacing w:line="360" w:lineRule="auto"/>
        <w:rPr>
          <w:rFonts w:ascii="Times" w:hAnsi="Times"/>
        </w:rPr>
      </w:pPr>
      <w:r>
        <w:rPr>
          <w:rFonts w:ascii="Times" w:hAnsi="Times"/>
        </w:rPr>
        <w:t>In this elaborate the causes of financial crisis of 2008 are discussed and how</w:t>
      </w:r>
      <w:r w:rsidR="00ED2CD4">
        <w:rPr>
          <w:rFonts w:ascii="Times" w:hAnsi="Times"/>
        </w:rPr>
        <w:t xml:space="preserve"> it affected the whole world. Based on this, I will explain the regulations made by United Kingdom, United States and Europe to recover from the crisis. </w:t>
      </w:r>
    </w:p>
    <w:p w14:paraId="7A006861" w14:textId="411805F6" w:rsidR="00ED2CD4" w:rsidRDefault="00ED2CD4" w:rsidP="007B35BE">
      <w:pPr>
        <w:spacing w:line="360" w:lineRule="auto"/>
        <w:rPr>
          <w:rFonts w:ascii="Times" w:hAnsi="Times"/>
        </w:rPr>
      </w:pPr>
      <w:r>
        <w:rPr>
          <w:rFonts w:ascii="Times" w:hAnsi="Times"/>
        </w:rPr>
        <w:t xml:space="preserve">Additionally, I will focus on </w:t>
      </w:r>
      <w:proofErr w:type="gramStart"/>
      <w:r>
        <w:rPr>
          <w:rFonts w:ascii="Times" w:hAnsi="Times"/>
        </w:rPr>
        <w:t>Lloyds</w:t>
      </w:r>
      <w:proofErr w:type="gramEnd"/>
      <w:r>
        <w:rPr>
          <w:rFonts w:ascii="Times" w:hAnsi="Times"/>
        </w:rPr>
        <w:t xml:space="preserve"> banking group and how they survived after the crisis with mention to the Basel accords. </w:t>
      </w:r>
    </w:p>
    <w:p w14:paraId="51A995B1" w14:textId="3AAB2F9F" w:rsidR="00ED2CD4" w:rsidRDefault="00ED2CD4" w:rsidP="007B35BE">
      <w:pPr>
        <w:spacing w:line="360" w:lineRule="auto"/>
        <w:rPr>
          <w:rFonts w:ascii="Times" w:hAnsi="Times"/>
        </w:rPr>
      </w:pPr>
      <w:r>
        <w:rPr>
          <w:rFonts w:ascii="Times" w:hAnsi="Times"/>
        </w:rPr>
        <w:t xml:space="preserve">The end of this document will be with a financial analysis of most important ratios of 2021 from </w:t>
      </w:r>
      <w:proofErr w:type="gramStart"/>
      <w:r>
        <w:rPr>
          <w:rFonts w:ascii="Times" w:hAnsi="Times"/>
        </w:rPr>
        <w:t>Lloyds</w:t>
      </w:r>
      <w:proofErr w:type="gramEnd"/>
      <w:r>
        <w:rPr>
          <w:rFonts w:ascii="Times" w:hAnsi="Times"/>
        </w:rPr>
        <w:t xml:space="preserve"> bank compared to 2008. </w:t>
      </w:r>
    </w:p>
    <w:p w14:paraId="544EB9A2" w14:textId="6B3451A4" w:rsidR="00ED2CD4" w:rsidRDefault="00ED2CD4" w:rsidP="007B35BE">
      <w:pPr>
        <w:spacing w:line="360" w:lineRule="auto"/>
        <w:rPr>
          <w:rFonts w:ascii="Times" w:hAnsi="Times"/>
        </w:rPr>
      </w:pPr>
    </w:p>
    <w:p w14:paraId="512CFFF5" w14:textId="46642BC0" w:rsidR="00ED2CD4" w:rsidRDefault="00ED2CD4" w:rsidP="007B35BE">
      <w:pPr>
        <w:spacing w:line="360" w:lineRule="auto"/>
        <w:rPr>
          <w:rFonts w:ascii="Times" w:hAnsi="Times"/>
        </w:rPr>
      </w:pPr>
    </w:p>
    <w:p w14:paraId="0BEF451C" w14:textId="753B0D46" w:rsidR="00ED2CD4" w:rsidRDefault="00ED2CD4" w:rsidP="007B35BE">
      <w:pPr>
        <w:spacing w:line="360" w:lineRule="auto"/>
        <w:rPr>
          <w:rFonts w:ascii="Times" w:hAnsi="Times"/>
        </w:rPr>
      </w:pPr>
    </w:p>
    <w:p w14:paraId="757928EB" w14:textId="4423AE31" w:rsidR="00ED2CD4" w:rsidRDefault="00ED2CD4" w:rsidP="007B35BE">
      <w:pPr>
        <w:spacing w:line="360" w:lineRule="auto"/>
        <w:rPr>
          <w:rFonts w:ascii="Times" w:hAnsi="Times"/>
        </w:rPr>
      </w:pPr>
    </w:p>
    <w:p w14:paraId="27DE5A28" w14:textId="18356788" w:rsidR="00ED2CD4" w:rsidRDefault="00ED2CD4" w:rsidP="007B35BE">
      <w:pPr>
        <w:spacing w:line="360" w:lineRule="auto"/>
        <w:rPr>
          <w:rFonts w:ascii="Times" w:hAnsi="Times"/>
        </w:rPr>
      </w:pPr>
    </w:p>
    <w:p w14:paraId="53D18C52" w14:textId="2900FD4F" w:rsidR="00ED2CD4" w:rsidRDefault="00ED2CD4" w:rsidP="007B35BE">
      <w:pPr>
        <w:spacing w:line="360" w:lineRule="auto"/>
        <w:rPr>
          <w:rFonts w:ascii="Times" w:hAnsi="Times"/>
        </w:rPr>
      </w:pPr>
    </w:p>
    <w:p w14:paraId="2602792C" w14:textId="47EF4CAC" w:rsidR="00ED2CD4" w:rsidRDefault="00ED2CD4" w:rsidP="007B35BE">
      <w:pPr>
        <w:spacing w:line="360" w:lineRule="auto"/>
        <w:rPr>
          <w:rFonts w:ascii="Times" w:hAnsi="Times"/>
        </w:rPr>
      </w:pPr>
    </w:p>
    <w:p w14:paraId="425D4B76" w14:textId="1024B3B4" w:rsidR="00ED2CD4" w:rsidRDefault="00ED2CD4" w:rsidP="007B35BE">
      <w:pPr>
        <w:spacing w:line="360" w:lineRule="auto"/>
        <w:rPr>
          <w:rFonts w:ascii="Times" w:hAnsi="Times"/>
        </w:rPr>
      </w:pPr>
    </w:p>
    <w:p w14:paraId="6B0EBEF4" w14:textId="2FC08A2E" w:rsidR="00ED2CD4" w:rsidRDefault="00ED2CD4" w:rsidP="007B35BE">
      <w:pPr>
        <w:spacing w:line="360" w:lineRule="auto"/>
        <w:rPr>
          <w:rFonts w:ascii="Times" w:hAnsi="Times"/>
        </w:rPr>
      </w:pPr>
    </w:p>
    <w:p w14:paraId="0881E426" w14:textId="7A1A4CAF" w:rsidR="00ED2CD4" w:rsidRDefault="00ED2CD4" w:rsidP="007B35BE">
      <w:pPr>
        <w:spacing w:line="360" w:lineRule="auto"/>
        <w:rPr>
          <w:rFonts w:ascii="Times" w:hAnsi="Times"/>
        </w:rPr>
      </w:pPr>
    </w:p>
    <w:p w14:paraId="5DFCCF55" w14:textId="46AAD029" w:rsidR="00ED2CD4" w:rsidRDefault="00ED2CD4" w:rsidP="007B35BE">
      <w:pPr>
        <w:spacing w:line="360" w:lineRule="auto"/>
        <w:rPr>
          <w:rFonts w:ascii="Times" w:hAnsi="Times"/>
        </w:rPr>
      </w:pPr>
    </w:p>
    <w:p w14:paraId="22009E65" w14:textId="0CC958F1" w:rsidR="00ED2CD4" w:rsidRDefault="00ED2CD4" w:rsidP="007B35BE">
      <w:pPr>
        <w:spacing w:line="360" w:lineRule="auto"/>
        <w:rPr>
          <w:rFonts w:ascii="Times" w:hAnsi="Times"/>
        </w:rPr>
      </w:pPr>
    </w:p>
    <w:p w14:paraId="2365DDA2" w14:textId="15F45FA7" w:rsidR="00ED2CD4" w:rsidRDefault="00ED2CD4" w:rsidP="007B35BE">
      <w:pPr>
        <w:spacing w:line="360" w:lineRule="auto"/>
        <w:rPr>
          <w:rFonts w:ascii="Times" w:hAnsi="Times"/>
        </w:rPr>
      </w:pPr>
    </w:p>
    <w:p w14:paraId="5B064E4D" w14:textId="1BF6C880" w:rsidR="00ED2CD4" w:rsidRDefault="00ED2CD4" w:rsidP="007B35BE">
      <w:pPr>
        <w:spacing w:line="360" w:lineRule="auto"/>
        <w:rPr>
          <w:rFonts w:ascii="Times" w:hAnsi="Times"/>
        </w:rPr>
      </w:pPr>
    </w:p>
    <w:p w14:paraId="657698E2" w14:textId="11D413C2" w:rsidR="00ED2CD4" w:rsidRDefault="00ED2CD4" w:rsidP="007B35BE">
      <w:pPr>
        <w:spacing w:line="360" w:lineRule="auto"/>
        <w:rPr>
          <w:rFonts w:ascii="Times" w:hAnsi="Times"/>
        </w:rPr>
      </w:pPr>
    </w:p>
    <w:p w14:paraId="1006C468" w14:textId="6EA995D5" w:rsidR="00ED2CD4" w:rsidRDefault="00ED2CD4" w:rsidP="007B35BE">
      <w:pPr>
        <w:spacing w:line="360" w:lineRule="auto"/>
        <w:rPr>
          <w:rFonts w:ascii="Times" w:hAnsi="Times"/>
        </w:rPr>
      </w:pPr>
    </w:p>
    <w:p w14:paraId="7AE5F43A" w14:textId="62D74BFB" w:rsidR="00ED2CD4" w:rsidRDefault="00ED2CD4" w:rsidP="007B35BE">
      <w:pPr>
        <w:spacing w:line="360" w:lineRule="auto"/>
        <w:rPr>
          <w:rFonts w:ascii="Times" w:hAnsi="Times"/>
        </w:rPr>
      </w:pPr>
    </w:p>
    <w:p w14:paraId="788AC036" w14:textId="7DFCC443" w:rsidR="00ED2CD4" w:rsidRDefault="00ED2CD4" w:rsidP="007B35BE">
      <w:pPr>
        <w:spacing w:line="360" w:lineRule="auto"/>
        <w:rPr>
          <w:rFonts w:ascii="Times" w:hAnsi="Times"/>
        </w:rPr>
      </w:pPr>
    </w:p>
    <w:p w14:paraId="650226DD" w14:textId="1E99D51D" w:rsidR="00ED2CD4" w:rsidRDefault="00ED2CD4" w:rsidP="007B35BE">
      <w:pPr>
        <w:spacing w:line="360" w:lineRule="auto"/>
        <w:rPr>
          <w:rFonts w:ascii="Times" w:hAnsi="Times"/>
        </w:rPr>
      </w:pPr>
    </w:p>
    <w:p w14:paraId="0E91716F" w14:textId="77777777" w:rsidR="00ED2CD4" w:rsidRPr="007B35BE" w:rsidRDefault="00ED2CD4" w:rsidP="007B35BE">
      <w:pPr>
        <w:spacing w:line="360" w:lineRule="auto"/>
        <w:rPr>
          <w:rFonts w:ascii="Times" w:hAnsi="Times"/>
        </w:rPr>
      </w:pPr>
    </w:p>
    <w:p w14:paraId="1542F2A6" w14:textId="77777777" w:rsidR="007B35BE" w:rsidRPr="007B35BE" w:rsidRDefault="007B35BE" w:rsidP="007B35BE">
      <w:pPr>
        <w:spacing w:line="360" w:lineRule="auto"/>
        <w:rPr>
          <w:rFonts w:ascii="Times" w:hAnsi="Times"/>
        </w:rPr>
      </w:pPr>
    </w:p>
    <w:p w14:paraId="758BFF79" w14:textId="60010441" w:rsidR="0004247C" w:rsidRPr="00545C0E" w:rsidRDefault="0004247C" w:rsidP="0004247C">
      <w:pPr>
        <w:pStyle w:val="ListParagraph"/>
        <w:numPr>
          <w:ilvl w:val="0"/>
          <w:numId w:val="3"/>
        </w:numPr>
        <w:spacing w:line="360" w:lineRule="auto"/>
        <w:rPr>
          <w:rFonts w:ascii="Times" w:hAnsi="Times"/>
        </w:rPr>
      </w:pPr>
      <w:r>
        <w:rPr>
          <w:rFonts w:ascii="Times" w:hAnsi="Times"/>
        </w:rPr>
        <w:lastRenderedPageBreak/>
        <w:t>HISTORY</w:t>
      </w:r>
    </w:p>
    <w:p w14:paraId="10DB57AD" w14:textId="77777777" w:rsidR="000076AA" w:rsidRPr="000076AA" w:rsidRDefault="000076AA" w:rsidP="000076AA">
      <w:pPr>
        <w:spacing w:line="360" w:lineRule="auto"/>
        <w:rPr>
          <w:rFonts w:ascii="Times" w:hAnsi="Times"/>
        </w:rPr>
      </w:pPr>
      <w:r w:rsidRPr="000076AA">
        <w:rPr>
          <w:rFonts w:ascii="Times" w:hAnsi="Times"/>
        </w:rPr>
        <w:t xml:space="preserve">The subprime crisis, which occurred in 2007 and resulted in nearly half of US mortgages being issued as variable rate mortgages, was one of the factors that set off this economic recession. </w:t>
      </w:r>
    </w:p>
    <w:p w14:paraId="4B926B73" w14:textId="687D7C8F" w:rsidR="000076AA" w:rsidRDefault="009B0977" w:rsidP="000076AA">
      <w:pPr>
        <w:spacing w:line="360" w:lineRule="auto"/>
        <w:rPr>
          <w:rFonts w:ascii="Times" w:hAnsi="Times"/>
        </w:rPr>
      </w:pPr>
      <w:r w:rsidRPr="009B0977">
        <w:rPr>
          <w:rFonts w:ascii="Times" w:hAnsi="Times"/>
        </w:rPr>
        <w:t>This method has been successful in the past, but during the housing bubble, a disproportionately large number of subprime mortgages were approved for borrowers with poor credit and erratic income. These loans became more expensive when the Fed began regularly raising interest rates, and the borrowers were unable to repay them.</w:t>
      </w:r>
    </w:p>
    <w:p w14:paraId="312074C2" w14:textId="77777777" w:rsidR="009B0977" w:rsidRPr="000076AA" w:rsidRDefault="009B0977" w:rsidP="000076AA">
      <w:pPr>
        <w:spacing w:line="360" w:lineRule="auto"/>
        <w:rPr>
          <w:rFonts w:ascii="Times" w:hAnsi="Times"/>
        </w:rPr>
      </w:pPr>
    </w:p>
    <w:p w14:paraId="4B30F271" w14:textId="77777777" w:rsidR="000076AA" w:rsidRPr="000076AA" w:rsidRDefault="000076AA" w:rsidP="000076AA">
      <w:pPr>
        <w:spacing w:line="360" w:lineRule="auto"/>
        <w:rPr>
          <w:rFonts w:ascii="Times" w:hAnsi="Times"/>
        </w:rPr>
      </w:pPr>
      <w:r w:rsidRPr="000076AA">
        <w:rPr>
          <w:rFonts w:ascii="Times" w:hAnsi="Times"/>
        </w:rPr>
        <w:t xml:space="preserve">The assumption that housing prices would continue to rise and interest rates would remain low caused lenders to be far too eager to distribute so many risky loans all at once. </w:t>
      </w:r>
    </w:p>
    <w:p w14:paraId="2FD1C6D2" w14:textId="77777777" w:rsidR="000076AA" w:rsidRPr="000076AA" w:rsidRDefault="000076AA" w:rsidP="000076AA">
      <w:pPr>
        <w:spacing w:line="360" w:lineRule="auto"/>
        <w:rPr>
          <w:rFonts w:ascii="Times" w:hAnsi="Times"/>
        </w:rPr>
      </w:pPr>
      <w:r w:rsidRPr="000076AA">
        <w:rPr>
          <w:rFonts w:ascii="Times" w:hAnsi="Times"/>
        </w:rPr>
        <w:t xml:space="preserve">Investment banks' goals for their purchases of mortgage-backed securities appeared to be similar. </w:t>
      </w:r>
    </w:p>
    <w:p w14:paraId="1DC5441A" w14:textId="77777777" w:rsidR="000076AA" w:rsidRPr="000076AA" w:rsidRDefault="000076AA" w:rsidP="000076AA">
      <w:pPr>
        <w:spacing w:line="360" w:lineRule="auto"/>
        <w:rPr>
          <w:rFonts w:ascii="Times" w:hAnsi="Times"/>
        </w:rPr>
      </w:pPr>
    </w:p>
    <w:p w14:paraId="33D25CCF" w14:textId="77777777" w:rsidR="000076AA" w:rsidRPr="000076AA" w:rsidRDefault="000076AA" w:rsidP="000076AA">
      <w:pPr>
        <w:spacing w:line="360" w:lineRule="auto"/>
        <w:rPr>
          <w:rFonts w:ascii="Times" w:hAnsi="Times"/>
        </w:rPr>
      </w:pPr>
      <w:r w:rsidRPr="000076AA">
        <w:rPr>
          <w:rFonts w:ascii="Times" w:hAnsi="Times"/>
        </w:rPr>
        <w:t xml:space="preserve">Homebuyers and the uniquely American desire to own a home only played a minor role in this, despite the fact that these parties undoubtedly took advantage of people with poor credit who were in need of a place to live. </w:t>
      </w:r>
    </w:p>
    <w:p w14:paraId="283F2FFE" w14:textId="77777777" w:rsidR="000076AA" w:rsidRPr="000076AA" w:rsidRDefault="000076AA" w:rsidP="000076AA">
      <w:pPr>
        <w:spacing w:line="360" w:lineRule="auto"/>
        <w:rPr>
          <w:rFonts w:ascii="Times" w:hAnsi="Times"/>
        </w:rPr>
      </w:pPr>
    </w:p>
    <w:p w14:paraId="1B20DEFE" w14:textId="77777777" w:rsidR="000076AA" w:rsidRPr="000076AA" w:rsidRDefault="000076AA" w:rsidP="000076AA">
      <w:pPr>
        <w:spacing w:line="360" w:lineRule="auto"/>
        <w:rPr>
          <w:rFonts w:ascii="Times" w:hAnsi="Times"/>
        </w:rPr>
      </w:pPr>
      <w:r w:rsidRPr="000076AA">
        <w:rPr>
          <w:rFonts w:ascii="Times" w:hAnsi="Times"/>
        </w:rPr>
        <w:t xml:space="preserve">Predatory lenders were only too happy to assist people who became more careless with their own real estate investments as a result of their desire for upward mobility and bigger homes. </w:t>
      </w:r>
    </w:p>
    <w:p w14:paraId="57178732" w14:textId="51A01A24" w:rsidR="000076AA" w:rsidRPr="000076AA" w:rsidRDefault="000076AA" w:rsidP="000076AA">
      <w:pPr>
        <w:spacing w:line="360" w:lineRule="auto"/>
        <w:rPr>
          <w:rFonts w:ascii="Times" w:hAnsi="Times"/>
        </w:rPr>
      </w:pPr>
      <w:r w:rsidRPr="000076AA">
        <w:rPr>
          <w:rFonts w:ascii="Times" w:hAnsi="Times"/>
        </w:rPr>
        <w:t xml:space="preserve">Many people were left with no choice because they couldn't afford to pay their mortgage in monthly </w:t>
      </w:r>
      <w:r w:rsidRPr="000076AA">
        <w:rPr>
          <w:rFonts w:ascii="Times" w:hAnsi="Times"/>
        </w:rPr>
        <w:t>inst</w:t>
      </w:r>
      <w:r>
        <w:rPr>
          <w:rFonts w:ascii="Times" w:hAnsi="Times"/>
        </w:rPr>
        <w:t>alment</w:t>
      </w:r>
      <w:r w:rsidRPr="000076AA">
        <w:rPr>
          <w:rFonts w:ascii="Times" w:hAnsi="Times"/>
        </w:rPr>
        <w:t xml:space="preserve"> and </w:t>
      </w:r>
      <w:r w:rsidRPr="000076AA">
        <w:rPr>
          <w:rFonts w:ascii="Times" w:hAnsi="Times"/>
        </w:rPr>
        <w:t>could</w:t>
      </w:r>
      <w:r>
        <w:rPr>
          <w:rFonts w:ascii="Times" w:hAnsi="Times"/>
        </w:rPr>
        <w:t xml:space="preserve"> not</w:t>
      </w:r>
      <w:r w:rsidRPr="000076AA">
        <w:rPr>
          <w:rFonts w:ascii="Times" w:hAnsi="Times"/>
        </w:rPr>
        <w:t xml:space="preserve"> sell their homes without suffering a sizable loss. </w:t>
      </w:r>
    </w:p>
    <w:p w14:paraId="3CAA6999" w14:textId="77777777" w:rsidR="000076AA" w:rsidRPr="000076AA" w:rsidRDefault="000076AA" w:rsidP="000076AA">
      <w:pPr>
        <w:spacing w:line="360" w:lineRule="auto"/>
        <w:rPr>
          <w:rFonts w:ascii="Times" w:hAnsi="Times"/>
        </w:rPr>
      </w:pPr>
    </w:p>
    <w:p w14:paraId="70A1E3A7" w14:textId="77777777" w:rsidR="000076AA" w:rsidRPr="000076AA" w:rsidRDefault="000076AA" w:rsidP="000076AA">
      <w:pPr>
        <w:spacing w:line="360" w:lineRule="auto"/>
        <w:rPr>
          <w:rFonts w:ascii="Times" w:hAnsi="Times"/>
        </w:rPr>
      </w:pPr>
      <w:r w:rsidRPr="000076AA">
        <w:rPr>
          <w:rFonts w:ascii="Times" w:hAnsi="Times"/>
        </w:rPr>
        <w:t xml:space="preserve">Their homes were seized by the banks. As many suburbs became deserted ghost towns, homeowners were left in ruins. It was difficult to pay the steadily rising interest rates even for homeowners with good credit who were eligible for conventional mortgages. </w:t>
      </w:r>
    </w:p>
    <w:p w14:paraId="0DA76C0A" w14:textId="77777777" w:rsidR="000076AA" w:rsidRPr="000076AA" w:rsidRDefault="000076AA" w:rsidP="000076AA">
      <w:pPr>
        <w:spacing w:line="360" w:lineRule="auto"/>
        <w:rPr>
          <w:rFonts w:ascii="Times" w:hAnsi="Times"/>
        </w:rPr>
      </w:pPr>
    </w:p>
    <w:p w14:paraId="6AE88489" w14:textId="77777777" w:rsidR="000076AA" w:rsidRPr="000076AA" w:rsidRDefault="000076AA" w:rsidP="000076AA">
      <w:pPr>
        <w:spacing w:line="360" w:lineRule="auto"/>
        <w:rPr>
          <w:rFonts w:ascii="Times" w:hAnsi="Times"/>
        </w:rPr>
      </w:pPr>
      <w:r w:rsidRPr="000076AA">
        <w:rPr>
          <w:rFonts w:ascii="Times" w:hAnsi="Times"/>
        </w:rPr>
        <w:t xml:space="preserve">By the time these homes were foreclosed upon, their value had drastically decreased. That suggested that banks were experiencing sizable losses related to real estate. </w:t>
      </w:r>
    </w:p>
    <w:p w14:paraId="753171DB" w14:textId="77777777" w:rsidR="000076AA" w:rsidRPr="000076AA" w:rsidRDefault="000076AA" w:rsidP="000076AA">
      <w:pPr>
        <w:spacing w:line="360" w:lineRule="auto"/>
        <w:rPr>
          <w:rFonts w:ascii="Times" w:hAnsi="Times"/>
        </w:rPr>
      </w:pPr>
      <w:r w:rsidRPr="000076AA">
        <w:rPr>
          <w:rFonts w:ascii="Times" w:hAnsi="Times"/>
        </w:rPr>
        <w:t xml:space="preserve">Mortgage-backed securities that investors had purchased saw a sharp decline in value, severely harming investors as well. </w:t>
      </w:r>
    </w:p>
    <w:p w14:paraId="04E9C298" w14:textId="77777777" w:rsidR="000076AA" w:rsidRPr="000076AA" w:rsidRDefault="000076AA" w:rsidP="000076AA">
      <w:pPr>
        <w:spacing w:line="360" w:lineRule="auto"/>
        <w:rPr>
          <w:rFonts w:ascii="Times" w:hAnsi="Times"/>
        </w:rPr>
      </w:pPr>
      <w:r w:rsidRPr="000076AA">
        <w:rPr>
          <w:rFonts w:ascii="Times" w:hAnsi="Times"/>
        </w:rPr>
        <w:lastRenderedPageBreak/>
        <w:t xml:space="preserve">This was made more difficult by the fact that people kept buying homes even after the bubble began to pop in early 2007 and in 2006. Loans were given and received despite the decline in sales. </w:t>
      </w:r>
    </w:p>
    <w:p w14:paraId="16DAE137" w14:textId="77777777" w:rsidR="000076AA" w:rsidRPr="000076AA" w:rsidRDefault="000076AA" w:rsidP="000076AA">
      <w:pPr>
        <w:spacing w:line="360" w:lineRule="auto"/>
        <w:rPr>
          <w:rFonts w:ascii="Times" w:hAnsi="Times"/>
        </w:rPr>
      </w:pPr>
    </w:p>
    <w:p w14:paraId="39A55DC6" w14:textId="79B08B0E" w:rsidR="00C84419" w:rsidRDefault="000076AA" w:rsidP="000076AA">
      <w:pPr>
        <w:spacing w:line="360" w:lineRule="auto"/>
        <w:rPr>
          <w:rFonts w:ascii="Times" w:hAnsi="Times"/>
        </w:rPr>
      </w:pPr>
      <w:r w:rsidRPr="000076AA">
        <w:rPr>
          <w:rFonts w:ascii="Times" w:hAnsi="Times"/>
        </w:rPr>
        <w:t>The investment banks that were buying and selling these defaulted loans started to go under. They could no longer receive loans from lenders. The economy fell completely apart in 2008.</w:t>
      </w:r>
    </w:p>
    <w:p w14:paraId="04D39E5D" w14:textId="77777777" w:rsidR="000076AA" w:rsidRDefault="000076AA" w:rsidP="000076AA">
      <w:pPr>
        <w:spacing w:line="360" w:lineRule="auto"/>
        <w:rPr>
          <w:rFonts w:ascii="Times" w:hAnsi="Times"/>
        </w:rPr>
      </w:pPr>
    </w:p>
    <w:p w14:paraId="2C14176A" w14:textId="61EB42A1" w:rsidR="0004247C" w:rsidRPr="0004247C" w:rsidRDefault="00C84419" w:rsidP="0004247C">
      <w:pPr>
        <w:pStyle w:val="ListParagraph"/>
        <w:numPr>
          <w:ilvl w:val="0"/>
          <w:numId w:val="3"/>
        </w:numPr>
        <w:spacing w:line="360" w:lineRule="auto"/>
        <w:rPr>
          <w:rFonts w:ascii="Times" w:hAnsi="Times"/>
        </w:rPr>
      </w:pPr>
      <w:r>
        <w:rPr>
          <w:rFonts w:ascii="Times" w:hAnsi="Times"/>
        </w:rPr>
        <w:t xml:space="preserve">AFTER </w:t>
      </w:r>
      <w:r w:rsidR="0004247C">
        <w:rPr>
          <w:rFonts w:ascii="Times" w:hAnsi="Times"/>
        </w:rPr>
        <w:t xml:space="preserve">THE </w:t>
      </w:r>
      <w:r>
        <w:rPr>
          <w:rFonts w:ascii="Times" w:hAnsi="Times"/>
        </w:rPr>
        <w:t>CRISIS</w:t>
      </w:r>
    </w:p>
    <w:p w14:paraId="2BA70137" w14:textId="77777777" w:rsidR="008501C0" w:rsidRPr="008501C0" w:rsidRDefault="008501C0" w:rsidP="008501C0">
      <w:pPr>
        <w:pStyle w:val="ListParagraph"/>
        <w:spacing w:line="360" w:lineRule="auto"/>
        <w:ind w:left="0"/>
        <w:rPr>
          <w:rFonts w:ascii="Times" w:hAnsi="Times"/>
        </w:rPr>
      </w:pPr>
      <w:r w:rsidRPr="008501C0">
        <w:rPr>
          <w:rFonts w:ascii="Times" w:hAnsi="Times"/>
        </w:rPr>
        <w:t xml:space="preserve">Banks only make loans when they are certain they will be repaid. Therefore, when the economy is struggling, banks prefer to limit their lending. Even though they are making fewer new loans overall, the public must still continue making payments on their existing debts. </w:t>
      </w:r>
    </w:p>
    <w:p w14:paraId="40E660BD" w14:textId="77777777" w:rsidR="008501C0" w:rsidRPr="008501C0" w:rsidRDefault="008501C0" w:rsidP="008501C0">
      <w:pPr>
        <w:pStyle w:val="ListParagraph"/>
        <w:spacing w:line="360" w:lineRule="auto"/>
        <w:rPr>
          <w:rFonts w:ascii="Times" w:hAnsi="Times"/>
        </w:rPr>
      </w:pPr>
    </w:p>
    <w:p w14:paraId="0753FF88" w14:textId="1858B541" w:rsidR="0004247C" w:rsidRDefault="008501C0" w:rsidP="008501C0">
      <w:pPr>
        <w:pStyle w:val="ListParagraph"/>
        <w:spacing w:line="360" w:lineRule="auto"/>
        <w:ind w:left="0"/>
        <w:rPr>
          <w:rFonts w:ascii="Times" w:hAnsi="Times"/>
        </w:rPr>
      </w:pPr>
      <w:r w:rsidRPr="008501C0">
        <w:rPr>
          <w:rFonts w:ascii="Times" w:hAnsi="Times"/>
        </w:rPr>
        <w:t>When money is used to repay loans, the problem is that it is "destroyed" and leaves the economy. The Bank of England stated:</w:t>
      </w:r>
    </w:p>
    <w:p w14:paraId="53239D5C" w14:textId="77777777" w:rsidR="008501C0" w:rsidRPr="0004247C" w:rsidRDefault="008501C0" w:rsidP="008501C0">
      <w:pPr>
        <w:pStyle w:val="ListParagraph"/>
        <w:spacing w:line="360" w:lineRule="auto"/>
        <w:ind w:left="0"/>
        <w:rPr>
          <w:rFonts w:ascii="Times" w:hAnsi="Times"/>
        </w:rPr>
      </w:pPr>
    </w:p>
    <w:p w14:paraId="3C7EB1E3" w14:textId="77777777" w:rsidR="0004247C" w:rsidRPr="0004247C" w:rsidRDefault="0004247C" w:rsidP="004D2678">
      <w:pPr>
        <w:pStyle w:val="ListParagraph"/>
        <w:spacing w:line="360" w:lineRule="auto"/>
        <w:ind w:left="0"/>
        <w:rPr>
          <w:rFonts w:ascii="Times" w:hAnsi="Times"/>
        </w:rPr>
      </w:pPr>
      <w:r w:rsidRPr="0004247C">
        <w:rPr>
          <w:rFonts w:ascii="Times" w:hAnsi="Times"/>
        </w:rPr>
        <w:t xml:space="preserve">"Just as taking out a new loan creates money, repaying bank loans destroys money... Banks making loans and consumers repaying them are the most significant ways that bank deposits are created and destroyed in the modern economy. " (Bank of England, Money Creation in the Modern Economy, p. 3–4) </w:t>
      </w:r>
    </w:p>
    <w:p w14:paraId="7BD09125" w14:textId="47AB9B15" w:rsidR="00C47807" w:rsidRDefault="009B0977" w:rsidP="0004247C">
      <w:pPr>
        <w:spacing w:line="360" w:lineRule="auto"/>
        <w:rPr>
          <w:rFonts w:ascii="Times" w:hAnsi="Times"/>
        </w:rPr>
      </w:pPr>
      <w:r w:rsidRPr="009B0977">
        <w:rPr>
          <w:rFonts w:ascii="Times" w:hAnsi="Times"/>
        </w:rPr>
        <w:t>When borrowers pay off their debt faster than banks are lending out new money, the economy shrinks and prices drop as a result. As a result, the economy is at risk of entering a "debt-deflation" spiral, in which prices and wages decline and consumer debt held by individuals maintains its original value while becoming comparatively more expensive in "real" terms.</w:t>
      </w:r>
    </w:p>
    <w:p w14:paraId="1D6958E3" w14:textId="77777777" w:rsidR="009B0977" w:rsidRPr="002D1212" w:rsidRDefault="009B0977" w:rsidP="0004247C">
      <w:pPr>
        <w:spacing w:line="360" w:lineRule="auto"/>
        <w:rPr>
          <w:rFonts w:ascii="Times" w:hAnsi="Times"/>
        </w:rPr>
      </w:pPr>
    </w:p>
    <w:p w14:paraId="13BF72DE" w14:textId="757788FF" w:rsidR="00C84419" w:rsidRPr="001071C8" w:rsidRDefault="0004247C" w:rsidP="004D2678">
      <w:pPr>
        <w:pStyle w:val="ListParagraph"/>
        <w:numPr>
          <w:ilvl w:val="1"/>
          <w:numId w:val="14"/>
        </w:numPr>
        <w:spacing w:line="360" w:lineRule="auto"/>
        <w:rPr>
          <w:rFonts w:ascii="Times" w:hAnsi="Times"/>
        </w:rPr>
      </w:pPr>
      <w:r w:rsidRPr="001071C8">
        <w:rPr>
          <w:rFonts w:ascii="Times" w:hAnsi="Times"/>
        </w:rPr>
        <w:t xml:space="preserve"> REGULATIONS UNITED KINGDOM </w:t>
      </w:r>
    </w:p>
    <w:p w14:paraId="7811BAF3" w14:textId="3DA9E692" w:rsidR="00F60E3D" w:rsidRDefault="00F60E3D" w:rsidP="0004247C">
      <w:pPr>
        <w:spacing w:line="360" w:lineRule="auto"/>
        <w:ind w:left="720"/>
        <w:rPr>
          <w:rFonts w:ascii="Times" w:hAnsi="Times"/>
        </w:rPr>
      </w:pPr>
      <w:r w:rsidRPr="00F60E3D">
        <w:rPr>
          <w:rFonts w:ascii="Times" w:hAnsi="Times"/>
        </w:rPr>
        <w:t>The UK has altered its financial system regulation since the global financial crisis. The Financial Policy Committee (FPC) was founded</w:t>
      </w:r>
      <w:r w:rsidR="005A36BB">
        <w:rPr>
          <w:rFonts w:ascii="Times" w:hAnsi="Times"/>
        </w:rPr>
        <w:t xml:space="preserve"> </w:t>
      </w:r>
      <w:r w:rsidRPr="00F60E3D">
        <w:rPr>
          <w:rFonts w:ascii="Times" w:hAnsi="Times"/>
        </w:rPr>
        <w:t>and</w:t>
      </w:r>
      <w:r w:rsidR="005A36BB">
        <w:rPr>
          <w:rFonts w:ascii="Times" w:hAnsi="Times"/>
        </w:rPr>
        <w:t>, i</w:t>
      </w:r>
      <w:r w:rsidRPr="00F60E3D">
        <w:rPr>
          <w:rFonts w:ascii="Times" w:hAnsi="Times"/>
        </w:rPr>
        <w:t xml:space="preserve">n order to ensure that regulators take a comprehensive approach to preserving financial stability, this has primary responsibility for identifying, monitoring, and mitigating risks to financial stability. </w:t>
      </w:r>
    </w:p>
    <w:p w14:paraId="75B2597E" w14:textId="77777777" w:rsidR="00F60E3D" w:rsidRDefault="00F60E3D" w:rsidP="0004247C">
      <w:pPr>
        <w:spacing w:line="360" w:lineRule="auto"/>
        <w:ind w:left="720"/>
        <w:rPr>
          <w:rFonts w:ascii="Times" w:hAnsi="Times"/>
        </w:rPr>
      </w:pPr>
      <w:r w:rsidRPr="00F60E3D">
        <w:rPr>
          <w:rFonts w:ascii="Times" w:hAnsi="Times"/>
        </w:rPr>
        <w:lastRenderedPageBreak/>
        <w:t xml:space="preserve">Since the financial crisis, UK banks have continued to increase their capital resources, more than doubling their risk-weighted capital ratios. </w:t>
      </w:r>
    </w:p>
    <w:p w14:paraId="4DB3609E" w14:textId="5B3E077E" w:rsidR="00F60E3D" w:rsidRPr="00F60E3D" w:rsidRDefault="00F60E3D" w:rsidP="0004247C">
      <w:pPr>
        <w:spacing w:line="360" w:lineRule="auto"/>
        <w:ind w:left="720"/>
        <w:rPr>
          <w:rFonts w:ascii="Times" w:hAnsi="Times"/>
        </w:rPr>
      </w:pPr>
      <w:r w:rsidRPr="00F60E3D">
        <w:rPr>
          <w:rFonts w:ascii="Times" w:hAnsi="Times"/>
        </w:rPr>
        <w:t xml:space="preserve">Overall, these are now in line with the FPC's assessment of the levels necessary for the UK banking system to withstand potential losses. </w:t>
      </w:r>
    </w:p>
    <w:p w14:paraId="758E5DDF" w14:textId="77777777" w:rsidR="00F60E3D" w:rsidRPr="00F60E3D" w:rsidRDefault="00F60E3D" w:rsidP="0004247C">
      <w:pPr>
        <w:spacing w:line="360" w:lineRule="auto"/>
        <w:ind w:left="720"/>
        <w:rPr>
          <w:rFonts w:ascii="Times" w:hAnsi="Times"/>
        </w:rPr>
      </w:pPr>
    </w:p>
    <w:p w14:paraId="0ED2D17C" w14:textId="77777777" w:rsidR="005A36BB" w:rsidRDefault="00F60E3D" w:rsidP="0004247C">
      <w:pPr>
        <w:spacing w:line="360" w:lineRule="auto"/>
        <w:ind w:left="720"/>
        <w:rPr>
          <w:rFonts w:ascii="Times" w:hAnsi="Times"/>
        </w:rPr>
      </w:pPr>
      <w:r w:rsidRPr="00F60E3D">
        <w:rPr>
          <w:rFonts w:ascii="Times" w:hAnsi="Times"/>
        </w:rPr>
        <w:t xml:space="preserve">To ensure that banks can withstand periods of extreme stress, the Bank of England also tests the banking system's resilience annually. </w:t>
      </w:r>
    </w:p>
    <w:p w14:paraId="2A6323BE" w14:textId="39FF364C" w:rsidR="00F60E3D" w:rsidRDefault="00F60E3D" w:rsidP="0004247C">
      <w:pPr>
        <w:spacing w:line="360" w:lineRule="auto"/>
        <w:ind w:left="720"/>
        <w:rPr>
          <w:rFonts w:ascii="Times" w:hAnsi="Times"/>
        </w:rPr>
      </w:pPr>
      <w:r w:rsidRPr="00F60E3D">
        <w:rPr>
          <w:rFonts w:ascii="Times" w:hAnsi="Times"/>
        </w:rPr>
        <w:t xml:space="preserve">The FPC determined in 2016 that "the banking system is in aggregate capitalised to support the real economy in a severe, broad, and synchronized stress scenario." </w:t>
      </w:r>
    </w:p>
    <w:p w14:paraId="2E49F4A5" w14:textId="77777777" w:rsidR="00F60E3D" w:rsidRDefault="00F60E3D" w:rsidP="0004247C">
      <w:pPr>
        <w:spacing w:line="360" w:lineRule="auto"/>
        <w:ind w:left="720"/>
        <w:rPr>
          <w:rFonts w:ascii="Times" w:hAnsi="Times"/>
        </w:rPr>
      </w:pPr>
      <w:r w:rsidRPr="00F60E3D">
        <w:rPr>
          <w:rFonts w:ascii="Times" w:hAnsi="Times"/>
        </w:rPr>
        <w:t xml:space="preserve">This scenario included a severe, synchronized recession in the UK and the rest of the world, along with related shocks to financial market prices and a separate stress from misconduct costs. </w:t>
      </w:r>
    </w:p>
    <w:p w14:paraId="549EBDB5" w14:textId="77777777" w:rsidR="005A36BB" w:rsidRDefault="00F60E3D" w:rsidP="0004247C">
      <w:pPr>
        <w:spacing w:line="360" w:lineRule="auto"/>
        <w:ind w:left="720"/>
        <w:rPr>
          <w:rFonts w:ascii="Times" w:hAnsi="Times"/>
        </w:rPr>
      </w:pPr>
      <w:r w:rsidRPr="00F60E3D">
        <w:rPr>
          <w:rFonts w:ascii="Times" w:hAnsi="Times"/>
        </w:rPr>
        <w:t xml:space="preserve">The Bank will begin running an "exploratory" scenario in addition to its annual cyclical scenario this year. </w:t>
      </w:r>
    </w:p>
    <w:p w14:paraId="1C2C84DA" w14:textId="48BB4DA6" w:rsidR="00F60E3D" w:rsidRPr="00F60E3D" w:rsidRDefault="00F60E3D" w:rsidP="0004247C">
      <w:pPr>
        <w:spacing w:line="360" w:lineRule="auto"/>
        <w:ind w:left="720"/>
        <w:rPr>
          <w:rFonts w:ascii="Times" w:hAnsi="Times"/>
        </w:rPr>
      </w:pPr>
      <w:r w:rsidRPr="00F60E3D">
        <w:rPr>
          <w:rFonts w:ascii="Times" w:hAnsi="Times"/>
        </w:rPr>
        <w:t>The biennial exploratory scenario's goal is to test the system's resistance to risks that might not be clearly connected to the financial cycle.</w:t>
      </w:r>
    </w:p>
    <w:p w14:paraId="0F14D883" w14:textId="77777777" w:rsidR="005A36BB" w:rsidRDefault="00F60E3D" w:rsidP="0004247C">
      <w:pPr>
        <w:spacing w:line="360" w:lineRule="auto"/>
        <w:ind w:left="720"/>
        <w:rPr>
          <w:rFonts w:ascii="Times" w:hAnsi="Times"/>
        </w:rPr>
      </w:pPr>
      <w:r w:rsidRPr="00F60E3D">
        <w:rPr>
          <w:rFonts w:ascii="Times" w:hAnsi="Times"/>
        </w:rPr>
        <w:t xml:space="preserve">In order to ensure that a bank's failure can be managed in a way that safeguards the larger economy and financial sector, the UK has implemented reforms. </w:t>
      </w:r>
    </w:p>
    <w:p w14:paraId="1AE50D06" w14:textId="68E0B1E0" w:rsidR="00F60E3D" w:rsidRPr="00F60E3D" w:rsidRDefault="00F60E3D" w:rsidP="0004247C">
      <w:pPr>
        <w:spacing w:line="360" w:lineRule="auto"/>
        <w:ind w:left="720"/>
        <w:rPr>
          <w:rFonts w:ascii="Times" w:hAnsi="Times"/>
        </w:rPr>
      </w:pPr>
      <w:r w:rsidRPr="00F60E3D">
        <w:rPr>
          <w:rFonts w:ascii="Times" w:hAnsi="Times"/>
        </w:rPr>
        <w:t xml:space="preserve">In order to manage a company's failure in a way other than letting it enter a disorderly insolvency, the authorities can intervene through a process called resolution. Particularly in the UK: </w:t>
      </w:r>
    </w:p>
    <w:p w14:paraId="60315D38" w14:textId="77777777" w:rsidR="00F60E3D" w:rsidRPr="00F60E3D" w:rsidRDefault="00F60E3D" w:rsidP="0004247C">
      <w:pPr>
        <w:spacing w:line="360" w:lineRule="auto"/>
        <w:ind w:left="720"/>
        <w:rPr>
          <w:rFonts w:ascii="Times" w:hAnsi="Times"/>
        </w:rPr>
      </w:pPr>
    </w:p>
    <w:p w14:paraId="39119310" w14:textId="77777777" w:rsidR="00F60E3D" w:rsidRPr="004D2678" w:rsidRDefault="00F60E3D" w:rsidP="0004247C">
      <w:pPr>
        <w:pStyle w:val="ListParagraph"/>
        <w:numPr>
          <w:ilvl w:val="0"/>
          <w:numId w:val="11"/>
        </w:numPr>
        <w:spacing w:line="360" w:lineRule="auto"/>
        <w:rPr>
          <w:rFonts w:ascii="Times" w:hAnsi="Times"/>
          <w:u w:val="single"/>
        </w:rPr>
      </w:pPr>
      <w:r w:rsidRPr="004D2678">
        <w:rPr>
          <w:rFonts w:ascii="Times" w:hAnsi="Times"/>
          <w:u w:val="single"/>
        </w:rPr>
        <w:t xml:space="preserve">enacted a comprehensive bank resolution regime: </w:t>
      </w:r>
    </w:p>
    <w:p w14:paraId="320F9200" w14:textId="77777777" w:rsidR="000076AA" w:rsidRPr="000076AA" w:rsidRDefault="000076AA" w:rsidP="000076AA">
      <w:pPr>
        <w:pStyle w:val="ListParagraph"/>
        <w:spacing w:line="360" w:lineRule="auto"/>
        <w:ind w:left="1080"/>
        <w:rPr>
          <w:rFonts w:ascii="Times" w:hAnsi="Times"/>
        </w:rPr>
      </w:pPr>
      <w:r w:rsidRPr="000076AA">
        <w:rPr>
          <w:rFonts w:ascii="Times" w:hAnsi="Times"/>
        </w:rPr>
        <w:t xml:space="preserve">The government in the UK has the resources necessary to handle the bankruptcy of companies in the financial sector thanks to the "special resolution regime.". </w:t>
      </w:r>
    </w:p>
    <w:p w14:paraId="1A60C5B8" w14:textId="77777777" w:rsidR="000076AA" w:rsidRPr="000076AA" w:rsidRDefault="000076AA" w:rsidP="000076AA">
      <w:pPr>
        <w:pStyle w:val="ListParagraph"/>
        <w:spacing w:line="360" w:lineRule="auto"/>
        <w:ind w:left="1080"/>
        <w:rPr>
          <w:rFonts w:ascii="Times" w:hAnsi="Times"/>
        </w:rPr>
      </w:pPr>
      <w:r w:rsidRPr="000076AA">
        <w:rPr>
          <w:rFonts w:ascii="Times" w:hAnsi="Times"/>
        </w:rPr>
        <w:t xml:space="preserve">Giving the Bank of England the power to "bail-in" the shareholders and creditors of failing banks is a part of this. Using the bail-in tool to take its losses and the company's own assets will allow for the recapitalization of a failing business. </w:t>
      </w:r>
    </w:p>
    <w:p w14:paraId="3C70B54A" w14:textId="4AE79FE3" w:rsidR="000076AA" w:rsidRDefault="000076AA" w:rsidP="000076AA">
      <w:pPr>
        <w:pStyle w:val="ListParagraph"/>
        <w:spacing w:line="360" w:lineRule="auto"/>
        <w:ind w:left="1080"/>
        <w:rPr>
          <w:rFonts w:ascii="Times" w:hAnsi="Times"/>
        </w:rPr>
      </w:pPr>
      <w:r w:rsidRPr="000076AA">
        <w:rPr>
          <w:rFonts w:ascii="Times" w:hAnsi="Times"/>
        </w:rPr>
        <w:t>Recently, large sums of loss-absorbing debt instruments that are appropriate for this use have been issued by UK banks.</w:t>
      </w:r>
    </w:p>
    <w:p w14:paraId="32EDB6A9" w14:textId="77777777" w:rsidR="000076AA" w:rsidRPr="000076AA" w:rsidRDefault="000076AA" w:rsidP="000076AA">
      <w:pPr>
        <w:pStyle w:val="ListParagraph"/>
        <w:spacing w:line="360" w:lineRule="auto"/>
        <w:ind w:left="1080"/>
        <w:rPr>
          <w:rFonts w:ascii="Times" w:hAnsi="Times"/>
          <w:u w:val="single"/>
        </w:rPr>
      </w:pPr>
    </w:p>
    <w:p w14:paraId="3E4441DA" w14:textId="19F3E3A3" w:rsidR="00F60E3D" w:rsidRPr="004D2678" w:rsidRDefault="00F60E3D" w:rsidP="000076AA">
      <w:pPr>
        <w:pStyle w:val="ListParagraph"/>
        <w:numPr>
          <w:ilvl w:val="0"/>
          <w:numId w:val="11"/>
        </w:numPr>
        <w:spacing w:line="360" w:lineRule="auto"/>
        <w:rPr>
          <w:rFonts w:ascii="Times" w:hAnsi="Times"/>
          <w:u w:val="single"/>
        </w:rPr>
      </w:pPr>
      <w:r w:rsidRPr="004D2678">
        <w:rPr>
          <w:rFonts w:ascii="Times" w:hAnsi="Times"/>
          <w:u w:val="single"/>
        </w:rPr>
        <w:t>passed the Financial Services (Banking Reform) Act 2013:</w:t>
      </w:r>
    </w:p>
    <w:p w14:paraId="33B714E2" w14:textId="77777777" w:rsidR="000076AA" w:rsidRPr="000076AA" w:rsidRDefault="000076AA" w:rsidP="000076AA">
      <w:pPr>
        <w:pStyle w:val="ListParagraph"/>
        <w:spacing w:line="360" w:lineRule="auto"/>
        <w:ind w:left="1080"/>
        <w:rPr>
          <w:rFonts w:ascii="Times" w:hAnsi="Times"/>
        </w:rPr>
      </w:pPr>
      <w:r w:rsidRPr="000076AA">
        <w:rPr>
          <w:rFonts w:ascii="Times" w:hAnsi="Times"/>
        </w:rPr>
        <w:lastRenderedPageBreak/>
        <w:t xml:space="preserve">which requires that by 2019, the largest UK banks will have separated their primary retail banking operations from their primary investment banking operations. </w:t>
      </w:r>
    </w:p>
    <w:p w14:paraId="56790B41" w14:textId="7CB19493" w:rsidR="000076AA" w:rsidRDefault="000076AA" w:rsidP="000076AA">
      <w:pPr>
        <w:pStyle w:val="ListParagraph"/>
        <w:spacing w:line="360" w:lineRule="auto"/>
        <w:ind w:left="1080"/>
        <w:rPr>
          <w:rFonts w:ascii="Times" w:hAnsi="Times"/>
        </w:rPr>
      </w:pPr>
      <w:r w:rsidRPr="000076AA">
        <w:rPr>
          <w:rFonts w:ascii="Times" w:hAnsi="Times"/>
        </w:rPr>
        <w:t>These adjustments enable the resolution authority to manage the sizable balance sheets that support investment banking separately from the crucial retail banking services when necessary.</w:t>
      </w:r>
    </w:p>
    <w:p w14:paraId="439DD50C" w14:textId="77777777" w:rsidR="000076AA" w:rsidRDefault="000076AA" w:rsidP="000076AA">
      <w:pPr>
        <w:pStyle w:val="ListParagraph"/>
        <w:spacing w:line="360" w:lineRule="auto"/>
        <w:ind w:left="360"/>
        <w:rPr>
          <w:rFonts w:ascii="Times" w:hAnsi="Times"/>
        </w:rPr>
      </w:pPr>
    </w:p>
    <w:p w14:paraId="1E35D3B5" w14:textId="1B20DADD" w:rsidR="002D1212" w:rsidRPr="001071C8" w:rsidRDefault="002D1212" w:rsidP="000076AA">
      <w:pPr>
        <w:pStyle w:val="ListParagraph"/>
        <w:numPr>
          <w:ilvl w:val="1"/>
          <w:numId w:val="14"/>
        </w:numPr>
        <w:spacing w:line="360" w:lineRule="auto"/>
        <w:rPr>
          <w:rFonts w:ascii="Times" w:hAnsi="Times"/>
        </w:rPr>
      </w:pPr>
      <w:r w:rsidRPr="001071C8">
        <w:rPr>
          <w:rFonts w:ascii="Times" w:hAnsi="Times"/>
        </w:rPr>
        <w:t xml:space="preserve"> </w:t>
      </w:r>
      <w:r w:rsidR="0004247C" w:rsidRPr="001071C8">
        <w:rPr>
          <w:rFonts w:ascii="Times" w:hAnsi="Times"/>
        </w:rPr>
        <w:t>REGULATIONS UNITED STATES</w:t>
      </w:r>
    </w:p>
    <w:p w14:paraId="5632927E" w14:textId="612850F3" w:rsidR="002D1212" w:rsidRDefault="00470428" w:rsidP="004D2678">
      <w:pPr>
        <w:pStyle w:val="ListParagraph"/>
        <w:spacing w:line="360" w:lineRule="auto"/>
        <w:rPr>
          <w:rFonts w:ascii="Times" w:hAnsi="Times"/>
        </w:rPr>
      </w:pPr>
      <w:r w:rsidRPr="00470428">
        <w:rPr>
          <w:rFonts w:ascii="Times" w:hAnsi="Times"/>
        </w:rPr>
        <w:t>In response, the Federal Reserve and other US government agencies flooded the markets with cash and other forms of liquidity, cut interest rates, gave major financial institutions exceptional help, increased government spending, and took other actions to support the markets financially.</w:t>
      </w:r>
    </w:p>
    <w:p w14:paraId="62B6771B" w14:textId="0C7FAA8D" w:rsidR="00470428" w:rsidRDefault="00470428" w:rsidP="004D2678">
      <w:pPr>
        <w:pStyle w:val="ListParagraph"/>
        <w:spacing w:line="360" w:lineRule="auto"/>
        <w:rPr>
          <w:rFonts w:ascii="Times" w:hAnsi="Times"/>
        </w:rPr>
      </w:pPr>
      <w:r w:rsidRPr="00470428">
        <w:rPr>
          <w:rFonts w:ascii="Times" w:hAnsi="Times"/>
        </w:rPr>
        <w:t>The 2008 financial panic and the extent of emergency public assistance needed to stop the flood created the ideal conditions for new financial regulation. The Dodd-Frank Wall Street Reform and Consumer Protection Act, also known as the Act or the Dodd-Frank Act, was passed by the US on July 21, 2010.</w:t>
      </w:r>
    </w:p>
    <w:p w14:paraId="18BE9A86" w14:textId="2FF3C86D" w:rsidR="00470428" w:rsidRDefault="00470428" w:rsidP="0004247C">
      <w:pPr>
        <w:pStyle w:val="ListParagraph"/>
        <w:spacing w:line="360" w:lineRule="auto"/>
        <w:ind w:left="360"/>
        <w:rPr>
          <w:rFonts w:ascii="Times" w:hAnsi="Times"/>
        </w:rPr>
      </w:pPr>
    </w:p>
    <w:p w14:paraId="365CC41B" w14:textId="77777777" w:rsidR="0004247C" w:rsidRDefault="0004247C" w:rsidP="0004247C">
      <w:pPr>
        <w:pStyle w:val="ListParagraph"/>
        <w:spacing w:line="360" w:lineRule="auto"/>
        <w:ind w:left="360"/>
        <w:rPr>
          <w:rFonts w:ascii="Times" w:hAnsi="Times"/>
        </w:rPr>
      </w:pPr>
    </w:p>
    <w:p w14:paraId="54589BD3" w14:textId="49599396" w:rsidR="00470428" w:rsidRPr="00470428" w:rsidRDefault="00470428" w:rsidP="001071C8">
      <w:pPr>
        <w:pStyle w:val="ListParagraph"/>
        <w:numPr>
          <w:ilvl w:val="2"/>
          <w:numId w:val="14"/>
        </w:numPr>
        <w:spacing w:line="360" w:lineRule="auto"/>
        <w:rPr>
          <w:rFonts w:ascii="Times" w:hAnsi="Times"/>
          <w:i/>
          <w:iCs/>
        </w:rPr>
      </w:pPr>
      <w:r w:rsidRPr="00470428">
        <w:rPr>
          <w:rFonts w:ascii="Times" w:hAnsi="Times"/>
          <w:i/>
          <w:iCs/>
        </w:rPr>
        <w:t>Dodd-Frank Wall Street Reform</w:t>
      </w:r>
    </w:p>
    <w:p w14:paraId="6F088055" w14:textId="67DD848D" w:rsidR="00470428" w:rsidRDefault="00470428" w:rsidP="0004247C">
      <w:pPr>
        <w:pStyle w:val="ListParagraph"/>
        <w:spacing w:line="360" w:lineRule="auto"/>
        <w:rPr>
          <w:rFonts w:ascii="Times" w:hAnsi="Times"/>
        </w:rPr>
      </w:pPr>
      <w:r w:rsidRPr="00470428">
        <w:rPr>
          <w:rFonts w:ascii="Times" w:hAnsi="Times"/>
        </w:rPr>
        <w:t>During the Obama administration, in 2010, the Dodd-Frank Wall Street Reform and Consumer Protection Act, a significant piece of financial reform legislation, was passed.</w:t>
      </w:r>
    </w:p>
    <w:p w14:paraId="7B5C981A" w14:textId="77777777" w:rsidR="00F60E3D" w:rsidRPr="00F60E3D" w:rsidRDefault="00F60E3D" w:rsidP="0004247C">
      <w:pPr>
        <w:pStyle w:val="ListParagraph"/>
        <w:spacing w:line="360" w:lineRule="auto"/>
        <w:rPr>
          <w:rFonts w:ascii="Times" w:hAnsi="Times"/>
        </w:rPr>
      </w:pPr>
      <w:r w:rsidRPr="00F60E3D">
        <w:rPr>
          <w:rFonts w:ascii="Times" w:hAnsi="Times"/>
        </w:rPr>
        <w:t xml:space="preserve">The main clauses of the law and how they operate are as follows: </w:t>
      </w:r>
    </w:p>
    <w:p w14:paraId="2A441A5A" w14:textId="77777777" w:rsidR="00F60E3D" w:rsidRPr="00F60E3D" w:rsidRDefault="00F60E3D" w:rsidP="0004247C">
      <w:pPr>
        <w:pStyle w:val="ListParagraph"/>
        <w:spacing w:line="360" w:lineRule="auto"/>
        <w:rPr>
          <w:rFonts w:ascii="Times" w:hAnsi="Times"/>
        </w:rPr>
      </w:pPr>
    </w:p>
    <w:p w14:paraId="2E54763E" w14:textId="5D8C4AD0" w:rsidR="00F60E3D" w:rsidRPr="0004247C" w:rsidRDefault="00F60E3D" w:rsidP="0004247C">
      <w:pPr>
        <w:pStyle w:val="ListParagraph"/>
        <w:numPr>
          <w:ilvl w:val="0"/>
          <w:numId w:val="10"/>
        </w:numPr>
        <w:spacing w:line="360" w:lineRule="auto"/>
        <w:rPr>
          <w:rFonts w:ascii="Times" w:hAnsi="Times"/>
          <w:u w:val="single"/>
        </w:rPr>
      </w:pPr>
      <w:r w:rsidRPr="0004247C">
        <w:rPr>
          <w:rFonts w:ascii="Times" w:hAnsi="Times"/>
          <w:u w:val="single"/>
        </w:rPr>
        <w:t xml:space="preserve">Financial Stability: </w:t>
      </w:r>
    </w:p>
    <w:p w14:paraId="745D17D9" w14:textId="77777777" w:rsidR="00CC19E0" w:rsidRPr="00CC19E0" w:rsidRDefault="00CC19E0" w:rsidP="00CC19E0">
      <w:pPr>
        <w:pStyle w:val="ListParagraph"/>
        <w:spacing w:line="360" w:lineRule="auto"/>
        <w:rPr>
          <w:rFonts w:ascii="Times" w:hAnsi="Times"/>
        </w:rPr>
      </w:pPr>
      <w:r w:rsidRPr="00CC19E0">
        <w:rPr>
          <w:rFonts w:ascii="Times" w:hAnsi="Times"/>
        </w:rPr>
        <w:t xml:space="preserve">The Dodd-Frank Act mandates that the Financial Stability Oversight Council and the Orderly Liquidation Authority oversee the financial stability of significant financial institutions. </w:t>
      </w:r>
    </w:p>
    <w:p w14:paraId="3268C403" w14:textId="77777777" w:rsidR="00CC19E0" w:rsidRPr="00CC19E0" w:rsidRDefault="00CC19E0" w:rsidP="00CC19E0">
      <w:pPr>
        <w:pStyle w:val="ListParagraph"/>
        <w:spacing w:line="360" w:lineRule="auto"/>
        <w:rPr>
          <w:rFonts w:ascii="Times" w:hAnsi="Times"/>
        </w:rPr>
      </w:pPr>
      <w:r w:rsidRPr="00CC19E0">
        <w:rPr>
          <w:rFonts w:ascii="Times" w:hAnsi="Times"/>
        </w:rPr>
        <w:t xml:space="preserve">If these companies, which are regarded as being too big to fail, suffer significantly, the United States will be severely harmed. </w:t>
      </w:r>
    </w:p>
    <w:p w14:paraId="0D60540A" w14:textId="77777777" w:rsidR="006B4F4A" w:rsidRPr="006B4F4A" w:rsidRDefault="006B4F4A" w:rsidP="006B4F4A">
      <w:pPr>
        <w:pStyle w:val="ListParagraph"/>
        <w:spacing w:line="360" w:lineRule="auto"/>
        <w:rPr>
          <w:rFonts w:ascii="Times" w:hAnsi="Times"/>
        </w:rPr>
      </w:pPr>
      <w:r w:rsidRPr="006B4F4A">
        <w:rPr>
          <w:rFonts w:ascii="Times" w:hAnsi="Times"/>
        </w:rPr>
        <w:t xml:space="preserve">The law permits liquidations or restructurings to use the Orderly Liquidation Fund. In order to avoid using tax money to support such businesses, this fund has been </w:t>
      </w:r>
      <w:r w:rsidRPr="006B4F4A">
        <w:rPr>
          <w:rFonts w:ascii="Times" w:hAnsi="Times"/>
        </w:rPr>
        <w:lastRenderedPageBreak/>
        <w:t xml:space="preserve">established to help with the liquidation of financial companies that have been placed in receivership. </w:t>
      </w:r>
    </w:p>
    <w:p w14:paraId="74D0A4D0" w14:textId="4384CE7C" w:rsidR="00C47807" w:rsidRDefault="006B4F4A" w:rsidP="006B4F4A">
      <w:pPr>
        <w:pStyle w:val="ListParagraph"/>
        <w:spacing w:line="360" w:lineRule="auto"/>
        <w:rPr>
          <w:rFonts w:ascii="Times" w:hAnsi="Times"/>
        </w:rPr>
      </w:pPr>
      <w:r w:rsidRPr="006B4F4A">
        <w:rPr>
          <w:rFonts w:ascii="Times" w:hAnsi="Times"/>
        </w:rPr>
        <w:t>Banks that the council determines are too big and pose a systemic risk may be dissolved. The requirement for bank reserves may also need to be raised as a result.</w:t>
      </w:r>
    </w:p>
    <w:p w14:paraId="22CAB2FD" w14:textId="77777777" w:rsidR="00C47807" w:rsidRDefault="00C47807" w:rsidP="0004247C">
      <w:pPr>
        <w:pStyle w:val="ListParagraph"/>
        <w:spacing w:line="360" w:lineRule="auto"/>
        <w:rPr>
          <w:rFonts w:ascii="Times" w:hAnsi="Times"/>
        </w:rPr>
      </w:pPr>
    </w:p>
    <w:p w14:paraId="53CA1E85" w14:textId="77777777" w:rsidR="00C47807" w:rsidRDefault="00F60E3D" w:rsidP="00C47807">
      <w:pPr>
        <w:pStyle w:val="ListParagraph"/>
        <w:numPr>
          <w:ilvl w:val="0"/>
          <w:numId w:val="9"/>
        </w:numPr>
        <w:spacing w:line="360" w:lineRule="auto"/>
        <w:rPr>
          <w:rFonts w:ascii="Times" w:hAnsi="Times"/>
          <w:u w:val="single"/>
        </w:rPr>
      </w:pPr>
      <w:r w:rsidRPr="0004247C">
        <w:rPr>
          <w:rFonts w:ascii="Times" w:hAnsi="Times"/>
          <w:u w:val="single"/>
        </w:rPr>
        <w:t xml:space="preserve">Consumer Financial Protection Bureau: </w:t>
      </w:r>
    </w:p>
    <w:p w14:paraId="3481F9B3" w14:textId="77777777" w:rsidR="00C47807" w:rsidRPr="00C47807" w:rsidRDefault="00C47807" w:rsidP="00C47807">
      <w:pPr>
        <w:pStyle w:val="ListParagraph"/>
        <w:spacing w:line="360" w:lineRule="auto"/>
        <w:rPr>
          <w:rFonts w:ascii="Times" w:hAnsi="Times"/>
        </w:rPr>
      </w:pPr>
      <w:r w:rsidRPr="00C47807">
        <w:rPr>
          <w:rFonts w:ascii="Times" w:hAnsi="Times"/>
        </w:rPr>
        <w:t xml:space="preserve">To stop predatory mortgage lending and assist consumers in understanding a mortgage's terms before signing, Dodd-Frank established the Consumer Financial Protection Bureau (CFPB). </w:t>
      </w:r>
    </w:p>
    <w:p w14:paraId="342957EF" w14:textId="77777777" w:rsidR="00CC19E0" w:rsidRPr="00CC19E0" w:rsidRDefault="00CC19E0" w:rsidP="00CC19E0">
      <w:pPr>
        <w:pStyle w:val="ListParagraph"/>
        <w:spacing w:line="360" w:lineRule="auto"/>
        <w:rPr>
          <w:rFonts w:ascii="Times" w:hAnsi="Times"/>
        </w:rPr>
      </w:pPr>
      <w:r w:rsidRPr="00CC19E0">
        <w:rPr>
          <w:rFonts w:ascii="Times" w:hAnsi="Times"/>
        </w:rPr>
        <w:t xml:space="preserve">This reflected the widely held belief that the subprime mortgage market was what actually brought about the crisis of 2007–2008. </w:t>
      </w:r>
    </w:p>
    <w:p w14:paraId="311F4717" w14:textId="77777777" w:rsidR="00CC19E0" w:rsidRPr="00CC19E0" w:rsidRDefault="00CC19E0" w:rsidP="00CC19E0">
      <w:pPr>
        <w:pStyle w:val="ListParagraph"/>
        <w:spacing w:line="360" w:lineRule="auto"/>
        <w:rPr>
          <w:rFonts w:ascii="Times" w:hAnsi="Times"/>
        </w:rPr>
      </w:pPr>
      <w:r w:rsidRPr="00CC19E0">
        <w:rPr>
          <w:rFonts w:ascii="Times" w:hAnsi="Times"/>
        </w:rPr>
        <w:t xml:space="preserve">The Consumer Financial Protection Bureau (CFPB) warns mortgage brokers against closing loans with higher fees and/or interest rates in order to earn higher commissions. It is forbidden for mortgage brokers to steer potential borrowers toward loans that will give them the highest commissions. </w:t>
      </w:r>
    </w:p>
    <w:p w14:paraId="23C1CC6A" w14:textId="78E09D45" w:rsidR="00C47807" w:rsidRDefault="00CC19E0" w:rsidP="00CC19E0">
      <w:pPr>
        <w:pStyle w:val="ListParagraph"/>
        <w:spacing w:line="360" w:lineRule="auto"/>
        <w:rPr>
          <w:rFonts w:ascii="Times" w:hAnsi="Times"/>
        </w:rPr>
      </w:pPr>
      <w:r w:rsidRPr="00CC19E0">
        <w:rPr>
          <w:rFonts w:ascii="Times" w:hAnsi="Times"/>
        </w:rPr>
        <w:t>A variety of consumer lending products, including credit and debit cards, are governed by the CFPB, which also handles consumer complaints. All lenders, with the exception of auto lenders, must present information in a way that is easy for customers to read and understand.</w:t>
      </w:r>
    </w:p>
    <w:p w14:paraId="5BFE5BC6" w14:textId="77777777" w:rsidR="00CC19E0" w:rsidRPr="00F60E3D" w:rsidRDefault="00CC19E0" w:rsidP="00CC19E0">
      <w:pPr>
        <w:pStyle w:val="ListParagraph"/>
        <w:spacing w:line="360" w:lineRule="auto"/>
        <w:rPr>
          <w:rFonts w:ascii="Times" w:hAnsi="Times"/>
        </w:rPr>
      </w:pPr>
    </w:p>
    <w:p w14:paraId="07A8DB56" w14:textId="3B0C1004" w:rsidR="00F60E3D" w:rsidRPr="0004247C" w:rsidRDefault="00F60E3D" w:rsidP="0004247C">
      <w:pPr>
        <w:pStyle w:val="ListParagraph"/>
        <w:numPr>
          <w:ilvl w:val="0"/>
          <w:numId w:val="7"/>
        </w:numPr>
        <w:spacing w:line="360" w:lineRule="auto"/>
        <w:rPr>
          <w:rFonts w:ascii="Times" w:hAnsi="Times"/>
          <w:u w:val="single"/>
        </w:rPr>
      </w:pPr>
      <w:r w:rsidRPr="0004247C">
        <w:rPr>
          <w:rFonts w:ascii="Times" w:hAnsi="Times"/>
          <w:u w:val="single"/>
        </w:rPr>
        <w:t xml:space="preserve">Volcker Rule: </w:t>
      </w:r>
    </w:p>
    <w:p w14:paraId="2C4DC687" w14:textId="77777777" w:rsidR="008501C0" w:rsidRPr="008501C0" w:rsidRDefault="008501C0" w:rsidP="008501C0">
      <w:pPr>
        <w:pStyle w:val="ListParagraph"/>
        <w:spacing w:line="360" w:lineRule="auto"/>
        <w:rPr>
          <w:rFonts w:ascii="Times" w:hAnsi="Times"/>
        </w:rPr>
      </w:pPr>
      <w:r w:rsidRPr="008501C0">
        <w:rPr>
          <w:rFonts w:ascii="Times" w:hAnsi="Times"/>
        </w:rPr>
        <w:t xml:space="preserve">The Volcker Rule restricts trading that is speculative, forbids trading that is proprietary, and limits the investment options available to banks. Banks are thought to view investing in hedge funds and private equity firms as being too risky. </w:t>
      </w:r>
    </w:p>
    <w:p w14:paraId="3EC5EB6E" w14:textId="77777777" w:rsidR="008501C0" w:rsidRPr="008501C0" w:rsidRDefault="008501C0" w:rsidP="008501C0">
      <w:pPr>
        <w:pStyle w:val="ListParagraph"/>
        <w:spacing w:line="360" w:lineRule="auto"/>
        <w:rPr>
          <w:rFonts w:ascii="Times" w:hAnsi="Times"/>
        </w:rPr>
      </w:pPr>
      <w:r w:rsidRPr="008501C0">
        <w:rPr>
          <w:rFonts w:ascii="Times" w:hAnsi="Times"/>
        </w:rPr>
        <w:t xml:space="preserve">Financial institutions are forbidden from engaging in proprietary trading without having enough "skin in the game" to avoid potential conflicts of interest. </w:t>
      </w:r>
    </w:p>
    <w:p w14:paraId="0089B7AF" w14:textId="77777777" w:rsidR="00CC19E0" w:rsidRPr="00CC19E0" w:rsidRDefault="00CC19E0" w:rsidP="00CC19E0">
      <w:pPr>
        <w:pStyle w:val="ListParagraph"/>
        <w:spacing w:line="360" w:lineRule="auto"/>
        <w:rPr>
          <w:rFonts w:ascii="Times" w:hAnsi="Times"/>
        </w:rPr>
      </w:pPr>
      <w:r w:rsidRPr="00CC19E0">
        <w:rPr>
          <w:rFonts w:ascii="Times" w:hAnsi="Times"/>
        </w:rPr>
        <w:t xml:space="preserve">The 1933 Glass-Steagall Act, which was the first to acknowledge the risks involved in financial institutions simultaneously offering commercial and investment banking services, undoubtedly served as a precursor to the Volcker Rule, to which it is obvious that it is a response. </w:t>
      </w:r>
    </w:p>
    <w:p w14:paraId="3E586F3E" w14:textId="77777777" w:rsidR="00CC19E0" w:rsidRPr="00CC19E0" w:rsidRDefault="00CC19E0" w:rsidP="00CC19E0">
      <w:pPr>
        <w:pStyle w:val="ListParagraph"/>
        <w:spacing w:line="360" w:lineRule="auto"/>
        <w:rPr>
          <w:rFonts w:ascii="Times" w:hAnsi="Times"/>
        </w:rPr>
      </w:pPr>
      <w:r w:rsidRPr="00CC19E0">
        <w:rPr>
          <w:rFonts w:ascii="Times" w:hAnsi="Times"/>
        </w:rPr>
        <w:t xml:space="preserve">Derivatives, like credit default swaps, which are also governed by law and are widely believed to have contributed to the financial crisis of 2007–2008, are another area of regulation. Centralized exchanges for trading swaps were established by Dodd-Frank </w:t>
      </w:r>
      <w:r w:rsidRPr="00CC19E0">
        <w:rPr>
          <w:rFonts w:ascii="Times" w:hAnsi="Times"/>
        </w:rPr>
        <w:lastRenderedPageBreak/>
        <w:t xml:space="preserve">to reduce the possibility of a counterparty default. More disclosure of swap trading information was required for those markets to become more open. </w:t>
      </w:r>
    </w:p>
    <w:p w14:paraId="2668DB15" w14:textId="5D6F96B6" w:rsidR="00CC19E0" w:rsidRDefault="006B4F4A" w:rsidP="00CC19E0">
      <w:pPr>
        <w:pStyle w:val="ListParagraph"/>
        <w:spacing w:line="360" w:lineRule="auto"/>
        <w:rPr>
          <w:rFonts w:ascii="Times" w:hAnsi="Times"/>
        </w:rPr>
      </w:pPr>
      <w:r w:rsidRPr="006B4F4A">
        <w:rPr>
          <w:rFonts w:ascii="Times" w:hAnsi="Times"/>
        </w:rPr>
        <w:t>In an effort to prevent "too big to fail" institutions from taking significant risks that could harm the economy as a whole, the Volcker Rule also regulates how financial institutions use derivatives.</w:t>
      </w:r>
    </w:p>
    <w:p w14:paraId="1CF59DF5" w14:textId="77777777" w:rsidR="006B4F4A" w:rsidRDefault="006B4F4A" w:rsidP="00CC19E0">
      <w:pPr>
        <w:pStyle w:val="ListParagraph"/>
        <w:spacing w:line="360" w:lineRule="auto"/>
        <w:rPr>
          <w:rFonts w:ascii="Times" w:hAnsi="Times"/>
        </w:rPr>
      </w:pPr>
    </w:p>
    <w:p w14:paraId="5960AC05" w14:textId="4B2A990C" w:rsidR="0004247C" w:rsidRPr="00CC19E0" w:rsidRDefault="00F60E3D" w:rsidP="00CC19E0">
      <w:pPr>
        <w:pStyle w:val="ListParagraph"/>
        <w:numPr>
          <w:ilvl w:val="0"/>
          <w:numId w:val="7"/>
        </w:numPr>
        <w:spacing w:line="360" w:lineRule="auto"/>
        <w:rPr>
          <w:rFonts w:ascii="Times" w:hAnsi="Times"/>
          <w:u w:val="single"/>
        </w:rPr>
      </w:pPr>
      <w:proofErr w:type="spellStart"/>
      <w:r w:rsidRPr="00CC19E0">
        <w:rPr>
          <w:rFonts w:ascii="Times" w:hAnsi="Times"/>
          <w:u w:val="single"/>
        </w:rPr>
        <w:t>Whistleblower</w:t>
      </w:r>
      <w:proofErr w:type="spellEnd"/>
      <w:r w:rsidRPr="00CC19E0">
        <w:rPr>
          <w:rFonts w:ascii="Times" w:hAnsi="Times"/>
          <w:u w:val="single"/>
        </w:rPr>
        <w:t xml:space="preserve"> Program: </w:t>
      </w:r>
    </w:p>
    <w:p w14:paraId="78201BDC" w14:textId="1FDC16BA" w:rsidR="00F60E3D" w:rsidRPr="00F60E3D" w:rsidRDefault="00F60E3D" w:rsidP="0004247C">
      <w:pPr>
        <w:pStyle w:val="ListParagraph"/>
        <w:spacing w:line="360" w:lineRule="auto"/>
        <w:rPr>
          <w:rFonts w:ascii="Times" w:hAnsi="Times"/>
        </w:rPr>
      </w:pPr>
      <w:r w:rsidRPr="00F60E3D">
        <w:rPr>
          <w:rFonts w:ascii="Times" w:hAnsi="Times"/>
        </w:rPr>
        <w:t xml:space="preserve">The Sarbanes-Oxley Act (SOX) of 2002's </w:t>
      </w:r>
      <w:proofErr w:type="spellStart"/>
      <w:r w:rsidRPr="00F60E3D">
        <w:rPr>
          <w:rFonts w:ascii="Times" w:hAnsi="Times"/>
        </w:rPr>
        <w:t>whistleblower</w:t>
      </w:r>
      <w:proofErr w:type="spellEnd"/>
      <w:r w:rsidRPr="00F60E3D">
        <w:rPr>
          <w:rFonts w:ascii="Times" w:hAnsi="Times"/>
        </w:rPr>
        <w:t xml:space="preserve"> program was strengthened and expanded by Dodd-Frank. </w:t>
      </w:r>
    </w:p>
    <w:p w14:paraId="3832F774" w14:textId="09BF3BDE" w:rsidR="00F60E3D" w:rsidRDefault="00F60E3D" w:rsidP="0004247C">
      <w:pPr>
        <w:pStyle w:val="ListParagraph"/>
        <w:spacing w:line="360" w:lineRule="auto"/>
        <w:rPr>
          <w:rFonts w:ascii="Times" w:hAnsi="Times"/>
        </w:rPr>
      </w:pPr>
      <w:r w:rsidRPr="00F60E3D">
        <w:rPr>
          <w:rFonts w:ascii="Times" w:hAnsi="Times"/>
        </w:rPr>
        <w:t xml:space="preserve">Specifically, it expanded the definition of a covered employee to include employees of a company's subsidiaries and affiliates, established a mandatory bounty program under which </w:t>
      </w:r>
      <w:r w:rsidR="005A36BB" w:rsidRPr="00F60E3D">
        <w:rPr>
          <w:rFonts w:ascii="Times" w:hAnsi="Times"/>
        </w:rPr>
        <w:t>whistle-blowers</w:t>
      </w:r>
      <w:r w:rsidRPr="00F60E3D">
        <w:rPr>
          <w:rFonts w:ascii="Times" w:hAnsi="Times"/>
        </w:rPr>
        <w:t xml:space="preserve"> can receive between 10% and 30% of the proceeds from a litigation settlement, and increased the statute of limitations for </w:t>
      </w:r>
      <w:r w:rsidR="005A36BB" w:rsidRPr="00F60E3D">
        <w:rPr>
          <w:rFonts w:ascii="Times" w:hAnsi="Times"/>
        </w:rPr>
        <w:t>whistle-blowers</w:t>
      </w:r>
      <w:r w:rsidRPr="00F60E3D">
        <w:rPr>
          <w:rFonts w:ascii="Times" w:hAnsi="Times"/>
        </w:rPr>
        <w:t xml:space="preserve"> to file a claim against their employer from 90 to 180 days following the discovery of a violation.</w:t>
      </w:r>
    </w:p>
    <w:p w14:paraId="44C4EAE5" w14:textId="77777777" w:rsidR="00F60E3D" w:rsidRPr="002D1212" w:rsidRDefault="00F60E3D" w:rsidP="0004247C">
      <w:pPr>
        <w:pStyle w:val="ListParagraph"/>
        <w:spacing w:line="360" w:lineRule="auto"/>
        <w:ind w:left="1080"/>
        <w:rPr>
          <w:rFonts w:ascii="Times" w:hAnsi="Times"/>
        </w:rPr>
      </w:pPr>
    </w:p>
    <w:p w14:paraId="70DC3E7B" w14:textId="77777777" w:rsidR="00F60E3D" w:rsidRDefault="00F60E3D" w:rsidP="0004247C">
      <w:pPr>
        <w:spacing w:line="360" w:lineRule="auto"/>
        <w:ind w:left="720"/>
        <w:rPr>
          <w:rFonts w:ascii="Times" w:hAnsi="Times"/>
        </w:rPr>
      </w:pPr>
      <w:r w:rsidRPr="00F60E3D">
        <w:rPr>
          <w:rFonts w:ascii="Times" w:hAnsi="Times"/>
        </w:rPr>
        <w:t xml:space="preserve">September and October of 2008 saw a real financial panic in the US and the rest of the world. The US reacted by taking a number of urgent measures to stabilize the financial system. </w:t>
      </w:r>
    </w:p>
    <w:p w14:paraId="17222B7D" w14:textId="77777777" w:rsidR="00F60E3D" w:rsidRDefault="00F60E3D" w:rsidP="0004247C">
      <w:pPr>
        <w:spacing w:line="360" w:lineRule="auto"/>
        <w:ind w:left="720"/>
        <w:rPr>
          <w:rFonts w:ascii="Times" w:hAnsi="Times"/>
        </w:rPr>
      </w:pPr>
      <w:r w:rsidRPr="00F60E3D">
        <w:rPr>
          <w:rFonts w:ascii="Times" w:hAnsi="Times"/>
        </w:rPr>
        <w:t xml:space="preserve">New financial regulation was made possible by the "perfect storm" of the 2008 financial panic and these emergency measures. </w:t>
      </w:r>
    </w:p>
    <w:p w14:paraId="4E7A942E" w14:textId="48684DFA" w:rsidR="002D1212" w:rsidRDefault="00F60E3D" w:rsidP="0004247C">
      <w:pPr>
        <w:spacing w:line="360" w:lineRule="auto"/>
        <w:ind w:left="720"/>
        <w:rPr>
          <w:rFonts w:ascii="Times" w:hAnsi="Times"/>
        </w:rPr>
      </w:pPr>
      <w:r w:rsidRPr="00F60E3D">
        <w:rPr>
          <w:rFonts w:ascii="Times" w:hAnsi="Times"/>
        </w:rPr>
        <w:t>The Dodd-Frank Act, although it has unresolved some significant issues, is the most comprehensive revision of US financial regulation since the 1930s.</w:t>
      </w:r>
    </w:p>
    <w:p w14:paraId="64843D4B" w14:textId="77777777" w:rsidR="00772E23" w:rsidRDefault="00772E23" w:rsidP="0004247C">
      <w:pPr>
        <w:spacing w:line="360" w:lineRule="auto"/>
        <w:ind w:left="720"/>
        <w:rPr>
          <w:rFonts w:ascii="Times" w:hAnsi="Times"/>
        </w:rPr>
      </w:pPr>
    </w:p>
    <w:p w14:paraId="38A06834" w14:textId="52E03FA1" w:rsidR="008F46E8" w:rsidRDefault="008F46E8" w:rsidP="001071C8">
      <w:pPr>
        <w:pStyle w:val="ListParagraph"/>
        <w:numPr>
          <w:ilvl w:val="1"/>
          <w:numId w:val="14"/>
        </w:numPr>
        <w:spacing w:line="360" w:lineRule="auto"/>
        <w:rPr>
          <w:rFonts w:ascii="Times" w:hAnsi="Times"/>
        </w:rPr>
      </w:pPr>
      <w:r>
        <w:rPr>
          <w:rFonts w:ascii="Times" w:hAnsi="Times"/>
        </w:rPr>
        <w:t xml:space="preserve"> </w:t>
      </w:r>
      <w:r w:rsidR="00857837">
        <w:rPr>
          <w:rFonts w:ascii="Times" w:hAnsi="Times"/>
        </w:rPr>
        <w:t xml:space="preserve">EUROPEAN REGULATIONS - </w:t>
      </w:r>
      <w:r>
        <w:rPr>
          <w:rFonts w:ascii="Times" w:hAnsi="Times"/>
        </w:rPr>
        <w:t xml:space="preserve">BASEL </w:t>
      </w:r>
      <w:r w:rsidR="00772E23">
        <w:rPr>
          <w:rFonts w:ascii="Times" w:hAnsi="Times"/>
        </w:rPr>
        <w:t>ACCORDS</w:t>
      </w:r>
    </w:p>
    <w:p w14:paraId="76876D18" w14:textId="68F92E0C" w:rsidR="00772E23" w:rsidRPr="00772E23" w:rsidRDefault="00772E23" w:rsidP="0004247C">
      <w:pPr>
        <w:pStyle w:val="ListParagraph"/>
        <w:spacing w:line="360" w:lineRule="auto"/>
        <w:ind w:left="360"/>
        <w:rPr>
          <w:rFonts w:ascii="Times" w:hAnsi="Times"/>
        </w:rPr>
      </w:pPr>
      <w:r w:rsidRPr="00772E23">
        <w:rPr>
          <w:rFonts w:ascii="Times" w:hAnsi="Times"/>
        </w:rPr>
        <w:t xml:space="preserve">The Basel Committee on Banking Supervision (BCBS) issued the accords on banking supervision (recommendations on banking regulations), which are referred to as the Basel Accords. </w:t>
      </w:r>
    </w:p>
    <w:p w14:paraId="44711839" w14:textId="77777777" w:rsidR="00772E23" w:rsidRPr="00772E23" w:rsidRDefault="00772E23" w:rsidP="0004247C">
      <w:pPr>
        <w:pStyle w:val="ListParagraph"/>
        <w:spacing w:line="360" w:lineRule="auto"/>
        <w:ind w:left="360"/>
        <w:rPr>
          <w:rFonts w:ascii="Times" w:hAnsi="Times"/>
        </w:rPr>
      </w:pPr>
    </w:p>
    <w:p w14:paraId="510D5D8B" w14:textId="77777777" w:rsidR="00772E23" w:rsidRDefault="00772E23" w:rsidP="0004247C">
      <w:pPr>
        <w:pStyle w:val="ListParagraph"/>
        <w:spacing w:line="360" w:lineRule="auto"/>
        <w:ind w:left="360"/>
        <w:rPr>
          <w:rFonts w:ascii="Times" w:hAnsi="Times"/>
        </w:rPr>
      </w:pPr>
      <w:r w:rsidRPr="00772E23">
        <w:rPr>
          <w:rFonts w:ascii="Times" w:hAnsi="Times"/>
        </w:rPr>
        <w:t xml:space="preserve">Discussions among central bankers from important countries led to the creation of Basel I. Banks must have a minimum amount of capital, according to guidelines published in 1988 by the Basel Committee. </w:t>
      </w:r>
    </w:p>
    <w:p w14:paraId="5B0327E5" w14:textId="77777777" w:rsidR="00772E23" w:rsidRDefault="00772E23" w:rsidP="0004247C">
      <w:pPr>
        <w:pStyle w:val="ListParagraph"/>
        <w:spacing w:line="360" w:lineRule="auto"/>
        <w:ind w:left="360"/>
        <w:rPr>
          <w:rFonts w:ascii="Times" w:hAnsi="Times"/>
        </w:rPr>
      </w:pPr>
      <w:r w:rsidRPr="00772E23">
        <w:rPr>
          <w:rFonts w:ascii="Times" w:hAnsi="Times"/>
        </w:rPr>
        <w:lastRenderedPageBreak/>
        <w:t xml:space="preserve">This is also known as the Basel Accord of 1988, and it became a legal requirement in the Group of Ten (G-10) nations in 1992. </w:t>
      </w:r>
    </w:p>
    <w:p w14:paraId="7FF5DE4C" w14:textId="08CA7BFC" w:rsidR="00772E23" w:rsidRDefault="00772E23" w:rsidP="0004247C">
      <w:pPr>
        <w:pStyle w:val="ListParagraph"/>
        <w:spacing w:line="360" w:lineRule="auto"/>
        <w:ind w:left="360"/>
        <w:rPr>
          <w:rFonts w:ascii="Times" w:hAnsi="Times"/>
        </w:rPr>
      </w:pPr>
      <w:r w:rsidRPr="00772E23">
        <w:rPr>
          <w:rFonts w:ascii="Times" w:hAnsi="Times"/>
        </w:rPr>
        <w:t xml:space="preserve">The Basel I </w:t>
      </w:r>
      <w:proofErr w:type="gramStart"/>
      <w:r w:rsidRPr="00772E23">
        <w:rPr>
          <w:rFonts w:ascii="Times" w:hAnsi="Times"/>
        </w:rPr>
        <w:t>accords</w:t>
      </w:r>
      <w:proofErr w:type="gramEnd"/>
      <w:r w:rsidRPr="00772E23">
        <w:rPr>
          <w:rFonts w:ascii="Times" w:hAnsi="Times"/>
        </w:rPr>
        <w:t xml:space="preserve"> were replaced by Basel II, a new set of regulations that was created and published in 2004. In response to the financial crisis of 2007–2008, Basel III was improved.</w:t>
      </w:r>
    </w:p>
    <w:p w14:paraId="6E473004" w14:textId="77777777" w:rsidR="008F46E8" w:rsidRPr="008F46E8" w:rsidRDefault="008F46E8" w:rsidP="0004247C">
      <w:pPr>
        <w:pStyle w:val="ListParagraph"/>
        <w:spacing w:line="360" w:lineRule="auto"/>
        <w:ind w:left="360"/>
        <w:rPr>
          <w:rFonts w:ascii="Times" w:hAnsi="Times"/>
        </w:rPr>
      </w:pPr>
      <w:r w:rsidRPr="008F46E8">
        <w:rPr>
          <w:rFonts w:ascii="Times" w:hAnsi="Times"/>
        </w:rPr>
        <w:t xml:space="preserve">Basel III is an addition to the Basel II Framework that already exists. It adds new capital and liquidity standards to strengthen the oversight, control, and risk management of the entire banking and finance industry. </w:t>
      </w:r>
    </w:p>
    <w:p w14:paraId="3C0A0D7A" w14:textId="77777777" w:rsidR="008F46E8" w:rsidRPr="008F46E8" w:rsidRDefault="008F46E8" w:rsidP="0004247C">
      <w:pPr>
        <w:pStyle w:val="ListParagraph"/>
        <w:spacing w:line="360" w:lineRule="auto"/>
        <w:ind w:left="360"/>
        <w:rPr>
          <w:rFonts w:ascii="Times" w:hAnsi="Times"/>
        </w:rPr>
      </w:pPr>
    </w:p>
    <w:p w14:paraId="038F4882" w14:textId="77777777" w:rsidR="008F46E8" w:rsidRDefault="008F46E8" w:rsidP="0004247C">
      <w:pPr>
        <w:pStyle w:val="ListParagraph"/>
        <w:spacing w:line="360" w:lineRule="auto"/>
        <w:ind w:left="360"/>
        <w:rPr>
          <w:rFonts w:ascii="Times" w:hAnsi="Times"/>
        </w:rPr>
      </w:pPr>
      <w:r w:rsidRPr="008F46E8">
        <w:rPr>
          <w:rFonts w:ascii="Times" w:hAnsi="Times"/>
        </w:rPr>
        <w:t xml:space="preserve">The Basel Committee on Banking Supervision members approved it in 2010 and 2011, and it was supposed to go into effect between 2013 and 2015. However, modifications made starting in April 2013 prolonged application until March 31, 2018. </w:t>
      </w:r>
    </w:p>
    <w:p w14:paraId="68B3DD41" w14:textId="231E629F" w:rsidR="008F46E8" w:rsidRPr="008F46E8" w:rsidRDefault="008F46E8" w:rsidP="0004247C">
      <w:pPr>
        <w:pStyle w:val="ListParagraph"/>
        <w:spacing w:line="360" w:lineRule="auto"/>
        <w:ind w:left="360"/>
        <w:rPr>
          <w:rFonts w:ascii="Times" w:hAnsi="Times"/>
        </w:rPr>
      </w:pPr>
      <w:r w:rsidRPr="008F46E8">
        <w:rPr>
          <w:rFonts w:ascii="Times" w:hAnsi="Times"/>
        </w:rPr>
        <w:t xml:space="preserve">By boosting bank liquidity and lowering bank leverage, Basel III aimed to strengthen bank capital requirements. </w:t>
      </w:r>
    </w:p>
    <w:p w14:paraId="573C01F2" w14:textId="77777777" w:rsidR="008F46E8" w:rsidRPr="008F46E8" w:rsidRDefault="008F46E8" w:rsidP="0004247C">
      <w:pPr>
        <w:pStyle w:val="ListParagraph"/>
        <w:spacing w:line="360" w:lineRule="auto"/>
        <w:ind w:left="360"/>
        <w:rPr>
          <w:rFonts w:ascii="Times" w:hAnsi="Times"/>
        </w:rPr>
      </w:pPr>
    </w:p>
    <w:p w14:paraId="5A7C538C" w14:textId="77777777" w:rsidR="008F46E8" w:rsidRDefault="008F46E8" w:rsidP="0004247C">
      <w:pPr>
        <w:pStyle w:val="ListParagraph"/>
        <w:spacing w:line="360" w:lineRule="auto"/>
        <w:ind w:left="360"/>
        <w:rPr>
          <w:rFonts w:ascii="Times" w:hAnsi="Times"/>
        </w:rPr>
      </w:pPr>
      <w:r w:rsidRPr="008F46E8">
        <w:rPr>
          <w:rFonts w:ascii="Times" w:hAnsi="Times"/>
        </w:rPr>
        <w:t xml:space="preserve">Financial institutions must hold more capital and higher-quality capital than is currently required by Basel II regulations, as well as new capital buffers. </w:t>
      </w:r>
    </w:p>
    <w:p w14:paraId="4EE9B830" w14:textId="3849112D" w:rsidR="008F46E8" w:rsidRDefault="008F46E8" w:rsidP="0004247C">
      <w:pPr>
        <w:pStyle w:val="ListParagraph"/>
        <w:spacing w:line="360" w:lineRule="auto"/>
        <w:ind w:left="360"/>
        <w:rPr>
          <w:rFonts w:ascii="Times" w:hAnsi="Times"/>
        </w:rPr>
      </w:pPr>
      <w:r w:rsidRPr="008F46E8">
        <w:rPr>
          <w:rFonts w:ascii="Times" w:hAnsi="Times"/>
        </w:rPr>
        <w:t>With the introduction of the new leverage ratio, a no risk-based measure is added to the risk-based minimum capital requirements. In the event of further serious banking crises, the new liquidity ratios guarantee that sufficient funding is maintained.</w:t>
      </w:r>
    </w:p>
    <w:p w14:paraId="6624B347" w14:textId="77777777" w:rsidR="008F46E8" w:rsidRDefault="008F46E8" w:rsidP="0004247C">
      <w:pPr>
        <w:pStyle w:val="ListParagraph"/>
        <w:spacing w:line="360" w:lineRule="auto"/>
        <w:ind w:left="360"/>
        <w:rPr>
          <w:rFonts w:ascii="Times" w:hAnsi="Times"/>
        </w:rPr>
      </w:pPr>
    </w:p>
    <w:p w14:paraId="294CF31F" w14:textId="3D311999" w:rsidR="008F46E8" w:rsidRPr="0004247C" w:rsidRDefault="008F46E8" w:rsidP="001071C8">
      <w:pPr>
        <w:pStyle w:val="ListParagraph"/>
        <w:numPr>
          <w:ilvl w:val="2"/>
          <w:numId w:val="14"/>
        </w:numPr>
        <w:spacing w:line="360" w:lineRule="auto"/>
        <w:rPr>
          <w:rFonts w:ascii="Times" w:hAnsi="Times"/>
          <w:i/>
          <w:iCs/>
        </w:rPr>
      </w:pPr>
      <w:r w:rsidRPr="0004247C">
        <w:rPr>
          <w:rFonts w:ascii="Times" w:hAnsi="Times"/>
          <w:i/>
          <w:iCs/>
        </w:rPr>
        <w:t>Capital Requirement</w:t>
      </w:r>
    </w:p>
    <w:p w14:paraId="1FAFD9F3" w14:textId="77777777" w:rsidR="008F46E8" w:rsidRDefault="008F46E8" w:rsidP="0004247C">
      <w:pPr>
        <w:pStyle w:val="ListParagraph"/>
        <w:spacing w:line="360" w:lineRule="auto"/>
        <w:rPr>
          <w:rFonts w:ascii="Times" w:hAnsi="Times"/>
        </w:rPr>
      </w:pPr>
    </w:p>
    <w:p w14:paraId="6529B77B" w14:textId="77777777" w:rsidR="00C47807" w:rsidRPr="00C47807" w:rsidRDefault="00C47807" w:rsidP="00C47807">
      <w:pPr>
        <w:spacing w:line="360" w:lineRule="auto"/>
        <w:rPr>
          <w:rFonts w:ascii="Times" w:hAnsi="Times"/>
        </w:rPr>
      </w:pPr>
      <w:r w:rsidRPr="00C47807">
        <w:rPr>
          <w:rFonts w:ascii="Times" w:hAnsi="Times"/>
        </w:rPr>
        <w:t xml:space="preserve">By implementing the following measures, the Basel III rule strengthened the capital requirement and increased capital </w:t>
      </w:r>
      <w:proofErr w:type="spellStart"/>
      <w:r w:rsidRPr="00C47807">
        <w:rPr>
          <w:rFonts w:ascii="Times" w:hAnsi="Times"/>
        </w:rPr>
        <w:t>buffers.</w:t>
      </w:r>
    </w:p>
    <w:p w14:paraId="7CBDC4AC" w14:textId="77777777" w:rsidR="006B4F4A" w:rsidRDefault="006B4F4A" w:rsidP="008501C0">
      <w:pPr>
        <w:pStyle w:val="ListParagraph"/>
        <w:numPr>
          <w:ilvl w:val="0"/>
          <w:numId w:val="7"/>
        </w:numPr>
        <w:spacing w:line="360" w:lineRule="auto"/>
        <w:rPr>
          <w:rFonts w:ascii="Times" w:hAnsi="Times"/>
        </w:rPr>
      </w:pPr>
      <w:proofErr w:type="spellEnd"/>
      <w:r w:rsidRPr="006B4F4A">
        <w:rPr>
          <w:rFonts w:ascii="Times" w:hAnsi="Times"/>
        </w:rPr>
        <w:t>The Capital Conservation Buffer has the capacity to absorb losses during challenging financial and economic times. Financial institutions will be required to have a total of 7% in common equity, which is made up of a 4% common equity requirement and a 2% capital conservation buffer, in order to withstand future periods of stress.</w:t>
      </w:r>
    </w:p>
    <w:p w14:paraId="45D0F406" w14:textId="7A4323B5" w:rsidR="008501C0" w:rsidRPr="008501C0" w:rsidRDefault="008501C0" w:rsidP="008501C0">
      <w:pPr>
        <w:pStyle w:val="ListParagraph"/>
        <w:numPr>
          <w:ilvl w:val="0"/>
          <w:numId w:val="7"/>
        </w:numPr>
        <w:spacing w:line="360" w:lineRule="auto"/>
        <w:rPr>
          <w:rFonts w:ascii="Times" w:hAnsi="Times"/>
        </w:rPr>
      </w:pPr>
      <w:r w:rsidRPr="008501C0">
        <w:rPr>
          <w:rFonts w:ascii="Times" w:hAnsi="Times"/>
        </w:rPr>
        <w:t xml:space="preserve">To pay for the capital conservation buffer, only common equity may be used. Financial institutions without a capital conservation buffer are restricted in their ability to pay out dividends, buyback shares, and bonuses. </w:t>
      </w:r>
    </w:p>
    <w:p w14:paraId="4152F152" w14:textId="77777777" w:rsidR="008501C0" w:rsidRDefault="008501C0" w:rsidP="008501C0">
      <w:pPr>
        <w:pStyle w:val="ListParagraph"/>
        <w:numPr>
          <w:ilvl w:val="0"/>
          <w:numId w:val="7"/>
        </w:numPr>
        <w:spacing w:line="360" w:lineRule="auto"/>
        <w:rPr>
          <w:rFonts w:ascii="Times" w:hAnsi="Times"/>
        </w:rPr>
      </w:pPr>
      <w:r w:rsidRPr="008501C0">
        <w:rPr>
          <w:rFonts w:ascii="Times" w:hAnsi="Times"/>
        </w:rPr>
        <w:lastRenderedPageBreak/>
        <w:t>Depending on local conditions, a countercyclical capital buffer of 0 to 2 points 5 percent of common equity or other fully loss-absorbing capital is implemented. This buffer expands the capital conservation buffer.</w:t>
      </w:r>
    </w:p>
    <w:p w14:paraId="17B344C3" w14:textId="531E0281" w:rsidR="008F46E8" w:rsidRPr="008F46E8" w:rsidRDefault="008F46E8" w:rsidP="008501C0">
      <w:pPr>
        <w:pStyle w:val="ListParagraph"/>
        <w:spacing w:line="360" w:lineRule="auto"/>
        <w:rPr>
          <w:rFonts w:ascii="Times" w:hAnsi="Times"/>
        </w:rPr>
      </w:pPr>
      <w:r w:rsidRPr="008F46E8">
        <w:rPr>
          <w:rFonts w:ascii="Times" w:hAnsi="Times"/>
        </w:rPr>
        <w:t>An increase in Common Equity Tier 1 (CET1) from 2 percent to 4</w:t>
      </w:r>
      <w:r w:rsidR="006179BD">
        <w:rPr>
          <w:rFonts w:ascii="Times" w:hAnsi="Times"/>
        </w:rPr>
        <w:t>.</w:t>
      </w:r>
      <w:r w:rsidRPr="008F46E8">
        <w:rPr>
          <w:rFonts w:ascii="Times" w:hAnsi="Times"/>
        </w:rPr>
        <w:t>5 percent. It is decided to be:</w:t>
      </w:r>
    </w:p>
    <w:p w14:paraId="5361A69C" w14:textId="77777777" w:rsidR="008F46E8" w:rsidRPr="008F46E8" w:rsidRDefault="008F46E8" w:rsidP="0004247C">
      <w:pPr>
        <w:pStyle w:val="ListParagraph"/>
        <w:numPr>
          <w:ilvl w:val="0"/>
          <w:numId w:val="13"/>
        </w:numPr>
        <w:spacing w:line="360" w:lineRule="auto"/>
        <w:rPr>
          <w:rFonts w:ascii="Times" w:hAnsi="Times"/>
        </w:rPr>
      </w:pPr>
      <w:r w:rsidRPr="008F46E8">
        <w:rPr>
          <w:rFonts w:ascii="Times" w:hAnsi="Times"/>
        </w:rPr>
        <w:t xml:space="preserve">From January 1, 2013, by 30.5 percent. </w:t>
      </w:r>
    </w:p>
    <w:p w14:paraId="64418A3B" w14:textId="77777777" w:rsidR="008F46E8" w:rsidRPr="008F46E8" w:rsidRDefault="008F46E8" w:rsidP="0004247C">
      <w:pPr>
        <w:pStyle w:val="ListParagraph"/>
        <w:numPr>
          <w:ilvl w:val="0"/>
          <w:numId w:val="13"/>
        </w:numPr>
        <w:spacing w:line="360" w:lineRule="auto"/>
        <w:rPr>
          <w:rFonts w:ascii="Times" w:hAnsi="Times"/>
        </w:rPr>
      </w:pPr>
      <w:r w:rsidRPr="008F46E8">
        <w:rPr>
          <w:rFonts w:ascii="Times" w:hAnsi="Times"/>
        </w:rPr>
        <w:t xml:space="preserve">1 January 2014 to the present: 4% </w:t>
      </w:r>
    </w:p>
    <w:p w14:paraId="6E40CA39" w14:textId="77777777" w:rsidR="0004247C" w:rsidRDefault="008F46E8" w:rsidP="0004247C">
      <w:pPr>
        <w:pStyle w:val="ListParagraph"/>
        <w:numPr>
          <w:ilvl w:val="0"/>
          <w:numId w:val="13"/>
        </w:numPr>
        <w:spacing w:line="360" w:lineRule="auto"/>
        <w:rPr>
          <w:rFonts w:ascii="Times" w:hAnsi="Times"/>
        </w:rPr>
      </w:pPr>
      <w:r w:rsidRPr="008F46E8">
        <w:rPr>
          <w:rFonts w:ascii="Times" w:hAnsi="Times"/>
        </w:rPr>
        <w:t xml:space="preserve">40.5 % as of January 1, 2015. </w:t>
      </w:r>
    </w:p>
    <w:p w14:paraId="3A91BA32" w14:textId="4DDD4444" w:rsidR="006179BD" w:rsidRPr="0004247C" w:rsidRDefault="008F46E8" w:rsidP="0004247C">
      <w:pPr>
        <w:pStyle w:val="ListParagraph"/>
        <w:numPr>
          <w:ilvl w:val="0"/>
          <w:numId w:val="7"/>
        </w:numPr>
        <w:spacing w:line="360" w:lineRule="auto"/>
        <w:rPr>
          <w:rFonts w:ascii="Times" w:hAnsi="Times"/>
        </w:rPr>
      </w:pPr>
      <w:r w:rsidRPr="0004247C">
        <w:rPr>
          <w:rFonts w:ascii="Times" w:hAnsi="Times"/>
        </w:rPr>
        <w:t xml:space="preserve">The minimum Total Capital Ratio is still 8%. The total amount of capital a financial institution must hold to meet regulatory requirements is increased to 10 percent of risk-weighted assets with the capital conservation buffer added, of which 8 percent must be tier 1 capital. Tier 3 capital is abolished, and Tier 2 capital instruments are harmonized. </w:t>
      </w:r>
    </w:p>
    <w:p w14:paraId="4FF311E3" w14:textId="77777777" w:rsidR="006179BD" w:rsidRDefault="006179BD" w:rsidP="0004247C">
      <w:pPr>
        <w:pStyle w:val="ListParagraph"/>
        <w:spacing w:line="360" w:lineRule="auto"/>
        <w:rPr>
          <w:rFonts w:ascii="Times" w:hAnsi="Times"/>
        </w:rPr>
      </w:pPr>
    </w:p>
    <w:p w14:paraId="71EF72D2" w14:textId="27419309" w:rsidR="008F46E8" w:rsidRPr="0004247C" w:rsidRDefault="008F46E8" w:rsidP="001071C8">
      <w:pPr>
        <w:pStyle w:val="ListParagraph"/>
        <w:numPr>
          <w:ilvl w:val="2"/>
          <w:numId w:val="14"/>
        </w:numPr>
        <w:spacing w:line="360" w:lineRule="auto"/>
        <w:rPr>
          <w:rFonts w:ascii="Times" w:hAnsi="Times"/>
          <w:i/>
          <w:iCs/>
        </w:rPr>
      </w:pPr>
      <w:r w:rsidRPr="0004247C">
        <w:rPr>
          <w:rFonts w:ascii="Times" w:hAnsi="Times"/>
          <w:i/>
          <w:iCs/>
        </w:rPr>
        <w:t xml:space="preserve">Leverage ratio </w:t>
      </w:r>
    </w:p>
    <w:p w14:paraId="0FD5C1A8" w14:textId="77777777" w:rsidR="006B4F4A" w:rsidRPr="006B4F4A" w:rsidRDefault="006B4F4A" w:rsidP="006B4F4A">
      <w:pPr>
        <w:spacing w:line="360" w:lineRule="auto"/>
        <w:rPr>
          <w:rFonts w:ascii="Times" w:hAnsi="Times"/>
          <w:u w:val="single"/>
        </w:rPr>
      </w:pPr>
      <w:r w:rsidRPr="006B4F4A">
        <w:rPr>
          <w:rFonts w:ascii="Times" w:hAnsi="Times"/>
        </w:rPr>
        <w:t>Basel III established the required leverage ratios. ". Basel III required banks to maintain leverage ratios above 3%, which were calculated by dividing their Tier 1 capital by their average total consolidated assets. According to the US Federal Reserve Bank, the minimum Basel III leverage ratio would be 6% for eight SIFI banks and 5% for their bank holding companies as of July 2013.</w:t>
      </w:r>
    </w:p>
    <w:p w14:paraId="71C935B6" w14:textId="217B3CBC" w:rsidR="00CC19E0" w:rsidRPr="00CC19E0" w:rsidRDefault="00CC19E0" w:rsidP="00CC19E0">
      <w:pPr>
        <w:pStyle w:val="ListParagraph"/>
        <w:numPr>
          <w:ilvl w:val="0"/>
          <w:numId w:val="7"/>
        </w:numPr>
        <w:spacing w:line="360" w:lineRule="auto"/>
        <w:rPr>
          <w:rFonts w:ascii="Times" w:hAnsi="Times"/>
          <w:u w:val="single"/>
        </w:rPr>
      </w:pPr>
      <w:r w:rsidRPr="00CC19E0">
        <w:rPr>
          <w:rFonts w:ascii="Times" w:hAnsi="Times"/>
          <w:u w:val="single"/>
        </w:rPr>
        <w:t xml:space="preserve">Requirements for liquidity. </w:t>
      </w:r>
    </w:p>
    <w:p w14:paraId="4F1E800D" w14:textId="77777777" w:rsidR="00CC19E0" w:rsidRPr="00CC19E0" w:rsidRDefault="00CC19E0" w:rsidP="00CC19E0">
      <w:pPr>
        <w:pStyle w:val="ListParagraph"/>
        <w:spacing w:line="360" w:lineRule="auto"/>
        <w:ind w:left="360"/>
        <w:rPr>
          <w:rFonts w:ascii="Times" w:hAnsi="Times"/>
        </w:rPr>
      </w:pPr>
      <w:r w:rsidRPr="00CC19E0">
        <w:rPr>
          <w:rFonts w:ascii="Times" w:hAnsi="Times"/>
        </w:rPr>
        <w:t xml:space="preserve">Two necessary liquidity ratios were enacted by Basel III: </w:t>
      </w:r>
    </w:p>
    <w:p w14:paraId="60235327" w14:textId="46DF1631" w:rsidR="00CC19E0" w:rsidRPr="00CC19E0" w:rsidRDefault="00CC19E0" w:rsidP="00CC19E0">
      <w:pPr>
        <w:pStyle w:val="ListParagraph"/>
        <w:numPr>
          <w:ilvl w:val="0"/>
          <w:numId w:val="7"/>
        </w:numPr>
        <w:spacing w:line="360" w:lineRule="auto"/>
        <w:rPr>
          <w:rFonts w:ascii="Times" w:hAnsi="Times"/>
        </w:rPr>
      </w:pPr>
      <w:r w:rsidRPr="00CC19E0">
        <w:rPr>
          <w:rFonts w:ascii="Times" w:hAnsi="Times"/>
        </w:rPr>
        <w:t xml:space="preserve">In a situation of extreme stress, the liquidity coverage ratio (LCR) makes sure that there are enough high-quality liquid assets available to last for one month. </w:t>
      </w:r>
    </w:p>
    <w:p w14:paraId="4639F69B" w14:textId="3932A92E" w:rsidR="00CC19E0" w:rsidRPr="00CC19E0" w:rsidRDefault="00CC19E0" w:rsidP="00CC19E0">
      <w:pPr>
        <w:pStyle w:val="ListParagraph"/>
        <w:numPr>
          <w:ilvl w:val="0"/>
          <w:numId w:val="7"/>
        </w:numPr>
        <w:spacing w:line="360" w:lineRule="auto"/>
        <w:rPr>
          <w:rFonts w:ascii="Times" w:hAnsi="Times"/>
        </w:rPr>
      </w:pPr>
      <w:r w:rsidRPr="00CC19E0">
        <w:rPr>
          <w:rFonts w:ascii="Times" w:hAnsi="Times"/>
        </w:rPr>
        <w:t>The Net Stable Funding Ratio (NSFR) promotes resilience over long-term time horizons by providing financial institutions with more incentives to fund their operations with more stable sources of funding on an ongoing structural basis.</w:t>
      </w:r>
    </w:p>
    <w:p w14:paraId="29BE59A4" w14:textId="77777777" w:rsidR="006179BD" w:rsidRPr="008F46E8" w:rsidRDefault="006179BD" w:rsidP="0004247C">
      <w:pPr>
        <w:pStyle w:val="ListParagraph"/>
        <w:spacing w:line="360" w:lineRule="auto"/>
        <w:rPr>
          <w:rFonts w:ascii="Times" w:hAnsi="Times"/>
        </w:rPr>
      </w:pPr>
    </w:p>
    <w:p w14:paraId="6F0B7867" w14:textId="4E25F236" w:rsidR="006179BD" w:rsidRPr="006179BD" w:rsidRDefault="0004247C" w:rsidP="001071C8">
      <w:pPr>
        <w:pStyle w:val="ListParagraph"/>
        <w:numPr>
          <w:ilvl w:val="0"/>
          <w:numId w:val="14"/>
        </w:numPr>
        <w:spacing w:line="360" w:lineRule="auto"/>
        <w:rPr>
          <w:rFonts w:ascii="Times" w:hAnsi="Times"/>
        </w:rPr>
      </w:pPr>
      <w:r>
        <w:rPr>
          <w:rFonts w:ascii="Times" w:hAnsi="Times"/>
        </w:rPr>
        <w:t>BASEL ACCORDS</w:t>
      </w:r>
      <w:r w:rsidR="006179BD" w:rsidRPr="006179BD">
        <w:rPr>
          <w:rFonts w:ascii="Times" w:hAnsi="Times"/>
        </w:rPr>
        <w:t xml:space="preserve"> TO END THE CRISIS</w:t>
      </w:r>
    </w:p>
    <w:p w14:paraId="431746FF" w14:textId="77777777" w:rsidR="006179BD" w:rsidRDefault="006179BD" w:rsidP="0004247C">
      <w:pPr>
        <w:pStyle w:val="ListParagraph"/>
        <w:spacing w:line="360" w:lineRule="auto"/>
        <w:ind w:left="360"/>
        <w:rPr>
          <w:rFonts w:ascii="Times" w:hAnsi="Times"/>
        </w:rPr>
      </w:pPr>
    </w:p>
    <w:p w14:paraId="4065D5D3" w14:textId="78B82513" w:rsidR="008F46E8" w:rsidRDefault="008F46E8" w:rsidP="0004247C">
      <w:pPr>
        <w:pStyle w:val="ListParagraph"/>
        <w:spacing w:line="360" w:lineRule="auto"/>
        <w:ind w:left="360"/>
        <w:rPr>
          <w:rFonts w:ascii="Times" w:hAnsi="Times"/>
        </w:rPr>
      </w:pPr>
      <w:r w:rsidRPr="008F46E8">
        <w:rPr>
          <w:rFonts w:ascii="Times" w:hAnsi="Times"/>
        </w:rPr>
        <w:t xml:space="preserve">The UK </w:t>
      </w:r>
      <w:r>
        <w:rPr>
          <w:rFonts w:ascii="Times" w:hAnsi="Times"/>
        </w:rPr>
        <w:t>has adopted the</w:t>
      </w:r>
      <w:r w:rsidRPr="008F46E8">
        <w:rPr>
          <w:rFonts w:ascii="Times" w:hAnsi="Times"/>
        </w:rPr>
        <w:t xml:space="preserve"> Basel III regulations faster due to its reliance on the financial industry. </w:t>
      </w:r>
    </w:p>
    <w:p w14:paraId="69392F45" w14:textId="6E9E0D01" w:rsidR="008F46E8" w:rsidRDefault="008F46E8" w:rsidP="0004247C">
      <w:pPr>
        <w:pStyle w:val="ListParagraph"/>
        <w:spacing w:line="360" w:lineRule="auto"/>
        <w:ind w:left="360"/>
        <w:rPr>
          <w:rFonts w:ascii="Times" w:hAnsi="Times"/>
        </w:rPr>
      </w:pPr>
      <w:r w:rsidRPr="008F46E8">
        <w:rPr>
          <w:rFonts w:ascii="Times" w:hAnsi="Times"/>
        </w:rPr>
        <w:lastRenderedPageBreak/>
        <w:t xml:space="preserve">While the capital and liquidity positions of British banks have significantly improved over the last years, the Financial Services Authority has urged banks to meet the higher standards now rather than waiting for Basel III to be implemented. Recent Independent Banking Commission recommendations suggest that although regulatory changes won't be as significant as the market had feared, they will still be implemented with higher-than-Basel standards. </w:t>
      </w:r>
    </w:p>
    <w:p w14:paraId="2470ADC8" w14:textId="557E4C12" w:rsidR="008F46E8" w:rsidRPr="008F46E8" w:rsidRDefault="008F46E8" w:rsidP="0004247C">
      <w:pPr>
        <w:pStyle w:val="ListParagraph"/>
        <w:spacing w:line="360" w:lineRule="auto"/>
        <w:ind w:left="360"/>
        <w:rPr>
          <w:rFonts w:ascii="Times" w:hAnsi="Times"/>
        </w:rPr>
      </w:pPr>
      <w:r w:rsidRPr="008F46E8">
        <w:rPr>
          <w:rFonts w:ascii="Times" w:hAnsi="Times"/>
        </w:rPr>
        <w:t xml:space="preserve">For example, the commission suggests capitalizing retail and investment banking separately within a parent company and requiring the retail bank to maintain 10% common equity, which is 3% more than required by Basel III regulations. </w:t>
      </w:r>
    </w:p>
    <w:p w14:paraId="11C79EB0" w14:textId="280F0721" w:rsidR="008F46E8" w:rsidRPr="008F46E8" w:rsidRDefault="008F46E8" w:rsidP="0004247C">
      <w:pPr>
        <w:pStyle w:val="ListParagraph"/>
        <w:spacing w:line="360" w:lineRule="auto"/>
        <w:ind w:left="360"/>
        <w:rPr>
          <w:rFonts w:ascii="Times" w:hAnsi="Times"/>
        </w:rPr>
      </w:pPr>
    </w:p>
    <w:p w14:paraId="16291A9D" w14:textId="6407D908" w:rsidR="008F46E8" w:rsidRDefault="008F46E8" w:rsidP="0004247C">
      <w:pPr>
        <w:pStyle w:val="ListParagraph"/>
        <w:spacing w:line="360" w:lineRule="auto"/>
        <w:ind w:left="360"/>
        <w:rPr>
          <w:rFonts w:ascii="Times" w:hAnsi="Times"/>
        </w:rPr>
      </w:pPr>
      <w:r>
        <w:rPr>
          <w:rFonts w:ascii="Times" w:hAnsi="Times"/>
        </w:rPr>
        <w:t xml:space="preserve">The </w:t>
      </w:r>
      <w:r w:rsidRPr="008F46E8">
        <w:rPr>
          <w:rFonts w:ascii="Times" w:hAnsi="Times"/>
        </w:rPr>
        <w:t>84</w:t>
      </w:r>
      <w:r w:rsidR="004D2678">
        <w:rPr>
          <w:rFonts w:ascii="Times" w:hAnsi="Times"/>
        </w:rPr>
        <w:t xml:space="preserve">% </w:t>
      </w:r>
      <w:r w:rsidRPr="008F46E8">
        <w:rPr>
          <w:rFonts w:ascii="Times" w:hAnsi="Times"/>
        </w:rPr>
        <w:t xml:space="preserve">of the Royal Bank of Scotland (RBS) is owned by the British government. Regardless of the price it receives for them, the bank is required to sell a number of businesses as part of its plan; however, this should release some capital and enhance its liquidity position. </w:t>
      </w:r>
    </w:p>
    <w:p w14:paraId="3A7F32B6" w14:textId="77777777" w:rsidR="008F46E8" w:rsidRDefault="008F46E8" w:rsidP="0004247C">
      <w:pPr>
        <w:pStyle w:val="ListParagraph"/>
        <w:spacing w:line="360" w:lineRule="auto"/>
        <w:ind w:left="360"/>
        <w:rPr>
          <w:rFonts w:ascii="Times" w:hAnsi="Times"/>
        </w:rPr>
      </w:pPr>
      <w:r w:rsidRPr="008F46E8">
        <w:rPr>
          <w:rFonts w:ascii="Times" w:hAnsi="Times"/>
        </w:rPr>
        <w:t>To comply with Basel III regulations by 2013, RBS' plans call for a core Tier 1 ratio of more than 8%. in December. 31, its Basel II core Tier 1 rate was 10</w:t>
      </w:r>
      <w:r>
        <w:rPr>
          <w:rFonts w:ascii="Times" w:hAnsi="Times"/>
        </w:rPr>
        <w:t>.</w:t>
      </w:r>
      <w:r w:rsidRPr="008F46E8">
        <w:rPr>
          <w:rFonts w:ascii="Times" w:hAnsi="Times"/>
        </w:rPr>
        <w:t xml:space="preserve">7 percent. </w:t>
      </w:r>
    </w:p>
    <w:p w14:paraId="321F6EED" w14:textId="09F5EC84" w:rsidR="008F46E8" w:rsidRPr="008F46E8" w:rsidRDefault="008F46E8" w:rsidP="0004247C">
      <w:pPr>
        <w:pStyle w:val="ListParagraph"/>
        <w:spacing w:line="360" w:lineRule="auto"/>
        <w:ind w:left="360"/>
        <w:rPr>
          <w:rFonts w:ascii="Times" w:hAnsi="Times"/>
        </w:rPr>
      </w:pPr>
      <w:r w:rsidRPr="008F46E8">
        <w:rPr>
          <w:rFonts w:ascii="Times" w:hAnsi="Times"/>
        </w:rPr>
        <w:t xml:space="preserve">The company is on track to meet its goals, but despite this, we don't believe it is out of the woods just yet. Noncore losses will likely continue to have a significant negative impact on the company's profits that can be attributed to shareholders. </w:t>
      </w:r>
    </w:p>
    <w:p w14:paraId="0D613922" w14:textId="77777777" w:rsidR="008F46E8" w:rsidRDefault="008F46E8" w:rsidP="0004247C">
      <w:pPr>
        <w:pStyle w:val="ListParagraph"/>
        <w:spacing w:line="360" w:lineRule="auto"/>
        <w:ind w:left="360"/>
        <w:rPr>
          <w:rFonts w:ascii="Times" w:hAnsi="Times"/>
        </w:rPr>
      </w:pPr>
      <w:r w:rsidRPr="008F46E8">
        <w:rPr>
          <w:rFonts w:ascii="Times" w:hAnsi="Times"/>
        </w:rPr>
        <w:t xml:space="preserve">The second British bank we cover that depends on government assistance is Lloyds Banking Group (LLOY). </w:t>
      </w:r>
    </w:p>
    <w:p w14:paraId="26D48B54" w14:textId="77777777" w:rsidR="00857837" w:rsidRDefault="008F46E8" w:rsidP="0004247C">
      <w:pPr>
        <w:pStyle w:val="ListParagraph"/>
        <w:spacing w:line="360" w:lineRule="auto"/>
        <w:ind w:left="360"/>
        <w:rPr>
          <w:rFonts w:ascii="Times" w:hAnsi="Times"/>
        </w:rPr>
      </w:pPr>
      <w:r w:rsidRPr="008F46E8">
        <w:rPr>
          <w:rFonts w:ascii="Times" w:hAnsi="Times"/>
        </w:rPr>
        <w:t xml:space="preserve">With its ill-advised purchase of HBOS in 2008, Lloyds almost destroyed itself. </w:t>
      </w:r>
    </w:p>
    <w:p w14:paraId="7AEF3B48" w14:textId="38C0BB8A" w:rsidR="008F46E8" w:rsidRPr="008F46E8" w:rsidRDefault="008F46E8" w:rsidP="0004247C">
      <w:pPr>
        <w:pStyle w:val="ListParagraph"/>
        <w:spacing w:line="360" w:lineRule="auto"/>
        <w:ind w:left="360"/>
        <w:rPr>
          <w:rFonts w:ascii="Times" w:hAnsi="Times"/>
        </w:rPr>
      </w:pPr>
      <w:r w:rsidRPr="008F46E8">
        <w:rPr>
          <w:rFonts w:ascii="Times" w:hAnsi="Times"/>
        </w:rPr>
        <w:t xml:space="preserve">The UK government eventually acquired 43.5 percent of the combined Lloyds-HBOS entity through a government-sponsored capital raise in 2008. A plan that Lloyds announced in November 2009 would enable it to exit the pricey Asset Protection Scheme that the UK is currently attempting to implement. In </w:t>
      </w:r>
      <w:r w:rsidR="0004247C">
        <w:rPr>
          <w:rFonts w:ascii="Times" w:hAnsi="Times"/>
        </w:rPr>
        <w:t>my</w:t>
      </w:r>
      <w:r w:rsidRPr="008F46E8">
        <w:rPr>
          <w:rFonts w:ascii="Times" w:hAnsi="Times"/>
        </w:rPr>
        <w:t xml:space="preserve"> opinion, Lloyds' capital position </w:t>
      </w:r>
      <w:r w:rsidR="0004247C">
        <w:rPr>
          <w:rFonts w:ascii="Times" w:hAnsi="Times"/>
        </w:rPr>
        <w:t xml:space="preserve">was strong as, on 31/12/2009, </w:t>
      </w:r>
      <w:r w:rsidRPr="008F46E8">
        <w:rPr>
          <w:rFonts w:ascii="Times" w:hAnsi="Times"/>
        </w:rPr>
        <w:t>the firm's core Tier 1 capital ratio was 10</w:t>
      </w:r>
      <w:r w:rsidR="0004247C">
        <w:rPr>
          <w:rFonts w:ascii="Times" w:hAnsi="Times"/>
        </w:rPr>
        <w:t>.</w:t>
      </w:r>
      <w:r w:rsidRPr="008F46E8">
        <w:rPr>
          <w:rFonts w:ascii="Times" w:hAnsi="Times"/>
        </w:rPr>
        <w:t>2</w:t>
      </w:r>
      <w:r w:rsidR="0004247C">
        <w:rPr>
          <w:rFonts w:ascii="Times" w:hAnsi="Times"/>
        </w:rPr>
        <w:t>%.</w:t>
      </w:r>
      <w:r w:rsidRPr="008F46E8">
        <w:rPr>
          <w:rFonts w:ascii="Times" w:hAnsi="Times"/>
        </w:rPr>
        <w:t xml:space="preserve"> </w:t>
      </w:r>
    </w:p>
    <w:p w14:paraId="64A8D141" w14:textId="77777777" w:rsidR="008F46E8" w:rsidRDefault="008F46E8" w:rsidP="0004247C">
      <w:pPr>
        <w:pStyle w:val="ListParagraph"/>
        <w:spacing w:line="360" w:lineRule="auto"/>
        <w:ind w:left="360"/>
        <w:rPr>
          <w:rFonts w:ascii="Times" w:hAnsi="Times"/>
        </w:rPr>
      </w:pPr>
      <w:r w:rsidRPr="008F46E8">
        <w:rPr>
          <w:rFonts w:ascii="Times" w:hAnsi="Times"/>
        </w:rPr>
        <w:t xml:space="preserve">At the end of 2010, Barclays' (BARC) core Tier 1 ratio stood at an advantageous 10.8%. The bank's management continues to have faith in the institution's capacity to handle the new regulatory requirements, especially given that it anticipates achieving its 13 percent ROE target. </w:t>
      </w:r>
    </w:p>
    <w:p w14:paraId="24478E5C" w14:textId="3B7096BC" w:rsidR="008F46E8" w:rsidRPr="008F46E8" w:rsidRDefault="008F46E8" w:rsidP="0004247C">
      <w:pPr>
        <w:pStyle w:val="ListParagraph"/>
        <w:spacing w:line="360" w:lineRule="auto"/>
        <w:ind w:left="360"/>
        <w:rPr>
          <w:rFonts w:ascii="Times" w:hAnsi="Times"/>
        </w:rPr>
      </w:pPr>
      <w:r w:rsidRPr="008F46E8">
        <w:rPr>
          <w:rFonts w:ascii="Times" w:hAnsi="Times"/>
        </w:rPr>
        <w:t xml:space="preserve">After a surprise equity raise in the latter part of 2010, Standard Chartered (STAN) ended 2010 with core Tier 1 and Tier 1 capital ratios of 11 point 8 and 14 percent, respectively </w:t>
      </w:r>
      <w:r w:rsidRPr="008F46E8">
        <w:rPr>
          <w:rFonts w:ascii="Times" w:hAnsi="Times"/>
        </w:rPr>
        <w:lastRenderedPageBreak/>
        <w:t xml:space="preserve">(compared to 8 point 9 and 11 point 5 in 2009). We believe that the bank will have little trouble adhering to new regulatory standards given its current capital base and its robust internal equity generation capacity. </w:t>
      </w:r>
    </w:p>
    <w:p w14:paraId="449F1D46" w14:textId="77777777" w:rsidR="008F46E8" w:rsidRDefault="008F46E8" w:rsidP="0004247C">
      <w:pPr>
        <w:pStyle w:val="ListParagraph"/>
        <w:spacing w:line="360" w:lineRule="auto"/>
        <w:ind w:left="360"/>
        <w:rPr>
          <w:rFonts w:ascii="Times" w:hAnsi="Times"/>
        </w:rPr>
      </w:pPr>
      <w:r w:rsidRPr="008F46E8">
        <w:rPr>
          <w:rFonts w:ascii="Times" w:hAnsi="Times"/>
        </w:rPr>
        <w:t xml:space="preserve">Core Tier 1 capital for HSBC (HSBA) is currently at 10.5%. </w:t>
      </w:r>
    </w:p>
    <w:p w14:paraId="6648636F" w14:textId="77777777" w:rsidR="008F46E8" w:rsidRDefault="008F46E8" w:rsidP="0004247C">
      <w:pPr>
        <w:pStyle w:val="ListParagraph"/>
        <w:spacing w:line="360" w:lineRule="auto"/>
        <w:ind w:left="360"/>
        <w:rPr>
          <w:rFonts w:ascii="Times" w:hAnsi="Times"/>
        </w:rPr>
      </w:pPr>
      <w:r w:rsidRPr="008F46E8">
        <w:rPr>
          <w:rFonts w:ascii="Times" w:hAnsi="Times"/>
        </w:rPr>
        <w:t xml:space="preserve">Basel III regulations, according to the company's estimate, would lower its core Tier 1 by 250–300 basis points, bringing it to 7–15 percent at the low end—already in compliance with the 2019 requirements. As a systemically important entity, HSBC would likely be subject to any additional oversight and capital requirements. </w:t>
      </w:r>
    </w:p>
    <w:p w14:paraId="3FD37B7F" w14:textId="2732E358" w:rsidR="008F46E8" w:rsidRPr="008F46E8" w:rsidRDefault="008F46E8" w:rsidP="0004247C">
      <w:pPr>
        <w:pStyle w:val="ListParagraph"/>
        <w:spacing w:line="360" w:lineRule="auto"/>
        <w:ind w:left="360"/>
        <w:rPr>
          <w:rFonts w:ascii="Times" w:hAnsi="Times"/>
        </w:rPr>
      </w:pPr>
      <w:r w:rsidRPr="008F46E8">
        <w:rPr>
          <w:rFonts w:ascii="Times" w:hAnsi="Times"/>
        </w:rPr>
        <w:t>According to management's projections, the new regulations would require the common equity Tier 1 capital for the bank to range between 9 and 10 percent, necessitating an eight-year expansion of the current capital base.</w:t>
      </w:r>
    </w:p>
    <w:p w14:paraId="64A65EEF" w14:textId="0681B84F" w:rsidR="0075699D" w:rsidRDefault="0075699D" w:rsidP="0004247C">
      <w:pPr>
        <w:spacing w:line="360" w:lineRule="auto"/>
        <w:ind w:left="720"/>
        <w:rPr>
          <w:rFonts w:ascii="Times" w:hAnsi="Times"/>
        </w:rPr>
      </w:pPr>
    </w:p>
    <w:p w14:paraId="39885D01" w14:textId="3F64D2F1" w:rsidR="006179BD" w:rsidRDefault="006179BD" w:rsidP="0004247C">
      <w:pPr>
        <w:spacing w:line="360" w:lineRule="auto"/>
        <w:ind w:left="720"/>
        <w:rPr>
          <w:rFonts w:ascii="Times" w:hAnsi="Times"/>
        </w:rPr>
      </w:pPr>
    </w:p>
    <w:p w14:paraId="19FD50C1" w14:textId="2528918E" w:rsidR="006179BD" w:rsidRPr="00857837" w:rsidRDefault="0004247C" w:rsidP="001071C8">
      <w:pPr>
        <w:pStyle w:val="ListParagraph"/>
        <w:numPr>
          <w:ilvl w:val="0"/>
          <w:numId w:val="14"/>
        </w:numPr>
        <w:spacing w:line="360" w:lineRule="auto"/>
        <w:rPr>
          <w:rFonts w:ascii="Times" w:hAnsi="Times"/>
        </w:rPr>
      </w:pPr>
      <w:r>
        <w:rPr>
          <w:rFonts w:ascii="Times" w:hAnsi="Times"/>
        </w:rPr>
        <w:t>LLOYDS BANK WITH BASEL</w:t>
      </w:r>
    </w:p>
    <w:p w14:paraId="42F283FA" w14:textId="0E465310" w:rsidR="006179BD" w:rsidRDefault="00772E23" w:rsidP="0004247C">
      <w:pPr>
        <w:spacing w:line="360" w:lineRule="auto"/>
        <w:ind w:left="720"/>
        <w:rPr>
          <w:rFonts w:ascii="Times" w:hAnsi="Times"/>
        </w:rPr>
      </w:pPr>
      <w:r w:rsidRPr="00772E23">
        <w:rPr>
          <w:rFonts w:ascii="Times" w:hAnsi="Times"/>
        </w:rPr>
        <w:t>The fourth-largest bank in Britain, Lloyds Bank PLC, is one of the Big Four British clearing banks. Lloyds provides a wide range of international banking and financial services through the bank, its subsidiary, and related companies. It has nearly 2,700 branches spread across the United Kingdom, and it operates about 500 offices across 47 nations, including the United States, Canada, Japan, Australia, Brazil, and Egypt, to conduct its international business. Long regarded as a traditional banking institution, Lloyds has become more progressive since the early 1970s, frequently setting the pace among the Big Four clearing banks in the introduction of new financial services and products as well as the expansion of their global reach.</w:t>
      </w:r>
    </w:p>
    <w:p w14:paraId="3AED3713" w14:textId="77777777" w:rsidR="0004247C" w:rsidRDefault="0004247C" w:rsidP="0004247C">
      <w:pPr>
        <w:spacing w:line="360" w:lineRule="auto"/>
        <w:ind w:left="720"/>
        <w:rPr>
          <w:rFonts w:ascii="Times" w:hAnsi="Times"/>
        </w:rPr>
      </w:pPr>
    </w:p>
    <w:p w14:paraId="2B87FADF" w14:textId="1F760389" w:rsidR="00772E23" w:rsidRPr="0004247C" w:rsidRDefault="00772E23" w:rsidP="001071C8">
      <w:pPr>
        <w:pStyle w:val="ListParagraph"/>
        <w:numPr>
          <w:ilvl w:val="1"/>
          <w:numId w:val="14"/>
        </w:numPr>
        <w:spacing w:line="360" w:lineRule="auto"/>
        <w:rPr>
          <w:rFonts w:ascii="Times" w:hAnsi="Times"/>
          <w:i/>
          <w:iCs/>
        </w:rPr>
      </w:pPr>
      <w:r w:rsidRPr="0004247C">
        <w:rPr>
          <w:rFonts w:ascii="Times" w:hAnsi="Times"/>
          <w:i/>
          <w:iCs/>
        </w:rPr>
        <w:t>Basel II for Lloyds bank</w:t>
      </w:r>
    </w:p>
    <w:p w14:paraId="4E8AA55C" w14:textId="77777777" w:rsidR="00772E23" w:rsidRDefault="00772E23" w:rsidP="0004247C">
      <w:pPr>
        <w:pStyle w:val="ListParagraph"/>
        <w:spacing w:line="360" w:lineRule="auto"/>
        <w:ind w:left="360"/>
        <w:rPr>
          <w:rFonts w:ascii="Times" w:hAnsi="Times"/>
        </w:rPr>
      </w:pPr>
      <w:r w:rsidRPr="00772E23">
        <w:rPr>
          <w:rFonts w:ascii="Times" w:hAnsi="Times"/>
        </w:rPr>
        <w:t xml:space="preserve">The Capital Requirements Directive, which is covered below under "European Union Impact for UK Financial Services Regulation," has brought Basel II into effect across the EU. Following a consultation process that lasted through 2006, this became effective for all European banks on January 1, 2007. </w:t>
      </w:r>
    </w:p>
    <w:p w14:paraId="40B3E00A" w14:textId="50C91DD7" w:rsidR="00772E23" w:rsidRPr="00772E23" w:rsidRDefault="00772E23" w:rsidP="0004247C">
      <w:pPr>
        <w:pStyle w:val="ListParagraph"/>
        <w:spacing w:line="360" w:lineRule="auto"/>
        <w:ind w:left="360"/>
        <w:rPr>
          <w:rFonts w:ascii="Times" w:hAnsi="Times"/>
        </w:rPr>
      </w:pPr>
      <w:r w:rsidRPr="00772E23">
        <w:rPr>
          <w:rFonts w:ascii="Times" w:hAnsi="Times"/>
        </w:rPr>
        <w:t xml:space="preserve">However, due to transitional provisions, Lloyds Banking Group was exempt from full compliance requirements until 1 January 2008. </w:t>
      </w:r>
    </w:p>
    <w:p w14:paraId="4FA6AE88" w14:textId="19A1C678" w:rsidR="00772E23" w:rsidRPr="00772E23" w:rsidRDefault="00772E23" w:rsidP="0004247C">
      <w:pPr>
        <w:pStyle w:val="ListParagraph"/>
        <w:spacing w:line="360" w:lineRule="auto"/>
        <w:ind w:left="360"/>
        <w:rPr>
          <w:rFonts w:ascii="Times" w:hAnsi="Times"/>
        </w:rPr>
      </w:pPr>
      <w:r w:rsidRPr="00772E23">
        <w:rPr>
          <w:rFonts w:ascii="Times" w:hAnsi="Times"/>
        </w:rPr>
        <w:t xml:space="preserve">Beginning on January 1, 2008, the legacy Lloyds TSB Group adopted the Foundation Internal Ratings Based approach for credit risk for its non-retail exposures and the </w:t>
      </w:r>
      <w:r w:rsidRPr="00772E23">
        <w:rPr>
          <w:rFonts w:ascii="Times" w:hAnsi="Times"/>
        </w:rPr>
        <w:lastRenderedPageBreak/>
        <w:t xml:space="preserve">Advanced (Retail) Internal Ratings Based approach for its retail exposures. For both its non-retail and retail exposures, the heritage HBOS Group chose the Advanced Internal Ratings Based approach. </w:t>
      </w:r>
    </w:p>
    <w:p w14:paraId="0D725313" w14:textId="1488965B" w:rsidR="00772E23" w:rsidRDefault="00772E23" w:rsidP="0004247C">
      <w:pPr>
        <w:pStyle w:val="ListParagraph"/>
        <w:spacing w:line="360" w:lineRule="auto"/>
        <w:ind w:left="360"/>
        <w:rPr>
          <w:rFonts w:ascii="Times" w:hAnsi="Times"/>
        </w:rPr>
      </w:pPr>
      <w:r w:rsidRPr="00772E23">
        <w:rPr>
          <w:rFonts w:ascii="Times" w:hAnsi="Times"/>
        </w:rPr>
        <w:t>The Advanced Measurement Approach for Operational Risk was adopted on January 1st, 2008 by the heritage Lloyds TSB Group and the heritage HBOS Group.</w:t>
      </w:r>
    </w:p>
    <w:p w14:paraId="09D65DB0" w14:textId="30AA6035" w:rsidR="00772E23" w:rsidRDefault="00772E23" w:rsidP="00772E23">
      <w:pPr>
        <w:pStyle w:val="ListParagraph"/>
        <w:ind w:left="360"/>
        <w:rPr>
          <w:rFonts w:ascii="Times" w:hAnsi="Times"/>
        </w:rPr>
      </w:pPr>
    </w:p>
    <w:p w14:paraId="1339B07E" w14:textId="77777777" w:rsidR="00ED2CD4" w:rsidRPr="00772E23" w:rsidRDefault="00ED2CD4" w:rsidP="00772E23">
      <w:pPr>
        <w:pStyle w:val="ListParagraph"/>
        <w:ind w:left="360"/>
        <w:rPr>
          <w:rFonts w:ascii="Times" w:hAnsi="Times"/>
        </w:rPr>
      </w:pPr>
    </w:p>
    <w:p w14:paraId="4AB263FB" w14:textId="65644D88" w:rsidR="006179BD" w:rsidRDefault="0004247C" w:rsidP="001071C8">
      <w:pPr>
        <w:pStyle w:val="ListParagraph"/>
        <w:numPr>
          <w:ilvl w:val="0"/>
          <w:numId w:val="14"/>
        </w:numPr>
        <w:spacing w:line="360" w:lineRule="auto"/>
        <w:rPr>
          <w:rFonts w:ascii="Times" w:hAnsi="Times"/>
        </w:rPr>
      </w:pPr>
      <w:r>
        <w:rPr>
          <w:rFonts w:ascii="Times" w:hAnsi="Times"/>
        </w:rPr>
        <w:t xml:space="preserve">FINANCIAL </w:t>
      </w:r>
      <w:r w:rsidR="009F4746">
        <w:rPr>
          <w:rFonts w:ascii="Times" w:hAnsi="Times"/>
        </w:rPr>
        <w:t xml:space="preserve">ANALYSIS </w:t>
      </w:r>
      <w:r>
        <w:rPr>
          <w:rFonts w:ascii="Times" w:hAnsi="Times"/>
        </w:rPr>
        <w:t xml:space="preserve">LLYODS 2008 </w:t>
      </w:r>
      <w:r w:rsidR="00FF235C">
        <w:rPr>
          <w:rFonts w:ascii="Times" w:hAnsi="Times"/>
        </w:rPr>
        <w:t>–</w:t>
      </w:r>
      <w:r>
        <w:rPr>
          <w:rFonts w:ascii="Times" w:hAnsi="Times"/>
        </w:rPr>
        <w:t xml:space="preserve"> 20</w:t>
      </w:r>
      <w:r w:rsidR="00FF235C">
        <w:rPr>
          <w:rFonts w:ascii="Times" w:hAnsi="Times"/>
        </w:rPr>
        <w:t>21</w:t>
      </w:r>
    </w:p>
    <w:p w14:paraId="6345005E" w14:textId="77777777" w:rsidR="00FF235C" w:rsidRPr="00FF235C" w:rsidRDefault="00FF235C" w:rsidP="001071C8">
      <w:pPr>
        <w:spacing w:line="360" w:lineRule="auto"/>
        <w:rPr>
          <w:rFonts w:ascii="Times" w:hAnsi="Times"/>
        </w:rPr>
      </w:pPr>
      <w:r w:rsidRPr="00FF235C">
        <w:rPr>
          <w:rFonts w:ascii="Times" w:hAnsi="Times"/>
        </w:rPr>
        <w:t>The purpose of this study is to examine how Lloyds Bank's performance has evolved between 2009 and 2021.</w:t>
      </w:r>
    </w:p>
    <w:p w14:paraId="692C0B8F" w14:textId="49FB8364" w:rsidR="00FF235C" w:rsidRDefault="00FF235C" w:rsidP="001071C8">
      <w:pPr>
        <w:spacing w:line="360" w:lineRule="auto"/>
        <w:rPr>
          <w:rFonts w:ascii="Times" w:hAnsi="Times"/>
        </w:rPr>
      </w:pPr>
      <w:r w:rsidRPr="00FF235C">
        <w:rPr>
          <w:rFonts w:ascii="Times" w:hAnsi="Times"/>
        </w:rPr>
        <w:t xml:space="preserve">Profitability will be used to measure Lloyds' success, which is quantified in this report using </w:t>
      </w:r>
      <w:r w:rsidR="008A6615">
        <w:rPr>
          <w:rFonts w:ascii="Times" w:hAnsi="Times"/>
        </w:rPr>
        <w:t>three</w:t>
      </w:r>
      <w:r w:rsidRPr="00FF235C">
        <w:rPr>
          <w:rFonts w:ascii="Times" w:hAnsi="Times"/>
        </w:rPr>
        <w:t xml:space="preserve"> ratios: RO</w:t>
      </w:r>
      <w:r w:rsidR="008A6615">
        <w:rPr>
          <w:rFonts w:ascii="Times" w:hAnsi="Times"/>
        </w:rPr>
        <w:t>E</w:t>
      </w:r>
      <w:r w:rsidRPr="00FF235C">
        <w:rPr>
          <w:rFonts w:ascii="Times" w:hAnsi="Times"/>
        </w:rPr>
        <w:t xml:space="preserve"> (return on</w:t>
      </w:r>
      <w:r w:rsidR="008A6615">
        <w:rPr>
          <w:rFonts w:ascii="Times" w:hAnsi="Times"/>
        </w:rPr>
        <w:t xml:space="preserve"> equity</w:t>
      </w:r>
      <w:r w:rsidRPr="00FF235C">
        <w:rPr>
          <w:rFonts w:ascii="Times" w:hAnsi="Times"/>
        </w:rPr>
        <w:t>)</w:t>
      </w:r>
      <w:r w:rsidR="008A6615">
        <w:rPr>
          <w:rFonts w:ascii="Times" w:hAnsi="Times"/>
        </w:rPr>
        <w:t xml:space="preserve">, </w:t>
      </w:r>
      <w:proofErr w:type="spellStart"/>
      <w:r w:rsidR="008A6615">
        <w:rPr>
          <w:rFonts w:ascii="Times" w:hAnsi="Times"/>
        </w:rPr>
        <w:t>Roce</w:t>
      </w:r>
      <w:proofErr w:type="spellEnd"/>
      <w:r w:rsidR="008A6615">
        <w:rPr>
          <w:rFonts w:ascii="Times" w:hAnsi="Times"/>
        </w:rPr>
        <w:t xml:space="preserve"> and Operating Profit margin</w:t>
      </w:r>
      <w:r w:rsidRPr="00FF235C">
        <w:rPr>
          <w:rFonts w:ascii="Times" w:hAnsi="Times"/>
        </w:rPr>
        <w:t>. This ratio is important because it measures Lloyd's ability to generate income, as well as the efficiency and effectiveness of the bank in using existing capital and resources to achieve financial returns.</w:t>
      </w:r>
    </w:p>
    <w:p w14:paraId="50EC6CDE" w14:textId="6EBEC16F" w:rsidR="008A6615" w:rsidRDefault="008A6615" w:rsidP="001071C8">
      <w:pPr>
        <w:spacing w:line="360" w:lineRule="auto"/>
        <w:rPr>
          <w:rFonts w:ascii="Times" w:hAnsi="Times"/>
        </w:rPr>
      </w:pPr>
      <w:r>
        <w:rPr>
          <w:rFonts w:ascii="Times" w:hAnsi="Times"/>
        </w:rPr>
        <w:t>I will focus on the liquidity and Leverage with different ratios and calculations.</w:t>
      </w:r>
    </w:p>
    <w:p w14:paraId="3ACBA4DA" w14:textId="25090A3F" w:rsidR="001071C8" w:rsidRDefault="001071C8" w:rsidP="001071C8">
      <w:pPr>
        <w:spacing w:line="360" w:lineRule="auto"/>
        <w:rPr>
          <w:rFonts w:ascii="Times" w:hAnsi="Times"/>
        </w:rPr>
      </w:pPr>
      <w:r>
        <w:rPr>
          <w:rFonts w:ascii="Times" w:hAnsi="Times"/>
        </w:rPr>
        <w:t>The Income statement and balance sheet will be used to calculate profitability, liquidity and leverage ratios.</w:t>
      </w:r>
    </w:p>
    <w:p w14:paraId="6AC4816D" w14:textId="660C7D68" w:rsidR="001071C8" w:rsidRPr="001071C8" w:rsidRDefault="001071C8" w:rsidP="001071C8">
      <w:pPr>
        <w:pStyle w:val="NormalWeb"/>
      </w:pPr>
      <w:r>
        <w:rPr>
          <w:rFonts w:ascii="Times" w:hAnsi="Times"/>
        </w:rPr>
        <w:t xml:space="preserve">(Please note that is made with £ millions of pounds). </w:t>
      </w:r>
    </w:p>
    <w:p w14:paraId="53FF3EF6" w14:textId="59C45EFD" w:rsidR="00FF235C" w:rsidRPr="00FF235C" w:rsidRDefault="00FF235C" w:rsidP="001071C8">
      <w:pPr>
        <w:spacing w:line="360" w:lineRule="auto"/>
        <w:rPr>
          <w:rFonts w:ascii="Times" w:hAnsi="Times"/>
        </w:rPr>
      </w:pPr>
      <w:r w:rsidRPr="00FF235C">
        <w:rPr>
          <w:rFonts w:ascii="Times" w:hAnsi="Times"/>
        </w:rPr>
        <w:t>Data from Fitch Connect and Lloyds Bank annual reports were used to create these analyses.</w:t>
      </w:r>
    </w:p>
    <w:p w14:paraId="21F2C63D" w14:textId="012E8B01" w:rsidR="00FF235C" w:rsidRDefault="00FF235C" w:rsidP="001071C8">
      <w:pPr>
        <w:pStyle w:val="ListParagraph"/>
        <w:spacing w:line="360" w:lineRule="auto"/>
        <w:ind w:left="360"/>
        <w:rPr>
          <w:rFonts w:ascii="Times" w:hAnsi="Times"/>
        </w:rPr>
      </w:pPr>
    </w:p>
    <w:p w14:paraId="71974C06" w14:textId="544C77E4" w:rsidR="00FF235C" w:rsidRDefault="00FF235C" w:rsidP="001071C8">
      <w:pPr>
        <w:pStyle w:val="ListParagraph"/>
        <w:spacing w:line="360" w:lineRule="auto"/>
        <w:ind w:left="360"/>
        <w:rPr>
          <w:rFonts w:ascii="Times" w:hAnsi="Times"/>
        </w:rPr>
      </w:pPr>
    </w:p>
    <w:p w14:paraId="14A058FF" w14:textId="7EC40644" w:rsidR="00FF235C" w:rsidRDefault="00FF235C" w:rsidP="001071C8">
      <w:pPr>
        <w:pStyle w:val="ListParagraph"/>
        <w:numPr>
          <w:ilvl w:val="1"/>
          <w:numId w:val="14"/>
        </w:numPr>
        <w:spacing w:line="360" w:lineRule="auto"/>
        <w:rPr>
          <w:rFonts w:ascii="Times" w:hAnsi="Times"/>
        </w:rPr>
      </w:pPr>
      <w:r>
        <w:rPr>
          <w:rFonts w:ascii="Times" w:hAnsi="Times"/>
        </w:rPr>
        <w:t>INCOME STATEMENT</w:t>
      </w:r>
    </w:p>
    <w:p w14:paraId="651773F2" w14:textId="77777777" w:rsidR="00C47807" w:rsidRDefault="00C47807" w:rsidP="001071C8">
      <w:pPr>
        <w:spacing w:line="360" w:lineRule="auto"/>
        <w:rPr>
          <w:rFonts w:ascii="Times" w:hAnsi="Times"/>
        </w:rPr>
      </w:pPr>
      <w:r w:rsidRPr="00C47807">
        <w:rPr>
          <w:rFonts w:ascii="Times" w:hAnsi="Times"/>
        </w:rPr>
        <w:t>The income statement focuses on a company's earnings for a specific time period, including profits and losses. The income statement, which is also referred to as a profit and loss (</w:t>
      </w:r>
      <w:proofErr w:type="spellStart"/>
      <w:r w:rsidRPr="00C47807">
        <w:rPr>
          <w:rFonts w:ascii="Times" w:hAnsi="Times"/>
        </w:rPr>
        <w:t>PandL</w:t>
      </w:r>
      <w:proofErr w:type="spellEnd"/>
      <w:r w:rsidRPr="00C47807">
        <w:rPr>
          <w:rFonts w:ascii="Times" w:hAnsi="Times"/>
        </w:rPr>
        <w:t>) or income and expense statement, offers crucial information about a company's operations, management effectiveness, underperforming industries, and performance in comparison to peers in the same industry.</w:t>
      </w:r>
    </w:p>
    <w:p w14:paraId="1E99C311" w14:textId="16B97DB0" w:rsidR="00CD46FB" w:rsidRPr="00CD46FB" w:rsidRDefault="00CD46FB" w:rsidP="001071C8">
      <w:pPr>
        <w:spacing w:line="360" w:lineRule="auto"/>
        <w:rPr>
          <w:rFonts w:ascii="Times" w:hAnsi="Times"/>
        </w:rPr>
      </w:pPr>
      <w:r>
        <w:rPr>
          <w:rFonts w:ascii="Times" w:hAnsi="Times"/>
        </w:rPr>
        <w:t xml:space="preserve">To </w:t>
      </w:r>
      <w:proofErr w:type="spellStart"/>
      <w:r>
        <w:rPr>
          <w:rFonts w:ascii="Times" w:hAnsi="Times"/>
        </w:rPr>
        <w:t>analize</w:t>
      </w:r>
      <w:proofErr w:type="spellEnd"/>
      <w:r>
        <w:rPr>
          <w:rFonts w:ascii="Times" w:hAnsi="Times"/>
        </w:rPr>
        <w:t xml:space="preserve"> Lloyd’s, I have created an excel table with the income statements number as the below.</w:t>
      </w:r>
    </w:p>
    <w:p w14:paraId="3F8533C2" w14:textId="7F3D5DCD" w:rsidR="006F6436" w:rsidRDefault="00FF235C" w:rsidP="006F6436">
      <w:pPr>
        <w:pStyle w:val="ListParagraph"/>
        <w:ind w:left="360"/>
      </w:pPr>
      <w:r>
        <w:fldChar w:fldCharType="begin"/>
      </w:r>
      <w:r>
        <w:instrText xml:space="preserve"> LINK </w:instrText>
      </w:r>
      <w:r w:rsidR="006F6436">
        <w:instrText xml:space="preserve">Excel.Sheet.12 /Users/carmendeluca/Desktop/BFM/Book1.xlsx INCOME!R1C1:R21C3 </w:instrText>
      </w:r>
      <w:r>
        <w:instrText xml:space="preserve">\a \f 4 \h </w:instrText>
      </w:r>
      <w:r w:rsidR="00CD46FB">
        <w:instrText xml:space="preserve"> \* MERGEFORMAT </w:instrText>
      </w:r>
      <w:r w:rsidR="006F6436">
        <w:fldChar w:fldCharType="separate"/>
      </w:r>
    </w:p>
    <w:tbl>
      <w:tblPr>
        <w:tblW w:w="7721" w:type="dxa"/>
        <w:tblLook w:val="04A0" w:firstRow="1" w:lastRow="0" w:firstColumn="1" w:lastColumn="0" w:noHBand="0" w:noVBand="1"/>
      </w:tblPr>
      <w:tblGrid>
        <w:gridCol w:w="5163"/>
        <w:gridCol w:w="1112"/>
        <w:gridCol w:w="1446"/>
      </w:tblGrid>
      <w:tr w:rsidR="006F6436" w:rsidRPr="006F6436" w14:paraId="0D22E31F" w14:textId="77777777" w:rsidTr="006F6436">
        <w:trPr>
          <w:divId w:val="2059350777"/>
          <w:trHeight w:val="252"/>
        </w:trPr>
        <w:tc>
          <w:tcPr>
            <w:tcW w:w="5163" w:type="dxa"/>
            <w:tcBorders>
              <w:top w:val="single" w:sz="8" w:space="0" w:color="auto"/>
              <w:left w:val="single" w:sz="8" w:space="0" w:color="auto"/>
              <w:bottom w:val="single" w:sz="4" w:space="0" w:color="auto"/>
              <w:right w:val="single" w:sz="4" w:space="0" w:color="auto"/>
            </w:tcBorders>
            <w:shd w:val="clear" w:color="000000" w:fill="FFFF00"/>
            <w:noWrap/>
            <w:vAlign w:val="center"/>
            <w:hideMark/>
          </w:tcPr>
          <w:p w14:paraId="19EF3863" w14:textId="3BF19F9E" w:rsidR="006F6436" w:rsidRPr="006F6436" w:rsidRDefault="006F6436" w:rsidP="006F6436">
            <w:pPr>
              <w:jc w:val="center"/>
              <w:rPr>
                <w:rFonts w:ascii="Cambria" w:eastAsia="Times New Roman" w:hAnsi="Cambria" w:cs="Calibri"/>
                <w:b/>
                <w:bCs/>
                <w:color w:val="000000"/>
                <w:lang w:eastAsia="en-GB"/>
              </w:rPr>
            </w:pPr>
            <w:r w:rsidRPr="006F6436">
              <w:rPr>
                <w:rFonts w:ascii="Cambria" w:eastAsia="Times New Roman" w:hAnsi="Cambria" w:cs="Calibri"/>
                <w:b/>
                <w:bCs/>
                <w:color w:val="000000"/>
                <w:lang w:eastAsia="en-GB"/>
              </w:rPr>
              <w:t>INCOME STATEMENT (MILION)</w:t>
            </w:r>
          </w:p>
        </w:tc>
        <w:tc>
          <w:tcPr>
            <w:tcW w:w="1112" w:type="dxa"/>
            <w:tcBorders>
              <w:top w:val="single" w:sz="8" w:space="0" w:color="auto"/>
              <w:left w:val="nil"/>
              <w:bottom w:val="single" w:sz="4" w:space="0" w:color="auto"/>
              <w:right w:val="single" w:sz="4" w:space="0" w:color="auto"/>
            </w:tcBorders>
            <w:shd w:val="clear" w:color="000000" w:fill="F8CBAD"/>
            <w:noWrap/>
            <w:vAlign w:val="bottom"/>
            <w:hideMark/>
          </w:tcPr>
          <w:p w14:paraId="0952EE1B" w14:textId="77777777" w:rsidR="006F6436" w:rsidRPr="006F6436" w:rsidRDefault="006F6436" w:rsidP="006F6436">
            <w:pPr>
              <w:jc w:val="center"/>
              <w:rPr>
                <w:rFonts w:ascii="Cambria" w:eastAsia="Times New Roman" w:hAnsi="Cambria" w:cs="Calibri"/>
                <w:b/>
                <w:bCs/>
                <w:i/>
                <w:iCs/>
                <w:color w:val="000000"/>
                <w:lang w:eastAsia="en-GB"/>
              </w:rPr>
            </w:pPr>
            <w:r w:rsidRPr="006F6436">
              <w:rPr>
                <w:rFonts w:ascii="Cambria" w:eastAsia="Times New Roman" w:hAnsi="Cambria" w:cs="Calibri"/>
                <w:b/>
                <w:bCs/>
                <w:i/>
                <w:iCs/>
                <w:color w:val="000000"/>
                <w:lang w:eastAsia="en-GB"/>
              </w:rPr>
              <w:t>2008</w:t>
            </w:r>
          </w:p>
        </w:tc>
        <w:tc>
          <w:tcPr>
            <w:tcW w:w="1446" w:type="dxa"/>
            <w:tcBorders>
              <w:top w:val="single" w:sz="8" w:space="0" w:color="auto"/>
              <w:left w:val="nil"/>
              <w:bottom w:val="single" w:sz="4" w:space="0" w:color="auto"/>
              <w:right w:val="single" w:sz="8" w:space="0" w:color="auto"/>
            </w:tcBorders>
            <w:shd w:val="clear" w:color="000000" w:fill="BDD7EE"/>
            <w:noWrap/>
            <w:vAlign w:val="bottom"/>
            <w:hideMark/>
          </w:tcPr>
          <w:p w14:paraId="4D8547DE" w14:textId="77777777" w:rsidR="006F6436" w:rsidRPr="006F6436" w:rsidRDefault="006F6436" w:rsidP="006F6436">
            <w:pPr>
              <w:jc w:val="center"/>
              <w:rPr>
                <w:rFonts w:ascii="Cambria" w:eastAsia="Times New Roman" w:hAnsi="Cambria" w:cs="Calibri"/>
                <w:b/>
                <w:bCs/>
                <w:i/>
                <w:iCs/>
                <w:color w:val="000000"/>
                <w:lang w:eastAsia="en-GB"/>
              </w:rPr>
            </w:pPr>
            <w:r w:rsidRPr="006F6436">
              <w:rPr>
                <w:rFonts w:ascii="Cambria" w:eastAsia="Times New Roman" w:hAnsi="Cambria" w:cs="Calibri"/>
                <w:b/>
                <w:bCs/>
                <w:i/>
                <w:iCs/>
                <w:color w:val="000000"/>
                <w:lang w:eastAsia="en-GB"/>
              </w:rPr>
              <w:t>2021</w:t>
            </w:r>
          </w:p>
        </w:tc>
      </w:tr>
      <w:tr w:rsidR="006F6436" w:rsidRPr="006F6436" w14:paraId="587EB675" w14:textId="77777777" w:rsidTr="006F6436">
        <w:trPr>
          <w:divId w:val="2059350777"/>
          <w:trHeight w:val="252"/>
        </w:trPr>
        <w:tc>
          <w:tcPr>
            <w:tcW w:w="5163" w:type="dxa"/>
            <w:tcBorders>
              <w:top w:val="nil"/>
              <w:left w:val="single" w:sz="8" w:space="0" w:color="auto"/>
              <w:bottom w:val="single" w:sz="4" w:space="0" w:color="auto"/>
              <w:right w:val="single" w:sz="4" w:space="0" w:color="auto"/>
            </w:tcBorders>
            <w:shd w:val="clear" w:color="auto" w:fill="auto"/>
            <w:noWrap/>
            <w:vAlign w:val="bottom"/>
            <w:hideMark/>
          </w:tcPr>
          <w:p w14:paraId="0E6FDD14" w14:textId="77777777" w:rsidR="006F6436" w:rsidRPr="006F6436" w:rsidRDefault="006F6436" w:rsidP="006F6436">
            <w:pPr>
              <w:rPr>
                <w:rFonts w:ascii="Cambria" w:eastAsia="Times New Roman" w:hAnsi="Cambria" w:cs="Calibri"/>
                <w:color w:val="000000"/>
                <w:lang w:eastAsia="en-GB"/>
              </w:rPr>
            </w:pPr>
            <w:r w:rsidRPr="006F6436">
              <w:rPr>
                <w:rFonts w:ascii="Cambria" w:eastAsia="Times New Roman" w:hAnsi="Cambria" w:cs="Calibri"/>
                <w:color w:val="000000"/>
                <w:lang w:eastAsia="en-GB"/>
              </w:rPr>
              <w:t xml:space="preserve">Interest and similar income </w:t>
            </w:r>
          </w:p>
        </w:tc>
        <w:tc>
          <w:tcPr>
            <w:tcW w:w="1112" w:type="dxa"/>
            <w:tcBorders>
              <w:top w:val="nil"/>
              <w:left w:val="nil"/>
              <w:bottom w:val="single" w:sz="4" w:space="0" w:color="auto"/>
              <w:right w:val="single" w:sz="4" w:space="0" w:color="auto"/>
            </w:tcBorders>
            <w:shd w:val="clear" w:color="auto" w:fill="auto"/>
            <w:noWrap/>
            <w:vAlign w:val="bottom"/>
            <w:hideMark/>
          </w:tcPr>
          <w:p w14:paraId="7481004F" w14:textId="77777777" w:rsidR="006F6436" w:rsidRPr="006F6436" w:rsidRDefault="006F6436" w:rsidP="006F6436">
            <w:pPr>
              <w:jc w:val="right"/>
              <w:rPr>
                <w:rFonts w:ascii="Cambria" w:eastAsia="Times New Roman" w:hAnsi="Cambria" w:cs="Calibri"/>
                <w:color w:val="000000"/>
                <w:lang w:eastAsia="en-GB"/>
              </w:rPr>
            </w:pPr>
            <w:r w:rsidRPr="006F6436">
              <w:rPr>
                <w:rFonts w:ascii="Cambria" w:eastAsia="Times New Roman" w:hAnsi="Cambria" w:cs="Calibri"/>
                <w:color w:val="000000"/>
                <w:lang w:eastAsia="en-GB"/>
              </w:rPr>
              <w:t>17,569</w:t>
            </w:r>
          </w:p>
        </w:tc>
        <w:tc>
          <w:tcPr>
            <w:tcW w:w="1446" w:type="dxa"/>
            <w:tcBorders>
              <w:top w:val="nil"/>
              <w:left w:val="nil"/>
              <w:bottom w:val="nil"/>
              <w:right w:val="single" w:sz="8" w:space="0" w:color="auto"/>
            </w:tcBorders>
            <w:shd w:val="clear" w:color="auto" w:fill="auto"/>
            <w:noWrap/>
            <w:vAlign w:val="bottom"/>
            <w:hideMark/>
          </w:tcPr>
          <w:p w14:paraId="13F5D1CF" w14:textId="77777777" w:rsidR="006F6436" w:rsidRPr="006F6436" w:rsidRDefault="006F6436" w:rsidP="006F6436">
            <w:pPr>
              <w:jc w:val="right"/>
              <w:rPr>
                <w:rFonts w:ascii="Cambria" w:eastAsia="Times New Roman" w:hAnsi="Cambria" w:cs="Calibri"/>
                <w:color w:val="000000"/>
                <w:lang w:eastAsia="en-GB"/>
              </w:rPr>
            </w:pPr>
            <w:r w:rsidRPr="006F6436">
              <w:rPr>
                <w:rFonts w:ascii="Cambria" w:eastAsia="Times New Roman" w:hAnsi="Cambria" w:cs="Calibri"/>
                <w:color w:val="000000"/>
                <w:lang w:eastAsia="en-GB"/>
              </w:rPr>
              <w:t>20363</w:t>
            </w:r>
          </w:p>
        </w:tc>
      </w:tr>
      <w:tr w:rsidR="006F6436" w:rsidRPr="006F6436" w14:paraId="653E9E97" w14:textId="77777777" w:rsidTr="006F6436">
        <w:trPr>
          <w:divId w:val="2059350777"/>
          <w:trHeight w:val="252"/>
        </w:trPr>
        <w:tc>
          <w:tcPr>
            <w:tcW w:w="5163" w:type="dxa"/>
            <w:tcBorders>
              <w:top w:val="nil"/>
              <w:left w:val="single" w:sz="8" w:space="0" w:color="auto"/>
              <w:bottom w:val="single" w:sz="4" w:space="0" w:color="auto"/>
              <w:right w:val="single" w:sz="4" w:space="0" w:color="auto"/>
            </w:tcBorders>
            <w:shd w:val="clear" w:color="auto" w:fill="auto"/>
            <w:noWrap/>
            <w:vAlign w:val="bottom"/>
            <w:hideMark/>
          </w:tcPr>
          <w:p w14:paraId="102A928E" w14:textId="77777777" w:rsidR="006F6436" w:rsidRPr="006F6436" w:rsidRDefault="006F6436" w:rsidP="006F6436">
            <w:pPr>
              <w:rPr>
                <w:rFonts w:ascii="Cambria" w:eastAsia="Times New Roman" w:hAnsi="Cambria" w:cs="Calibri"/>
                <w:color w:val="000000"/>
                <w:lang w:eastAsia="en-GB"/>
              </w:rPr>
            </w:pPr>
            <w:r w:rsidRPr="006F6436">
              <w:rPr>
                <w:rFonts w:ascii="Cambria" w:eastAsia="Times New Roman" w:hAnsi="Cambria" w:cs="Calibri"/>
                <w:color w:val="000000"/>
                <w:lang w:eastAsia="en-GB"/>
              </w:rPr>
              <w:t xml:space="preserve">Interest and similar expense </w:t>
            </w:r>
          </w:p>
        </w:tc>
        <w:tc>
          <w:tcPr>
            <w:tcW w:w="1112" w:type="dxa"/>
            <w:tcBorders>
              <w:top w:val="nil"/>
              <w:left w:val="nil"/>
              <w:bottom w:val="single" w:sz="4" w:space="0" w:color="auto"/>
              <w:right w:val="single" w:sz="4" w:space="0" w:color="auto"/>
            </w:tcBorders>
            <w:shd w:val="clear" w:color="auto" w:fill="auto"/>
            <w:noWrap/>
            <w:vAlign w:val="bottom"/>
            <w:hideMark/>
          </w:tcPr>
          <w:p w14:paraId="4C450237" w14:textId="77777777" w:rsidR="006F6436" w:rsidRPr="006F6436" w:rsidRDefault="006F6436" w:rsidP="006F6436">
            <w:pPr>
              <w:jc w:val="right"/>
              <w:rPr>
                <w:rFonts w:ascii="Cambria" w:eastAsia="Times New Roman" w:hAnsi="Cambria" w:cs="Calibri"/>
                <w:color w:val="000000"/>
                <w:lang w:eastAsia="en-GB"/>
              </w:rPr>
            </w:pPr>
            <w:r w:rsidRPr="006F6436">
              <w:rPr>
                <w:rFonts w:ascii="Cambria" w:eastAsia="Times New Roman" w:hAnsi="Cambria" w:cs="Calibri"/>
                <w:color w:val="000000"/>
                <w:lang w:eastAsia="en-GB"/>
              </w:rPr>
              <w:t>-9,851</w:t>
            </w:r>
          </w:p>
        </w:tc>
        <w:tc>
          <w:tcPr>
            <w:tcW w:w="1446" w:type="dxa"/>
            <w:tcBorders>
              <w:top w:val="single" w:sz="4" w:space="0" w:color="auto"/>
              <w:left w:val="nil"/>
              <w:bottom w:val="single" w:sz="4" w:space="0" w:color="auto"/>
              <w:right w:val="single" w:sz="8" w:space="0" w:color="auto"/>
            </w:tcBorders>
            <w:shd w:val="clear" w:color="auto" w:fill="auto"/>
            <w:noWrap/>
            <w:vAlign w:val="bottom"/>
            <w:hideMark/>
          </w:tcPr>
          <w:p w14:paraId="0E72CD67" w14:textId="77777777" w:rsidR="006F6436" w:rsidRPr="006F6436" w:rsidRDefault="006F6436" w:rsidP="006F6436">
            <w:pPr>
              <w:jc w:val="right"/>
              <w:rPr>
                <w:rFonts w:ascii="Cambria" w:eastAsia="Times New Roman" w:hAnsi="Cambria" w:cs="Calibri"/>
                <w:color w:val="000000"/>
                <w:lang w:eastAsia="en-GB"/>
              </w:rPr>
            </w:pPr>
            <w:r w:rsidRPr="006F6436">
              <w:rPr>
                <w:rFonts w:ascii="Cambria" w:eastAsia="Times New Roman" w:hAnsi="Cambria" w:cs="Calibri"/>
                <w:color w:val="000000"/>
                <w:lang w:eastAsia="en-GB"/>
              </w:rPr>
              <w:t>-4,600</w:t>
            </w:r>
          </w:p>
        </w:tc>
      </w:tr>
      <w:tr w:rsidR="006F6436" w:rsidRPr="006F6436" w14:paraId="4EE900F0" w14:textId="77777777" w:rsidTr="006F6436">
        <w:trPr>
          <w:divId w:val="2059350777"/>
          <w:trHeight w:val="252"/>
        </w:trPr>
        <w:tc>
          <w:tcPr>
            <w:tcW w:w="5163" w:type="dxa"/>
            <w:tcBorders>
              <w:top w:val="nil"/>
              <w:left w:val="single" w:sz="8" w:space="0" w:color="auto"/>
              <w:bottom w:val="single" w:sz="4" w:space="0" w:color="auto"/>
              <w:right w:val="single" w:sz="4" w:space="0" w:color="auto"/>
            </w:tcBorders>
            <w:shd w:val="clear" w:color="auto" w:fill="auto"/>
            <w:noWrap/>
            <w:vAlign w:val="bottom"/>
            <w:hideMark/>
          </w:tcPr>
          <w:p w14:paraId="2E56ED35" w14:textId="77777777" w:rsidR="006F6436" w:rsidRPr="006F6436" w:rsidRDefault="006F6436" w:rsidP="006F6436">
            <w:pPr>
              <w:rPr>
                <w:rFonts w:ascii="Cambria" w:eastAsia="Times New Roman" w:hAnsi="Cambria" w:cs="Calibri"/>
                <w:b/>
                <w:bCs/>
                <w:color w:val="000000"/>
                <w:lang w:eastAsia="en-GB"/>
              </w:rPr>
            </w:pPr>
            <w:r w:rsidRPr="006F6436">
              <w:rPr>
                <w:rFonts w:ascii="Cambria" w:eastAsia="Times New Roman" w:hAnsi="Cambria" w:cs="Calibri"/>
                <w:b/>
                <w:bCs/>
                <w:color w:val="000000"/>
                <w:lang w:eastAsia="en-GB"/>
              </w:rPr>
              <w:lastRenderedPageBreak/>
              <w:t xml:space="preserve">net interest income </w:t>
            </w:r>
          </w:p>
        </w:tc>
        <w:tc>
          <w:tcPr>
            <w:tcW w:w="1112" w:type="dxa"/>
            <w:tcBorders>
              <w:top w:val="nil"/>
              <w:left w:val="nil"/>
              <w:bottom w:val="single" w:sz="4" w:space="0" w:color="auto"/>
              <w:right w:val="single" w:sz="4" w:space="0" w:color="auto"/>
            </w:tcBorders>
            <w:shd w:val="clear" w:color="auto" w:fill="auto"/>
            <w:noWrap/>
            <w:vAlign w:val="bottom"/>
            <w:hideMark/>
          </w:tcPr>
          <w:p w14:paraId="57D6E8BD" w14:textId="77777777" w:rsidR="006F6436" w:rsidRPr="006F6436" w:rsidRDefault="006F6436" w:rsidP="006F6436">
            <w:pPr>
              <w:jc w:val="right"/>
              <w:rPr>
                <w:rFonts w:ascii="Cambria" w:eastAsia="Times New Roman" w:hAnsi="Cambria" w:cs="Calibri"/>
                <w:b/>
                <w:bCs/>
                <w:color w:val="000000"/>
                <w:lang w:eastAsia="en-GB"/>
              </w:rPr>
            </w:pPr>
            <w:r w:rsidRPr="006F6436">
              <w:rPr>
                <w:rFonts w:ascii="Cambria" w:eastAsia="Times New Roman" w:hAnsi="Cambria" w:cs="Calibri"/>
                <w:b/>
                <w:bCs/>
                <w:color w:val="000000"/>
                <w:lang w:eastAsia="en-GB"/>
              </w:rPr>
              <w:t>7,718</w:t>
            </w:r>
          </w:p>
        </w:tc>
        <w:tc>
          <w:tcPr>
            <w:tcW w:w="1446" w:type="dxa"/>
            <w:tcBorders>
              <w:top w:val="nil"/>
              <w:left w:val="nil"/>
              <w:bottom w:val="single" w:sz="4" w:space="0" w:color="auto"/>
              <w:right w:val="single" w:sz="8" w:space="0" w:color="auto"/>
            </w:tcBorders>
            <w:shd w:val="clear" w:color="auto" w:fill="auto"/>
            <w:noWrap/>
            <w:vAlign w:val="bottom"/>
            <w:hideMark/>
          </w:tcPr>
          <w:p w14:paraId="6AAB765F" w14:textId="77777777" w:rsidR="006F6436" w:rsidRPr="006F6436" w:rsidRDefault="006F6436" w:rsidP="006F6436">
            <w:pPr>
              <w:jc w:val="right"/>
              <w:rPr>
                <w:rFonts w:ascii="Cambria" w:eastAsia="Times New Roman" w:hAnsi="Cambria" w:cs="Calibri"/>
                <w:b/>
                <w:bCs/>
                <w:color w:val="000000"/>
                <w:lang w:eastAsia="en-GB"/>
              </w:rPr>
            </w:pPr>
            <w:r w:rsidRPr="006F6436">
              <w:rPr>
                <w:rFonts w:ascii="Cambria" w:eastAsia="Times New Roman" w:hAnsi="Cambria" w:cs="Calibri"/>
                <w:b/>
                <w:bCs/>
                <w:color w:val="000000"/>
                <w:lang w:eastAsia="en-GB"/>
              </w:rPr>
              <w:t>15,763</w:t>
            </w:r>
          </w:p>
        </w:tc>
      </w:tr>
      <w:tr w:rsidR="006F6436" w:rsidRPr="006F6436" w14:paraId="48A1582A" w14:textId="77777777" w:rsidTr="006F6436">
        <w:trPr>
          <w:divId w:val="2059350777"/>
          <w:trHeight w:val="252"/>
        </w:trPr>
        <w:tc>
          <w:tcPr>
            <w:tcW w:w="5163" w:type="dxa"/>
            <w:tcBorders>
              <w:top w:val="nil"/>
              <w:left w:val="single" w:sz="8" w:space="0" w:color="auto"/>
              <w:bottom w:val="single" w:sz="4" w:space="0" w:color="auto"/>
              <w:right w:val="single" w:sz="4" w:space="0" w:color="auto"/>
            </w:tcBorders>
            <w:shd w:val="clear" w:color="auto" w:fill="auto"/>
            <w:noWrap/>
            <w:vAlign w:val="bottom"/>
            <w:hideMark/>
          </w:tcPr>
          <w:p w14:paraId="5BD5DCA4" w14:textId="77777777" w:rsidR="006F6436" w:rsidRPr="006F6436" w:rsidRDefault="006F6436" w:rsidP="006F6436">
            <w:pPr>
              <w:rPr>
                <w:rFonts w:ascii="Cambria" w:eastAsia="Times New Roman" w:hAnsi="Cambria" w:cs="Calibri"/>
                <w:color w:val="000000"/>
                <w:lang w:eastAsia="en-GB"/>
              </w:rPr>
            </w:pPr>
            <w:r w:rsidRPr="006F6436">
              <w:rPr>
                <w:rFonts w:ascii="Cambria" w:eastAsia="Times New Roman" w:hAnsi="Cambria" w:cs="Calibri"/>
                <w:color w:val="000000"/>
                <w:lang w:eastAsia="en-GB"/>
              </w:rPr>
              <w:t xml:space="preserve">Fee and commission income </w:t>
            </w:r>
          </w:p>
        </w:tc>
        <w:tc>
          <w:tcPr>
            <w:tcW w:w="1112" w:type="dxa"/>
            <w:tcBorders>
              <w:top w:val="nil"/>
              <w:left w:val="nil"/>
              <w:bottom w:val="single" w:sz="4" w:space="0" w:color="auto"/>
              <w:right w:val="single" w:sz="4" w:space="0" w:color="auto"/>
            </w:tcBorders>
            <w:shd w:val="clear" w:color="auto" w:fill="auto"/>
            <w:noWrap/>
            <w:vAlign w:val="bottom"/>
            <w:hideMark/>
          </w:tcPr>
          <w:p w14:paraId="367E572C" w14:textId="77777777" w:rsidR="006F6436" w:rsidRPr="006F6436" w:rsidRDefault="006F6436" w:rsidP="006F6436">
            <w:pPr>
              <w:jc w:val="right"/>
              <w:rPr>
                <w:rFonts w:ascii="Cambria" w:eastAsia="Times New Roman" w:hAnsi="Cambria" w:cs="Calibri"/>
                <w:color w:val="000000"/>
                <w:lang w:eastAsia="en-GB"/>
              </w:rPr>
            </w:pPr>
            <w:r w:rsidRPr="006F6436">
              <w:rPr>
                <w:rFonts w:ascii="Cambria" w:eastAsia="Times New Roman" w:hAnsi="Cambria" w:cs="Calibri"/>
                <w:color w:val="000000"/>
                <w:lang w:eastAsia="en-GB"/>
              </w:rPr>
              <w:t>3,231</w:t>
            </w:r>
          </w:p>
        </w:tc>
        <w:tc>
          <w:tcPr>
            <w:tcW w:w="1446" w:type="dxa"/>
            <w:tcBorders>
              <w:top w:val="nil"/>
              <w:left w:val="nil"/>
              <w:bottom w:val="single" w:sz="4" w:space="0" w:color="auto"/>
              <w:right w:val="single" w:sz="8" w:space="0" w:color="auto"/>
            </w:tcBorders>
            <w:shd w:val="clear" w:color="auto" w:fill="auto"/>
            <w:noWrap/>
            <w:vAlign w:val="bottom"/>
            <w:hideMark/>
          </w:tcPr>
          <w:p w14:paraId="27E2F36D" w14:textId="77777777" w:rsidR="006F6436" w:rsidRPr="006F6436" w:rsidRDefault="006F6436" w:rsidP="006F6436">
            <w:pPr>
              <w:jc w:val="right"/>
              <w:rPr>
                <w:rFonts w:ascii="Cambria" w:eastAsia="Times New Roman" w:hAnsi="Cambria" w:cs="Calibri"/>
                <w:color w:val="000000"/>
                <w:lang w:eastAsia="en-GB"/>
              </w:rPr>
            </w:pPr>
            <w:r w:rsidRPr="006F6436">
              <w:rPr>
                <w:rFonts w:ascii="Cambria" w:eastAsia="Times New Roman" w:hAnsi="Cambria" w:cs="Calibri"/>
                <w:color w:val="000000"/>
                <w:lang w:eastAsia="en-GB"/>
              </w:rPr>
              <w:t>-1,350</w:t>
            </w:r>
          </w:p>
        </w:tc>
      </w:tr>
      <w:tr w:rsidR="006F6436" w:rsidRPr="006F6436" w14:paraId="72FC0EEE" w14:textId="77777777" w:rsidTr="006F6436">
        <w:trPr>
          <w:divId w:val="2059350777"/>
          <w:trHeight w:val="252"/>
        </w:trPr>
        <w:tc>
          <w:tcPr>
            <w:tcW w:w="5163" w:type="dxa"/>
            <w:tcBorders>
              <w:top w:val="nil"/>
              <w:left w:val="single" w:sz="8" w:space="0" w:color="auto"/>
              <w:bottom w:val="single" w:sz="4" w:space="0" w:color="auto"/>
              <w:right w:val="single" w:sz="4" w:space="0" w:color="auto"/>
            </w:tcBorders>
            <w:shd w:val="clear" w:color="auto" w:fill="auto"/>
            <w:noWrap/>
            <w:vAlign w:val="bottom"/>
            <w:hideMark/>
          </w:tcPr>
          <w:p w14:paraId="70C02C9B" w14:textId="77777777" w:rsidR="006F6436" w:rsidRPr="006F6436" w:rsidRDefault="006F6436" w:rsidP="006F6436">
            <w:pPr>
              <w:rPr>
                <w:rFonts w:ascii="Cambria" w:eastAsia="Times New Roman" w:hAnsi="Cambria" w:cs="Calibri"/>
                <w:color w:val="000000"/>
                <w:lang w:eastAsia="en-GB"/>
              </w:rPr>
            </w:pPr>
            <w:r w:rsidRPr="006F6436">
              <w:rPr>
                <w:rFonts w:ascii="Cambria" w:eastAsia="Times New Roman" w:hAnsi="Cambria" w:cs="Calibri"/>
                <w:color w:val="000000"/>
                <w:lang w:eastAsia="en-GB"/>
              </w:rPr>
              <w:t xml:space="preserve">Fee and commission expense </w:t>
            </w:r>
          </w:p>
        </w:tc>
        <w:tc>
          <w:tcPr>
            <w:tcW w:w="1112" w:type="dxa"/>
            <w:tcBorders>
              <w:top w:val="nil"/>
              <w:left w:val="nil"/>
              <w:bottom w:val="single" w:sz="4" w:space="0" w:color="auto"/>
              <w:right w:val="single" w:sz="4" w:space="0" w:color="auto"/>
            </w:tcBorders>
            <w:shd w:val="clear" w:color="auto" w:fill="auto"/>
            <w:noWrap/>
            <w:vAlign w:val="bottom"/>
            <w:hideMark/>
          </w:tcPr>
          <w:p w14:paraId="177C1EFC" w14:textId="77777777" w:rsidR="006F6436" w:rsidRPr="006F6436" w:rsidRDefault="006F6436" w:rsidP="006F6436">
            <w:pPr>
              <w:jc w:val="right"/>
              <w:rPr>
                <w:rFonts w:ascii="Cambria" w:eastAsia="Times New Roman" w:hAnsi="Cambria" w:cs="Calibri"/>
                <w:color w:val="000000"/>
                <w:lang w:eastAsia="en-GB"/>
              </w:rPr>
            </w:pPr>
            <w:r w:rsidRPr="006F6436">
              <w:rPr>
                <w:rFonts w:ascii="Cambria" w:eastAsia="Times New Roman" w:hAnsi="Cambria" w:cs="Calibri"/>
                <w:color w:val="000000"/>
                <w:lang w:eastAsia="en-GB"/>
              </w:rPr>
              <w:t>-694</w:t>
            </w:r>
          </w:p>
        </w:tc>
        <w:tc>
          <w:tcPr>
            <w:tcW w:w="1446" w:type="dxa"/>
            <w:tcBorders>
              <w:top w:val="nil"/>
              <w:left w:val="nil"/>
              <w:bottom w:val="single" w:sz="4" w:space="0" w:color="auto"/>
              <w:right w:val="single" w:sz="8" w:space="0" w:color="auto"/>
            </w:tcBorders>
            <w:shd w:val="clear" w:color="auto" w:fill="auto"/>
            <w:noWrap/>
            <w:vAlign w:val="bottom"/>
            <w:hideMark/>
          </w:tcPr>
          <w:p w14:paraId="0FBD79F3" w14:textId="77777777" w:rsidR="006F6436" w:rsidRPr="006F6436" w:rsidRDefault="006F6436" w:rsidP="006F6436">
            <w:pPr>
              <w:jc w:val="right"/>
              <w:rPr>
                <w:rFonts w:ascii="Cambria" w:eastAsia="Times New Roman" w:hAnsi="Cambria" w:cs="Calibri"/>
                <w:color w:val="000000"/>
                <w:lang w:eastAsia="en-GB"/>
              </w:rPr>
            </w:pPr>
            <w:r w:rsidRPr="006F6436">
              <w:rPr>
                <w:rFonts w:ascii="Cambria" w:eastAsia="Times New Roman" w:hAnsi="Cambria" w:cs="Calibri"/>
                <w:color w:val="000000"/>
                <w:lang w:eastAsia="en-GB"/>
              </w:rPr>
              <w:t>-1,280</w:t>
            </w:r>
          </w:p>
        </w:tc>
      </w:tr>
      <w:tr w:rsidR="006F6436" w:rsidRPr="006F6436" w14:paraId="5886C756" w14:textId="77777777" w:rsidTr="006F6436">
        <w:trPr>
          <w:divId w:val="2059350777"/>
          <w:trHeight w:val="252"/>
        </w:trPr>
        <w:tc>
          <w:tcPr>
            <w:tcW w:w="5163" w:type="dxa"/>
            <w:tcBorders>
              <w:top w:val="nil"/>
              <w:left w:val="single" w:sz="8" w:space="0" w:color="auto"/>
              <w:bottom w:val="single" w:sz="4" w:space="0" w:color="auto"/>
              <w:right w:val="single" w:sz="4" w:space="0" w:color="auto"/>
            </w:tcBorders>
            <w:shd w:val="clear" w:color="auto" w:fill="auto"/>
            <w:noWrap/>
            <w:vAlign w:val="bottom"/>
            <w:hideMark/>
          </w:tcPr>
          <w:p w14:paraId="4AD5AE61" w14:textId="77777777" w:rsidR="006F6436" w:rsidRPr="006F6436" w:rsidRDefault="006F6436" w:rsidP="006F6436">
            <w:pPr>
              <w:rPr>
                <w:rFonts w:ascii="Cambria" w:eastAsia="Times New Roman" w:hAnsi="Cambria" w:cs="Calibri"/>
                <w:color w:val="000000"/>
                <w:lang w:eastAsia="en-GB"/>
              </w:rPr>
            </w:pPr>
            <w:r w:rsidRPr="006F6436">
              <w:rPr>
                <w:rFonts w:ascii="Cambria" w:eastAsia="Times New Roman" w:hAnsi="Cambria" w:cs="Calibri"/>
                <w:color w:val="000000"/>
                <w:lang w:eastAsia="en-GB"/>
              </w:rPr>
              <w:t xml:space="preserve">Net fee and commission income </w:t>
            </w:r>
          </w:p>
        </w:tc>
        <w:tc>
          <w:tcPr>
            <w:tcW w:w="1112" w:type="dxa"/>
            <w:tcBorders>
              <w:top w:val="nil"/>
              <w:left w:val="nil"/>
              <w:bottom w:val="single" w:sz="4" w:space="0" w:color="auto"/>
              <w:right w:val="single" w:sz="4" w:space="0" w:color="auto"/>
            </w:tcBorders>
            <w:shd w:val="clear" w:color="auto" w:fill="auto"/>
            <w:noWrap/>
            <w:vAlign w:val="bottom"/>
            <w:hideMark/>
          </w:tcPr>
          <w:p w14:paraId="028FAB10" w14:textId="77777777" w:rsidR="006F6436" w:rsidRPr="006F6436" w:rsidRDefault="006F6436" w:rsidP="006F6436">
            <w:pPr>
              <w:jc w:val="right"/>
              <w:rPr>
                <w:rFonts w:ascii="Cambria" w:eastAsia="Times New Roman" w:hAnsi="Cambria" w:cs="Calibri"/>
                <w:color w:val="000000"/>
                <w:lang w:eastAsia="en-GB"/>
              </w:rPr>
            </w:pPr>
            <w:r w:rsidRPr="006F6436">
              <w:rPr>
                <w:rFonts w:ascii="Cambria" w:eastAsia="Times New Roman" w:hAnsi="Cambria" w:cs="Calibri"/>
                <w:color w:val="000000"/>
                <w:lang w:eastAsia="en-GB"/>
              </w:rPr>
              <w:t>2,537</w:t>
            </w:r>
          </w:p>
        </w:tc>
        <w:tc>
          <w:tcPr>
            <w:tcW w:w="1446" w:type="dxa"/>
            <w:tcBorders>
              <w:top w:val="nil"/>
              <w:left w:val="nil"/>
              <w:bottom w:val="single" w:sz="4" w:space="0" w:color="auto"/>
              <w:right w:val="single" w:sz="8" w:space="0" w:color="auto"/>
            </w:tcBorders>
            <w:shd w:val="clear" w:color="auto" w:fill="auto"/>
            <w:noWrap/>
            <w:vAlign w:val="bottom"/>
            <w:hideMark/>
          </w:tcPr>
          <w:p w14:paraId="5CA246E6" w14:textId="77777777" w:rsidR="006F6436" w:rsidRPr="006F6436" w:rsidRDefault="006F6436" w:rsidP="006F6436">
            <w:pPr>
              <w:jc w:val="right"/>
              <w:rPr>
                <w:rFonts w:ascii="Cambria" w:eastAsia="Times New Roman" w:hAnsi="Cambria" w:cs="Calibri"/>
                <w:color w:val="000000"/>
                <w:lang w:eastAsia="en-GB"/>
              </w:rPr>
            </w:pPr>
            <w:r w:rsidRPr="006F6436">
              <w:rPr>
                <w:rFonts w:ascii="Cambria" w:eastAsia="Times New Roman" w:hAnsi="Cambria" w:cs="Calibri"/>
                <w:color w:val="000000"/>
                <w:lang w:eastAsia="en-GB"/>
              </w:rPr>
              <w:t>-2,856</w:t>
            </w:r>
          </w:p>
        </w:tc>
      </w:tr>
      <w:tr w:rsidR="006F6436" w:rsidRPr="006F6436" w14:paraId="67958E84" w14:textId="77777777" w:rsidTr="006F6436">
        <w:trPr>
          <w:divId w:val="2059350777"/>
          <w:trHeight w:val="252"/>
        </w:trPr>
        <w:tc>
          <w:tcPr>
            <w:tcW w:w="5163" w:type="dxa"/>
            <w:tcBorders>
              <w:top w:val="nil"/>
              <w:left w:val="single" w:sz="8" w:space="0" w:color="auto"/>
              <w:bottom w:val="single" w:sz="4" w:space="0" w:color="auto"/>
              <w:right w:val="single" w:sz="4" w:space="0" w:color="auto"/>
            </w:tcBorders>
            <w:shd w:val="clear" w:color="auto" w:fill="auto"/>
            <w:noWrap/>
            <w:vAlign w:val="bottom"/>
            <w:hideMark/>
          </w:tcPr>
          <w:p w14:paraId="459A20A8" w14:textId="77777777" w:rsidR="006F6436" w:rsidRPr="006F6436" w:rsidRDefault="006F6436" w:rsidP="006F6436">
            <w:pPr>
              <w:rPr>
                <w:rFonts w:ascii="Cambria" w:eastAsia="Times New Roman" w:hAnsi="Cambria" w:cs="Calibri"/>
                <w:color w:val="000000"/>
                <w:lang w:eastAsia="en-GB"/>
              </w:rPr>
            </w:pPr>
            <w:r w:rsidRPr="006F6436">
              <w:rPr>
                <w:rFonts w:ascii="Cambria" w:eastAsia="Times New Roman" w:hAnsi="Cambria" w:cs="Calibri"/>
                <w:color w:val="000000"/>
                <w:lang w:eastAsia="en-GB"/>
              </w:rPr>
              <w:t xml:space="preserve">Net trading income </w:t>
            </w:r>
          </w:p>
        </w:tc>
        <w:tc>
          <w:tcPr>
            <w:tcW w:w="1112" w:type="dxa"/>
            <w:tcBorders>
              <w:top w:val="nil"/>
              <w:left w:val="nil"/>
              <w:bottom w:val="single" w:sz="4" w:space="0" w:color="auto"/>
              <w:right w:val="single" w:sz="4" w:space="0" w:color="auto"/>
            </w:tcBorders>
            <w:shd w:val="clear" w:color="auto" w:fill="auto"/>
            <w:noWrap/>
            <w:vAlign w:val="bottom"/>
            <w:hideMark/>
          </w:tcPr>
          <w:p w14:paraId="44E3B4E2" w14:textId="77777777" w:rsidR="006F6436" w:rsidRPr="006F6436" w:rsidRDefault="006F6436" w:rsidP="006F6436">
            <w:pPr>
              <w:jc w:val="right"/>
              <w:rPr>
                <w:rFonts w:ascii="Cambria" w:eastAsia="Times New Roman" w:hAnsi="Cambria" w:cs="Calibri"/>
                <w:color w:val="000000"/>
                <w:lang w:eastAsia="en-GB"/>
              </w:rPr>
            </w:pPr>
            <w:r w:rsidRPr="006F6436">
              <w:rPr>
                <w:rFonts w:ascii="Cambria" w:eastAsia="Times New Roman" w:hAnsi="Cambria" w:cs="Calibri"/>
                <w:color w:val="000000"/>
                <w:lang w:eastAsia="en-GB"/>
              </w:rPr>
              <w:t>-9,186</w:t>
            </w:r>
          </w:p>
        </w:tc>
        <w:tc>
          <w:tcPr>
            <w:tcW w:w="1446" w:type="dxa"/>
            <w:tcBorders>
              <w:top w:val="nil"/>
              <w:left w:val="nil"/>
              <w:bottom w:val="single" w:sz="4" w:space="0" w:color="auto"/>
              <w:right w:val="single" w:sz="8" w:space="0" w:color="auto"/>
            </w:tcBorders>
            <w:shd w:val="clear" w:color="auto" w:fill="auto"/>
            <w:noWrap/>
            <w:vAlign w:val="bottom"/>
            <w:hideMark/>
          </w:tcPr>
          <w:p w14:paraId="6E9F127F" w14:textId="77777777" w:rsidR="006F6436" w:rsidRPr="006F6436" w:rsidRDefault="006F6436" w:rsidP="006F6436">
            <w:pPr>
              <w:jc w:val="right"/>
              <w:rPr>
                <w:rFonts w:ascii="Cambria" w:eastAsia="Times New Roman" w:hAnsi="Cambria" w:cs="Calibri"/>
                <w:color w:val="000000"/>
                <w:lang w:eastAsia="en-GB"/>
              </w:rPr>
            </w:pPr>
            <w:r w:rsidRPr="006F6436">
              <w:rPr>
                <w:rFonts w:ascii="Cambria" w:eastAsia="Times New Roman" w:hAnsi="Cambria" w:cs="Calibri"/>
                <w:color w:val="000000"/>
                <w:lang w:eastAsia="en-GB"/>
              </w:rPr>
              <w:t>-895</w:t>
            </w:r>
          </w:p>
        </w:tc>
      </w:tr>
      <w:tr w:rsidR="006F6436" w:rsidRPr="006F6436" w14:paraId="2BACA0A7" w14:textId="77777777" w:rsidTr="006F6436">
        <w:trPr>
          <w:divId w:val="2059350777"/>
          <w:trHeight w:val="252"/>
        </w:trPr>
        <w:tc>
          <w:tcPr>
            <w:tcW w:w="5163" w:type="dxa"/>
            <w:tcBorders>
              <w:top w:val="nil"/>
              <w:left w:val="single" w:sz="8" w:space="0" w:color="auto"/>
              <w:bottom w:val="single" w:sz="4" w:space="0" w:color="auto"/>
              <w:right w:val="single" w:sz="4" w:space="0" w:color="auto"/>
            </w:tcBorders>
            <w:shd w:val="clear" w:color="auto" w:fill="auto"/>
            <w:noWrap/>
            <w:vAlign w:val="bottom"/>
            <w:hideMark/>
          </w:tcPr>
          <w:p w14:paraId="6F894BDF" w14:textId="77777777" w:rsidR="006F6436" w:rsidRPr="006F6436" w:rsidRDefault="006F6436" w:rsidP="006F6436">
            <w:pPr>
              <w:rPr>
                <w:rFonts w:ascii="Cambria" w:eastAsia="Times New Roman" w:hAnsi="Cambria" w:cs="Calibri"/>
                <w:color w:val="000000"/>
                <w:lang w:eastAsia="en-GB"/>
              </w:rPr>
            </w:pPr>
            <w:r w:rsidRPr="006F6436">
              <w:rPr>
                <w:rFonts w:ascii="Cambria" w:eastAsia="Times New Roman" w:hAnsi="Cambria" w:cs="Calibri"/>
                <w:color w:val="000000"/>
                <w:lang w:eastAsia="en-GB"/>
              </w:rPr>
              <w:t xml:space="preserve">Insurance premium income </w:t>
            </w:r>
          </w:p>
        </w:tc>
        <w:tc>
          <w:tcPr>
            <w:tcW w:w="1112" w:type="dxa"/>
            <w:tcBorders>
              <w:top w:val="nil"/>
              <w:left w:val="nil"/>
              <w:bottom w:val="single" w:sz="4" w:space="0" w:color="auto"/>
              <w:right w:val="single" w:sz="4" w:space="0" w:color="auto"/>
            </w:tcBorders>
            <w:shd w:val="clear" w:color="auto" w:fill="auto"/>
            <w:noWrap/>
            <w:vAlign w:val="bottom"/>
            <w:hideMark/>
          </w:tcPr>
          <w:p w14:paraId="013095C3" w14:textId="77777777" w:rsidR="006F6436" w:rsidRPr="006F6436" w:rsidRDefault="006F6436" w:rsidP="006F6436">
            <w:pPr>
              <w:jc w:val="right"/>
              <w:rPr>
                <w:rFonts w:ascii="Cambria" w:eastAsia="Times New Roman" w:hAnsi="Cambria" w:cs="Calibri"/>
                <w:color w:val="000000"/>
                <w:lang w:eastAsia="en-GB"/>
              </w:rPr>
            </w:pPr>
            <w:r w:rsidRPr="006F6436">
              <w:rPr>
                <w:rFonts w:ascii="Cambria" w:eastAsia="Times New Roman" w:hAnsi="Cambria" w:cs="Calibri"/>
                <w:color w:val="000000"/>
                <w:lang w:eastAsia="en-GB"/>
              </w:rPr>
              <w:t>5,412</w:t>
            </w:r>
          </w:p>
        </w:tc>
        <w:tc>
          <w:tcPr>
            <w:tcW w:w="1446" w:type="dxa"/>
            <w:tcBorders>
              <w:top w:val="nil"/>
              <w:left w:val="nil"/>
              <w:bottom w:val="single" w:sz="4" w:space="0" w:color="auto"/>
              <w:right w:val="single" w:sz="8" w:space="0" w:color="auto"/>
            </w:tcBorders>
            <w:shd w:val="clear" w:color="auto" w:fill="auto"/>
            <w:noWrap/>
            <w:vAlign w:val="bottom"/>
            <w:hideMark/>
          </w:tcPr>
          <w:p w14:paraId="3FEE151C" w14:textId="77777777" w:rsidR="006F6436" w:rsidRPr="006F6436" w:rsidRDefault="006F6436" w:rsidP="006F6436">
            <w:pPr>
              <w:jc w:val="right"/>
              <w:rPr>
                <w:rFonts w:ascii="Cambria" w:eastAsia="Times New Roman" w:hAnsi="Cambria" w:cs="Calibri"/>
                <w:color w:val="000000"/>
                <w:lang w:eastAsia="en-GB"/>
              </w:rPr>
            </w:pPr>
            <w:r w:rsidRPr="006F6436">
              <w:rPr>
                <w:rFonts w:ascii="Cambria" w:eastAsia="Times New Roman" w:hAnsi="Cambria" w:cs="Calibri"/>
                <w:color w:val="000000"/>
                <w:lang w:eastAsia="en-GB"/>
              </w:rPr>
              <w:t>-948</w:t>
            </w:r>
          </w:p>
        </w:tc>
      </w:tr>
      <w:tr w:rsidR="006F6436" w:rsidRPr="006F6436" w14:paraId="5EBAE249" w14:textId="77777777" w:rsidTr="006F6436">
        <w:trPr>
          <w:divId w:val="2059350777"/>
          <w:trHeight w:val="252"/>
        </w:trPr>
        <w:tc>
          <w:tcPr>
            <w:tcW w:w="5163" w:type="dxa"/>
            <w:tcBorders>
              <w:top w:val="nil"/>
              <w:left w:val="single" w:sz="8" w:space="0" w:color="auto"/>
              <w:bottom w:val="single" w:sz="4" w:space="0" w:color="auto"/>
              <w:right w:val="single" w:sz="4" w:space="0" w:color="auto"/>
            </w:tcBorders>
            <w:shd w:val="clear" w:color="auto" w:fill="auto"/>
            <w:noWrap/>
            <w:vAlign w:val="bottom"/>
            <w:hideMark/>
          </w:tcPr>
          <w:p w14:paraId="189BDE91" w14:textId="77777777" w:rsidR="006F6436" w:rsidRPr="006F6436" w:rsidRDefault="006F6436" w:rsidP="006F6436">
            <w:pPr>
              <w:rPr>
                <w:rFonts w:ascii="Cambria" w:eastAsia="Times New Roman" w:hAnsi="Cambria" w:cs="Calibri"/>
                <w:color w:val="000000"/>
                <w:lang w:eastAsia="en-GB"/>
              </w:rPr>
            </w:pPr>
            <w:r w:rsidRPr="006F6436">
              <w:rPr>
                <w:rFonts w:ascii="Cambria" w:eastAsia="Times New Roman" w:hAnsi="Cambria" w:cs="Calibri"/>
                <w:color w:val="000000"/>
                <w:lang w:eastAsia="en-GB"/>
              </w:rPr>
              <w:t xml:space="preserve">Other operating income </w:t>
            </w:r>
          </w:p>
        </w:tc>
        <w:tc>
          <w:tcPr>
            <w:tcW w:w="1112" w:type="dxa"/>
            <w:tcBorders>
              <w:top w:val="nil"/>
              <w:left w:val="nil"/>
              <w:bottom w:val="single" w:sz="4" w:space="0" w:color="auto"/>
              <w:right w:val="single" w:sz="4" w:space="0" w:color="auto"/>
            </w:tcBorders>
            <w:shd w:val="clear" w:color="auto" w:fill="auto"/>
            <w:noWrap/>
            <w:vAlign w:val="bottom"/>
            <w:hideMark/>
          </w:tcPr>
          <w:p w14:paraId="2EB6277C" w14:textId="77777777" w:rsidR="006F6436" w:rsidRPr="006F6436" w:rsidRDefault="006F6436" w:rsidP="006F6436">
            <w:pPr>
              <w:jc w:val="right"/>
              <w:rPr>
                <w:rFonts w:ascii="Cambria" w:eastAsia="Times New Roman" w:hAnsi="Cambria" w:cs="Calibri"/>
                <w:color w:val="000000"/>
                <w:lang w:eastAsia="en-GB"/>
              </w:rPr>
            </w:pPr>
            <w:r w:rsidRPr="006F6436">
              <w:rPr>
                <w:rFonts w:ascii="Cambria" w:eastAsia="Times New Roman" w:hAnsi="Cambria" w:cs="Calibri"/>
                <w:color w:val="000000"/>
                <w:lang w:eastAsia="en-GB"/>
              </w:rPr>
              <w:t>532</w:t>
            </w:r>
          </w:p>
        </w:tc>
        <w:tc>
          <w:tcPr>
            <w:tcW w:w="1446" w:type="dxa"/>
            <w:tcBorders>
              <w:top w:val="nil"/>
              <w:left w:val="nil"/>
              <w:bottom w:val="single" w:sz="4" w:space="0" w:color="auto"/>
              <w:right w:val="single" w:sz="8" w:space="0" w:color="auto"/>
            </w:tcBorders>
            <w:shd w:val="clear" w:color="auto" w:fill="auto"/>
            <w:noWrap/>
            <w:vAlign w:val="bottom"/>
            <w:hideMark/>
          </w:tcPr>
          <w:p w14:paraId="1D158C7A" w14:textId="77777777" w:rsidR="006F6436" w:rsidRPr="006F6436" w:rsidRDefault="006F6436" w:rsidP="006F6436">
            <w:pPr>
              <w:rPr>
                <w:rFonts w:ascii="Cambria" w:eastAsia="Times New Roman" w:hAnsi="Cambria" w:cs="Calibri"/>
                <w:color w:val="000000"/>
                <w:lang w:eastAsia="en-GB"/>
              </w:rPr>
            </w:pPr>
            <w:r w:rsidRPr="006F6436">
              <w:rPr>
                <w:rFonts w:ascii="Cambria" w:eastAsia="Times New Roman" w:hAnsi="Cambria" w:cs="Calibri"/>
                <w:color w:val="000000"/>
                <w:lang w:eastAsia="en-GB"/>
              </w:rPr>
              <w:t>-</w:t>
            </w:r>
          </w:p>
        </w:tc>
      </w:tr>
      <w:tr w:rsidR="006F6436" w:rsidRPr="006F6436" w14:paraId="432757E7" w14:textId="77777777" w:rsidTr="006F6436">
        <w:trPr>
          <w:divId w:val="2059350777"/>
          <w:trHeight w:val="252"/>
        </w:trPr>
        <w:tc>
          <w:tcPr>
            <w:tcW w:w="5163" w:type="dxa"/>
            <w:tcBorders>
              <w:top w:val="nil"/>
              <w:left w:val="single" w:sz="8" w:space="0" w:color="auto"/>
              <w:bottom w:val="single" w:sz="4" w:space="0" w:color="auto"/>
              <w:right w:val="single" w:sz="4" w:space="0" w:color="auto"/>
            </w:tcBorders>
            <w:shd w:val="clear" w:color="auto" w:fill="auto"/>
            <w:noWrap/>
            <w:vAlign w:val="bottom"/>
            <w:hideMark/>
          </w:tcPr>
          <w:p w14:paraId="4287ECAD" w14:textId="77777777" w:rsidR="006F6436" w:rsidRPr="006F6436" w:rsidRDefault="006F6436" w:rsidP="006F6436">
            <w:pPr>
              <w:rPr>
                <w:rFonts w:ascii="Cambria" w:eastAsia="Times New Roman" w:hAnsi="Cambria" w:cs="Calibri"/>
                <w:b/>
                <w:bCs/>
                <w:color w:val="000000"/>
                <w:lang w:eastAsia="en-GB"/>
              </w:rPr>
            </w:pPr>
            <w:r w:rsidRPr="006F6436">
              <w:rPr>
                <w:rFonts w:ascii="Cambria" w:eastAsia="Times New Roman" w:hAnsi="Cambria" w:cs="Calibri"/>
                <w:b/>
                <w:bCs/>
                <w:color w:val="000000"/>
                <w:lang w:eastAsia="en-GB"/>
              </w:rPr>
              <w:t xml:space="preserve">other income </w:t>
            </w:r>
          </w:p>
        </w:tc>
        <w:tc>
          <w:tcPr>
            <w:tcW w:w="1112" w:type="dxa"/>
            <w:tcBorders>
              <w:top w:val="nil"/>
              <w:left w:val="nil"/>
              <w:bottom w:val="single" w:sz="4" w:space="0" w:color="auto"/>
              <w:right w:val="single" w:sz="4" w:space="0" w:color="auto"/>
            </w:tcBorders>
            <w:shd w:val="clear" w:color="auto" w:fill="auto"/>
            <w:noWrap/>
            <w:vAlign w:val="bottom"/>
            <w:hideMark/>
          </w:tcPr>
          <w:p w14:paraId="738F80BC" w14:textId="77777777" w:rsidR="006F6436" w:rsidRPr="006F6436" w:rsidRDefault="006F6436" w:rsidP="006F6436">
            <w:pPr>
              <w:jc w:val="right"/>
              <w:rPr>
                <w:rFonts w:ascii="Cambria" w:eastAsia="Times New Roman" w:hAnsi="Cambria" w:cs="Calibri"/>
                <w:color w:val="000000"/>
                <w:lang w:eastAsia="en-GB"/>
              </w:rPr>
            </w:pPr>
            <w:r w:rsidRPr="006F6436">
              <w:rPr>
                <w:rFonts w:ascii="Cambria" w:eastAsia="Times New Roman" w:hAnsi="Cambria" w:cs="Calibri"/>
                <w:color w:val="000000"/>
                <w:lang w:eastAsia="en-GB"/>
              </w:rPr>
              <w:t>-705</w:t>
            </w:r>
          </w:p>
        </w:tc>
        <w:tc>
          <w:tcPr>
            <w:tcW w:w="1446" w:type="dxa"/>
            <w:tcBorders>
              <w:top w:val="nil"/>
              <w:left w:val="nil"/>
              <w:bottom w:val="single" w:sz="4" w:space="0" w:color="auto"/>
              <w:right w:val="single" w:sz="8" w:space="0" w:color="auto"/>
            </w:tcBorders>
            <w:shd w:val="clear" w:color="auto" w:fill="auto"/>
            <w:noWrap/>
            <w:vAlign w:val="bottom"/>
            <w:hideMark/>
          </w:tcPr>
          <w:p w14:paraId="634AAEF8" w14:textId="77777777" w:rsidR="006F6436" w:rsidRPr="006F6436" w:rsidRDefault="006F6436" w:rsidP="006F6436">
            <w:pPr>
              <w:jc w:val="right"/>
              <w:rPr>
                <w:rFonts w:ascii="Cambria" w:eastAsia="Times New Roman" w:hAnsi="Cambria" w:cs="Calibri"/>
                <w:color w:val="000000"/>
                <w:lang w:eastAsia="en-GB"/>
              </w:rPr>
            </w:pPr>
            <w:r w:rsidRPr="006F6436">
              <w:rPr>
                <w:rFonts w:ascii="Cambria" w:eastAsia="Times New Roman" w:hAnsi="Cambria" w:cs="Calibri"/>
                <w:color w:val="000000"/>
                <w:lang w:eastAsia="en-GB"/>
              </w:rPr>
              <w:t>-301</w:t>
            </w:r>
          </w:p>
        </w:tc>
      </w:tr>
      <w:tr w:rsidR="006F6436" w:rsidRPr="006F6436" w14:paraId="345A476B" w14:textId="77777777" w:rsidTr="006F6436">
        <w:trPr>
          <w:divId w:val="2059350777"/>
          <w:trHeight w:val="252"/>
        </w:trPr>
        <w:tc>
          <w:tcPr>
            <w:tcW w:w="5163" w:type="dxa"/>
            <w:tcBorders>
              <w:top w:val="nil"/>
              <w:left w:val="single" w:sz="8" w:space="0" w:color="auto"/>
              <w:bottom w:val="single" w:sz="4" w:space="0" w:color="auto"/>
              <w:right w:val="single" w:sz="4" w:space="0" w:color="auto"/>
            </w:tcBorders>
            <w:shd w:val="clear" w:color="auto" w:fill="auto"/>
            <w:noWrap/>
            <w:vAlign w:val="bottom"/>
            <w:hideMark/>
          </w:tcPr>
          <w:p w14:paraId="576423C4" w14:textId="77777777" w:rsidR="006F6436" w:rsidRPr="006F6436" w:rsidRDefault="006F6436" w:rsidP="006F6436">
            <w:pPr>
              <w:rPr>
                <w:rFonts w:ascii="Cambria" w:eastAsia="Times New Roman" w:hAnsi="Cambria" w:cs="Calibri"/>
                <w:b/>
                <w:bCs/>
                <w:color w:val="000000"/>
                <w:lang w:eastAsia="en-GB"/>
              </w:rPr>
            </w:pPr>
            <w:r w:rsidRPr="006F6436">
              <w:rPr>
                <w:rFonts w:ascii="Cambria" w:eastAsia="Times New Roman" w:hAnsi="Cambria" w:cs="Calibri"/>
                <w:b/>
                <w:bCs/>
                <w:color w:val="000000"/>
                <w:lang w:eastAsia="en-GB"/>
              </w:rPr>
              <w:t xml:space="preserve">Total income </w:t>
            </w:r>
          </w:p>
        </w:tc>
        <w:tc>
          <w:tcPr>
            <w:tcW w:w="1112" w:type="dxa"/>
            <w:tcBorders>
              <w:top w:val="nil"/>
              <w:left w:val="nil"/>
              <w:bottom w:val="single" w:sz="4" w:space="0" w:color="auto"/>
              <w:right w:val="single" w:sz="4" w:space="0" w:color="auto"/>
            </w:tcBorders>
            <w:shd w:val="clear" w:color="auto" w:fill="auto"/>
            <w:noWrap/>
            <w:vAlign w:val="bottom"/>
            <w:hideMark/>
          </w:tcPr>
          <w:p w14:paraId="37BCF0CB" w14:textId="77777777" w:rsidR="006F6436" w:rsidRPr="006F6436" w:rsidRDefault="006F6436" w:rsidP="006F6436">
            <w:pPr>
              <w:jc w:val="right"/>
              <w:rPr>
                <w:rFonts w:ascii="Cambria" w:eastAsia="Times New Roman" w:hAnsi="Cambria" w:cs="Calibri"/>
                <w:b/>
                <w:bCs/>
                <w:color w:val="000000"/>
                <w:lang w:eastAsia="en-GB"/>
              </w:rPr>
            </w:pPr>
            <w:r w:rsidRPr="006F6436">
              <w:rPr>
                <w:rFonts w:ascii="Cambria" w:eastAsia="Times New Roman" w:hAnsi="Cambria" w:cs="Calibri"/>
                <w:b/>
                <w:bCs/>
                <w:color w:val="000000"/>
                <w:lang w:eastAsia="en-GB"/>
              </w:rPr>
              <w:t>7,013</w:t>
            </w:r>
          </w:p>
        </w:tc>
        <w:tc>
          <w:tcPr>
            <w:tcW w:w="1446" w:type="dxa"/>
            <w:tcBorders>
              <w:top w:val="nil"/>
              <w:left w:val="nil"/>
              <w:bottom w:val="single" w:sz="4" w:space="0" w:color="auto"/>
              <w:right w:val="single" w:sz="8" w:space="0" w:color="auto"/>
            </w:tcBorders>
            <w:shd w:val="clear" w:color="auto" w:fill="auto"/>
            <w:noWrap/>
            <w:vAlign w:val="bottom"/>
            <w:hideMark/>
          </w:tcPr>
          <w:p w14:paraId="666E665F" w14:textId="77777777" w:rsidR="006F6436" w:rsidRPr="006F6436" w:rsidRDefault="006F6436" w:rsidP="006F6436">
            <w:pPr>
              <w:jc w:val="right"/>
              <w:rPr>
                <w:rFonts w:ascii="Cambria" w:eastAsia="Times New Roman" w:hAnsi="Cambria" w:cs="Calibri"/>
                <w:b/>
                <w:bCs/>
                <w:color w:val="000000"/>
                <w:lang w:eastAsia="en-GB"/>
              </w:rPr>
            </w:pPr>
            <w:r w:rsidRPr="006F6436">
              <w:rPr>
                <w:rFonts w:ascii="Cambria" w:eastAsia="Times New Roman" w:hAnsi="Cambria" w:cs="Calibri"/>
                <w:b/>
                <w:bCs/>
                <w:color w:val="000000"/>
                <w:lang w:eastAsia="en-GB"/>
              </w:rPr>
              <w:t>8,133</w:t>
            </w:r>
          </w:p>
        </w:tc>
      </w:tr>
      <w:tr w:rsidR="006F6436" w:rsidRPr="006F6436" w14:paraId="68D5EADD" w14:textId="77777777" w:rsidTr="006F6436">
        <w:trPr>
          <w:divId w:val="2059350777"/>
          <w:trHeight w:val="252"/>
        </w:trPr>
        <w:tc>
          <w:tcPr>
            <w:tcW w:w="5163" w:type="dxa"/>
            <w:tcBorders>
              <w:top w:val="nil"/>
              <w:left w:val="single" w:sz="8" w:space="0" w:color="auto"/>
              <w:bottom w:val="single" w:sz="4" w:space="0" w:color="auto"/>
              <w:right w:val="single" w:sz="4" w:space="0" w:color="auto"/>
            </w:tcBorders>
            <w:shd w:val="clear" w:color="auto" w:fill="auto"/>
            <w:noWrap/>
            <w:vAlign w:val="bottom"/>
            <w:hideMark/>
          </w:tcPr>
          <w:p w14:paraId="0672A5D9" w14:textId="77777777" w:rsidR="006F6436" w:rsidRPr="006F6436" w:rsidRDefault="006F6436" w:rsidP="006F6436">
            <w:pPr>
              <w:rPr>
                <w:rFonts w:ascii="Cambria" w:eastAsia="Times New Roman" w:hAnsi="Cambria" w:cs="Calibri"/>
                <w:color w:val="000000"/>
                <w:lang w:eastAsia="en-GB"/>
              </w:rPr>
            </w:pPr>
            <w:r w:rsidRPr="006F6436">
              <w:rPr>
                <w:rFonts w:ascii="Cambria" w:eastAsia="Times New Roman" w:hAnsi="Cambria" w:cs="Calibri"/>
                <w:color w:val="000000"/>
                <w:lang w:eastAsia="en-GB"/>
              </w:rPr>
              <w:t xml:space="preserve">Insurance claims </w:t>
            </w:r>
          </w:p>
        </w:tc>
        <w:tc>
          <w:tcPr>
            <w:tcW w:w="1112" w:type="dxa"/>
            <w:tcBorders>
              <w:top w:val="nil"/>
              <w:left w:val="nil"/>
              <w:bottom w:val="single" w:sz="4" w:space="0" w:color="auto"/>
              <w:right w:val="single" w:sz="4" w:space="0" w:color="auto"/>
            </w:tcBorders>
            <w:shd w:val="clear" w:color="auto" w:fill="auto"/>
            <w:noWrap/>
            <w:vAlign w:val="bottom"/>
            <w:hideMark/>
          </w:tcPr>
          <w:p w14:paraId="77511E5D" w14:textId="77777777" w:rsidR="006F6436" w:rsidRPr="006F6436" w:rsidRDefault="006F6436" w:rsidP="006F6436">
            <w:pPr>
              <w:jc w:val="right"/>
              <w:rPr>
                <w:rFonts w:ascii="Cambria" w:eastAsia="Times New Roman" w:hAnsi="Cambria" w:cs="Calibri"/>
                <w:color w:val="000000"/>
                <w:lang w:eastAsia="en-GB"/>
              </w:rPr>
            </w:pPr>
            <w:r w:rsidRPr="006F6436">
              <w:rPr>
                <w:rFonts w:ascii="Cambria" w:eastAsia="Times New Roman" w:hAnsi="Cambria" w:cs="Calibri"/>
                <w:color w:val="000000"/>
                <w:lang w:eastAsia="en-GB"/>
              </w:rPr>
              <w:t>2,859</w:t>
            </w:r>
          </w:p>
        </w:tc>
        <w:tc>
          <w:tcPr>
            <w:tcW w:w="1446" w:type="dxa"/>
            <w:tcBorders>
              <w:top w:val="nil"/>
              <w:left w:val="nil"/>
              <w:bottom w:val="single" w:sz="4" w:space="0" w:color="auto"/>
              <w:right w:val="single" w:sz="8" w:space="0" w:color="auto"/>
            </w:tcBorders>
            <w:shd w:val="clear" w:color="auto" w:fill="auto"/>
            <w:noWrap/>
            <w:vAlign w:val="bottom"/>
            <w:hideMark/>
          </w:tcPr>
          <w:p w14:paraId="7E06E040" w14:textId="77777777" w:rsidR="006F6436" w:rsidRPr="006F6436" w:rsidRDefault="006F6436" w:rsidP="006F6436">
            <w:pPr>
              <w:jc w:val="right"/>
              <w:rPr>
                <w:rFonts w:ascii="Cambria" w:eastAsia="Times New Roman" w:hAnsi="Cambria" w:cs="Calibri"/>
                <w:color w:val="000000"/>
                <w:lang w:eastAsia="en-GB"/>
              </w:rPr>
            </w:pPr>
            <w:r w:rsidRPr="006F6436">
              <w:rPr>
                <w:rFonts w:ascii="Cambria" w:eastAsia="Times New Roman" w:hAnsi="Cambria" w:cs="Calibri"/>
                <w:color w:val="000000"/>
                <w:lang w:eastAsia="en-GB"/>
              </w:rPr>
              <w:t>6,902</w:t>
            </w:r>
          </w:p>
        </w:tc>
      </w:tr>
      <w:tr w:rsidR="006F6436" w:rsidRPr="006F6436" w14:paraId="7FD7BA5A" w14:textId="77777777" w:rsidTr="006F6436">
        <w:trPr>
          <w:divId w:val="2059350777"/>
          <w:trHeight w:val="252"/>
        </w:trPr>
        <w:tc>
          <w:tcPr>
            <w:tcW w:w="5163" w:type="dxa"/>
            <w:tcBorders>
              <w:top w:val="nil"/>
              <w:left w:val="single" w:sz="8" w:space="0" w:color="auto"/>
              <w:bottom w:val="single" w:sz="4" w:space="0" w:color="auto"/>
              <w:right w:val="single" w:sz="4" w:space="0" w:color="auto"/>
            </w:tcBorders>
            <w:shd w:val="clear" w:color="auto" w:fill="auto"/>
            <w:noWrap/>
            <w:vAlign w:val="bottom"/>
            <w:hideMark/>
          </w:tcPr>
          <w:p w14:paraId="71A0049D" w14:textId="77777777" w:rsidR="006F6436" w:rsidRPr="006F6436" w:rsidRDefault="006F6436" w:rsidP="006F6436">
            <w:pPr>
              <w:rPr>
                <w:rFonts w:ascii="Cambria" w:eastAsia="Times New Roman" w:hAnsi="Cambria" w:cs="Calibri"/>
                <w:b/>
                <w:bCs/>
                <w:color w:val="000000"/>
                <w:lang w:eastAsia="en-GB"/>
              </w:rPr>
            </w:pPr>
            <w:r w:rsidRPr="006F6436">
              <w:rPr>
                <w:rFonts w:ascii="Cambria" w:eastAsia="Times New Roman" w:hAnsi="Cambria" w:cs="Calibri"/>
                <w:b/>
                <w:bCs/>
                <w:color w:val="000000"/>
                <w:lang w:eastAsia="en-GB"/>
              </w:rPr>
              <w:t xml:space="preserve">Total income, net of insurance claims </w:t>
            </w:r>
          </w:p>
        </w:tc>
        <w:tc>
          <w:tcPr>
            <w:tcW w:w="1112" w:type="dxa"/>
            <w:tcBorders>
              <w:top w:val="nil"/>
              <w:left w:val="nil"/>
              <w:bottom w:val="single" w:sz="4" w:space="0" w:color="auto"/>
              <w:right w:val="single" w:sz="4" w:space="0" w:color="auto"/>
            </w:tcBorders>
            <w:shd w:val="clear" w:color="auto" w:fill="auto"/>
            <w:noWrap/>
            <w:vAlign w:val="bottom"/>
            <w:hideMark/>
          </w:tcPr>
          <w:p w14:paraId="22DDDD31" w14:textId="77777777" w:rsidR="006F6436" w:rsidRPr="006F6436" w:rsidRDefault="006F6436" w:rsidP="006F6436">
            <w:pPr>
              <w:jc w:val="right"/>
              <w:rPr>
                <w:rFonts w:ascii="Cambria" w:eastAsia="Times New Roman" w:hAnsi="Cambria" w:cs="Calibri"/>
                <w:b/>
                <w:bCs/>
                <w:color w:val="000000"/>
                <w:lang w:eastAsia="en-GB"/>
              </w:rPr>
            </w:pPr>
            <w:r w:rsidRPr="006F6436">
              <w:rPr>
                <w:rFonts w:ascii="Cambria" w:eastAsia="Times New Roman" w:hAnsi="Cambria" w:cs="Calibri"/>
                <w:b/>
                <w:bCs/>
                <w:color w:val="000000"/>
                <w:lang w:eastAsia="en-GB"/>
              </w:rPr>
              <w:t>9,872</w:t>
            </w:r>
          </w:p>
        </w:tc>
        <w:tc>
          <w:tcPr>
            <w:tcW w:w="1446" w:type="dxa"/>
            <w:tcBorders>
              <w:top w:val="nil"/>
              <w:left w:val="nil"/>
              <w:bottom w:val="single" w:sz="4" w:space="0" w:color="auto"/>
              <w:right w:val="single" w:sz="8" w:space="0" w:color="auto"/>
            </w:tcBorders>
            <w:shd w:val="clear" w:color="auto" w:fill="auto"/>
            <w:noWrap/>
            <w:vAlign w:val="bottom"/>
            <w:hideMark/>
          </w:tcPr>
          <w:p w14:paraId="347B78D8" w14:textId="77777777" w:rsidR="006F6436" w:rsidRPr="006F6436" w:rsidRDefault="006F6436" w:rsidP="006F6436">
            <w:pPr>
              <w:jc w:val="right"/>
              <w:rPr>
                <w:rFonts w:ascii="Cambria" w:eastAsia="Times New Roman" w:hAnsi="Cambria" w:cs="Calibri"/>
                <w:b/>
                <w:bCs/>
                <w:color w:val="000000"/>
                <w:lang w:eastAsia="en-GB"/>
              </w:rPr>
            </w:pPr>
            <w:r w:rsidRPr="006F6436">
              <w:rPr>
                <w:rFonts w:ascii="Cambria" w:eastAsia="Times New Roman" w:hAnsi="Cambria" w:cs="Calibri"/>
                <w:b/>
                <w:bCs/>
                <w:color w:val="000000"/>
                <w:lang w:eastAsia="en-GB"/>
              </w:rPr>
              <w:t>15,035</w:t>
            </w:r>
          </w:p>
        </w:tc>
      </w:tr>
      <w:tr w:rsidR="006F6436" w:rsidRPr="006F6436" w14:paraId="45E512F8" w14:textId="77777777" w:rsidTr="006F6436">
        <w:trPr>
          <w:divId w:val="2059350777"/>
          <w:trHeight w:val="252"/>
        </w:trPr>
        <w:tc>
          <w:tcPr>
            <w:tcW w:w="5163" w:type="dxa"/>
            <w:tcBorders>
              <w:top w:val="nil"/>
              <w:left w:val="single" w:sz="8" w:space="0" w:color="auto"/>
              <w:bottom w:val="single" w:sz="4" w:space="0" w:color="auto"/>
              <w:right w:val="single" w:sz="4" w:space="0" w:color="auto"/>
            </w:tcBorders>
            <w:shd w:val="clear" w:color="auto" w:fill="auto"/>
            <w:noWrap/>
            <w:vAlign w:val="bottom"/>
            <w:hideMark/>
          </w:tcPr>
          <w:p w14:paraId="1214FE44" w14:textId="77777777" w:rsidR="006F6436" w:rsidRPr="006F6436" w:rsidRDefault="006F6436" w:rsidP="006F6436">
            <w:pPr>
              <w:rPr>
                <w:rFonts w:ascii="Cambria" w:eastAsia="Times New Roman" w:hAnsi="Cambria" w:cs="Calibri"/>
                <w:color w:val="000000"/>
                <w:lang w:eastAsia="en-GB"/>
              </w:rPr>
            </w:pPr>
            <w:r w:rsidRPr="006F6436">
              <w:rPr>
                <w:rFonts w:ascii="Cambria" w:eastAsia="Times New Roman" w:hAnsi="Cambria" w:cs="Calibri"/>
                <w:color w:val="000000"/>
                <w:lang w:eastAsia="en-GB"/>
              </w:rPr>
              <w:t xml:space="preserve">Operating expenses </w:t>
            </w:r>
          </w:p>
        </w:tc>
        <w:tc>
          <w:tcPr>
            <w:tcW w:w="1112" w:type="dxa"/>
            <w:tcBorders>
              <w:top w:val="nil"/>
              <w:left w:val="nil"/>
              <w:bottom w:val="single" w:sz="4" w:space="0" w:color="auto"/>
              <w:right w:val="single" w:sz="4" w:space="0" w:color="auto"/>
            </w:tcBorders>
            <w:shd w:val="clear" w:color="auto" w:fill="auto"/>
            <w:noWrap/>
            <w:vAlign w:val="bottom"/>
            <w:hideMark/>
          </w:tcPr>
          <w:p w14:paraId="4A6B3C03" w14:textId="77777777" w:rsidR="006F6436" w:rsidRPr="006F6436" w:rsidRDefault="006F6436" w:rsidP="006F6436">
            <w:pPr>
              <w:jc w:val="right"/>
              <w:rPr>
                <w:rFonts w:ascii="Cambria" w:eastAsia="Times New Roman" w:hAnsi="Cambria" w:cs="Calibri"/>
                <w:color w:val="000000"/>
                <w:lang w:eastAsia="en-GB"/>
              </w:rPr>
            </w:pPr>
            <w:r w:rsidRPr="006F6436">
              <w:rPr>
                <w:rFonts w:ascii="Cambria" w:eastAsia="Times New Roman" w:hAnsi="Cambria" w:cs="Calibri"/>
                <w:color w:val="000000"/>
                <w:lang w:eastAsia="en-GB"/>
              </w:rPr>
              <w:t>-6,053</w:t>
            </w:r>
          </w:p>
        </w:tc>
        <w:tc>
          <w:tcPr>
            <w:tcW w:w="1446" w:type="dxa"/>
            <w:tcBorders>
              <w:top w:val="nil"/>
              <w:left w:val="nil"/>
              <w:bottom w:val="single" w:sz="4" w:space="0" w:color="auto"/>
              <w:right w:val="single" w:sz="8" w:space="0" w:color="auto"/>
            </w:tcBorders>
            <w:shd w:val="clear" w:color="auto" w:fill="auto"/>
            <w:noWrap/>
            <w:vAlign w:val="bottom"/>
            <w:hideMark/>
          </w:tcPr>
          <w:p w14:paraId="0EEA199B" w14:textId="77777777" w:rsidR="006F6436" w:rsidRPr="006F6436" w:rsidRDefault="006F6436" w:rsidP="006F6436">
            <w:pPr>
              <w:jc w:val="right"/>
              <w:rPr>
                <w:rFonts w:ascii="Cambria" w:eastAsia="Times New Roman" w:hAnsi="Cambria" w:cs="Calibri"/>
                <w:color w:val="000000"/>
                <w:lang w:eastAsia="en-GB"/>
              </w:rPr>
            </w:pPr>
            <w:r w:rsidRPr="006F6436">
              <w:rPr>
                <w:rFonts w:ascii="Cambria" w:eastAsia="Times New Roman" w:hAnsi="Cambria" w:cs="Calibri"/>
                <w:color w:val="000000"/>
                <w:lang w:eastAsia="en-GB"/>
              </w:rPr>
              <w:t>-956</w:t>
            </w:r>
          </w:p>
        </w:tc>
      </w:tr>
      <w:tr w:rsidR="006F6436" w:rsidRPr="006F6436" w14:paraId="01C03924" w14:textId="77777777" w:rsidTr="006F6436">
        <w:trPr>
          <w:divId w:val="2059350777"/>
          <w:trHeight w:val="252"/>
        </w:trPr>
        <w:tc>
          <w:tcPr>
            <w:tcW w:w="5163" w:type="dxa"/>
            <w:tcBorders>
              <w:top w:val="nil"/>
              <w:left w:val="single" w:sz="8" w:space="0" w:color="auto"/>
              <w:bottom w:val="single" w:sz="4" w:space="0" w:color="auto"/>
              <w:right w:val="single" w:sz="4" w:space="0" w:color="auto"/>
            </w:tcBorders>
            <w:shd w:val="clear" w:color="auto" w:fill="auto"/>
            <w:noWrap/>
            <w:vAlign w:val="bottom"/>
            <w:hideMark/>
          </w:tcPr>
          <w:p w14:paraId="00158EC3" w14:textId="77777777" w:rsidR="006F6436" w:rsidRPr="006F6436" w:rsidRDefault="006F6436" w:rsidP="006F6436">
            <w:pPr>
              <w:rPr>
                <w:rFonts w:ascii="Cambria" w:eastAsia="Times New Roman" w:hAnsi="Cambria" w:cs="Calibri"/>
                <w:b/>
                <w:bCs/>
                <w:color w:val="000000"/>
                <w:lang w:eastAsia="en-GB"/>
              </w:rPr>
            </w:pPr>
            <w:r w:rsidRPr="006F6436">
              <w:rPr>
                <w:rFonts w:ascii="Cambria" w:eastAsia="Times New Roman" w:hAnsi="Cambria" w:cs="Calibri"/>
                <w:b/>
                <w:bCs/>
                <w:color w:val="000000"/>
                <w:lang w:eastAsia="en-GB"/>
              </w:rPr>
              <w:t xml:space="preserve">Trading surplus </w:t>
            </w:r>
          </w:p>
        </w:tc>
        <w:tc>
          <w:tcPr>
            <w:tcW w:w="1112" w:type="dxa"/>
            <w:tcBorders>
              <w:top w:val="nil"/>
              <w:left w:val="nil"/>
              <w:bottom w:val="single" w:sz="4" w:space="0" w:color="auto"/>
              <w:right w:val="single" w:sz="4" w:space="0" w:color="auto"/>
            </w:tcBorders>
            <w:shd w:val="clear" w:color="auto" w:fill="auto"/>
            <w:noWrap/>
            <w:vAlign w:val="bottom"/>
            <w:hideMark/>
          </w:tcPr>
          <w:p w14:paraId="56127A13" w14:textId="77777777" w:rsidR="006F6436" w:rsidRPr="006F6436" w:rsidRDefault="006F6436" w:rsidP="006F6436">
            <w:pPr>
              <w:jc w:val="right"/>
              <w:rPr>
                <w:rFonts w:ascii="Cambria" w:eastAsia="Times New Roman" w:hAnsi="Cambria" w:cs="Calibri"/>
                <w:b/>
                <w:bCs/>
                <w:color w:val="000000"/>
                <w:lang w:eastAsia="en-GB"/>
              </w:rPr>
            </w:pPr>
            <w:r w:rsidRPr="006F6436">
              <w:rPr>
                <w:rFonts w:ascii="Cambria" w:eastAsia="Times New Roman" w:hAnsi="Cambria" w:cs="Calibri"/>
                <w:b/>
                <w:bCs/>
                <w:color w:val="000000"/>
                <w:lang w:eastAsia="en-GB"/>
              </w:rPr>
              <w:t>3,819</w:t>
            </w:r>
          </w:p>
        </w:tc>
        <w:tc>
          <w:tcPr>
            <w:tcW w:w="1446" w:type="dxa"/>
            <w:tcBorders>
              <w:top w:val="nil"/>
              <w:left w:val="nil"/>
              <w:bottom w:val="single" w:sz="4" w:space="0" w:color="auto"/>
              <w:right w:val="single" w:sz="8" w:space="0" w:color="auto"/>
            </w:tcBorders>
            <w:shd w:val="clear" w:color="auto" w:fill="auto"/>
            <w:noWrap/>
            <w:vAlign w:val="bottom"/>
            <w:hideMark/>
          </w:tcPr>
          <w:p w14:paraId="1DE1FD54" w14:textId="77777777" w:rsidR="006F6436" w:rsidRPr="006F6436" w:rsidRDefault="006F6436" w:rsidP="006F6436">
            <w:pPr>
              <w:jc w:val="right"/>
              <w:rPr>
                <w:rFonts w:ascii="Cambria" w:eastAsia="Times New Roman" w:hAnsi="Cambria" w:cs="Calibri"/>
                <w:b/>
                <w:bCs/>
                <w:color w:val="000000"/>
                <w:lang w:eastAsia="en-GB"/>
              </w:rPr>
            </w:pPr>
            <w:r w:rsidRPr="006F6436">
              <w:rPr>
                <w:rFonts w:ascii="Cambria" w:eastAsia="Times New Roman" w:hAnsi="Cambria" w:cs="Calibri"/>
                <w:b/>
                <w:bCs/>
                <w:color w:val="000000"/>
                <w:lang w:eastAsia="en-GB"/>
              </w:rPr>
              <w:t>14,079</w:t>
            </w:r>
          </w:p>
        </w:tc>
      </w:tr>
      <w:tr w:rsidR="006F6436" w:rsidRPr="006F6436" w14:paraId="347996B2" w14:textId="77777777" w:rsidTr="006F6436">
        <w:trPr>
          <w:divId w:val="2059350777"/>
          <w:trHeight w:val="252"/>
        </w:trPr>
        <w:tc>
          <w:tcPr>
            <w:tcW w:w="5163" w:type="dxa"/>
            <w:tcBorders>
              <w:top w:val="nil"/>
              <w:left w:val="single" w:sz="8" w:space="0" w:color="auto"/>
              <w:bottom w:val="single" w:sz="4" w:space="0" w:color="auto"/>
              <w:right w:val="single" w:sz="4" w:space="0" w:color="auto"/>
            </w:tcBorders>
            <w:shd w:val="clear" w:color="auto" w:fill="auto"/>
            <w:noWrap/>
            <w:vAlign w:val="bottom"/>
            <w:hideMark/>
          </w:tcPr>
          <w:p w14:paraId="465CC157" w14:textId="77777777" w:rsidR="006F6436" w:rsidRPr="006F6436" w:rsidRDefault="006F6436" w:rsidP="006F6436">
            <w:pPr>
              <w:rPr>
                <w:rFonts w:ascii="Cambria" w:eastAsia="Times New Roman" w:hAnsi="Cambria" w:cs="Calibri"/>
                <w:color w:val="000000"/>
                <w:lang w:eastAsia="en-GB"/>
              </w:rPr>
            </w:pPr>
            <w:r w:rsidRPr="006F6436">
              <w:rPr>
                <w:rFonts w:ascii="Cambria" w:eastAsia="Times New Roman" w:hAnsi="Cambria" w:cs="Calibri"/>
                <w:color w:val="000000"/>
                <w:lang w:eastAsia="en-GB"/>
              </w:rPr>
              <w:t xml:space="preserve">Impairment </w:t>
            </w:r>
          </w:p>
        </w:tc>
        <w:tc>
          <w:tcPr>
            <w:tcW w:w="1112" w:type="dxa"/>
            <w:tcBorders>
              <w:top w:val="nil"/>
              <w:left w:val="nil"/>
              <w:bottom w:val="single" w:sz="4" w:space="0" w:color="auto"/>
              <w:right w:val="single" w:sz="4" w:space="0" w:color="auto"/>
            </w:tcBorders>
            <w:shd w:val="clear" w:color="auto" w:fill="auto"/>
            <w:noWrap/>
            <w:vAlign w:val="bottom"/>
            <w:hideMark/>
          </w:tcPr>
          <w:p w14:paraId="6F720756" w14:textId="77777777" w:rsidR="006F6436" w:rsidRPr="006F6436" w:rsidRDefault="006F6436" w:rsidP="006F6436">
            <w:pPr>
              <w:jc w:val="right"/>
              <w:rPr>
                <w:rFonts w:ascii="Cambria" w:eastAsia="Times New Roman" w:hAnsi="Cambria" w:cs="Calibri"/>
                <w:color w:val="000000"/>
                <w:lang w:eastAsia="en-GB"/>
              </w:rPr>
            </w:pPr>
            <w:r w:rsidRPr="006F6436">
              <w:rPr>
                <w:rFonts w:ascii="Cambria" w:eastAsia="Times New Roman" w:hAnsi="Cambria" w:cs="Calibri"/>
                <w:color w:val="000000"/>
                <w:lang w:eastAsia="en-GB"/>
              </w:rPr>
              <w:t>-3,012</w:t>
            </w:r>
          </w:p>
        </w:tc>
        <w:tc>
          <w:tcPr>
            <w:tcW w:w="1446" w:type="dxa"/>
            <w:tcBorders>
              <w:top w:val="nil"/>
              <w:left w:val="nil"/>
              <w:bottom w:val="single" w:sz="4" w:space="0" w:color="auto"/>
              <w:right w:val="single" w:sz="8" w:space="0" w:color="auto"/>
            </w:tcBorders>
            <w:shd w:val="clear" w:color="auto" w:fill="auto"/>
            <w:noWrap/>
            <w:vAlign w:val="bottom"/>
            <w:hideMark/>
          </w:tcPr>
          <w:p w14:paraId="04907232" w14:textId="77777777" w:rsidR="006F6436" w:rsidRPr="006F6436" w:rsidRDefault="006F6436" w:rsidP="006F6436">
            <w:pPr>
              <w:jc w:val="right"/>
              <w:rPr>
                <w:rFonts w:ascii="Cambria" w:eastAsia="Times New Roman" w:hAnsi="Cambria" w:cs="Calibri"/>
                <w:color w:val="000000"/>
                <w:lang w:eastAsia="en-GB"/>
              </w:rPr>
            </w:pPr>
            <w:r w:rsidRPr="006F6436">
              <w:rPr>
                <w:rFonts w:ascii="Cambria" w:eastAsia="Times New Roman" w:hAnsi="Cambria" w:cs="Calibri"/>
                <w:color w:val="000000"/>
                <w:lang w:eastAsia="en-GB"/>
              </w:rPr>
              <w:t>-4,657</w:t>
            </w:r>
          </w:p>
        </w:tc>
      </w:tr>
      <w:tr w:rsidR="006F6436" w:rsidRPr="006F6436" w14:paraId="5643D53C" w14:textId="77777777" w:rsidTr="006F6436">
        <w:trPr>
          <w:divId w:val="2059350777"/>
          <w:trHeight w:val="252"/>
        </w:trPr>
        <w:tc>
          <w:tcPr>
            <w:tcW w:w="5163" w:type="dxa"/>
            <w:tcBorders>
              <w:top w:val="nil"/>
              <w:left w:val="single" w:sz="8" w:space="0" w:color="auto"/>
              <w:bottom w:val="single" w:sz="4" w:space="0" w:color="auto"/>
              <w:right w:val="single" w:sz="4" w:space="0" w:color="auto"/>
            </w:tcBorders>
            <w:shd w:val="clear" w:color="auto" w:fill="auto"/>
            <w:noWrap/>
            <w:vAlign w:val="bottom"/>
            <w:hideMark/>
          </w:tcPr>
          <w:p w14:paraId="3796FCC9" w14:textId="77777777" w:rsidR="006F6436" w:rsidRPr="006F6436" w:rsidRDefault="006F6436" w:rsidP="006F6436">
            <w:pPr>
              <w:rPr>
                <w:rFonts w:ascii="Cambria" w:eastAsia="Times New Roman" w:hAnsi="Cambria" w:cs="Calibri"/>
                <w:color w:val="000000"/>
                <w:lang w:eastAsia="en-GB"/>
              </w:rPr>
            </w:pPr>
            <w:r w:rsidRPr="006F6436">
              <w:rPr>
                <w:rFonts w:ascii="Cambria" w:eastAsia="Times New Roman" w:hAnsi="Cambria" w:cs="Calibri"/>
                <w:color w:val="000000"/>
                <w:lang w:eastAsia="en-GB"/>
              </w:rPr>
              <w:t xml:space="preserve">Profit on sale of businesses </w:t>
            </w:r>
          </w:p>
        </w:tc>
        <w:tc>
          <w:tcPr>
            <w:tcW w:w="1112" w:type="dxa"/>
            <w:tcBorders>
              <w:top w:val="nil"/>
              <w:left w:val="nil"/>
              <w:bottom w:val="single" w:sz="4" w:space="0" w:color="auto"/>
              <w:right w:val="single" w:sz="4" w:space="0" w:color="auto"/>
            </w:tcBorders>
            <w:shd w:val="clear" w:color="auto" w:fill="auto"/>
            <w:noWrap/>
            <w:vAlign w:val="bottom"/>
            <w:hideMark/>
          </w:tcPr>
          <w:p w14:paraId="366C87DB" w14:textId="77777777" w:rsidR="006F6436" w:rsidRPr="006F6436" w:rsidRDefault="006F6436" w:rsidP="006F6436">
            <w:pPr>
              <w:rPr>
                <w:rFonts w:ascii="Cambria" w:eastAsia="Times New Roman" w:hAnsi="Cambria" w:cs="Calibri"/>
                <w:color w:val="000000"/>
                <w:lang w:eastAsia="en-GB"/>
              </w:rPr>
            </w:pPr>
            <w:r w:rsidRPr="006F6436">
              <w:rPr>
                <w:rFonts w:ascii="Cambria" w:eastAsia="Times New Roman" w:hAnsi="Cambria" w:cs="Calibri"/>
                <w:color w:val="000000"/>
                <w:lang w:eastAsia="en-GB"/>
              </w:rPr>
              <w:t>-</w:t>
            </w:r>
          </w:p>
        </w:tc>
        <w:tc>
          <w:tcPr>
            <w:tcW w:w="1446" w:type="dxa"/>
            <w:tcBorders>
              <w:top w:val="nil"/>
              <w:left w:val="nil"/>
              <w:bottom w:val="single" w:sz="4" w:space="0" w:color="auto"/>
              <w:right w:val="single" w:sz="8" w:space="0" w:color="auto"/>
            </w:tcBorders>
            <w:shd w:val="clear" w:color="auto" w:fill="auto"/>
            <w:noWrap/>
            <w:vAlign w:val="bottom"/>
            <w:hideMark/>
          </w:tcPr>
          <w:p w14:paraId="7CA4B86B" w14:textId="77777777" w:rsidR="006F6436" w:rsidRPr="006F6436" w:rsidRDefault="006F6436" w:rsidP="006F6436">
            <w:pPr>
              <w:jc w:val="right"/>
              <w:rPr>
                <w:rFonts w:ascii="Cambria" w:eastAsia="Times New Roman" w:hAnsi="Cambria" w:cs="Calibri"/>
                <w:color w:val="000000"/>
                <w:lang w:eastAsia="en-GB"/>
              </w:rPr>
            </w:pPr>
            <w:r w:rsidRPr="006F6436">
              <w:rPr>
                <w:rFonts w:ascii="Cambria" w:eastAsia="Times New Roman" w:hAnsi="Cambria" w:cs="Calibri"/>
                <w:color w:val="000000"/>
                <w:lang w:eastAsia="en-GB"/>
              </w:rPr>
              <w:t>-2520</w:t>
            </w:r>
          </w:p>
        </w:tc>
      </w:tr>
      <w:tr w:rsidR="006F6436" w:rsidRPr="006F6436" w14:paraId="3D351830" w14:textId="77777777" w:rsidTr="006F6436">
        <w:trPr>
          <w:divId w:val="2059350777"/>
          <w:trHeight w:val="252"/>
        </w:trPr>
        <w:tc>
          <w:tcPr>
            <w:tcW w:w="5163" w:type="dxa"/>
            <w:tcBorders>
              <w:top w:val="nil"/>
              <w:left w:val="single" w:sz="8" w:space="0" w:color="auto"/>
              <w:bottom w:val="single" w:sz="4" w:space="0" w:color="auto"/>
              <w:right w:val="single" w:sz="4" w:space="0" w:color="auto"/>
            </w:tcBorders>
            <w:shd w:val="clear" w:color="auto" w:fill="auto"/>
            <w:noWrap/>
            <w:vAlign w:val="bottom"/>
            <w:hideMark/>
          </w:tcPr>
          <w:p w14:paraId="03583C16" w14:textId="77777777" w:rsidR="006F6436" w:rsidRPr="006F6436" w:rsidRDefault="006F6436" w:rsidP="006F6436">
            <w:pPr>
              <w:rPr>
                <w:rFonts w:ascii="Cambria" w:eastAsia="Times New Roman" w:hAnsi="Cambria" w:cs="Calibri"/>
                <w:b/>
                <w:bCs/>
                <w:color w:val="000000"/>
                <w:lang w:eastAsia="en-GB"/>
              </w:rPr>
            </w:pPr>
            <w:r w:rsidRPr="006F6436">
              <w:rPr>
                <w:rFonts w:ascii="Cambria" w:eastAsia="Times New Roman" w:hAnsi="Cambria" w:cs="Calibri"/>
                <w:b/>
                <w:bCs/>
                <w:color w:val="000000"/>
                <w:lang w:eastAsia="en-GB"/>
              </w:rPr>
              <w:t xml:space="preserve">profit before tax </w:t>
            </w:r>
          </w:p>
        </w:tc>
        <w:tc>
          <w:tcPr>
            <w:tcW w:w="1112" w:type="dxa"/>
            <w:tcBorders>
              <w:top w:val="nil"/>
              <w:left w:val="nil"/>
              <w:bottom w:val="single" w:sz="4" w:space="0" w:color="auto"/>
              <w:right w:val="single" w:sz="4" w:space="0" w:color="auto"/>
            </w:tcBorders>
            <w:shd w:val="clear" w:color="auto" w:fill="auto"/>
            <w:noWrap/>
            <w:vAlign w:val="bottom"/>
            <w:hideMark/>
          </w:tcPr>
          <w:p w14:paraId="6B05D0EF" w14:textId="77777777" w:rsidR="006F6436" w:rsidRPr="006F6436" w:rsidRDefault="006F6436" w:rsidP="006F6436">
            <w:pPr>
              <w:jc w:val="right"/>
              <w:rPr>
                <w:rFonts w:ascii="Cambria" w:eastAsia="Times New Roman" w:hAnsi="Cambria" w:cs="Calibri"/>
                <w:b/>
                <w:bCs/>
                <w:color w:val="000000"/>
                <w:lang w:eastAsia="en-GB"/>
              </w:rPr>
            </w:pPr>
            <w:r w:rsidRPr="006F6436">
              <w:rPr>
                <w:rFonts w:ascii="Cambria" w:eastAsia="Times New Roman" w:hAnsi="Cambria" w:cs="Calibri"/>
                <w:b/>
                <w:bCs/>
                <w:color w:val="000000"/>
                <w:lang w:eastAsia="en-GB"/>
              </w:rPr>
              <w:t>807</w:t>
            </w:r>
          </w:p>
        </w:tc>
        <w:tc>
          <w:tcPr>
            <w:tcW w:w="1446" w:type="dxa"/>
            <w:tcBorders>
              <w:top w:val="nil"/>
              <w:left w:val="nil"/>
              <w:bottom w:val="single" w:sz="4" w:space="0" w:color="auto"/>
              <w:right w:val="single" w:sz="8" w:space="0" w:color="auto"/>
            </w:tcBorders>
            <w:shd w:val="clear" w:color="auto" w:fill="auto"/>
            <w:noWrap/>
            <w:vAlign w:val="bottom"/>
            <w:hideMark/>
          </w:tcPr>
          <w:p w14:paraId="592D62D3" w14:textId="77777777" w:rsidR="006F6436" w:rsidRPr="006F6436" w:rsidRDefault="006F6436" w:rsidP="006F6436">
            <w:pPr>
              <w:jc w:val="right"/>
              <w:rPr>
                <w:rFonts w:ascii="Cambria" w:eastAsia="Times New Roman" w:hAnsi="Cambria" w:cs="Calibri"/>
                <w:b/>
                <w:bCs/>
                <w:color w:val="000000"/>
                <w:lang w:eastAsia="en-GB"/>
              </w:rPr>
            </w:pPr>
            <w:r w:rsidRPr="006F6436">
              <w:rPr>
                <w:rFonts w:ascii="Cambria" w:eastAsia="Times New Roman" w:hAnsi="Cambria" w:cs="Calibri"/>
                <w:b/>
                <w:bCs/>
                <w:color w:val="000000"/>
                <w:lang w:eastAsia="en-GB"/>
              </w:rPr>
              <w:t>6,902</w:t>
            </w:r>
          </w:p>
        </w:tc>
      </w:tr>
      <w:tr w:rsidR="006F6436" w:rsidRPr="006F6436" w14:paraId="4999099C" w14:textId="77777777" w:rsidTr="006F6436">
        <w:trPr>
          <w:divId w:val="2059350777"/>
          <w:trHeight w:val="252"/>
        </w:trPr>
        <w:tc>
          <w:tcPr>
            <w:tcW w:w="5163" w:type="dxa"/>
            <w:tcBorders>
              <w:top w:val="nil"/>
              <w:left w:val="single" w:sz="8" w:space="0" w:color="auto"/>
              <w:bottom w:val="single" w:sz="4" w:space="0" w:color="auto"/>
              <w:right w:val="single" w:sz="4" w:space="0" w:color="auto"/>
            </w:tcBorders>
            <w:shd w:val="clear" w:color="auto" w:fill="auto"/>
            <w:noWrap/>
            <w:vAlign w:val="bottom"/>
            <w:hideMark/>
          </w:tcPr>
          <w:p w14:paraId="38EDB39E" w14:textId="77777777" w:rsidR="006F6436" w:rsidRPr="006F6436" w:rsidRDefault="006F6436" w:rsidP="006F6436">
            <w:pPr>
              <w:rPr>
                <w:rFonts w:ascii="Cambria" w:eastAsia="Times New Roman" w:hAnsi="Cambria" w:cs="Calibri"/>
                <w:color w:val="000000"/>
                <w:lang w:eastAsia="en-GB"/>
              </w:rPr>
            </w:pPr>
            <w:r w:rsidRPr="006F6436">
              <w:rPr>
                <w:rFonts w:ascii="Cambria" w:eastAsia="Times New Roman" w:hAnsi="Cambria" w:cs="Calibri"/>
                <w:color w:val="000000"/>
                <w:lang w:eastAsia="en-GB"/>
              </w:rPr>
              <w:t xml:space="preserve">Taxation </w:t>
            </w:r>
          </w:p>
        </w:tc>
        <w:tc>
          <w:tcPr>
            <w:tcW w:w="1112" w:type="dxa"/>
            <w:tcBorders>
              <w:top w:val="nil"/>
              <w:left w:val="nil"/>
              <w:bottom w:val="single" w:sz="4" w:space="0" w:color="auto"/>
              <w:right w:val="single" w:sz="4" w:space="0" w:color="auto"/>
            </w:tcBorders>
            <w:shd w:val="clear" w:color="auto" w:fill="auto"/>
            <w:noWrap/>
            <w:vAlign w:val="bottom"/>
            <w:hideMark/>
          </w:tcPr>
          <w:p w14:paraId="1210877F" w14:textId="77777777" w:rsidR="006F6436" w:rsidRPr="006F6436" w:rsidRDefault="006F6436" w:rsidP="006F6436">
            <w:pPr>
              <w:jc w:val="right"/>
              <w:rPr>
                <w:rFonts w:ascii="Cambria" w:eastAsia="Times New Roman" w:hAnsi="Cambria" w:cs="Calibri"/>
                <w:color w:val="000000"/>
                <w:lang w:eastAsia="en-GB"/>
              </w:rPr>
            </w:pPr>
            <w:r w:rsidRPr="006F6436">
              <w:rPr>
                <w:rFonts w:ascii="Cambria" w:eastAsia="Times New Roman" w:hAnsi="Cambria" w:cs="Calibri"/>
                <w:color w:val="000000"/>
                <w:lang w:eastAsia="en-GB"/>
              </w:rPr>
              <w:t>38</w:t>
            </w:r>
          </w:p>
        </w:tc>
        <w:tc>
          <w:tcPr>
            <w:tcW w:w="1446" w:type="dxa"/>
            <w:tcBorders>
              <w:top w:val="nil"/>
              <w:left w:val="nil"/>
              <w:bottom w:val="single" w:sz="4" w:space="0" w:color="auto"/>
              <w:right w:val="single" w:sz="8" w:space="0" w:color="auto"/>
            </w:tcBorders>
            <w:shd w:val="clear" w:color="auto" w:fill="auto"/>
            <w:noWrap/>
            <w:vAlign w:val="bottom"/>
            <w:hideMark/>
          </w:tcPr>
          <w:p w14:paraId="1F2AD779" w14:textId="77777777" w:rsidR="006F6436" w:rsidRPr="006F6436" w:rsidRDefault="006F6436" w:rsidP="006F6436">
            <w:pPr>
              <w:jc w:val="right"/>
              <w:rPr>
                <w:rFonts w:ascii="Cambria" w:eastAsia="Times New Roman" w:hAnsi="Cambria" w:cs="Calibri"/>
                <w:color w:val="000000"/>
                <w:lang w:eastAsia="en-GB"/>
              </w:rPr>
            </w:pPr>
            <w:r w:rsidRPr="006F6436">
              <w:rPr>
                <w:rFonts w:ascii="Cambria" w:eastAsia="Times New Roman" w:hAnsi="Cambria" w:cs="Calibri"/>
                <w:color w:val="000000"/>
                <w:lang w:eastAsia="en-GB"/>
              </w:rPr>
              <w:t>-1,017</w:t>
            </w:r>
          </w:p>
        </w:tc>
      </w:tr>
      <w:tr w:rsidR="006F6436" w:rsidRPr="006F6436" w14:paraId="1F67EE4E" w14:textId="77777777" w:rsidTr="006F6436">
        <w:trPr>
          <w:divId w:val="2059350777"/>
          <w:trHeight w:val="268"/>
        </w:trPr>
        <w:tc>
          <w:tcPr>
            <w:tcW w:w="5163" w:type="dxa"/>
            <w:tcBorders>
              <w:top w:val="nil"/>
              <w:left w:val="single" w:sz="8" w:space="0" w:color="auto"/>
              <w:bottom w:val="single" w:sz="8" w:space="0" w:color="auto"/>
              <w:right w:val="single" w:sz="4" w:space="0" w:color="auto"/>
            </w:tcBorders>
            <w:shd w:val="clear" w:color="auto" w:fill="auto"/>
            <w:noWrap/>
            <w:vAlign w:val="bottom"/>
            <w:hideMark/>
          </w:tcPr>
          <w:p w14:paraId="0F12788C" w14:textId="77777777" w:rsidR="006F6436" w:rsidRPr="006F6436" w:rsidRDefault="006F6436" w:rsidP="006F6436">
            <w:pPr>
              <w:rPr>
                <w:rFonts w:ascii="Cambria" w:eastAsia="Times New Roman" w:hAnsi="Cambria" w:cs="Calibri"/>
                <w:b/>
                <w:bCs/>
                <w:color w:val="000000"/>
                <w:lang w:eastAsia="en-GB"/>
              </w:rPr>
            </w:pPr>
            <w:r w:rsidRPr="006F6436">
              <w:rPr>
                <w:rFonts w:ascii="Cambria" w:eastAsia="Times New Roman" w:hAnsi="Cambria" w:cs="Calibri"/>
                <w:b/>
                <w:bCs/>
                <w:color w:val="000000"/>
                <w:lang w:eastAsia="en-GB"/>
              </w:rPr>
              <w:t xml:space="preserve">profit for the year </w:t>
            </w:r>
          </w:p>
        </w:tc>
        <w:tc>
          <w:tcPr>
            <w:tcW w:w="1112" w:type="dxa"/>
            <w:tcBorders>
              <w:top w:val="nil"/>
              <w:left w:val="nil"/>
              <w:bottom w:val="single" w:sz="8" w:space="0" w:color="auto"/>
              <w:right w:val="single" w:sz="4" w:space="0" w:color="auto"/>
            </w:tcBorders>
            <w:shd w:val="clear" w:color="auto" w:fill="auto"/>
            <w:noWrap/>
            <w:vAlign w:val="bottom"/>
            <w:hideMark/>
          </w:tcPr>
          <w:p w14:paraId="52A7424A" w14:textId="77777777" w:rsidR="006F6436" w:rsidRPr="006F6436" w:rsidRDefault="006F6436" w:rsidP="006F6436">
            <w:pPr>
              <w:jc w:val="right"/>
              <w:rPr>
                <w:rFonts w:ascii="Cambria" w:eastAsia="Times New Roman" w:hAnsi="Cambria" w:cs="Calibri"/>
                <w:b/>
                <w:bCs/>
                <w:color w:val="000000"/>
                <w:lang w:eastAsia="en-GB"/>
              </w:rPr>
            </w:pPr>
            <w:r w:rsidRPr="006F6436">
              <w:rPr>
                <w:rFonts w:ascii="Cambria" w:eastAsia="Times New Roman" w:hAnsi="Cambria" w:cs="Calibri"/>
                <w:b/>
                <w:bCs/>
                <w:color w:val="000000"/>
                <w:lang w:eastAsia="en-GB"/>
              </w:rPr>
              <w:t>845</w:t>
            </w:r>
          </w:p>
        </w:tc>
        <w:tc>
          <w:tcPr>
            <w:tcW w:w="1446" w:type="dxa"/>
            <w:tcBorders>
              <w:top w:val="nil"/>
              <w:left w:val="nil"/>
              <w:bottom w:val="single" w:sz="8" w:space="0" w:color="auto"/>
              <w:right w:val="single" w:sz="8" w:space="0" w:color="auto"/>
            </w:tcBorders>
            <w:shd w:val="clear" w:color="auto" w:fill="auto"/>
            <w:noWrap/>
            <w:vAlign w:val="bottom"/>
            <w:hideMark/>
          </w:tcPr>
          <w:p w14:paraId="75A6E9E5" w14:textId="77777777" w:rsidR="006F6436" w:rsidRPr="006F6436" w:rsidRDefault="006F6436" w:rsidP="006F6436">
            <w:pPr>
              <w:jc w:val="right"/>
              <w:rPr>
                <w:rFonts w:ascii="Cambria" w:eastAsia="Times New Roman" w:hAnsi="Cambria" w:cs="Calibri"/>
                <w:b/>
                <w:bCs/>
                <w:color w:val="000000"/>
                <w:lang w:eastAsia="en-GB"/>
              </w:rPr>
            </w:pPr>
            <w:r w:rsidRPr="006F6436">
              <w:rPr>
                <w:rFonts w:ascii="Cambria" w:eastAsia="Times New Roman" w:hAnsi="Cambria" w:cs="Calibri"/>
                <w:b/>
                <w:bCs/>
                <w:color w:val="000000"/>
                <w:lang w:eastAsia="en-GB"/>
              </w:rPr>
              <w:t>5,885</w:t>
            </w:r>
          </w:p>
        </w:tc>
      </w:tr>
    </w:tbl>
    <w:p w14:paraId="147564C3" w14:textId="079B8E73" w:rsidR="00FF235C" w:rsidRPr="00CD46FB" w:rsidRDefault="00FF235C" w:rsidP="00CD46FB">
      <w:r>
        <w:fldChar w:fldCharType="end"/>
      </w:r>
    </w:p>
    <w:p w14:paraId="0BD398A6" w14:textId="75B48AF2" w:rsidR="00FF235C" w:rsidRDefault="00FF235C" w:rsidP="008501C0">
      <w:pPr>
        <w:pStyle w:val="ListParagraph"/>
        <w:numPr>
          <w:ilvl w:val="1"/>
          <w:numId w:val="14"/>
        </w:numPr>
        <w:spacing w:line="360" w:lineRule="auto"/>
        <w:rPr>
          <w:rFonts w:ascii="Times" w:hAnsi="Times"/>
        </w:rPr>
      </w:pPr>
      <w:r>
        <w:rPr>
          <w:rFonts w:ascii="Times" w:hAnsi="Times"/>
        </w:rPr>
        <w:t xml:space="preserve">BALANCE SHEET </w:t>
      </w:r>
    </w:p>
    <w:p w14:paraId="275FD87C" w14:textId="77777777" w:rsidR="008501C0" w:rsidRPr="008501C0" w:rsidRDefault="008501C0" w:rsidP="008501C0">
      <w:pPr>
        <w:pStyle w:val="ListParagraph"/>
        <w:spacing w:line="360" w:lineRule="auto"/>
        <w:ind w:left="0"/>
        <w:rPr>
          <w:rFonts w:ascii="Times" w:hAnsi="Times"/>
        </w:rPr>
      </w:pPr>
      <w:r w:rsidRPr="008501C0">
        <w:rPr>
          <w:rFonts w:ascii="Times" w:hAnsi="Times"/>
        </w:rPr>
        <w:t xml:space="preserve">A balance sheet is a type of financial statement that shows a company's assets, liabilities, and shareholders' equity in a single glance. For fundamental analysis or calculating financial ratios, the balance sheet can be used in conjunction with other significant financial statements. </w:t>
      </w:r>
    </w:p>
    <w:p w14:paraId="700A8CC6" w14:textId="77777777" w:rsidR="008501C0" w:rsidRDefault="008501C0" w:rsidP="008501C0">
      <w:pPr>
        <w:pStyle w:val="ListParagraph"/>
        <w:spacing w:line="360" w:lineRule="auto"/>
        <w:ind w:left="0"/>
        <w:rPr>
          <w:rFonts w:ascii="Times" w:hAnsi="Times"/>
        </w:rPr>
      </w:pPr>
      <w:r w:rsidRPr="008501C0">
        <w:rPr>
          <w:rFonts w:ascii="Times" w:hAnsi="Times"/>
        </w:rPr>
        <w:t>The final results between 2008 and 2021 for Lloyd's Bank, broken down into Assets, Liability, and Equity, are shown below.</w:t>
      </w:r>
    </w:p>
    <w:p w14:paraId="7E17F0F9" w14:textId="7079143E" w:rsidR="006F6436" w:rsidRDefault="00FF235C" w:rsidP="008501C0">
      <w:pPr>
        <w:pStyle w:val="ListParagraph"/>
        <w:ind w:left="360"/>
      </w:pPr>
      <w:r>
        <w:fldChar w:fldCharType="begin"/>
      </w:r>
      <w:r>
        <w:instrText xml:space="preserve"> LINK </w:instrText>
      </w:r>
      <w:r w:rsidR="006F6436">
        <w:instrText xml:space="preserve">Excel.Sheet.12 /Users/carmendeluca/Desktop/BFM/Book1.xlsx Sheet2!R1C1:R18C3 </w:instrText>
      </w:r>
      <w:r>
        <w:instrText xml:space="preserve">\a \f 4 \h  \* MERGEFORMAT </w:instrText>
      </w:r>
      <w:r w:rsidR="006F6436">
        <w:fldChar w:fldCharType="separate"/>
      </w:r>
    </w:p>
    <w:tbl>
      <w:tblPr>
        <w:tblW w:w="8098" w:type="dxa"/>
        <w:tblLook w:val="04A0" w:firstRow="1" w:lastRow="0" w:firstColumn="1" w:lastColumn="0" w:noHBand="0" w:noVBand="1"/>
      </w:tblPr>
      <w:tblGrid>
        <w:gridCol w:w="6006"/>
        <w:gridCol w:w="1125"/>
        <w:gridCol w:w="1125"/>
      </w:tblGrid>
      <w:tr w:rsidR="006F6436" w:rsidRPr="006F6436" w14:paraId="013A91B9" w14:textId="77777777" w:rsidTr="006F6436">
        <w:trPr>
          <w:divId w:val="2112971520"/>
          <w:trHeight w:val="291"/>
        </w:trPr>
        <w:tc>
          <w:tcPr>
            <w:tcW w:w="6006" w:type="dxa"/>
            <w:tcBorders>
              <w:top w:val="single" w:sz="8" w:space="0" w:color="auto"/>
              <w:left w:val="single" w:sz="8" w:space="0" w:color="auto"/>
              <w:bottom w:val="single" w:sz="8" w:space="0" w:color="auto"/>
              <w:right w:val="nil"/>
            </w:tcBorders>
            <w:shd w:val="clear" w:color="000000" w:fill="FFFF00"/>
            <w:noWrap/>
            <w:vAlign w:val="bottom"/>
            <w:hideMark/>
          </w:tcPr>
          <w:p w14:paraId="2339FA15" w14:textId="72388A20" w:rsidR="006F6436" w:rsidRPr="006F6436" w:rsidRDefault="006F6436" w:rsidP="006F6436">
            <w:pPr>
              <w:rPr>
                <w:rFonts w:ascii="Cambria" w:eastAsia="Times New Roman" w:hAnsi="Cambria" w:cs="Calibri"/>
                <w:b/>
                <w:bCs/>
                <w:color w:val="000000"/>
                <w:lang w:eastAsia="en-GB"/>
              </w:rPr>
            </w:pPr>
            <w:r w:rsidRPr="006F6436">
              <w:rPr>
                <w:rFonts w:ascii="Cambria" w:eastAsia="Times New Roman" w:hAnsi="Cambria" w:cs="Calibri"/>
                <w:b/>
                <w:bCs/>
                <w:color w:val="000000"/>
                <w:lang w:eastAsia="en-GB"/>
              </w:rPr>
              <w:t xml:space="preserve">Assets </w:t>
            </w:r>
          </w:p>
        </w:tc>
        <w:tc>
          <w:tcPr>
            <w:tcW w:w="1046" w:type="dxa"/>
            <w:tcBorders>
              <w:top w:val="single" w:sz="8" w:space="0" w:color="auto"/>
              <w:left w:val="single" w:sz="8" w:space="0" w:color="auto"/>
              <w:bottom w:val="single" w:sz="8" w:space="0" w:color="auto"/>
              <w:right w:val="single" w:sz="8" w:space="0" w:color="auto"/>
            </w:tcBorders>
            <w:shd w:val="clear" w:color="000000" w:fill="F8CBAD"/>
            <w:noWrap/>
            <w:vAlign w:val="bottom"/>
            <w:hideMark/>
          </w:tcPr>
          <w:p w14:paraId="023BB393" w14:textId="77777777" w:rsidR="006F6436" w:rsidRPr="006F6436" w:rsidRDefault="006F6436" w:rsidP="006F6436">
            <w:pPr>
              <w:jc w:val="right"/>
              <w:rPr>
                <w:rFonts w:ascii="Cambria" w:eastAsia="Times New Roman" w:hAnsi="Cambria" w:cs="Calibri"/>
                <w:b/>
                <w:bCs/>
                <w:i/>
                <w:iCs/>
                <w:color w:val="000000"/>
                <w:lang w:eastAsia="en-GB"/>
              </w:rPr>
            </w:pPr>
            <w:r w:rsidRPr="006F6436">
              <w:rPr>
                <w:rFonts w:ascii="Cambria" w:eastAsia="Times New Roman" w:hAnsi="Cambria" w:cs="Calibri"/>
                <w:b/>
                <w:bCs/>
                <w:i/>
                <w:iCs/>
                <w:color w:val="000000"/>
                <w:lang w:eastAsia="en-GB"/>
              </w:rPr>
              <w:t>2008</w:t>
            </w:r>
          </w:p>
        </w:tc>
        <w:tc>
          <w:tcPr>
            <w:tcW w:w="1046" w:type="dxa"/>
            <w:tcBorders>
              <w:top w:val="single" w:sz="8" w:space="0" w:color="auto"/>
              <w:left w:val="nil"/>
              <w:bottom w:val="single" w:sz="8" w:space="0" w:color="auto"/>
              <w:right w:val="nil"/>
            </w:tcBorders>
            <w:shd w:val="clear" w:color="000000" w:fill="BDD7EE"/>
            <w:noWrap/>
            <w:vAlign w:val="bottom"/>
            <w:hideMark/>
          </w:tcPr>
          <w:p w14:paraId="4764CDDE" w14:textId="77777777" w:rsidR="006F6436" w:rsidRPr="006F6436" w:rsidRDefault="006F6436" w:rsidP="006F6436">
            <w:pPr>
              <w:jc w:val="right"/>
              <w:rPr>
                <w:rFonts w:ascii="Cambria" w:eastAsia="Times New Roman" w:hAnsi="Cambria" w:cs="Calibri"/>
                <w:b/>
                <w:bCs/>
                <w:i/>
                <w:iCs/>
                <w:color w:val="000000"/>
                <w:lang w:eastAsia="en-GB"/>
              </w:rPr>
            </w:pPr>
            <w:r w:rsidRPr="006F6436">
              <w:rPr>
                <w:rFonts w:ascii="Cambria" w:eastAsia="Times New Roman" w:hAnsi="Cambria" w:cs="Calibri"/>
                <w:b/>
                <w:bCs/>
                <w:i/>
                <w:iCs/>
                <w:color w:val="000000"/>
                <w:lang w:eastAsia="en-GB"/>
              </w:rPr>
              <w:t>2021</w:t>
            </w:r>
          </w:p>
        </w:tc>
      </w:tr>
      <w:tr w:rsidR="006F6436" w:rsidRPr="006F6436" w14:paraId="121879CD" w14:textId="77777777" w:rsidTr="006F6436">
        <w:trPr>
          <w:divId w:val="2112971520"/>
          <w:trHeight w:val="274"/>
        </w:trPr>
        <w:tc>
          <w:tcPr>
            <w:tcW w:w="6006" w:type="dxa"/>
            <w:tcBorders>
              <w:top w:val="nil"/>
              <w:left w:val="single" w:sz="8" w:space="0" w:color="auto"/>
              <w:bottom w:val="single" w:sz="4" w:space="0" w:color="auto"/>
              <w:right w:val="single" w:sz="4" w:space="0" w:color="auto"/>
            </w:tcBorders>
            <w:shd w:val="clear" w:color="auto" w:fill="auto"/>
            <w:noWrap/>
            <w:vAlign w:val="bottom"/>
            <w:hideMark/>
          </w:tcPr>
          <w:p w14:paraId="3EF5290B" w14:textId="77777777" w:rsidR="006F6436" w:rsidRPr="006F6436" w:rsidRDefault="006F6436" w:rsidP="006F6436">
            <w:pPr>
              <w:rPr>
                <w:rFonts w:ascii="Cambria" w:eastAsia="Times New Roman" w:hAnsi="Cambria" w:cs="Calibri"/>
                <w:color w:val="000000"/>
                <w:lang w:eastAsia="en-GB"/>
              </w:rPr>
            </w:pPr>
            <w:r w:rsidRPr="006F6436">
              <w:rPr>
                <w:rFonts w:ascii="Cambria" w:eastAsia="Times New Roman" w:hAnsi="Cambria" w:cs="Calibri"/>
                <w:color w:val="000000"/>
                <w:lang w:eastAsia="en-GB"/>
              </w:rPr>
              <w:t>Cash and balances at central banks</w:t>
            </w:r>
          </w:p>
        </w:tc>
        <w:tc>
          <w:tcPr>
            <w:tcW w:w="1046" w:type="dxa"/>
            <w:tcBorders>
              <w:top w:val="nil"/>
              <w:left w:val="nil"/>
              <w:bottom w:val="single" w:sz="4" w:space="0" w:color="auto"/>
              <w:right w:val="single" w:sz="4" w:space="0" w:color="auto"/>
            </w:tcBorders>
            <w:shd w:val="clear" w:color="auto" w:fill="auto"/>
            <w:noWrap/>
            <w:vAlign w:val="bottom"/>
            <w:hideMark/>
          </w:tcPr>
          <w:p w14:paraId="5E3465BC" w14:textId="77777777" w:rsidR="006F6436" w:rsidRPr="006F6436" w:rsidRDefault="006F6436" w:rsidP="006F6436">
            <w:pPr>
              <w:jc w:val="right"/>
              <w:rPr>
                <w:rFonts w:ascii="Cambria" w:eastAsia="Times New Roman" w:hAnsi="Cambria" w:cs="Calibri"/>
                <w:color w:val="000000"/>
                <w:lang w:eastAsia="en-GB"/>
              </w:rPr>
            </w:pPr>
            <w:r w:rsidRPr="006F6436">
              <w:rPr>
                <w:rFonts w:ascii="Cambria" w:eastAsia="Times New Roman" w:hAnsi="Cambria" w:cs="Calibri"/>
                <w:color w:val="000000"/>
                <w:lang w:eastAsia="en-GB"/>
              </w:rPr>
              <w:t>5,008</w:t>
            </w:r>
          </w:p>
        </w:tc>
        <w:tc>
          <w:tcPr>
            <w:tcW w:w="1046" w:type="dxa"/>
            <w:tcBorders>
              <w:top w:val="nil"/>
              <w:left w:val="nil"/>
              <w:bottom w:val="single" w:sz="4" w:space="0" w:color="auto"/>
              <w:right w:val="nil"/>
            </w:tcBorders>
            <w:shd w:val="clear" w:color="auto" w:fill="auto"/>
            <w:noWrap/>
            <w:vAlign w:val="bottom"/>
            <w:hideMark/>
          </w:tcPr>
          <w:p w14:paraId="1B2FC154" w14:textId="77777777" w:rsidR="006F6436" w:rsidRPr="006F6436" w:rsidRDefault="006F6436" w:rsidP="006F6436">
            <w:pPr>
              <w:jc w:val="right"/>
              <w:rPr>
                <w:rFonts w:ascii="Cambria" w:eastAsia="Times New Roman" w:hAnsi="Cambria" w:cs="Calibri"/>
                <w:color w:val="000000"/>
                <w:lang w:eastAsia="en-GB"/>
              </w:rPr>
            </w:pPr>
            <w:r w:rsidRPr="006F6436">
              <w:rPr>
                <w:rFonts w:ascii="Cambria" w:eastAsia="Times New Roman" w:hAnsi="Cambria" w:cs="Calibri"/>
                <w:color w:val="000000"/>
                <w:lang w:eastAsia="en-GB"/>
              </w:rPr>
              <w:t>76,420</w:t>
            </w:r>
          </w:p>
        </w:tc>
      </w:tr>
      <w:tr w:rsidR="006F6436" w:rsidRPr="006F6436" w14:paraId="6623BFC1" w14:textId="77777777" w:rsidTr="006F6436">
        <w:trPr>
          <w:divId w:val="2112971520"/>
          <w:trHeight w:val="274"/>
        </w:trPr>
        <w:tc>
          <w:tcPr>
            <w:tcW w:w="6006" w:type="dxa"/>
            <w:tcBorders>
              <w:top w:val="nil"/>
              <w:left w:val="single" w:sz="8" w:space="0" w:color="auto"/>
              <w:bottom w:val="single" w:sz="4" w:space="0" w:color="auto"/>
              <w:right w:val="single" w:sz="4" w:space="0" w:color="auto"/>
            </w:tcBorders>
            <w:shd w:val="clear" w:color="auto" w:fill="auto"/>
            <w:noWrap/>
            <w:vAlign w:val="bottom"/>
            <w:hideMark/>
          </w:tcPr>
          <w:p w14:paraId="50056F7C" w14:textId="77777777" w:rsidR="006F6436" w:rsidRPr="006F6436" w:rsidRDefault="006F6436" w:rsidP="006F6436">
            <w:pPr>
              <w:rPr>
                <w:rFonts w:ascii="Cambria" w:eastAsia="Times New Roman" w:hAnsi="Cambria" w:cs="Calibri"/>
                <w:color w:val="000000"/>
                <w:lang w:eastAsia="en-GB"/>
              </w:rPr>
            </w:pPr>
            <w:r w:rsidRPr="006F6436">
              <w:rPr>
                <w:rFonts w:ascii="Cambria" w:eastAsia="Times New Roman" w:hAnsi="Cambria" w:cs="Calibri"/>
                <w:color w:val="000000"/>
                <w:lang w:eastAsia="en-GB"/>
              </w:rPr>
              <w:t>Items in the course of collection from banks</w:t>
            </w:r>
          </w:p>
        </w:tc>
        <w:tc>
          <w:tcPr>
            <w:tcW w:w="1046" w:type="dxa"/>
            <w:tcBorders>
              <w:top w:val="nil"/>
              <w:left w:val="nil"/>
              <w:bottom w:val="single" w:sz="4" w:space="0" w:color="auto"/>
              <w:right w:val="single" w:sz="4" w:space="0" w:color="auto"/>
            </w:tcBorders>
            <w:shd w:val="clear" w:color="auto" w:fill="auto"/>
            <w:noWrap/>
            <w:vAlign w:val="bottom"/>
            <w:hideMark/>
          </w:tcPr>
          <w:p w14:paraId="7B92C2DB" w14:textId="77777777" w:rsidR="006F6436" w:rsidRPr="006F6436" w:rsidRDefault="006F6436" w:rsidP="006F6436">
            <w:pPr>
              <w:jc w:val="right"/>
              <w:rPr>
                <w:rFonts w:ascii="Cambria" w:eastAsia="Times New Roman" w:hAnsi="Cambria" w:cs="Calibri"/>
                <w:color w:val="000000"/>
                <w:lang w:eastAsia="en-GB"/>
              </w:rPr>
            </w:pPr>
            <w:r w:rsidRPr="006F6436">
              <w:rPr>
                <w:rFonts w:ascii="Cambria" w:eastAsia="Times New Roman" w:hAnsi="Cambria" w:cs="Calibri"/>
                <w:color w:val="000000"/>
                <w:lang w:eastAsia="en-GB"/>
              </w:rPr>
              <w:t>946</w:t>
            </w:r>
          </w:p>
        </w:tc>
        <w:tc>
          <w:tcPr>
            <w:tcW w:w="1046" w:type="dxa"/>
            <w:tcBorders>
              <w:top w:val="nil"/>
              <w:left w:val="nil"/>
              <w:bottom w:val="single" w:sz="4" w:space="0" w:color="auto"/>
              <w:right w:val="nil"/>
            </w:tcBorders>
            <w:shd w:val="clear" w:color="auto" w:fill="auto"/>
            <w:noWrap/>
            <w:vAlign w:val="bottom"/>
            <w:hideMark/>
          </w:tcPr>
          <w:p w14:paraId="484A5175" w14:textId="77777777" w:rsidR="006F6436" w:rsidRPr="006F6436" w:rsidRDefault="006F6436" w:rsidP="006F6436">
            <w:pPr>
              <w:jc w:val="right"/>
              <w:rPr>
                <w:rFonts w:ascii="Cambria" w:eastAsia="Times New Roman" w:hAnsi="Cambria" w:cs="Calibri"/>
                <w:color w:val="000000"/>
                <w:lang w:eastAsia="en-GB"/>
              </w:rPr>
            </w:pPr>
            <w:r w:rsidRPr="006F6436">
              <w:rPr>
                <w:rFonts w:ascii="Cambria" w:eastAsia="Times New Roman" w:hAnsi="Cambria" w:cs="Calibri"/>
                <w:color w:val="000000"/>
                <w:lang w:eastAsia="en-GB"/>
              </w:rPr>
              <w:t>2,600</w:t>
            </w:r>
          </w:p>
        </w:tc>
      </w:tr>
      <w:tr w:rsidR="006F6436" w:rsidRPr="006F6436" w14:paraId="604E00CA" w14:textId="77777777" w:rsidTr="006F6436">
        <w:trPr>
          <w:divId w:val="2112971520"/>
          <w:trHeight w:val="274"/>
        </w:trPr>
        <w:tc>
          <w:tcPr>
            <w:tcW w:w="6006" w:type="dxa"/>
            <w:tcBorders>
              <w:top w:val="nil"/>
              <w:left w:val="single" w:sz="8" w:space="0" w:color="auto"/>
              <w:bottom w:val="single" w:sz="4" w:space="0" w:color="auto"/>
              <w:right w:val="single" w:sz="4" w:space="0" w:color="auto"/>
            </w:tcBorders>
            <w:shd w:val="clear" w:color="auto" w:fill="auto"/>
            <w:noWrap/>
            <w:vAlign w:val="bottom"/>
            <w:hideMark/>
          </w:tcPr>
          <w:p w14:paraId="04804F8B" w14:textId="77777777" w:rsidR="006F6436" w:rsidRPr="006F6436" w:rsidRDefault="006F6436" w:rsidP="006F6436">
            <w:pPr>
              <w:rPr>
                <w:rFonts w:ascii="Cambria" w:eastAsia="Times New Roman" w:hAnsi="Cambria" w:cs="Calibri"/>
                <w:color w:val="000000"/>
                <w:lang w:eastAsia="en-GB"/>
              </w:rPr>
            </w:pPr>
            <w:r w:rsidRPr="006F6436">
              <w:rPr>
                <w:rFonts w:ascii="Cambria" w:eastAsia="Times New Roman" w:hAnsi="Cambria" w:cs="Calibri"/>
                <w:color w:val="000000"/>
                <w:lang w:eastAsia="en-GB"/>
              </w:rPr>
              <w:t>Derivative financial instruments</w:t>
            </w:r>
          </w:p>
        </w:tc>
        <w:tc>
          <w:tcPr>
            <w:tcW w:w="1046" w:type="dxa"/>
            <w:tcBorders>
              <w:top w:val="nil"/>
              <w:left w:val="nil"/>
              <w:bottom w:val="single" w:sz="4" w:space="0" w:color="auto"/>
              <w:right w:val="single" w:sz="4" w:space="0" w:color="auto"/>
            </w:tcBorders>
            <w:shd w:val="clear" w:color="auto" w:fill="auto"/>
            <w:noWrap/>
            <w:vAlign w:val="bottom"/>
            <w:hideMark/>
          </w:tcPr>
          <w:p w14:paraId="497847B6" w14:textId="77777777" w:rsidR="006F6436" w:rsidRPr="006F6436" w:rsidRDefault="006F6436" w:rsidP="006F6436">
            <w:pPr>
              <w:jc w:val="right"/>
              <w:rPr>
                <w:rFonts w:ascii="Cambria" w:eastAsia="Times New Roman" w:hAnsi="Cambria" w:cs="Calibri"/>
                <w:color w:val="000000"/>
                <w:lang w:eastAsia="en-GB"/>
              </w:rPr>
            </w:pPr>
            <w:r w:rsidRPr="006F6436">
              <w:rPr>
                <w:rFonts w:ascii="Cambria" w:eastAsia="Times New Roman" w:hAnsi="Cambria" w:cs="Calibri"/>
                <w:color w:val="000000"/>
                <w:lang w:eastAsia="en-GB"/>
              </w:rPr>
              <w:t>45,064</w:t>
            </w:r>
          </w:p>
        </w:tc>
        <w:tc>
          <w:tcPr>
            <w:tcW w:w="1046" w:type="dxa"/>
            <w:tcBorders>
              <w:top w:val="nil"/>
              <w:left w:val="nil"/>
              <w:bottom w:val="single" w:sz="4" w:space="0" w:color="auto"/>
              <w:right w:val="nil"/>
            </w:tcBorders>
            <w:shd w:val="clear" w:color="auto" w:fill="auto"/>
            <w:noWrap/>
            <w:vAlign w:val="bottom"/>
            <w:hideMark/>
          </w:tcPr>
          <w:p w14:paraId="2663DE25" w14:textId="77777777" w:rsidR="006F6436" w:rsidRPr="006F6436" w:rsidRDefault="006F6436" w:rsidP="006F6436">
            <w:pPr>
              <w:jc w:val="right"/>
              <w:rPr>
                <w:rFonts w:ascii="Cambria" w:eastAsia="Times New Roman" w:hAnsi="Cambria" w:cs="Calibri"/>
                <w:color w:val="000000"/>
                <w:lang w:eastAsia="en-GB"/>
              </w:rPr>
            </w:pPr>
            <w:r w:rsidRPr="006F6436">
              <w:rPr>
                <w:rFonts w:ascii="Cambria" w:eastAsia="Times New Roman" w:hAnsi="Cambria" w:cs="Calibri"/>
                <w:color w:val="000000"/>
                <w:lang w:eastAsia="en-GB"/>
              </w:rPr>
              <w:t>42,051</w:t>
            </w:r>
          </w:p>
        </w:tc>
      </w:tr>
      <w:tr w:rsidR="006F6436" w:rsidRPr="006F6436" w14:paraId="539FB4D2" w14:textId="77777777" w:rsidTr="006F6436">
        <w:trPr>
          <w:divId w:val="2112971520"/>
          <w:trHeight w:val="274"/>
        </w:trPr>
        <w:tc>
          <w:tcPr>
            <w:tcW w:w="6006" w:type="dxa"/>
            <w:tcBorders>
              <w:top w:val="nil"/>
              <w:left w:val="single" w:sz="8" w:space="0" w:color="auto"/>
              <w:bottom w:val="single" w:sz="4" w:space="0" w:color="auto"/>
              <w:right w:val="single" w:sz="4" w:space="0" w:color="auto"/>
            </w:tcBorders>
            <w:shd w:val="clear" w:color="auto" w:fill="auto"/>
            <w:noWrap/>
            <w:vAlign w:val="bottom"/>
            <w:hideMark/>
          </w:tcPr>
          <w:p w14:paraId="2B812CEF" w14:textId="77777777" w:rsidR="006F6436" w:rsidRPr="006F6436" w:rsidRDefault="006F6436" w:rsidP="006F6436">
            <w:pPr>
              <w:rPr>
                <w:rFonts w:ascii="Cambria" w:eastAsia="Times New Roman" w:hAnsi="Cambria" w:cs="Calibri"/>
                <w:color w:val="000000"/>
                <w:lang w:eastAsia="en-GB"/>
              </w:rPr>
            </w:pPr>
            <w:r w:rsidRPr="006F6436">
              <w:rPr>
                <w:rFonts w:ascii="Cambria" w:eastAsia="Times New Roman" w:hAnsi="Cambria" w:cs="Calibri"/>
                <w:color w:val="000000"/>
                <w:lang w:eastAsia="en-GB"/>
              </w:rPr>
              <w:t xml:space="preserve">Trading and other financial assets at fair value through profit or loss </w:t>
            </w:r>
          </w:p>
        </w:tc>
        <w:tc>
          <w:tcPr>
            <w:tcW w:w="1046" w:type="dxa"/>
            <w:tcBorders>
              <w:top w:val="nil"/>
              <w:left w:val="nil"/>
              <w:bottom w:val="single" w:sz="4" w:space="0" w:color="auto"/>
              <w:right w:val="single" w:sz="4" w:space="0" w:color="auto"/>
            </w:tcBorders>
            <w:shd w:val="clear" w:color="auto" w:fill="auto"/>
            <w:noWrap/>
            <w:vAlign w:val="bottom"/>
            <w:hideMark/>
          </w:tcPr>
          <w:p w14:paraId="15A5A7B7" w14:textId="77777777" w:rsidR="006F6436" w:rsidRPr="006F6436" w:rsidRDefault="006F6436" w:rsidP="006F6436">
            <w:pPr>
              <w:jc w:val="right"/>
              <w:rPr>
                <w:rFonts w:ascii="Cambria" w:eastAsia="Times New Roman" w:hAnsi="Cambria" w:cs="Calibri"/>
                <w:color w:val="000000"/>
                <w:lang w:eastAsia="en-GB"/>
              </w:rPr>
            </w:pPr>
            <w:r w:rsidRPr="006F6436">
              <w:rPr>
                <w:rFonts w:ascii="Cambria" w:eastAsia="Times New Roman" w:hAnsi="Cambria" w:cs="Calibri"/>
                <w:color w:val="000000"/>
                <w:lang w:eastAsia="en-GB"/>
              </w:rPr>
              <w:t>28,884</w:t>
            </w:r>
          </w:p>
        </w:tc>
        <w:tc>
          <w:tcPr>
            <w:tcW w:w="1046" w:type="dxa"/>
            <w:tcBorders>
              <w:top w:val="nil"/>
              <w:left w:val="nil"/>
              <w:bottom w:val="nil"/>
              <w:right w:val="nil"/>
            </w:tcBorders>
            <w:shd w:val="clear" w:color="auto" w:fill="auto"/>
            <w:noWrap/>
            <w:vAlign w:val="bottom"/>
            <w:hideMark/>
          </w:tcPr>
          <w:p w14:paraId="0F1FD79F" w14:textId="77777777" w:rsidR="006F6436" w:rsidRPr="006F6436" w:rsidRDefault="006F6436" w:rsidP="006F6436">
            <w:pPr>
              <w:jc w:val="right"/>
              <w:rPr>
                <w:rFonts w:ascii="Cambria" w:eastAsia="Times New Roman" w:hAnsi="Cambria" w:cs="Calibri"/>
                <w:color w:val="000000"/>
                <w:lang w:eastAsia="en-GB"/>
              </w:rPr>
            </w:pPr>
            <w:r w:rsidRPr="006F6436">
              <w:rPr>
                <w:rFonts w:ascii="Cambria" w:eastAsia="Times New Roman" w:hAnsi="Cambria" w:cs="Calibri"/>
                <w:color w:val="000000"/>
                <w:lang w:eastAsia="en-GB"/>
              </w:rPr>
              <w:t>57,976</w:t>
            </w:r>
          </w:p>
        </w:tc>
      </w:tr>
      <w:tr w:rsidR="006F6436" w:rsidRPr="006F6436" w14:paraId="29DEF103" w14:textId="77777777" w:rsidTr="006F6436">
        <w:trPr>
          <w:divId w:val="2112971520"/>
          <w:trHeight w:val="274"/>
        </w:trPr>
        <w:tc>
          <w:tcPr>
            <w:tcW w:w="6006" w:type="dxa"/>
            <w:tcBorders>
              <w:top w:val="nil"/>
              <w:left w:val="single" w:sz="8" w:space="0" w:color="auto"/>
              <w:bottom w:val="single" w:sz="4" w:space="0" w:color="auto"/>
              <w:right w:val="single" w:sz="4" w:space="0" w:color="auto"/>
            </w:tcBorders>
            <w:shd w:val="clear" w:color="auto" w:fill="auto"/>
            <w:noWrap/>
            <w:vAlign w:val="bottom"/>
            <w:hideMark/>
          </w:tcPr>
          <w:p w14:paraId="30E8AFC3" w14:textId="77777777" w:rsidR="006F6436" w:rsidRPr="006F6436" w:rsidRDefault="006F6436" w:rsidP="006F6436">
            <w:pPr>
              <w:rPr>
                <w:rFonts w:ascii="Cambria" w:eastAsia="Times New Roman" w:hAnsi="Cambria" w:cs="Calibri"/>
                <w:color w:val="000000"/>
                <w:lang w:eastAsia="en-GB"/>
              </w:rPr>
            </w:pPr>
            <w:r w:rsidRPr="006F6436">
              <w:rPr>
                <w:rFonts w:ascii="Cambria" w:eastAsia="Times New Roman" w:hAnsi="Cambria" w:cs="Calibri"/>
                <w:color w:val="000000"/>
                <w:lang w:eastAsia="en-GB"/>
              </w:rPr>
              <w:t>Loans and advances to banks</w:t>
            </w:r>
          </w:p>
        </w:tc>
        <w:tc>
          <w:tcPr>
            <w:tcW w:w="1046" w:type="dxa"/>
            <w:tcBorders>
              <w:top w:val="nil"/>
              <w:left w:val="nil"/>
              <w:bottom w:val="single" w:sz="4" w:space="0" w:color="auto"/>
              <w:right w:val="single" w:sz="4" w:space="0" w:color="auto"/>
            </w:tcBorders>
            <w:shd w:val="clear" w:color="auto" w:fill="auto"/>
            <w:noWrap/>
            <w:vAlign w:val="bottom"/>
            <w:hideMark/>
          </w:tcPr>
          <w:p w14:paraId="69AB8CA7" w14:textId="77777777" w:rsidR="006F6436" w:rsidRPr="006F6436" w:rsidRDefault="006F6436" w:rsidP="006F6436">
            <w:pPr>
              <w:jc w:val="right"/>
              <w:rPr>
                <w:rFonts w:ascii="Cambria" w:eastAsia="Times New Roman" w:hAnsi="Cambria" w:cs="Calibri"/>
                <w:color w:val="000000"/>
                <w:lang w:eastAsia="en-GB"/>
              </w:rPr>
            </w:pPr>
            <w:r w:rsidRPr="006F6436">
              <w:rPr>
                <w:rFonts w:ascii="Cambria" w:eastAsia="Times New Roman" w:hAnsi="Cambria" w:cs="Calibri"/>
                <w:color w:val="000000"/>
                <w:lang w:eastAsia="en-GB"/>
              </w:rPr>
              <w:t>40,758</w:t>
            </w:r>
          </w:p>
        </w:tc>
        <w:tc>
          <w:tcPr>
            <w:tcW w:w="1046" w:type="dxa"/>
            <w:tcBorders>
              <w:top w:val="single" w:sz="4" w:space="0" w:color="auto"/>
              <w:left w:val="nil"/>
              <w:bottom w:val="single" w:sz="4" w:space="0" w:color="auto"/>
              <w:right w:val="nil"/>
            </w:tcBorders>
            <w:shd w:val="clear" w:color="auto" w:fill="auto"/>
            <w:noWrap/>
            <w:vAlign w:val="bottom"/>
            <w:hideMark/>
          </w:tcPr>
          <w:p w14:paraId="753FC113" w14:textId="77777777" w:rsidR="006F6436" w:rsidRPr="006F6436" w:rsidRDefault="006F6436" w:rsidP="006F6436">
            <w:pPr>
              <w:jc w:val="right"/>
              <w:rPr>
                <w:rFonts w:ascii="Cambria" w:eastAsia="Times New Roman" w:hAnsi="Cambria" w:cs="Calibri"/>
                <w:color w:val="000000"/>
                <w:lang w:eastAsia="en-GB"/>
              </w:rPr>
            </w:pPr>
            <w:r w:rsidRPr="006F6436">
              <w:rPr>
                <w:rFonts w:ascii="Cambria" w:eastAsia="Times New Roman" w:hAnsi="Cambria" w:cs="Calibri"/>
                <w:color w:val="000000"/>
                <w:lang w:eastAsia="en-GB"/>
              </w:rPr>
              <w:t>70,290</w:t>
            </w:r>
          </w:p>
        </w:tc>
      </w:tr>
      <w:tr w:rsidR="006F6436" w:rsidRPr="006F6436" w14:paraId="1DD332DB" w14:textId="77777777" w:rsidTr="006F6436">
        <w:trPr>
          <w:divId w:val="2112971520"/>
          <w:trHeight w:val="274"/>
        </w:trPr>
        <w:tc>
          <w:tcPr>
            <w:tcW w:w="6006" w:type="dxa"/>
            <w:tcBorders>
              <w:top w:val="nil"/>
              <w:left w:val="single" w:sz="8" w:space="0" w:color="auto"/>
              <w:bottom w:val="single" w:sz="4" w:space="0" w:color="auto"/>
              <w:right w:val="single" w:sz="4" w:space="0" w:color="auto"/>
            </w:tcBorders>
            <w:shd w:val="clear" w:color="auto" w:fill="auto"/>
            <w:noWrap/>
            <w:vAlign w:val="bottom"/>
            <w:hideMark/>
          </w:tcPr>
          <w:p w14:paraId="68D0C459" w14:textId="77777777" w:rsidR="006F6436" w:rsidRPr="006F6436" w:rsidRDefault="006F6436" w:rsidP="006F6436">
            <w:pPr>
              <w:rPr>
                <w:rFonts w:ascii="Cambria" w:eastAsia="Times New Roman" w:hAnsi="Cambria" w:cs="Calibri"/>
                <w:color w:val="000000"/>
                <w:lang w:eastAsia="en-GB"/>
              </w:rPr>
            </w:pPr>
            <w:r w:rsidRPr="006F6436">
              <w:rPr>
                <w:rFonts w:ascii="Cambria" w:eastAsia="Times New Roman" w:hAnsi="Cambria" w:cs="Calibri"/>
                <w:color w:val="000000"/>
                <w:lang w:eastAsia="en-GB"/>
              </w:rPr>
              <w:t> </w:t>
            </w:r>
          </w:p>
        </w:tc>
        <w:tc>
          <w:tcPr>
            <w:tcW w:w="1046" w:type="dxa"/>
            <w:tcBorders>
              <w:top w:val="nil"/>
              <w:left w:val="nil"/>
              <w:bottom w:val="single" w:sz="4" w:space="0" w:color="auto"/>
              <w:right w:val="single" w:sz="4" w:space="0" w:color="auto"/>
            </w:tcBorders>
            <w:shd w:val="clear" w:color="auto" w:fill="auto"/>
            <w:noWrap/>
            <w:vAlign w:val="bottom"/>
            <w:hideMark/>
          </w:tcPr>
          <w:p w14:paraId="2C097661" w14:textId="77777777" w:rsidR="006F6436" w:rsidRPr="006F6436" w:rsidRDefault="006F6436" w:rsidP="006F6436">
            <w:pPr>
              <w:rPr>
                <w:rFonts w:ascii="Cambria" w:eastAsia="Times New Roman" w:hAnsi="Cambria" w:cs="Calibri"/>
                <w:color w:val="000000"/>
                <w:lang w:eastAsia="en-GB"/>
              </w:rPr>
            </w:pPr>
            <w:r w:rsidRPr="006F6436">
              <w:rPr>
                <w:rFonts w:ascii="Cambria" w:eastAsia="Times New Roman" w:hAnsi="Cambria" w:cs="Calibri"/>
                <w:color w:val="000000"/>
                <w:lang w:eastAsia="en-GB"/>
              </w:rPr>
              <w:t> </w:t>
            </w:r>
          </w:p>
        </w:tc>
        <w:tc>
          <w:tcPr>
            <w:tcW w:w="1046" w:type="dxa"/>
            <w:tcBorders>
              <w:top w:val="nil"/>
              <w:left w:val="nil"/>
              <w:bottom w:val="single" w:sz="4" w:space="0" w:color="auto"/>
              <w:right w:val="nil"/>
            </w:tcBorders>
            <w:shd w:val="clear" w:color="auto" w:fill="auto"/>
            <w:noWrap/>
            <w:vAlign w:val="bottom"/>
            <w:hideMark/>
          </w:tcPr>
          <w:p w14:paraId="020F3E3C" w14:textId="77777777" w:rsidR="006F6436" w:rsidRPr="006F6436" w:rsidRDefault="006F6436" w:rsidP="006F6436">
            <w:pPr>
              <w:rPr>
                <w:rFonts w:ascii="Cambria" w:eastAsia="Times New Roman" w:hAnsi="Cambria" w:cs="Calibri"/>
                <w:color w:val="000000"/>
                <w:lang w:eastAsia="en-GB"/>
              </w:rPr>
            </w:pPr>
            <w:r w:rsidRPr="006F6436">
              <w:rPr>
                <w:rFonts w:ascii="Cambria" w:eastAsia="Times New Roman" w:hAnsi="Cambria" w:cs="Calibri"/>
                <w:color w:val="000000"/>
                <w:lang w:eastAsia="en-GB"/>
              </w:rPr>
              <w:t> </w:t>
            </w:r>
          </w:p>
        </w:tc>
      </w:tr>
      <w:tr w:rsidR="006F6436" w:rsidRPr="006F6436" w14:paraId="4820F282" w14:textId="77777777" w:rsidTr="006F6436">
        <w:trPr>
          <w:divId w:val="2112971520"/>
          <w:trHeight w:val="274"/>
        </w:trPr>
        <w:tc>
          <w:tcPr>
            <w:tcW w:w="6006" w:type="dxa"/>
            <w:tcBorders>
              <w:top w:val="nil"/>
              <w:left w:val="single" w:sz="8" w:space="0" w:color="auto"/>
              <w:bottom w:val="single" w:sz="4" w:space="0" w:color="auto"/>
              <w:right w:val="single" w:sz="4" w:space="0" w:color="auto"/>
            </w:tcBorders>
            <w:shd w:val="clear" w:color="auto" w:fill="auto"/>
            <w:noWrap/>
            <w:vAlign w:val="bottom"/>
            <w:hideMark/>
          </w:tcPr>
          <w:p w14:paraId="4A52B1BC" w14:textId="77777777" w:rsidR="006F6436" w:rsidRPr="006F6436" w:rsidRDefault="006F6436" w:rsidP="006F6436">
            <w:pPr>
              <w:rPr>
                <w:rFonts w:ascii="Cambria" w:eastAsia="Times New Roman" w:hAnsi="Cambria" w:cs="Calibri"/>
                <w:color w:val="000000"/>
                <w:lang w:eastAsia="en-GB"/>
              </w:rPr>
            </w:pPr>
            <w:r w:rsidRPr="006F6436">
              <w:rPr>
                <w:rFonts w:ascii="Cambria" w:eastAsia="Times New Roman" w:hAnsi="Cambria" w:cs="Calibri"/>
                <w:color w:val="000000"/>
                <w:lang w:eastAsia="en-GB"/>
              </w:rPr>
              <w:t>Loans and advances to customers</w:t>
            </w:r>
          </w:p>
        </w:tc>
        <w:tc>
          <w:tcPr>
            <w:tcW w:w="1046" w:type="dxa"/>
            <w:tcBorders>
              <w:top w:val="nil"/>
              <w:left w:val="nil"/>
              <w:bottom w:val="single" w:sz="4" w:space="0" w:color="auto"/>
              <w:right w:val="single" w:sz="4" w:space="0" w:color="auto"/>
            </w:tcBorders>
            <w:shd w:val="clear" w:color="auto" w:fill="auto"/>
            <w:noWrap/>
            <w:vAlign w:val="bottom"/>
            <w:hideMark/>
          </w:tcPr>
          <w:p w14:paraId="61795049" w14:textId="77777777" w:rsidR="006F6436" w:rsidRPr="006F6436" w:rsidRDefault="006F6436" w:rsidP="006F6436">
            <w:pPr>
              <w:jc w:val="right"/>
              <w:rPr>
                <w:rFonts w:ascii="Cambria" w:eastAsia="Times New Roman" w:hAnsi="Cambria" w:cs="Calibri"/>
                <w:color w:val="000000"/>
                <w:lang w:eastAsia="en-GB"/>
              </w:rPr>
            </w:pPr>
            <w:r w:rsidRPr="006F6436">
              <w:rPr>
                <w:rFonts w:ascii="Cambria" w:eastAsia="Times New Roman" w:hAnsi="Cambria" w:cs="Calibri"/>
                <w:color w:val="000000"/>
                <w:lang w:eastAsia="en-GB"/>
              </w:rPr>
              <w:t>242,735</w:t>
            </w:r>
          </w:p>
        </w:tc>
        <w:tc>
          <w:tcPr>
            <w:tcW w:w="1046" w:type="dxa"/>
            <w:tcBorders>
              <w:top w:val="nil"/>
              <w:left w:val="nil"/>
              <w:bottom w:val="single" w:sz="4" w:space="0" w:color="auto"/>
              <w:right w:val="nil"/>
            </w:tcBorders>
            <w:shd w:val="clear" w:color="auto" w:fill="auto"/>
            <w:noWrap/>
            <w:vAlign w:val="bottom"/>
            <w:hideMark/>
          </w:tcPr>
          <w:p w14:paraId="0609FC4E" w14:textId="77777777" w:rsidR="006F6436" w:rsidRPr="006F6436" w:rsidRDefault="006F6436" w:rsidP="006F6436">
            <w:pPr>
              <w:jc w:val="right"/>
              <w:rPr>
                <w:rFonts w:ascii="Cambria" w:eastAsia="Times New Roman" w:hAnsi="Cambria" w:cs="Calibri"/>
                <w:color w:val="000000"/>
                <w:lang w:eastAsia="en-GB"/>
              </w:rPr>
            </w:pPr>
            <w:r w:rsidRPr="006F6436">
              <w:rPr>
                <w:rFonts w:ascii="Cambria" w:eastAsia="Times New Roman" w:hAnsi="Cambria" w:cs="Calibri"/>
                <w:color w:val="000000"/>
                <w:lang w:eastAsia="en-GB"/>
              </w:rPr>
              <w:t>306,771</w:t>
            </w:r>
          </w:p>
        </w:tc>
      </w:tr>
      <w:tr w:rsidR="006F6436" w:rsidRPr="006F6436" w14:paraId="145310CC" w14:textId="77777777" w:rsidTr="006F6436">
        <w:trPr>
          <w:divId w:val="2112971520"/>
          <w:trHeight w:val="274"/>
        </w:trPr>
        <w:tc>
          <w:tcPr>
            <w:tcW w:w="6006" w:type="dxa"/>
            <w:tcBorders>
              <w:top w:val="nil"/>
              <w:left w:val="single" w:sz="8" w:space="0" w:color="auto"/>
              <w:bottom w:val="single" w:sz="4" w:space="0" w:color="auto"/>
              <w:right w:val="single" w:sz="4" w:space="0" w:color="auto"/>
            </w:tcBorders>
            <w:shd w:val="clear" w:color="auto" w:fill="auto"/>
            <w:noWrap/>
            <w:vAlign w:val="bottom"/>
            <w:hideMark/>
          </w:tcPr>
          <w:p w14:paraId="33044B94" w14:textId="77777777" w:rsidR="006F6436" w:rsidRPr="006F6436" w:rsidRDefault="006F6436" w:rsidP="006F6436">
            <w:pPr>
              <w:rPr>
                <w:rFonts w:ascii="Cambria" w:eastAsia="Times New Roman" w:hAnsi="Cambria" w:cs="Calibri"/>
                <w:color w:val="000000"/>
                <w:lang w:eastAsia="en-GB"/>
              </w:rPr>
            </w:pPr>
            <w:r w:rsidRPr="006F6436">
              <w:rPr>
                <w:rFonts w:ascii="Cambria" w:eastAsia="Times New Roman" w:hAnsi="Cambria" w:cs="Calibri"/>
                <w:color w:val="000000"/>
                <w:lang w:eastAsia="en-GB"/>
              </w:rPr>
              <w:t>Available-for-sale financial assets</w:t>
            </w:r>
          </w:p>
        </w:tc>
        <w:tc>
          <w:tcPr>
            <w:tcW w:w="1046" w:type="dxa"/>
            <w:tcBorders>
              <w:top w:val="nil"/>
              <w:left w:val="nil"/>
              <w:bottom w:val="single" w:sz="4" w:space="0" w:color="auto"/>
              <w:right w:val="single" w:sz="4" w:space="0" w:color="auto"/>
            </w:tcBorders>
            <w:shd w:val="clear" w:color="auto" w:fill="auto"/>
            <w:noWrap/>
            <w:vAlign w:val="bottom"/>
            <w:hideMark/>
          </w:tcPr>
          <w:p w14:paraId="46D44B40" w14:textId="77777777" w:rsidR="006F6436" w:rsidRPr="006F6436" w:rsidRDefault="006F6436" w:rsidP="006F6436">
            <w:pPr>
              <w:jc w:val="right"/>
              <w:rPr>
                <w:rFonts w:ascii="Cambria" w:eastAsia="Times New Roman" w:hAnsi="Cambria" w:cs="Calibri"/>
                <w:color w:val="000000"/>
                <w:lang w:eastAsia="en-GB"/>
              </w:rPr>
            </w:pPr>
            <w:r w:rsidRPr="006F6436">
              <w:rPr>
                <w:rFonts w:ascii="Cambria" w:eastAsia="Times New Roman" w:hAnsi="Cambria" w:cs="Calibri"/>
                <w:color w:val="000000"/>
                <w:lang w:eastAsia="en-GB"/>
              </w:rPr>
              <w:t>55,707</w:t>
            </w:r>
          </w:p>
        </w:tc>
        <w:tc>
          <w:tcPr>
            <w:tcW w:w="1046" w:type="dxa"/>
            <w:tcBorders>
              <w:top w:val="nil"/>
              <w:left w:val="nil"/>
              <w:bottom w:val="single" w:sz="4" w:space="0" w:color="auto"/>
              <w:right w:val="nil"/>
            </w:tcBorders>
            <w:shd w:val="clear" w:color="auto" w:fill="auto"/>
            <w:noWrap/>
            <w:vAlign w:val="bottom"/>
            <w:hideMark/>
          </w:tcPr>
          <w:p w14:paraId="5957B1F6" w14:textId="77777777" w:rsidR="006F6436" w:rsidRPr="006F6436" w:rsidRDefault="006F6436" w:rsidP="006F6436">
            <w:pPr>
              <w:jc w:val="right"/>
              <w:rPr>
                <w:rFonts w:ascii="Cambria" w:eastAsia="Times New Roman" w:hAnsi="Cambria" w:cs="Calibri"/>
                <w:color w:val="000000"/>
                <w:lang w:eastAsia="en-GB"/>
              </w:rPr>
            </w:pPr>
            <w:r w:rsidRPr="006F6436">
              <w:rPr>
                <w:rFonts w:ascii="Cambria" w:eastAsia="Times New Roman" w:hAnsi="Cambria" w:cs="Calibri"/>
                <w:color w:val="000000"/>
                <w:lang w:eastAsia="en-GB"/>
              </w:rPr>
              <w:t>120,456</w:t>
            </w:r>
          </w:p>
        </w:tc>
      </w:tr>
      <w:tr w:rsidR="006F6436" w:rsidRPr="006F6436" w14:paraId="117966F6" w14:textId="77777777" w:rsidTr="006F6436">
        <w:trPr>
          <w:divId w:val="2112971520"/>
          <w:trHeight w:val="274"/>
        </w:trPr>
        <w:tc>
          <w:tcPr>
            <w:tcW w:w="6006" w:type="dxa"/>
            <w:tcBorders>
              <w:top w:val="nil"/>
              <w:left w:val="single" w:sz="8" w:space="0" w:color="auto"/>
              <w:bottom w:val="single" w:sz="4" w:space="0" w:color="auto"/>
              <w:right w:val="single" w:sz="4" w:space="0" w:color="auto"/>
            </w:tcBorders>
            <w:shd w:val="clear" w:color="auto" w:fill="auto"/>
            <w:noWrap/>
            <w:vAlign w:val="bottom"/>
            <w:hideMark/>
          </w:tcPr>
          <w:p w14:paraId="51B82133" w14:textId="77777777" w:rsidR="006F6436" w:rsidRPr="006F6436" w:rsidRDefault="006F6436" w:rsidP="006F6436">
            <w:pPr>
              <w:rPr>
                <w:rFonts w:ascii="Cambria" w:eastAsia="Times New Roman" w:hAnsi="Cambria" w:cs="Calibri"/>
                <w:color w:val="000000"/>
                <w:lang w:eastAsia="en-GB"/>
              </w:rPr>
            </w:pPr>
            <w:r w:rsidRPr="006F6436">
              <w:rPr>
                <w:rFonts w:ascii="Cambria" w:eastAsia="Times New Roman" w:hAnsi="Cambria" w:cs="Calibri"/>
                <w:color w:val="000000"/>
                <w:lang w:eastAsia="en-GB"/>
              </w:rPr>
              <w:t>Investment property</w:t>
            </w:r>
          </w:p>
        </w:tc>
        <w:tc>
          <w:tcPr>
            <w:tcW w:w="1046" w:type="dxa"/>
            <w:tcBorders>
              <w:top w:val="nil"/>
              <w:left w:val="nil"/>
              <w:bottom w:val="single" w:sz="4" w:space="0" w:color="auto"/>
              <w:right w:val="single" w:sz="4" w:space="0" w:color="auto"/>
            </w:tcBorders>
            <w:shd w:val="clear" w:color="auto" w:fill="auto"/>
            <w:noWrap/>
            <w:vAlign w:val="bottom"/>
            <w:hideMark/>
          </w:tcPr>
          <w:p w14:paraId="1FDE791F" w14:textId="77777777" w:rsidR="006F6436" w:rsidRPr="006F6436" w:rsidRDefault="006F6436" w:rsidP="006F6436">
            <w:pPr>
              <w:jc w:val="right"/>
              <w:rPr>
                <w:rFonts w:ascii="Cambria" w:eastAsia="Times New Roman" w:hAnsi="Cambria" w:cs="Calibri"/>
                <w:color w:val="000000"/>
                <w:lang w:eastAsia="en-GB"/>
              </w:rPr>
            </w:pPr>
            <w:r w:rsidRPr="006F6436">
              <w:rPr>
                <w:rFonts w:ascii="Cambria" w:eastAsia="Times New Roman" w:hAnsi="Cambria" w:cs="Calibri"/>
                <w:color w:val="000000"/>
                <w:lang w:eastAsia="en-GB"/>
              </w:rPr>
              <w:t>2,631</w:t>
            </w:r>
          </w:p>
        </w:tc>
        <w:tc>
          <w:tcPr>
            <w:tcW w:w="1046" w:type="dxa"/>
            <w:tcBorders>
              <w:top w:val="nil"/>
              <w:left w:val="nil"/>
              <w:bottom w:val="single" w:sz="4" w:space="0" w:color="auto"/>
              <w:right w:val="nil"/>
            </w:tcBorders>
            <w:shd w:val="clear" w:color="auto" w:fill="auto"/>
            <w:noWrap/>
            <w:vAlign w:val="bottom"/>
            <w:hideMark/>
          </w:tcPr>
          <w:p w14:paraId="34D95AB3" w14:textId="77777777" w:rsidR="006F6436" w:rsidRPr="006F6436" w:rsidRDefault="006F6436" w:rsidP="006F6436">
            <w:pPr>
              <w:jc w:val="right"/>
              <w:rPr>
                <w:rFonts w:ascii="Cambria" w:eastAsia="Times New Roman" w:hAnsi="Cambria" w:cs="Calibri"/>
                <w:color w:val="000000"/>
                <w:lang w:eastAsia="en-GB"/>
              </w:rPr>
            </w:pPr>
            <w:r w:rsidRPr="006F6436">
              <w:rPr>
                <w:rFonts w:ascii="Cambria" w:eastAsia="Times New Roman" w:hAnsi="Cambria" w:cs="Calibri"/>
                <w:color w:val="000000"/>
                <w:lang w:eastAsia="en-GB"/>
              </w:rPr>
              <w:t>12,565</w:t>
            </w:r>
          </w:p>
        </w:tc>
      </w:tr>
      <w:tr w:rsidR="006F6436" w:rsidRPr="006F6436" w14:paraId="2033CFAA" w14:textId="77777777" w:rsidTr="006F6436">
        <w:trPr>
          <w:divId w:val="2112971520"/>
          <w:trHeight w:val="274"/>
        </w:trPr>
        <w:tc>
          <w:tcPr>
            <w:tcW w:w="6006" w:type="dxa"/>
            <w:tcBorders>
              <w:top w:val="nil"/>
              <w:left w:val="single" w:sz="8" w:space="0" w:color="auto"/>
              <w:bottom w:val="single" w:sz="4" w:space="0" w:color="auto"/>
              <w:right w:val="single" w:sz="4" w:space="0" w:color="auto"/>
            </w:tcBorders>
            <w:shd w:val="clear" w:color="auto" w:fill="auto"/>
            <w:noWrap/>
            <w:vAlign w:val="bottom"/>
            <w:hideMark/>
          </w:tcPr>
          <w:p w14:paraId="796FAE5A" w14:textId="77777777" w:rsidR="006F6436" w:rsidRPr="006F6436" w:rsidRDefault="006F6436" w:rsidP="006F6436">
            <w:pPr>
              <w:rPr>
                <w:rFonts w:ascii="Cambria" w:eastAsia="Times New Roman" w:hAnsi="Cambria" w:cs="Calibri"/>
                <w:color w:val="000000"/>
                <w:lang w:eastAsia="en-GB"/>
              </w:rPr>
            </w:pPr>
            <w:r w:rsidRPr="006F6436">
              <w:rPr>
                <w:rFonts w:ascii="Cambria" w:eastAsia="Times New Roman" w:hAnsi="Cambria" w:cs="Calibri"/>
                <w:color w:val="000000"/>
                <w:lang w:eastAsia="en-GB"/>
              </w:rPr>
              <w:t>Goodwill</w:t>
            </w:r>
          </w:p>
        </w:tc>
        <w:tc>
          <w:tcPr>
            <w:tcW w:w="1046" w:type="dxa"/>
            <w:tcBorders>
              <w:top w:val="nil"/>
              <w:left w:val="nil"/>
              <w:bottom w:val="single" w:sz="4" w:space="0" w:color="auto"/>
              <w:right w:val="single" w:sz="4" w:space="0" w:color="auto"/>
            </w:tcBorders>
            <w:shd w:val="clear" w:color="auto" w:fill="auto"/>
            <w:noWrap/>
            <w:vAlign w:val="bottom"/>
            <w:hideMark/>
          </w:tcPr>
          <w:p w14:paraId="4C809B5F" w14:textId="77777777" w:rsidR="006F6436" w:rsidRPr="006F6436" w:rsidRDefault="006F6436" w:rsidP="006F6436">
            <w:pPr>
              <w:jc w:val="right"/>
              <w:rPr>
                <w:rFonts w:ascii="Cambria" w:eastAsia="Times New Roman" w:hAnsi="Cambria" w:cs="Calibri"/>
                <w:color w:val="000000"/>
                <w:lang w:eastAsia="en-GB"/>
              </w:rPr>
            </w:pPr>
            <w:r w:rsidRPr="006F6436">
              <w:rPr>
                <w:rFonts w:ascii="Cambria" w:eastAsia="Times New Roman" w:hAnsi="Cambria" w:cs="Calibri"/>
                <w:color w:val="000000"/>
                <w:lang w:eastAsia="en-GB"/>
              </w:rPr>
              <w:t>2,256</w:t>
            </w:r>
          </w:p>
        </w:tc>
        <w:tc>
          <w:tcPr>
            <w:tcW w:w="1046" w:type="dxa"/>
            <w:tcBorders>
              <w:top w:val="nil"/>
              <w:left w:val="nil"/>
              <w:bottom w:val="single" w:sz="4" w:space="0" w:color="auto"/>
              <w:right w:val="nil"/>
            </w:tcBorders>
            <w:shd w:val="clear" w:color="auto" w:fill="auto"/>
            <w:noWrap/>
            <w:vAlign w:val="bottom"/>
            <w:hideMark/>
          </w:tcPr>
          <w:p w14:paraId="7CD55BE8" w14:textId="77777777" w:rsidR="006F6436" w:rsidRPr="006F6436" w:rsidRDefault="006F6436" w:rsidP="006F6436">
            <w:pPr>
              <w:jc w:val="right"/>
              <w:rPr>
                <w:rFonts w:ascii="Cambria" w:eastAsia="Times New Roman" w:hAnsi="Cambria" w:cs="Calibri"/>
                <w:color w:val="000000"/>
                <w:lang w:eastAsia="en-GB"/>
              </w:rPr>
            </w:pPr>
            <w:r w:rsidRPr="006F6436">
              <w:rPr>
                <w:rFonts w:ascii="Cambria" w:eastAsia="Times New Roman" w:hAnsi="Cambria" w:cs="Calibri"/>
                <w:color w:val="000000"/>
                <w:lang w:eastAsia="en-GB"/>
              </w:rPr>
              <w:t>28,390</w:t>
            </w:r>
          </w:p>
        </w:tc>
      </w:tr>
      <w:tr w:rsidR="006F6436" w:rsidRPr="006F6436" w14:paraId="4035B2DB" w14:textId="77777777" w:rsidTr="006F6436">
        <w:trPr>
          <w:divId w:val="2112971520"/>
          <w:trHeight w:val="274"/>
        </w:trPr>
        <w:tc>
          <w:tcPr>
            <w:tcW w:w="6006" w:type="dxa"/>
            <w:tcBorders>
              <w:top w:val="nil"/>
              <w:left w:val="single" w:sz="8" w:space="0" w:color="auto"/>
              <w:bottom w:val="single" w:sz="4" w:space="0" w:color="auto"/>
              <w:right w:val="single" w:sz="4" w:space="0" w:color="auto"/>
            </w:tcBorders>
            <w:shd w:val="clear" w:color="auto" w:fill="auto"/>
            <w:noWrap/>
            <w:vAlign w:val="bottom"/>
            <w:hideMark/>
          </w:tcPr>
          <w:p w14:paraId="7EB27450" w14:textId="77777777" w:rsidR="006F6436" w:rsidRPr="006F6436" w:rsidRDefault="006F6436" w:rsidP="006F6436">
            <w:pPr>
              <w:rPr>
                <w:rFonts w:ascii="Cambria" w:eastAsia="Times New Roman" w:hAnsi="Cambria" w:cs="Calibri"/>
                <w:color w:val="000000"/>
                <w:lang w:eastAsia="en-GB"/>
              </w:rPr>
            </w:pPr>
            <w:r w:rsidRPr="006F6436">
              <w:rPr>
                <w:rFonts w:ascii="Cambria" w:eastAsia="Times New Roman" w:hAnsi="Cambria" w:cs="Calibri"/>
                <w:color w:val="000000"/>
                <w:lang w:eastAsia="en-GB"/>
              </w:rPr>
              <w:t>Value of in-force business</w:t>
            </w:r>
          </w:p>
        </w:tc>
        <w:tc>
          <w:tcPr>
            <w:tcW w:w="1046" w:type="dxa"/>
            <w:tcBorders>
              <w:top w:val="nil"/>
              <w:left w:val="nil"/>
              <w:bottom w:val="single" w:sz="4" w:space="0" w:color="auto"/>
              <w:right w:val="single" w:sz="4" w:space="0" w:color="auto"/>
            </w:tcBorders>
            <w:shd w:val="clear" w:color="auto" w:fill="auto"/>
            <w:noWrap/>
            <w:vAlign w:val="bottom"/>
            <w:hideMark/>
          </w:tcPr>
          <w:p w14:paraId="1F250CD0" w14:textId="77777777" w:rsidR="006F6436" w:rsidRPr="006F6436" w:rsidRDefault="006F6436" w:rsidP="006F6436">
            <w:pPr>
              <w:jc w:val="right"/>
              <w:rPr>
                <w:rFonts w:ascii="Cambria" w:eastAsia="Times New Roman" w:hAnsi="Cambria" w:cs="Calibri"/>
                <w:color w:val="000000"/>
                <w:lang w:eastAsia="en-GB"/>
              </w:rPr>
            </w:pPr>
            <w:r w:rsidRPr="006F6436">
              <w:rPr>
                <w:rFonts w:ascii="Cambria" w:eastAsia="Times New Roman" w:hAnsi="Cambria" w:cs="Calibri"/>
                <w:color w:val="000000"/>
                <w:lang w:eastAsia="en-GB"/>
              </w:rPr>
              <w:t>1,893</w:t>
            </w:r>
          </w:p>
        </w:tc>
        <w:tc>
          <w:tcPr>
            <w:tcW w:w="1046" w:type="dxa"/>
            <w:tcBorders>
              <w:top w:val="nil"/>
              <w:left w:val="nil"/>
              <w:bottom w:val="single" w:sz="4" w:space="0" w:color="auto"/>
              <w:right w:val="nil"/>
            </w:tcBorders>
            <w:shd w:val="clear" w:color="auto" w:fill="auto"/>
            <w:noWrap/>
            <w:vAlign w:val="bottom"/>
            <w:hideMark/>
          </w:tcPr>
          <w:p w14:paraId="6B6942D4" w14:textId="77777777" w:rsidR="006F6436" w:rsidRPr="006F6436" w:rsidRDefault="006F6436" w:rsidP="006F6436">
            <w:pPr>
              <w:jc w:val="right"/>
              <w:rPr>
                <w:rFonts w:ascii="Cambria" w:eastAsia="Times New Roman" w:hAnsi="Cambria" w:cs="Calibri"/>
                <w:color w:val="000000"/>
                <w:lang w:eastAsia="en-GB"/>
              </w:rPr>
            </w:pPr>
            <w:r w:rsidRPr="006F6436">
              <w:rPr>
                <w:rFonts w:ascii="Cambria" w:eastAsia="Times New Roman" w:hAnsi="Cambria" w:cs="Calibri"/>
                <w:color w:val="000000"/>
                <w:lang w:eastAsia="en-GB"/>
              </w:rPr>
              <w:t>75,900</w:t>
            </w:r>
          </w:p>
        </w:tc>
      </w:tr>
      <w:tr w:rsidR="006F6436" w:rsidRPr="006F6436" w14:paraId="3012C3F0" w14:textId="77777777" w:rsidTr="006F6436">
        <w:trPr>
          <w:divId w:val="2112971520"/>
          <w:trHeight w:val="274"/>
        </w:trPr>
        <w:tc>
          <w:tcPr>
            <w:tcW w:w="6006" w:type="dxa"/>
            <w:tcBorders>
              <w:top w:val="nil"/>
              <w:left w:val="single" w:sz="8" w:space="0" w:color="auto"/>
              <w:bottom w:val="single" w:sz="4" w:space="0" w:color="auto"/>
              <w:right w:val="single" w:sz="4" w:space="0" w:color="auto"/>
            </w:tcBorders>
            <w:shd w:val="clear" w:color="auto" w:fill="auto"/>
            <w:noWrap/>
            <w:vAlign w:val="bottom"/>
            <w:hideMark/>
          </w:tcPr>
          <w:p w14:paraId="671B4E81" w14:textId="77777777" w:rsidR="006F6436" w:rsidRPr="006F6436" w:rsidRDefault="006F6436" w:rsidP="006F6436">
            <w:pPr>
              <w:rPr>
                <w:rFonts w:ascii="Cambria" w:eastAsia="Times New Roman" w:hAnsi="Cambria" w:cs="Calibri"/>
                <w:color w:val="000000"/>
                <w:lang w:eastAsia="en-GB"/>
              </w:rPr>
            </w:pPr>
            <w:r w:rsidRPr="006F6436">
              <w:rPr>
                <w:rFonts w:ascii="Cambria" w:eastAsia="Times New Roman" w:hAnsi="Cambria" w:cs="Calibri"/>
                <w:color w:val="000000"/>
                <w:lang w:eastAsia="en-GB"/>
              </w:rPr>
              <w:t>Other intangible assets</w:t>
            </w:r>
          </w:p>
        </w:tc>
        <w:tc>
          <w:tcPr>
            <w:tcW w:w="1046" w:type="dxa"/>
            <w:tcBorders>
              <w:top w:val="nil"/>
              <w:left w:val="nil"/>
              <w:bottom w:val="single" w:sz="4" w:space="0" w:color="auto"/>
              <w:right w:val="single" w:sz="4" w:space="0" w:color="auto"/>
            </w:tcBorders>
            <w:shd w:val="clear" w:color="auto" w:fill="auto"/>
            <w:noWrap/>
            <w:vAlign w:val="bottom"/>
            <w:hideMark/>
          </w:tcPr>
          <w:p w14:paraId="1D9F87A0" w14:textId="77777777" w:rsidR="006F6436" w:rsidRPr="006F6436" w:rsidRDefault="006F6436" w:rsidP="006F6436">
            <w:pPr>
              <w:jc w:val="right"/>
              <w:rPr>
                <w:rFonts w:ascii="Cambria" w:eastAsia="Times New Roman" w:hAnsi="Cambria" w:cs="Calibri"/>
                <w:color w:val="000000"/>
                <w:lang w:eastAsia="en-GB"/>
              </w:rPr>
            </w:pPr>
            <w:r w:rsidRPr="006F6436">
              <w:rPr>
                <w:rFonts w:ascii="Cambria" w:eastAsia="Times New Roman" w:hAnsi="Cambria" w:cs="Calibri"/>
                <w:color w:val="000000"/>
                <w:lang w:eastAsia="en-GB"/>
              </w:rPr>
              <w:t>197</w:t>
            </w:r>
          </w:p>
        </w:tc>
        <w:tc>
          <w:tcPr>
            <w:tcW w:w="1046" w:type="dxa"/>
            <w:tcBorders>
              <w:top w:val="nil"/>
              <w:left w:val="nil"/>
              <w:bottom w:val="single" w:sz="4" w:space="0" w:color="auto"/>
              <w:right w:val="nil"/>
            </w:tcBorders>
            <w:shd w:val="clear" w:color="auto" w:fill="auto"/>
            <w:noWrap/>
            <w:vAlign w:val="bottom"/>
            <w:hideMark/>
          </w:tcPr>
          <w:p w14:paraId="0C22DA06" w14:textId="77777777" w:rsidR="006F6436" w:rsidRPr="006F6436" w:rsidRDefault="006F6436" w:rsidP="006F6436">
            <w:pPr>
              <w:jc w:val="right"/>
              <w:rPr>
                <w:rFonts w:ascii="Cambria" w:eastAsia="Times New Roman" w:hAnsi="Cambria" w:cs="Calibri"/>
                <w:color w:val="000000"/>
                <w:lang w:eastAsia="en-GB"/>
              </w:rPr>
            </w:pPr>
            <w:r w:rsidRPr="006F6436">
              <w:rPr>
                <w:rFonts w:ascii="Cambria" w:eastAsia="Times New Roman" w:hAnsi="Cambria" w:cs="Calibri"/>
                <w:color w:val="000000"/>
                <w:lang w:eastAsia="en-GB"/>
              </w:rPr>
              <w:t>1,790</w:t>
            </w:r>
          </w:p>
        </w:tc>
      </w:tr>
      <w:tr w:rsidR="006F6436" w:rsidRPr="006F6436" w14:paraId="4DE683D9" w14:textId="77777777" w:rsidTr="006F6436">
        <w:trPr>
          <w:divId w:val="2112971520"/>
          <w:trHeight w:val="274"/>
        </w:trPr>
        <w:tc>
          <w:tcPr>
            <w:tcW w:w="6006" w:type="dxa"/>
            <w:tcBorders>
              <w:top w:val="nil"/>
              <w:left w:val="single" w:sz="8" w:space="0" w:color="auto"/>
              <w:bottom w:val="single" w:sz="4" w:space="0" w:color="auto"/>
              <w:right w:val="single" w:sz="4" w:space="0" w:color="auto"/>
            </w:tcBorders>
            <w:shd w:val="clear" w:color="auto" w:fill="auto"/>
            <w:noWrap/>
            <w:vAlign w:val="bottom"/>
            <w:hideMark/>
          </w:tcPr>
          <w:p w14:paraId="5AF3AB06" w14:textId="77777777" w:rsidR="006F6436" w:rsidRPr="006F6436" w:rsidRDefault="006F6436" w:rsidP="006F6436">
            <w:pPr>
              <w:rPr>
                <w:rFonts w:ascii="Cambria" w:eastAsia="Times New Roman" w:hAnsi="Cambria" w:cs="Calibri"/>
                <w:color w:val="000000"/>
                <w:lang w:eastAsia="en-GB"/>
              </w:rPr>
            </w:pPr>
            <w:r w:rsidRPr="006F6436">
              <w:rPr>
                <w:rFonts w:ascii="Cambria" w:eastAsia="Times New Roman" w:hAnsi="Cambria" w:cs="Calibri"/>
                <w:color w:val="000000"/>
                <w:lang w:eastAsia="en-GB"/>
              </w:rPr>
              <w:t>Tangible fixed assets</w:t>
            </w:r>
          </w:p>
        </w:tc>
        <w:tc>
          <w:tcPr>
            <w:tcW w:w="1046" w:type="dxa"/>
            <w:tcBorders>
              <w:top w:val="nil"/>
              <w:left w:val="nil"/>
              <w:bottom w:val="single" w:sz="4" w:space="0" w:color="auto"/>
              <w:right w:val="single" w:sz="4" w:space="0" w:color="auto"/>
            </w:tcBorders>
            <w:shd w:val="clear" w:color="auto" w:fill="auto"/>
            <w:noWrap/>
            <w:vAlign w:val="bottom"/>
            <w:hideMark/>
          </w:tcPr>
          <w:p w14:paraId="50F4E10B" w14:textId="77777777" w:rsidR="006F6436" w:rsidRPr="006F6436" w:rsidRDefault="006F6436" w:rsidP="006F6436">
            <w:pPr>
              <w:jc w:val="right"/>
              <w:rPr>
                <w:rFonts w:ascii="Cambria" w:eastAsia="Times New Roman" w:hAnsi="Cambria" w:cs="Calibri"/>
                <w:color w:val="000000"/>
                <w:lang w:eastAsia="en-GB"/>
              </w:rPr>
            </w:pPr>
            <w:r w:rsidRPr="006F6436">
              <w:rPr>
                <w:rFonts w:ascii="Cambria" w:eastAsia="Times New Roman" w:hAnsi="Cambria" w:cs="Calibri"/>
                <w:color w:val="000000"/>
                <w:lang w:eastAsia="en-GB"/>
              </w:rPr>
              <w:t>2,965</w:t>
            </w:r>
          </w:p>
        </w:tc>
        <w:tc>
          <w:tcPr>
            <w:tcW w:w="1046" w:type="dxa"/>
            <w:tcBorders>
              <w:top w:val="nil"/>
              <w:left w:val="nil"/>
              <w:bottom w:val="single" w:sz="4" w:space="0" w:color="auto"/>
              <w:right w:val="nil"/>
            </w:tcBorders>
            <w:shd w:val="clear" w:color="auto" w:fill="auto"/>
            <w:noWrap/>
            <w:vAlign w:val="bottom"/>
            <w:hideMark/>
          </w:tcPr>
          <w:p w14:paraId="5D6A30FF" w14:textId="77777777" w:rsidR="006F6436" w:rsidRPr="006F6436" w:rsidRDefault="006F6436" w:rsidP="006F6436">
            <w:pPr>
              <w:jc w:val="right"/>
              <w:rPr>
                <w:rFonts w:ascii="Cambria" w:eastAsia="Times New Roman" w:hAnsi="Cambria" w:cs="Calibri"/>
                <w:color w:val="000000"/>
                <w:lang w:eastAsia="en-GB"/>
              </w:rPr>
            </w:pPr>
            <w:r w:rsidRPr="006F6436">
              <w:rPr>
                <w:rFonts w:ascii="Cambria" w:eastAsia="Times New Roman" w:hAnsi="Cambria" w:cs="Calibri"/>
                <w:color w:val="000000"/>
                <w:lang w:eastAsia="en-GB"/>
              </w:rPr>
              <w:t>23,500</w:t>
            </w:r>
          </w:p>
        </w:tc>
      </w:tr>
      <w:tr w:rsidR="006F6436" w:rsidRPr="006F6436" w14:paraId="5DBA23E7" w14:textId="77777777" w:rsidTr="006F6436">
        <w:trPr>
          <w:divId w:val="2112971520"/>
          <w:trHeight w:val="274"/>
        </w:trPr>
        <w:tc>
          <w:tcPr>
            <w:tcW w:w="6006" w:type="dxa"/>
            <w:tcBorders>
              <w:top w:val="nil"/>
              <w:left w:val="single" w:sz="8" w:space="0" w:color="auto"/>
              <w:bottom w:val="single" w:sz="4" w:space="0" w:color="auto"/>
              <w:right w:val="single" w:sz="4" w:space="0" w:color="auto"/>
            </w:tcBorders>
            <w:shd w:val="clear" w:color="auto" w:fill="auto"/>
            <w:noWrap/>
            <w:vAlign w:val="bottom"/>
            <w:hideMark/>
          </w:tcPr>
          <w:p w14:paraId="1F5CF42D" w14:textId="77777777" w:rsidR="006F6436" w:rsidRPr="006F6436" w:rsidRDefault="006F6436" w:rsidP="006F6436">
            <w:pPr>
              <w:rPr>
                <w:rFonts w:ascii="Cambria" w:eastAsia="Times New Roman" w:hAnsi="Cambria" w:cs="Calibri"/>
                <w:color w:val="000000"/>
                <w:lang w:eastAsia="en-GB"/>
              </w:rPr>
            </w:pPr>
            <w:r w:rsidRPr="006F6436">
              <w:rPr>
                <w:rFonts w:ascii="Cambria" w:eastAsia="Times New Roman" w:hAnsi="Cambria" w:cs="Calibri"/>
                <w:color w:val="000000"/>
                <w:lang w:eastAsia="en-GB"/>
              </w:rPr>
              <w:t>Current tax recoverable</w:t>
            </w:r>
          </w:p>
        </w:tc>
        <w:tc>
          <w:tcPr>
            <w:tcW w:w="1046" w:type="dxa"/>
            <w:tcBorders>
              <w:top w:val="nil"/>
              <w:left w:val="nil"/>
              <w:bottom w:val="single" w:sz="4" w:space="0" w:color="auto"/>
              <w:right w:val="single" w:sz="4" w:space="0" w:color="auto"/>
            </w:tcBorders>
            <w:shd w:val="clear" w:color="auto" w:fill="auto"/>
            <w:noWrap/>
            <w:vAlign w:val="bottom"/>
            <w:hideMark/>
          </w:tcPr>
          <w:p w14:paraId="4C101BBE" w14:textId="77777777" w:rsidR="006F6436" w:rsidRPr="006F6436" w:rsidRDefault="006F6436" w:rsidP="006F6436">
            <w:pPr>
              <w:jc w:val="right"/>
              <w:rPr>
                <w:rFonts w:ascii="Cambria" w:eastAsia="Times New Roman" w:hAnsi="Cambria" w:cs="Calibri"/>
                <w:color w:val="000000"/>
                <w:lang w:eastAsia="en-GB"/>
              </w:rPr>
            </w:pPr>
            <w:r w:rsidRPr="006F6436">
              <w:rPr>
                <w:rFonts w:ascii="Cambria" w:eastAsia="Times New Roman" w:hAnsi="Cambria" w:cs="Calibri"/>
                <w:color w:val="000000"/>
                <w:lang w:eastAsia="en-GB"/>
              </w:rPr>
              <w:t>300</w:t>
            </w:r>
          </w:p>
        </w:tc>
        <w:tc>
          <w:tcPr>
            <w:tcW w:w="1046" w:type="dxa"/>
            <w:tcBorders>
              <w:top w:val="nil"/>
              <w:left w:val="nil"/>
              <w:bottom w:val="single" w:sz="4" w:space="0" w:color="auto"/>
              <w:right w:val="nil"/>
            </w:tcBorders>
            <w:shd w:val="clear" w:color="auto" w:fill="auto"/>
            <w:noWrap/>
            <w:vAlign w:val="bottom"/>
            <w:hideMark/>
          </w:tcPr>
          <w:p w14:paraId="2105271C" w14:textId="77777777" w:rsidR="006F6436" w:rsidRPr="006F6436" w:rsidRDefault="006F6436" w:rsidP="006F6436">
            <w:pPr>
              <w:jc w:val="right"/>
              <w:rPr>
                <w:rFonts w:ascii="Cambria" w:eastAsia="Times New Roman" w:hAnsi="Cambria" w:cs="Calibri"/>
                <w:color w:val="000000"/>
                <w:lang w:eastAsia="en-GB"/>
              </w:rPr>
            </w:pPr>
            <w:r w:rsidRPr="006F6436">
              <w:rPr>
                <w:rFonts w:ascii="Cambria" w:eastAsia="Times New Roman" w:hAnsi="Cambria" w:cs="Calibri"/>
                <w:color w:val="000000"/>
                <w:lang w:eastAsia="en-GB"/>
              </w:rPr>
              <w:t>28,137</w:t>
            </w:r>
          </w:p>
        </w:tc>
      </w:tr>
      <w:tr w:rsidR="006F6436" w:rsidRPr="006F6436" w14:paraId="2126E60E" w14:textId="77777777" w:rsidTr="006F6436">
        <w:trPr>
          <w:divId w:val="2112971520"/>
          <w:trHeight w:val="274"/>
        </w:trPr>
        <w:tc>
          <w:tcPr>
            <w:tcW w:w="6006" w:type="dxa"/>
            <w:tcBorders>
              <w:top w:val="nil"/>
              <w:left w:val="single" w:sz="8" w:space="0" w:color="auto"/>
              <w:bottom w:val="single" w:sz="4" w:space="0" w:color="auto"/>
              <w:right w:val="single" w:sz="4" w:space="0" w:color="auto"/>
            </w:tcBorders>
            <w:shd w:val="clear" w:color="auto" w:fill="auto"/>
            <w:noWrap/>
            <w:vAlign w:val="bottom"/>
            <w:hideMark/>
          </w:tcPr>
          <w:p w14:paraId="490040BD" w14:textId="77777777" w:rsidR="006F6436" w:rsidRPr="006F6436" w:rsidRDefault="006F6436" w:rsidP="006F6436">
            <w:pPr>
              <w:rPr>
                <w:rFonts w:ascii="Cambria" w:eastAsia="Times New Roman" w:hAnsi="Cambria" w:cs="Calibri"/>
                <w:color w:val="000000"/>
                <w:lang w:eastAsia="en-GB"/>
              </w:rPr>
            </w:pPr>
            <w:r w:rsidRPr="006F6436">
              <w:rPr>
                <w:rFonts w:ascii="Cambria" w:eastAsia="Times New Roman" w:hAnsi="Cambria" w:cs="Calibri"/>
                <w:color w:val="000000"/>
                <w:lang w:eastAsia="en-GB"/>
              </w:rPr>
              <w:t>Deferred tax assets</w:t>
            </w:r>
          </w:p>
        </w:tc>
        <w:tc>
          <w:tcPr>
            <w:tcW w:w="1046" w:type="dxa"/>
            <w:tcBorders>
              <w:top w:val="nil"/>
              <w:left w:val="nil"/>
              <w:bottom w:val="single" w:sz="4" w:space="0" w:color="auto"/>
              <w:right w:val="single" w:sz="4" w:space="0" w:color="auto"/>
            </w:tcBorders>
            <w:shd w:val="clear" w:color="auto" w:fill="auto"/>
            <w:noWrap/>
            <w:vAlign w:val="bottom"/>
            <w:hideMark/>
          </w:tcPr>
          <w:p w14:paraId="29C07B1D" w14:textId="77777777" w:rsidR="006F6436" w:rsidRPr="006F6436" w:rsidRDefault="006F6436" w:rsidP="006F6436">
            <w:pPr>
              <w:jc w:val="right"/>
              <w:rPr>
                <w:rFonts w:ascii="Cambria" w:eastAsia="Times New Roman" w:hAnsi="Cambria" w:cs="Calibri"/>
                <w:color w:val="000000"/>
                <w:lang w:eastAsia="en-GB"/>
              </w:rPr>
            </w:pPr>
            <w:r w:rsidRPr="006F6436">
              <w:rPr>
                <w:rFonts w:ascii="Cambria" w:eastAsia="Times New Roman" w:hAnsi="Cambria" w:cs="Calibri"/>
                <w:color w:val="000000"/>
                <w:lang w:eastAsia="en-GB"/>
              </w:rPr>
              <w:t>833</w:t>
            </w:r>
          </w:p>
        </w:tc>
        <w:tc>
          <w:tcPr>
            <w:tcW w:w="1046" w:type="dxa"/>
            <w:tcBorders>
              <w:top w:val="nil"/>
              <w:left w:val="nil"/>
              <w:bottom w:val="single" w:sz="4" w:space="0" w:color="auto"/>
              <w:right w:val="nil"/>
            </w:tcBorders>
            <w:shd w:val="clear" w:color="auto" w:fill="auto"/>
            <w:noWrap/>
            <w:vAlign w:val="bottom"/>
            <w:hideMark/>
          </w:tcPr>
          <w:p w14:paraId="583FC2F4" w14:textId="77777777" w:rsidR="006F6436" w:rsidRPr="006F6436" w:rsidRDefault="006F6436" w:rsidP="006F6436">
            <w:pPr>
              <w:jc w:val="right"/>
              <w:rPr>
                <w:rFonts w:ascii="Cambria" w:eastAsia="Times New Roman" w:hAnsi="Cambria" w:cs="Calibri"/>
                <w:color w:val="000000"/>
                <w:lang w:eastAsia="en-GB"/>
              </w:rPr>
            </w:pPr>
            <w:r w:rsidRPr="006F6436">
              <w:rPr>
                <w:rFonts w:ascii="Cambria" w:eastAsia="Times New Roman" w:hAnsi="Cambria" w:cs="Calibri"/>
                <w:color w:val="000000"/>
                <w:lang w:eastAsia="en-GB"/>
              </w:rPr>
              <w:t>3,689</w:t>
            </w:r>
          </w:p>
        </w:tc>
      </w:tr>
      <w:tr w:rsidR="006F6436" w:rsidRPr="006F6436" w14:paraId="3719BEAF" w14:textId="77777777" w:rsidTr="006F6436">
        <w:trPr>
          <w:divId w:val="2112971520"/>
          <w:trHeight w:val="291"/>
        </w:trPr>
        <w:tc>
          <w:tcPr>
            <w:tcW w:w="6006" w:type="dxa"/>
            <w:tcBorders>
              <w:top w:val="nil"/>
              <w:left w:val="single" w:sz="8" w:space="0" w:color="auto"/>
              <w:bottom w:val="nil"/>
              <w:right w:val="single" w:sz="4" w:space="0" w:color="auto"/>
            </w:tcBorders>
            <w:shd w:val="clear" w:color="auto" w:fill="auto"/>
            <w:noWrap/>
            <w:vAlign w:val="bottom"/>
            <w:hideMark/>
          </w:tcPr>
          <w:p w14:paraId="6C5471A3" w14:textId="77777777" w:rsidR="006F6436" w:rsidRPr="006F6436" w:rsidRDefault="006F6436" w:rsidP="006F6436">
            <w:pPr>
              <w:rPr>
                <w:rFonts w:ascii="Cambria" w:eastAsia="Times New Roman" w:hAnsi="Cambria" w:cs="Calibri"/>
                <w:color w:val="000000"/>
                <w:lang w:eastAsia="en-GB"/>
              </w:rPr>
            </w:pPr>
            <w:r w:rsidRPr="006F6436">
              <w:rPr>
                <w:rFonts w:ascii="Cambria" w:eastAsia="Times New Roman" w:hAnsi="Cambria" w:cs="Calibri"/>
                <w:color w:val="000000"/>
                <w:lang w:eastAsia="en-GB"/>
              </w:rPr>
              <w:lastRenderedPageBreak/>
              <w:t>Other assets</w:t>
            </w:r>
          </w:p>
        </w:tc>
        <w:tc>
          <w:tcPr>
            <w:tcW w:w="1046" w:type="dxa"/>
            <w:tcBorders>
              <w:top w:val="nil"/>
              <w:left w:val="nil"/>
              <w:bottom w:val="nil"/>
              <w:right w:val="single" w:sz="4" w:space="0" w:color="auto"/>
            </w:tcBorders>
            <w:shd w:val="clear" w:color="auto" w:fill="auto"/>
            <w:noWrap/>
            <w:vAlign w:val="bottom"/>
            <w:hideMark/>
          </w:tcPr>
          <w:p w14:paraId="7E987026" w14:textId="77777777" w:rsidR="006F6436" w:rsidRPr="006F6436" w:rsidRDefault="006F6436" w:rsidP="006F6436">
            <w:pPr>
              <w:jc w:val="right"/>
              <w:rPr>
                <w:rFonts w:ascii="Cambria" w:eastAsia="Times New Roman" w:hAnsi="Cambria" w:cs="Calibri"/>
                <w:color w:val="000000"/>
                <w:lang w:eastAsia="en-GB"/>
              </w:rPr>
            </w:pPr>
            <w:r w:rsidRPr="006F6436">
              <w:rPr>
                <w:rFonts w:ascii="Cambria" w:eastAsia="Times New Roman" w:hAnsi="Cambria" w:cs="Calibri"/>
                <w:color w:val="000000"/>
                <w:lang w:eastAsia="en-GB"/>
              </w:rPr>
              <w:t>5,856</w:t>
            </w:r>
          </w:p>
        </w:tc>
        <w:tc>
          <w:tcPr>
            <w:tcW w:w="1046" w:type="dxa"/>
            <w:tcBorders>
              <w:top w:val="nil"/>
              <w:left w:val="nil"/>
              <w:bottom w:val="nil"/>
              <w:right w:val="nil"/>
            </w:tcBorders>
            <w:shd w:val="clear" w:color="auto" w:fill="auto"/>
            <w:noWrap/>
            <w:vAlign w:val="bottom"/>
            <w:hideMark/>
          </w:tcPr>
          <w:p w14:paraId="39135E69" w14:textId="77777777" w:rsidR="006F6436" w:rsidRPr="006F6436" w:rsidRDefault="006F6436" w:rsidP="006F6436">
            <w:pPr>
              <w:jc w:val="right"/>
              <w:rPr>
                <w:rFonts w:ascii="Cambria" w:eastAsia="Times New Roman" w:hAnsi="Cambria" w:cs="Calibri"/>
                <w:color w:val="000000"/>
                <w:lang w:eastAsia="en-GB"/>
              </w:rPr>
            </w:pPr>
            <w:r w:rsidRPr="006F6436">
              <w:rPr>
                <w:rFonts w:ascii="Cambria" w:eastAsia="Times New Roman" w:hAnsi="Cambria" w:cs="Calibri"/>
                <w:color w:val="000000"/>
                <w:lang w:eastAsia="en-GB"/>
              </w:rPr>
              <w:t>35,990</w:t>
            </w:r>
          </w:p>
        </w:tc>
      </w:tr>
      <w:tr w:rsidR="006F6436" w:rsidRPr="006F6436" w14:paraId="031A5497" w14:textId="77777777" w:rsidTr="006F6436">
        <w:trPr>
          <w:divId w:val="2112971520"/>
          <w:trHeight w:val="291"/>
        </w:trPr>
        <w:tc>
          <w:tcPr>
            <w:tcW w:w="6006" w:type="dxa"/>
            <w:tcBorders>
              <w:top w:val="single" w:sz="8" w:space="0" w:color="auto"/>
              <w:left w:val="single" w:sz="8" w:space="0" w:color="auto"/>
              <w:bottom w:val="single" w:sz="8" w:space="0" w:color="auto"/>
              <w:right w:val="single" w:sz="4" w:space="0" w:color="auto"/>
            </w:tcBorders>
            <w:shd w:val="clear" w:color="000000" w:fill="FFC000"/>
            <w:noWrap/>
            <w:vAlign w:val="bottom"/>
            <w:hideMark/>
          </w:tcPr>
          <w:p w14:paraId="71B4FF8F" w14:textId="77777777" w:rsidR="006F6436" w:rsidRPr="006F6436" w:rsidRDefault="006F6436" w:rsidP="006F6436">
            <w:pPr>
              <w:rPr>
                <w:rFonts w:ascii="Cambria" w:eastAsia="Times New Roman" w:hAnsi="Cambria" w:cs="Calibri"/>
                <w:b/>
                <w:bCs/>
                <w:color w:val="000000"/>
                <w:lang w:eastAsia="en-GB"/>
              </w:rPr>
            </w:pPr>
            <w:r w:rsidRPr="006F6436">
              <w:rPr>
                <w:rFonts w:ascii="Cambria" w:eastAsia="Times New Roman" w:hAnsi="Cambria" w:cs="Calibri"/>
                <w:b/>
                <w:bCs/>
                <w:color w:val="000000"/>
                <w:lang w:eastAsia="en-GB"/>
              </w:rPr>
              <w:t xml:space="preserve">Total assets </w:t>
            </w:r>
          </w:p>
        </w:tc>
        <w:tc>
          <w:tcPr>
            <w:tcW w:w="1046" w:type="dxa"/>
            <w:tcBorders>
              <w:top w:val="single" w:sz="8" w:space="0" w:color="auto"/>
              <w:left w:val="nil"/>
              <w:bottom w:val="single" w:sz="8" w:space="0" w:color="auto"/>
              <w:right w:val="single" w:sz="4" w:space="0" w:color="auto"/>
            </w:tcBorders>
            <w:shd w:val="clear" w:color="000000" w:fill="FFC000"/>
            <w:noWrap/>
            <w:vAlign w:val="bottom"/>
            <w:hideMark/>
          </w:tcPr>
          <w:p w14:paraId="47BD15CC" w14:textId="77777777" w:rsidR="006F6436" w:rsidRPr="006F6436" w:rsidRDefault="006F6436" w:rsidP="006F6436">
            <w:pPr>
              <w:jc w:val="right"/>
              <w:rPr>
                <w:rFonts w:ascii="Cambria" w:eastAsia="Times New Roman" w:hAnsi="Cambria" w:cs="Calibri"/>
                <w:b/>
                <w:bCs/>
                <w:color w:val="000000"/>
                <w:lang w:eastAsia="en-GB"/>
              </w:rPr>
            </w:pPr>
            <w:r w:rsidRPr="006F6436">
              <w:rPr>
                <w:rFonts w:ascii="Cambria" w:eastAsia="Times New Roman" w:hAnsi="Cambria" w:cs="Calibri"/>
                <w:b/>
                <w:bCs/>
                <w:color w:val="000000"/>
                <w:lang w:eastAsia="en-GB"/>
              </w:rPr>
              <w:t>436,003</w:t>
            </w:r>
          </w:p>
        </w:tc>
        <w:tc>
          <w:tcPr>
            <w:tcW w:w="1046" w:type="dxa"/>
            <w:tcBorders>
              <w:top w:val="single" w:sz="8" w:space="0" w:color="auto"/>
              <w:left w:val="nil"/>
              <w:bottom w:val="single" w:sz="8" w:space="0" w:color="auto"/>
              <w:right w:val="nil"/>
            </w:tcBorders>
            <w:shd w:val="clear" w:color="000000" w:fill="FFC000"/>
            <w:noWrap/>
            <w:vAlign w:val="bottom"/>
            <w:hideMark/>
          </w:tcPr>
          <w:p w14:paraId="3BFA0EE6" w14:textId="77777777" w:rsidR="006F6436" w:rsidRPr="006F6436" w:rsidRDefault="006F6436" w:rsidP="006F6436">
            <w:pPr>
              <w:jc w:val="right"/>
              <w:rPr>
                <w:rFonts w:ascii="Cambria" w:eastAsia="Times New Roman" w:hAnsi="Cambria" w:cs="Calibri"/>
                <w:b/>
                <w:bCs/>
                <w:color w:val="000000"/>
                <w:lang w:eastAsia="en-GB"/>
              </w:rPr>
            </w:pPr>
            <w:r w:rsidRPr="006F6436">
              <w:rPr>
                <w:rFonts w:ascii="Cambria" w:eastAsia="Times New Roman" w:hAnsi="Cambria" w:cs="Calibri"/>
                <w:b/>
                <w:bCs/>
                <w:color w:val="000000"/>
                <w:lang w:eastAsia="en-GB"/>
              </w:rPr>
              <w:t>886,525</w:t>
            </w:r>
          </w:p>
        </w:tc>
      </w:tr>
    </w:tbl>
    <w:p w14:paraId="313581DC" w14:textId="77777777" w:rsidR="00FF235C" w:rsidRPr="0004247C" w:rsidRDefault="00FF235C" w:rsidP="00FF235C">
      <w:pPr>
        <w:pStyle w:val="ListParagraph"/>
        <w:ind w:left="360"/>
        <w:rPr>
          <w:rFonts w:ascii="Times" w:hAnsi="Times"/>
        </w:rPr>
      </w:pPr>
      <w:r>
        <w:rPr>
          <w:rFonts w:ascii="Times" w:hAnsi="Times"/>
        </w:rPr>
        <w:fldChar w:fldCharType="end"/>
      </w:r>
    </w:p>
    <w:tbl>
      <w:tblPr>
        <w:tblpPr w:leftFromText="180" w:rightFromText="180" w:vertAnchor="text" w:horzAnchor="margin" w:tblpXSpec="right" w:tblpY="-571"/>
        <w:tblW w:w="9256" w:type="dxa"/>
        <w:tblLook w:val="04A0" w:firstRow="1" w:lastRow="0" w:firstColumn="1" w:lastColumn="0" w:noHBand="0" w:noVBand="1"/>
      </w:tblPr>
      <w:tblGrid>
        <w:gridCol w:w="7055"/>
        <w:gridCol w:w="1125"/>
        <w:gridCol w:w="1125"/>
      </w:tblGrid>
      <w:tr w:rsidR="00FF235C" w:rsidRPr="00FF235C" w14:paraId="382838CD" w14:textId="77777777" w:rsidTr="00CD46FB">
        <w:trPr>
          <w:trHeight w:val="262"/>
        </w:trPr>
        <w:tc>
          <w:tcPr>
            <w:tcW w:w="7032" w:type="dxa"/>
            <w:tcBorders>
              <w:top w:val="single" w:sz="8" w:space="0" w:color="auto"/>
              <w:left w:val="single" w:sz="8" w:space="0" w:color="auto"/>
              <w:bottom w:val="single" w:sz="8" w:space="0" w:color="auto"/>
              <w:right w:val="single" w:sz="8" w:space="0" w:color="auto"/>
            </w:tcBorders>
            <w:shd w:val="clear" w:color="000000" w:fill="FFFF00"/>
            <w:noWrap/>
            <w:vAlign w:val="bottom"/>
            <w:hideMark/>
          </w:tcPr>
          <w:p w14:paraId="6CC3A731" w14:textId="77777777" w:rsidR="00FF235C" w:rsidRPr="00FF235C" w:rsidRDefault="00FF235C" w:rsidP="00FF235C">
            <w:pPr>
              <w:rPr>
                <w:rFonts w:ascii="Cambria" w:eastAsia="Times New Roman" w:hAnsi="Cambria" w:cs="Calibri"/>
                <w:b/>
                <w:bCs/>
                <w:color w:val="000000"/>
                <w:lang w:eastAsia="en-GB"/>
              </w:rPr>
            </w:pPr>
            <w:r w:rsidRPr="00FF235C">
              <w:rPr>
                <w:rFonts w:ascii="Cambria" w:eastAsia="Times New Roman" w:hAnsi="Cambria" w:cs="Calibri"/>
                <w:b/>
                <w:bCs/>
                <w:color w:val="000000"/>
                <w:lang w:eastAsia="en-GB"/>
              </w:rPr>
              <w:t>Equity and liabilities</w:t>
            </w:r>
          </w:p>
        </w:tc>
        <w:tc>
          <w:tcPr>
            <w:tcW w:w="1112" w:type="dxa"/>
            <w:tcBorders>
              <w:top w:val="single" w:sz="8" w:space="0" w:color="auto"/>
              <w:left w:val="nil"/>
              <w:bottom w:val="single" w:sz="8" w:space="0" w:color="auto"/>
              <w:right w:val="single" w:sz="8" w:space="0" w:color="auto"/>
            </w:tcBorders>
            <w:shd w:val="clear" w:color="000000" w:fill="F8CBAD"/>
            <w:noWrap/>
            <w:vAlign w:val="bottom"/>
            <w:hideMark/>
          </w:tcPr>
          <w:p w14:paraId="28F1ED93" w14:textId="77777777" w:rsidR="00FF235C" w:rsidRPr="00FF235C" w:rsidRDefault="00FF235C" w:rsidP="00FF235C">
            <w:pPr>
              <w:jc w:val="right"/>
              <w:rPr>
                <w:rFonts w:ascii="Cambria" w:eastAsia="Times New Roman" w:hAnsi="Cambria" w:cs="Calibri"/>
                <w:b/>
                <w:bCs/>
                <w:i/>
                <w:iCs/>
                <w:color w:val="000000"/>
                <w:lang w:eastAsia="en-GB"/>
              </w:rPr>
            </w:pPr>
            <w:r w:rsidRPr="00FF235C">
              <w:rPr>
                <w:rFonts w:ascii="Cambria" w:eastAsia="Times New Roman" w:hAnsi="Cambria" w:cs="Calibri"/>
                <w:b/>
                <w:bCs/>
                <w:i/>
                <w:iCs/>
                <w:color w:val="000000"/>
                <w:lang w:eastAsia="en-GB"/>
              </w:rPr>
              <w:t>2008</w:t>
            </w:r>
          </w:p>
        </w:tc>
        <w:tc>
          <w:tcPr>
            <w:tcW w:w="1112" w:type="dxa"/>
            <w:tcBorders>
              <w:top w:val="single" w:sz="8" w:space="0" w:color="auto"/>
              <w:left w:val="nil"/>
              <w:bottom w:val="single" w:sz="8" w:space="0" w:color="auto"/>
              <w:right w:val="single" w:sz="8" w:space="0" w:color="auto"/>
            </w:tcBorders>
            <w:shd w:val="clear" w:color="000000" w:fill="BDD7EE"/>
            <w:noWrap/>
            <w:vAlign w:val="bottom"/>
            <w:hideMark/>
          </w:tcPr>
          <w:p w14:paraId="6433F418" w14:textId="77777777" w:rsidR="00FF235C" w:rsidRPr="00FF235C" w:rsidRDefault="00FF235C" w:rsidP="00FF235C">
            <w:pPr>
              <w:jc w:val="right"/>
              <w:rPr>
                <w:rFonts w:ascii="Cambria" w:eastAsia="Times New Roman" w:hAnsi="Cambria" w:cs="Calibri"/>
                <w:b/>
                <w:bCs/>
                <w:i/>
                <w:iCs/>
                <w:color w:val="000000"/>
                <w:lang w:eastAsia="en-GB"/>
              </w:rPr>
            </w:pPr>
            <w:r w:rsidRPr="00FF235C">
              <w:rPr>
                <w:rFonts w:ascii="Cambria" w:eastAsia="Times New Roman" w:hAnsi="Cambria" w:cs="Calibri"/>
                <w:b/>
                <w:bCs/>
                <w:i/>
                <w:iCs/>
                <w:color w:val="000000"/>
                <w:lang w:eastAsia="en-GB"/>
              </w:rPr>
              <w:t>2021</w:t>
            </w:r>
          </w:p>
        </w:tc>
      </w:tr>
      <w:tr w:rsidR="00FF235C" w:rsidRPr="00FF235C" w14:paraId="70A879D1" w14:textId="77777777" w:rsidTr="00CD46FB">
        <w:trPr>
          <w:trHeight w:val="246"/>
        </w:trPr>
        <w:tc>
          <w:tcPr>
            <w:tcW w:w="7032" w:type="dxa"/>
            <w:tcBorders>
              <w:top w:val="nil"/>
              <w:left w:val="single" w:sz="8" w:space="0" w:color="auto"/>
              <w:bottom w:val="single" w:sz="4" w:space="0" w:color="auto"/>
              <w:right w:val="single" w:sz="4" w:space="0" w:color="auto"/>
            </w:tcBorders>
            <w:shd w:val="clear" w:color="auto" w:fill="auto"/>
            <w:noWrap/>
            <w:vAlign w:val="bottom"/>
            <w:hideMark/>
          </w:tcPr>
          <w:p w14:paraId="7A17E284" w14:textId="77777777" w:rsidR="00FF235C" w:rsidRPr="00FF235C" w:rsidRDefault="00FF235C" w:rsidP="00FF235C">
            <w:pPr>
              <w:rPr>
                <w:rFonts w:ascii="Cambria" w:eastAsia="Times New Roman" w:hAnsi="Cambria" w:cs="Calibri"/>
                <w:b/>
                <w:bCs/>
                <w:color w:val="000000"/>
                <w:lang w:eastAsia="en-GB"/>
              </w:rPr>
            </w:pPr>
            <w:r w:rsidRPr="00FF235C">
              <w:rPr>
                <w:rFonts w:ascii="Cambria" w:eastAsia="Times New Roman" w:hAnsi="Cambria" w:cs="Calibri"/>
                <w:b/>
                <w:bCs/>
                <w:color w:val="000000"/>
                <w:lang w:eastAsia="en-GB"/>
              </w:rPr>
              <w:t>Liabilities</w:t>
            </w:r>
          </w:p>
        </w:tc>
        <w:tc>
          <w:tcPr>
            <w:tcW w:w="1112" w:type="dxa"/>
            <w:tcBorders>
              <w:top w:val="nil"/>
              <w:left w:val="nil"/>
              <w:bottom w:val="single" w:sz="4" w:space="0" w:color="auto"/>
              <w:right w:val="single" w:sz="4" w:space="0" w:color="auto"/>
            </w:tcBorders>
            <w:shd w:val="clear" w:color="auto" w:fill="auto"/>
            <w:noWrap/>
            <w:vAlign w:val="bottom"/>
            <w:hideMark/>
          </w:tcPr>
          <w:p w14:paraId="0159DE30" w14:textId="77777777" w:rsidR="00FF235C" w:rsidRPr="00FF235C" w:rsidRDefault="00FF235C" w:rsidP="00FF235C">
            <w:pPr>
              <w:rPr>
                <w:rFonts w:ascii="Calibri" w:eastAsia="Times New Roman" w:hAnsi="Calibri" w:cs="Calibri"/>
                <w:color w:val="000000"/>
                <w:lang w:eastAsia="en-GB"/>
              </w:rPr>
            </w:pPr>
            <w:r w:rsidRPr="00FF235C">
              <w:rPr>
                <w:rFonts w:ascii="Calibri" w:eastAsia="Times New Roman" w:hAnsi="Calibri" w:cs="Calibri"/>
                <w:color w:val="000000"/>
                <w:lang w:eastAsia="en-GB"/>
              </w:rPr>
              <w:t> </w:t>
            </w:r>
          </w:p>
        </w:tc>
        <w:tc>
          <w:tcPr>
            <w:tcW w:w="1112" w:type="dxa"/>
            <w:tcBorders>
              <w:top w:val="nil"/>
              <w:left w:val="nil"/>
              <w:bottom w:val="single" w:sz="4" w:space="0" w:color="auto"/>
              <w:right w:val="single" w:sz="8" w:space="0" w:color="auto"/>
            </w:tcBorders>
            <w:shd w:val="clear" w:color="auto" w:fill="auto"/>
            <w:noWrap/>
            <w:vAlign w:val="bottom"/>
            <w:hideMark/>
          </w:tcPr>
          <w:p w14:paraId="6FAD9134" w14:textId="77777777" w:rsidR="00FF235C" w:rsidRPr="00FF235C" w:rsidRDefault="00FF235C" w:rsidP="00FF235C">
            <w:pPr>
              <w:rPr>
                <w:rFonts w:ascii="Calibri" w:eastAsia="Times New Roman" w:hAnsi="Calibri" w:cs="Calibri"/>
                <w:color w:val="000000"/>
                <w:lang w:eastAsia="en-GB"/>
              </w:rPr>
            </w:pPr>
            <w:r w:rsidRPr="00FF235C">
              <w:rPr>
                <w:rFonts w:ascii="Calibri" w:eastAsia="Times New Roman" w:hAnsi="Calibri" w:cs="Calibri"/>
                <w:color w:val="000000"/>
                <w:lang w:eastAsia="en-GB"/>
              </w:rPr>
              <w:t> </w:t>
            </w:r>
          </w:p>
        </w:tc>
      </w:tr>
      <w:tr w:rsidR="00FF235C" w:rsidRPr="00FF235C" w14:paraId="33D204E5" w14:textId="77777777" w:rsidTr="00CD46FB">
        <w:trPr>
          <w:trHeight w:val="246"/>
        </w:trPr>
        <w:tc>
          <w:tcPr>
            <w:tcW w:w="7032" w:type="dxa"/>
            <w:tcBorders>
              <w:top w:val="nil"/>
              <w:left w:val="single" w:sz="8" w:space="0" w:color="auto"/>
              <w:bottom w:val="single" w:sz="4" w:space="0" w:color="auto"/>
              <w:right w:val="single" w:sz="4" w:space="0" w:color="auto"/>
            </w:tcBorders>
            <w:shd w:val="clear" w:color="auto" w:fill="auto"/>
            <w:noWrap/>
            <w:vAlign w:val="bottom"/>
            <w:hideMark/>
          </w:tcPr>
          <w:p w14:paraId="0A562AF5" w14:textId="77777777" w:rsidR="00FF235C" w:rsidRPr="00FF235C" w:rsidRDefault="00FF235C" w:rsidP="00FF235C">
            <w:pPr>
              <w:rPr>
                <w:rFonts w:ascii="Cambria" w:eastAsia="Times New Roman" w:hAnsi="Cambria" w:cs="Calibri"/>
                <w:color w:val="000000"/>
                <w:lang w:eastAsia="en-GB"/>
              </w:rPr>
            </w:pPr>
            <w:r w:rsidRPr="00FF235C">
              <w:rPr>
                <w:rFonts w:ascii="Cambria" w:eastAsia="Times New Roman" w:hAnsi="Cambria" w:cs="Calibri"/>
                <w:color w:val="000000"/>
                <w:lang w:eastAsia="en-GB"/>
              </w:rPr>
              <w:t>Deposits from banks</w:t>
            </w:r>
          </w:p>
        </w:tc>
        <w:tc>
          <w:tcPr>
            <w:tcW w:w="1112" w:type="dxa"/>
            <w:tcBorders>
              <w:top w:val="nil"/>
              <w:left w:val="nil"/>
              <w:bottom w:val="single" w:sz="4" w:space="0" w:color="auto"/>
              <w:right w:val="single" w:sz="4" w:space="0" w:color="auto"/>
            </w:tcBorders>
            <w:shd w:val="clear" w:color="auto" w:fill="auto"/>
            <w:noWrap/>
            <w:vAlign w:val="bottom"/>
            <w:hideMark/>
          </w:tcPr>
          <w:p w14:paraId="26BABF5D" w14:textId="77777777" w:rsidR="00FF235C" w:rsidRPr="00FF235C" w:rsidRDefault="00FF235C" w:rsidP="00FF235C">
            <w:pPr>
              <w:jc w:val="right"/>
              <w:rPr>
                <w:rFonts w:ascii="Cambria" w:eastAsia="Times New Roman" w:hAnsi="Cambria" w:cs="Calibri"/>
                <w:color w:val="000000"/>
                <w:lang w:eastAsia="en-GB"/>
              </w:rPr>
            </w:pPr>
            <w:r w:rsidRPr="00FF235C">
              <w:rPr>
                <w:rFonts w:ascii="Cambria" w:eastAsia="Times New Roman" w:hAnsi="Cambria" w:cs="Calibri"/>
                <w:color w:val="000000"/>
                <w:lang w:eastAsia="en-GB"/>
              </w:rPr>
              <w:t>66,514</w:t>
            </w:r>
          </w:p>
        </w:tc>
        <w:tc>
          <w:tcPr>
            <w:tcW w:w="1112" w:type="dxa"/>
            <w:tcBorders>
              <w:top w:val="nil"/>
              <w:left w:val="nil"/>
              <w:bottom w:val="single" w:sz="4" w:space="0" w:color="auto"/>
              <w:right w:val="single" w:sz="8" w:space="0" w:color="auto"/>
            </w:tcBorders>
            <w:shd w:val="clear" w:color="auto" w:fill="auto"/>
            <w:noWrap/>
            <w:vAlign w:val="bottom"/>
            <w:hideMark/>
          </w:tcPr>
          <w:p w14:paraId="654C1BC3" w14:textId="77777777" w:rsidR="00FF235C" w:rsidRPr="00FF235C" w:rsidRDefault="00FF235C" w:rsidP="00FF235C">
            <w:pPr>
              <w:jc w:val="right"/>
              <w:rPr>
                <w:rFonts w:ascii="Cambria" w:eastAsia="Times New Roman" w:hAnsi="Cambria" w:cs="Calibri"/>
                <w:color w:val="000000"/>
                <w:lang w:eastAsia="en-GB"/>
              </w:rPr>
            </w:pPr>
            <w:r w:rsidRPr="00FF235C">
              <w:rPr>
                <w:rFonts w:ascii="Cambria" w:eastAsia="Times New Roman" w:hAnsi="Cambria" w:cs="Calibri"/>
                <w:color w:val="000000"/>
                <w:lang w:eastAsia="en-GB"/>
              </w:rPr>
              <w:t>7,647</w:t>
            </w:r>
          </w:p>
        </w:tc>
      </w:tr>
      <w:tr w:rsidR="00FF235C" w:rsidRPr="00FF235C" w14:paraId="6885F72E" w14:textId="77777777" w:rsidTr="00CD46FB">
        <w:trPr>
          <w:trHeight w:val="246"/>
        </w:trPr>
        <w:tc>
          <w:tcPr>
            <w:tcW w:w="7032" w:type="dxa"/>
            <w:tcBorders>
              <w:top w:val="nil"/>
              <w:left w:val="single" w:sz="8" w:space="0" w:color="auto"/>
              <w:bottom w:val="single" w:sz="4" w:space="0" w:color="auto"/>
              <w:right w:val="single" w:sz="4" w:space="0" w:color="auto"/>
            </w:tcBorders>
            <w:shd w:val="clear" w:color="auto" w:fill="auto"/>
            <w:noWrap/>
            <w:vAlign w:val="bottom"/>
            <w:hideMark/>
          </w:tcPr>
          <w:p w14:paraId="1B12A51A" w14:textId="77777777" w:rsidR="00FF235C" w:rsidRPr="00FF235C" w:rsidRDefault="00FF235C" w:rsidP="00FF235C">
            <w:pPr>
              <w:rPr>
                <w:rFonts w:ascii="Cambria" w:eastAsia="Times New Roman" w:hAnsi="Cambria" w:cs="Calibri"/>
                <w:color w:val="000000"/>
                <w:lang w:eastAsia="en-GB"/>
              </w:rPr>
            </w:pPr>
            <w:r w:rsidRPr="00FF235C">
              <w:rPr>
                <w:rFonts w:ascii="Cambria" w:eastAsia="Times New Roman" w:hAnsi="Cambria" w:cs="Calibri"/>
                <w:color w:val="000000"/>
                <w:lang w:eastAsia="en-GB"/>
              </w:rPr>
              <w:t>Customer accounts</w:t>
            </w:r>
          </w:p>
        </w:tc>
        <w:tc>
          <w:tcPr>
            <w:tcW w:w="1112" w:type="dxa"/>
            <w:tcBorders>
              <w:top w:val="nil"/>
              <w:left w:val="nil"/>
              <w:bottom w:val="single" w:sz="4" w:space="0" w:color="auto"/>
              <w:right w:val="single" w:sz="4" w:space="0" w:color="auto"/>
            </w:tcBorders>
            <w:shd w:val="clear" w:color="auto" w:fill="auto"/>
            <w:noWrap/>
            <w:vAlign w:val="bottom"/>
            <w:hideMark/>
          </w:tcPr>
          <w:p w14:paraId="35549D1B" w14:textId="77777777" w:rsidR="00FF235C" w:rsidRPr="00FF235C" w:rsidRDefault="00FF235C" w:rsidP="00FF235C">
            <w:pPr>
              <w:jc w:val="right"/>
              <w:rPr>
                <w:rFonts w:ascii="Cambria" w:eastAsia="Times New Roman" w:hAnsi="Cambria" w:cs="Calibri"/>
                <w:color w:val="000000"/>
                <w:lang w:eastAsia="en-GB"/>
              </w:rPr>
            </w:pPr>
            <w:r w:rsidRPr="00FF235C">
              <w:rPr>
                <w:rFonts w:ascii="Cambria" w:eastAsia="Times New Roman" w:hAnsi="Cambria" w:cs="Calibri"/>
                <w:color w:val="000000"/>
                <w:lang w:eastAsia="en-GB"/>
              </w:rPr>
              <w:t>170,938</w:t>
            </w:r>
          </w:p>
        </w:tc>
        <w:tc>
          <w:tcPr>
            <w:tcW w:w="1112" w:type="dxa"/>
            <w:tcBorders>
              <w:top w:val="nil"/>
              <w:left w:val="nil"/>
              <w:bottom w:val="single" w:sz="4" w:space="0" w:color="auto"/>
              <w:right w:val="single" w:sz="8" w:space="0" w:color="auto"/>
            </w:tcBorders>
            <w:shd w:val="clear" w:color="auto" w:fill="auto"/>
            <w:noWrap/>
            <w:vAlign w:val="bottom"/>
            <w:hideMark/>
          </w:tcPr>
          <w:p w14:paraId="0A1BD34D" w14:textId="77777777" w:rsidR="00FF235C" w:rsidRPr="00FF235C" w:rsidRDefault="00FF235C" w:rsidP="00FF235C">
            <w:pPr>
              <w:jc w:val="right"/>
              <w:rPr>
                <w:rFonts w:ascii="Cambria" w:eastAsia="Times New Roman" w:hAnsi="Cambria" w:cs="Calibri"/>
                <w:color w:val="000000"/>
                <w:lang w:eastAsia="en-GB"/>
              </w:rPr>
            </w:pPr>
            <w:r w:rsidRPr="00FF235C">
              <w:rPr>
                <w:rFonts w:ascii="Cambria" w:eastAsia="Times New Roman" w:hAnsi="Cambria" w:cs="Calibri"/>
                <w:color w:val="000000"/>
                <w:lang w:eastAsia="en-GB"/>
              </w:rPr>
              <w:t>476,344</w:t>
            </w:r>
          </w:p>
        </w:tc>
      </w:tr>
      <w:tr w:rsidR="00FF235C" w:rsidRPr="00FF235C" w14:paraId="5D8347B4" w14:textId="77777777" w:rsidTr="00CD46FB">
        <w:trPr>
          <w:trHeight w:val="246"/>
        </w:trPr>
        <w:tc>
          <w:tcPr>
            <w:tcW w:w="7032" w:type="dxa"/>
            <w:tcBorders>
              <w:top w:val="nil"/>
              <w:left w:val="single" w:sz="8" w:space="0" w:color="auto"/>
              <w:bottom w:val="single" w:sz="4" w:space="0" w:color="auto"/>
              <w:right w:val="single" w:sz="4" w:space="0" w:color="auto"/>
            </w:tcBorders>
            <w:shd w:val="clear" w:color="auto" w:fill="auto"/>
            <w:noWrap/>
            <w:vAlign w:val="bottom"/>
            <w:hideMark/>
          </w:tcPr>
          <w:p w14:paraId="7668811D" w14:textId="77777777" w:rsidR="00FF235C" w:rsidRPr="00FF235C" w:rsidRDefault="00FF235C" w:rsidP="00FF235C">
            <w:pPr>
              <w:rPr>
                <w:rFonts w:ascii="Cambria" w:eastAsia="Times New Roman" w:hAnsi="Cambria" w:cs="Calibri"/>
                <w:color w:val="000000"/>
                <w:lang w:eastAsia="en-GB"/>
              </w:rPr>
            </w:pPr>
            <w:r w:rsidRPr="00FF235C">
              <w:rPr>
                <w:rFonts w:ascii="Cambria" w:eastAsia="Times New Roman" w:hAnsi="Cambria" w:cs="Calibri"/>
                <w:color w:val="000000"/>
                <w:lang w:eastAsia="en-GB"/>
              </w:rPr>
              <w:t>Items in course of transmission to banks</w:t>
            </w:r>
          </w:p>
        </w:tc>
        <w:tc>
          <w:tcPr>
            <w:tcW w:w="1112" w:type="dxa"/>
            <w:tcBorders>
              <w:top w:val="nil"/>
              <w:left w:val="nil"/>
              <w:bottom w:val="single" w:sz="4" w:space="0" w:color="auto"/>
              <w:right w:val="single" w:sz="4" w:space="0" w:color="auto"/>
            </w:tcBorders>
            <w:shd w:val="clear" w:color="auto" w:fill="auto"/>
            <w:noWrap/>
            <w:vAlign w:val="bottom"/>
            <w:hideMark/>
          </w:tcPr>
          <w:p w14:paraId="222E3AD6" w14:textId="77777777" w:rsidR="00FF235C" w:rsidRPr="00FF235C" w:rsidRDefault="00FF235C" w:rsidP="00FF235C">
            <w:pPr>
              <w:jc w:val="right"/>
              <w:rPr>
                <w:rFonts w:ascii="Cambria" w:eastAsia="Times New Roman" w:hAnsi="Cambria" w:cs="Calibri"/>
                <w:color w:val="000000"/>
                <w:lang w:eastAsia="en-GB"/>
              </w:rPr>
            </w:pPr>
            <w:r w:rsidRPr="00FF235C">
              <w:rPr>
                <w:rFonts w:ascii="Cambria" w:eastAsia="Times New Roman" w:hAnsi="Cambria" w:cs="Calibri"/>
                <w:color w:val="000000"/>
                <w:lang w:eastAsia="en-GB"/>
              </w:rPr>
              <w:t>508</w:t>
            </w:r>
          </w:p>
        </w:tc>
        <w:tc>
          <w:tcPr>
            <w:tcW w:w="1112" w:type="dxa"/>
            <w:tcBorders>
              <w:top w:val="nil"/>
              <w:left w:val="nil"/>
              <w:bottom w:val="single" w:sz="4" w:space="0" w:color="auto"/>
              <w:right w:val="single" w:sz="8" w:space="0" w:color="auto"/>
            </w:tcBorders>
            <w:shd w:val="clear" w:color="auto" w:fill="auto"/>
            <w:noWrap/>
            <w:vAlign w:val="bottom"/>
            <w:hideMark/>
          </w:tcPr>
          <w:p w14:paraId="6293DC9C" w14:textId="77777777" w:rsidR="00FF235C" w:rsidRPr="00FF235C" w:rsidRDefault="00FF235C" w:rsidP="00FF235C">
            <w:pPr>
              <w:rPr>
                <w:rFonts w:ascii="Cambria" w:eastAsia="Times New Roman" w:hAnsi="Cambria" w:cs="Calibri"/>
                <w:color w:val="000000"/>
                <w:lang w:eastAsia="en-GB"/>
              </w:rPr>
            </w:pPr>
            <w:r w:rsidRPr="00FF235C">
              <w:rPr>
                <w:rFonts w:ascii="Cambria" w:eastAsia="Times New Roman" w:hAnsi="Cambria" w:cs="Calibri"/>
                <w:color w:val="000000"/>
                <w:lang w:eastAsia="en-GB"/>
              </w:rPr>
              <w:t>-</w:t>
            </w:r>
          </w:p>
        </w:tc>
      </w:tr>
      <w:tr w:rsidR="00FF235C" w:rsidRPr="00FF235C" w14:paraId="0F1A251E" w14:textId="77777777" w:rsidTr="00CD46FB">
        <w:trPr>
          <w:trHeight w:val="246"/>
        </w:trPr>
        <w:tc>
          <w:tcPr>
            <w:tcW w:w="7032" w:type="dxa"/>
            <w:tcBorders>
              <w:top w:val="nil"/>
              <w:left w:val="single" w:sz="8" w:space="0" w:color="auto"/>
              <w:bottom w:val="single" w:sz="4" w:space="0" w:color="auto"/>
              <w:right w:val="single" w:sz="4" w:space="0" w:color="auto"/>
            </w:tcBorders>
            <w:shd w:val="clear" w:color="auto" w:fill="auto"/>
            <w:noWrap/>
            <w:vAlign w:val="bottom"/>
            <w:hideMark/>
          </w:tcPr>
          <w:p w14:paraId="1062A7F9" w14:textId="77777777" w:rsidR="00FF235C" w:rsidRPr="00FF235C" w:rsidRDefault="00FF235C" w:rsidP="00FF235C">
            <w:pPr>
              <w:rPr>
                <w:rFonts w:ascii="Cambria" w:eastAsia="Times New Roman" w:hAnsi="Cambria" w:cs="Calibri"/>
                <w:color w:val="000000"/>
                <w:lang w:eastAsia="en-GB"/>
              </w:rPr>
            </w:pPr>
            <w:r w:rsidRPr="00FF235C">
              <w:rPr>
                <w:rFonts w:ascii="Cambria" w:eastAsia="Times New Roman" w:hAnsi="Cambria" w:cs="Calibri"/>
                <w:color w:val="000000"/>
                <w:lang w:eastAsia="en-GB"/>
              </w:rPr>
              <w:t xml:space="preserve">Trading and other liabilities at fair value through profit or loss </w:t>
            </w:r>
          </w:p>
        </w:tc>
        <w:tc>
          <w:tcPr>
            <w:tcW w:w="1112" w:type="dxa"/>
            <w:tcBorders>
              <w:top w:val="nil"/>
              <w:left w:val="nil"/>
              <w:bottom w:val="single" w:sz="4" w:space="0" w:color="auto"/>
              <w:right w:val="single" w:sz="4" w:space="0" w:color="auto"/>
            </w:tcBorders>
            <w:shd w:val="clear" w:color="auto" w:fill="auto"/>
            <w:noWrap/>
            <w:vAlign w:val="bottom"/>
            <w:hideMark/>
          </w:tcPr>
          <w:p w14:paraId="33D2BE4B" w14:textId="77777777" w:rsidR="00FF235C" w:rsidRPr="00FF235C" w:rsidRDefault="00FF235C" w:rsidP="00FF235C">
            <w:pPr>
              <w:jc w:val="right"/>
              <w:rPr>
                <w:rFonts w:ascii="Cambria" w:eastAsia="Times New Roman" w:hAnsi="Cambria" w:cs="Calibri"/>
                <w:color w:val="000000"/>
                <w:lang w:eastAsia="en-GB"/>
              </w:rPr>
            </w:pPr>
            <w:r w:rsidRPr="00FF235C">
              <w:rPr>
                <w:rFonts w:ascii="Cambria" w:eastAsia="Times New Roman" w:hAnsi="Cambria" w:cs="Calibri"/>
                <w:color w:val="000000"/>
                <w:lang w:eastAsia="en-GB"/>
              </w:rPr>
              <w:t>6,754</w:t>
            </w:r>
          </w:p>
        </w:tc>
        <w:tc>
          <w:tcPr>
            <w:tcW w:w="1112" w:type="dxa"/>
            <w:tcBorders>
              <w:top w:val="nil"/>
              <w:left w:val="nil"/>
              <w:bottom w:val="single" w:sz="4" w:space="0" w:color="auto"/>
              <w:right w:val="single" w:sz="8" w:space="0" w:color="auto"/>
            </w:tcBorders>
            <w:shd w:val="clear" w:color="auto" w:fill="auto"/>
            <w:noWrap/>
            <w:vAlign w:val="bottom"/>
            <w:hideMark/>
          </w:tcPr>
          <w:p w14:paraId="36DB1DFC" w14:textId="77777777" w:rsidR="00FF235C" w:rsidRPr="00FF235C" w:rsidRDefault="00FF235C" w:rsidP="00FF235C">
            <w:pPr>
              <w:jc w:val="right"/>
              <w:rPr>
                <w:rFonts w:ascii="Cambria" w:eastAsia="Times New Roman" w:hAnsi="Cambria" w:cs="Calibri"/>
                <w:color w:val="000000"/>
                <w:lang w:eastAsia="en-GB"/>
              </w:rPr>
            </w:pPr>
            <w:r w:rsidRPr="00FF235C">
              <w:rPr>
                <w:rFonts w:ascii="Cambria" w:eastAsia="Times New Roman" w:hAnsi="Cambria" w:cs="Calibri"/>
                <w:color w:val="000000"/>
                <w:lang w:eastAsia="en-GB"/>
              </w:rPr>
              <w:t>23,123</w:t>
            </w:r>
          </w:p>
        </w:tc>
      </w:tr>
      <w:tr w:rsidR="00FF235C" w:rsidRPr="00FF235C" w14:paraId="4F512D40" w14:textId="77777777" w:rsidTr="00CD46FB">
        <w:trPr>
          <w:trHeight w:val="246"/>
        </w:trPr>
        <w:tc>
          <w:tcPr>
            <w:tcW w:w="7032" w:type="dxa"/>
            <w:tcBorders>
              <w:top w:val="nil"/>
              <w:left w:val="single" w:sz="8" w:space="0" w:color="auto"/>
              <w:bottom w:val="single" w:sz="4" w:space="0" w:color="auto"/>
              <w:right w:val="single" w:sz="4" w:space="0" w:color="auto"/>
            </w:tcBorders>
            <w:shd w:val="clear" w:color="auto" w:fill="auto"/>
            <w:noWrap/>
            <w:vAlign w:val="bottom"/>
            <w:hideMark/>
          </w:tcPr>
          <w:p w14:paraId="790E97D5" w14:textId="77777777" w:rsidR="00FF235C" w:rsidRPr="00FF235C" w:rsidRDefault="00FF235C" w:rsidP="00FF235C">
            <w:pPr>
              <w:rPr>
                <w:rFonts w:ascii="Cambria" w:eastAsia="Times New Roman" w:hAnsi="Cambria" w:cs="Calibri"/>
                <w:color w:val="000000"/>
                <w:lang w:eastAsia="en-GB"/>
              </w:rPr>
            </w:pPr>
            <w:r w:rsidRPr="00FF235C">
              <w:rPr>
                <w:rFonts w:ascii="Cambria" w:eastAsia="Times New Roman" w:hAnsi="Cambria" w:cs="Calibri"/>
                <w:color w:val="000000"/>
                <w:lang w:eastAsia="en-GB"/>
              </w:rPr>
              <w:t xml:space="preserve">Derivative financial instruments </w:t>
            </w:r>
          </w:p>
        </w:tc>
        <w:tc>
          <w:tcPr>
            <w:tcW w:w="1112" w:type="dxa"/>
            <w:tcBorders>
              <w:top w:val="nil"/>
              <w:left w:val="nil"/>
              <w:bottom w:val="single" w:sz="4" w:space="0" w:color="auto"/>
              <w:right w:val="single" w:sz="4" w:space="0" w:color="auto"/>
            </w:tcBorders>
            <w:shd w:val="clear" w:color="auto" w:fill="auto"/>
            <w:noWrap/>
            <w:vAlign w:val="bottom"/>
            <w:hideMark/>
          </w:tcPr>
          <w:p w14:paraId="3FE3BF77" w14:textId="77777777" w:rsidR="00FF235C" w:rsidRPr="00FF235C" w:rsidRDefault="00FF235C" w:rsidP="00FF235C">
            <w:pPr>
              <w:jc w:val="right"/>
              <w:rPr>
                <w:rFonts w:ascii="Cambria" w:eastAsia="Times New Roman" w:hAnsi="Cambria" w:cs="Calibri"/>
                <w:color w:val="000000"/>
                <w:lang w:eastAsia="en-GB"/>
              </w:rPr>
            </w:pPr>
            <w:r w:rsidRPr="00FF235C">
              <w:rPr>
                <w:rFonts w:ascii="Cambria" w:eastAsia="Times New Roman" w:hAnsi="Cambria" w:cs="Calibri"/>
                <w:color w:val="000000"/>
                <w:lang w:eastAsia="en-GB"/>
              </w:rPr>
              <w:t>26,892</w:t>
            </w:r>
          </w:p>
        </w:tc>
        <w:tc>
          <w:tcPr>
            <w:tcW w:w="1112" w:type="dxa"/>
            <w:tcBorders>
              <w:top w:val="nil"/>
              <w:left w:val="nil"/>
              <w:bottom w:val="single" w:sz="4" w:space="0" w:color="auto"/>
              <w:right w:val="single" w:sz="8" w:space="0" w:color="auto"/>
            </w:tcBorders>
            <w:shd w:val="clear" w:color="auto" w:fill="auto"/>
            <w:noWrap/>
            <w:vAlign w:val="bottom"/>
            <w:hideMark/>
          </w:tcPr>
          <w:p w14:paraId="1F350017" w14:textId="77777777" w:rsidR="00FF235C" w:rsidRPr="00FF235C" w:rsidRDefault="00FF235C" w:rsidP="00FF235C">
            <w:pPr>
              <w:jc w:val="right"/>
              <w:rPr>
                <w:rFonts w:ascii="Cambria" w:eastAsia="Times New Roman" w:hAnsi="Cambria" w:cs="Calibri"/>
                <w:color w:val="000000"/>
                <w:lang w:eastAsia="en-GB"/>
              </w:rPr>
            </w:pPr>
            <w:r w:rsidRPr="00FF235C">
              <w:rPr>
                <w:rFonts w:ascii="Cambria" w:eastAsia="Times New Roman" w:hAnsi="Cambria" w:cs="Calibri"/>
                <w:color w:val="000000"/>
                <w:lang w:eastAsia="en-GB"/>
              </w:rPr>
              <w:t>18,060</w:t>
            </w:r>
          </w:p>
        </w:tc>
      </w:tr>
      <w:tr w:rsidR="00FF235C" w:rsidRPr="00FF235C" w14:paraId="74D4E243" w14:textId="77777777" w:rsidTr="00CD46FB">
        <w:trPr>
          <w:trHeight w:val="246"/>
        </w:trPr>
        <w:tc>
          <w:tcPr>
            <w:tcW w:w="7032" w:type="dxa"/>
            <w:tcBorders>
              <w:top w:val="nil"/>
              <w:left w:val="nil"/>
              <w:bottom w:val="nil"/>
              <w:right w:val="nil"/>
            </w:tcBorders>
            <w:shd w:val="clear" w:color="auto" w:fill="auto"/>
            <w:noWrap/>
            <w:vAlign w:val="bottom"/>
            <w:hideMark/>
          </w:tcPr>
          <w:p w14:paraId="7841C13F" w14:textId="77777777" w:rsidR="00FF235C" w:rsidRPr="00FF235C" w:rsidRDefault="00FF235C" w:rsidP="00FF235C">
            <w:pPr>
              <w:rPr>
                <w:rFonts w:ascii="Calibri" w:eastAsia="Times New Roman" w:hAnsi="Calibri" w:cs="Calibri"/>
                <w:color w:val="000000"/>
                <w:lang w:eastAsia="en-GB"/>
              </w:rPr>
            </w:pPr>
            <w:r w:rsidRPr="00FF235C">
              <w:rPr>
                <w:rFonts w:ascii="Calibri" w:eastAsia="Times New Roman" w:hAnsi="Calibri" w:cs="Calibri"/>
                <w:noProof/>
                <w:color w:val="000000"/>
                <w:lang w:eastAsia="en-GB"/>
              </w:rPr>
              <w:drawing>
                <wp:anchor distT="0" distB="0" distL="114300" distR="114300" simplePos="0" relativeHeight="251659264" behindDoc="0" locked="0" layoutInCell="1" allowOverlap="1" wp14:anchorId="537B2B76" wp14:editId="373F339F">
                  <wp:simplePos x="0" y="0"/>
                  <wp:positionH relativeFrom="column">
                    <wp:posOffset>0</wp:posOffset>
                  </wp:positionH>
                  <wp:positionV relativeFrom="paragraph">
                    <wp:posOffset>25400</wp:posOffset>
                  </wp:positionV>
                  <wp:extent cx="4254500" cy="12700"/>
                  <wp:effectExtent l="0" t="0" r="0" b="0"/>
                  <wp:wrapNone/>
                  <wp:docPr id="6" name="Picture 6" descr="page101image1152014096">
                    <a:extLst xmlns:a="http://schemas.openxmlformats.org/drawingml/2006/main">
                      <a:ext uri="{FF2B5EF4-FFF2-40B4-BE49-F238E27FC236}">
                        <a16:creationId xmlns:a16="http://schemas.microsoft.com/office/drawing/2014/main" id="{A1B0201E-AFF9-5594-5337-4915FE2F9742}"/>
                      </a:ext>
                    </a:extLst>
                  </wp:docPr>
                  <wp:cNvGraphicFramePr/>
                  <a:graphic xmlns:a="http://schemas.openxmlformats.org/drawingml/2006/main">
                    <a:graphicData uri="http://schemas.openxmlformats.org/drawingml/2006/picture">
                      <pic:pic xmlns:pic="http://schemas.openxmlformats.org/drawingml/2006/picture">
                        <pic:nvPicPr>
                          <pic:cNvPr id="2" name="Picture 1" descr="page101image1152014096">
                            <a:extLst>
                              <a:ext uri="{FF2B5EF4-FFF2-40B4-BE49-F238E27FC236}">
                                <a16:creationId xmlns:a16="http://schemas.microsoft.com/office/drawing/2014/main" id="{A1B0201E-AFF9-5594-5337-4915FE2F9742}"/>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41800" cy="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r w:rsidRPr="00FF235C">
              <w:rPr>
                <w:rFonts w:ascii="Calibri" w:eastAsia="Times New Roman" w:hAnsi="Calibri" w:cs="Calibri"/>
                <w:noProof/>
                <w:color w:val="000000"/>
                <w:lang w:eastAsia="en-GB"/>
              </w:rPr>
              <w:drawing>
                <wp:anchor distT="0" distB="0" distL="114300" distR="114300" simplePos="0" relativeHeight="251660288" behindDoc="0" locked="0" layoutInCell="1" allowOverlap="1" wp14:anchorId="0EAC27DE" wp14:editId="7D821F99">
                  <wp:simplePos x="0" y="0"/>
                  <wp:positionH relativeFrom="column">
                    <wp:posOffset>0</wp:posOffset>
                  </wp:positionH>
                  <wp:positionV relativeFrom="paragraph">
                    <wp:posOffset>25400</wp:posOffset>
                  </wp:positionV>
                  <wp:extent cx="2171700" cy="12700"/>
                  <wp:effectExtent l="0" t="0" r="0" b="0"/>
                  <wp:wrapNone/>
                  <wp:docPr id="5" name="Picture 5" descr="page101image1152014416">
                    <a:extLst xmlns:a="http://schemas.openxmlformats.org/drawingml/2006/main">
                      <a:ext uri="{FF2B5EF4-FFF2-40B4-BE49-F238E27FC236}">
                        <a16:creationId xmlns:a16="http://schemas.microsoft.com/office/drawing/2014/main" id="{677B045A-30D0-C762-CAD6-FB2302926EE5}"/>
                      </a:ext>
                    </a:extLst>
                  </wp:docPr>
                  <wp:cNvGraphicFramePr/>
                  <a:graphic xmlns:a="http://schemas.openxmlformats.org/drawingml/2006/main">
                    <a:graphicData uri="http://schemas.openxmlformats.org/drawingml/2006/picture">
                      <pic:pic xmlns:pic="http://schemas.openxmlformats.org/drawingml/2006/picture">
                        <pic:nvPicPr>
                          <pic:cNvPr id="3" name="Picture 2" descr="page101image1152014416">
                            <a:extLst>
                              <a:ext uri="{FF2B5EF4-FFF2-40B4-BE49-F238E27FC236}">
                                <a16:creationId xmlns:a16="http://schemas.microsoft.com/office/drawing/2014/main" id="{677B045A-30D0-C762-CAD6-FB2302926EE5}"/>
                              </a:ext>
                            </a:extLs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159000" cy="0"/>
                          </a:xfrm>
                          <a:prstGeom prst="rect">
                            <a:avLst/>
                          </a:prstGeom>
                          <a:noFill/>
                          <a:extLst>
                            <a:ext uri="{909E8E84-426E-40DD-AFC4-6F175D3DCCD1}">
                              <a14:hiddenFill xmlns:a14="http://schemas.microsoft.com/office/drawing/2010/main">
                                <a:solidFill>
                                  <a:srgbClr val="FFFFFF"/>
                                </a:solidFill>
                              </a14:hiddenFill>
                            </a:ext>
                          </a:extLst>
                        </pic:spPr>
                      </pic:pic>
                    </a:graphicData>
                  </a:graphic>
                  <wp14:sizeRelH relativeFrom="page">
                    <wp14:pctWidth>0</wp14:pctWidth>
                  </wp14:sizeRelH>
                  <wp14:sizeRelV relativeFrom="page">
                    <wp14:pctHeight>0</wp14:pctHeight>
                  </wp14:sizeRelV>
                </wp:anchor>
              </w:drawing>
            </w:r>
          </w:p>
          <w:tbl>
            <w:tblPr>
              <w:tblW w:w="6794" w:type="dxa"/>
              <w:tblCellSpacing w:w="0" w:type="dxa"/>
              <w:tblCellMar>
                <w:left w:w="0" w:type="dxa"/>
                <w:right w:w="0" w:type="dxa"/>
              </w:tblCellMar>
              <w:tblLook w:val="04A0" w:firstRow="1" w:lastRow="0" w:firstColumn="1" w:lastColumn="0" w:noHBand="0" w:noVBand="1"/>
            </w:tblPr>
            <w:tblGrid>
              <w:gridCol w:w="6824"/>
            </w:tblGrid>
            <w:tr w:rsidR="00FF235C" w:rsidRPr="00FF235C" w14:paraId="396364D6" w14:textId="77777777" w:rsidTr="00CD46FB">
              <w:trPr>
                <w:trHeight w:val="263"/>
                <w:tblCellSpacing w:w="0" w:type="dxa"/>
              </w:trPr>
              <w:tc>
                <w:tcPr>
                  <w:tcW w:w="6794" w:type="dxa"/>
                  <w:tcBorders>
                    <w:top w:val="nil"/>
                    <w:left w:val="single" w:sz="8" w:space="0" w:color="auto"/>
                    <w:bottom w:val="single" w:sz="4" w:space="0" w:color="auto"/>
                    <w:right w:val="single" w:sz="4" w:space="0" w:color="auto"/>
                  </w:tcBorders>
                  <w:shd w:val="clear" w:color="auto" w:fill="auto"/>
                  <w:noWrap/>
                  <w:vAlign w:val="bottom"/>
                  <w:hideMark/>
                </w:tcPr>
                <w:p w14:paraId="0D9F754B" w14:textId="77777777" w:rsidR="00FF235C" w:rsidRPr="00FF235C" w:rsidRDefault="00FF235C" w:rsidP="006F6436">
                  <w:pPr>
                    <w:framePr w:hSpace="180" w:wrap="around" w:vAnchor="text" w:hAnchor="margin" w:xAlign="right" w:y="-571"/>
                    <w:rPr>
                      <w:rFonts w:ascii="Cambria" w:eastAsia="Times New Roman" w:hAnsi="Cambria" w:cs="Calibri"/>
                      <w:color w:val="000000"/>
                      <w:lang w:eastAsia="en-GB"/>
                    </w:rPr>
                  </w:pPr>
                  <w:r w:rsidRPr="00FF235C">
                    <w:rPr>
                      <w:rFonts w:ascii="Cambria" w:eastAsia="Times New Roman" w:hAnsi="Cambria" w:cs="Calibri"/>
                      <w:color w:val="000000"/>
                      <w:lang w:eastAsia="en-GB"/>
                    </w:rPr>
                    <w:t>Debt securities in issue</w:t>
                  </w:r>
                </w:p>
              </w:tc>
            </w:tr>
          </w:tbl>
          <w:p w14:paraId="35202E20" w14:textId="77777777" w:rsidR="00FF235C" w:rsidRPr="00FF235C" w:rsidRDefault="00FF235C" w:rsidP="00FF235C">
            <w:pPr>
              <w:rPr>
                <w:rFonts w:ascii="Calibri" w:eastAsia="Times New Roman" w:hAnsi="Calibri" w:cs="Calibri"/>
                <w:color w:val="000000"/>
                <w:lang w:eastAsia="en-GB"/>
              </w:rPr>
            </w:pPr>
          </w:p>
        </w:tc>
        <w:tc>
          <w:tcPr>
            <w:tcW w:w="1112" w:type="dxa"/>
            <w:tcBorders>
              <w:top w:val="nil"/>
              <w:left w:val="nil"/>
              <w:bottom w:val="single" w:sz="4" w:space="0" w:color="auto"/>
              <w:right w:val="single" w:sz="4" w:space="0" w:color="auto"/>
            </w:tcBorders>
            <w:shd w:val="clear" w:color="auto" w:fill="auto"/>
            <w:noWrap/>
            <w:vAlign w:val="bottom"/>
            <w:hideMark/>
          </w:tcPr>
          <w:p w14:paraId="2E9646EF" w14:textId="77777777" w:rsidR="00FF235C" w:rsidRPr="00FF235C" w:rsidRDefault="00FF235C" w:rsidP="00FF235C">
            <w:pPr>
              <w:jc w:val="right"/>
              <w:rPr>
                <w:rFonts w:ascii="Cambria" w:eastAsia="Times New Roman" w:hAnsi="Cambria" w:cs="Calibri"/>
                <w:color w:val="000000"/>
                <w:lang w:eastAsia="en-GB"/>
              </w:rPr>
            </w:pPr>
            <w:r w:rsidRPr="00FF235C">
              <w:rPr>
                <w:rFonts w:ascii="Cambria" w:eastAsia="Times New Roman" w:hAnsi="Cambria" w:cs="Calibri"/>
                <w:color w:val="000000"/>
                <w:lang w:eastAsia="en-GB"/>
              </w:rPr>
              <w:t>75,710</w:t>
            </w:r>
          </w:p>
        </w:tc>
        <w:tc>
          <w:tcPr>
            <w:tcW w:w="1112" w:type="dxa"/>
            <w:tcBorders>
              <w:top w:val="nil"/>
              <w:left w:val="nil"/>
              <w:bottom w:val="single" w:sz="4" w:space="0" w:color="auto"/>
              <w:right w:val="single" w:sz="8" w:space="0" w:color="auto"/>
            </w:tcBorders>
            <w:shd w:val="clear" w:color="auto" w:fill="auto"/>
            <w:noWrap/>
            <w:vAlign w:val="bottom"/>
            <w:hideMark/>
          </w:tcPr>
          <w:p w14:paraId="562C1956" w14:textId="77777777" w:rsidR="00FF235C" w:rsidRPr="00FF235C" w:rsidRDefault="00FF235C" w:rsidP="00FF235C">
            <w:pPr>
              <w:jc w:val="right"/>
              <w:rPr>
                <w:rFonts w:ascii="Cambria" w:eastAsia="Times New Roman" w:hAnsi="Cambria" w:cs="Calibri"/>
                <w:color w:val="000000"/>
                <w:lang w:eastAsia="en-GB"/>
              </w:rPr>
            </w:pPr>
            <w:r w:rsidRPr="00FF235C">
              <w:rPr>
                <w:rFonts w:ascii="Cambria" w:eastAsia="Times New Roman" w:hAnsi="Cambria" w:cs="Calibri"/>
                <w:color w:val="000000"/>
                <w:lang w:eastAsia="en-GB"/>
              </w:rPr>
              <w:t>71,552</w:t>
            </w:r>
          </w:p>
        </w:tc>
      </w:tr>
      <w:tr w:rsidR="00FF235C" w:rsidRPr="00FF235C" w14:paraId="5BFCD053" w14:textId="77777777" w:rsidTr="00CD46FB">
        <w:trPr>
          <w:trHeight w:val="246"/>
        </w:trPr>
        <w:tc>
          <w:tcPr>
            <w:tcW w:w="7032" w:type="dxa"/>
            <w:tcBorders>
              <w:top w:val="nil"/>
              <w:left w:val="single" w:sz="8" w:space="0" w:color="auto"/>
              <w:bottom w:val="single" w:sz="4" w:space="0" w:color="auto"/>
              <w:right w:val="single" w:sz="4" w:space="0" w:color="auto"/>
            </w:tcBorders>
            <w:shd w:val="clear" w:color="auto" w:fill="auto"/>
            <w:noWrap/>
            <w:vAlign w:val="bottom"/>
            <w:hideMark/>
          </w:tcPr>
          <w:p w14:paraId="25F9255E" w14:textId="77777777" w:rsidR="00FF235C" w:rsidRPr="00FF235C" w:rsidRDefault="00FF235C" w:rsidP="00FF235C">
            <w:pPr>
              <w:rPr>
                <w:rFonts w:ascii="Cambria" w:eastAsia="Times New Roman" w:hAnsi="Cambria" w:cs="Calibri"/>
                <w:color w:val="000000"/>
                <w:lang w:eastAsia="en-GB"/>
              </w:rPr>
            </w:pPr>
            <w:r w:rsidRPr="00FF235C">
              <w:rPr>
                <w:rFonts w:ascii="Cambria" w:eastAsia="Times New Roman" w:hAnsi="Cambria" w:cs="Calibri"/>
                <w:color w:val="000000"/>
                <w:lang w:eastAsia="en-GB"/>
              </w:rPr>
              <w:t xml:space="preserve">Liabilities arising from insurance contracts and participating investment contracts </w:t>
            </w:r>
          </w:p>
        </w:tc>
        <w:tc>
          <w:tcPr>
            <w:tcW w:w="1112" w:type="dxa"/>
            <w:tcBorders>
              <w:top w:val="nil"/>
              <w:left w:val="nil"/>
              <w:bottom w:val="single" w:sz="4" w:space="0" w:color="auto"/>
              <w:right w:val="single" w:sz="4" w:space="0" w:color="auto"/>
            </w:tcBorders>
            <w:shd w:val="clear" w:color="auto" w:fill="auto"/>
            <w:noWrap/>
            <w:vAlign w:val="bottom"/>
            <w:hideMark/>
          </w:tcPr>
          <w:p w14:paraId="621B58E5" w14:textId="77777777" w:rsidR="00FF235C" w:rsidRPr="00FF235C" w:rsidRDefault="00FF235C" w:rsidP="00FF235C">
            <w:pPr>
              <w:jc w:val="right"/>
              <w:rPr>
                <w:rFonts w:ascii="Cambria" w:eastAsia="Times New Roman" w:hAnsi="Cambria" w:cs="Calibri"/>
                <w:color w:val="000000"/>
                <w:lang w:eastAsia="en-GB"/>
              </w:rPr>
            </w:pPr>
            <w:r w:rsidRPr="00FF235C">
              <w:rPr>
                <w:rFonts w:ascii="Cambria" w:eastAsia="Times New Roman" w:hAnsi="Cambria" w:cs="Calibri"/>
                <w:color w:val="000000"/>
                <w:lang w:eastAsia="en-GB"/>
              </w:rPr>
              <w:t>33,792</w:t>
            </w:r>
          </w:p>
        </w:tc>
        <w:tc>
          <w:tcPr>
            <w:tcW w:w="1112" w:type="dxa"/>
            <w:tcBorders>
              <w:top w:val="nil"/>
              <w:left w:val="nil"/>
              <w:bottom w:val="single" w:sz="4" w:space="0" w:color="auto"/>
              <w:right w:val="single" w:sz="8" w:space="0" w:color="auto"/>
            </w:tcBorders>
            <w:shd w:val="clear" w:color="auto" w:fill="auto"/>
            <w:noWrap/>
            <w:vAlign w:val="bottom"/>
            <w:hideMark/>
          </w:tcPr>
          <w:p w14:paraId="4E2E298C" w14:textId="77777777" w:rsidR="00FF235C" w:rsidRPr="00FF235C" w:rsidRDefault="00FF235C" w:rsidP="00FF235C">
            <w:pPr>
              <w:jc w:val="right"/>
              <w:rPr>
                <w:rFonts w:ascii="Cambria" w:eastAsia="Times New Roman" w:hAnsi="Cambria" w:cs="Calibri"/>
                <w:color w:val="000000"/>
                <w:lang w:eastAsia="en-GB"/>
              </w:rPr>
            </w:pPr>
            <w:r w:rsidRPr="00FF235C">
              <w:rPr>
                <w:rFonts w:ascii="Cambria" w:eastAsia="Times New Roman" w:hAnsi="Cambria" w:cs="Calibri"/>
                <w:color w:val="000000"/>
                <w:lang w:eastAsia="en-GB"/>
              </w:rPr>
              <w:t>168,463</w:t>
            </w:r>
          </w:p>
        </w:tc>
      </w:tr>
      <w:tr w:rsidR="00FF235C" w:rsidRPr="00FF235C" w14:paraId="11FD0046" w14:textId="77777777" w:rsidTr="00CD46FB">
        <w:trPr>
          <w:trHeight w:val="246"/>
        </w:trPr>
        <w:tc>
          <w:tcPr>
            <w:tcW w:w="7032" w:type="dxa"/>
            <w:tcBorders>
              <w:top w:val="nil"/>
              <w:left w:val="single" w:sz="8" w:space="0" w:color="auto"/>
              <w:bottom w:val="single" w:sz="4" w:space="0" w:color="auto"/>
              <w:right w:val="single" w:sz="4" w:space="0" w:color="auto"/>
            </w:tcBorders>
            <w:shd w:val="clear" w:color="auto" w:fill="auto"/>
            <w:noWrap/>
            <w:vAlign w:val="bottom"/>
            <w:hideMark/>
          </w:tcPr>
          <w:p w14:paraId="0CD0F2A5" w14:textId="77777777" w:rsidR="00FF235C" w:rsidRPr="00FF235C" w:rsidRDefault="00FF235C" w:rsidP="00FF235C">
            <w:pPr>
              <w:rPr>
                <w:rFonts w:ascii="Cambria" w:eastAsia="Times New Roman" w:hAnsi="Cambria" w:cs="Calibri"/>
                <w:color w:val="000000"/>
                <w:lang w:eastAsia="en-GB"/>
              </w:rPr>
            </w:pPr>
            <w:r w:rsidRPr="00FF235C">
              <w:rPr>
                <w:rFonts w:ascii="Cambria" w:eastAsia="Times New Roman" w:hAnsi="Cambria" w:cs="Calibri"/>
                <w:color w:val="000000"/>
                <w:lang w:eastAsia="en-GB"/>
              </w:rPr>
              <w:t>Liabilities arising from non-participating investment contracts</w:t>
            </w:r>
          </w:p>
        </w:tc>
        <w:tc>
          <w:tcPr>
            <w:tcW w:w="1112" w:type="dxa"/>
            <w:tcBorders>
              <w:top w:val="nil"/>
              <w:left w:val="nil"/>
              <w:bottom w:val="single" w:sz="4" w:space="0" w:color="auto"/>
              <w:right w:val="single" w:sz="4" w:space="0" w:color="auto"/>
            </w:tcBorders>
            <w:shd w:val="clear" w:color="auto" w:fill="auto"/>
            <w:noWrap/>
            <w:vAlign w:val="bottom"/>
            <w:hideMark/>
          </w:tcPr>
          <w:p w14:paraId="46F96C66" w14:textId="77777777" w:rsidR="00FF235C" w:rsidRPr="00FF235C" w:rsidRDefault="00FF235C" w:rsidP="00FF235C">
            <w:pPr>
              <w:jc w:val="right"/>
              <w:rPr>
                <w:rFonts w:ascii="Cambria" w:eastAsia="Times New Roman" w:hAnsi="Cambria" w:cs="Calibri"/>
                <w:color w:val="000000"/>
                <w:lang w:eastAsia="en-GB"/>
              </w:rPr>
            </w:pPr>
            <w:r w:rsidRPr="00FF235C">
              <w:rPr>
                <w:rFonts w:ascii="Cambria" w:eastAsia="Times New Roman" w:hAnsi="Cambria" w:cs="Calibri"/>
                <w:color w:val="000000"/>
                <w:lang w:eastAsia="en-GB"/>
              </w:rPr>
              <w:t>14,243</w:t>
            </w:r>
          </w:p>
        </w:tc>
        <w:tc>
          <w:tcPr>
            <w:tcW w:w="1112" w:type="dxa"/>
            <w:tcBorders>
              <w:top w:val="nil"/>
              <w:left w:val="nil"/>
              <w:bottom w:val="single" w:sz="4" w:space="0" w:color="auto"/>
              <w:right w:val="single" w:sz="8" w:space="0" w:color="auto"/>
            </w:tcBorders>
            <w:shd w:val="clear" w:color="auto" w:fill="auto"/>
            <w:noWrap/>
            <w:vAlign w:val="bottom"/>
            <w:hideMark/>
          </w:tcPr>
          <w:p w14:paraId="69C05154" w14:textId="77777777" w:rsidR="00FF235C" w:rsidRPr="00FF235C" w:rsidRDefault="00FF235C" w:rsidP="00FF235C">
            <w:pPr>
              <w:rPr>
                <w:rFonts w:ascii="Cambria" w:eastAsia="Times New Roman" w:hAnsi="Cambria" w:cs="Calibri"/>
                <w:color w:val="000000"/>
                <w:lang w:eastAsia="en-GB"/>
              </w:rPr>
            </w:pPr>
            <w:r w:rsidRPr="00FF235C">
              <w:rPr>
                <w:rFonts w:ascii="Cambria" w:eastAsia="Times New Roman" w:hAnsi="Cambria" w:cs="Calibri"/>
                <w:color w:val="000000"/>
                <w:lang w:eastAsia="en-GB"/>
              </w:rPr>
              <w:t>-</w:t>
            </w:r>
          </w:p>
        </w:tc>
      </w:tr>
      <w:tr w:rsidR="00FF235C" w:rsidRPr="00FF235C" w14:paraId="7E7CACF0" w14:textId="77777777" w:rsidTr="00CD46FB">
        <w:trPr>
          <w:trHeight w:val="246"/>
        </w:trPr>
        <w:tc>
          <w:tcPr>
            <w:tcW w:w="7032" w:type="dxa"/>
            <w:tcBorders>
              <w:top w:val="nil"/>
              <w:left w:val="single" w:sz="8" w:space="0" w:color="auto"/>
              <w:bottom w:val="single" w:sz="4" w:space="0" w:color="auto"/>
              <w:right w:val="single" w:sz="4" w:space="0" w:color="auto"/>
            </w:tcBorders>
            <w:shd w:val="clear" w:color="auto" w:fill="auto"/>
            <w:noWrap/>
            <w:vAlign w:val="bottom"/>
            <w:hideMark/>
          </w:tcPr>
          <w:p w14:paraId="32004177" w14:textId="77777777" w:rsidR="00FF235C" w:rsidRPr="00FF235C" w:rsidRDefault="00FF235C" w:rsidP="00FF235C">
            <w:pPr>
              <w:rPr>
                <w:rFonts w:ascii="Cambria" w:eastAsia="Times New Roman" w:hAnsi="Cambria" w:cs="Calibri"/>
                <w:color w:val="000000"/>
                <w:lang w:eastAsia="en-GB"/>
              </w:rPr>
            </w:pPr>
            <w:r w:rsidRPr="00FF235C">
              <w:rPr>
                <w:rFonts w:ascii="Cambria" w:eastAsia="Times New Roman" w:hAnsi="Cambria" w:cs="Calibri"/>
                <w:color w:val="000000"/>
                <w:lang w:eastAsia="en-GB"/>
              </w:rPr>
              <w:t>Unallocated surplus within insurance businesses</w:t>
            </w:r>
          </w:p>
        </w:tc>
        <w:tc>
          <w:tcPr>
            <w:tcW w:w="1112" w:type="dxa"/>
            <w:tcBorders>
              <w:top w:val="nil"/>
              <w:left w:val="nil"/>
              <w:bottom w:val="single" w:sz="4" w:space="0" w:color="auto"/>
              <w:right w:val="single" w:sz="4" w:space="0" w:color="auto"/>
            </w:tcBorders>
            <w:shd w:val="clear" w:color="auto" w:fill="auto"/>
            <w:noWrap/>
            <w:vAlign w:val="bottom"/>
            <w:hideMark/>
          </w:tcPr>
          <w:p w14:paraId="4EDC495F" w14:textId="77777777" w:rsidR="00FF235C" w:rsidRPr="00FF235C" w:rsidRDefault="00FF235C" w:rsidP="00FF235C">
            <w:pPr>
              <w:jc w:val="right"/>
              <w:rPr>
                <w:rFonts w:ascii="Cambria" w:eastAsia="Times New Roman" w:hAnsi="Cambria" w:cs="Calibri"/>
                <w:color w:val="000000"/>
                <w:lang w:eastAsia="en-GB"/>
              </w:rPr>
            </w:pPr>
            <w:r w:rsidRPr="00FF235C">
              <w:rPr>
                <w:rFonts w:ascii="Cambria" w:eastAsia="Times New Roman" w:hAnsi="Cambria" w:cs="Calibri"/>
                <w:color w:val="000000"/>
                <w:lang w:eastAsia="en-GB"/>
              </w:rPr>
              <w:t>270</w:t>
            </w:r>
          </w:p>
        </w:tc>
        <w:tc>
          <w:tcPr>
            <w:tcW w:w="1112" w:type="dxa"/>
            <w:tcBorders>
              <w:top w:val="nil"/>
              <w:left w:val="nil"/>
              <w:bottom w:val="single" w:sz="4" w:space="0" w:color="auto"/>
              <w:right w:val="single" w:sz="8" w:space="0" w:color="auto"/>
            </w:tcBorders>
            <w:shd w:val="clear" w:color="auto" w:fill="auto"/>
            <w:noWrap/>
            <w:vAlign w:val="bottom"/>
            <w:hideMark/>
          </w:tcPr>
          <w:p w14:paraId="73F7A4DD" w14:textId="77777777" w:rsidR="00FF235C" w:rsidRPr="00FF235C" w:rsidRDefault="00FF235C" w:rsidP="00FF235C">
            <w:pPr>
              <w:rPr>
                <w:rFonts w:ascii="Cambria" w:eastAsia="Times New Roman" w:hAnsi="Cambria" w:cs="Calibri"/>
                <w:color w:val="000000"/>
                <w:lang w:eastAsia="en-GB"/>
              </w:rPr>
            </w:pPr>
            <w:r w:rsidRPr="00FF235C">
              <w:rPr>
                <w:rFonts w:ascii="Cambria" w:eastAsia="Times New Roman" w:hAnsi="Cambria" w:cs="Calibri"/>
                <w:color w:val="000000"/>
                <w:lang w:eastAsia="en-GB"/>
              </w:rPr>
              <w:t>-</w:t>
            </w:r>
          </w:p>
        </w:tc>
      </w:tr>
      <w:tr w:rsidR="00FF235C" w:rsidRPr="00FF235C" w14:paraId="5D26CA89" w14:textId="77777777" w:rsidTr="00CD46FB">
        <w:trPr>
          <w:trHeight w:val="246"/>
        </w:trPr>
        <w:tc>
          <w:tcPr>
            <w:tcW w:w="7032" w:type="dxa"/>
            <w:tcBorders>
              <w:top w:val="nil"/>
              <w:left w:val="single" w:sz="8" w:space="0" w:color="auto"/>
              <w:bottom w:val="single" w:sz="4" w:space="0" w:color="auto"/>
              <w:right w:val="single" w:sz="4" w:space="0" w:color="auto"/>
            </w:tcBorders>
            <w:shd w:val="clear" w:color="auto" w:fill="auto"/>
            <w:noWrap/>
            <w:vAlign w:val="bottom"/>
            <w:hideMark/>
          </w:tcPr>
          <w:p w14:paraId="100380BB" w14:textId="77777777" w:rsidR="00FF235C" w:rsidRPr="00FF235C" w:rsidRDefault="00FF235C" w:rsidP="00FF235C">
            <w:pPr>
              <w:rPr>
                <w:rFonts w:ascii="Cambria" w:eastAsia="Times New Roman" w:hAnsi="Cambria" w:cs="Calibri"/>
                <w:color w:val="000000"/>
                <w:lang w:eastAsia="en-GB"/>
              </w:rPr>
            </w:pPr>
            <w:r w:rsidRPr="00FF235C">
              <w:rPr>
                <w:rFonts w:ascii="Cambria" w:eastAsia="Times New Roman" w:hAnsi="Cambria" w:cs="Calibri"/>
                <w:color w:val="000000"/>
                <w:lang w:eastAsia="en-GB"/>
              </w:rPr>
              <w:t>Other liabilities</w:t>
            </w:r>
          </w:p>
        </w:tc>
        <w:tc>
          <w:tcPr>
            <w:tcW w:w="1112" w:type="dxa"/>
            <w:tcBorders>
              <w:top w:val="nil"/>
              <w:left w:val="nil"/>
              <w:bottom w:val="single" w:sz="4" w:space="0" w:color="auto"/>
              <w:right w:val="single" w:sz="4" w:space="0" w:color="auto"/>
            </w:tcBorders>
            <w:shd w:val="clear" w:color="auto" w:fill="auto"/>
            <w:noWrap/>
            <w:vAlign w:val="bottom"/>
            <w:hideMark/>
          </w:tcPr>
          <w:p w14:paraId="716E3E0D" w14:textId="77777777" w:rsidR="00FF235C" w:rsidRPr="00FF235C" w:rsidRDefault="00FF235C" w:rsidP="00FF235C">
            <w:pPr>
              <w:jc w:val="right"/>
              <w:rPr>
                <w:rFonts w:ascii="Cambria" w:eastAsia="Times New Roman" w:hAnsi="Cambria" w:cs="Calibri"/>
                <w:color w:val="000000"/>
                <w:lang w:eastAsia="en-GB"/>
              </w:rPr>
            </w:pPr>
            <w:r w:rsidRPr="00FF235C">
              <w:rPr>
                <w:rFonts w:ascii="Cambria" w:eastAsia="Times New Roman" w:hAnsi="Cambria" w:cs="Calibri"/>
                <w:color w:val="000000"/>
                <w:lang w:eastAsia="en-GB"/>
              </w:rPr>
              <w:t>11,456</w:t>
            </w:r>
          </w:p>
        </w:tc>
        <w:tc>
          <w:tcPr>
            <w:tcW w:w="1112" w:type="dxa"/>
            <w:tcBorders>
              <w:top w:val="nil"/>
              <w:left w:val="nil"/>
              <w:bottom w:val="single" w:sz="4" w:space="0" w:color="auto"/>
              <w:right w:val="single" w:sz="8" w:space="0" w:color="auto"/>
            </w:tcBorders>
            <w:shd w:val="clear" w:color="auto" w:fill="auto"/>
            <w:noWrap/>
            <w:vAlign w:val="bottom"/>
            <w:hideMark/>
          </w:tcPr>
          <w:p w14:paraId="2D4F7ACD" w14:textId="77777777" w:rsidR="00FF235C" w:rsidRPr="00FF235C" w:rsidRDefault="00FF235C" w:rsidP="00FF235C">
            <w:pPr>
              <w:jc w:val="right"/>
              <w:rPr>
                <w:rFonts w:ascii="Cambria" w:eastAsia="Times New Roman" w:hAnsi="Cambria" w:cs="Calibri"/>
                <w:color w:val="000000"/>
                <w:lang w:eastAsia="en-GB"/>
              </w:rPr>
            </w:pPr>
            <w:r w:rsidRPr="00FF235C">
              <w:rPr>
                <w:rFonts w:ascii="Cambria" w:eastAsia="Times New Roman" w:hAnsi="Cambria" w:cs="Calibri"/>
                <w:color w:val="000000"/>
                <w:lang w:eastAsia="en-GB"/>
              </w:rPr>
              <w:t>55,076</w:t>
            </w:r>
          </w:p>
        </w:tc>
      </w:tr>
      <w:tr w:rsidR="00FF235C" w:rsidRPr="00FF235C" w14:paraId="1CCF7D14" w14:textId="77777777" w:rsidTr="00CD46FB">
        <w:trPr>
          <w:trHeight w:val="246"/>
        </w:trPr>
        <w:tc>
          <w:tcPr>
            <w:tcW w:w="7032" w:type="dxa"/>
            <w:tcBorders>
              <w:top w:val="nil"/>
              <w:left w:val="single" w:sz="8" w:space="0" w:color="auto"/>
              <w:bottom w:val="single" w:sz="4" w:space="0" w:color="auto"/>
              <w:right w:val="single" w:sz="4" w:space="0" w:color="auto"/>
            </w:tcBorders>
            <w:shd w:val="clear" w:color="auto" w:fill="auto"/>
            <w:noWrap/>
            <w:vAlign w:val="bottom"/>
            <w:hideMark/>
          </w:tcPr>
          <w:p w14:paraId="3434CF39" w14:textId="77777777" w:rsidR="00FF235C" w:rsidRPr="00FF235C" w:rsidRDefault="00FF235C" w:rsidP="00FF235C">
            <w:pPr>
              <w:rPr>
                <w:rFonts w:ascii="Cambria" w:eastAsia="Times New Roman" w:hAnsi="Cambria" w:cs="Calibri"/>
                <w:color w:val="000000"/>
                <w:lang w:eastAsia="en-GB"/>
              </w:rPr>
            </w:pPr>
            <w:r w:rsidRPr="00FF235C">
              <w:rPr>
                <w:rFonts w:ascii="Cambria" w:eastAsia="Times New Roman" w:hAnsi="Cambria" w:cs="Calibri"/>
                <w:color w:val="000000"/>
                <w:lang w:eastAsia="en-GB"/>
              </w:rPr>
              <w:t>Retirement benefit obligations</w:t>
            </w:r>
          </w:p>
        </w:tc>
        <w:tc>
          <w:tcPr>
            <w:tcW w:w="1112" w:type="dxa"/>
            <w:tcBorders>
              <w:top w:val="nil"/>
              <w:left w:val="nil"/>
              <w:bottom w:val="single" w:sz="4" w:space="0" w:color="auto"/>
              <w:right w:val="single" w:sz="4" w:space="0" w:color="auto"/>
            </w:tcBorders>
            <w:shd w:val="clear" w:color="auto" w:fill="auto"/>
            <w:noWrap/>
            <w:vAlign w:val="bottom"/>
            <w:hideMark/>
          </w:tcPr>
          <w:p w14:paraId="68FE954C" w14:textId="77777777" w:rsidR="00FF235C" w:rsidRPr="00FF235C" w:rsidRDefault="00FF235C" w:rsidP="00FF235C">
            <w:pPr>
              <w:jc w:val="right"/>
              <w:rPr>
                <w:rFonts w:ascii="Cambria" w:eastAsia="Times New Roman" w:hAnsi="Cambria" w:cs="Calibri"/>
                <w:color w:val="000000"/>
                <w:lang w:eastAsia="en-GB"/>
              </w:rPr>
            </w:pPr>
            <w:r w:rsidRPr="00FF235C">
              <w:rPr>
                <w:rFonts w:ascii="Cambria" w:eastAsia="Times New Roman" w:hAnsi="Cambria" w:cs="Calibri"/>
                <w:color w:val="000000"/>
                <w:lang w:eastAsia="en-GB"/>
              </w:rPr>
              <w:t>1,771</w:t>
            </w:r>
          </w:p>
        </w:tc>
        <w:tc>
          <w:tcPr>
            <w:tcW w:w="1112" w:type="dxa"/>
            <w:tcBorders>
              <w:top w:val="nil"/>
              <w:left w:val="nil"/>
              <w:bottom w:val="single" w:sz="4" w:space="0" w:color="auto"/>
              <w:right w:val="single" w:sz="8" w:space="0" w:color="auto"/>
            </w:tcBorders>
            <w:shd w:val="clear" w:color="auto" w:fill="auto"/>
            <w:noWrap/>
            <w:vAlign w:val="bottom"/>
            <w:hideMark/>
          </w:tcPr>
          <w:p w14:paraId="09B26B6A" w14:textId="77777777" w:rsidR="00FF235C" w:rsidRPr="00FF235C" w:rsidRDefault="00FF235C" w:rsidP="00FF235C">
            <w:pPr>
              <w:rPr>
                <w:rFonts w:ascii="Cambria" w:eastAsia="Times New Roman" w:hAnsi="Cambria" w:cs="Calibri"/>
                <w:color w:val="000000"/>
                <w:lang w:eastAsia="en-GB"/>
              </w:rPr>
            </w:pPr>
            <w:r w:rsidRPr="00FF235C">
              <w:rPr>
                <w:rFonts w:ascii="Cambria" w:eastAsia="Times New Roman" w:hAnsi="Cambria" w:cs="Calibri"/>
                <w:color w:val="000000"/>
                <w:lang w:eastAsia="en-GB"/>
              </w:rPr>
              <w:t> </w:t>
            </w:r>
          </w:p>
        </w:tc>
      </w:tr>
      <w:tr w:rsidR="00FF235C" w:rsidRPr="00FF235C" w14:paraId="271F1049" w14:textId="77777777" w:rsidTr="00CD46FB">
        <w:trPr>
          <w:trHeight w:val="246"/>
        </w:trPr>
        <w:tc>
          <w:tcPr>
            <w:tcW w:w="7032" w:type="dxa"/>
            <w:tcBorders>
              <w:top w:val="nil"/>
              <w:left w:val="single" w:sz="8" w:space="0" w:color="auto"/>
              <w:bottom w:val="single" w:sz="4" w:space="0" w:color="auto"/>
              <w:right w:val="single" w:sz="4" w:space="0" w:color="auto"/>
            </w:tcBorders>
            <w:shd w:val="clear" w:color="auto" w:fill="auto"/>
            <w:noWrap/>
            <w:vAlign w:val="bottom"/>
            <w:hideMark/>
          </w:tcPr>
          <w:p w14:paraId="5EFE2B40" w14:textId="77777777" w:rsidR="00FF235C" w:rsidRPr="00FF235C" w:rsidRDefault="00FF235C" w:rsidP="00FF235C">
            <w:pPr>
              <w:rPr>
                <w:rFonts w:ascii="Cambria" w:eastAsia="Times New Roman" w:hAnsi="Cambria" w:cs="Calibri"/>
                <w:color w:val="000000"/>
                <w:lang w:eastAsia="en-GB"/>
              </w:rPr>
            </w:pPr>
            <w:r w:rsidRPr="00FF235C">
              <w:rPr>
                <w:rFonts w:ascii="Cambria" w:eastAsia="Times New Roman" w:hAnsi="Cambria" w:cs="Calibri"/>
                <w:color w:val="000000"/>
                <w:lang w:eastAsia="en-GB"/>
              </w:rPr>
              <w:t>Current tax liabilities</w:t>
            </w:r>
          </w:p>
        </w:tc>
        <w:tc>
          <w:tcPr>
            <w:tcW w:w="1112" w:type="dxa"/>
            <w:tcBorders>
              <w:top w:val="nil"/>
              <w:left w:val="nil"/>
              <w:bottom w:val="single" w:sz="4" w:space="0" w:color="auto"/>
              <w:right w:val="single" w:sz="4" w:space="0" w:color="auto"/>
            </w:tcBorders>
            <w:shd w:val="clear" w:color="auto" w:fill="auto"/>
            <w:noWrap/>
            <w:vAlign w:val="bottom"/>
            <w:hideMark/>
          </w:tcPr>
          <w:p w14:paraId="57CE1EEC" w14:textId="77777777" w:rsidR="00FF235C" w:rsidRPr="00FF235C" w:rsidRDefault="00FF235C" w:rsidP="00FF235C">
            <w:pPr>
              <w:rPr>
                <w:rFonts w:ascii="Cambria" w:eastAsia="Times New Roman" w:hAnsi="Cambria" w:cs="Calibri"/>
                <w:color w:val="000000"/>
                <w:lang w:eastAsia="en-GB"/>
              </w:rPr>
            </w:pPr>
            <w:r w:rsidRPr="00FF235C">
              <w:rPr>
                <w:rFonts w:ascii="Cambria" w:eastAsia="Times New Roman" w:hAnsi="Cambria" w:cs="Calibri"/>
                <w:color w:val="000000"/>
                <w:lang w:eastAsia="en-GB"/>
              </w:rPr>
              <w:t>-</w:t>
            </w:r>
          </w:p>
        </w:tc>
        <w:tc>
          <w:tcPr>
            <w:tcW w:w="1112" w:type="dxa"/>
            <w:tcBorders>
              <w:top w:val="nil"/>
              <w:left w:val="nil"/>
              <w:bottom w:val="single" w:sz="4" w:space="0" w:color="auto"/>
              <w:right w:val="single" w:sz="8" w:space="0" w:color="auto"/>
            </w:tcBorders>
            <w:shd w:val="clear" w:color="auto" w:fill="auto"/>
            <w:noWrap/>
            <w:vAlign w:val="bottom"/>
            <w:hideMark/>
          </w:tcPr>
          <w:p w14:paraId="19853A6C" w14:textId="77777777" w:rsidR="00FF235C" w:rsidRPr="00FF235C" w:rsidRDefault="00FF235C" w:rsidP="00FF235C">
            <w:pPr>
              <w:rPr>
                <w:rFonts w:ascii="Cambria" w:eastAsia="Times New Roman" w:hAnsi="Cambria" w:cs="Calibri"/>
                <w:color w:val="000000"/>
                <w:lang w:eastAsia="en-GB"/>
              </w:rPr>
            </w:pPr>
            <w:r w:rsidRPr="00FF235C">
              <w:rPr>
                <w:rFonts w:ascii="Cambria" w:eastAsia="Times New Roman" w:hAnsi="Cambria" w:cs="Calibri"/>
                <w:color w:val="000000"/>
                <w:lang w:eastAsia="en-GB"/>
              </w:rPr>
              <w:t>-</w:t>
            </w:r>
          </w:p>
        </w:tc>
      </w:tr>
      <w:tr w:rsidR="00FF235C" w:rsidRPr="00FF235C" w14:paraId="0E07C8F3" w14:textId="77777777" w:rsidTr="00CD46FB">
        <w:trPr>
          <w:trHeight w:val="246"/>
        </w:trPr>
        <w:tc>
          <w:tcPr>
            <w:tcW w:w="7032" w:type="dxa"/>
            <w:tcBorders>
              <w:top w:val="nil"/>
              <w:left w:val="single" w:sz="8" w:space="0" w:color="auto"/>
              <w:bottom w:val="single" w:sz="4" w:space="0" w:color="auto"/>
              <w:right w:val="single" w:sz="4" w:space="0" w:color="auto"/>
            </w:tcBorders>
            <w:shd w:val="clear" w:color="auto" w:fill="auto"/>
            <w:noWrap/>
            <w:vAlign w:val="bottom"/>
            <w:hideMark/>
          </w:tcPr>
          <w:p w14:paraId="6DC08C32" w14:textId="77777777" w:rsidR="00FF235C" w:rsidRPr="00FF235C" w:rsidRDefault="00FF235C" w:rsidP="00FF235C">
            <w:pPr>
              <w:rPr>
                <w:rFonts w:ascii="Cambria" w:eastAsia="Times New Roman" w:hAnsi="Cambria" w:cs="Calibri"/>
                <w:color w:val="000000"/>
                <w:lang w:eastAsia="en-GB"/>
              </w:rPr>
            </w:pPr>
            <w:r w:rsidRPr="00FF235C">
              <w:rPr>
                <w:rFonts w:ascii="Cambria" w:eastAsia="Times New Roman" w:hAnsi="Cambria" w:cs="Calibri"/>
                <w:color w:val="000000"/>
                <w:lang w:eastAsia="en-GB"/>
              </w:rPr>
              <w:t>Deferred tax liabilities</w:t>
            </w:r>
          </w:p>
        </w:tc>
        <w:tc>
          <w:tcPr>
            <w:tcW w:w="1112" w:type="dxa"/>
            <w:tcBorders>
              <w:top w:val="nil"/>
              <w:left w:val="nil"/>
              <w:bottom w:val="single" w:sz="4" w:space="0" w:color="auto"/>
              <w:right w:val="single" w:sz="4" w:space="0" w:color="auto"/>
            </w:tcBorders>
            <w:shd w:val="clear" w:color="auto" w:fill="auto"/>
            <w:noWrap/>
            <w:vAlign w:val="bottom"/>
            <w:hideMark/>
          </w:tcPr>
          <w:p w14:paraId="0ECF458A" w14:textId="77777777" w:rsidR="00FF235C" w:rsidRPr="00FF235C" w:rsidRDefault="00FF235C" w:rsidP="00FF235C">
            <w:pPr>
              <w:rPr>
                <w:rFonts w:ascii="Cambria" w:eastAsia="Times New Roman" w:hAnsi="Cambria" w:cs="Calibri"/>
                <w:color w:val="000000"/>
                <w:lang w:eastAsia="en-GB"/>
              </w:rPr>
            </w:pPr>
            <w:r w:rsidRPr="00FF235C">
              <w:rPr>
                <w:rFonts w:ascii="Cambria" w:eastAsia="Times New Roman" w:hAnsi="Cambria" w:cs="Calibri"/>
                <w:color w:val="000000"/>
                <w:lang w:eastAsia="en-GB"/>
              </w:rPr>
              <w:t>-</w:t>
            </w:r>
          </w:p>
        </w:tc>
        <w:tc>
          <w:tcPr>
            <w:tcW w:w="1112" w:type="dxa"/>
            <w:tcBorders>
              <w:top w:val="nil"/>
              <w:left w:val="nil"/>
              <w:bottom w:val="single" w:sz="4" w:space="0" w:color="auto"/>
              <w:right w:val="single" w:sz="8" w:space="0" w:color="auto"/>
            </w:tcBorders>
            <w:shd w:val="clear" w:color="auto" w:fill="auto"/>
            <w:noWrap/>
            <w:vAlign w:val="bottom"/>
            <w:hideMark/>
          </w:tcPr>
          <w:p w14:paraId="40AB7DD9" w14:textId="77777777" w:rsidR="00FF235C" w:rsidRPr="00FF235C" w:rsidRDefault="00FF235C" w:rsidP="00FF235C">
            <w:pPr>
              <w:rPr>
                <w:rFonts w:ascii="Cambria" w:eastAsia="Times New Roman" w:hAnsi="Cambria" w:cs="Calibri"/>
                <w:color w:val="000000"/>
                <w:lang w:eastAsia="en-GB"/>
              </w:rPr>
            </w:pPr>
            <w:r w:rsidRPr="00FF235C">
              <w:rPr>
                <w:rFonts w:ascii="Cambria" w:eastAsia="Times New Roman" w:hAnsi="Cambria" w:cs="Calibri"/>
                <w:color w:val="000000"/>
                <w:lang w:eastAsia="en-GB"/>
              </w:rPr>
              <w:t>-</w:t>
            </w:r>
          </w:p>
        </w:tc>
      </w:tr>
      <w:tr w:rsidR="00FF235C" w:rsidRPr="00FF235C" w14:paraId="1232D365" w14:textId="77777777" w:rsidTr="00CD46FB">
        <w:trPr>
          <w:trHeight w:val="246"/>
        </w:trPr>
        <w:tc>
          <w:tcPr>
            <w:tcW w:w="7032" w:type="dxa"/>
            <w:tcBorders>
              <w:top w:val="nil"/>
              <w:left w:val="single" w:sz="8" w:space="0" w:color="auto"/>
              <w:bottom w:val="single" w:sz="4" w:space="0" w:color="auto"/>
              <w:right w:val="single" w:sz="4" w:space="0" w:color="auto"/>
            </w:tcBorders>
            <w:shd w:val="clear" w:color="auto" w:fill="auto"/>
            <w:noWrap/>
            <w:vAlign w:val="bottom"/>
            <w:hideMark/>
          </w:tcPr>
          <w:p w14:paraId="5BB4C0F5" w14:textId="77777777" w:rsidR="00FF235C" w:rsidRPr="00FF235C" w:rsidRDefault="00FF235C" w:rsidP="00FF235C">
            <w:pPr>
              <w:rPr>
                <w:rFonts w:ascii="Cambria" w:eastAsia="Times New Roman" w:hAnsi="Cambria" w:cs="Calibri"/>
                <w:color w:val="000000"/>
                <w:lang w:eastAsia="en-GB"/>
              </w:rPr>
            </w:pPr>
            <w:r w:rsidRPr="00FF235C">
              <w:rPr>
                <w:rFonts w:ascii="Cambria" w:eastAsia="Times New Roman" w:hAnsi="Cambria" w:cs="Calibri"/>
                <w:color w:val="000000"/>
                <w:lang w:eastAsia="en-GB"/>
              </w:rPr>
              <w:t>Other provisions</w:t>
            </w:r>
          </w:p>
        </w:tc>
        <w:tc>
          <w:tcPr>
            <w:tcW w:w="1112" w:type="dxa"/>
            <w:tcBorders>
              <w:top w:val="nil"/>
              <w:left w:val="nil"/>
              <w:bottom w:val="nil"/>
              <w:right w:val="single" w:sz="4" w:space="0" w:color="auto"/>
            </w:tcBorders>
            <w:shd w:val="clear" w:color="auto" w:fill="auto"/>
            <w:noWrap/>
            <w:vAlign w:val="bottom"/>
            <w:hideMark/>
          </w:tcPr>
          <w:p w14:paraId="405B5710" w14:textId="77777777" w:rsidR="00FF235C" w:rsidRPr="00FF235C" w:rsidRDefault="00FF235C" w:rsidP="00FF235C">
            <w:pPr>
              <w:jc w:val="right"/>
              <w:rPr>
                <w:rFonts w:ascii="Cambria" w:eastAsia="Times New Roman" w:hAnsi="Cambria" w:cs="Calibri"/>
                <w:color w:val="000000"/>
                <w:lang w:eastAsia="en-GB"/>
              </w:rPr>
            </w:pPr>
            <w:r w:rsidRPr="00FF235C">
              <w:rPr>
                <w:rFonts w:ascii="Cambria" w:eastAsia="Times New Roman" w:hAnsi="Cambria" w:cs="Calibri"/>
                <w:color w:val="000000"/>
                <w:lang w:eastAsia="en-GB"/>
              </w:rPr>
              <w:t>230</w:t>
            </w:r>
          </w:p>
        </w:tc>
        <w:tc>
          <w:tcPr>
            <w:tcW w:w="1112" w:type="dxa"/>
            <w:tcBorders>
              <w:top w:val="nil"/>
              <w:left w:val="nil"/>
              <w:bottom w:val="single" w:sz="4" w:space="0" w:color="auto"/>
              <w:right w:val="single" w:sz="8" w:space="0" w:color="auto"/>
            </w:tcBorders>
            <w:shd w:val="clear" w:color="auto" w:fill="auto"/>
            <w:noWrap/>
            <w:vAlign w:val="bottom"/>
            <w:hideMark/>
          </w:tcPr>
          <w:p w14:paraId="0B27D569" w14:textId="77777777" w:rsidR="00FF235C" w:rsidRPr="00FF235C" w:rsidRDefault="00FF235C" w:rsidP="00FF235C">
            <w:pPr>
              <w:rPr>
                <w:rFonts w:ascii="Cambria" w:eastAsia="Times New Roman" w:hAnsi="Cambria" w:cs="Calibri"/>
                <w:color w:val="000000"/>
                <w:lang w:eastAsia="en-GB"/>
              </w:rPr>
            </w:pPr>
            <w:r w:rsidRPr="00FF235C">
              <w:rPr>
                <w:rFonts w:ascii="Cambria" w:eastAsia="Times New Roman" w:hAnsi="Cambria" w:cs="Calibri"/>
                <w:color w:val="000000"/>
                <w:lang w:eastAsia="en-GB"/>
              </w:rPr>
              <w:t> </w:t>
            </w:r>
          </w:p>
        </w:tc>
      </w:tr>
      <w:tr w:rsidR="00FF235C" w:rsidRPr="00FF235C" w14:paraId="2E5FBA29" w14:textId="77777777" w:rsidTr="00CD46FB">
        <w:trPr>
          <w:trHeight w:val="262"/>
        </w:trPr>
        <w:tc>
          <w:tcPr>
            <w:tcW w:w="7032" w:type="dxa"/>
            <w:tcBorders>
              <w:top w:val="nil"/>
              <w:left w:val="single" w:sz="8" w:space="0" w:color="auto"/>
              <w:bottom w:val="single" w:sz="4" w:space="0" w:color="auto"/>
              <w:right w:val="single" w:sz="4" w:space="0" w:color="auto"/>
            </w:tcBorders>
            <w:shd w:val="clear" w:color="auto" w:fill="auto"/>
            <w:noWrap/>
            <w:vAlign w:val="bottom"/>
            <w:hideMark/>
          </w:tcPr>
          <w:p w14:paraId="42E490A6" w14:textId="77777777" w:rsidR="00FF235C" w:rsidRPr="00FF235C" w:rsidRDefault="00FF235C" w:rsidP="00FF235C">
            <w:pPr>
              <w:rPr>
                <w:rFonts w:ascii="Cambria" w:eastAsia="Times New Roman" w:hAnsi="Cambria" w:cs="Calibri"/>
                <w:color w:val="000000"/>
                <w:lang w:eastAsia="en-GB"/>
              </w:rPr>
            </w:pPr>
            <w:r w:rsidRPr="00FF235C">
              <w:rPr>
                <w:rFonts w:ascii="Cambria" w:eastAsia="Times New Roman" w:hAnsi="Cambria" w:cs="Calibri"/>
                <w:color w:val="000000"/>
                <w:lang w:eastAsia="en-GB"/>
              </w:rPr>
              <w:t>Subordinated liabilities</w:t>
            </w:r>
          </w:p>
        </w:tc>
        <w:tc>
          <w:tcPr>
            <w:tcW w:w="1112" w:type="dxa"/>
            <w:tcBorders>
              <w:top w:val="single" w:sz="4" w:space="0" w:color="auto"/>
              <w:left w:val="nil"/>
              <w:bottom w:val="single" w:sz="4" w:space="0" w:color="auto"/>
              <w:right w:val="single" w:sz="4" w:space="0" w:color="auto"/>
            </w:tcBorders>
            <w:shd w:val="clear" w:color="auto" w:fill="auto"/>
            <w:noWrap/>
            <w:vAlign w:val="bottom"/>
            <w:hideMark/>
          </w:tcPr>
          <w:p w14:paraId="558E0AAB" w14:textId="77777777" w:rsidR="00FF235C" w:rsidRPr="00FF235C" w:rsidRDefault="00FF235C" w:rsidP="00FF235C">
            <w:pPr>
              <w:jc w:val="right"/>
              <w:rPr>
                <w:rFonts w:ascii="Cambria" w:eastAsia="Times New Roman" w:hAnsi="Cambria" w:cs="Calibri"/>
                <w:color w:val="000000"/>
                <w:lang w:eastAsia="en-GB"/>
              </w:rPr>
            </w:pPr>
            <w:r w:rsidRPr="00FF235C">
              <w:rPr>
                <w:rFonts w:ascii="Cambria" w:eastAsia="Times New Roman" w:hAnsi="Cambria" w:cs="Calibri"/>
                <w:color w:val="000000"/>
                <w:lang w:eastAsia="en-GB"/>
              </w:rPr>
              <w:t>17,256</w:t>
            </w:r>
          </w:p>
        </w:tc>
        <w:tc>
          <w:tcPr>
            <w:tcW w:w="1112" w:type="dxa"/>
            <w:tcBorders>
              <w:top w:val="nil"/>
              <w:left w:val="nil"/>
              <w:bottom w:val="single" w:sz="4" w:space="0" w:color="auto"/>
              <w:right w:val="single" w:sz="8" w:space="0" w:color="auto"/>
            </w:tcBorders>
            <w:shd w:val="clear" w:color="auto" w:fill="auto"/>
            <w:noWrap/>
            <w:vAlign w:val="bottom"/>
            <w:hideMark/>
          </w:tcPr>
          <w:p w14:paraId="453C1E35" w14:textId="77777777" w:rsidR="00FF235C" w:rsidRPr="00FF235C" w:rsidRDefault="00FF235C" w:rsidP="00FF235C">
            <w:pPr>
              <w:jc w:val="right"/>
              <w:rPr>
                <w:rFonts w:ascii="Cambria" w:eastAsia="Times New Roman" w:hAnsi="Cambria" w:cs="Calibri"/>
                <w:color w:val="000000"/>
                <w:lang w:eastAsia="en-GB"/>
              </w:rPr>
            </w:pPr>
            <w:r w:rsidRPr="00FF235C">
              <w:rPr>
                <w:rFonts w:ascii="Cambria" w:eastAsia="Times New Roman" w:hAnsi="Cambria" w:cs="Calibri"/>
                <w:color w:val="000000"/>
                <w:lang w:eastAsia="en-GB"/>
              </w:rPr>
              <w:t>13,108</w:t>
            </w:r>
          </w:p>
        </w:tc>
      </w:tr>
      <w:tr w:rsidR="00FF235C" w:rsidRPr="00FF235C" w14:paraId="0DBA56F2" w14:textId="77777777" w:rsidTr="00CD46FB">
        <w:trPr>
          <w:trHeight w:val="262"/>
        </w:trPr>
        <w:tc>
          <w:tcPr>
            <w:tcW w:w="7032" w:type="dxa"/>
            <w:tcBorders>
              <w:top w:val="nil"/>
              <w:left w:val="single" w:sz="8" w:space="0" w:color="auto"/>
              <w:bottom w:val="single" w:sz="4" w:space="0" w:color="auto"/>
              <w:right w:val="single" w:sz="4" w:space="0" w:color="auto"/>
            </w:tcBorders>
            <w:shd w:val="clear" w:color="000000" w:fill="C6E0B4"/>
            <w:noWrap/>
            <w:vAlign w:val="bottom"/>
            <w:hideMark/>
          </w:tcPr>
          <w:p w14:paraId="297587BE" w14:textId="77777777" w:rsidR="00FF235C" w:rsidRPr="00FF235C" w:rsidRDefault="00FF235C" w:rsidP="00FF235C">
            <w:pPr>
              <w:rPr>
                <w:rFonts w:ascii="Cambria" w:eastAsia="Times New Roman" w:hAnsi="Cambria" w:cs="Calibri"/>
                <w:b/>
                <w:bCs/>
                <w:color w:val="000000"/>
                <w:lang w:eastAsia="en-GB"/>
              </w:rPr>
            </w:pPr>
            <w:r w:rsidRPr="00FF235C">
              <w:rPr>
                <w:rFonts w:ascii="Cambria" w:eastAsia="Times New Roman" w:hAnsi="Cambria" w:cs="Calibri"/>
                <w:b/>
                <w:bCs/>
                <w:color w:val="000000"/>
                <w:lang w:eastAsia="en-GB"/>
              </w:rPr>
              <w:t>Total liabilities</w:t>
            </w:r>
          </w:p>
        </w:tc>
        <w:tc>
          <w:tcPr>
            <w:tcW w:w="1112" w:type="dxa"/>
            <w:tcBorders>
              <w:top w:val="nil"/>
              <w:left w:val="nil"/>
              <w:bottom w:val="single" w:sz="4" w:space="0" w:color="auto"/>
              <w:right w:val="single" w:sz="4" w:space="0" w:color="auto"/>
            </w:tcBorders>
            <w:shd w:val="clear" w:color="000000" w:fill="C6E0B4"/>
            <w:noWrap/>
            <w:vAlign w:val="bottom"/>
            <w:hideMark/>
          </w:tcPr>
          <w:p w14:paraId="1CE55D7E" w14:textId="77777777" w:rsidR="00FF235C" w:rsidRPr="00FF235C" w:rsidRDefault="00FF235C" w:rsidP="00FF235C">
            <w:pPr>
              <w:jc w:val="right"/>
              <w:rPr>
                <w:rFonts w:ascii="Cambria" w:eastAsia="Times New Roman" w:hAnsi="Cambria" w:cs="Calibri"/>
                <w:b/>
                <w:bCs/>
                <w:color w:val="000000"/>
                <w:lang w:eastAsia="en-GB"/>
              </w:rPr>
            </w:pPr>
            <w:r w:rsidRPr="00FF235C">
              <w:rPr>
                <w:rFonts w:ascii="Cambria" w:eastAsia="Times New Roman" w:hAnsi="Cambria" w:cs="Calibri"/>
                <w:b/>
                <w:bCs/>
                <w:color w:val="000000"/>
                <w:lang w:eastAsia="en-GB"/>
              </w:rPr>
              <w:t>426,334</w:t>
            </w:r>
          </w:p>
        </w:tc>
        <w:tc>
          <w:tcPr>
            <w:tcW w:w="1112" w:type="dxa"/>
            <w:tcBorders>
              <w:top w:val="nil"/>
              <w:left w:val="nil"/>
              <w:bottom w:val="single" w:sz="4" w:space="0" w:color="auto"/>
              <w:right w:val="single" w:sz="8" w:space="0" w:color="auto"/>
            </w:tcBorders>
            <w:shd w:val="clear" w:color="000000" w:fill="C6E0B4"/>
            <w:noWrap/>
            <w:vAlign w:val="bottom"/>
            <w:hideMark/>
          </w:tcPr>
          <w:p w14:paraId="2640599B" w14:textId="77777777" w:rsidR="00FF235C" w:rsidRPr="00FF235C" w:rsidRDefault="00FF235C" w:rsidP="00FF235C">
            <w:pPr>
              <w:jc w:val="right"/>
              <w:rPr>
                <w:rFonts w:ascii="Cambria" w:eastAsia="Times New Roman" w:hAnsi="Cambria" w:cs="Calibri"/>
                <w:b/>
                <w:bCs/>
                <w:color w:val="000000"/>
                <w:lang w:eastAsia="en-GB"/>
              </w:rPr>
            </w:pPr>
            <w:r w:rsidRPr="00FF235C">
              <w:rPr>
                <w:rFonts w:ascii="Cambria" w:eastAsia="Times New Roman" w:hAnsi="Cambria" w:cs="Calibri"/>
                <w:b/>
                <w:bCs/>
                <w:color w:val="000000"/>
                <w:lang w:eastAsia="en-GB"/>
              </w:rPr>
              <w:t>833,373</w:t>
            </w:r>
          </w:p>
        </w:tc>
      </w:tr>
      <w:tr w:rsidR="00FF235C" w:rsidRPr="00FF235C" w14:paraId="52E6020E" w14:textId="77777777" w:rsidTr="00CD46FB">
        <w:trPr>
          <w:trHeight w:val="246"/>
        </w:trPr>
        <w:tc>
          <w:tcPr>
            <w:tcW w:w="7032" w:type="dxa"/>
            <w:tcBorders>
              <w:top w:val="nil"/>
              <w:left w:val="single" w:sz="8" w:space="0" w:color="auto"/>
              <w:bottom w:val="single" w:sz="4" w:space="0" w:color="auto"/>
              <w:right w:val="single" w:sz="4" w:space="0" w:color="auto"/>
            </w:tcBorders>
            <w:shd w:val="clear" w:color="auto" w:fill="auto"/>
            <w:noWrap/>
            <w:vAlign w:val="bottom"/>
            <w:hideMark/>
          </w:tcPr>
          <w:p w14:paraId="40A627E7" w14:textId="77777777" w:rsidR="00FF235C" w:rsidRPr="00FF235C" w:rsidRDefault="00FF235C" w:rsidP="00FF235C">
            <w:pPr>
              <w:rPr>
                <w:rFonts w:ascii="Cambria" w:eastAsia="Times New Roman" w:hAnsi="Cambria" w:cs="Calibri"/>
                <w:b/>
                <w:bCs/>
                <w:color w:val="000000"/>
                <w:lang w:eastAsia="en-GB"/>
              </w:rPr>
            </w:pPr>
            <w:r w:rsidRPr="00FF235C">
              <w:rPr>
                <w:rFonts w:ascii="Cambria" w:eastAsia="Times New Roman" w:hAnsi="Cambria" w:cs="Calibri"/>
                <w:b/>
                <w:bCs/>
                <w:color w:val="000000"/>
                <w:lang w:eastAsia="en-GB"/>
              </w:rPr>
              <w:t>Equity</w:t>
            </w:r>
          </w:p>
        </w:tc>
        <w:tc>
          <w:tcPr>
            <w:tcW w:w="1112" w:type="dxa"/>
            <w:tcBorders>
              <w:top w:val="nil"/>
              <w:left w:val="nil"/>
              <w:bottom w:val="single" w:sz="4" w:space="0" w:color="auto"/>
              <w:right w:val="single" w:sz="4" w:space="0" w:color="auto"/>
            </w:tcBorders>
            <w:shd w:val="clear" w:color="auto" w:fill="auto"/>
            <w:noWrap/>
            <w:vAlign w:val="bottom"/>
            <w:hideMark/>
          </w:tcPr>
          <w:p w14:paraId="4155A647" w14:textId="77777777" w:rsidR="00FF235C" w:rsidRPr="00FF235C" w:rsidRDefault="00FF235C" w:rsidP="00FF235C">
            <w:pPr>
              <w:rPr>
                <w:rFonts w:ascii="Cambria" w:eastAsia="Times New Roman" w:hAnsi="Cambria" w:cs="Calibri"/>
                <w:color w:val="000000"/>
                <w:lang w:eastAsia="en-GB"/>
              </w:rPr>
            </w:pPr>
            <w:r w:rsidRPr="00FF235C">
              <w:rPr>
                <w:rFonts w:ascii="Cambria" w:eastAsia="Times New Roman" w:hAnsi="Cambria" w:cs="Calibri"/>
                <w:color w:val="000000"/>
                <w:lang w:eastAsia="en-GB"/>
              </w:rPr>
              <w:t> </w:t>
            </w:r>
          </w:p>
        </w:tc>
        <w:tc>
          <w:tcPr>
            <w:tcW w:w="1112" w:type="dxa"/>
            <w:tcBorders>
              <w:top w:val="nil"/>
              <w:left w:val="nil"/>
              <w:bottom w:val="single" w:sz="4" w:space="0" w:color="auto"/>
              <w:right w:val="single" w:sz="8" w:space="0" w:color="auto"/>
            </w:tcBorders>
            <w:shd w:val="clear" w:color="auto" w:fill="auto"/>
            <w:noWrap/>
            <w:vAlign w:val="bottom"/>
            <w:hideMark/>
          </w:tcPr>
          <w:p w14:paraId="0DD8D813" w14:textId="77777777" w:rsidR="00FF235C" w:rsidRPr="00FF235C" w:rsidRDefault="00FF235C" w:rsidP="00FF235C">
            <w:pPr>
              <w:rPr>
                <w:rFonts w:ascii="Cambria" w:eastAsia="Times New Roman" w:hAnsi="Cambria" w:cs="Calibri"/>
                <w:color w:val="000000"/>
                <w:lang w:eastAsia="en-GB"/>
              </w:rPr>
            </w:pPr>
            <w:r w:rsidRPr="00FF235C">
              <w:rPr>
                <w:rFonts w:ascii="Cambria" w:eastAsia="Times New Roman" w:hAnsi="Cambria" w:cs="Calibri"/>
                <w:color w:val="000000"/>
                <w:lang w:eastAsia="en-GB"/>
              </w:rPr>
              <w:t> </w:t>
            </w:r>
          </w:p>
        </w:tc>
      </w:tr>
      <w:tr w:rsidR="00FF235C" w:rsidRPr="00FF235C" w14:paraId="6106D473" w14:textId="77777777" w:rsidTr="00CD46FB">
        <w:trPr>
          <w:trHeight w:val="246"/>
        </w:trPr>
        <w:tc>
          <w:tcPr>
            <w:tcW w:w="7032" w:type="dxa"/>
            <w:tcBorders>
              <w:top w:val="nil"/>
              <w:left w:val="single" w:sz="8" w:space="0" w:color="auto"/>
              <w:bottom w:val="single" w:sz="4" w:space="0" w:color="auto"/>
              <w:right w:val="single" w:sz="4" w:space="0" w:color="auto"/>
            </w:tcBorders>
            <w:shd w:val="clear" w:color="auto" w:fill="auto"/>
            <w:noWrap/>
            <w:vAlign w:val="bottom"/>
            <w:hideMark/>
          </w:tcPr>
          <w:p w14:paraId="5CE9B2EB" w14:textId="77777777" w:rsidR="00FF235C" w:rsidRPr="00FF235C" w:rsidRDefault="00FF235C" w:rsidP="00FF235C">
            <w:pPr>
              <w:rPr>
                <w:rFonts w:ascii="Cambria" w:eastAsia="Times New Roman" w:hAnsi="Cambria" w:cs="Calibri"/>
                <w:color w:val="000000"/>
                <w:lang w:eastAsia="en-GB"/>
              </w:rPr>
            </w:pPr>
            <w:r w:rsidRPr="00FF235C">
              <w:rPr>
                <w:rFonts w:ascii="Cambria" w:eastAsia="Times New Roman" w:hAnsi="Cambria" w:cs="Calibri"/>
                <w:color w:val="000000"/>
                <w:lang w:eastAsia="en-GB"/>
              </w:rPr>
              <w:t>Share capital</w:t>
            </w:r>
          </w:p>
        </w:tc>
        <w:tc>
          <w:tcPr>
            <w:tcW w:w="1112" w:type="dxa"/>
            <w:tcBorders>
              <w:top w:val="nil"/>
              <w:left w:val="nil"/>
              <w:bottom w:val="single" w:sz="4" w:space="0" w:color="auto"/>
              <w:right w:val="single" w:sz="4" w:space="0" w:color="auto"/>
            </w:tcBorders>
            <w:shd w:val="clear" w:color="auto" w:fill="auto"/>
            <w:noWrap/>
            <w:vAlign w:val="bottom"/>
            <w:hideMark/>
          </w:tcPr>
          <w:p w14:paraId="0C81C76D" w14:textId="77777777" w:rsidR="00FF235C" w:rsidRPr="00FF235C" w:rsidRDefault="00FF235C" w:rsidP="00FF235C">
            <w:pPr>
              <w:jc w:val="right"/>
              <w:rPr>
                <w:rFonts w:ascii="Cambria" w:eastAsia="Times New Roman" w:hAnsi="Cambria" w:cs="Calibri"/>
                <w:color w:val="000000"/>
                <w:lang w:eastAsia="en-GB"/>
              </w:rPr>
            </w:pPr>
            <w:r w:rsidRPr="00FF235C">
              <w:rPr>
                <w:rFonts w:ascii="Cambria" w:eastAsia="Times New Roman" w:hAnsi="Cambria" w:cs="Calibri"/>
                <w:color w:val="000000"/>
                <w:lang w:eastAsia="en-GB"/>
              </w:rPr>
              <w:t>1,513</w:t>
            </w:r>
          </w:p>
        </w:tc>
        <w:tc>
          <w:tcPr>
            <w:tcW w:w="1112" w:type="dxa"/>
            <w:tcBorders>
              <w:top w:val="nil"/>
              <w:left w:val="nil"/>
              <w:bottom w:val="single" w:sz="4" w:space="0" w:color="auto"/>
              <w:right w:val="single" w:sz="8" w:space="0" w:color="auto"/>
            </w:tcBorders>
            <w:shd w:val="clear" w:color="auto" w:fill="auto"/>
            <w:noWrap/>
            <w:vAlign w:val="bottom"/>
            <w:hideMark/>
          </w:tcPr>
          <w:p w14:paraId="69CC6335" w14:textId="77777777" w:rsidR="00FF235C" w:rsidRPr="00FF235C" w:rsidRDefault="00FF235C" w:rsidP="00FF235C">
            <w:pPr>
              <w:jc w:val="right"/>
              <w:rPr>
                <w:rFonts w:ascii="Cambria" w:eastAsia="Times New Roman" w:hAnsi="Cambria" w:cs="Calibri"/>
                <w:color w:val="000000"/>
                <w:lang w:eastAsia="en-GB"/>
              </w:rPr>
            </w:pPr>
            <w:r w:rsidRPr="00FF235C">
              <w:rPr>
                <w:rFonts w:ascii="Cambria" w:eastAsia="Times New Roman" w:hAnsi="Cambria" w:cs="Calibri"/>
                <w:color w:val="000000"/>
                <w:lang w:eastAsia="en-GB"/>
              </w:rPr>
              <w:t>3,876</w:t>
            </w:r>
          </w:p>
        </w:tc>
      </w:tr>
      <w:tr w:rsidR="00FF235C" w:rsidRPr="00FF235C" w14:paraId="75DE89B1" w14:textId="77777777" w:rsidTr="00CD46FB">
        <w:trPr>
          <w:trHeight w:val="246"/>
        </w:trPr>
        <w:tc>
          <w:tcPr>
            <w:tcW w:w="7032" w:type="dxa"/>
            <w:tcBorders>
              <w:top w:val="nil"/>
              <w:left w:val="single" w:sz="8" w:space="0" w:color="auto"/>
              <w:bottom w:val="single" w:sz="4" w:space="0" w:color="auto"/>
              <w:right w:val="single" w:sz="4" w:space="0" w:color="auto"/>
            </w:tcBorders>
            <w:shd w:val="clear" w:color="auto" w:fill="auto"/>
            <w:noWrap/>
            <w:vAlign w:val="bottom"/>
            <w:hideMark/>
          </w:tcPr>
          <w:p w14:paraId="5E1124B4" w14:textId="77777777" w:rsidR="00FF235C" w:rsidRPr="00FF235C" w:rsidRDefault="00FF235C" w:rsidP="00FF235C">
            <w:pPr>
              <w:rPr>
                <w:rFonts w:ascii="Cambria" w:eastAsia="Times New Roman" w:hAnsi="Cambria" w:cs="Calibri"/>
                <w:color w:val="000000"/>
                <w:lang w:eastAsia="en-GB"/>
              </w:rPr>
            </w:pPr>
            <w:r w:rsidRPr="00FF235C">
              <w:rPr>
                <w:rFonts w:ascii="Cambria" w:eastAsia="Times New Roman" w:hAnsi="Cambria" w:cs="Calibri"/>
                <w:color w:val="000000"/>
                <w:lang w:eastAsia="en-GB"/>
              </w:rPr>
              <w:t>Share premium account</w:t>
            </w:r>
          </w:p>
        </w:tc>
        <w:tc>
          <w:tcPr>
            <w:tcW w:w="1112" w:type="dxa"/>
            <w:tcBorders>
              <w:top w:val="nil"/>
              <w:left w:val="nil"/>
              <w:bottom w:val="single" w:sz="4" w:space="0" w:color="auto"/>
              <w:right w:val="single" w:sz="4" w:space="0" w:color="auto"/>
            </w:tcBorders>
            <w:shd w:val="clear" w:color="auto" w:fill="auto"/>
            <w:noWrap/>
            <w:vAlign w:val="bottom"/>
            <w:hideMark/>
          </w:tcPr>
          <w:p w14:paraId="52BA00EE" w14:textId="77777777" w:rsidR="00FF235C" w:rsidRPr="00FF235C" w:rsidRDefault="00FF235C" w:rsidP="00FF235C">
            <w:pPr>
              <w:jc w:val="right"/>
              <w:rPr>
                <w:rFonts w:ascii="Cambria" w:eastAsia="Times New Roman" w:hAnsi="Cambria" w:cs="Calibri"/>
                <w:color w:val="000000"/>
                <w:lang w:eastAsia="en-GB"/>
              </w:rPr>
            </w:pPr>
            <w:r w:rsidRPr="00FF235C">
              <w:rPr>
                <w:rFonts w:ascii="Cambria" w:eastAsia="Times New Roman" w:hAnsi="Cambria" w:cs="Calibri"/>
                <w:color w:val="000000"/>
                <w:lang w:eastAsia="en-GB"/>
              </w:rPr>
              <w:t>2,096</w:t>
            </w:r>
          </w:p>
        </w:tc>
        <w:tc>
          <w:tcPr>
            <w:tcW w:w="1112" w:type="dxa"/>
            <w:tcBorders>
              <w:top w:val="nil"/>
              <w:left w:val="nil"/>
              <w:bottom w:val="single" w:sz="4" w:space="0" w:color="auto"/>
              <w:right w:val="single" w:sz="8" w:space="0" w:color="auto"/>
            </w:tcBorders>
            <w:shd w:val="clear" w:color="auto" w:fill="auto"/>
            <w:noWrap/>
            <w:vAlign w:val="bottom"/>
            <w:hideMark/>
          </w:tcPr>
          <w:p w14:paraId="44C287BF" w14:textId="77777777" w:rsidR="00FF235C" w:rsidRPr="00FF235C" w:rsidRDefault="00FF235C" w:rsidP="00FF235C">
            <w:pPr>
              <w:jc w:val="right"/>
              <w:rPr>
                <w:rFonts w:ascii="Cambria" w:eastAsia="Times New Roman" w:hAnsi="Cambria" w:cs="Calibri"/>
                <w:color w:val="000000"/>
                <w:lang w:eastAsia="en-GB"/>
              </w:rPr>
            </w:pPr>
            <w:r w:rsidRPr="00FF235C">
              <w:rPr>
                <w:rFonts w:ascii="Cambria" w:eastAsia="Times New Roman" w:hAnsi="Cambria" w:cs="Calibri"/>
                <w:color w:val="000000"/>
                <w:lang w:eastAsia="en-GB"/>
              </w:rPr>
              <w:t>12,700</w:t>
            </w:r>
          </w:p>
        </w:tc>
      </w:tr>
      <w:tr w:rsidR="00FF235C" w:rsidRPr="00FF235C" w14:paraId="48984BBF" w14:textId="77777777" w:rsidTr="00CD46FB">
        <w:trPr>
          <w:trHeight w:val="246"/>
        </w:trPr>
        <w:tc>
          <w:tcPr>
            <w:tcW w:w="7032" w:type="dxa"/>
            <w:tcBorders>
              <w:top w:val="nil"/>
              <w:left w:val="single" w:sz="8" w:space="0" w:color="auto"/>
              <w:bottom w:val="single" w:sz="4" w:space="0" w:color="auto"/>
              <w:right w:val="single" w:sz="4" w:space="0" w:color="auto"/>
            </w:tcBorders>
            <w:shd w:val="clear" w:color="auto" w:fill="auto"/>
            <w:noWrap/>
            <w:vAlign w:val="bottom"/>
            <w:hideMark/>
          </w:tcPr>
          <w:p w14:paraId="75554D4C" w14:textId="77777777" w:rsidR="00FF235C" w:rsidRPr="00FF235C" w:rsidRDefault="00FF235C" w:rsidP="00FF235C">
            <w:pPr>
              <w:rPr>
                <w:rFonts w:ascii="Cambria" w:eastAsia="Times New Roman" w:hAnsi="Cambria" w:cs="Calibri"/>
                <w:color w:val="000000"/>
                <w:lang w:eastAsia="en-GB"/>
              </w:rPr>
            </w:pPr>
            <w:r w:rsidRPr="00FF235C">
              <w:rPr>
                <w:rFonts w:ascii="Cambria" w:eastAsia="Times New Roman" w:hAnsi="Cambria" w:cs="Calibri"/>
                <w:color w:val="000000"/>
                <w:lang w:eastAsia="en-GB"/>
              </w:rPr>
              <w:t>Other reserves</w:t>
            </w:r>
          </w:p>
        </w:tc>
        <w:tc>
          <w:tcPr>
            <w:tcW w:w="1112" w:type="dxa"/>
            <w:tcBorders>
              <w:top w:val="nil"/>
              <w:left w:val="nil"/>
              <w:bottom w:val="single" w:sz="4" w:space="0" w:color="auto"/>
              <w:right w:val="single" w:sz="4" w:space="0" w:color="auto"/>
            </w:tcBorders>
            <w:shd w:val="clear" w:color="auto" w:fill="auto"/>
            <w:noWrap/>
            <w:vAlign w:val="bottom"/>
            <w:hideMark/>
          </w:tcPr>
          <w:p w14:paraId="64836281" w14:textId="77777777" w:rsidR="00FF235C" w:rsidRPr="00FF235C" w:rsidRDefault="00FF235C" w:rsidP="00FF235C">
            <w:pPr>
              <w:jc w:val="right"/>
              <w:rPr>
                <w:rFonts w:ascii="Cambria" w:eastAsia="Times New Roman" w:hAnsi="Cambria" w:cs="Calibri"/>
                <w:color w:val="000000"/>
                <w:lang w:eastAsia="en-GB"/>
              </w:rPr>
            </w:pPr>
            <w:r w:rsidRPr="00FF235C">
              <w:rPr>
                <w:rFonts w:ascii="Cambria" w:eastAsia="Times New Roman" w:hAnsi="Cambria" w:cs="Calibri"/>
                <w:color w:val="000000"/>
                <w:lang w:eastAsia="en-GB"/>
              </w:rPr>
              <w:t>-2,476</w:t>
            </w:r>
          </w:p>
        </w:tc>
        <w:tc>
          <w:tcPr>
            <w:tcW w:w="1112" w:type="dxa"/>
            <w:tcBorders>
              <w:top w:val="nil"/>
              <w:left w:val="nil"/>
              <w:bottom w:val="single" w:sz="4" w:space="0" w:color="auto"/>
              <w:right w:val="single" w:sz="8" w:space="0" w:color="auto"/>
            </w:tcBorders>
            <w:shd w:val="clear" w:color="auto" w:fill="auto"/>
            <w:noWrap/>
            <w:vAlign w:val="bottom"/>
            <w:hideMark/>
          </w:tcPr>
          <w:p w14:paraId="1F66DF7C" w14:textId="77777777" w:rsidR="00FF235C" w:rsidRPr="00FF235C" w:rsidRDefault="00FF235C" w:rsidP="00FF235C">
            <w:pPr>
              <w:jc w:val="right"/>
              <w:rPr>
                <w:rFonts w:ascii="Cambria" w:eastAsia="Times New Roman" w:hAnsi="Cambria" w:cs="Calibri"/>
                <w:color w:val="000000"/>
                <w:lang w:eastAsia="en-GB"/>
              </w:rPr>
            </w:pPr>
            <w:r w:rsidRPr="00FF235C">
              <w:rPr>
                <w:rFonts w:ascii="Cambria" w:eastAsia="Times New Roman" w:hAnsi="Cambria" w:cs="Calibri"/>
                <w:color w:val="000000"/>
                <w:lang w:eastAsia="en-GB"/>
              </w:rPr>
              <w:t>9,890</w:t>
            </w:r>
          </w:p>
        </w:tc>
      </w:tr>
      <w:tr w:rsidR="00FF235C" w:rsidRPr="00FF235C" w14:paraId="02AF6735" w14:textId="77777777" w:rsidTr="00CD46FB">
        <w:trPr>
          <w:trHeight w:val="246"/>
        </w:trPr>
        <w:tc>
          <w:tcPr>
            <w:tcW w:w="7032" w:type="dxa"/>
            <w:tcBorders>
              <w:top w:val="nil"/>
              <w:left w:val="single" w:sz="8" w:space="0" w:color="auto"/>
              <w:bottom w:val="single" w:sz="4" w:space="0" w:color="auto"/>
              <w:right w:val="single" w:sz="4" w:space="0" w:color="auto"/>
            </w:tcBorders>
            <w:shd w:val="clear" w:color="auto" w:fill="auto"/>
            <w:noWrap/>
            <w:vAlign w:val="bottom"/>
            <w:hideMark/>
          </w:tcPr>
          <w:p w14:paraId="159EC4F7" w14:textId="77777777" w:rsidR="00FF235C" w:rsidRPr="00FF235C" w:rsidRDefault="00FF235C" w:rsidP="00FF235C">
            <w:pPr>
              <w:rPr>
                <w:rFonts w:ascii="Cambria" w:eastAsia="Times New Roman" w:hAnsi="Cambria" w:cs="Calibri"/>
                <w:color w:val="000000"/>
                <w:lang w:eastAsia="en-GB"/>
              </w:rPr>
            </w:pPr>
            <w:r w:rsidRPr="00FF235C">
              <w:rPr>
                <w:rFonts w:ascii="Cambria" w:eastAsia="Times New Roman" w:hAnsi="Cambria" w:cs="Calibri"/>
                <w:color w:val="000000"/>
                <w:lang w:eastAsia="en-GB"/>
              </w:rPr>
              <w:t>Retained profits</w:t>
            </w:r>
          </w:p>
        </w:tc>
        <w:tc>
          <w:tcPr>
            <w:tcW w:w="1112" w:type="dxa"/>
            <w:tcBorders>
              <w:top w:val="nil"/>
              <w:left w:val="nil"/>
              <w:bottom w:val="single" w:sz="4" w:space="0" w:color="auto"/>
              <w:right w:val="single" w:sz="4" w:space="0" w:color="auto"/>
            </w:tcBorders>
            <w:shd w:val="clear" w:color="auto" w:fill="auto"/>
            <w:noWrap/>
            <w:vAlign w:val="bottom"/>
            <w:hideMark/>
          </w:tcPr>
          <w:p w14:paraId="06F704C3" w14:textId="77777777" w:rsidR="00FF235C" w:rsidRPr="00FF235C" w:rsidRDefault="00FF235C" w:rsidP="00FF235C">
            <w:pPr>
              <w:jc w:val="right"/>
              <w:rPr>
                <w:rFonts w:ascii="Cambria" w:eastAsia="Times New Roman" w:hAnsi="Cambria" w:cs="Calibri"/>
                <w:color w:val="000000"/>
                <w:lang w:eastAsia="en-GB"/>
              </w:rPr>
            </w:pPr>
            <w:r w:rsidRPr="00FF235C">
              <w:rPr>
                <w:rFonts w:ascii="Cambria" w:eastAsia="Times New Roman" w:hAnsi="Cambria" w:cs="Calibri"/>
                <w:color w:val="000000"/>
                <w:lang w:eastAsia="en-GB"/>
              </w:rPr>
              <w:t>8,260</w:t>
            </w:r>
          </w:p>
        </w:tc>
        <w:tc>
          <w:tcPr>
            <w:tcW w:w="1112" w:type="dxa"/>
            <w:tcBorders>
              <w:top w:val="nil"/>
              <w:left w:val="nil"/>
              <w:bottom w:val="single" w:sz="4" w:space="0" w:color="auto"/>
              <w:right w:val="single" w:sz="8" w:space="0" w:color="auto"/>
            </w:tcBorders>
            <w:shd w:val="clear" w:color="auto" w:fill="auto"/>
            <w:noWrap/>
            <w:vAlign w:val="bottom"/>
            <w:hideMark/>
          </w:tcPr>
          <w:p w14:paraId="4D7E55D3" w14:textId="77777777" w:rsidR="00FF235C" w:rsidRPr="00FF235C" w:rsidRDefault="00FF235C" w:rsidP="00FF235C">
            <w:pPr>
              <w:jc w:val="right"/>
              <w:rPr>
                <w:rFonts w:ascii="Cambria" w:eastAsia="Times New Roman" w:hAnsi="Cambria" w:cs="Calibri"/>
                <w:color w:val="000000"/>
                <w:lang w:eastAsia="en-GB"/>
              </w:rPr>
            </w:pPr>
            <w:r w:rsidRPr="00FF235C">
              <w:rPr>
                <w:rFonts w:ascii="Cambria" w:eastAsia="Times New Roman" w:hAnsi="Cambria" w:cs="Calibri"/>
                <w:color w:val="000000"/>
                <w:lang w:eastAsia="en-GB"/>
              </w:rPr>
              <w:t>4,569</w:t>
            </w:r>
          </w:p>
        </w:tc>
      </w:tr>
      <w:tr w:rsidR="00FF235C" w:rsidRPr="00FF235C" w14:paraId="5DAA7D89" w14:textId="77777777" w:rsidTr="00CD46FB">
        <w:trPr>
          <w:trHeight w:val="246"/>
        </w:trPr>
        <w:tc>
          <w:tcPr>
            <w:tcW w:w="7032" w:type="dxa"/>
            <w:tcBorders>
              <w:top w:val="nil"/>
              <w:left w:val="single" w:sz="8" w:space="0" w:color="auto"/>
              <w:bottom w:val="single" w:sz="4" w:space="0" w:color="auto"/>
              <w:right w:val="single" w:sz="4" w:space="0" w:color="auto"/>
            </w:tcBorders>
            <w:shd w:val="clear" w:color="auto" w:fill="auto"/>
            <w:noWrap/>
            <w:vAlign w:val="bottom"/>
            <w:hideMark/>
          </w:tcPr>
          <w:p w14:paraId="1E1710C8" w14:textId="77777777" w:rsidR="00FF235C" w:rsidRPr="00FF235C" w:rsidRDefault="00FF235C" w:rsidP="00FF235C">
            <w:pPr>
              <w:rPr>
                <w:rFonts w:ascii="Cambria" w:eastAsia="Times New Roman" w:hAnsi="Cambria" w:cs="Calibri"/>
                <w:b/>
                <w:bCs/>
                <w:color w:val="000000"/>
                <w:lang w:eastAsia="en-GB"/>
              </w:rPr>
            </w:pPr>
            <w:r w:rsidRPr="00FF235C">
              <w:rPr>
                <w:rFonts w:ascii="Cambria" w:eastAsia="Times New Roman" w:hAnsi="Cambria" w:cs="Calibri"/>
                <w:b/>
                <w:bCs/>
                <w:color w:val="000000"/>
                <w:lang w:eastAsia="en-GB"/>
              </w:rPr>
              <w:t>shareholders’ equity</w:t>
            </w:r>
          </w:p>
        </w:tc>
        <w:tc>
          <w:tcPr>
            <w:tcW w:w="1112" w:type="dxa"/>
            <w:tcBorders>
              <w:top w:val="nil"/>
              <w:left w:val="nil"/>
              <w:bottom w:val="single" w:sz="4" w:space="0" w:color="auto"/>
              <w:right w:val="single" w:sz="4" w:space="0" w:color="auto"/>
            </w:tcBorders>
            <w:shd w:val="clear" w:color="auto" w:fill="auto"/>
            <w:noWrap/>
            <w:vAlign w:val="bottom"/>
            <w:hideMark/>
          </w:tcPr>
          <w:p w14:paraId="75EB88CB" w14:textId="77777777" w:rsidR="00FF235C" w:rsidRPr="00FF235C" w:rsidRDefault="00FF235C" w:rsidP="00FF235C">
            <w:pPr>
              <w:jc w:val="right"/>
              <w:rPr>
                <w:rFonts w:ascii="Cambria" w:eastAsia="Times New Roman" w:hAnsi="Cambria" w:cs="Calibri"/>
                <w:color w:val="000000"/>
                <w:lang w:eastAsia="en-GB"/>
              </w:rPr>
            </w:pPr>
            <w:r w:rsidRPr="00FF235C">
              <w:rPr>
                <w:rFonts w:ascii="Cambria" w:eastAsia="Times New Roman" w:hAnsi="Cambria" w:cs="Calibri"/>
                <w:color w:val="000000"/>
                <w:lang w:eastAsia="en-GB"/>
              </w:rPr>
              <w:t>9,393</w:t>
            </w:r>
          </w:p>
        </w:tc>
        <w:tc>
          <w:tcPr>
            <w:tcW w:w="1112" w:type="dxa"/>
            <w:tcBorders>
              <w:top w:val="nil"/>
              <w:left w:val="nil"/>
              <w:bottom w:val="single" w:sz="4" w:space="0" w:color="auto"/>
              <w:right w:val="single" w:sz="8" w:space="0" w:color="auto"/>
            </w:tcBorders>
            <w:shd w:val="clear" w:color="auto" w:fill="auto"/>
            <w:noWrap/>
            <w:vAlign w:val="bottom"/>
            <w:hideMark/>
          </w:tcPr>
          <w:p w14:paraId="67EBD72B" w14:textId="77777777" w:rsidR="00FF235C" w:rsidRPr="00FF235C" w:rsidRDefault="00FF235C" w:rsidP="00FF235C">
            <w:pPr>
              <w:jc w:val="right"/>
              <w:rPr>
                <w:rFonts w:ascii="Cambria" w:eastAsia="Times New Roman" w:hAnsi="Cambria" w:cs="Calibri"/>
                <w:color w:val="000000"/>
                <w:lang w:eastAsia="en-GB"/>
              </w:rPr>
            </w:pPr>
            <w:r w:rsidRPr="00FF235C">
              <w:rPr>
                <w:rFonts w:ascii="Cambria" w:eastAsia="Times New Roman" w:hAnsi="Cambria" w:cs="Calibri"/>
                <w:color w:val="000000"/>
                <w:lang w:eastAsia="en-GB"/>
              </w:rPr>
              <w:t>20,355</w:t>
            </w:r>
          </w:p>
        </w:tc>
      </w:tr>
      <w:tr w:rsidR="00FF235C" w:rsidRPr="00FF235C" w14:paraId="3AF16C8E" w14:textId="77777777" w:rsidTr="00CD46FB">
        <w:trPr>
          <w:trHeight w:val="246"/>
        </w:trPr>
        <w:tc>
          <w:tcPr>
            <w:tcW w:w="7032" w:type="dxa"/>
            <w:tcBorders>
              <w:top w:val="nil"/>
              <w:left w:val="single" w:sz="8" w:space="0" w:color="auto"/>
              <w:bottom w:val="single" w:sz="4" w:space="0" w:color="auto"/>
              <w:right w:val="single" w:sz="4" w:space="0" w:color="auto"/>
            </w:tcBorders>
            <w:shd w:val="clear" w:color="auto" w:fill="auto"/>
            <w:noWrap/>
            <w:vAlign w:val="bottom"/>
            <w:hideMark/>
          </w:tcPr>
          <w:p w14:paraId="709EE6B4" w14:textId="77777777" w:rsidR="00FF235C" w:rsidRPr="00FF235C" w:rsidRDefault="00FF235C" w:rsidP="00FF235C">
            <w:pPr>
              <w:rPr>
                <w:rFonts w:ascii="Cambria" w:eastAsia="Times New Roman" w:hAnsi="Cambria" w:cs="Calibri"/>
                <w:color w:val="000000"/>
                <w:lang w:eastAsia="en-GB"/>
              </w:rPr>
            </w:pPr>
            <w:r w:rsidRPr="00FF235C">
              <w:rPr>
                <w:rFonts w:ascii="Cambria" w:eastAsia="Times New Roman" w:hAnsi="Cambria" w:cs="Calibri"/>
                <w:color w:val="000000"/>
                <w:lang w:eastAsia="en-GB"/>
              </w:rPr>
              <w:t>Minority interests</w:t>
            </w:r>
          </w:p>
        </w:tc>
        <w:tc>
          <w:tcPr>
            <w:tcW w:w="1112" w:type="dxa"/>
            <w:tcBorders>
              <w:top w:val="nil"/>
              <w:left w:val="nil"/>
              <w:bottom w:val="single" w:sz="4" w:space="0" w:color="auto"/>
              <w:right w:val="single" w:sz="4" w:space="0" w:color="auto"/>
            </w:tcBorders>
            <w:shd w:val="clear" w:color="auto" w:fill="auto"/>
            <w:noWrap/>
            <w:vAlign w:val="bottom"/>
            <w:hideMark/>
          </w:tcPr>
          <w:p w14:paraId="1B0583D9" w14:textId="77777777" w:rsidR="00FF235C" w:rsidRPr="00FF235C" w:rsidRDefault="00FF235C" w:rsidP="00FF235C">
            <w:pPr>
              <w:jc w:val="right"/>
              <w:rPr>
                <w:rFonts w:ascii="Cambria" w:eastAsia="Times New Roman" w:hAnsi="Cambria" w:cs="Calibri"/>
                <w:color w:val="000000"/>
                <w:lang w:eastAsia="en-GB"/>
              </w:rPr>
            </w:pPr>
            <w:r w:rsidRPr="00FF235C">
              <w:rPr>
                <w:rFonts w:ascii="Cambria" w:eastAsia="Times New Roman" w:hAnsi="Cambria" w:cs="Calibri"/>
                <w:color w:val="000000"/>
                <w:lang w:eastAsia="en-GB"/>
              </w:rPr>
              <w:t>306</w:t>
            </w:r>
          </w:p>
        </w:tc>
        <w:tc>
          <w:tcPr>
            <w:tcW w:w="1112" w:type="dxa"/>
            <w:tcBorders>
              <w:top w:val="nil"/>
              <w:left w:val="nil"/>
              <w:bottom w:val="single" w:sz="4" w:space="0" w:color="auto"/>
              <w:right w:val="single" w:sz="8" w:space="0" w:color="auto"/>
            </w:tcBorders>
            <w:shd w:val="clear" w:color="auto" w:fill="auto"/>
            <w:noWrap/>
            <w:vAlign w:val="bottom"/>
            <w:hideMark/>
          </w:tcPr>
          <w:p w14:paraId="3D9FEA6F" w14:textId="77777777" w:rsidR="00FF235C" w:rsidRPr="00FF235C" w:rsidRDefault="00FF235C" w:rsidP="00FF235C">
            <w:pPr>
              <w:jc w:val="right"/>
              <w:rPr>
                <w:rFonts w:ascii="Cambria" w:eastAsia="Times New Roman" w:hAnsi="Cambria" w:cs="Calibri"/>
                <w:color w:val="000000"/>
                <w:lang w:eastAsia="en-GB"/>
              </w:rPr>
            </w:pPr>
            <w:r w:rsidRPr="00FF235C">
              <w:rPr>
                <w:rFonts w:ascii="Cambria" w:eastAsia="Times New Roman" w:hAnsi="Cambria" w:cs="Calibri"/>
                <w:color w:val="000000"/>
                <w:lang w:eastAsia="en-GB"/>
              </w:rPr>
              <w:t>1,762</w:t>
            </w:r>
          </w:p>
        </w:tc>
      </w:tr>
      <w:tr w:rsidR="00FF235C" w:rsidRPr="00FF235C" w14:paraId="1DD98146" w14:textId="77777777" w:rsidTr="00CD46FB">
        <w:trPr>
          <w:trHeight w:val="246"/>
        </w:trPr>
        <w:tc>
          <w:tcPr>
            <w:tcW w:w="7032" w:type="dxa"/>
            <w:tcBorders>
              <w:top w:val="nil"/>
              <w:left w:val="single" w:sz="8" w:space="0" w:color="auto"/>
              <w:bottom w:val="single" w:sz="4" w:space="0" w:color="auto"/>
              <w:right w:val="single" w:sz="4" w:space="0" w:color="auto"/>
            </w:tcBorders>
            <w:shd w:val="clear" w:color="000000" w:fill="C6E0B4"/>
            <w:noWrap/>
            <w:vAlign w:val="bottom"/>
            <w:hideMark/>
          </w:tcPr>
          <w:p w14:paraId="5ADE6152" w14:textId="77777777" w:rsidR="00FF235C" w:rsidRPr="00FF235C" w:rsidRDefault="00FF235C" w:rsidP="00FF235C">
            <w:pPr>
              <w:rPr>
                <w:rFonts w:ascii="Cambria" w:eastAsia="Times New Roman" w:hAnsi="Cambria" w:cs="Calibri"/>
                <w:b/>
                <w:bCs/>
                <w:color w:val="000000"/>
                <w:lang w:eastAsia="en-GB"/>
              </w:rPr>
            </w:pPr>
            <w:r w:rsidRPr="00FF235C">
              <w:rPr>
                <w:rFonts w:ascii="Cambria" w:eastAsia="Times New Roman" w:hAnsi="Cambria" w:cs="Calibri"/>
                <w:b/>
                <w:bCs/>
                <w:color w:val="000000"/>
                <w:lang w:eastAsia="en-GB"/>
              </w:rPr>
              <w:t>Total equity</w:t>
            </w:r>
          </w:p>
        </w:tc>
        <w:tc>
          <w:tcPr>
            <w:tcW w:w="1112" w:type="dxa"/>
            <w:tcBorders>
              <w:top w:val="nil"/>
              <w:left w:val="nil"/>
              <w:bottom w:val="single" w:sz="4" w:space="0" w:color="auto"/>
              <w:right w:val="single" w:sz="4" w:space="0" w:color="auto"/>
            </w:tcBorders>
            <w:shd w:val="clear" w:color="000000" w:fill="C6E0B4"/>
            <w:noWrap/>
            <w:vAlign w:val="bottom"/>
            <w:hideMark/>
          </w:tcPr>
          <w:p w14:paraId="2048698C" w14:textId="77777777" w:rsidR="00FF235C" w:rsidRPr="00FF235C" w:rsidRDefault="00FF235C" w:rsidP="00FF235C">
            <w:pPr>
              <w:jc w:val="right"/>
              <w:rPr>
                <w:rFonts w:ascii="Cambria" w:eastAsia="Times New Roman" w:hAnsi="Cambria" w:cs="Calibri"/>
                <w:b/>
                <w:bCs/>
                <w:color w:val="000000"/>
                <w:lang w:eastAsia="en-GB"/>
              </w:rPr>
            </w:pPr>
            <w:r w:rsidRPr="00FF235C">
              <w:rPr>
                <w:rFonts w:ascii="Cambria" w:eastAsia="Times New Roman" w:hAnsi="Cambria" w:cs="Calibri"/>
                <w:b/>
                <w:bCs/>
                <w:color w:val="000000"/>
                <w:lang w:eastAsia="en-GB"/>
              </w:rPr>
              <w:t>9,699</w:t>
            </w:r>
          </w:p>
        </w:tc>
        <w:tc>
          <w:tcPr>
            <w:tcW w:w="1112" w:type="dxa"/>
            <w:tcBorders>
              <w:top w:val="nil"/>
              <w:left w:val="nil"/>
              <w:bottom w:val="single" w:sz="4" w:space="0" w:color="auto"/>
              <w:right w:val="single" w:sz="8" w:space="0" w:color="auto"/>
            </w:tcBorders>
            <w:shd w:val="clear" w:color="000000" w:fill="C6E0B4"/>
            <w:noWrap/>
            <w:vAlign w:val="bottom"/>
            <w:hideMark/>
          </w:tcPr>
          <w:p w14:paraId="1505E2C6" w14:textId="77777777" w:rsidR="00FF235C" w:rsidRPr="00FF235C" w:rsidRDefault="00FF235C" w:rsidP="00FF235C">
            <w:pPr>
              <w:jc w:val="right"/>
              <w:rPr>
                <w:rFonts w:ascii="Cambria" w:eastAsia="Times New Roman" w:hAnsi="Cambria" w:cs="Calibri"/>
                <w:b/>
                <w:bCs/>
                <w:color w:val="000000"/>
                <w:lang w:eastAsia="en-GB"/>
              </w:rPr>
            </w:pPr>
            <w:r w:rsidRPr="00FF235C">
              <w:rPr>
                <w:rFonts w:ascii="Cambria" w:eastAsia="Times New Roman" w:hAnsi="Cambria" w:cs="Calibri"/>
                <w:b/>
                <w:bCs/>
                <w:color w:val="000000"/>
                <w:lang w:eastAsia="en-GB"/>
              </w:rPr>
              <w:t>53,152</w:t>
            </w:r>
          </w:p>
        </w:tc>
      </w:tr>
      <w:tr w:rsidR="00FF235C" w:rsidRPr="00FF235C" w14:paraId="57B19A59" w14:textId="77777777" w:rsidTr="00CD46FB">
        <w:trPr>
          <w:trHeight w:val="262"/>
        </w:trPr>
        <w:tc>
          <w:tcPr>
            <w:tcW w:w="7032" w:type="dxa"/>
            <w:tcBorders>
              <w:top w:val="nil"/>
              <w:left w:val="single" w:sz="8" w:space="0" w:color="auto"/>
              <w:bottom w:val="single" w:sz="8" w:space="0" w:color="auto"/>
              <w:right w:val="single" w:sz="4" w:space="0" w:color="auto"/>
            </w:tcBorders>
            <w:shd w:val="clear" w:color="000000" w:fill="FFC000"/>
            <w:noWrap/>
            <w:vAlign w:val="bottom"/>
            <w:hideMark/>
          </w:tcPr>
          <w:p w14:paraId="3C412EE0" w14:textId="77777777" w:rsidR="00FF235C" w:rsidRPr="00FF235C" w:rsidRDefault="00FF235C" w:rsidP="00FF235C">
            <w:pPr>
              <w:rPr>
                <w:rFonts w:ascii="Cambria" w:eastAsia="Times New Roman" w:hAnsi="Cambria" w:cs="Calibri"/>
                <w:b/>
                <w:bCs/>
                <w:color w:val="000000"/>
                <w:lang w:eastAsia="en-GB"/>
              </w:rPr>
            </w:pPr>
            <w:r w:rsidRPr="00FF235C">
              <w:rPr>
                <w:rFonts w:ascii="Cambria" w:eastAsia="Times New Roman" w:hAnsi="Cambria" w:cs="Calibri"/>
                <w:b/>
                <w:bCs/>
                <w:color w:val="000000"/>
                <w:lang w:eastAsia="en-GB"/>
              </w:rPr>
              <w:t xml:space="preserve">Total equity and liabilities </w:t>
            </w:r>
          </w:p>
        </w:tc>
        <w:tc>
          <w:tcPr>
            <w:tcW w:w="1112" w:type="dxa"/>
            <w:tcBorders>
              <w:top w:val="nil"/>
              <w:left w:val="nil"/>
              <w:bottom w:val="single" w:sz="8" w:space="0" w:color="auto"/>
              <w:right w:val="single" w:sz="4" w:space="0" w:color="auto"/>
            </w:tcBorders>
            <w:shd w:val="clear" w:color="000000" w:fill="FFC000"/>
            <w:noWrap/>
            <w:vAlign w:val="bottom"/>
            <w:hideMark/>
          </w:tcPr>
          <w:p w14:paraId="2BB0160D" w14:textId="77777777" w:rsidR="00FF235C" w:rsidRPr="00FF235C" w:rsidRDefault="00FF235C" w:rsidP="00FF235C">
            <w:pPr>
              <w:jc w:val="right"/>
              <w:rPr>
                <w:rFonts w:ascii="Cambria" w:eastAsia="Times New Roman" w:hAnsi="Cambria" w:cs="Calibri"/>
                <w:b/>
                <w:bCs/>
                <w:color w:val="000000"/>
                <w:lang w:eastAsia="en-GB"/>
              </w:rPr>
            </w:pPr>
            <w:r w:rsidRPr="00FF235C">
              <w:rPr>
                <w:rFonts w:ascii="Cambria" w:eastAsia="Times New Roman" w:hAnsi="Cambria" w:cs="Calibri"/>
                <w:b/>
                <w:bCs/>
                <w:color w:val="000000"/>
                <w:lang w:eastAsia="en-GB"/>
              </w:rPr>
              <w:t>436,033</w:t>
            </w:r>
          </w:p>
        </w:tc>
        <w:tc>
          <w:tcPr>
            <w:tcW w:w="1112" w:type="dxa"/>
            <w:tcBorders>
              <w:top w:val="nil"/>
              <w:left w:val="nil"/>
              <w:bottom w:val="single" w:sz="8" w:space="0" w:color="auto"/>
              <w:right w:val="single" w:sz="8" w:space="0" w:color="auto"/>
            </w:tcBorders>
            <w:shd w:val="clear" w:color="000000" w:fill="FFC000"/>
            <w:noWrap/>
            <w:vAlign w:val="bottom"/>
            <w:hideMark/>
          </w:tcPr>
          <w:p w14:paraId="1D4ABFED" w14:textId="77777777" w:rsidR="00FF235C" w:rsidRPr="00FF235C" w:rsidRDefault="00FF235C" w:rsidP="00FF235C">
            <w:pPr>
              <w:jc w:val="right"/>
              <w:rPr>
                <w:rFonts w:ascii="Cambria" w:eastAsia="Times New Roman" w:hAnsi="Cambria" w:cs="Calibri"/>
                <w:b/>
                <w:bCs/>
                <w:color w:val="000000"/>
                <w:lang w:eastAsia="en-GB"/>
              </w:rPr>
            </w:pPr>
            <w:r w:rsidRPr="00FF235C">
              <w:rPr>
                <w:rFonts w:ascii="Cambria" w:eastAsia="Times New Roman" w:hAnsi="Cambria" w:cs="Calibri"/>
                <w:b/>
                <w:bCs/>
                <w:color w:val="000000"/>
                <w:lang w:eastAsia="en-GB"/>
              </w:rPr>
              <w:t>886,525</w:t>
            </w:r>
          </w:p>
        </w:tc>
      </w:tr>
    </w:tbl>
    <w:p w14:paraId="0230FDEC" w14:textId="32A9A541" w:rsidR="00FF235C" w:rsidRPr="0004247C" w:rsidRDefault="00FF235C" w:rsidP="00FF235C">
      <w:pPr>
        <w:pStyle w:val="ListParagraph"/>
        <w:ind w:left="360"/>
        <w:rPr>
          <w:rFonts w:ascii="Times" w:hAnsi="Times"/>
        </w:rPr>
      </w:pPr>
    </w:p>
    <w:p w14:paraId="234B8514" w14:textId="446F7038" w:rsidR="00FF235C" w:rsidRPr="0004247C" w:rsidRDefault="00FF235C" w:rsidP="00FF235C">
      <w:pPr>
        <w:pStyle w:val="ListParagraph"/>
        <w:ind w:left="360"/>
        <w:rPr>
          <w:rFonts w:ascii="Times" w:hAnsi="Times"/>
        </w:rPr>
      </w:pPr>
    </w:p>
    <w:p w14:paraId="4DD55AB3" w14:textId="66DAD665" w:rsidR="001071C8" w:rsidRDefault="00CD46FB" w:rsidP="008A6615">
      <w:pPr>
        <w:pStyle w:val="ListParagraph"/>
        <w:numPr>
          <w:ilvl w:val="1"/>
          <w:numId w:val="14"/>
        </w:numPr>
        <w:spacing w:line="360" w:lineRule="auto"/>
        <w:rPr>
          <w:rFonts w:ascii="Times" w:hAnsi="Times"/>
        </w:rPr>
      </w:pPr>
      <w:r>
        <w:rPr>
          <w:rFonts w:ascii="Times" w:hAnsi="Times"/>
        </w:rPr>
        <w:t xml:space="preserve"> </w:t>
      </w:r>
      <w:r w:rsidR="001071C8">
        <w:rPr>
          <w:rFonts w:ascii="Times" w:hAnsi="Times"/>
        </w:rPr>
        <w:t>PROFITABILITY</w:t>
      </w:r>
    </w:p>
    <w:p w14:paraId="17BCBBBA" w14:textId="77777777" w:rsidR="008501C0" w:rsidRDefault="008501C0" w:rsidP="008A6615">
      <w:pPr>
        <w:spacing w:line="360" w:lineRule="auto"/>
        <w:rPr>
          <w:rFonts w:ascii="Times" w:hAnsi="Times"/>
        </w:rPr>
      </w:pPr>
      <w:r w:rsidRPr="008501C0">
        <w:rPr>
          <w:rFonts w:ascii="Times" w:hAnsi="Times"/>
        </w:rPr>
        <w:t xml:space="preserve">The ability of a company to turn a profit over time in relation to revenue, operating costs, balance sheet assets, or equity is measured using data from a specific point in time using a class of financial ratios called profitability </w:t>
      </w:r>
      <w:proofErr w:type="spellStart"/>
      <w:r w:rsidRPr="008501C0">
        <w:rPr>
          <w:rFonts w:ascii="Times" w:hAnsi="Times"/>
        </w:rPr>
        <w:t>ratios.</w:t>
      </w:r>
    </w:p>
    <w:p w14:paraId="308874DB" w14:textId="5E5FAEAB" w:rsidR="001071C8" w:rsidRDefault="001071C8" w:rsidP="008A6615">
      <w:pPr>
        <w:spacing w:line="360" w:lineRule="auto"/>
        <w:rPr>
          <w:rFonts w:ascii="Times" w:hAnsi="Times"/>
        </w:rPr>
      </w:pPr>
      <w:proofErr w:type="spellEnd"/>
      <w:r>
        <w:rPr>
          <w:rFonts w:ascii="Times" w:hAnsi="Times"/>
        </w:rPr>
        <w:t xml:space="preserve">I have </w:t>
      </w:r>
      <w:proofErr w:type="spellStart"/>
      <w:r>
        <w:rPr>
          <w:rFonts w:ascii="Times" w:hAnsi="Times"/>
        </w:rPr>
        <w:t>analized</w:t>
      </w:r>
      <w:proofErr w:type="spellEnd"/>
      <w:r>
        <w:rPr>
          <w:rFonts w:ascii="Times" w:hAnsi="Times"/>
        </w:rPr>
        <w:t xml:space="preserve"> the profitability calculating:</w:t>
      </w:r>
    </w:p>
    <w:p w14:paraId="520C90E4" w14:textId="77777777" w:rsidR="008A6615" w:rsidRDefault="008A6615" w:rsidP="008A6615">
      <w:pPr>
        <w:spacing w:line="360" w:lineRule="auto"/>
        <w:rPr>
          <w:rFonts w:ascii="Times" w:hAnsi="Times"/>
        </w:rPr>
      </w:pPr>
    </w:p>
    <w:p w14:paraId="21581343" w14:textId="270FB710" w:rsidR="001071C8" w:rsidRDefault="001071C8" w:rsidP="008A6615">
      <w:pPr>
        <w:pStyle w:val="ListParagraph"/>
        <w:numPr>
          <w:ilvl w:val="0"/>
          <w:numId w:val="7"/>
        </w:numPr>
        <w:spacing w:line="360" w:lineRule="auto"/>
        <w:rPr>
          <w:rFonts w:ascii="Times" w:hAnsi="Times"/>
        </w:rPr>
      </w:pPr>
      <w:r>
        <w:rPr>
          <w:rFonts w:ascii="Times" w:hAnsi="Times"/>
        </w:rPr>
        <w:t xml:space="preserve">Operating profit margin= </w:t>
      </w:r>
      <w:r w:rsidRPr="001071C8">
        <w:rPr>
          <w:rFonts w:ascii="Times" w:hAnsi="Times"/>
        </w:rPr>
        <w:t>operation income / sales revenue</w:t>
      </w:r>
    </w:p>
    <w:p w14:paraId="7E4CC3C3" w14:textId="77777777" w:rsidR="008501C0" w:rsidRPr="008501C0" w:rsidRDefault="008501C0" w:rsidP="008501C0">
      <w:pPr>
        <w:spacing w:line="360" w:lineRule="auto"/>
        <w:ind w:left="720"/>
        <w:rPr>
          <w:rFonts w:ascii="Times" w:hAnsi="Times"/>
        </w:rPr>
      </w:pPr>
      <w:r w:rsidRPr="008501C0">
        <w:rPr>
          <w:rFonts w:ascii="Times" w:hAnsi="Times"/>
        </w:rPr>
        <w:t xml:space="preserve">is a suitability ratio that illustrates how much profit a company makes after paying for variable costs, such as wages and natural resource costs, to some extent. </w:t>
      </w:r>
    </w:p>
    <w:p w14:paraId="183C5314" w14:textId="61FEF969" w:rsidR="008A6615" w:rsidRPr="00071A2A" w:rsidRDefault="008501C0" w:rsidP="008501C0">
      <w:pPr>
        <w:spacing w:line="360" w:lineRule="auto"/>
        <w:ind w:left="720"/>
        <w:rPr>
          <w:rFonts w:ascii="Times" w:hAnsi="Times"/>
        </w:rPr>
      </w:pPr>
      <w:r w:rsidRPr="008501C0">
        <w:rPr>
          <w:rFonts w:ascii="Times" w:hAnsi="Times"/>
        </w:rPr>
        <w:lastRenderedPageBreak/>
        <w:t>This percentage demonstrates a company's control over the costs and expenses that direct its operations (</w:t>
      </w:r>
      <w:proofErr w:type="spellStart"/>
      <w:r w:rsidRPr="008501C0">
        <w:rPr>
          <w:rFonts w:ascii="Times" w:hAnsi="Times"/>
        </w:rPr>
        <w:t>Bensoussan</w:t>
      </w:r>
      <w:proofErr w:type="spellEnd"/>
      <w:r w:rsidRPr="008501C0">
        <w:rPr>
          <w:rFonts w:ascii="Times" w:hAnsi="Times"/>
        </w:rPr>
        <w:t xml:space="preserve"> and others 2012).</w:t>
      </w:r>
    </w:p>
    <w:p w14:paraId="3E0A4791" w14:textId="4D0E198A" w:rsidR="001071C8" w:rsidRDefault="001071C8" w:rsidP="008A6615">
      <w:pPr>
        <w:pStyle w:val="ListParagraph"/>
        <w:numPr>
          <w:ilvl w:val="0"/>
          <w:numId w:val="7"/>
        </w:numPr>
        <w:spacing w:line="360" w:lineRule="auto"/>
        <w:rPr>
          <w:rFonts w:ascii="Times" w:hAnsi="Times"/>
        </w:rPr>
      </w:pPr>
      <w:r>
        <w:rPr>
          <w:rFonts w:ascii="Times" w:hAnsi="Times"/>
        </w:rPr>
        <w:t>Return on equity</w:t>
      </w:r>
      <w:r w:rsidR="00071DF9">
        <w:rPr>
          <w:rFonts w:ascii="Times" w:hAnsi="Times"/>
        </w:rPr>
        <w:t>= Net income/Average shareholder equity</w:t>
      </w:r>
    </w:p>
    <w:p w14:paraId="3D008589" w14:textId="77777777" w:rsidR="008501C0" w:rsidRPr="008501C0" w:rsidRDefault="008501C0" w:rsidP="008501C0">
      <w:pPr>
        <w:pStyle w:val="ListParagraph"/>
        <w:spacing w:line="360" w:lineRule="auto"/>
        <w:rPr>
          <w:rFonts w:ascii="Times" w:hAnsi="Times"/>
        </w:rPr>
      </w:pPr>
      <w:r w:rsidRPr="008501C0">
        <w:rPr>
          <w:rFonts w:ascii="Times" w:hAnsi="Times"/>
        </w:rPr>
        <w:t xml:space="preserve">is an illustration of a fiscal act that highlights the benefit of wage return as a component of impartiality. </w:t>
      </w:r>
    </w:p>
    <w:p w14:paraId="46230F33" w14:textId="6BE80BFD" w:rsidR="008A6615" w:rsidRDefault="008501C0" w:rsidP="008501C0">
      <w:pPr>
        <w:pStyle w:val="ListParagraph"/>
        <w:spacing w:line="360" w:lineRule="auto"/>
        <w:rPr>
          <w:rFonts w:ascii="Times" w:hAnsi="Times"/>
        </w:rPr>
      </w:pPr>
      <w:r w:rsidRPr="008501C0">
        <w:rPr>
          <w:rFonts w:ascii="Times" w:hAnsi="Times"/>
        </w:rPr>
        <w:t>By virtue of how effectively it manages the use of working capital, ROE essentially demonstrates this.</w:t>
      </w:r>
    </w:p>
    <w:p w14:paraId="4020E897" w14:textId="77777777" w:rsidR="008501C0" w:rsidRDefault="008501C0" w:rsidP="008501C0">
      <w:pPr>
        <w:pStyle w:val="ListParagraph"/>
        <w:spacing w:line="360" w:lineRule="auto"/>
        <w:rPr>
          <w:rFonts w:ascii="Times" w:hAnsi="Times"/>
        </w:rPr>
      </w:pPr>
    </w:p>
    <w:tbl>
      <w:tblPr>
        <w:tblStyle w:val="TableGrid"/>
        <w:tblW w:w="0" w:type="auto"/>
        <w:tblLook w:val="04A0" w:firstRow="1" w:lastRow="0" w:firstColumn="1" w:lastColumn="0" w:noHBand="0" w:noVBand="1"/>
      </w:tblPr>
      <w:tblGrid>
        <w:gridCol w:w="3005"/>
        <w:gridCol w:w="3005"/>
        <w:gridCol w:w="3006"/>
      </w:tblGrid>
      <w:tr w:rsidR="00071DF9" w14:paraId="49FD5A0B" w14:textId="77777777" w:rsidTr="00071DF9">
        <w:tc>
          <w:tcPr>
            <w:tcW w:w="3005" w:type="dxa"/>
            <w:shd w:val="clear" w:color="auto" w:fill="FFFF00"/>
          </w:tcPr>
          <w:p w14:paraId="6B0B9236" w14:textId="046D488F" w:rsidR="00071DF9" w:rsidRPr="00071DF9" w:rsidRDefault="00071DF9" w:rsidP="008A6615">
            <w:pPr>
              <w:spacing w:line="360" w:lineRule="auto"/>
              <w:jc w:val="center"/>
              <w:rPr>
                <w:rFonts w:ascii="Times" w:hAnsi="Times"/>
                <w:b/>
                <w:bCs/>
              </w:rPr>
            </w:pPr>
            <w:r w:rsidRPr="00071DF9">
              <w:rPr>
                <w:rFonts w:ascii="Times" w:hAnsi="Times"/>
                <w:b/>
                <w:bCs/>
              </w:rPr>
              <w:t>RATIOS</w:t>
            </w:r>
          </w:p>
        </w:tc>
        <w:tc>
          <w:tcPr>
            <w:tcW w:w="3005" w:type="dxa"/>
            <w:shd w:val="clear" w:color="auto" w:fill="FFFF00"/>
          </w:tcPr>
          <w:p w14:paraId="35F51CA7" w14:textId="343FB622" w:rsidR="00071DF9" w:rsidRPr="00071DF9" w:rsidRDefault="00071DF9" w:rsidP="008A6615">
            <w:pPr>
              <w:spacing w:line="360" w:lineRule="auto"/>
              <w:jc w:val="center"/>
              <w:rPr>
                <w:rFonts w:ascii="Times" w:hAnsi="Times"/>
                <w:b/>
                <w:bCs/>
              </w:rPr>
            </w:pPr>
            <w:r w:rsidRPr="00071DF9">
              <w:rPr>
                <w:rFonts w:ascii="Times" w:hAnsi="Times"/>
                <w:b/>
                <w:bCs/>
              </w:rPr>
              <w:t>2008</w:t>
            </w:r>
          </w:p>
        </w:tc>
        <w:tc>
          <w:tcPr>
            <w:tcW w:w="3006" w:type="dxa"/>
            <w:shd w:val="clear" w:color="auto" w:fill="FFFF00"/>
          </w:tcPr>
          <w:p w14:paraId="1758F009" w14:textId="68A6D637" w:rsidR="00071DF9" w:rsidRPr="00071DF9" w:rsidRDefault="00071DF9" w:rsidP="008A6615">
            <w:pPr>
              <w:spacing w:line="360" w:lineRule="auto"/>
              <w:jc w:val="center"/>
              <w:rPr>
                <w:rFonts w:ascii="Times" w:hAnsi="Times"/>
                <w:b/>
                <w:bCs/>
              </w:rPr>
            </w:pPr>
            <w:r w:rsidRPr="00071DF9">
              <w:rPr>
                <w:rFonts w:ascii="Times" w:hAnsi="Times"/>
                <w:b/>
                <w:bCs/>
              </w:rPr>
              <w:t>2021</w:t>
            </w:r>
          </w:p>
        </w:tc>
      </w:tr>
      <w:tr w:rsidR="00071DF9" w14:paraId="6A8CB0E8" w14:textId="77777777" w:rsidTr="00071DF9">
        <w:tc>
          <w:tcPr>
            <w:tcW w:w="3005" w:type="dxa"/>
          </w:tcPr>
          <w:p w14:paraId="17742A7F" w14:textId="21C2A23C" w:rsidR="00071DF9" w:rsidRDefault="00071DF9" w:rsidP="008A6615">
            <w:pPr>
              <w:spacing w:line="360" w:lineRule="auto"/>
              <w:rPr>
                <w:rFonts w:ascii="Times" w:hAnsi="Times"/>
              </w:rPr>
            </w:pPr>
            <w:r>
              <w:rPr>
                <w:rFonts w:ascii="Times" w:hAnsi="Times"/>
              </w:rPr>
              <w:t>Operating profit margin</w:t>
            </w:r>
          </w:p>
        </w:tc>
        <w:tc>
          <w:tcPr>
            <w:tcW w:w="3005" w:type="dxa"/>
          </w:tcPr>
          <w:p w14:paraId="5E8EFD16" w14:textId="263A3E4B" w:rsidR="00071DF9" w:rsidRDefault="00071A2A" w:rsidP="008A6615">
            <w:pPr>
              <w:spacing w:line="360" w:lineRule="auto"/>
              <w:rPr>
                <w:rFonts w:ascii="Times" w:hAnsi="Times"/>
              </w:rPr>
            </w:pPr>
            <w:r>
              <w:rPr>
                <w:rFonts w:ascii="Times" w:hAnsi="Times"/>
              </w:rPr>
              <w:t>8.30%</w:t>
            </w:r>
          </w:p>
        </w:tc>
        <w:tc>
          <w:tcPr>
            <w:tcW w:w="3006" w:type="dxa"/>
          </w:tcPr>
          <w:p w14:paraId="2E90229D" w14:textId="48B3EB7F" w:rsidR="00071DF9" w:rsidRDefault="00071A2A" w:rsidP="008A6615">
            <w:pPr>
              <w:spacing w:line="360" w:lineRule="auto"/>
              <w:rPr>
                <w:rFonts w:ascii="Times" w:hAnsi="Times"/>
              </w:rPr>
            </w:pPr>
            <w:r>
              <w:rPr>
                <w:rFonts w:ascii="Times" w:hAnsi="Times"/>
              </w:rPr>
              <w:t>1</w:t>
            </w:r>
            <w:r w:rsidR="0057375C">
              <w:rPr>
                <w:rFonts w:ascii="Times" w:hAnsi="Times"/>
              </w:rPr>
              <w:t>8.43%</w:t>
            </w:r>
          </w:p>
        </w:tc>
      </w:tr>
      <w:tr w:rsidR="00071DF9" w14:paraId="1DD5E831" w14:textId="77777777" w:rsidTr="00071DF9">
        <w:tc>
          <w:tcPr>
            <w:tcW w:w="3005" w:type="dxa"/>
          </w:tcPr>
          <w:p w14:paraId="2200B3D3" w14:textId="46A7A54C" w:rsidR="00071DF9" w:rsidRDefault="00071DF9" w:rsidP="008A6615">
            <w:pPr>
              <w:spacing w:line="360" w:lineRule="auto"/>
              <w:rPr>
                <w:rFonts w:ascii="Times" w:hAnsi="Times"/>
              </w:rPr>
            </w:pPr>
            <w:r>
              <w:rPr>
                <w:rFonts w:ascii="Times" w:hAnsi="Times"/>
              </w:rPr>
              <w:t>ROE</w:t>
            </w:r>
          </w:p>
        </w:tc>
        <w:tc>
          <w:tcPr>
            <w:tcW w:w="3005" w:type="dxa"/>
          </w:tcPr>
          <w:p w14:paraId="0FFF7395" w14:textId="21C4CA67" w:rsidR="00071DF9" w:rsidRDefault="0096159E" w:rsidP="008A6615">
            <w:pPr>
              <w:spacing w:line="360" w:lineRule="auto"/>
              <w:rPr>
                <w:rFonts w:ascii="Times" w:hAnsi="Times"/>
              </w:rPr>
            </w:pPr>
            <w:r>
              <w:rPr>
                <w:rFonts w:ascii="Times" w:hAnsi="Times"/>
              </w:rPr>
              <w:t>15.9%</w:t>
            </w:r>
          </w:p>
        </w:tc>
        <w:tc>
          <w:tcPr>
            <w:tcW w:w="3006" w:type="dxa"/>
          </w:tcPr>
          <w:p w14:paraId="5601CB02" w14:textId="156012FA" w:rsidR="00071DF9" w:rsidRDefault="0096159E" w:rsidP="008A6615">
            <w:pPr>
              <w:spacing w:line="360" w:lineRule="auto"/>
              <w:rPr>
                <w:rFonts w:ascii="Times" w:hAnsi="Times"/>
              </w:rPr>
            </w:pPr>
            <w:r>
              <w:rPr>
                <w:rFonts w:ascii="Times" w:hAnsi="Times"/>
              </w:rPr>
              <w:t>10.5%</w:t>
            </w:r>
          </w:p>
        </w:tc>
      </w:tr>
    </w:tbl>
    <w:p w14:paraId="3B2FF360" w14:textId="6BA81488" w:rsidR="00071DF9" w:rsidRDefault="0057375C" w:rsidP="008A6615">
      <w:pPr>
        <w:spacing w:line="360" w:lineRule="auto"/>
        <w:rPr>
          <w:rFonts w:ascii="Times" w:hAnsi="Times"/>
        </w:rPr>
      </w:pPr>
      <w:r>
        <w:rPr>
          <w:rFonts w:ascii="Times" w:hAnsi="Times"/>
        </w:rPr>
        <w:t>After the calculations, we are able to notice that the Operating profit margin on 2008 was very low and this should be higher than 15%. This can explain that on 2008 the production costs were more than the revenue.</w:t>
      </w:r>
    </w:p>
    <w:p w14:paraId="7F48BF89" w14:textId="10DAE5C7" w:rsidR="0057375C" w:rsidRDefault="0057375C" w:rsidP="008A6615">
      <w:pPr>
        <w:spacing w:line="360" w:lineRule="auto"/>
        <w:rPr>
          <w:rFonts w:ascii="Times" w:hAnsi="Times"/>
        </w:rPr>
      </w:pPr>
      <w:r>
        <w:rPr>
          <w:rFonts w:ascii="Times" w:hAnsi="Times"/>
        </w:rPr>
        <w:t>The ROE was much better on 2008 than 2021 and this was caused by the uses of its shareholder’s equity to generate income.</w:t>
      </w:r>
    </w:p>
    <w:p w14:paraId="38ADAAEE" w14:textId="77777777" w:rsidR="0057375C" w:rsidRPr="00071DF9" w:rsidRDefault="0057375C" w:rsidP="008A6615">
      <w:pPr>
        <w:spacing w:line="360" w:lineRule="auto"/>
        <w:rPr>
          <w:rFonts w:ascii="Times" w:hAnsi="Times"/>
        </w:rPr>
      </w:pPr>
    </w:p>
    <w:p w14:paraId="7C178536" w14:textId="4A0AE60D" w:rsidR="001071C8" w:rsidRDefault="001071C8" w:rsidP="008A6615">
      <w:pPr>
        <w:pStyle w:val="ListParagraph"/>
        <w:numPr>
          <w:ilvl w:val="1"/>
          <w:numId w:val="14"/>
        </w:numPr>
        <w:spacing w:line="360" w:lineRule="auto"/>
        <w:rPr>
          <w:rFonts w:ascii="Times" w:hAnsi="Times"/>
        </w:rPr>
      </w:pPr>
      <w:r>
        <w:rPr>
          <w:rFonts w:ascii="Times" w:hAnsi="Times"/>
        </w:rPr>
        <w:t xml:space="preserve"> LIQUIDITY</w:t>
      </w:r>
    </w:p>
    <w:p w14:paraId="0A7C5AB6" w14:textId="77777777" w:rsidR="00BD4452" w:rsidRPr="00BD4452" w:rsidRDefault="00BD4452" w:rsidP="00BD4452">
      <w:pPr>
        <w:pStyle w:val="ListParagraph"/>
        <w:spacing w:line="360" w:lineRule="auto"/>
        <w:ind w:left="0"/>
        <w:rPr>
          <w:rFonts w:ascii="Times" w:hAnsi="Times"/>
        </w:rPr>
      </w:pPr>
      <w:r w:rsidRPr="00BD4452">
        <w:rPr>
          <w:rFonts w:ascii="Times" w:hAnsi="Times"/>
        </w:rPr>
        <w:t xml:space="preserve">This study's goal is to evaluate Lloyd's liquidity position and compare it to other performers in the sector. </w:t>
      </w:r>
    </w:p>
    <w:p w14:paraId="5FB0BB7A" w14:textId="77777777" w:rsidR="00BD4452" w:rsidRPr="00BD4452" w:rsidRDefault="00BD4452" w:rsidP="00BD4452">
      <w:pPr>
        <w:pStyle w:val="ListParagraph"/>
        <w:spacing w:line="360" w:lineRule="auto"/>
        <w:ind w:left="0"/>
        <w:rPr>
          <w:rFonts w:ascii="Times" w:hAnsi="Times"/>
        </w:rPr>
      </w:pPr>
      <w:r w:rsidRPr="00BD4452">
        <w:rPr>
          <w:rFonts w:ascii="Times" w:hAnsi="Times"/>
        </w:rPr>
        <w:t xml:space="preserve">According to </w:t>
      </w:r>
      <w:proofErr w:type="spellStart"/>
      <w:r w:rsidRPr="00BD4452">
        <w:rPr>
          <w:rFonts w:ascii="Times" w:hAnsi="Times"/>
        </w:rPr>
        <w:t>Vasigh</w:t>
      </w:r>
      <w:proofErr w:type="spellEnd"/>
      <w:r w:rsidRPr="00BD4452">
        <w:rPr>
          <w:rFonts w:ascii="Times" w:hAnsi="Times"/>
        </w:rPr>
        <w:t xml:space="preserve"> and others (2010), liquidity percentages aim to assess a company's ability to meet its short-term obligations with ease. </w:t>
      </w:r>
    </w:p>
    <w:p w14:paraId="1A151C7A" w14:textId="055D5C94" w:rsidR="00BD4452" w:rsidRPr="00BD4452" w:rsidRDefault="00BD4452" w:rsidP="00BD4452">
      <w:pPr>
        <w:pStyle w:val="ListParagraph"/>
        <w:numPr>
          <w:ilvl w:val="0"/>
          <w:numId w:val="7"/>
        </w:numPr>
        <w:spacing w:line="360" w:lineRule="auto"/>
        <w:rPr>
          <w:rFonts w:ascii="Times" w:hAnsi="Times"/>
        </w:rPr>
      </w:pPr>
      <w:r w:rsidRPr="00BD4452">
        <w:rPr>
          <w:rFonts w:ascii="Times" w:hAnsi="Times"/>
        </w:rPr>
        <w:t xml:space="preserve">Current asset divided by Current liability is the current ratio. </w:t>
      </w:r>
    </w:p>
    <w:p w14:paraId="150741DF" w14:textId="77777777" w:rsidR="00CC19E0" w:rsidRPr="00CC19E0" w:rsidRDefault="00CC19E0" w:rsidP="00CC19E0">
      <w:pPr>
        <w:pStyle w:val="ListParagraph"/>
        <w:spacing w:line="360" w:lineRule="auto"/>
        <w:rPr>
          <w:rFonts w:ascii="Times" w:hAnsi="Times"/>
        </w:rPr>
      </w:pPr>
      <w:r w:rsidRPr="00CC19E0">
        <w:rPr>
          <w:rFonts w:ascii="Times" w:hAnsi="Times"/>
        </w:rPr>
        <w:t xml:space="preserve">is a liquidity ratio that assesses a company's capacity to pay obligations within a year or right away. </w:t>
      </w:r>
    </w:p>
    <w:p w14:paraId="5276C1C8" w14:textId="77777777" w:rsidR="00CC19E0" w:rsidRPr="00CC19E0" w:rsidRDefault="00CC19E0" w:rsidP="00CC19E0">
      <w:pPr>
        <w:pStyle w:val="ListParagraph"/>
        <w:spacing w:line="360" w:lineRule="auto"/>
        <w:rPr>
          <w:rFonts w:ascii="Times" w:hAnsi="Times"/>
        </w:rPr>
      </w:pPr>
      <w:r w:rsidRPr="00CC19E0">
        <w:rPr>
          <w:rFonts w:ascii="Times" w:hAnsi="Times"/>
        </w:rPr>
        <w:t xml:space="preserve">Investors and analysts can better understand how a company can use its current assets to pay for its other liabilities and current liabilities by understanding how to make the most of those assets. </w:t>
      </w:r>
    </w:p>
    <w:p w14:paraId="701B6C5B" w14:textId="3FD6C9D6" w:rsidR="00EB3F25" w:rsidRDefault="00CC19E0" w:rsidP="00CC19E0">
      <w:pPr>
        <w:pStyle w:val="ListParagraph"/>
        <w:spacing w:line="360" w:lineRule="auto"/>
        <w:rPr>
          <w:rFonts w:ascii="Times" w:hAnsi="Times"/>
        </w:rPr>
      </w:pPr>
      <w:r w:rsidRPr="00CC19E0">
        <w:rPr>
          <w:rFonts w:ascii="Times" w:hAnsi="Times"/>
        </w:rPr>
        <w:t>It is generally accepted that current rates that are at or slightly above the industry average are acceptable and may signal a higher risk of distress or default.</w:t>
      </w:r>
    </w:p>
    <w:p w14:paraId="2E09DE13" w14:textId="77777777" w:rsidR="00CC19E0" w:rsidRDefault="00CC19E0" w:rsidP="00CC19E0">
      <w:pPr>
        <w:pStyle w:val="ListParagraph"/>
        <w:spacing w:line="360" w:lineRule="auto"/>
        <w:rPr>
          <w:rFonts w:ascii="Times" w:hAnsi="Times"/>
        </w:rPr>
      </w:pPr>
    </w:p>
    <w:tbl>
      <w:tblPr>
        <w:tblStyle w:val="TableGrid"/>
        <w:tblW w:w="0" w:type="auto"/>
        <w:tblLook w:val="04A0" w:firstRow="1" w:lastRow="0" w:firstColumn="1" w:lastColumn="0" w:noHBand="0" w:noVBand="1"/>
      </w:tblPr>
      <w:tblGrid>
        <w:gridCol w:w="3005"/>
        <w:gridCol w:w="3005"/>
        <w:gridCol w:w="3006"/>
      </w:tblGrid>
      <w:tr w:rsidR="008A6615" w14:paraId="5E6C238B" w14:textId="77777777" w:rsidTr="00E45D0A">
        <w:tc>
          <w:tcPr>
            <w:tcW w:w="3005" w:type="dxa"/>
            <w:shd w:val="clear" w:color="auto" w:fill="FFFF00"/>
          </w:tcPr>
          <w:p w14:paraId="3FE5FF73" w14:textId="77777777" w:rsidR="008A6615" w:rsidRPr="008A6615" w:rsidRDefault="008A6615" w:rsidP="008A6615">
            <w:pPr>
              <w:pStyle w:val="ListParagraph"/>
              <w:numPr>
                <w:ilvl w:val="0"/>
                <w:numId w:val="7"/>
              </w:numPr>
              <w:spacing w:line="360" w:lineRule="auto"/>
              <w:jc w:val="center"/>
              <w:rPr>
                <w:rFonts w:ascii="Times" w:hAnsi="Times"/>
                <w:b/>
                <w:bCs/>
              </w:rPr>
            </w:pPr>
            <w:r w:rsidRPr="008A6615">
              <w:rPr>
                <w:rFonts w:ascii="Times" w:hAnsi="Times"/>
                <w:b/>
                <w:bCs/>
              </w:rPr>
              <w:t>RATIOS</w:t>
            </w:r>
          </w:p>
        </w:tc>
        <w:tc>
          <w:tcPr>
            <w:tcW w:w="3005" w:type="dxa"/>
            <w:shd w:val="clear" w:color="auto" w:fill="FFFF00"/>
          </w:tcPr>
          <w:p w14:paraId="7585AEA6" w14:textId="77777777" w:rsidR="008A6615" w:rsidRPr="00071DF9" w:rsidRDefault="008A6615" w:rsidP="008A6615">
            <w:pPr>
              <w:spacing w:line="360" w:lineRule="auto"/>
              <w:jc w:val="center"/>
              <w:rPr>
                <w:rFonts w:ascii="Times" w:hAnsi="Times"/>
                <w:b/>
                <w:bCs/>
              </w:rPr>
            </w:pPr>
            <w:r w:rsidRPr="00071DF9">
              <w:rPr>
                <w:rFonts w:ascii="Times" w:hAnsi="Times"/>
                <w:b/>
                <w:bCs/>
              </w:rPr>
              <w:t>2008</w:t>
            </w:r>
          </w:p>
        </w:tc>
        <w:tc>
          <w:tcPr>
            <w:tcW w:w="3006" w:type="dxa"/>
            <w:shd w:val="clear" w:color="auto" w:fill="FFFF00"/>
          </w:tcPr>
          <w:p w14:paraId="248A0846" w14:textId="77777777" w:rsidR="008A6615" w:rsidRPr="00071DF9" w:rsidRDefault="008A6615" w:rsidP="008A6615">
            <w:pPr>
              <w:spacing w:line="360" w:lineRule="auto"/>
              <w:jc w:val="center"/>
              <w:rPr>
                <w:rFonts w:ascii="Times" w:hAnsi="Times"/>
                <w:b/>
                <w:bCs/>
              </w:rPr>
            </w:pPr>
            <w:r w:rsidRPr="00071DF9">
              <w:rPr>
                <w:rFonts w:ascii="Times" w:hAnsi="Times"/>
                <w:b/>
                <w:bCs/>
              </w:rPr>
              <w:t>2021</w:t>
            </w:r>
          </w:p>
        </w:tc>
      </w:tr>
      <w:tr w:rsidR="008A6615" w14:paraId="32D45260" w14:textId="77777777" w:rsidTr="00E45D0A">
        <w:tc>
          <w:tcPr>
            <w:tcW w:w="3005" w:type="dxa"/>
          </w:tcPr>
          <w:p w14:paraId="759C7B96" w14:textId="25DC9C3E" w:rsidR="008A6615" w:rsidRDefault="008A6615" w:rsidP="008A6615">
            <w:pPr>
              <w:spacing w:line="360" w:lineRule="auto"/>
              <w:rPr>
                <w:rFonts w:ascii="Times" w:hAnsi="Times"/>
              </w:rPr>
            </w:pPr>
            <w:r>
              <w:rPr>
                <w:rFonts w:ascii="Times" w:hAnsi="Times"/>
              </w:rPr>
              <w:t>Current ratio</w:t>
            </w:r>
          </w:p>
        </w:tc>
        <w:tc>
          <w:tcPr>
            <w:tcW w:w="3005" w:type="dxa"/>
          </w:tcPr>
          <w:p w14:paraId="0F3E1F82" w14:textId="7AC0F2D1" w:rsidR="008A6615" w:rsidRDefault="0096159E" w:rsidP="008A6615">
            <w:pPr>
              <w:spacing w:line="360" w:lineRule="auto"/>
              <w:rPr>
                <w:rFonts w:ascii="Times" w:hAnsi="Times"/>
              </w:rPr>
            </w:pPr>
            <w:r>
              <w:rPr>
                <w:rFonts w:ascii="Times" w:hAnsi="Times"/>
              </w:rPr>
              <w:t>1.03%</w:t>
            </w:r>
          </w:p>
        </w:tc>
        <w:tc>
          <w:tcPr>
            <w:tcW w:w="3006" w:type="dxa"/>
          </w:tcPr>
          <w:p w14:paraId="5D4B74FF" w14:textId="7CCB46AD" w:rsidR="008A6615" w:rsidRDefault="0096159E" w:rsidP="008A6615">
            <w:pPr>
              <w:spacing w:line="360" w:lineRule="auto"/>
              <w:rPr>
                <w:rFonts w:ascii="Times" w:hAnsi="Times"/>
              </w:rPr>
            </w:pPr>
            <w:r>
              <w:rPr>
                <w:rFonts w:ascii="Times" w:hAnsi="Times"/>
              </w:rPr>
              <w:t>1.07%</w:t>
            </w:r>
          </w:p>
        </w:tc>
      </w:tr>
    </w:tbl>
    <w:p w14:paraId="293615F0" w14:textId="229744C3" w:rsidR="008A6615" w:rsidRPr="00071DF9" w:rsidRDefault="00EB745A" w:rsidP="008A6615">
      <w:pPr>
        <w:spacing w:line="360" w:lineRule="auto"/>
        <w:rPr>
          <w:rFonts w:ascii="Times" w:hAnsi="Times"/>
        </w:rPr>
      </w:pPr>
      <w:r>
        <w:rPr>
          <w:rFonts w:ascii="Times" w:hAnsi="Times"/>
        </w:rPr>
        <w:lastRenderedPageBreak/>
        <w:t>For a company is extremely important to have this ration above than 1.0 and Lloyds also during the crisis has reached it.</w:t>
      </w:r>
    </w:p>
    <w:p w14:paraId="0F7613E5" w14:textId="4FC0A97B" w:rsidR="008A6615" w:rsidRDefault="008A6615" w:rsidP="008A6615">
      <w:pPr>
        <w:pStyle w:val="ListParagraph"/>
        <w:spacing w:line="360" w:lineRule="auto"/>
        <w:rPr>
          <w:rFonts w:ascii="Times" w:hAnsi="Times"/>
        </w:rPr>
      </w:pPr>
    </w:p>
    <w:p w14:paraId="2D32BF95" w14:textId="77777777" w:rsidR="00BD4452" w:rsidRDefault="00BD4452" w:rsidP="008A6615">
      <w:pPr>
        <w:pStyle w:val="ListParagraph"/>
        <w:spacing w:line="360" w:lineRule="auto"/>
        <w:rPr>
          <w:rFonts w:ascii="Times" w:hAnsi="Times"/>
        </w:rPr>
      </w:pPr>
    </w:p>
    <w:p w14:paraId="74E09DFA" w14:textId="4FA06FDB" w:rsidR="001071C8" w:rsidRDefault="001071C8" w:rsidP="008A6615">
      <w:pPr>
        <w:pStyle w:val="ListParagraph"/>
        <w:numPr>
          <w:ilvl w:val="1"/>
          <w:numId w:val="14"/>
        </w:numPr>
        <w:spacing w:line="360" w:lineRule="auto"/>
        <w:rPr>
          <w:rFonts w:ascii="Times" w:hAnsi="Times"/>
        </w:rPr>
      </w:pPr>
      <w:r>
        <w:rPr>
          <w:rFonts w:ascii="Times" w:hAnsi="Times"/>
        </w:rPr>
        <w:t xml:space="preserve"> LEVERAGE</w:t>
      </w:r>
    </w:p>
    <w:p w14:paraId="3A097347" w14:textId="77777777" w:rsidR="00BD4452" w:rsidRDefault="00BD4452" w:rsidP="008A6615">
      <w:pPr>
        <w:spacing w:line="360" w:lineRule="auto"/>
        <w:rPr>
          <w:rFonts w:ascii="Times" w:hAnsi="Times"/>
        </w:rPr>
      </w:pPr>
      <w:r w:rsidRPr="00BD4452">
        <w:rPr>
          <w:rFonts w:ascii="Times" w:hAnsi="Times"/>
        </w:rPr>
        <w:t>Assessing Lloyd's financial stability and benchmarking it against other industry participants was the third goal of this survey. The solvency ratio was utilized in order to accomplish this goal.</w:t>
      </w:r>
    </w:p>
    <w:p w14:paraId="58F00C68" w14:textId="08121DAF" w:rsidR="008A6615" w:rsidRDefault="008A6615" w:rsidP="008A6615">
      <w:pPr>
        <w:spacing w:line="360" w:lineRule="auto"/>
        <w:rPr>
          <w:rFonts w:ascii="Times" w:hAnsi="Times"/>
        </w:rPr>
      </w:pPr>
      <w:r w:rsidRPr="008A6615">
        <w:rPr>
          <w:rFonts w:ascii="Times" w:hAnsi="Times"/>
        </w:rPr>
        <w:t>The results of the evaluation are as follows.</w:t>
      </w:r>
    </w:p>
    <w:p w14:paraId="659565CD" w14:textId="77777777" w:rsidR="008A6615" w:rsidRPr="008A6615" w:rsidRDefault="008A6615" w:rsidP="008A6615">
      <w:pPr>
        <w:spacing w:line="360" w:lineRule="auto"/>
        <w:rPr>
          <w:rFonts w:ascii="Times" w:hAnsi="Times"/>
        </w:rPr>
      </w:pPr>
    </w:p>
    <w:p w14:paraId="0CBDAE96" w14:textId="2035A4E3" w:rsidR="008A6615" w:rsidRDefault="008A6615" w:rsidP="008A6615">
      <w:pPr>
        <w:pStyle w:val="ListParagraph"/>
        <w:numPr>
          <w:ilvl w:val="0"/>
          <w:numId w:val="7"/>
        </w:numPr>
        <w:spacing w:line="360" w:lineRule="auto"/>
        <w:rPr>
          <w:rFonts w:ascii="Times" w:hAnsi="Times"/>
        </w:rPr>
      </w:pPr>
      <w:r>
        <w:rPr>
          <w:rFonts w:ascii="Times" w:hAnsi="Times"/>
        </w:rPr>
        <w:t>Debit to equity ratio = total debt/ total equity</w:t>
      </w:r>
    </w:p>
    <w:p w14:paraId="45036D35" w14:textId="54C81117" w:rsidR="00EB745A" w:rsidRDefault="00EB745A" w:rsidP="00EB745A">
      <w:pPr>
        <w:pStyle w:val="ListParagraph"/>
        <w:spacing w:line="360" w:lineRule="auto"/>
        <w:rPr>
          <w:rFonts w:ascii="Times" w:hAnsi="Times"/>
        </w:rPr>
      </w:pPr>
      <w:r>
        <w:rPr>
          <w:rFonts w:ascii="Times" w:hAnsi="Times"/>
        </w:rPr>
        <w:t>This ratio is used to calculate the weight of debt and financial liabilities relative to equity. This should be between 1 and 2 and how we are able to see on 2008 the ratio was extremely high. A reason for this enormous ratio could be the acquisition of HOBS.</w:t>
      </w:r>
    </w:p>
    <w:p w14:paraId="74433049" w14:textId="1A4481BD" w:rsidR="008A6615" w:rsidRDefault="008A6615" w:rsidP="008A6615">
      <w:pPr>
        <w:pStyle w:val="ListParagraph"/>
        <w:numPr>
          <w:ilvl w:val="0"/>
          <w:numId w:val="7"/>
        </w:numPr>
        <w:spacing w:line="360" w:lineRule="auto"/>
        <w:rPr>
          <w:rFonts w:ascii="Times" w:hAnsi="Times"/>
        </w:rPr>
      </w:pPr>
      <w:r>
        <w:rPr>
          <w:rFonts w:ascii="Times" w:hAnsi="Times"/>
        </w:rPr>
        <w:t>Debit capital ratio = total debt/ (total debt + total equity)</w:t>
      </w:r>
    </w:p>
    <w:p w14:paraId="5131F618" w14:textId="1EAD3923" w:rsidR="00EB745A" w:rsidRDefault="00EB745A" w:rsidP="00EB745A">
      <w:pPr>
        <w:pStyle w:val="ListParagraph"/>
        <w:spacing w:line="360" w:lineRule="auto"/>
        <w:rPr>
          <w:rFonts w:ascii="Times" w:hAnsi="Times"/>
        </w:rPr>
      </w:pPr>
      <w:r>
        <w:rPr>
          <w:rFonts w:ascii="Times" w:hAnsi="Times"/>
        </w:rPr>
        <w:t xml:space="preserve">This ratio shows id the company is able to meet its financial obligations. The normal value should be between 1 and 2. On 2008, </w:t>
      </w:r>
      <w:proofErr w:type="gramStart"/>
      <w:r>
        <w:rPr>
          <w:rFonts w:ascii="Times" w:hAnsi="Times"/>
        </w:rPr>
        <w:t>Lloyds</w:t>
      </w:r>
      <w:proofErr w:type="gramEnd"/>
      <w:r>
        <w:rPr>
          <w:rFonts w:ascii="Times" w:hAnsi="Times"/>
        </w:rPr>
        <w:t xml:space="preserve"> bank was with a debt ratio of 6.</w:t>
      </w:r>
      <w:r w:rsidR="0057375C">
        <w:rPr>
          <w:rFonts w:ascii="Times" w:hAnsi="Times"/>
        </w:rPr>
        <w:t>4</w:t>
      </w:r>
      <w:r>
        <w:rPr>
          <w:rFonts w:ascii="Times" w:hAnsi="Times"/>
        </w:rPr>
        <w:t>% and thi</w:t>
      </w:r>
      <w:r w:rsidR="0057375C">
        <w:rPr>
          <w:rFonts w:ascii="Times" w:hAnsi="Times"/>
        </w:rPr>
        <w:t>s was considered as high risk.</w:t>
      </w:r>
    </w:p>
    <w:p w14:paraId="7F3D6059" w14:textId="77777777" w:rsidR="008A6615" w:rsidRPr="008A6615" w:rsidRDefault="008A6615" w:rsidP="008A6615">
      <w:pPr>
        <w:spacing w:line="360" w:lineRule="auto"/>
        <w:ind w:left="360"/>
        <w:rPr>
          <w:rFonts w:ascii="Times" w:hAnsi="Times"/>
        </w:rPr>
      </w:pPr>
    </w:p>
    <w:tbl>
      <w:tblPr>
        <w:tblStyle w:val="TableGrid"/>
        <w:tblW w:w="0" w:type="auto"/>
        <w:tblLook w:val="04A0" w:firstRow="1" w:lastRow="0" w:firstColumn="1" w:lastColumn="0" w:noHBand="0" w:noVBand="1"/>
      </w:tblPr>
      <w:tblGrid>
        <w:gridCol w:w="3005"/>
        <w:gridCol w:w="3005"/>
        <w:gridCol w:w="3006"/>
      </w:tblGrid>
      <w:tr w:rsidR="008A6615" w14:paraId="55F9AD4D" w14:textId="77777777" w:rsidTr="00E45D0A">
        <w:tc>
          <w:tcPr>
            <w:tcW w:w="3005" w:type="dxa"/>
            <w:shd w:val="clear" w:color="auto" w:fill="FFFF00"/>
          </w:tcPr>
          <w:p w14:paraId="2CF6EAE5" w14:textId="77777777" w:rsidR="008A6615" w:rsidRPr="00071DF9" w:rsidRDefault="008A6615" w:rsidP="008A6615">
            <w:pPr>
              <w:spacing w:line="360" w:lineRule="auto"/>
              <w:jc w:val="center"/>
              <w:rPr>
                <w:rFonts w:ascii="Times" w:hAnsi="Times"/>
                <w:b/>
                <w:bCs/>
              </w:rPr>
            </w:pPr>
            <w:r w:rsidRPr="00071DF9">
              <w:rPr>
                <w:rFonts w:ascii="Times" w:hAnsi="Times"/>
                <w:b/>
                <w:bCs/>
              </w:rPr>
              <w:t>RATIOS</w:t>
            </w:r>
          </w:p>
        </w:tc>
        <w:tc>
          <w:tcPr>
            <w:tcW w:w="3005" w:type="dxa"/>
            <w:shd w:val="clear" w:color="auto" w:fill="FFFF00"/>
          </w:tcPr>
          <w:p w14:paraId="179E1BCD" w14:textId="77777777" w:rsidR="008A6615" w:rsidRPr="00071DF9" w:rsidRDefault="008A6615" w:rsidP="008A6615">
            <w:pPr>
              <w:spacing w:line="360" w:lineRule="auto"/>
              <w:jc w:val="center"/>
              <w:rPr>
                <w:rFonts w:ascii="Times" w:hAnsi="Times"/>
                <w:b/>
                <w:bCs/>
              </w:rPr>
            </w:pPr>
            <w:r w:rsidRPr="00071DF9">
              <w:rPr>
                <w:rFonts w:ascii="Times" w:hAnsi="Times"/>
                <w:b/>
                <w:bCs/>
              </w:rPr>
              <w:t>2008</w:t>
            </w:r>
          </w:p>
        </w:tc>
        <w:tc>
          <w:tcPr>
            <w:tcW w:w="3006" w:type="dxa"/>
            <w:shd w:val="clear" w:color="auto" w:fill="FFFF00"/>
          </w:tcPr>
          <w:p w14:paraId="279D3B53" w14:textId="77777777" w:rsidR="008A6615" w:rsidRPr="00071DF9" w:rsidRDefault="008A6615" w:rsidP="008A6615">
            <w:pPr>
              <w:spacing w:line="360" w:lineRule="auto"/>
              <w:jc w:val="center"/>
              <w:rPr>
                <w:rFonts w:ascii="Times" w:hAnsi="Times"/>
                <w:b/>
                <w:bCs/>
              </w:rPr>
            </w:pPr>
            <w:r w:rsidRPr="00071DF9">
              <w:rPr>
                <w:rFonts w:ascii="Times" w:hAnsi="Times"/>
                <w:b/>
                <w:bCs/>
              </w:rPr>
              <w:t>2021</w:t>
            </w:r>
          </w:p>
        </w:tc>
      </w:tr>
      <w:tr w:rsidR="008A6615" w14:paraId="2F5F4A81" w14:textId="77777777" w:rsidTr="00E45D0A">
        <w:tc>
          <w:tcPr>
            <w:tcW w:w="3005" w:type="dxa"/>
          </w:tcPr>
          <w:p w14:paraId="667A4E1E" w14:textId="0734C4D5" w:rsidR="008A6615" w:rsidRDefault="008A6615" w:rsidP="008A6615">
            <w:pPr>
              <w:spacing w:line="360" w:lineRule="auto"/>
              <w:rPr>
                <w:rFonts w:ascii="Times" w:hAnsi="Times"/>
              </w:rPr>
            </w:pPr>
            <w:r>
              <w:rPr>
                <w:rFonts w:ascii="Times" w:hAnsi="Times"/>
              </w:rPr>
              <w:t>Debit to equity ratio</w:t>
            </w:r>
          </w:p>
        </w:tc>
        <w:tc>
          <w:tcPr>
            <w:tcW w:w="3005" w:type="dxa"/>
          </w:tcPr>
          <w:p w14:paraId="7D13CB5B" w14:textId="0E482630" w:rsidR="008A6615" w:rsidRDefault="0075423D" w:rsidP="008A6615">
            <w:pPr>
              <w:spacing w:line="360" w:lineRule="auto"/>
              <w:rPr>
                <w:rFonts w:ascii="Times" w:hAnsi="Times"/>
              </w:rPr>
            </w:pPr>
            <w:r>
              <w:rPr>
                <w:rFonts w:ascii="Times" w:hAnsi="Times"/>
              </w:rPr>
              <w:t>7.23%</w:t>
            </w:r>
          </w:p>
        </w:tc>
        <w:tc>
          <w:tcPr>
            <w:tcW w:w="3006" w:type="dxa"/>
          </w:tcPr>
          <w:p w14:paraId="7B6D68ED" w14:textId="58605C95" w:rsidR="008A6615" w:rsidRDefault="0075423D" w:rsidP="008A6615">
            <w:pPr>
              <w:spacing w:line="360" w:lineRule="auto"/>
              <w:rPr>
                <w:rFonts w:ascii="Times" w:hAnsi="Times"/>
              </w:rPr>
            </w:pPr>
            <w:r>
              <w:rPr>
                <w:rFonts w:ascii="Times" w:hAnsi="Times"/>
              </w:rPr>
              <w:t>1.96%</w:t>
            </w:r>
          </w:p>
        </w:tc>
      </w:tr>
      <w:tr w:rsidR="008A6615" w14:paraId="713273B9" w14:textId="77777777" w:rsidTr="00E45D0A">
        <w:tc>
          <w:tcPr>
            <w:tcW w:w="3005" w:type="dxa"/>
          </w:tcPr>
          <w:p w14:paraId="75B9FAD2" w14:textId="6EF58D71" w:rsidR="008A6615" w:rsidRDefault="008A6615" w:rsidP="008A6615">
            <w:pPr>
              <w:spacing w:line="360" w:lineRule="auto"/>
              <w:rPr>
                <w:rFonts w:ascii="Times" w:hAnsi="Times"/>
              </w:rPr>
            </w:pPr>
            <w:r>
              <w:rPr>
                <w:rFonts w:ascii="Times" w:hAnsi="Times"/>
              </w:rPr>
              <w:t>Debit capital ratio</w:t>
            </w:r>
          </w:p>
        </w:tc>
        <w:tc>
          <w:tcPr>
            <w:tcW w:w="3005" w:type="dxa"/>
          </w:tcPr>
          <w:p w14:paraId="7AD840D3" w14:textId="7F7B79B2" w:rsidR="008A6615" w:rsidRDefault="0075423D" w:rsidP="008A6615">
            <w:pPr>
              <w:spacing w:line="360" w:lineRule="auto"/>
              <w:rPr>
                <w:rFonts w:ascii="Times" w:hAnsi="Times"/>
              </w:rPr>
            </w:pPr>
            <w:r>
              <w:rPr>
                <w:rFonts w:ascii="Times" w:hAnsi="Times"/>
              </w:rPr>
              <w:t>6.4%</w:t>
            </w:r>
          </w:p>
        </w:tc>
        <w:tc>
          <w:tcPr>
            <w:tcW w:w="3006" w:type="dxa"/>
          </w:tcPr>
          <w:p w14:paraId="553BC647" w14:textId="0FED231A" w:rsidR="008A6615" w:rsidRDefault="00EB745A" w:rsidP="008A6615">
            <w:pPr>
              <w:spacing w:line="360" w:lineRule="auto"/>
              <w:rPr>
                <w:rFonts w:ascii="Times" w:hAnsi="Times"/>
              </w:rPr>
            </w:pPr>
            <w:r>
              <w:rPr>
                <w:rFonts w:ascii="Times" w:hAnsi="Times"/>
              </w:rPr>
              <w:t>1.79%</w:t>
            </w:r>
          </w:p>
        </w:tc>
      </w:tr>
    </w:tbl>
    <w:p w14:paraId="0BF32C07" w14:textId="77777777" w:rsidR="008A6615" w:rsidRPr="00071DF9" w:rsidRDefault="008A6615" w:rsidP="008A6615">
      <w:pPr>
        <w:spacing w:line="360" w:lineRule="auto"/>
        <w:rPr>
          <w:rFonts w:ascii="Times" w:hAnsi="Times"/>
        </w:rPr>
      </w:pPr>
    </w:p>
    <w:p w14:paraId="4FA548DF" w14:textId="4557622F" w:rsidR="006179BD" w:rsidRDefault="006179BD" w:rsidP="002D1212">
      <w:pPr>
        <w:ind w:left="720"/>
        <w:rPr>
          <w:rFonts w:ascii="Times" w:hAnsi="Times"/>
        </w:rPr>
      </w:pPr>
    </w:p>
    <w:p w14:paraId="4354F2DD" w14:textId="719167C2" w:rsidR="00ED2CD4" w:rsidRDefault="00ED2CD4" w:rsidP="00BD4452">
      <w:pPr>
        <w:pStyle w:val="ListParagraph"/>
        <w:numPr>
          <w:ilvl w:val="0"/>
          <w:numId w:val="14"/>
        </w:numPr>
        <w:spacing w:line="360" w:lineRule="auto"/>
        <w:rPr>
          <w:rFonts w:ascii="Times" w:hAnsi="Times"/>
        </w:rPr>
      </w:pPr>
      <w:r>
        <w:rPr>
          <w:rFonts w:ascii="Times" w:hAnsi="Times"/>
        </w:rPr>
        <w:t>CONCLUSION</w:t>
      </w:r>
    </w:p>
    <w:p w14:paraId="5D3BE7E5" w14:textId="02E2ABA7" w:rsidR="006179BD" w:rsidRDefault="00ED2CD4" w:rsidP="004D2678">
      <w:pPr>
        <w:spacing w:line="360" w:lineRule="auto"/>
        <w:rPr>
          <w:rFonts w:ascii="Times" w:hAnsi="Times"/>
        </w:rPr>
      </w:pPr>
      <w:r w:rsidRPr="00ED2CD4">
        <w:rPr>
          <w:rFonts w:ascii="Times" w:hAnsi="Times"/>
        </w:rPr>
        <w:t xml:space="preserve">The most significant financial effects on the U.S. came from the 2007–2008 economic crisis. S. economic situation since the Great Depression. Mortgage defaults and incorrect CDS pricing were just two of the many causes. Given that the crisis put the nation's financial system in jeopardy, it is necessary to reflect </w:t>
      </w:r>
      <w:r w:rsidR="004D2678">
        <w:rPr>
          <w:rFonts w:ascii="Times" w:hAnsi="Times"/>
        </w:rPr>
        <w:t>on what we learnt from this.</w:t>
      </w:r>
    </w:p>
    <w:p w14:paraId="50920264" w14:textId="77777777" w:rsidR="00CC19E0" w:rsidRPr="00CC19E0" w:rsidRDefault="00CC19E0" w:rsidP="00CC19E0">
      <w:pPr>
        <w:spacing w:line="360" w:lineRule="auto"/>
        <w:rPr>
          <w:rFonts w:ascii="Times" w:hAnsi="Times"/>
        </w:rPr>
      </w:pPr>
      <w:r w:rsidRPr="00CC19E0">
        <w:rPr>
          <w:rFonts w:ascii="Times" w:hAnsi="Times"/>
        </w:rPr>
        <w:t xml:space="preserve">Many factors contributed to an excessive level of comfort, including high levels of debt, borrowers' uncertainty about their ability to repay debt, and the conviction that housing prices would always rise. </w:t>
      </w:r>
    </w:p>
    <w:p w14:paraId="0C729604" w14:textId="77777777" w:rsidR="00CC19E0" w:rsidRPr="00CC19E0" w:rsidRDefault="00CC19E0" w:rsidP="00CC19E0">
      <w:pPr>
        <w:spacing w:line="360" w:lineRule="auto"/>
        <w:rPr>
          <w:rFonts w:ascii="Times" w:hAnsi="Times"/>
        </w:rPr>
      </w:pPr>
      <w:r w:rsidRPr="00CC19E0">
        <w:rPr>
          <w:rFonts w:ascii="Times" w:hAnsi="Times"/>
        </w:rPr>
        <w:lastRenderedPageBreak/>
        <w:t xml:space="preserve">Spreading the risk outside of the protected banking system or using "insurance" methods like credit default swaps did not result in risk diversification. An understanding of risk is necessary for every aspect of the financial system. </w:t>
      </w:r>
    </w:p>
    <w:p w14:paraId="4132411C" w14:textId="77777777" w:rsidR="00CC19E0" w:rsidRDefault="00CC19E0" w:rsidP="00CC19E0">
      <w:pPr>
        <w:spacing w:line="360" w:lineRule="auto"/>
        <w:rPr>
          <w:rFonts w:ascii="Times" w:hAnsi="Times"/>
        </w:rPr>
      </w:pPr>
      <w:r w:rsidRPr="00CC19E0">
        <w:rPr>
          <w:rFonts w:ascii="Times" w:hAnsi="Times"/>
        </w:rPr>
        <w:t>One strategy for achieving this is the Dodd-Frank Act. Short-term choices should be carefully thought out since they may have long-term effects.</w:t>
      </w:r>
    </w:p>
    <w:p w14:paraId="40F46FB6" w14:textId="77777777" w:rsidR="00CC19E0" w:rsidRDefault="00CC19E0" w:rsidP="00CC19E0">
      <w:pPr>
        <w:spacing w:line="360" w:lineRule="auto"/>
        <w:rPr>
          <w:rFonts w:ascii="Times" w:hAnsi="Times"/>
        </w:rPr>
      </w:pPr>
    </w:p>
    <w:p w14:paraId="33D57755" w14:textId="77777777" w:rsidR="00CC19E0" w:rsidRDefault="00CC19E0" w:rsidP="00CC19E0">
      <w:pPr>
        <w:spacing w:line="360" w:lineRule="auto"/>
        <w:rPr>
          <w:rFonts w:ascii="Times" w:hAnsi="Times"/>
        </w:rPr>
      </w:pPr>
    </w:p>
    <w:p w14:paraId="535E5AD4" w14:textId="77777777" w:rsidR="00CC19E0" w:rsidRDefault="00CC19E0" w:rsidP="00CC19E0">
      <w:pPr>
        <w:spacing w:line="360" w:lineRule="auto"/>
        <w:rPr>
          <w:rFonts w:ascii="Times" w:hAnsi="Times"/>
        </w:rPr>
      </w:pPr>
    </w:p>
    <w:p w14:paraId="5BC58598" w14:textId="77777777" w:rsidR="00CC19E0" w:rsidRDefault="00CC19E0" w:rsidP="00CC19E0">
      <w:pPr>
        <w:spacing w:line="360" w:lineRule="auto"/>
        <w:rPr>
          <w:rFonts w:ascii="Times" w:hAnsi="Times"/>
        </w:rPr>
      </w:pPr>
    </w:p>
    <w:p w14:paraId="5E916B15" w14:textId="77777777" w:rsidR="00CC19E0" w:rsidRDefault="00CC19E0" w:rsidP="00CC19E0">
      <w:pPr>
        <w:spacing w:line="360" w:lineRule="auto"/>
        <w:rPr>
          <w:rFonts w:ascii="Times" w:hAnsi="Times"/>
        </w:rPr>
      </w:pPr>
    </w:p>
    <w:p w14:paraId="44CB8709" w14:textId="77777777" w:rsidR="00CC19E0" w:rsidRDefault="00CC19E0" w:rsidP="00CC19E0">
      <w:pPr>
        <w:spacing w:line="360" w:lineRule="auto"/>
        <w:rPr>
          <w:rFonts w:ascii="Times" w:hAnsi="Times"/>
        </w:rPr>
      </w:pPr>
    </w:p>
    <w:p w14:paraId="0BB3794B" w14:textId="77777777" w:rsidR="00CC19E0" w:rsidRDefault="00CC19E0" w:rsidP="00CC19E0">
      <w:pPr>
        <w:spacing w:line="360" w:lineRule="auto"/>
        <w:rPr>
          <w:rFonts w:ascii="Times" w:hAnsi="Times"/>
        </w:rPr>
      </w:pPr>
    </w:p>
    <w:p w14:paraId="79186C19" w14:textId="77777777" w:rsidR="00CC19E0" w:rsidRDefault="00CC19E0" w:rsidP="00CC19E0">
      <w:pPr>
        <w:spacing w:line="360" w:lineRule="auto"/>
        <w:rPr>
          <w:rFonts w:ascii="Times" w:hAnsi="Times"/>
        </w:rPr>
      </w:pPr>
    </w:p>
    <w:p w14:paraId="1BC37907" w14:textId="77777777" w:rsidR="00CC19E0" w:rsidRDefault="00CC19E0" w:rsidP="00CC19E0">
      <w:pPr>
        <w:spacing w:line="360" w:lineRule="auto"/>
        <w:rPr>
          <w:rFonts w:ascii="Times" w:hAnsi="Times"/>
        </w:rPr>
      </w:pPr>
    </w:p>
    <w:p w14:paraId="60E4C9C0" w14:textId="77777777" w:rsidR="00CC19E0" w:rsidRDefault="00CC19E0" w:rsidP="00CC19E0">
      <w:pPr>
        <w:spacing w:line="360" w:lineRule="auto"/>
        <w:rPr>
          <w:rFonts w:ascii="Times" w:hAnsi="Times"/>
        </w:rPr>
      </w:pPr>
    </w:p>
    <w:p w14:paraId="1AC05C92" w14:textId="77777777" w:rsidR="00CC19E0" w:rsidRDefault="00CC19E0" w:rsidP="00CC19E0">
      <w:pPr>
        <w:spacing w:line="360" w:lineRule="auto"/>
        <w:rPr>
          <w:rFonts w:ascii="Times" w:hAnsi="Times"/>
        </w:rPr>
      </w:pPr>
    </w:p>
    <w:p w14:paraId="45BB8A2A" w14:textId="77777777" w:rsidR="00CC19E0" w:rsidRDefault="00CC19E0" w:rsidP="00CC19E0">
      <w:pPr>
        <w:spacing w:line="360" w:lineRule="auto"/>
        <w:rPr>
          <w:rFonts w:ascii="Times" w:hAnsi="Times"/>
        </w:rPr>
      </w:pPr>
    </w:p>
    <w:p w14:paraId="71235897" w14:textId="77777777" w:rsidR="00CC19E0" w:rsidRDefault="00CC19E0" w:rsidP="00CC19E0">
      <w:pPr>
        <w:spacing w:line="360" w:lineRule="auto"/>
        <w:rPr>
          <w:rFonts w:ascii="Times" w:hAnsi="Times"/>
        </w:rPr>
      </w:pPr>
    </w:p>
    <w:p w14:paraId="554B4A05" w14:textId="77777777" w:rsidR="00CC19E0" w:rsidRDefault="00CC19E0" w:rsidP="00CC19E0">
      <w:pPr>
        <w:spacing w:line="360" w:lineRule="auto"/>
        <w:rPr>
          <w:rFonts w:ascii="Times" w:hAnsi="Times"/>
        </w:rPr>
      </w:pPr>
    </w:p>
    <w:p w14:paraId="3A3D8EAA" w14:textId="77777777" w:rsidR="00CC19E0" w:rsidRDefault="00CC19E0" w:rsidP="00CC19E0">
      <w:pPr>
        <w:spacing w:line="360" w:lineRule="auto"/>
        <w:rPr>
          <w:rFonts w:ascii="Times" w:hAnsi="Times"/>
        </w:rPr>
      </w:pPr>
    </w:p>
    <w:p w14:paraId="47BD168C" w14:textId="77777777" w:rsidR="00CC19E0" w:rsidRDefault="00CC19E0" w:rsidP="00CC19E0">
      <w:pPr>
        <w:spacing w:line="360" w:lineRule="auto"/>
        <w:rPr>
          <w:rFonts w:ascii="Times" w:hAnsi="Times"/>
        </w:rPr>
      </w:pPr>
    </w:p>
    <w:p w14:paraId="50538915" w14:textId="77777777" w:rsidR="00CC19E0" w:rsidRDefault="00CC19E0" w:rsidP="00CC19E0">
      <w:pPr>
        <w:spacing w:line="360" w:lineRule="auto"/>
        <w:rPr>
          <w:rFonts w:ascii="Times" w:hAnsi="Times"/>
        </w:rPr>
      </w:pPr>
    </w:p>
    <w:p w14:paraId="43F447BB" w14:textId="77777777" w:rsidR="00CC19E0" w:rsidRDefault="00CC19E0" w:rsidP="00CC19E0">
      <w:pPr>
        <w:spacing w:line="360" w:lineRule="auto"/>
        <w:rPr>
          <w:rFonts w:ascii="Times" w:hAnsi="Times"/>
        </w:rPr>
      </w:pPr>
    </w:p>
    <w:p w14:paraId="386527CE" w14:textId="77777777" w:rsidR="00CC19E0" w:rsidRDefault="00CC19E0" w:rsidP="00CC19E0">
      <w:pPr>
        <w:spacing w:line="360" w:lineRule="auto"/>
        <w:rPr>
          <w:rFonts w:ascii="Times" w:hAnsi="Times"/>
        </w:rPr>
      </w:pPr>
    </w:p>
    <w:p w14:paraId="06D6E6C8" w14:textId="77777777" w:rsidR="00CC19E0" w:rsidRDefault="00CC19E0" w:rsidP="00CC19E0">
      <w:pPr>
        <w:spacing w:line="360" w:lineRule="auto"/>
        <w:rPr>
          <w:rFonts w:ascii="Times" w:hAnsi="Times"/>
        </w:rPr>
      </w:pPr>
    </w:p>
    <w:p w14:paraId="6E278D18" w14:textId="77777777" w:rsidR="00CC19E0" w:rsidRDefault="00CC19E0" w:rsidP="00CC19E0">
      <w:pPr>
        <w:spacing w:line="360" w:lineRule="auto"/>
        <w:rPr>
          <w:rFonts w:ascii="Times" w:hAnsi="Times"/>
        </w:rPr>
      </w:pPr>
    </w:p>
    <w:p w14:paraId="452B5351" w14:textId="77777777" w:rsidR="00CC19E0" w:rsidRDefault="00CC19E0" w:rsidP="00CC19E0">
      <w:pPr>
        <w:spacing w:line="360" w:lineRule="auto"/>
        <w:rPr>
          <w:rFonts w:ascii="Times" w:hAnsi="Times"/>
        </w:rPr>
      </w:pPr>
    </w:p>
    <w:p w14:paraId="5F6628FF" w14:textId="77777777" w:rsidR="00CC19E0" w:rsidRDefault="00CC19E0" w:rsidP="00CC19E0">
      <w:pPr>
        <w:spacing w:line="360" w:lineRule="auto"/>
        <w:rPr>
          <w:rFonts w:ascii="Times" w:hAnsi="Times"/>
        </w:rPr>
      </w:pPr>
    </w:p>
    <w:p w14:paraId="3E69F3BB" w14:textId="77777777" w:rsidR="00CC19E0" w:rsidRDefault="00CC19E0" w:rsidP="00CC19E0">
      <w:pPr>
        <w:spacing w:line="360" w:lineRule="auto"/>
        <w:rPr>
          <w:rFonts w:ascii="Times" w:hAnsi="Times"/>
        </w:rPr>
      </w:pPr>
    </w:p>
    <w:p w14:paraId="0FD9D56F" w14:textId="77777777" w:rsidR="00CC19E0" w:rsidRDefault="00CC19E0" w:rsidP="00CC19E0">
      <w:pPr>
        <w:spacing w:line="360" w:lineRule="auto"/>
        <w:rPr>
          <w:rFonts w:ascii="Times" w:hAnsi="Times"/>
        </w:rPr>
      </w:pPr>
    </w:p>
    <w:p w14:paraId="7F9AF50E" w14:textId="77777777" w:rsidR="00CC19E0" w:rsidRDefault="00CC19E0" w:rsidP="00CC19E0">
      <w:pPr>
        <w:spacing w:line="360" w:lineRule="auto"/>
        <w:rPr>
          <w:rFonts w:ascii="Times" w:hAnsi="Times"/>
        </w:rPr>
      </w:pPr>
    </w:p>
    <w:p w14:paraId="11FA6202" w14:textId="77777777" w:rsidR="00CC19E0" w:rsidRDefault="00CC19E0" w:rsidP="00CC19E0">
      <w:pPr>
        <w:spacing w:line="360" w:lineRule="auto"/>
        <w:rPr>
          <w:rFonts w:ascii="Times" w:hAnsi="Times"/>
        </w:rPr>
      </w:pPr>
    </w:p>
    <w:p w14:paraId="71CD196C" w14:textId="77777777" w:rsidR="00CC19E0" w:rsidRDefault="00CC19E0" w:rsidP="00CC19E0">
      <w:pPr>
        <w:spacing w:line="360" w:lineRule="auto"/>
        <w:rPr>
          <w:rFonts w:ascii="Times" w:hAnsi="Times"/>
        </w:rPr>
      </w:pPr>
    </w:p>
    <w:p w14:paraId="36408DA9" w14:textId="77777777" w:rsidR="00CC19E0" w:rsidRDefault="00CC19E0" w:rsidP="00CC19E0">
      <w:pPr>
        <w:spacing w:line="360" w:lineRule="auto"/>
        <w:rPr>
          <w:rFonts w:ascii="Times" w:hAnsi="Times"/>
        </w:rPr>
      </w:pPr>
    </w:p>
    <w:p w14:paraId="1B7E2E6E" w14:textId="0BB4F981" w:rsidR="006F6436" w:rsidRPr="00CC19E0" w:rsidRDefault="006F6436" w:rsidP="00CC19E0">
      <w:pPr>
        <w:pStyle w:val="ListParagraph"/>
        <w:numPr>
          <w:ilvl w:val="0"/>
          <w:numId w:val="14"/>
        </w:numPr>
        <w:spacing w:line="360" w:lineRule="auto"/>
        <w:rPr>
          <w:rFonts w:ascii="Times" w:hAnsi="Times"/>
        </w:rPr>
      </w:pPr>
      <w:r w:rsidRPr="00CC19E0">
        <w:rPr>
          <w:rFonts w:ascii="Times" w:hAnsi="Times"/>
        </w:rPr>
        <w:t>REFERENCES</w:t>
      </w:r>
    </w:p>
    <w:p w14:paraId="5F25860D" w14:textId="77777777" w:rsidR="00BD4452" w:rsidRPr="006F6436" w:rsidRDefault="00BD4452" w:rsidP="006F6436">
      <w:pPr>
        <w:pStyle w:val="ListParagraph"/>
        <w:spacing w:line="360" w:lineRule="auto"/>
        <w:ind w:left="360"/>
        <w:rPr>
          <w:rFonts w:ascii="Times" w:hAnsi="Times"/>
        </w:rPr>
      </w:pPr>
    </w:p>
    <w:p w14:paraId="4B87BCA5" w14:textId="29F20931" w:rsidR="00CA6E1E" w:rsidRPr="00CA6E1E" w:rsidRDefault="00CA6E1E" w:rsidP="00CA6E1E">
      <w:pPr>
        <w:pStyle w:val="ListParagraph"/>
        <w:ind w:left="360"/>
        <w:rPr>
          <w:rFonts w:ascii="Times" w:hAnsi="Times"/>
        </w:rPr>
      </w:pPr>
    </w:p>
    <w:sectPr w:rsidR="00CA6E1E" w:rsidRPr="00CA6E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w:panose1 w:val="00000500000000020000"/>
    <w:charset w:val="00"/>
    <w:family w:val="auto"/>
    <w:pitch w:val="variable"/>
    <w:sig w:usb0="E00002FF" w:usb1="5000205A" w:usb2="00000000" w:usb3="00000000" w:csb0="000001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3" w:usb1="10000000" w:usb2="00000000" w:usb3="00000000" w:csb0="800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D7232"/>
    <w:multiLevelType w:val="hybridMultilevel"/>
    <w:tmpl w:val="9884742A"/>
    <w:lvl w:ilvl="0" w:tplc="506A7AC6">
      <w:start w:val="2"/>
      <w:numFmt w:val="bullet"/>
      <w:lvlText w:val="-"/>
      <w:lvlJc w:val="left"/>
      <w:pPr>
        <w:ind w:left="1080" w:hanging="360"/>
      </w:pPr>
      <w:rPr>
        <w:rFonts w:ascii="Times" w:eastAsiaTheme="minorHAnsi" w:hAnsi="Times" w:cstheme="minorBidi"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092640B"/>
    <w:multiLevelType w:val="hybridMultilevel"/>
    <w:tmpl w:val="6DC6C37C"/>
    <w:lvl w:ilvl="0" w:tplc="D15A1630">
      <w:start w:val="2"/>
      <w:numFmt w:val="bullet"/>
      <w:lvlText w:val="-"/>
      <w:lvlJc w:val="left"/>
      <w:pPr>
        <w:ind w:left="720" w:hanging="360"/>
      </w:pPr>
      <w:rPr>
        <w:rFonts w:ascii="Times" w:eastAsiaTheme="minorHAnsi" w:hAnsi="Times" w:cstheme="minorBid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D257B9"/>
    <w:multiLevelType w:val="multilevel"/>
    <w:tmpl w:val="27BCE106"/>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174D0B52"/>
    <w:multiLevelType w:val="multilevel"/>
    <w:tmpl w:val="4CB04FF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680" w:hanging="216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4" w15:restartNumberingAfterBreak="0">
    <w:nsid w:val="1A101BB0"/>
    <w:multiLevelType w:val="hybridMultilevel"/>
    <w:tmpl w:val="2A706ACE"/>
    <w:lvl w:ilvl="0" w:tplc="15BAEFF4">
      <w:start w:val="2"/>
      <w:numFmt w:val="bullet"/>
      <w:lvlText w:val="-"/>
      <w:lvlJc w:val="left"/>
      <w:pPr>
        <w:ind w:left="720" w:hanging="360"/>
      </w:pPr>
      <w:rPr>
        <w:rFonts w:ascii="Times" w:eastAsiaTheme="minorHAnsi" w:hAnsi="Times" w:cstheme="minorBid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9B5AF2"/>
    <w:multiLevelType w:val="hybridMultilevel"/>
    <w:tmpl w:val="7A14C9A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9B9569D"/>
    <w:multiLevelType w:val="hybridMultilevel"/>
    <w:tmpl w:val="9CE0EA2E"/>
    <w:lvl w:ilvl="0" w:tplc="A06E1D40">
      <w:start w:val="2"/>
      <w:numFmt w:val="bullet"/>
      <w:lvlText w:val="-"/>
      <w:lvlJc w:val="left"/>
      <w:pPr>
        <w:ind w:left="720" w:hanging="360"/>
      </w:pPr>
      <w:rPr>
        <w:rFonts w:ascii="Times" w:eastAsiaTheme="minorHAnsi" w:hAnsi="Times" w:cstheme="minorBid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9B6995"/>
    <w:multiLevelType w:val="hybridMultilevel"/>
    <w:tmpl w:val="07D4C07C"/>
    <w:lvl w:ilvl="0" w:tplc="00400E12">
      <w:start w:val="2"/>
      <w:numFmt w:val="bullet"/>
      <w:lvlText w:val="-"/>
      <w:lvlJc w:val="left"/>
      <w:pPr>
        <w:ind w:left="720" w:hanging="360"/>
      </w:pPr>
      <w:rPr>
        <w:rFonts w:ascii="Times" w:eastAsiaTheme="minorHAnsi" w:hAnsi="Times" w:cstheme="minorBidi"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B57B6C"/>
    <w:multiLevelType w:val="hybridMultilevel"/>
    <w:tmpl w:val="1FA2F7A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97877A6"/>
    <w:multiLevelType w:val="hybridMultilevel"/>
    <w:tmpl w:val="10D2B250"/>
    <w:lvl w:ilvl="0" w:tplc="D3FE352A">
      <w:start w:val="2"/>
      <w:numFmt w:val="bullet"/>
      <w:lvlText w:val="-"/>
      <w:lvlJc w:val="left"/>
      <w:pPr>
        <w:ind w:left="1080" w:hanging="360"/>
      </w:pPr>
      <w:rPr>
        <w:rFonts w:ascii="Times" w:eastAsiaTheme="minorHAnsi" w:hAnsi="Times" w:cstheme="minorBidi"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D2B4A8B"/>
    <w:multiLevelType w:val="multilevel"/>
    <w:tmpl w:val="0AC0D0B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D540376"/>
    <w:multiLevelType w:val="hybridMultilevel"/>
    <w:tmpl w:val="3736995E"/>
    <w:lvl w:ilvl="0" w:tplc="17A0BE26">
      <w:start w:val="2"/>
      <w:numFmt w:val="bullet"/>
      <w:lvlText w:val="-"/>
      <w:lvlJc w:val="left"/>
      <w:pPr>
        <w:ind w:left="1080" w:hanging="360"/>
      </w:pPr>
      <w:rPr>
        <w:rFonts w:ascii="Times" w:eastAsiaTheme="minorHAnsi" w:hAnsi="Times" w:cstheme="minorBidi"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5434141C"/>
    <w:multiLevelType w:val="multilevel"/>
    <w:tmpl w:val="3598731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C8D498E"/>
    <w:multiLevelType w:val="hybridMultilevel"/>
    <w:tmpl w:val="FA8800E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657811783">
    <w:abstractNumId w:val="8"/>
  </w:num>
  <w:num w:numId="2" w16cid:durableId="1556239821">
    <w:abstractNumId w:val="3"/>
  </w:num>
  <w:num w:numId="3" w16cid:durableId="899831094">
    <w:abstractNumId w:val="2"/>
  </w:num>
  <w:num w:numId="4" w16cid:durableId="1963463220">
    <w:abstractNumId w:val="12"/>
  </w:num>
  <w:num w:numId="5" w16cid:durableId="1428305462">
    <w:abstractNumId w:val="1"/>
  </w:num>
  <w:num w:numId="6" w16cid:durableId="40398512">
    <w:abstractNumId w:val="0"/>
  </w:num>
  <w:num w:numId="7" w16cid:durableId="172501534">
    <w:abstractNumId w:val="4"/>
  </w:num>
  <w:num w:numId="8" w16cid:durableId="765733399">
    <w:abstractNumId w:val="9"/>
  </w:num>
  <w:num w:numId="9" w16cid:durableId="235553042">
    <w:abstractNumId w:val="7"/>
  </w:num>
  <w:num w:numId="10" w16cid:durableId="44528856">
    <w:abstractNumId w:val="6"/>
  </w:num>
  <w:num w:numId="11" w16cid:durableId="1801192921">
    <w:abstractNumId w:val="11"/>
  </w:num>
  <w:num w:numId="12" w16cid:durableId="628442612">
    <w:abstractNumId w:val="13"/>
  </w:num>
  <w:num w:numId="13" w16cid:durableId="2067020443">
    <w:abstractNumId w:val="5"/>
  </w:num>
  <w:num w:numId="14" w16cid:durableId="104386845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94B"/>
    <w:rsid w:val="000076AA"/>
    <w:rsid w:val="0004247C"/>
    <w:rsid w:val="0004708A"/>
    <w:rsid w:val="00053E12"/>
    <w:rsid w:val="00071A2A"/>
    <w:rsid w:val="00071DF9"/>
    <w:rsid w:val="000B683E"/>
    <w:rsid w:val="001071C8"/>
    <w:rsid w:val="0017739C"/>
    <w:rsid w:val="0022394B"/>
    <w:rsid w:val="002D1212"/>
    <w:rsid w:val="00470428"/>
    <w:rsid w:val="004B5EB6"/>
    <w:rsid w:val="004D2678"/>
    <w:rsid w:val="005159AA"/>
    <w:rsid w:val="00545C0E"/>
    <w:rsid w:val="0057375C"/>
    <w:rsid w:val="005A36BB"/>
    <w:rsid w:val="006179BD"/>
    <w:rsid w:val="006B4F4A"/>
    <w:rsid w:val="006F6436"/>
    <w:rsid w:val="0075423D"/>
    <w:rsid w:val="0075699D"/>
    <w:rsid w:val="00772E23"/>
    <w:rsid w:val="007B35BE"/>
    <w:rsid w:val="007E5866"/>
    <w:rsid w:val="008501C0"/>
    <w:rsid w:val="00857837"/>
    <w:rsid w:val="008A6615"/>
    <w:rsid w:val="008F46E8"/>
    <w:rsid w:val="00934F8E"/>
    <w:rsid w:val="0096159E"/>
    <w:rsid w:val="009B0977"/>
    <w:rsid w:val="009F4746"/>
    <w:rsid w:val="00A67548"/>
    <w:rsid w:val="00B122F0"/>
    <w:rsid w:val="00BD4452"/>
    <w:rsid w:val="00C47807"/>
    <w:rsid w:val="00C84419"/>
    <w:rsid w:val="00CA6E1E"/>
    <w:rsid w:val="00CC19E0"/>
    <w:rsid w:val="00CD46FB"/>
    <w:rsid w:val="00D558D5"/>
    <w:rsid w:val="00DB15F6"/>
    <w:rsid w:val="00EB3F25"/>
    <w:rsid w:val="00EB745A"/>
    <w:rsid w:val="00ED2CD4"/>
    <w:rsid w:val="00F60E3D"/>
    <w:rsid w:val="00F64A66"/>
    <w:rsid w:val="00FD511C"/>
    <w:rsid w:val="00FF23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674538"/>
  <w15:chartTrackingRefBased/>
  <w15:docId w15:val="{555E54E3-9FDC-884F-A12E-FB0642135A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394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2394B"/>
    <w:pPr>
      <w:ind w:left="720"/>
      <w:contextualSpacing/>
    </w:pPr>
  </w:style>
  <w:style w:type="paragraph" w:styleId="NormalWeb">
    <w:name w:val="Normal (Web)"/>
    <w:basedOn w:val="Normal"/>
    <w:uiPriority w:val="99"/>
    <w:unhideWhenUsed/>
    <w:rsid w:val="001071C8"/>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071D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220976">
      <w:bodyDiv w:val="1"/>
      <w:marLeft w:val="0"/>
      <w:marRight w:val="0"/>
      <w:marTop w:val="0"/>
      <w:marBottom w:val="0"/>
      <w:divBdr>
        <w:top w:val="none" w:sz="0" w:space="0" w:color="auto"/>
        <w:left w:val="none" w:sz="0" w:space="0" w:color="auto"/>
        <w:bottom w:val="none" w:sz="0" w:space="0" w:color="auto"/>
        <w:right w:val="none" w:sz="0" w:space="0" w:color="auto"/>
      </w:divBdr>
      <w:divsChild>
        <w:div w:id="483551606">
          <w:marLeft w:val="0"/>
          <w:marRight w:val="0"/>
          <w:marTop w:val="0"/>
          <w:marBottom w:val="0"/>
          <w:divBdr>
            <w:top w:val="none" w:sz="0" w:space="0" w:color="auto"/>
            <w:left w:val="none" w:sz="0" w:space="0" w:color="auto"/>
            <w:bottom w:val="none" w:sz="0" w:space="0" w:color="auto"/>
            <w:right w:val="none" w:sz="0" w:space="0" w:color="auto"/>
          </w:divBdr>
        </w:div>
      </w:divsChild>
    </w:div>
    <w:div w:id="270943172">
      <w:bodyDiv w:val="1"/>
      <w:marLeft w:val="0"/>
      <w:marRight w:val="0"/>
      <w:marTop w:val="0"/>
      <w:marBottom w:val="0"/>
      <w:divBdr>
        <w:top w:val="none" w:sz="0" w:space="0" w:color="auto"/>
        <w:left w:val="none" w:sz="0" w:space="0" w:color="auto"/>
        <w:bottom w:val="none" w:sz="0" w:space="0" w:color="auto"/>
        <w:right w:val="none" w:sz="0" w:space="0" w:color="auto"/>
      </w:divBdr>
      <w:divsChild>
        <w:div w:id="254748335">
          <w:marLeft w:val="0"/>
          <w:marRight w:val="0"/>
          <w:marTop w:val="0"/>
          <w:marBottom w:val="0"/>
          <w:divBdr>
            <w:top w:val="none" w:sz="0" w:space="0" w:color="auto"/>
            <w:left w:val="none" w:sz="0" w:space="0" w:color="auto"/>
            <w:bottom w:val="none" w:sz="0" w:space="0" w:color="auto"/>
            <w:right w:val="none" w:sz="0" w:space="0" w:color="auto"/>
          </w:divBdr>
        </w:div>
      </w:divsChild>
    </w:div>
    <w:div w:id="327950554">
      <w:bodyDiv w:val="1"/>
      <w:marLeft w:val="0"/>
      <w:marRight w:val="0"/>
      <w:marTop w:val="0"/>
      <w:marBottom w:val="0"/>
      <w:divBdr>
        <w:top w:val="none" w:sz="0" w:space="0" w:color="auto"/>
        <w:left w:val="none" w:sz="0" w:space="0" w:color="auto"/>
        <w:bottom w:val="none" w:sz="0" w:space="0" w:color="auto"/>
        <w:right w:val="none" w:sz="0" w:space="0" w:color="auto"/>
      </w:divBdr>
      <w:divsChild>
        <w:div w:id="1153259717">
          <w:marLeft w:val="0"/>
          <w:marRight w:val="0"/>
          <w:marTop w:val="0"/>
          <w:marBottom w:val="0"/>
          <w:divBdr>
            <w:top w:val="none" w:sz="0" w:space="0" w:color="auto"/>
            <w:left w:val="none" w:sz="0" w:space="0" w:color="auto"/>
            <w:bottom w:val="none" w:sz="0" w:space="0" w:color="auto"/>
            <w:right w:val="none" w:sz="0" w:space="0" w:color="auto"/>
          </w:divBdr>
          <w:divsChild>
            <w:div w:id="1707830101">
              <w:marLeft w:val="0"/>
              <w:marRight w:val="0"/>
              <w:marTop w:val="0"/>
              <w:marBottom w:val="0"/>
              <w:divBdr>
                <w:top w:val="none" w:sz="0" w:space="0" w:color="auto"/>
                <w:left w:val="none" w:sz="0" w:space="0" w:color="auto"/>
                <w:bottom w:val="none" w:sz="0" w:space="0" w:color="auto"/>
                <w:right w:val="none" w:sz="0" w:space="0" w:color="auto"/>
              </w:divBdr>
              <w:divsChild>
                <w:div w:id="744450705">
                  <w:marLeft w:val="0"/>
                  <w:marRight w:val="0"/>
                  <w:marTop w:val="0"/>
                  <w:marBottom w:val="0"/>
                  <w:divBdr>
                    <w:top w:val="none" w:sz="0" w:space="0" w:color="auto"/>
                    <w:left w:val="none" w:sz="0" w:space="0" w:color="auto"/>
                    <w:bottom w:val="none" w:sz="0" w:space="0" w:color="auto"/>
                    <w:right w:val="none" w:sz="0" w:space="0" w:color="auto"/>
                  </w:divBdr>
                  <w:divsChild>
                    <w:div w:id="1531723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4698654">
      <w:bodyDiv w:val="1"/>
      <w:marLeft w:val="0"/>
      <w:marRight w:val="0"/>
      <w:marTop w:val="0"/>
      <w:marBottom w:val="0"/>
      <w:divBdr>
        <w:top w:val="none" w:sz="0" w:space="0" w:color="auto"/>
        <w:left w:val="none" w:sz="0" w:space="0" w:color="auto"/>
        <w:bottom w:val="none" w:sz="0" w:space="0" w:color="auto"/>
        <w:right w:val="none" w:sz="0" w:space="0" w:color="auto"/>
      </w:divBdr>
      <w:divsChild>
        <w:div w:id="609971529">
          <w:marLeft w:val="0"/>
          <w:marRight w:val="0"/>
          <w:marTop w:val="0"/>
          <w:marBottom w:val="0"/>
          <w:divBdr>
            <w:top w:val="none" w:sz="0" w:space="0" w:color="auto"/>
            <w:left w:val="none" w:sz="0" w:space="0" w:color="auto"/>
            <w:bottom w:val="none" w:sz="0" w:space="0" w:color="auto"/>
            <w:right w:val="none" w:sz="0" w:space="0" w:color="auto"/>
          </w:divBdr>
          <w:divsChild>
            <w:div w:id="578907191">
              <w:marLeft w:val="0"/>
              <w:marRight w:val="0"/>
              <w:marTop w:val="0"/>
              <w:marBottom w:val="0"/>
              <w:divBdr>
                <w:top w:val="none" w:sz="0" w:space="0" w:color="auto"/>
                <w:left w:val="none" w:sz="0" w:space="0" w:color="auto"/>
                <w:bottom w:val="none" w:sz="0" w:space="0" w:color="auto"/>
                <w:right w:val="none" w:sz="0" w:space="0" w:color="auto"/>
              </w:divBdr>
              <w:divsChild>
                <w:div w:id="1790586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5803607">
      <w:bodyDiv w:val="1"/>
      <w:marLeft w:val="0"/>
      <w:marRight w:val="0"/>
      <w:marTop w:val="0"/>
      <w:marBottom w:val="0"/>
      <w:divBdr>
        <w:top w:val="none" w:sz="0" w:space="0" w:color="auto"/>
        <w:left w:val="none" w:sz="0" w:space="0" w:color="auto"/>
        <w:bottom w:val="none" w:sz="0" w:space="0" w:color="auto"/>
        <w:right w:val="none" w:sz="0" w:space="0" w:color="auto"/>
      </w:divBdr>
      <w:divsChild>
        <w:div w:id="757286699">
          <w:marLeft w:val="0"/>
          <w:marRight w:val="0"/>
          <w:marTop w:val="0"/>
          <w:marBottom w:val="0"/>
          <w:divBdr>
            <w:top w:val="none" w:sz="0" w:space="0" w:color="auto"/>
            <w:left w:val="none" w:sz="0" w:space="0" w:color="auto"/>
            <w:bottom w:val="none" w:sz="0" w:space="0" w:color="auto"/>
            <w:right w:val="none" w:sz="0" w:space="0" w:color="auto"/>
          </w:divBdr>
        </w:div>
      </w:divsChild>
    </w:div>
    <w:div w:id="1641298596">
      <w:bodyDiv w:val="1"/>
      <w:marLeft w:val="0"/>
      <w:marRight w:val="0"/>
      <w:marTop w:val="0"/>
      <w:marBottom w:val="0"/>
      <w:divBdr>
        <w:top w:val="none" w:sz="0" w:space="0" w:color="auto"/>
        <w:left w:val="none" w:sz="0" w:space="0" w:color="auto"/>
        <w:bottom w:val="none" w:sz="0" w:space="0" w:color="auto"/>
        <w:right w:val="none" w:sz="0" w:space="0" w:color="auto"/>
      </w:divBdr>
      <w:divsChild>
        <w:div w:id="2028017148">
          <w:marLeft w:val="0"/>
          <w:marRight w:val="0"/>
          <w:marTop w:val="0"/>
          <w:marBottom w:val="0"/>
          <w:divBdr>
            <w:top w:val="none" w:sz="0" w:space="0" w:color="auto"/>
            <w:left w:val="none" w:sz="0" w:space="0" w:color="auto"/>
            <w:bottom w:val="none" w:sz="0" w:space="0" w:color="auto"/>
            <w:right w:val="none" w:sz="0" w:space="0" w:color="auto"/>
          </w:divBdr>
          <w:divsChild>
            <w:div w:id="700013661">
              <w:marLeft w:val="0"/>
              <w:marRight w:val="0"/>
              <w:marTop w:val="0"/>
              <w:marBottom w:val="0"/>
              <w:divBdr>
                <w:top w:val="none" w:sz="0" w:space="0" w:color="auto"/>
                <w:left w:val="none" w:sz="0" w:space="0" w:color="auto"/>
                <w:bottom w:val="none" w:sz="0" w:space="0" w:color="auto"/>
                <w:right w:val="none" w:sz="0" w:space="0" w:color="auto"/>
              </w:divBdr>
              <w:divsChild>
                <w:div w:id="63259117">
                  <w:marLeft w:val="0"/>
                  <w:marRight w:val="0"/>
                  <w:marTop w:val="0"/>
                  <w:marBottom w:val="0"/>
                  <w:divBdr>
                    <w:top w:val="none" w:sz="0" w:space="0" w:color="auto"/>
                    <w:left w:val="none" w:sz="0" w:space="0" w:color="auto"/>
                    <w:bottom w:val="none" w:sz="0" w:space="0" w:color="auto"/>
                    <w:right w:val="none" w:sz="0" w:space="0" w:color="auto"/>
                  </w:divBdr>
                  <w:divsChild>
                    <w:div w:id="200654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3891630">
      <w:bodyDiv w:val="1"/>
      <w:marLeft w:val="0"/>
      <w:marRight w:val="0"/>
      <w:marTop w:val="0"/>
      <w:marBottom w:val="0"/>
      <w:divBdr>
        <w:top w:val="none" w:sz="0" w:space="0" w:color="auto"/>
        <w:left w:val="none" w:sz="0" w:space="0" w:color="auto"/>
        <w:bottom w:val="none" w:sz="0" w:space="0" w:color="auto"/>
        <w:right w:val="none" w:sz="0" w:space="0" w:color="auto"/>
      </w:divBdr>
      <w:divsChild>
        <w:div w:id="1036393456">
          <w:marLeft w:val="0"/>
          <w:marRight w:val="0"/>
          <w:marTop w:val="0"/>
          <w:marBottom w:val="0"/>
          <w:divBdr>
            <w:top w:val="none" w:sz="0" w:space="0" w:color="auto"/>
            <w:left w:val="none" w:sz="0" w:space="0" w:color="auto"/>
            <w:bottom w:val="none" w:sz="0" w:space="0" w:color="auto"/>
            <w:right w:val="none" w:sz="0" w:space="0" w:color="auto"/>
          </w:divBdr>
          <w:divsChild>
            <w:div w:id="1037002981">
              <w:marLeft w:val="0"/>
              <w:marRight w:val="0"/>
              <w:marTop w:val="0"/>
              <w:marBottom w:val="0"/>
              <w:divBdr>
                <w:top w:val="none" w:sz="0" w:space="0" w:color="auto"/>
                <w:left w:val="none" w:sz="0" w:space="0" w:color="auto"/>
                <w:bottom w:val="none" w:sz="0" w:space="0" w:color="auto"/>
                <w:right w:val="none" w:sz="0" w:space="0" w:color="auto"/>
              </w:divBdr>
              <w:divsChild>
                <w:div w:id="536897605">
                  <w:marLeft w:val="0"/>
                  <w:marRight w:val="0"/>
                  <w:marTop w:val="0"/>
                  <w:marBottom w:val="0"/>
                  <w:divBdr>
                    <w:top w:val="none" w:sz="0" w:space="0" w:color="auto"/>
                    <w:left w:val="none" w:sz="0" w:space="0" w:color="auto"/>
                    <w:bottom w:val="none" w:sz="0" w:space="0" w:color="auto"/>
                    <w:right w:val="none" w:sz="0" w:space="0" w:color="auto"/>
                  </w:divBdr>
                  <w:divsChild>
                    <w:div w:id="68579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6221685">
      <w:marLeft w:val="0"/>
      <w:marRight w:val="0"/>
      <w:marTop w:val="0"/>
      <w:marBottom w:val="0"/>
      <w:divBdr>
        <w:top w:val="none" w:sz="0" w:space="0" w:color="auto"/>
        <w:left w:val="none" w:sz="0" w:space="0" w:color="auto"/>
        <w:bottom w:val="none" w:sz="0" w:space="0" w:color="auto"/>
        <w:right w:val="none" w:sz="0" w:space="0" w:color="auto"/>
      </w:divBdr>
    </w:div>
    <w:div w:id="1869835281">
      <w:bodyDiv w:val="1"/>
      <w:marLeft w:val="0"/>
      <w:marRight w:val="0"/>
      <w:marTop w:val="0"/>
      <w:marBottom w:val="0"/>
      <w:divBdr>
        <w:top w:val="none" w:sz="0" w:space="0" w:color="auto"/>
        <w:left w:val="none" w:sz="0" w:space="0" w:color="auto"/>
        <w:bottom w:val="none" w:sz="0" w:space="0" w:color="auto"/>
        <w:right w:val="none" w:sz="0" w:space="0" w:color="auto"/>
      </w:divBdr>
      <w:divsChild>
        <w:div w:id="162553242">
          <w:marLeft w:val="0"/>
          <w:marRight w:val="0"/>
          <w:marTop w:val="0"/>
          <w:marBottom w:val="0"/>
          <w:divBdr>
            <w:top w:val="none" w:sz="0" w:space="0" w:color="auto"/>
            <w:left w:val="none" w:sz="0" w:space="0" w:color="auto"/>
            <w:bottom w:val="none" w:sz="0" w:space="0" w:color="auto"/>
            <w:right w:val="none" w:sz="0" w:space="0" w:color="auto"/>
          </w:divBdr>
        </w:div>
      </w:divsChild>
    </w:div>
    <w:div w:id="2059350777">
      <w:bodyDiv w:val="1"/>
      <w:marLeft w:val="0"/>
      <w:marRight w:val="0"/>
      <w:marTop w:val="0"/>
      <w:marBottom w:val="0"/>
      <w:divBdr>
        <w:top w:val="none" w:sz="0" w:space="0" w:color="auto"/>
        <w:left w:val="none" w:sz="0" w:space="0" w:color="auto"/>
        <w:bottom w:val="none" w:sz="0" w:space="0" w:color="auto"/>
        <w:right w:val="none" w:sz="0" w:space="0" w:color="auto"/>
      </w:divBdr>
    </w:div>
    <w:div w:id="2112971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1381</TotalTime>
  <Pages>20</Pages>
  <Words>4542</Words>
  <Characters>25893</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de luca</dc:creator>
  <cp:keywords/>
  <dc:description/>
  <cp:lastModifiedBy>carmen de luca</cp:lastModifiedBy>
  <cp:revision>26</cp:revision>
  <dcterms:created xsi:type="dcterms:W3CDTF">2022-11-06T13:11:00Z</dcterms:created>
  <dcterms:modified xsi:type="dcterms:W3CDTF">2023-01-03T17:36:00Z</dcterms:modified>
</cp:coreProperties>
</file>