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6B187" w14:textId="227345FB" w:rsidR="003F474F" w:rsidRPr="00F51B50" w:rsidRDefault="006F4523">
      <w:r w:rsidRPr="00F51B50">
        <w:rPr>
          <w:noProof/>
        </w:rPr>
        <w:drawing>
          <wp:anchor distT="0" distB="0" distL="114300" distR="114300" simplePos="0" relativeHeight="251658240" behindDoc="0" locked="0" layoutInCell="1" allowOverlap="1" wp14:anchorId="14B7AFC3" wp14:editId="5A998648">
            <wp:simplePos x="0" y="0"/>
            <wp:positionH relativeFrom="column">
              <wp:posOffset>-82550</wp:posOffset>
            </wp:positionH>
            <wp:positionV relativeFrom="paragraph">
              <wp:posOffset>-387350</wp:posOffset>
            </wp:positionV>
            <wp:extent cx="1220470" cy="488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20470" cy="488950"/>
                    </a:xfrm>
                    <a:prstGeom prst="rect">
                      <a:avLst/>
                    </a:prstGeom>
                    <a:noFill/>
                  </pic:spPr>
                </pic:pic>
              </a:graphicData>
            </a:graphic>
            <wp14:sizeRelH relativeFrom="margin">
              <wp14:pctWidth>0</wp14:pctWidth>
            </wp14:sizeRelH>
            <wp14:sizeRelV relativeFrom="margin">
              <wp14:pctHeight>0</wp14:pctHeight>
            </wp14:sizeRelV>
          </wp:anchor>
        </w:drawing>
      </w:r>
    </w:p>
    <w:p w14:paraId="2A07592D" w14:textId="74B83A17" w:rsidR="006F4523" w:rsidRPr="00C24EE8" w:rsidRDefault="00C24EE8" w:rsidP="00C24EE8">
      <w:pPr>
        <w:jc w:val="left"/>
        <w:rPr>
          <w:sz w:val="16"/>
          <w:szCs w:val="16"/>
        </w:rPr>
      </w:pPr>
      <w:r w:rsidRPr="00C24EE8">
        <w:rPr>
          <w:sz w:val="16"/>
          <w:szCs w:val="16"/>
        </w:rPr>
        <w:t xml:space="preserve"> </w:t>
      </w:r>
      <w:r w:rsidRPr="00C24EE8">
        <w:rPr>
          <w:sz w:val="16"/>
          <w:szCs w:val="16"/>
        </w:rPr>
        <w:t>Ewelina Bernas </w:t>
      </w:r>
      <w:r w:rsidRPr="00C24EE8">
        <w:rPr>
          <w:i/>
          <w:iCs/>
          <w:sz w:val="16"/>
          <w:szCs w:val="16"/>
          <w:u w:val="single"/>
        </w:rPr>
        <w:br/>
      </w:r>
      <w:r w:rsidRPr="00C24EE8">
        <w:rPr>
          <w:sz w:val="16"/>
          <w:szCs w:val="16"/>
        </w:rPr>
        <w:t>CertHE Student</w:t>
      </w:r>
      <w:r w:rsidRPr="00C24EE8">
        <w:rPr>
          <w:sz w:val="16"/>
          <w:szCs w:val="16"/>
        </w:rPr>
        <w:br/>
        <w:t>UWTSD Birmingham Campus</w:t>
      </w:r>
      <w:r>
        <w:rPr>
          <w:sz w:val="16"/>
          <w:szCs w:val="16"/>
        </w:rPr>
        <w:br/>
        <w:t>Student ID: 2509446</w:t>
      </w:r>
      <w:r w:rsidRPr="00C24EE8">
        <w:rPr>
          <w:sz w:val="16"/>
          <w:szCs w:val="16"/>
        </w:rPr>
        <w:br/>
        <w:t>2509446@student.uwtsd.ac.uk</w:t>
      </w:r>
      <w:r w:rsidRPr="00C24EE8">
        <w:rPr>
          <w:sz w:val="16"/>
          <w:szCs w:val="16"/>
        </w:rPr>
        <w:br/>
      </w:r>
    </w:p>
    <w:p w14:paraId="00F6FD50" w14:textId="42F1B26E" w:rsidR="00F51B50" w:rsidRPr="00F51B50" w:rsidRDefault="00F51B50" w:rsidP="00F51B50">
      <w:pPr>
        <w:pStyle w:val="Heading1"/>
        <w:jc w:val="center"/>
      </w:pPr>
      <w:bookmarkStart w:id="0" w:name="_Toc233537535"/>
      <w:r w:rsidRPr="00F51B50">
        <w:t>Executive Summary</w:t>
      </w:r>
      <w:bookmarkEnd w:id="0"/>
    </w:p>
    <w:p w14:paraId="0AD94A8C" w14:textId="4F54D2D0" w:rsidR="00F51B50" w:rsidRPr="00F51B50" w:rsidRDefault="00F51B50" w:rsidP="00F51B50">
      <w:r w:rsidRPr="00F51B50">
        <w:t>Root &amp; Table Birmingham Ltd will be a 48-cover casual dining restaurant in Digbeth, Birmingham, which will be filled with veggie power. It will serve seasonal bowls and low waste specials, along with sharing dishes, at an average bill of £24 (excluding VAT) without being too expensive. The benefit of this is that it not only tastes good, but is also cost-effective, has environmental transparency and community support; sustainability is not a hazy promotional feature. The menu will consist of 70% or more plant-based foods, there will be a weekly breakdown of food waste, which is edible, and meals will be offered to local individuals who have experienced food insecurity to sell on their own.</w:t>
      </w:r>
    </w:p>
    <w:p w14:paraId="4B952444" w14:textId="77777777" w:rsidR="006D7CA7" w:rsidRDefault="00F51B50" w:rsidP="00F51B50">
      <w:r w:rsidRPr="00F51B50">
        <w:t>The business requires £95,000 in total; PS 30k founder investment, £25,000 Start Up Loan (government loan) and PS 40k Angel Investment (25% equity). Predict Net Sales for the month, using a forecast of 72 customers per day for 26 days in the month, what is the forecast of Net Sales for £37, 440 (72x26x £20)? The concept is situated in a sweet spot between high-end vegan meal and a casual dining experience, and the costs are also well regulated by having a core menu, flexible staff members and waste management.</w:t>
      </w:r>
    </w:p>
    <w:p w14:paraId="2BC6A1E5" w14:textId="77777777" w:rsidR="006D7CA7" w:rsidRDefault="006D7CA7">
      <w:r>
        <w:br w:type="page"/>
      </w:r>
    </w:p>
    <w:sdt>
      <w:sdtPr>
        <w:rPr>
          <w:rFonts w:ascii="Arial" w:eastAsiaTheme="minorHAnsi" w:hAnsi="Arial" w:cstheme="minorBidi"/>
          <w:color w:val="auto"/>
          <w:sz w:val="24"/>
          <w:szCs w:val="22"/>
          <w:lang w:val="en-GB"/>
        </w:rPr>
        <w:id w:val="177018978"/>
        <w:docPartObj>
          <w:docPartGallery w:val="Table of Contents"/>
          <w:docPartUnique/>
        </w:docPartObj>
      </w:sdtPr>
      <w:sdtEndPr>
        <w:rPr>
          <w:b/>
          <w:bCs/>
          <w:noProof/>
        </w:rPr>
      </w:sdtEndPr>
      <w:sdtContent>
        <w:p w14:paraId="71AF10A7" w14:textId="476EEB55" w:rsidR="006D7CA7" w:rsidRPr="006D7CA7" w:rsidRDefault="006D7CA7" w:rsidP="006D7CA7">
          <w:pPr>
            <w:pStyle w:val="TOCHeading"/>
            <w:jc w:val="center"/>
            <w:rPr>
              <w:rFonts w:ascii="Arial" w:hAnsi="Arial" w:cs="Arial"/>
              <w:b/>
              <w:bCs/>
              <w:color w:val="000000" w:themeColor="text1"/>
            </w:rPr>
          </w:pPr>
          <w:r w:rsidRPr="006D7CA7">
            <w:rPr>
              <w:rFonts w:ascii="Arial" w:hAnsi="Arial" w:cs="Arial"/>
              <w:b/>
              <w:bCs/>
              <w:color w:val="000000" w:themeColor="text1"/>
            </w:rPr>
            <w:t>Table of Contents</w:t>
          </w:r>
        </w:p>
        <w:p w14:paraId="4BE9E59F" w14:textId="5FE483FB" w:rsidR="006D7CA7" w:rsidRDefault="006D7CA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3537535" w:history="1">
            <w:r w:rsidRPr="0099764C">
              <w:rPr>
                <w:rStyle w:val="Hyperlink"/>
                <w:noProof/>
              </w:rPr>
              <w:t>Executive Summary</w:t>
            </w:r>
            <w:r>
              <w:rPr>
                <w:noProof/>
                <w:webHidden/>
              </w:rPr>
              <w:tab/>
            </w:r>
            <w:r>
              <w:rPr>
                <w:noProof/>
                <w:webHidden/>
              </w:rPr>
              <w:fldChar w:fldCharType="begin"/>
            </w:r>
            <w:r>
              <w:rPr>
                <w:noProof/>
                <w:webHidden/>
              </w:rPr>
              <w:instrText xml:space="preserve"> PAGEREF _Toc233537535 \h </w:instrText>
            </w:r>
            <w:r>
              <w:rPr>
                <w:noProof/>
                <w:webHidden/>
              </w:rPr>
            </w:r>
            <w:r>
              <w:rPr>
                <w:noProof/>
                <w:webHidden/>
              </w:rPr>
              <w:fldChar w:fldCharType="separate"/>
            </w:r>
            <w:r>
              <w:rPr>
                <w:noProof/>
                <w:webHidden/>
              </w:rPr>
              <w:t>2</w:t>
            </w:r>
            <w:r>
              <w:rPr>
                <w:noProof/>
                <w:webHidden/>
              </w:rPr>
              <w:fldChar w:fldCharType="end"/>
            </w:r>
          </w:hyperlink>
        </w:p>
        <w:p w14:paraId="671AEB1D" w14:textId="527514E5" w:rsidR="006D7CA7" w:rsidRDefault="006D7CA7">
          <w:pPr>
            <w:pStyle w:val="TOC1"/>
            <w:tabs>
              <w:tab w:val="right" w:leader="dot" w:pos="9350"/>
            </w:tabs>
            <w:rPr>
              <w:rFonts w:asciiTheme="minorHAnsi" w:eastAsiaTheme="minorEastAsia" w:hAnsiTheme="minorHAnsi"/>
              <w:noProof/>
              <w:sz w:val="22"/>
              <w:lang w:eastAsia="en-GB"/>
            </w:rPr>
          </w:pPr>
          <w:hyperlink w:anchor="_Toc233537536" w:history="1">
            <w:r w:rsidRPr="0099764C">
              <w:rPr>
                <w:rStyle w:val="Hyperlink"/>
                <w:noProof/>
              </w:rPr>
              <w:t>1. Overview of the Business Idea</w:t>
            </w:r>
            <w:r>
              <w:rPr>
                <w:noProof/>
                <w:webHidden/>
              </w:rPr>
              <w:tab/>
            </w:r>
            <w:r>
              <w:rPr>
                <w:noProof/>
                <w:webHidden/>
              </w:rPr>
              <w:fldChar w:fldCharType="begin"/>
            </w:r>
            <w:r>
              <w:rPr>
                <w:noProof/>
                <w:webHidden/>
              </w:rPr>
              <w:instrText xml:space="preserve"> PAGEREF _Toc233537536 \h </w:instrText>
            </w:r>
            <w:r>
              <w:rPr>
                <w:noProof/>
                <w:webHidden/>
              </w:rPr>
            </w:r>
            <w:r>
              <w:rPr>
                <w:noProof/>
                <w:webHidden/>
              </w:rPr>
              <w:fldChar w:fldCharType="separate"/>
            </w:r>
            <w:r>
              <w:rPr>
                <w:noProof/>
                <w:webHidden/>
              </w:rPr>
              <w:t>4</w:t>
            </w:r>
            <w:r>
              <w:rPr>
                <w:noProof/>
                <w:webHidden/>
              </w:rPr>
              <w:fldChar w:fldCharType="end"/>
            </w:r>
          </w:hyperlink>
        </w:p>
        <w:p w14:paraId="0EBA9606" w14:textId="1D253957" w:rsidR="006D7CA7" w:rsidRDefault="006D7CA7">
          <w:pPr>
            <w:pStyle w:val="TOC1"/>
            <w:tabs>
              <w:tab w:val="right" w:leader="dot" w:pos="9350"/>
            </w:tabs>
            <w:rPr>
              <w:rFonts w:asciiTheme="minorHAnsi" w:eastAsiaTheme="minorEastAsia" w:hAnsiTheme="minorHAnsi"/>
              <w:noProof/>
              <w:sz w:val="22"/>
              <w:lang w:eastAsia="en-GB"/>
            </w:rPr>
          </w:pPr>
          <w:hyperlink w:anchor="_Toc233537537" w:history="1">
            <w:r w:rsidRPr="0099764C">
              <w:rPr>
                <w:rStyle w:val="Hyperlink"/>
                <w:noProof/>
              </w:rPr>
              <w:t>2. Market Research</w:t>
            </w:r>
            <w:r>
              <w:rPr>
                <w:noProof/>
                <w:webHidden/>
              </w:rPr>
              <w:tab/>
            </w:r>
            <w:r>
              <w:rPr>
                <w:noProof/>
                <w:webHidden/>
              </w:rPr>
              <w:fldChar w:fldCharType="begin"/>
            </w:r>
            <w:r>
              <w:rPr>
                <w:noProof/>
                <w:webHidden/>
              </w:rPr>
              <w:instrText xml:space="preserve"> PAGEREF _Toc233537537 \h </w:instrText>
            </w:r>
            <w:r>
              <w:rPr>
                <w:noProof/>
                <w:webHidden/>
              </w:rPr>
            </w:r>
            <w:r>
              <w:rPr>
                <w:noProof/>
                <w:webHidden/>
              </w:rPr>
              <w:fldChar w:fldCharType="separate"/>
            </w:r>
            <w:r>
              <w:rPr>
                <w:noProof/>
                <w:webHidden/>
              </w:rPr>
              <w:t>5</w:t>
            </w:r>
            <w:r>
              <w:rPr>
                <w:noProof/>
                <w:webHidden/>
              </w:rPr>
              <w:fldChar w:fldCharType="end"/>
            </w:r>
          </w:hyperlink>
        </w:p>
        <w:p w14:paraId="271A1988" w14:textId="7DF5F20A" w:rsidR="006D7CA7" w:rsidRDefault="006D7CA7">
          <w:pPr>
            <w:pStyle w:val="TOC2"/>
            <w:tabs>
              <w:tab w:val="right" w:leader="dot" w:pos="9350"/>
            </w:tabs>
            <w:rPr>
              <w:rFonts w:asciiTheme="minorHAnsi" w:eastAsiaTheme="minorEastAsia" w:hAnsiTheme="minorHAnsi"/>
              <w:noProof/>
              <w:sz w:val="22"/>
              <w:lang w:eastAsia="en-GB"/>
            </w:rPr>
          </w:pPr>
          <w:hyperlink w:anchor="_Toc233537538" w:history="1">
            <w:r w:rsidRPr="0099764C">
              <w:rPr>
                <w:rStyle w:val="Hyperlink"/>
                <w:noProof/>
              </w:rPr>
              <w:t>2.1 Target Market</w:t>
            </w:r>
            <w:r>
              <w:rPr>
                <w:noProof/>
                <w:webHidden/>
              </w:rPr>
              <w:tab/>
            </w:r>
            <w:r>
              <w:rPr>
                <w:noProof/>
                <w:webHidden/>
              </w:rPr>
              <w:fldChar w:fldCharType="begin"/>
            </w:r>
            <w:r>
              <w:rPr>
                <w:noProof/>
                <w:webHidden/>
              </w:rPr>
              <w:instrText xml:space="preserve"> PAGEREF _Toc233537538 \h </w:instrText>
            </w:r>
            <w:r>
              <w:rPr>
                <w:noProof/>
                <w:webHidden/>
              </w:rPr>
            </w:r>
            <w:r>
              <w:rPr>
                <w:noProof/>
                <w:webHidden/>
              </w:rPr>
              <w:fldChar w:fldCharType="separate"/>
            </w:r>
            <w:r>
              <w:rPr>
                <w:noProof/>
                <w:webHidden/>
              </w:rPr>
              <w:t>5</w:t>
            </w:r>
            <w:r>
              <w:rPr>
                <w:noProof/>
                <w:webHidden/>
              </w:rPr>
              <w:fldChar w:fldCharType="end"/>
            </w:r>
          </w:hyperlink>
        </w:p>
        <w:p w14:paraId="2F523679" w14:textId="137E9397" w:rsidR="006D7CA7" w:rsidRDefault="006D7CA7">
          <w:pPr>
            <w:pStyle w:val="TOC2"/>
            <w:tabs>
              <w:tab w:val="right" w:leader="dot" w:pos="9350"/>
            </w:tabs>
            <w:rPr>
              <w:rFonts w:asciiTheme="minorHAnsi" w:eastAsiaTheme="minorEastAsia" w:hAnsiTheme="minorHAnsi"/>
              <w:noProof/>
              <w:sz w:val="22"/>
              <w:lang w:eastAsia="en-GB"/>
            </w:rPr>
          </w:pPr>
          <w:hyperlink w:anchor="_Toc233537539" w:history="1">
            <w:r w:rsidRPr="0099764C">
              <w:rPr>
                <w:rStyle w:val="Hyperlink"/>
                <w:noProof/>
              </w:rPr>
              <w:t>2.2 PESTEL Analysis</w:t>
            </w:r>
            <w:r>
              <w:rPr>
                <w:noProof/>
                <w:webHidden/>
              </w:rPr>
              <w:tab/>
            </w:r>
            <w:r>
              <w:rPr>
                <w:noProof/>
                <w:webHidden/>
              </w:rPr>
              <w:fldChar w:fldCharType="begin"/>
            </w:r>
            <w:r>
              <w:rPr>
                <w:noProof/>
                <w:webHidden/>
              </w:rPr>
              <w:instrText xml:space="preserve"> PAGEREF _Toc233537539 \h </w:instrText>
            </w:r>
            <w:r>
              <w:rPr>
                <w:noProof/>
                <w:webHidden/>
              </w:rPr>
            </w:r>
            <w:r>
              <w:rPr>
                <w:noProof/>
                <w:webHidden/>
              </w:rPr>
              <w:fldChar w:fldCharType="separate"/>
            </w:r>
            <w:r>
              <w:rPr>
                <w:noProof/>
                <w:webHidden/>
              </w:rPr>
              <w:t>6</w:t>
            </w:r>
            <w:r>
              <w:rPr>
                <w:noProof/>
                <w:webHidden/>
              </w:rPr>
              <w:fldChar w:fldCharType="end"/>
            </w:r>
          </w:hyperlink>
        </w:p>
        <w:p w14:paraId="00007F0D" w14:textId="4F4441A3" w:rsidR="006D7CA7" w:rsidRDefault="006D7CA7">
          <w:pPr>
            <w:pStyle w:val="TOC1"/>
            <w:tabs>
              <w:tab w:val="right" w:leader="dot" w:pos="9350"/>
            </w:tabs>
            <w:rPr>
              <w:rFonts w:asciiTheme="minorHAnsi" w:eastAsiaTheme="minorEastAsia" w:hAnsiTheme="minorHAnsi"/>
              <w:noProof/>
              <w:sz w:val="22"/>
              <w:lang w:eastAsia="en-GB"/>
            </w:rPr>
          </w:pPr>
          <w:hyperlink w:anchor="_Toc233537540" w:history="1">
            <w:r w:rsidRPr="0099764C">
              <w:rPr>
                <w:rStyle w:val="Hyperlink"/>
                <w:noProof/>
              </w:rPr>
              <w:t>3. Marketing Communications</w:t>
            </w:r>
            <w:r>
              <w:rPr>
                <w:noProof/>
                <w:webHidden/>
              </w:rPr>
              <w:tab/>
            </w:r>
            <w:r>
              <w:rPr>
                <w:noProof/>
                <w:webHidden/>
              </w:rPr>
              <w:fldChar w:fldCharType="begin"/>
            </w:r>
            <w:r>
              <w:rPr>
                <w:noProof/>
                <w:webHidden/>
              </w:rPr>
              <w:instrText xml:space="preserve"> PAGEREF _Toc233537540 \h </w:instrText>
            </w:r>
            <w:r>
              <w:rPr>
                <w:noProof/>
                <w:webHidden/>
              </w:rPr>
            </w:r>
            <w:r>
              <w:rPr>
                <w:noProof/>
                <w:webHidden/>
              </w:rPr>
              <w:fldChar w:fldCharType="separate"/>
            </w:r>
            <w:r>
              <w:rPr>
                <w:noProof/>
                <w:webHidden/>
              </w:rPr>
              <w:t>7</w:t>
            </w:r>
            <w:r>
              <w:rPr>
                <w:noProof/>
                <w:webHidden/>
              </w:rPr>
              <w:fldChar w:fldCharType="end"/>
            </w:r>
          </w:hyperlink>
        </w:p>
        <w:p w14:paraId="2E16C6F4" w14:textId="0DA37A1C" w:rsidR="006D7CA7" w:rsidRDefault="006D7CA7">
          <w:pPr>
            <w:pStyle w:val="TOC1"/>
            <w:tabs>
              <w:tab w:val="right" w:leader="dot" w:pos="9350"/>
            </w:tabs>
            <w:rPr>
              <w:rFonts w:asciiTheme="minorHAnsi" w:eastAsiaTheme="minorEastAsia" w:hAnsiTheme="minorHAnsi"/>
              <w:noProof/>
              <w:sz w:val="22"/>
              <w:lang w:eastAsia="en-GB"/>
            </w:rPr>
          </w:pPr>
          <w:hyperlink w:anchor="_Toc233537541" w:history="1">
            <w:r w:rsidRPr="0099764C">
              <w:rPr>
                <w:rStyle w:val="Hyperlink"/>
                <w:noProof/>
              </w:rPr>
              <w:t>4. Financial Plan</w:t>
            </w:r>
            <w:r>
              <w:rPr>
                <w:noProof/>
                <w:webHidden/>
              </w:rPr>
              <w:tab/>
            </w:r>
            <w:r>
              <w:rPr>
                <w:noProof/>
                <w:webHidden/>
              </w:rPr>
              <w:fldChar w:fldCharType="begin"/>
            </w:r>
            <w:r>
              <w:rPr>
                <w:noProof/>
                <w:webHidden/>
              </w:rPr>
              <w:instrText xml:space="preserve"> PAGEREF _Toc233537541 \h </w:instrText>
            </w:r>
            <w:r>
              <w:rPr>
                <w:noProof/>
                <w:webHidden/>
              </w:rPr>
            </w:r>
            <w:r>
              <w:rPr>
                <w:noProof/>
                <w:webHidden/>
              </w:rPr>
              <w:fldChar w:fldCharType="separate"/>
            </w:r>
            <w:r>
              <w:rPr>
                <w:noProof/>
                <w:webHidden/>
              </w:rPr>
              <w:t>8</w:t>
            </w:r>
            <w:r>
              <w:rPr>
                <w:noProof/>
                <w:webHidden/>
              </w:rPr>
              <w:fldChar w:fldCharType="end"/>
            </w:r>
          </w:hyperlink>
        </w:p>
        <w:p w14:paraId="3ADB3F15" w14:textId="4B3C0259" w:rsidR="006D7CA7" w:rsidRDefault="006D7CA7">
          <w:pPr>
            <w:pStyle w:val="TOC1"/>
            <w:tabs>
              <w:tab w:val="right" w:leader="dot" w:pos="9350"/>
            </w:tabs>
            <w:rPr>
              <w:rFonts w:asciiTheme="minorHAnsi" w:eastAsiaTheme="minorEastAsia" w:hAnsiTheme="minorHAnsi"/>
              <w:noProof/>
              <w:sz w:val="22"/>
              <w:lang w:eastAsia="en-GB"/>
            </w:rPr>
          </w:pPr>
          <w:hyperlink w:anchor="_Toc233537542" w:history="1">
            <w:r w:rsidRPr="0099764C">
              <w:rPr>
                <w:rStyle w:val="Hyperlink"/>
                <w:noProof/>
              </w:rPr>
              <w:t>5. Conclusion</w:t>
            </w:r>
            <w:r>
              <w:rPr>
                <w:noProof/>
                <w:webHidden/>
              </w:rPr>
              <w:tab/>
            </w:r>
            <w:r>
              <w:rPr>
                <w:noProof/>
                <w:webHidden/>
              </w:rPr>
              <w:fldChar w:fldCharType="begin"/>
            </w:r>
            <w:r>
              <w:rPr>
                <w:noProof/>
                <w:webHidden/>
              </w:rPr>
              <w:instrText xml:space="preserve"> PAGEREF _Toc233537542 \h </w:instrText>
            </w:r>
            <w:r>
              <w:rPr>
                <w:noProof/>
                <w:webHidden/>
              </w:rPr>
            </w:r>
            <w:r>
              <w:rPr>
                <w:noProof/>
                <w:webHidden/>
              </w:rPr>
              <w:fldChar w:fldCharType="separate"/>
            </w:r>
            <w:r>
              <w:rPr>
                <w:noProof/>
                <w:webHidden/>
              </w:rPr>
              <w:t>10</w:t>
            </w:r>
            <w:r>
              <w:rPr>
                <w:noProof/>
                <w:webHidden/>
              </w:rPr>
              <w:fldChar w:fldCharType="end"/>
            </w:r>
          </w:hyperlink>
        </w:p>
        <w:p w14:paraId="080FD1FD" w14:textId="6717450E" w:rsidR="006D7CA7" w:rsidRDefault="006D7CA7">
          <w:pPr>
            <w:pStyle w:val="TOC1"/>
            <w:tabs>
              <w:tab w:val="right" w:leader="dot" w:pos="9350"/>
            </w:tabs>
            <w:rPr>
              <w:rFonts w:asciiTheme="minorHAnsi" w:eastAsiaTheme="minorEastAsia" w:hAnsiTheme="minorHAnsi"/>
              <w:noProof/>
              <w:sz w:val="22"/>
              <w:lang w:eastAsia="en-GB"/>
            </w:rPr>
          </w:pPr>
          <w:hyperlink w:anchor="_Toc233537543" w:history="1">
            <w:r w:rsidRPr="0099764C">
              <w:rPr>
                <w:rStyle w:val="Hyperlink"/>
                <w:noProof/>
              </w:rPr>
              <w:t>References</w:t>
            </w:r>
            <w:r>
              <w:rPr>
                <w:noProof/>
                <w:webHidden/>
              </w:rPr>
              <w:tab/>
            </w:r>
            <w:r>
              <w:rPr>
                <w:noProof/>
                <w:webHidden/>
              </w:rPr>
              <w:fldChar w:fldCharType="begin"/>
            </w:r>
            <w:r>
              <w:rPr>
                <w:noProof/>
                <w:webHidden/>
              </w:rPr>
              <w:instrText xml:space="preserve"> PAGEREF _Toc233537543 \h </w:instrText>
            </w:r>
            <w:r>
              <w:rPr>
                <w:noProof/>
                <w:webHidden/>
              </w:rPr>
            </w:r>
            <w:r>
              <w:rPr>
                <w:noProof/>
                <w:webHidden/>
              </w:rPr>
              <w:fldChar w:fldCharType="separate"/>
            </w:r>
            <w:r>
              <w:rPr>
                <w:noProof/>
                <w:webHidden/>
              </w:rPr>
              <w:t>11</w:t>
            </w:r>
            <w:r>
              <w:rPr>
                <w:noProof/>
                <w:webHidden/>
              </w:rPr>
              <w:fldChar w:fldCharType="end"/>
            </w:r>
          </w:hyperlink>
        </w:p>
        <w:p w14:paraId="641EC3FD" w14:textId="02C129D8" w:rsidR="006D7CA7" w:rsidRDefault="006D7CA7">
          <w:r>
            <w:rPr>
              <w:b/>
              <w:bCs/>
              <w:noProof/>
            </w:rPr>
            <w:fldChar w:fldCharType="end"/>
          </w:r>
        </w:p>
      </w:sdtContent>
    </w:sdt>
    <w:p w14:paraId="5F565DD6" w14:textId="339D11F5" w:rsidR="006F4523" w:rsidRPr="00F51B50" w:rsidRDefault="006F4523" w:rsidP="006D7CA7">
      <w:r w:rsidRPr="00F51B50">
        <w:br w:type="page"/>
      </w:r>
    </w:p>
    <w:p w14:paraId="7490D0DB" w14:textId="77777777" w:rsidR="00F51B50" w:rsidRPr="00F51B50" w:rsidRDefault="00F51B50" w:rsidP="00F51B50"/>
    <w:p w14:paraId="642CE936" w14:textId="1A7CD914" w:rsidR="00F51B50" w:rsidRPr="00F51B50" w:rsidRDefault="00F51B50" w:rsidP="00F51B50">
      <w:pPr>
        <w:pStyle w:val="Heading1"/>
      </w:pPr>
      <w:r w:rsidRPr="00F51B50">
        <w:t xml:space="preserve"> </w:t>
      </w:r>
      <w:bookmarkStart w:id="1" w:name="_Toc233537536"/>
      <w:r w:rsidRPr="00F51B50">
        <w:t>1. Overview of the Business Idea</w:t>
      </w:r>
      <w:bookmarkEnd w:id="1"/>
    </w:p>
    <w:p w14:paraId="2B0FC275" w14:textId="302D3A8C" w:rsidR="00F51B50" w:rsidRPr="00F51B50" w:rsidRDefault="00F51B50" w:rsidP="00F51B50">
      <w:r w:rsidRPr="00F51B50">
        <w:t>Root &amp; Table Birmingham Ltd will be a 48-seater casual restaurant in Digbeth, Birmingham. Is to be used for modern British cuisine</w:t>
      </w:r>
      <w:r w:rsidR="00E523A4">
        <w:t>-</w:t>
      </w:r>
      <w:r w:rsidRPr="00F51B50">
        <w:t xml:space="preserve">foreign influences. Seasonal vegetable bowls and lentil and mushroom pies will be on the menu, as well as some locally sourced chicken, spiced cauliflower, sharing plates, and desserts. This is because, most of the main course will be provided from £12 to </w:t>
      </w:r>
      <w:r w:rsidR="00761B5B" w:rsidRPr="00F51B50">
        <w:t>£</w:t>
      </w:r>
      <w:r w:rsidRPr="00F51B50">
        <w:t>18. The pricing will have the restaurant available for students, young professionals, residents and visitors. It will be a plant forward business but not 100% vegan. A minimum 70% of the menu will consist of foods that are plant-based. This will help cut the use of the resource-intensive ingredients and appeal to customers who have different diets. The value proposition: "food worth sharing, with impact worth measuring. The research shows that the more convenient and familiar green restaurants are to the customer through their experiences, and positive reinforcement on their choices will lead to increased customers in green restaurants (Shishan et al., 202</w:t>
      </w:r>
      <w:r w:rsidR="00761B5B">
        <w:t>1</w:t>
      </w:r>
      <w:r w:rsidRPr="00F51B50">
        <w:t>). Root &amp; Table will be a private limited company. This legal form will provide the personal assets of the owner with security and will enhance other investment. The managing director shall be the founder who will also have 75% of the company. Team will be made up of: Head Chef (1), Front of House Supervisor (1), Kitchen Assistants (2), part time staff (6). Payroll, accounting/legal will be outsourced, which will help to control costs.</w:t>
      </w:r>
    </w:p>
    <w:p w14:paraId="2EFFE322" w14:textId="7F46226C" w:rsidR="00F51B50" w:rsidRDefault="00F51B50" w:rsidP="00F51B50">
      <w:r w:rsidRPr="00F51B50">
        <w:t>Sustainability will be assessed for compliance with targets. Every week Kitchen waste will be weighed. Seasonal, British ingredients will be used where suitable in terms of quality and price. A combination of deliveries will be carried out to minimise transport activities</w:t>
      </w:r>
      <w:r w:rsidR="00761B5B">
        <w:t xml:space="preserve"> (</w:t>
      </w:r>
      <w:r w:rsidR="00761B5B" w:rsidRPr="00BB4D2D">
        <w:t>Burns, 2022)</w:t>
      </w:r>
      <w:r w:rsidRPr="00F51B50">
        <w:t xml:space="preserve">. If there is any surplus amount of food, it will be discounted or donated. Oil, glass, cardboard and food waste will be sorted out for recycling. The restaurant will have a Meal Forward programmed in place. Every 5th </w:t>
      </w:r>
      <w:r>
        <w:t>£</w:t>
      </w:r>
      <w:r w:rsidRPr="00F51B50">
        <w:t>2 donation by customers will be matched by the restaurant. Vouchers for meals will be provided from a local charity. Our monthly target is 100 supported meals. There will be a number of paid work placements provided as well, two per year.</w:t>
      </w:r>
    </w:p>
    <w:p w14:paraId="654F9D46" w14:textId="48F37EB5" w:rsidR="00F51B50" w:rsidRPr="00F51B50" w:rsidRDefault="00F51B50" w:rsidP="00F51B50">
      <w:pPr>
        <w:pStyle w:val="Heading1"/>
      </w:pPr>
      <w:bookmarkStart w:id="2" w:name="_Toc233537537"/>
      <w:r>
        <w:lastRenderedPageBreak/>
        <w:t>2. Market Research</w:t>
      </w:r>
      <w:bookmarkEnd w:id="2"/>
    </w:p>
    <w:p w14:paraId="60CCD2E1" w14:textId="4050B734" w:rsidR="00F51B50" w:rsidRPr="00F51B50" w:rsidRDefault="00F51B50" w:rsidP="00F51B50">
      <w:pPr>
        <w:pStyle w:val="Heading2"/>
      </w:pPr>
      <w:bookmarkStart w:id="3" w:name="_Toc233537538"/>
      <w:r w:rsidRPr="00F51B50">
        <w:t>2.1 Target Market</w:t>
      </w:r>
      <w:bookmarkEnd w:id="3"/>
    </w:p>
    <w:p w14:paraId="2CC2FB93" w14:textId="77777777" w:rsidR="00F51B50" w:rsidRPr="00F51B50" w:rsidRDefault="00F51B50" w:rsidP="00F51B50">
      <w:r w:rsidRPr="00F51B50">
        <w:t>Root &amp; Table will target the customers within the Birmingham region which has a population of approximately 1.18 million in 2024 (ONS, 2025). It is close to Digbeth which is suitable as is in the vicinity of the city centre, transport, offices, homes and entertainment. It is primarily for the 18-45-year-old audience that is looking for something ethical and convenient in the name of convenience. Students, young professionals, residents and visitors are included in this group. Their secondary customers comprise flexitarians, vegetarians, vegans, office lunch groups and tourists for an out-of-the-ordinary restaurant experience.</w:t>
      </w:r>
    </w:p>
    <w:p w14:paraId="5CCCEC12" w14:textId="7E11847C" w:rsidR="00F51B50" w:rsidRDefault="00F51B50" w:rsidP="00F51B50">
      <w:r w:rsidRPr="00F51B50">
        <w:t xml:space="preserve">Market potential is there but customers have price sensitivity. Spending on restaurants and hotels in the UK has seen a slight decline in 2023 and 2024, but has since recovered with a 1.4% rise in 2025 (ONS, 2026). Root &amp; Table will also supply the low-cost lunch packs at </w:t>
      </w:r>
      <w:r>
        <w:t>£</w:t>
      </w:r>
      <w:r w:rsidRPr="00F51B50">
        <w:t>11,50, and remove any unnecessary high-quality foods. The founder will do 150 surveys and organize 2 tasting sessions prior to completing the signing of the lease. Business will continue if 60% or more of the group respond a purchase intention for the proposed prices.</w:t>
      </w:r>
    </w:p>
    <w:p w14:paraId="01148642" w14:textId="1E626007" w:rsidR="00BF12FC" w:rsidRDefault="00BF12FC" w:rsidP="00BF12FC">
      <w:pPr>
        <w:jc w:val="center"/>
      </w:pPr>
      <w:r>
        <w:rPr>
          <w:noProof/>
        </w:rPr>
        <w:drawing>
          <wp:inline distT="0" distB="0" distL="0" distR="0" wp14:anchorId="45295A7C" wp14:editId="27C72850">
            <wp:extent cx="4025900" cy="24654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7721" cy="2472672"/>
                    </a:xfrm>
                    <a:prstGeom prst="rect">
                      <a:avLst/>
                    </a:prstGeom>
                  </pic:spPr>
                </pic:pic>
              </a:graphicData>
            </a:graphic>
          </wp:inline>
        </w:drawing>
      </w:r>
    </w:p>
    <w:p w14:paraId="3F0AB3A6" w14:textId="6E2D0B22" w:rsidR="00BF12FC" w:rsidRPr="00BF12FC" w:rsidRDefault="00BF12FC" w:rsidP="00BF12FC">
      <w:pPr>
        <w:jc w:val="center"/>
        <w:rPr>
          <w:b/>
          <w:bCs/>
        </w:rPr>
      </w:pPr>
      <w:r w:rsidRPr="00BF12FC">
        <w:rPr>
          <w:b/>
          <w:bCs/>
        </w:rPr>
        <w:t>Figure 1: Proposed Target Customer Segments for Root &amp; Table</w:t>
      </w:r>
    </w:p>
    <w:p w14:paraId="511112E8" w14:textId="0A8A81FD" w:rsidR="00BF12FC" w:rsidRPr="00BF12FC" w:rsidRDefault="00BF12FC" w:rsidP="00BF12FC">
      <w:pPr>
        <w:jc w:val="center"/>
        <w:rPr>
          <w:b/>
          <w:bCs/>
        </w:rPr>
      </w:pPr>
      <w:r w:rsidRPr="00BF12FC">
        <w:rPr>
          <w:b/>
          <w:bCs/>
        </w:rPr>
        <w:t>Source: Author’s own illustration</w:t>
      </w:r>
    </w:p>
    <w:p w14:paraId="3C89592A" w14:textId="77777777" w:rsidR="00F51B50" w:rsidRPr="00F51B50" w:rsidRDefault="00F51B50" w:rsidP="00F51B50">
      <w:pPr>
        <w:pStyle w:val="Heading2"/>
      </w:pPr>
      <w:bookmarkStart w:id="4" w:name="_Toc233537539"/>
      <w:r w:rsidRPr="00F51B50">
        <w:lastRenderedPageBreak/>
        <w:t>2.2 PESTEL Analysis</w:t>
      </w:r>
      <w:bookmarkEnd w:id="4"/>
    </w:p>
    <w:p w14:paraId="1B09A58C" w14:textId="4DDE4CD8" w:rsidR="00F51B50" w:rsidRPr="00F51B50" w:rsidRDefault="00F51B50" w:rsidP="00F51B50">
      <w:pPr>
        <w:rPr>
          <w:b/>
          <w:bCs/>
        </w:rPr>
      </w:pPr>
      <w:r w:rsidRPr="00F51B50">
        <w:rPr>
          <w:b/>
          <w:bCs/>
        </w:rPr>
        <w:t>Political Factors</w:t>
      </w:r>
    </w:p>
    <w:p w14:paraId="69E6BF6A" w14:textId="51D91602" w:rsidR="00F51B50" w:rsidRPr="00F51B50" w:rsidRDefault="00F51B50" w:rsidP="00F51B50">
      <w:r w:rsidRPr="00F51B50">
        <w:t>Grants, partnerships can arise from government initiatives in areas related to food waste, skills and responsible enterprise. But this support can be changed after elections or decreases in budgets</w:t>
      </w:r>
      <w:r w:rsidR="00761B5B">
        <w:t xml:space="preserve"> (</w:t>
      </w:r>
      <w:r w:rsidR="00761B5B" w:rsidRPr="00BB4D2D">
        <w:t>Yüksel, 2012)</w:t>
      </w:r>
      <w:r w:rsidRPr="00F51B50">
        <w:t>. Root &amp; Table should seek to use other people's schemes as a way to help their business develop, but they are not to be financially dependent upon the other schemes with their main business.</w:t>
      </w:r>
    </w:p>
    <w:p w14:paraId="3BE35C85" w14:textId="2664AD68" w:rsidR="00F51B50" w:rsidRPr="00F51B50" w:rsidRDefault="00F51B50" w:rsidP="00F51B50">
      <w:pPr>
        <w:rPr>
          <w:b/>
          <w:bCs/>
        </w:rPr>
      </w:pPr>
      <w:r w:rsidRPr="00F51B50">
        <w:rPr>
          <w:b/>
          <w:bCs/>
        </w:rPr>
        <w:t>Economic Factors</w:t>
      </w:r>
    </w:p>
    <w:p w14:paraId="57DB770C" w14:textId="6A12F2B9" w:rsidR="00F51B50" w:rsidRPr="00F51B50" w:rsidRDefault="00F51B50" w:rsidP="00F51B50">
      <w:r w:rsidRPr="00F51B50">
        <w:t xml:space="preserve">An increase in cost of food, energy, rent and wages can have a huge impact on the profit made by restaurants. The National Living Wage reached </w:t>
      </w:r>
      <w:r>
        <w:t>£</w:t>
      </w:r>
      <w:r w:rsidRPr="00F51B50">
        <w:t>12.71 in April 2026 (GOV.UK, 2026a). Staff training is required at Root &amp; Table, scheduling may have to change based on bookings and close monitoring of all margins is required quarterly.</w:t>
      </w:r>
    </w:p>
    <w:p w14:paraId="693B9BEB" w14:textId="73F69180" w:rsidR="00F51B50" w:rsidRPr="00F51B50" w:rsidRDefault="00F51B50" w:rsidP="00F51B50">
      <w:pPr>
        <w:rPr>
          <w:b/>
          <w:bCs/>
        </w:rPr>
      </w:pPr>
      <w:r w:rsidRPr="00F51B50">
        <w:rPr>
          <w:b/>
          <w:bCs/>
        </w:rPr>
        <w:t>Social Factors</w:t>
      </w:r>
    </w:p>
    <w:p w14:paraId="680CDE18" w14:textId="5538CF30" w:rsidR="00F51B50" w:rsidRPr="00F51B50" w:rsidRDefault="00F51B50" w:rsidP="00F51B50">
      <w:r w:rsidRPr="00F51B50">
        <w:t>Being a diverse city, Birmingham has a need for a variety of the different flavours and choice of diets. Vegan, vegetarian, halal and allergen controlled should be clearly designated on the labels of Root &amp; Table dishes. However, some customers might be deterred by moral messages and it's crucial that taste, value, convenience and inclusion are marketing first.</w:t>
      </w:r>
    </w:p>
    <w:p w14:paraId="35A8F061" w14:textId="7F714FA8" w:rsidR="00F51B50" w:rsidRPr="00F51B50" w:rsidRDefault="00F51B50" w:rsidP="00F51B50">
      <w:pPr>
        <w:rPr>
          <w:b/>
          <w:bCs/>
        </w:rPr>
      </w:pPr>
      <w:r w:rsidRPr="00F51B50">
        <w:rPr>
          <w:b/>
          <w:bCs/>
        </w:rPr>
        <w:t>Technological Factors</w:t>
      </w:r>
    </w:p>
    <w:p w14:paraId="6F60F9BF" w14:textId="3909DD76" w:rsidR="00F51B50" w:rsidRPr="00F51B50" w:rsidRDefault="00F51B50" w:rsidP="00F51B50">
      <w:r w:rsidRPr="00F51B50">
        <w:t>Integrating a system with a point of sale (POS) can improve bookings, stock management, sales analysis and waste management. This may save money as well as assist in making an educated decision. However, as software fee models shift and data-security risks increase, staff training, proper backup policies and technology (security) vendor selection are essential.</w:t>
      </w:r>
    </w:p>
    <w:p w14:paraId="75E95839" w14:textId="4A81D467" w:rsidR="00F51B50" w:rsidRPr="00F51B50" w:rsidRDefault="00F51B50" w:rsidP="00F51B50">
      <w:pPr>
        <w:rPr>
          <w:b/>
          <w:bCs/>
        </w:rPr>
      </w:pPr>
      <w:r w:rsidRPr="00F51B50">
        <w:rPr>
          <w:b/>
          <w:bCs/>
        </w:rPr>
        <w:t>Environmental Factors</w:t>
      </w:r>
    </w:p>
    <w:p w14:paraId="27426FAB" w14:textId="71BE59C4" w:rsidR="00F51B50" w:rsidRPr="00F51B50" w:rsidRDefault="00F51B50" w:rsidP="00F51B50">
      <w:r w:rsidRPr="00F51B50">
        <w:lastRenderedPageBreak/>
        <w:t>An excess of food waste: more damages for the environment and more costs. Root &amp; Table will track individual customer waste and strive to decrease waste by 20% of the waste base. Higher visibility of performance makes it easier to build and maintain credibility – but if targets are not met, the lack of explanation by the management of the problems and actions taken to address them will erode trust.</w:t>
      </w:r>
    </w:p>
    <w:p w14:paraId="5BD98696" w14:textId="2E86B90D" w:rsidR="00F51B50" w:rsidRPr="00F51B50" w:rsidRDefault="00F51B50" w:rsidP="00F51B50">
      <w:pPr>
        <w:rPr>
          <w:b/>
          <w:bCs/>
        </w:rPr>
      </w:pPr>
      <w:r w:rsidRPr="00F51B50">
        <w:rPr>
          <w:b/>
          <w:bCs/>
        </w:rPr>
        <w:t>Legal Factors</w:t>
      </w:r>
    </w:p>
    <w:p w14:paraId="645EB137" w14:textId="62559740" w:rsidR="00F51B50" w:rsidRPr="00F51B50" w:rsidRDefault="00F51B50" w:rsidP="00F51B50">
      <w:r w:rsidRPr="00F51B50">
        <w:t>Root &amp; Table must register with the local authority and adhere to Food Safety, Allergen, Employment and Licensing regimes and laws in relation to waste before opening</w:t>
      </w:r>
      <w:r w:rsidR="00761B5B">
        <w:t xml:space="preserve"> (</w:t>
      </w:r>
      <w:r w:rsidR="00761B5B" w:rsidRPr="00BB4D2D">
        <w:t>Joint,</w:t>
      </w:r>
      <w:r w:rsidR="00761B5B">
        <w:t xml:space="preserve"> </w:t>
      </w:r>
      <w:r w:rsidR="00761B5B" w:rsidRPr="00BB4D2D">
        <w:t>2025)</w:t>
      </w:r>
      <w:r w:rsidRPr="00F51B50">
        <w:t>. It is expected that it will generate more than the VAT turn over limit. Non-compliance can lead to serious penalties, shutdown and bad publicity.</w:t>
      </w:r>
    </w:p>
    <w:p w14:paraId="5A56B1AC" w14:textId="78391EE6" w:rsidR="00F51B50" w:rsidRPr="00F51B50" w:rsidRDefault="00F51B50" w:rsidP="00F51B50">
      <w:pPr>
        <w:pStyle w:val="Heading1"/>
      </w:pPr>
      <w:r w:rsidRPr="00F51B50">
        <w:t xml:space="preserve"> </w:t>
      </w:r>
      <w:bookmarkStart w:id="5" w:name="_Toc233537540"/>
      <w:r>
        <w:t>3. Marketing Communications</w:t>
      </w:r>
      <w:bookmarkEnd w:id="5"/>
    </w:p>
    <w:p w14:paraId="362006F7" w14:textId="42636327" w:rsidR="00F51B50" w:rsidRPr="00F51B50" w:rsidRDefault="00F51B50" w:rsidP="00F51B50">
      <w:r w:rsidRPr="00F51B50">
        <w:t>Root &amp; Table's goals are to acquire 70 customers a trading day by month six and develop a database of 2,500 permission-based contacts in the first year. It's going to recommend to its communication focuses as taste, convenience, value and community. Per Kotler, Armstrong and Balasubramanian (2023) sustainability will be a prop, rather than a replacement, for customer benefit.</w:t>
      </w:r>
    </w:p>
    <w:p w14:paraId="4D6DCF6D" w14:textId="5BAF40AD" w:rsidR="00F51B50" w:rsidRPr="00F51B50" w:rsidRDefault="00F51B50" w:rsidP="00F51B50">
      <w:r w:rsidRPr="00F51B50">
        <w:t>There will be tasting pop-ups with workplaces, colleges and community groups prior to opening</w:t>
      </w:r>
      <w:r w:rsidR="00761B5B">
        <w:t xml:space="preserve"> (</w:t>
      </w:r>
      <w:r w:rsidR="00761B5B" w:rsidRPr="00BB4D2D">
        <w:t>Kotler</w:t>
      </w:r>
      <w:r w:rsidR="00761B5B">
        <w:t xml:space="preserve"> and </w:t>
      </w:r>
      <w:r w:rsidR="00761B5B" w:rsidRPr="00BB4D2D">
        <w:t>Armstrong, 2010)</w:t>
      </w:r>
      <w:r w:rsidRPr="00F51B50">
        <w:t>. This will increase awareness and customers' feedback. Waste reduction results, staff and suppliers, and their plates will be highlighted on Instagram and TikTok. By optimising your GBP page, Google Business Profile and search optimisation will help attract customers seeking restaurants. Views are not the only way to gauge micro-influencers' impact because bookings and sales are what matter.</w:t>
      </w:r>
      <w:r w:rsidR="00E523A4">
        <w:t xml:space="preserve"> </w:t>
      </w:r>
      <w:r w:rsidRPr="00F51B50">
        <w:t xml:space="preserve">Lunch bundles and refer a </w:t>
      </w:r>
      <w:r w:rsidR="00E523A4" w:rsidRPr="00F51B50">
        <w:t>friend card</w:t>
      </w:r>
      <w:r w:rsidRPr="00F51B50">
        <w:t xml:space="preserve"> will be there to help kick-off </w:t>
      </w:r>
      <w:r w:rsidR="00E523A4">
        <w:t>£</w:t>
      </w:r>
      <w:r w:rsidRPr="00F51B50">
        <w:t>12. The program is going to be a digital loyalty scheme, which will be encouraged, but not spending a ton to ensure that it doesn't hurt the bottom line and doesn't hurt the brand.</w:t>
      </w:r>
    </w:p>
    <w:p w14:paraId="08A8078D" w14:textId="305FC460" w:rsidR="00F51B50" w:rsidRPr="00F51B50" w:rsidRDefault="00F51B50" w:rsidP="00F51B50">
      <w:r w:rsidRPr="00F51B50">
        <w:t>Menus will be advertised for in-season and more quiet/calmer trading times via email campaigns</w:t>
      </w:r>
      <w:r w:rsidR="00761B5B">
        <w:t xml:space="preserve"> (</w:t>
      </w:r>
      <w:r w:rsidR="00761B5B" w:rsidRPr="00BB4D2D">
        <w:t>Abu-Bakar</w:t>
      </w:r>
      <w:r w:rsidR="00761B5B">
        <w:t xml:space="preserve"> and </w:t>
      </w:r>
      <w:r w:rsidR="00761B5B" w:rsidRPr="00BB4D2D">
        <w:t>Charnley, 2025)</w:t>
      </w:r>
      <w:r w:rsidRPr="00F51B50">
        <w:t xml:space="preserve">. Only local area paid advertising will be </w:t>
      </w:r>
      <w:r w:rsidRPr="00F51B50">
        <w:lastRenderedPageBreak/>
        <w:t xml:space="preserve">allowed. The criteria for performance will be acquisition cost, booking conversion, repeat visits, average spend and contribution margin. </w:t>
      </w:r>
    </w:p>
    <w:p w14:paraId="1015EFC7" w14:textId="314CF098" w:rsidR="00F51B50" w:rsidRDefault="00E523A4" w:rsidP="00E523A4">
      <w:pPr>
        <w:pStyle w:val="Heading1"/>
      </w:pPr>
      <w:bookmarkStart w:id="6" w:name="_Toc233537541"/>
      <w:r>
        <w:t>4. Financial Plan</w:t>
      </w:r>
      <w:bookmarkEnd w:id="6"/>
    </w:p>
    <w:p w14:paraId="0E381615" w14:textId="55B37AE7" w:rsidR="00E523A4" w:rsidRPr="00F51B50" w:rsidRDefault="00F51B50" w:rsidP="00F51B50">
      <w:r w:rsidRPr="00F51B50">
        <w:t xml:space="preserve">The start-up costs are </w:t>
      </w:r>
      <w:r w:rsidR="00E523A4">
        <w:t>£</w:t>
      </w:r>
      <w:r w:rsidRPr="00F51B50">
        <w:t>95,000 initially.</w:t>
      </w:r>
    </w:p>
    <w:p w14:paraId="6DAFE79B" w14:textId="3EBF404F" w:rsidR="00F51B50" w:rsidRPr="00F51B50" w:rsidRDefault="00E523A4" w:rsidP="00F51B50">
      <w:r>
        <w:rPr>
          <w:noProof/>
        </w:rPr>
        <w:drawing>
          <wp:inline distT="0" distB="0" distL="0" distR="0" wp14:anchorId="4A12FE53" wp14:editId="31B8C225">
            <wp:extent cx="5943600" cy="3836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36035"/>
                    </a:xfrm>
                    <a:prstGeom prst="rect">
                      <a:avLst/>
                    </a:prstGeom>
                  </pic:spPr>
                </pic:pic>
              </a:graphicData>
            </a:graphic>
          </wp:inline>
        </w:drawing>
      </w:r>
    </w:p>
    <w:p w14:paraId="2B8A5B6A" w14:textId="573D1297" w:rsidR="00F51B50" w:rsidRDefault="00F51B50" w:rsidP="00F51B50">
      <w:r w:rsidRPr="00F51B50">
        <w:t xml:space="preserve">Root &amp; Table's start-up costs are </w:t>
      </w:r>
      <w:r w:rsidR="00E523A4">
        <w:t>£</w:t>
      </w:r>
      <w:r w:rsidRPr="00F51B50">
        <w:t xml:space="preserve">95000. This will be funded through </w:t>
      </w:r>
      <w:r w:rsidR="00E523A4">
        <w:t>£</w:t>
      </w:r>
      <w:r w:rsidRPr="00F51B50">
        <w:t xml:space="preserve">30,000 from founder funding, a </w:t>
      </w:r>
      <w:r w:rsidR="00E523A4">
        <w:t>£</w:t>
      </w:r>
      <w:r w:rsidRPr="00F51B50">
        <w:t xml:space="preserve">25,000 Start Up Loan and </w:t>
      </w:r>
      <w:r w:rsidR="00E523A4">
        <w:t>£</w:t>
      </w:r>
      <w:r w:rsidRPr="00F51B50">
        <w:t>40,000 from an angel investor who will get one-quarter of the company. Bonded with this combination offers a diversified risk management approach. Commitment - Founder Capital, less repayment pressure in the early stages - equity. But a founder may lose 25% of his control of the business and profits if he/she gives it away.</w:t>
      </w:r>
    </w:p>
    <w:p w14:paraId="5CFEFE2D" w14:textId="1696F502" w:rsidR="00652B78" w:rsidRDefault="00652B78" w:rsidP="00652B78">
      <w:pPr>
        <w:jc w:val="center"/>
      </w:pPr>
      <w:r>
        <w:rPr>
          <w:noProof/>
        </w:rPr>
        <w:lastRenderedPageBreak/>
        <w:drawing>
          <wp:inline distT="0" distB="0" distL="0" distR="0" wp14:anchorId="2CE0D23B" wp14:editId="51FDF46E">
            <wp:extent cx="3851444" cy="229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56472" cy="2295343"/>
                    </a:xfrm>
                    <a:prstGeom prst="rect">
                      <a:avLst/>
                    </a:prstGeom>
                  </pic:spPr>
                </pic:pic>
              </a:graphicData>
            </a:graphic>
          </wp:inline>
        </w:drawing>
      </w:r>
    </w:p>
    <w:p w14:paraId="3842076C" w14:textId="3BFA9377" w:rsidR="00652B78" w:rsidRPr="006D7CA7" w:rsidRDefault="00652B78" w:rsidP="00652B78">
      <w:pPr>
        <w:jc w:val="center"/>
        <w:rPr>
          <w:b/>
          <w:bCs/>
        </w:rPr>
      </w:pPr>
      <w:r w:rsidRPr="006D7CA7">
        <w:rPr>
          <w:b/>
          <w:bCs/>
        </w:rPr>
        <w:t>Figure 2: Proposed Sources of Start-up Funding</w:t>
      </w:r>
    </w:p>
    <w:p w14:paraId="16F7FF85" w14:textId="61EA7456" w:rsidR="00652B78" w:rsidRPr="006D7CA7" w:rsidRDefault="006D7CA7" w:rsidP="00652B78">
      <w:pPr>
        <w:jc w:val="center"/>
        <w:rPr>
          <w:b/>
          <w:bCs/>
        </w:rPr>
      </w:pPr>
      <w:r w:rsidRPr="006D7CA7">
        <w:rPr>
          <w:b/>
          <w:bCs/>
        </w:rPr>
        <w:t>Source: Author’s own calculations</w:t>
      </w:r>
    </w:p>
    <w:p w14:paraId="6DC23ADC" w14:textId="00E32B72" w:rsidR="00F51B50" w:rsidRPr="00F51B50" w:rsidRDefault="00F51B50" w:rsidP="00F51B50">
      <w:r w:rsidRPr="00F51B50">
        <w:t xml:space="preserve">The Start Up Loans are loans offered by Government and British Business Bank with up to </w:t>
      </w:r>
      <w:r w:rsidR="00E523A4">
        <w:t>£</w:t>
      </w:r>
      <w:r w:rsidRPr="00F51B50">
        <w:t xml:space="preserve">25,000 at a fixed interest rate of 6% (British Business Bank, 2026). Sales can be down with repayments while there is the certainty of the rate. There should be no scope for extras round the </w:t>
      </w:r>
      <w:r w:rsidR="00E523A4">
        <w:t>£</w:t>
      </w:r>
      <w:r w:rsidRPr="00F51B50">
        <w:t>10,000 reserve which has to be kept for cash flow.</w:t>
      </w:r>
    </w:p>
    <w:p w14:paraId="2786CD9B" w14:textId="0BE0A605" w:rsidR="00F51B50" w:rsidRPr="00F51B50" w:rsidRDefault="001A1E72" w:rsidP="00F51B50">
      <w:r w:rsidRPr="001A1E72">
        <w:t xml:space="preserve">Net Sales for the month are expected to be </w:t>
      </w:r>
      <w:r>
        <w:t>£</w:t>
      </w:r>
      <w:r w:rsidRPr="001A1E72">
        <w:t xml:space="preserve">37,440, Trading Days 26 and customers per day 72 with average of </w:t>
      </w:r>
      <w:r>
        <w:t>£</w:t>
      </w:r>
      <w:r w:rsidRPr="001A1E72">
        <w:t>20 per customer of Net Sales.</w:t>
      </w:r>
      <w:r>
        <w:t xml:space="preserve"> </w:t>
      </w:r>
      <w:r w:rsidR="00F51B50" w:rsidRPr="00F51B50">
        <w:t xml:space="preserve">The cost of food and beverages is expected to be 31% of net sales, which is approximately </w:t>
      </w:r>
      <w:r w:rsidR="00E523A4">
        <w:t>£</w:t>
      </w:r>
      <w:r w:rsidR="00F51B50" w:rsidRPr="00F51B50">
        <w:t xml:space="preserve">11,606. The cost of labour is estimated at </w:t>
      </w:r>
      <w:r w:rsidR="00E523A4">
        <w:t>£</w:t>
      </w:r>
      <w:r w:rsidR="00F51B50" w:rsidRPr="00F51B50">
        <w:t xml:space="preserve">14,500, cost of occupancy and utilities </w:t>
      </w:r>
      <w:r w:rsidR="00E523A4">
        <w:t>£</w:t>
      </w:r>
      <w:r w:rsidR="00F51B50" w:rsidRPr="00F51B50">
        <w:t xml:space="preserve">6,200 and other operating and marketing costs at </w:t>
      </w:r>
      <w:r w:rsidR="00E523A4">
        <w:t>£</w:t>
      </w:r>
      <w:r w:rsidR="00F51B50" w:rsidRPr="00F51B50">
        <w:t xml:space="preserve">4,300. This is an estimated operating surplus of </w:t>
      </w:r>
      <w:r w:rsidR="00E523A4">
        <w:t>£</w:t>
      </w:r>
      <w:r w:rsidR="00F51B50" w:rsidRPr="00F51B50">
        <w:t>834 in the first month, prior to tax, depreciation and finance.</w:t>
      </w:r>
      <w:r w:rsidR="00E523A4">
        <w:t xml:space="preserve"> </w:t>
      </w:r>
      <w:r w:rsidR="00F51B50" w:rsidRPr="00F51B50">
        <w:t>The relatively small surplus is by design and has been prudently planned. It shows that it is more crucial to control cash and labour and purchase than fake investors' initial profit.</w:t>
      </w:r>
    </w:p>
    <w:p w14:paraId="5061BE7D" w14:textId="46DC47D4" w:rsidR="00F51B50" w:rsidRPr="00F51B50" w:rsidRDefault="00F51B50" w:rsidP="00F51B50">
      <w:r w:rsidRPr="00F51B50">
        <w:t xml:space="preserve">The monthly fixed costs are approximately </w:t>
      </w:r>
      <w:r w:rsidR="00E523A4">
        <w:t>£</w:t>
      </w:r>
      <w:r w:rsidRPr="00F51B50">
        <w:t xml:space="preserve">25,000 and the contribution margin is approximately 69% resulting in break-even net sales of approximately </w:t>
      </w:r>
      <w:r w:rsidR="00E523A4">
        <w:t>£</w:t>
      </w:r>
      <w:r w:rsidRPr="00F51B50">
        <w:t xml:space="preserve">36,232. </w:t>
      </w:r>
    </w:p>
    <w:p w14:paraId="2F1627E3" w14:textId="3453C270" w:rsidR="00F51B50" w:rsidRPr="00F51B50" w:rsidRDefault="00F51B50" w:rsidP="00F51B50">
      <w:r w:rsidRPr="00F51B50">
        <w:t xml:space="preserve">Management will reduce periods of low demand that are open to the public, reduce supplier volume and have large corporate lunch promotions and eliminate discretionary spend if sales are below 80% of break even for 4 weeks. Monitoring will take place on a </w:t>
      </w:r>
      <w:r w:rsidRPr="00F51B50">
        <w:lastRenderedPageBreak/>
        <w:t xml:space="preserve">daily basis for: customer covers, labour percentage, food waste per cover, cash balance, a rolling </w:t>
      </w:r>
      <w:r w:rsidR="00E523A4" w:rsidRPr="00F51B50">
        <w:t>13-week</w:t>
      </w:r>
      <w:r w:rsidRPr="00F51B50">
        <w:t xml:space="preserve"> cash-flow forecast.</w:t>
      </w:r>
    </w:p>
    <w:p w14:paraId="4E171FB4" w14:textId="55C10FF2" w:rsidR="00F51B50" w:rsidRPr="00F51B50" w:rsidRDefault="00E523A4" w:rsidP="00E523A4">
      <w:pPr>
        <w:pStyle w:val="Heading1"/>
      </w:pPr>
      <w:bookmarkStart w:id="7" w:name="_Toc233537542"/>
      <w:r>
        <w:t>5. Conclusion</w:t>
      </w:r>
      <w:bookmarkEnd w:id="7"/>
    </w:p>
    <w:p w14:paraId="68282583" w14:textId="2DC6248E" w:rsidR="00761B5B" w:rsidRDefault="00F51B50" w:rsidP="00F51B50">
      <w:r w:rsidRPr="00F51B50">
        <w:t>Root &amp; Table is a realistic and responsible chance in Birmingham with a restaurant. It's a plant-based menu, it's a low cost, it's a measured food-waste reduction programme, Meal Forward</w:t>
      </w:r>
      <w:r w:rsidR="00761B5B">
        <w:t xml:space="preserve"> (</w:t>
      </w:r>
      <w:r w:rsidR="00761B5B" w:rsidRPr="00BB4D2D">
        <w:t>(WRAP</w:t>
      </w:r>
      <w:r w:rsidR="00761B5B">
        <w:t xml:space="preserve">, </w:t>
      </w:r>
      <w:r w:rsidR="00761B5B" w:rsidRPr="00BB4D2D">
        <w:t>2026)</w:t>
      </w:r>
      <w:r w:rsidRPr="00F51B50">
        <w:t>. It also recogni</w:t>
      </w:r>
      <w:r w:rsidR="001A1E72">
        <w:t>s</w:t>
      </w:r>
      <w:r w:rsidRPr="00F51B50">
        <w:t xml:space="preserve">es that there are substantial risks early on, including rising </w:t>
      </w:r>
      <w:r w:rsidR="00E523A4" w:rsidRPr="00F51B50">
        <w:t>labour</w:t>
      </w:r>
      <w:r w:rsidRPr="00F51B50">
        <w:t xml:space="preserve"> costs, weak consumer demand, and fierce competition and weak aggregate demand. These risks will be managed through careful market testing, cost control, as well as flexible personnel and regular checking of performance. The sufficient working capital and proper lease checks render Root &amp; Table a credible opportunity of sustainable growth and </w:t>
      </w:r>
      <w:r w:rsidR="00E523A4" w:rsidRPr="00F51B50">
        <w:t>long-term</w:t>
      </w:r>
      <w:r w:rsidRPr="00F51B50">
        <w:t xml:space="preserve"> success in profitability.</w:t>
      </w:r>
    </w:p>
    <w:p w14:paraId="257524A5" w14:textId="77777777" w:rsidR="00761B5B" w:rsidRDefault="00761B5B">
      <w:r>
        <w:br w:type="page"/>
      </w:r>
    </w:p>
    <w:p w14:paraId="14D440C9" w14:textId="561ADB0D" w:rsidR="00F51B50" w:rsidRDefault="00761B5B" w:rsidP="00761B5B">
      <w:pPr>
        <w:pStyle w:val="Heading1"/>
      </w:pPr>
      <w:bookmarkStart w:id="8" w:name="_Toc233537543"/>
      <w:r>
        <w:lastRenderedPageBreak/>
        <w:t>References</w:t>
      </w:r>
      <w:bookmarkEnd w:id="8"/>
    </w:p>
    <w:p w14:paraId="5F526A05" w14:textId="77777777" w:rsidR="00761B5B" w:rsidRPr="00761B5B" w:rsidRDefault="00761B5B" w:rsidP="00761B5B">
      <w:bookmarkStart w:id="9" w:name="_Hlk233536552"/>
      <w:r w:rsidRPr="00761B5B">
        <w:t>Burns, P. (2022). </w:t>
      </w:r>
      <w:bookmarkEnd w:id="9"/>
      <w:r w:rsidRPr="00761B5B">
        <w:rPr>
          <w:i/>
          <w:iCs/>
        </w:rPr>
        <w:t>Entrepreneurship and small business</w:t>
      </w:r>
      <w:r w:rsidRPr="00761B5B">
        <w:t>. Bloomsbury Publishing.</w:t>
      </w:r>
    </w:p>
    <w:p w14:paraId="77BA3C05" w14:textId="1FEC536F" w:rsidR="00761B5B" w:rsidRPr="00761B5B" w:rsidRDefault="00761B5B" w:rsidP="00761B5B">
      <w:bookmarkStart w:id="10" w:name="_Hlk233536624"/>
      <w:r w:rsidRPr="00761B5B">
        <w:t>Yüksel, I. (2012)</w:t>
      </w:r>
      <w:bookmarkEnd w:id="10"/>
      <w:r w:rsidRPr="00761B5B">
        <w:t>. Developing a multi-criteria decision-making model for PESTEL analysis. </w:t>
      </w:r>
      <w:r w:rsidRPr="00761B5B">
        <w:rPr>
          <w:i/>
          <w:iCs/>
        </w:rPr>
        <w:t>International journal of Business and Management</w:t>
      </w:r>
      <w:r w:rsidRPr="00761B5B">
        <w:t>, </w:t>
      </w:r>
      <w:r w:rsidRPr="00761B5B">
        <w:rPr>
          <w:i/>
          <w:iCs/>
        </w:rPr>
        <w:t>7</w:t>
      </w:r>
      <w:r w:rsidRPr="00761B5B">
        <w:t>(24), 52.</w:t>
      </w:r>
    </w:p>
    <w:p w14:paraId="3E9D95D6" w14:textId="77777777" w:rsidR="00761B5B" w:rsidRPr="00761B5B" w:rsidRDefault="00761B5B" w:rsidP="00761B5B">
      <w:bookmarkStart w:id="11" w:name="_Hlk233536642"/>
      <w:r w:rsidRPr="00761B5B">
        <w:t xml:space="preserve">Joint, F. A. O. (2025). </w:t>
      </w:r>
      <w:bookmarkEnd w:id="11"/>
      <w:r w:rsidRPr="00761B5B">
        <w:t>Food Safety and Control Newsletter Vol. 04 No. 1, January 2025.</w:t>
      </w:r>
    </w:p>
    <w:p w14:paraId="3E89FCB2" w14:textId="77777777" w:rsidR="00761B5B" w:rsidRPr="00761B5B" w:rsidRDefault="00761B5B" w:rsidP="00761B5B">
      <w:bookmarkStart w:id="12" w:name="_Hlk233536659"/>
      <w:r w:rsidRPr="00761B5B">
        <w:t>Kotler, P., &amp; Armstrong, G. (2010). </w:t>
      </w:r>
      <w:bookmarkEnd w:id="12"/>
      <w:r w:rsidRPr="00761B5B">
        <w:rPr>
          <w:i/>
          <w:iCs/>
        </w:rPr>
        <w:t>Principles of marketing</w:t>
      </w:r>
      <w:r w:rsidRPr="00761B5B">
        <w:t>. Pearson education.</w:t>
      </w:r>
    </w:p>
    <w:p w14:paraId="4EB01D38" w14:textId="77777777" w:rsidR="00761B5B" w:rsidRPr="00761B5B" w:rsidRDefault="00761B5B" w:rsidP="00761B5B">
      <w:r w:rsidRPr="00761B5B">
        <w:t>Shishan, F., Mahshi, R., Al Kurdi, B., Alotoum, F. J., &amp; Alshurideh, M. T. (2021). Does the past affect the future? An analysis of consumers’ dining intentions towards green restaurants in the UK. </w:t>
      </w:r>
      <w:r w:rsidRPr="00761B5B">
        <w:rPr>
          <w:i/>
          <w:iCs/>
        </w:rPr>
        <w:t>Sustainability</w:t>
      </w:r>
      <w:r w:rsidRPr="00761B5B">
        <w:t>, </w:t>
      </w:r>
      <w:r w:rsidRPr="00761B5B">
        <w:rPr>
          <w:i/>
          <w:iCs/>
        </w:rPr>
        <w:t>14</w:t>
      </w:r>
      <w:r w:rsidRPr="00761B5B">
        <w:t>(1), 276.</w:t>
      </w:r>
    </w:p>
    <w:p w14:paraId="555DBE0A" w14:textId="77777777" w:rsidR="00761B5B" w:rsidRPr="00761B5B" w:rsidRDefault="00761B5B" w:rsidP="00761B5B">
      <w:bookmarkStart w:id="13" w:name="_Hlk233536684"/>
      <w:r w:rsidRPr="00761B5B">
        <w:t xml:space="preserve">Abu-Bakar, H., &amp; Charnley, F. (2025). </w:t>
      </w:r>
      <w:bookmarkEnd w:id="13"/>
      <w:r w:rsidRPr="00761B5B">
        <w:t>Evaluating National Circular Economy Practices in the UK: Setting a Strategic Agenda for a Nation-Wide Roadmap. </w:t>
      </w:r>
      <w:r w:rsidRPr="00761B5B">
        <w:rPr>
          <w:i/>
          <w:iCs/>
        </w:rPr>
        <w:t>Circular Economy and Sustainability</w:t>
      </w:r>
      <w:r w:rsidRPr="00761B5B">
        <w:t>, 1-35.</w:t>
      </w:r>
    </w:p>
    <w:p w14:paraId="08507787" w14:textId="77777777" w:rsidR="00761B5B" w:rsidRPr="00761B5B" w:rsidRDefault="00761B5B" w:rsidP="00761B5B">
      <w:r w:rsidRPr="00761B5B">
        <w:t xml:space="preserve">GOV.UK (2026a) </w:t>
      </w:r>
      <w:r w:rsidRPr="00761B5B">
        <w:rPr>
          <w:i/>
          <w:iCs/>
        </w:rPr>
        <w:t>The National Minimum Wage in 2026</w:t>
      </w:r>
      <w:r w:rsidRPr="00761B5B">
        <w:t xml:space="preserve">. Available at: </w:t>
      </w:r>
      <w:hyperlink r:id="rId11" w:history="1">
        <w:r w:rsidRPr="00761B5B">
          <w:rPr>
            <w:rStyle w:val="Hyperlink"/>
          </w:rPr>
          <w:t>https://www.gov.uk/government/publications/the-national-minimum-wage-in-2026</w:t>
        </w:r>
      </w:hyperlink>
      <w:r w:rsidRPr="00761B5B">
        <w:t xml:space="preserve"> (Accessed: 27 June 2026).</w:t>
      </w:r>
    </w:p>
    <w:p w14:paraId="12062D1E" w14:textId="77777777" w:rsidR="00761B5B" w:rsidRPr="00761B5B" w:rsidRDefault="00761B5B" w:rsidP="00761B5B">
      <w:r w:rsidRPr="00761B5B">
        <w:t xml:space="preserve">GOV.UK (n.d.) </w:t>
      </w:r>
      <w:r w:rsidRPr="00761B5B">
        <w:rPr>
          <w:i/>
          <w:iCs/>
        </w:rPr>
        <w:t>Register for VAT: When to register for VAT</w:t>
      </w:r>
      <w:r w:rsidRPr="00761B5B">
        <w:t xml:space="preserve">. Available at: </w:t>
      </w:r>
      <w:hyperlink r:id="rId12" w:history="1">
        <w:r w:rsidRPr="00761B5B">
          <w:rPr>
            <w:rStyle w:val="Hyperlink"/>
          </w:rPr>
          <w:t>https://www.gov.uk/register-for-vat</w:t>
        </w:r>
      </w:hyperlink>
      <w:r w:rsidRPr="00761B5B">
        <w:t xml:space="preserve"> (Accessed: 28 June 2026).</w:t>
      </w:r>
    </w:p>
    <w:p w14:paraId="11FD9EC9" w14:textId="77777777" w:rsidR="00761B5B" w:rsidRPr="00761B5B" w:rsidRDefault="00761B5B" w:rsidP="00761B5B">
      <w:r w:rsidRPr="00761B5B">
        <w:t xml:space="preserve">Office for National Statistics (ONS) (2025) </w:t>
      </w:r>
      <w:r w:rsidRPr="00761B5B">
        <w:rPr>
          <w:i/>
          <w:iCs/>
        </w:rPr>
        <w:t>Population estimates for England and Wales: mid-2024</w:t>
      </w:r>
      <w:r w:rsidRPr="00761B5B">
        <w:t xml:space="preserve">. Available at: </w:t>
      </w:r>
      <w:hyperlink r:id="rId13" w:history="1">
        <w:r w:rsidRPr="00761B5B">
          <w:rPr>
            <w:rStyle w:val="Hyperlink"/>
          </w:rPr>
          <w:t>https://www.ons.gov.uk/peoplepopulationandcommunity/populationandmigration/populationestimates/bulletins/populationestimatesforenglandandwales/mid2024</w:t>
        </w:r>
      </w:hyperlink>
      <w:r w:rsidRPr="00761B5B">
        <w:t xml:space="preserve"> (Accessed: 27 June 2026).</w:t>
      </w:r>
    </w:p>
    <w:p w14:paraId="49C1320D" w14:textId="77777777" w:rsidR="00761B5B" w:rsidRPr="00761B5B" w:rsidRDefault="00761B5B" w:rsidP="00761B5B">
      <w:r w:rsidRPr="00761B5B">
        <w:t xml:space="preserve">Office for National Statistics (ONS) (2026) </w:t>
      </w:r>
      <w:r w:rsidRPr="00761B5B">
        <w:rPr>
          <w:i/>
          <w:iCs/>
        </w:rPr>
        <w:t>Household Final Consumption Expenditure: Restaurants and hotels—annual growth rate</w:t>
      </w:r>
      <w:r w:rsidRPr="00761B5B">
        <w:t xml:space="preserve">. Available at: </w:t>
      </w:r>
      <w:hyperlink r:id="rId14" w:history="1">
        <w:r w:rsidRPr="00761B5B">
          <w:rPr>
            <w:rStyle w:val="Hyperlink"/>
          </w:rPr>
          <w:t>https://www.ons.gov.uk/economy/grossdomesticproductgdp/timeseries/kgd4/pn2</w:t>
        </w:r>
      </w:hyperlink>
      <w:r w:rsidRPr="00761B5B">
        <w:t xml:space="preserve"> (Accessed: 28 June 2026).</w:t>
      </w:r>
    </w:p>
    <w:p w14:paraId="13A9FCEF" w14:textId="77777777" w:rsidR="00761B5B" w:rsidRPr="00761B5B" w:rsidRDefault="00761B5B" w:rsidP="00761B5B">
      <w:r w:rsidRPr="00761B5B">
        <w:t xml:space="preserve">Waste and Resources Action Programme </w:t>
      </w:r>
      <w:bookmarkStart w:id="14" w:name="_Hlk233536746"/>
      <w:r w:rsidRPr="00761B5B">
        <w:t xml:space="preserve">(WRAP) (2026) </w:t>
      </w:r>
      <w:bookmarkEnd w:id="14"/>
      <w:r w:rsidRPr="00761B5B">
        <w:rPr>
          <w:i/>
          <w:iCs/>
        </w:rPr>
        <w:t>UK Food and Drink Pact Annual Progress Report 2024–25</w:t>
      </w:r>
      <w:r w:rsidRPr="00761B5B">
        <w:t xml:space="preserve">. Available at: </w:t>
      </w:r>
      <w:hyperlink r:id="rId15" w:history="1">
        <w:r w:rsidRPr="00761B5B">
          <w:rPr>
            <w:rStyle w:val="Hyperlink"/>
          </w:rPr>
          <w:t>https://www.wrap.ngo/resources/report/uk-food-and-drink-pact-annual-progress-report-2024-25</w:t>
        </w:r>
      </w:hyperlink>
      <w:r w:rsidRPr="00761B5B">
        <w:t xml:space="preserve"> (Accessed: 27 June 2026).</w:t>
      </w:r>
    </w:p>
    <w:p w14:paraId="7B5918FD" w14:textId="77777777" w:rsidR="00761B5B" w:rsidRPr="00761B5B" w:rsidRDefault="00761B5B" w:rsidP="00761B5B">
      <w:r w:rsidRPr="00761B5B">
        <w:t xml:space="preserve">British Business Bank (2026) </w:t>
      </w:r>
      <w:r w:rsidRPr="00761B5B">
        <w:rPr>
          <w:i/>
          <w:iCs/>
        </w:rPr>
        <w:t>Starting a business</w:t>
      </w:r>
      <w:r w:rsidRPr="00761B5B">
        <w:t xml:space="preserve">. Available at: </w:t>
      </w:r>
      <w:hyperlink r:id="rId16" w:history="1">
        <w:r w:rsidRPr="00761B5B">
          <w:rPr>
            <w:rStyle w:val="Hyperlink"/>
          </w:rPr>
          <w:t>https://www.british-business-bank.co.uk/business-guidance/making-business-finance-work-for-you/starting-a-business</w:t>
        </w:r>
      </w:hyperlink>
      <w:r w:rsidRPr="00761B5B">
        <w:t xml:space="preserve"> (Accessed: 28 June 2026).</w:t>
      </w:r>
    </w:p>
    <w:p w14:paraId="0432BC00" w14:textId="77777777" w:rsidR="00761B5B" w:rsidRPr="00F51B50" w:rsidRDefault="00761B5B" w:rsidP="00F51B50"/>
    <w:p w14:paraId="2AEBF6C1" w14:textId="77777777" w:rsidR="006F4523" w:rsidRPr="00F51B50" w:rsidRDefault="006F4523"/>
    <w:sectPr w:rsidR="006F4523" w:rsidRPr="00F51B5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2845E" w14:textId="77777777" w:rsidR="00330043" w:rsidRDefault="00330043" w:rsidP="006F4523">
      <w:pPr>
        <w:spacing w:before="0" w:after="0" w:line="240" w:lineRule="auto"/>
      </w:pPr>
      <w:r>
        <w:separator/>
      </w:r>
    </w:p>
  </w:endnote>
  <w:endnote w:type="continuationSeparator" w:id="0">
    <w:p w14:paraId="2A629578" w14:textId="77777777" w:rsidR="00330043" w:rsidRDefault="00330043" w:rsidP="006F45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835674"/>
      <w:docPartObj>
        <w:docPartGallery w:val="Page Numbers (Bottom of Page)"/>
        <w:docPartUnique/>
      </w:docPartObj>
    </w:sdtPr>
    <w:sdtEndPr>
      <w:rPr>
        <w:noProof/>
      </w:rPr>
    </w:sdtEndPr>
    <w:sdtContent>
      <w:p w14:paraId="4566DDB3" w14:textId="2CB8E695" w:rsidR="006F4523" w:rsidRDefault="006F45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200D21" w14:textId="77777777" w:rsidR="006F4523" w:rsidRDefault="006F4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71811" w14:textId="77777777" w:rsidR="00330043" w:rsidRDefault="00330043" w:rsidP="006F4523">
      <w:pPr>
        <w:spacing w:before="0" w:after="0" w:line="240" w:lineRule="auto"/>
      </w:pPr>
      <w:r>
        <w:separator/>
      </w:r>
    </w:p>
  </w:footnote>
  <w:footnote w:type="continuationSeparator" w:id="0">
    <w:p w14:paraId="5D4D84D0" w14:textId="77777777" w:rsidR="00330043" w:rsidRDefault="00330043" w:rsidP="006F452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936"/>
    <w:rsid w:val="001A1E72"/>
    <w:rsid w:val="00257936"/>
    <w:rsid w:val="00330043"/>
    <w:rsid w:val="003F474F"/>
    <w:rsid w:val="005830E3"/>
    <w:rsid w:val="00652B78"/>
    <w:rsid w:val="006D7CA7"/>
    <w:rsid w:val="006F4523"/>
    <w:rsid w:val="00761B5B"/>
    <w:rsid w:val="00884D57"/>
    <w:rsid w:val="009D1666"/>
    <w:rsid w:val="00B574AE"/>
    <w:rsid w:val="00BF12FC"/>
    <w:rsid w:val="00C24EE8"/>
    <w:rsid w:val="00E523A4"/>
    <w:rsid w:val="00EF0585"/>
    <w:rsid w:val="00F51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159B0"/>
  <w15:chartTrackingRefBased/>
  <w15:docId w15:val="{F199DBE6-6EC3-42E3-AA3B-3AD3DBD37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51B5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qFormat/>
    <w:rsid w:val="00F51B50"/>
    <w:pPr>
      <w:keepNext/>
      <w:spacing w:before="0" w:after="0" w:line="240" w:lineRule="auto"/>
      <w:outlineLvl w:val="1"/>
    </w:pPr>
    <w:rPr>
      <w:rFonts w:eastAsia="Times New Roman" w:cs="Times New Roman"/>
      <w:b/>
      <w:color w:val="000000" w:themeColor="text1"/>
      <w:szCs w:val="20"/>
      <w:lang w:eastAsia="en-GB"/>
    </w:rPr>
  </w:style>
  <w:style w:type="paragraph" w:styleId="Heading4">
    <w:name w:val="heading 4"/>
    <w:basedOn w:val="Normal"/>
    <w:next w:val="Normal"/>
    <w:link w:val="Heading4Char"/>
    <w:qFormat/>
    <w:rsid w:val="006F4523"/>
    <w:pPr>
      <w:keepNext/>
      <w:spacing w:after="120" w:line="240" w:lineRule="auto"/>
      <w:jc w:val="center"/>
      <w:outlineLvl w:val="3"/>
    </w:pPr>
    <w:rPr>
      <w:rFonts w:eastAsia="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452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F4523"/>
    <w:rPr>
      <w:lang w:val="en-GB"/>
    </w:rPr>
  </w:style>
  <w:style w:type="paragraph" w:styleId="Footer">
    <w:name w:val="footer"/>
    <w:basedOn w:val="Normal"/>
    <w:link w:val="FooterChar"/>
    <w:uiPriority w:val="99"/>
    <w:unhideWhenUsed/>
    <w:rsid w:val="006F452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F4523"/>
    <w:rPr>
      <w:lang w:val="en-GB"/>
    </w:rPr>
  </w:style>
  <w:style w:type="character" w:customStyle="1" w:styleId="Heading2Char">
    <w:name w:val="Heading 2 Char"/>
    <w:basedOn w:val="DefaultParagraphFont"/>
    <w:link w:val="Heading2"/>
    <w:rsid w:val="00F51B50"/>
    <w:rPr>
      <w:rFonts w:eastAsia="Times New Roman" w:cs="Times New Roman"/>
      <w:b/>
      <w:color w:val="000000" w:themeColor="text1"/>
      <w:szCs w:val="20"/>
      <w:lang w:val="en-GB" w:eastAsia="en-GB"/>
    </w:rPr>
  </w:style>
  <w:style w:type="character" w:customStyle="1" w:styleId="Heading4Char">
    <w:name w:val="Heading 4 Char"/>
    <w:basedOn w:val="DefaultParagraphFont"/>
    <w:link w:val="Heading4"/>
    <w:rsid w:val="006F4523"/>
    <w:rPr>
      <w:rFonts w:eastAsia="Times New Roman" w:cs="Times New Roman"/>
      <w:sz w:val="40"/>
      <w:szCs w:val="20"/>
      <w:lang w:val="en-GB" w:eastAsia="en-GB"/>
    </w:rPr>
  </w:style>
  <w:style w:type="character" w:customStyle="1" w:styleId="Heading1Char">
    <w:name w:val="Heading 1 Char"/>
    <w:basedOn w:val="DefaultParagraphFont"/>
    <w:link w:val="Heading1"/>
    <w:uiPriority w:val="9"/>
    <w:rsid w:val="00F51B50"/>
    <w:rPr>
      <w:rFonts w:eastAsiaTheme="majorEastAsia" w:cstheme="majorBidi"/>
      <w:b/>
      <w:color w:val="000000" w:themeColor="text1"/>
      <w:sz w:val="28"/>
      <w:szCs w:val="32"/>
    </w:rPr>
  </w:style>
  <w:style w:type="character" w:styleId="Strong">
    <w:name w:val="Strong"/>
    <w:basedOn w:val="DefaultParagraphFont"/>
    <w:uiPriority w:val="22"/>
    <w:qFormat/>
    <w:rsid w:val="00E523A4"/>
    <w:rPr>
      <w:b/>
      <w:bCs/>
    </w:rPr>
  </w:style>
  <w:style w:type="paragraph" w:styleId="NoSpacing">
    <w:name w:val="No Spacing"/>
    <w:uiPriority w:val="1"/>
    <w:qFormat/>
    <w:rsid w:val="00E523A4"/>
    <w:pPr>
      <w:spacing w:before="0" w:after="0" w:line="240" w:lineRule="auto"/>
    </w:pPr>
    <w:rPr>
      <w:lang w:val="en-GB"/>
    </w:rPr>
  </w:style>
  <w:style w:type="table" w:styleId="GridTable4-Accent6">
    <w:name w:val="Grid Table 4 Accent 6"/>
    <w:basedOn w:val="TableNormal"/>
    <w:uiPriority w:val="49"/>
    <w:rsid w:val="00E523A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761B5B"/>
    <w:rPr>
      <w:color w:val="0563C1" w:themeColor="hyperlink"/>
      <w:u w:val="single"/>
    </w:rPr>
  </w:style>
  <w:style w:type="character" w:styleId="UnresolvedMention">
    <w:name w:val="Unresolved Mention"/>
    <w:basedOn w:val="DefaultParagraphFont"/>
    <w:uiPriority w:val="99"/>
    <w:semiHidden/>
    <w:unhideWhenUsed/>
    <w:rsid w:val="00761B5B"/>
    <w:rPr>
      <w:color w:val="605E5C"/>
      <w:shd w:val="clear" w:color="auto" w:fill="E1DFDD"/>
    </w:rPr>
  </w:style>
  <w:style w:type="paragraph" w:styleId="TOCHeading">
    <w:name w:val="TOC Heading"/>
    <w:basedOn w:val="Heading1"/>
    <w:next w:val="Normal"/>
    <w:uiPriority w:val="39"/>
    <w:unhideWhenUsed/>
    <w:qFormat/>
    <w:rsid w:val="006D7CA7"/>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6D7CA7"/>
    <w:pPr>
      <w:spacing w:after="100"/>
      <w:ind w:left="240"/>
    </w:pPr>
  </w:style>
  <w:style w:type="paragraph" w:styleId="TOC1">
    <w:name w:val="toc 1"/>
    <w:basedOn w:val="Normal"/>
    <w:next w:val="Normal"/>
    <w:autoRedefine/>
    <w:uiPriority w:val="39"/>
    <w:unhideWhenUsed/>
    <w:rsid w:val="006D7C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131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populationandmigration/populationestimates/bulletins/populationestimatesforenglandandwales/mid20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register-for-va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ritish-business-bank.co.uk/business-guidance/making-business-finance-work-for-you/starting-a-busines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the-national-minimum-wage-in-2026" TargetMode="External"/><Relationship Id="rId5" Type="http://schemas.openxmlformats.org/officeDocument/2006/relationships/footnotes" Target="footnotes.xml"/><Relationship Id="rId15" Type="http://schemas.openxmlformats.org/officeDocument/2006/relationships/hyperlink" Target="https://www.wrap.ngo/resources/report/uk-food-and-drink-pact-annual-progress-report-2024-25"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economy/grossdomesticproductgdp/timeseries/kgd4/p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2B397A8-93D9-459B-9942-27D0B9CDC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Ewelina Bernaś</cp:lastModifiedBy>
  <cp:revision>3</cp:revision>
  <dcterms:created xsi:type="dcterms:W3CDTF">2026-06-28T05:12:00Z</dcterms:created>
  <dcterms:modified xsi:type="dcterms:W3CDTF">2026-06-28T20:11:00Z</dcterms:modified>
</cp:coreProperties>
</file>