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19B" w:rsidRDefault="0008019B" w:rsidP="0008019B">
      <w:pPr>
        <w:pStyle w:val="NoSpacing"/>
        <w:jc w:val="both"/>
        <w:rPr>
          <w:b/>
        </w:rPr>
      </w:pPr>
      <w:r w:rsidRPr="0008019B">
        <w:rPr>
          <w:b/>
        </w:rPr>
        <w:t>Q1. Evaluate the extent to which the flat non-hierarchical structure was appropriate under Kirsten’s ownership and the extent to which the hierarchical bureaucratic structure is suitable under Chaffinch Group’s Ownership</w:t>
      </w:r>
    </w:p>
    <w:p w:rsidR="000F62B1" w:rsidRDefault="000F62B1" w:rsidP="0008019B">
      <w:pPr>
        <w:pStyle w:val="NoSpacing"/>
        <w:jc w:val="both"/>
        <w:rPr>
          <w:b/>
        </w:rPr>
      </w:pPr>
    </w:p>
    <w:p w:rsidR="009C3814" w:rsidRDefault="00A024DD" w:rsidP="00A024DD">
      <w:pPr>
        <w:pStyle w:val="NoSpacing"/>
        <w:jc w:val="both"/>
      </w:pPr>
      <w:r w:rsidRPr="00A024DD">
        <w:t>Flat non-</w:t>
      </w:r>
      <w:r w:rsidR="009C3814">
        <w:t xml:space="preserve">hierarchical structures have few management tiers where numerous </w:t>
      </w:r>
      <w:r w:rsidRPr="00A024DD">
        <w:t xml:space="preserve">employees work flexibly in their core </w:t>
      </w:r>
      <w:r w:rsidRPr="000871E4">
        <w:t xml:space="preserve">role </w:t>
      </w:r>
      <w:r w:rsidRPr="00A024DD">
        <w:t xml:space="preserve">whilst reporting into one direct manager (Taylor and Woodhams, 2022). </w:t>
      </w:r>
      <w:r w:rsidR="00F3036E">
        <w:t>Kirsten’s span of control was</w:t>
      </w:r>
      <w:r w:rsidR="009C3814">
        <w:t xml:space="preserve"> </w:t>
      </w:r>
      <w:r w:rsidR="001B2856">
        <w:t>wide</w:t>
      </w:r>
      <w:r w:rsidR="009C3814">
        <w:t xml:space="preserve">, with 42 direct reports and low levels of hierarchy. This structure </w:t>
      </w:r>
      <w:r w:rsidR="00531930">
        <w:t>was</w:t>
      </w:r>
      <w:r w:rsidR="009C3814">
        <w:t xml:space="preserve"> </w:t>
      </w:r>
      <w:r w:rsidRPr="00A024DD">
        <w:t xml:space="preserve">mostly appropriate </w:t>
      </w:r>
      <w:r w:rsidR="009C3814">
        <w:t>for Calmere House as small, non-complex</w:t>
      </w:r>
      <w:r w:rsidR="000F62B1">
        <w:t xml:space="preserve"> business that is family-run</w:t>
      </w:r>
      <w:r w:rsidR="009C3814">
        <w:t xml:space="preserve"> within the care sector. </w:t>
      </w:r>
    </w:p>
    <w:p w:rsidR="009C3814" w:rsidRDefault="009C3814" w:rsidP="00A024DD">
      <w:pPr>
        <w:pStyle w:val="NoSpacing"/>
        <w:jc w:val="both"/>
      </w:pPr>
    </w:p>
    <w:p w:rsidR="009D3549" w:rsidRDefault="009C3814" w:rsidP="00A024DD">
      <w:pPr>
        <w:pStyle w:val="NoSpacing"/>
        <w:jc w:val="both"/>
      </w:pPr>
      <w:r>
        <w:t>Kirsten</w:t>
      </w:r>
      <w:r w:rsidR="00531930">
        <w:t>’s consultative approach fostered</w:t>
      </w:r>
      <w:r>
        <w:t xml:space="preserve"> </w:t>
      </w:r>
      <w:r w:rsidR="00A024DD" w:rsidRPr="000871E4">
        <w:t>team</w:t>
      </w:r>
      <w:r w:rsidR="00A024DD" w:rsidRPr="00A024DD">
        <w:t xml:space="preserve"> engagement and </w:t>
      </w:r>
      <w:r>
        <w:t>streamlined</w:t>
      </w:r>
      <w:r w:rsidR="0096171B">
        <w:t xml:space="preserve"> communication through </w:t>
      </w:r>
      <w:r w:rsidR="00A024DD" w:rsidRPr="00A024DD">
        <w:t>decen</w:t>
      </w:r>
      <w:r w:rsidR="0096171B">
        <w:t>tralised decision-making</w:t>
      </w:r>
      <w:r w:rsidR="00A024DD" w:rsidRPr="00A024DD">
        <w:t xml:space="preserve"> (Kettley 1995; Martela and Nandram, 2025).</w:t>
      </w:r>
      <w:r w:rsidR="006B1851">
        <w:t xml:space="preserve"> </w:t>
      </w:r>
      <w:r w:rsidR="00531930">
        <w:t>The</w:t>
      </w:r>
      <w:r w:rsidR="00420E27">
        <w:t xml:space="preserve"> flat</w:t>
      </w:r>
      <w:r w:rsidR="00531930">
        <w:t xml:space="preserve"> structure enhanced</w:t>
      </w:r>
      <w:r w:rsidR="000871E4">
        <w:t xml:space="preserve"> </w:t>
      </w:r>
      <w:r w:rsidR="006D4AFE">
        <w:t xml:space="preserve">employee voice </w:t>
      </w:r>
      <w:r w:rsidR="000871E4">
        <w:t>leading to good retention rates and a committed, involved workforce. For example, the employees’ active recruitment involvement contribute</w:t>
      </w:r>
      <w:r w:rsidR="00531930">
        <w:t>d</w:t>
      </w:r>
      <w:r w:rsidR="000871E4">
        <w:t xml:space="preserve"> to culture and collaboration through their understanding of required skills, qualifications and behaviours. One risk is that recruiting for </w:t>
      </w:r>
      <w:r w:rsidR="009D3549">
        <w:t>culturally similar people</w:t>
      </w:r>
      <w:r w:rsidR="000871E4">
        <w:t xml:space="preserve"> could detriment long-term strategy whilst encouraging discrimination and bias (</w:t>
      </w:r>
      <w:r w:rsidR="00A024DD" w:rsidRPr="00A024DD">
        <w:t>Bashford, 2018). </w:t>
      </w:r>
      <w:r w:rsidR="000871E4">
        <w:t>To some extent, the structure promote</w:t>
      </w:r>
      <w:r w:rsidR="00531930">
        <w:t>d</w:t>
      </w:r>
      <w:r w:rsidR="000871E4">
        <w:t xml:space="preserve"> egalitarianism which contribute</w:t>
      </w:r>
      <w:r w:rsidR="00531930">
        <w:t>d</w:t>
      </w:r>
      <w:r w:rsidR="000871E4">
        <w:t xml:space="preserve"> to organisational performance, team and resident satisfaction. </w:t>
      </w:r>
      <w:r w:rsidR="00227AEE">
        <w:t>This supports the argument that flat structures lead to perceptions of equality and warmth, subsequently leading to better consumer responses</w:t>
      </w:r>
      <w:r w:rsidR="00A024DD" w:rsidRPr="00A024DD">
        <w:t xml:space="preserve"> (Du, Dahl and White, 2025). </w:t>
      </w:r>
    </w:p>
    <w:p w:rsidR="009D3549" w:rsidRDefault="009D3549" w:rsidP="00A024DD">
      <w:pPr>
        <w:pStyle w:val="NoSpacing"/>
        <w:jc w:val="both"/>
      </w:pPr>
    </w:p>
    <w:p w:rsidR="00A024DD" w:rsidRPr="00A024DD" w:rsidRDefault="00FF2096" w:rsidP="00A024DD">
      <w:pPr>
        <w:pStyle w:val="NoSpacing"/>
        <w:jc w:val="both"/>
      </w:pPr>
      <w:r>
        <w:t>Kirsten’s concern over job security and finances highlight</w:t>
      </w:r>
      <w:r w:rsidR="00420E27">
        <w:t>ed</w:t>
      </w:r>
      <w:r>
        <w:t xml:space="preserve"> structural limitations </w:t>
      </w:r>
      <w:r w:rsidR="009D3549">
        <w:t>and its unsuitability</w:t>
      </w:r>
      <w:r>
        <w:t xml:space="preserve"> for achieving long-term goals or scalability. </w:t>
      </w:r>
      <w:r w:rsidR="00227AEE">
        <w:t xml:space="preserve">There </w:t>
      </w:r>
      <w:r w:rsidR="00531930">
        <w:t>was also</w:t>
      </w:r>
      <w:r w:rsidR="00227AEE">
        <w:t xml:space="preserve"> risk of Kirsten becoming overloaded due to the volume of direct reports whilst the lack</w:t>
      </w:r>
      <w:r w:rsidR="00531930">
        <w:t xml:space="preserve"> of formal procedures could</w:t>
      </w:r>
      <w:r w:rsidR="00F74C9A">
        <w:t xml:space="preserve"> </w:t>
      </w:r>
      <w:r w:rsidR="00D56F73">
        <w:t>lead to</w:t>
      </w:r>
      <w:r w:rsidR="00227AEE">
        <w:t xml:space="preserve"> inconsistency, errors and </w:t>
      </w:r>
      <w:r w:rsidR="006D4AFE">
        <w:t>reduced</w:t>
      </w:r>
      <w:r w:rsidR="00227AEE">
        <w:t xml:space="preserve"> care q</w:t>
      </w:r>
      <w:r w:rsidR="00420E27">
        <w:t>uality. The flat structure may also</w:t>
      </w:r>
      <w:r w:rsidR="00D56F73">
        <w:t xml:space="preserve"> create limited</w:t>
      </w:r>
      <w:r w:rsidR="00227AEE">
        <w:t xml:space="preserve"> progression routes and diminished support for conflict resolution </w:t>
      </w:r>
      <w:r w:rsidR="005B45F5">
        <w:t>(</w:t>
      </w:r>
      <w:r w:rsidR="0003024C">
        <w:t xml:space="preserve">Childs, 2019; </w:t>
      </w:r>
      <w:r w:rsidR="005B45F5">
        <w:t>Sorenson, 2022)</w:t>
      </w:r>
      <w:r w:rsidR="00815C94">
        <w:t xml:space="preserve">. </w:t>
      </w:r>
    </w:p>
    <w:p w:rsidR="00E200EF" w:rsidRDefault="00E200EF" w:rsidP="000A59B4">
      <w:pPr>
        <w:pStyle w:val="NoSpacing"/>
        <w:jc w:val="both"/>
      </w:pPr>
    </w:p>
    <w:p w:rsidR="009D3549" w:rsidRDefault="00143DB9" w:rsidP="00C957A3">
      <w:pPr>
        <w:pStyle w:val="NoSpacing"/>
        <w:jc w:val="both"/>
        <w:rPr>
          <w:b/>
        </w:rPr>
      </w:pPr>
      <w:r>
        <w:t>Hierarchical, bureaucratic structures featu</w:t>
      </w:r>
      <w:r w:rsidR="00FF2096">
        <w:t xml:space="preserve">re multiple management tiers, </w:t>
      </w:r>
      <w:r>
        <w:t xml:space="preserve">top-down reporting and centralised decision making. </w:t>
      </w:r>
      <w:r w:rsidR="008F3AC0">
        <w:t>This structure is mostly app</w:t>
      </w:r>
      <w:r w:rsidR="00227AEE">
        <w:t xml:space="preserve">ropriate for Chaffinch Group, a large, multi-site organisation </w:t>
      </w:r>
      <w:r w:rsidR="000F62B1">
        <w:t>requiring</w:t>
      </w:r>
      <w:r w:rsidR="00227AEE">
        <w:t xml:space="preserve"> accountability and narrow </w:t>
      </w:r>
      <w:r w:rsidR="000F62B1">
        <w:t>control spans</w:t>
      </w:r>
      <w:r w:rsidR="00227AEE">
        <w:t xml:space="preserve"> (</w:t>
      </w:r>
      <w:r w:rsidR="008F3AC0">
        <w:t xml:space="preserve">Taylor and Woodhams, 2022). </w:t>
      </w:r>
      <w:r w:rsidR="008227E9">
        <w:t xml:space="preserve">Some structural elements are less suitable, for example, Kath’s autocratic approach is command and control driven which hinders team motivation, engagement and well-being </w:t>
      </w:r>
      <w:r w:rsidR="00547FD9">
        <w:t>(CIPD, 2025</w:t>
      </w:r>
      <w:r w:rsidR="00331AD0">
        <w:t>a</w:t>
      </w:r>
      <w:r w:rsidR="00547FD9">
        <w:t>;</w:t>
      </w:r>
      <w:r w:rsidR="00331AD0">
        <w:t xml:space="preserve"> CIPD</w:t>
      </w:r>
      <w:r w:rsidR="00FB404C">
        <w:t>,</w:t>
      </w:r>
      <w:r w:rsidR="00331AD0">
        <w:t xml:space="preserve"> 2025b;</w:t>
      </w:r>
      <w:r w:rsidR="008227E9">
        <w:t xml:space="preserve"> Clemo 2025). </w:t>
      </w:r>
      <w:r w:rsidR="00F229EA">
        <w:t xml:space="preserve">Kath’s broad span of control </w:t>
      </w:r>
      <w:r w:rsidR="009D3549">
        <w:t>dilutes</w:t>
      </w:r>
      <w:r w:rsidR="00F229EA">
        <w:t xml:space="preserve"> the quality of support provided to her team. Communication is mostly limited to email which allows reach but could be missed by employees used to verbal updates or without system access.</w:t>
      </w:r>
      <w:r w:rsidR="00F11C2A" w:rsidRPr="00F11C2A">
        <w:t xml:space="preserve"> </w:t>
      </w:r>
      <w:r w:rsidR="00F11C2A">
        <w:t>Employees increasingly feel disconnected from management and unaware of goals (Taylor and Woodhams, 2022).</w:t>
      </w:r>
      <w:r w:rsidR="00F229EA">
        <w:t xml:space="preserve"> </w:t>
      </w:r>
      <w:r w:rsidR="00512A5D">
        <w:t>Introducing</w:t>
      </w:r>
      <w:r w:rsidR="00FD10E6">
        <w:t xml:space="preserve"> team leaders</w:t>
      </w:r>
      <w:r w:rsidR="00420E27">
        <w:t xml:space="preserve"> or middle managers</w:t>
      </w:r>
      <w:r w:rsidR="00FD10E6">
        <w:t xml:space="preserve"> could help improve communication, support,</w:t>
      </w:r>
      <w:r w:rsidR="00FD10E6" w:rsidRPr="00FD10E6">
        <w:t xml:space="preserve"> </w:t>
      </w:r>
      <w:r w:rsidR="00FD10E6">
        <w:t>motivations</w:t>
      </w:r>
      <w:r w:rsidR="0076298B">
        <w:t>, well</w:t>
      </w:r>
      <w:r w:rsidR="00E46D4D">
        <w:t>being</w:t>
      </w:r>
      <w:r w:rsidR="00FD10E6">
        <w:t xml:space="preserve"> and career pathways leading to a positive culture (Rand, 2024</w:t>
      </w:r>
      <w:r w:rsidR="00262282">
        <w:t xml:space="preserve">; </w:t>
      </w:r>
      <w:r w:rsidR="00E46D4D">
        <w:t>Hancock, Daher-Moreno and</w:t>
      </w:r>
      <w:r w:rsidR="00262282">
        <w:t xml:space="preserve"> Arnold, 2023</w:t>
      </w:r>
      <w:r w:rsidR="00FD10E6">
        <w:t>).</w:t>
      </w:r>
      <w:r w:rsidR="00420E27">
        <w:rPr>
          <w:b/>
        </w:rPr>
        <w:t xml:space="preserve"> </w:t>
      </w:r>
    </w:p>
    <w:p w:rsidR="008227E9" w:rsidRDefault="008227E9" w:rsidP="00C957A3">
      <w:pPr>
        <w:pStyle w:val="NoSpacing"/>
        <w:jc w:val="both"/>
      </w:pPr>
    </w:p>
    <w:p w:rsidR="00501D60" w:rsidRDefault="00501D60" w:rsidP="00501D60">
      <w:pPr>
        <w:pStyle w:val="NoSpacing"/>
        <w:jc w:val="both"/>
        <w:rPr>
          <w:b/>
          <w:color w:val="FF0000"/>
        </w:rPr>
      </w:pPr>
      <w:r w:rsidRPr="00501D60">
        <w:rPr>
          <w:b/>
        </w:rPr>
        <w:t>Q2. Analyse how Chaffinch Group could use a rational approach to strategy formulation to ensure that services provided meet customer needs. (AC 1.2)</w:t>
      </w:r>
      <w:r w:rsidR="00D57CB1">
        <w:rPr>
          <w:b/>
        </w:rPr>
        <w:t xml:space="preserve"> </w:t>
      </w:r>
    </w:p>
    <w:p w:rsidR="000F62B1" w:rsidRDefault="000F62B1" w:rsidP="00501D60">
      <w:pPr>
        <w:pStyle w:val="NoSpacing"/>
        <w:jc w:val="both"/>
        <w:rPr>
          <w:b/>
          <w:color w:val="FF0000"/>
        </w:rPr>
      </w:pPr>
    </w:p>
    <w:p w:rsidR="00493B0C" w:rsidRDefault="000F62B1" w:rsidP="00501D60">
      <w:pPr>
        <w:pStyle w:val="NoSpacing"/>
        <w:jc w:val="both"/>
      </w:pPr>
      <w:r>
        <w:t>A rational approach to strategy formulation systematica</w:t>
      </w:r>
      <w:r w:rsidR="001B2856">
        <w:t>lly helps organisations achieve</w:t>
      </w:r>
      <w:r>
        <w:t xml:space="preserve"> defined goals through data-driven, planned meth</w:t>
      </w:r>
      <w:r w:rsidR="00081A27">
        <w:t xml:space="preserve">ods. Although this contrasts </w:t>
      </w:r>
      <w:r>
        <w:t>emergent approach</w:t>
      </w:r>
      <w:r w:rsidR="00081A27">
        <w:t>es</w:t>
      </w:r>
      <w:r>
        <w:t xml:space="preserve">, leadership </w:t>
      </w:r>
      <w:r w:rsidR="00081A27">
        <w:t xml:space="preserve">teams will </w:t>
      </w:r>
      <w:r>
        <w:t xml:space="preserve">continue to review and update their </w:t>
      </w:r>
      <w:r w:rsidR="009662ED">
        <w:t>strategy</w:t>
      </w:r>
      <w:r>
        <w:t xml:space="preserve"> in response to changing external and internal forces</w:t>
      </w:r>
      <w:r w:rsidR="004E6DF6">
        <w:t xml:space="preserve"> </w:t>
      </w:r>
      <w:r w:rsidR="00493B0C">
        <w:t xml:space="preserve">(Taylor and Woodhams, 2022). </w:t>
      </w:r>
    </w:p>
    <w:p w:rsidR="000F62B1" w:rsidRDefault="000F62B1" w:rsidP="00501D60">
      <w:pPr>
        <w:pStyle w:val="NoSpacing"/>
        <w:jc w:val="both"/>
      </w:pPr>
    </w:p>
    <w:p w:rsidR="00860BE1" w:rsidRDefault="000F62B1" w:rsidP="00501D60">
      <w:pPr>
        <w:pStyle w:val="NoSpacing"/>
        <w:jc w:val="both"/>
      </w:pPr>
      <w:r>
        <w:t xml:space="preserve">To formulate and deliver an effective plan it is crucial that Chaffinch Group understands </w:t>
      </w:r>
      <w:r w:rsidR="00B36BB0">
        <w:t>their customer and their needs. Their customers are existing and new residents and family members involved i</w:t>
      </w:r>
      <w:r w:rsidR="00512A5D">
        <w:t>n decision-</w:t>
      </w:r>
      <w:r w:rsidR="00B36BB0">
        <w:t xml:space="preserve">making processes </w:t>
      </w:r>
      <w:r w:rsidR="00316DE7">
        <w:t xml:space="preserve">(Gaugler, 2005). </w:t>
      </w:r>
      <w:r w:rsidR="003A083F">
        <w:t>As a care provider</w:t>
      </w:r>
      <w:r w:rsidR="00B36BB0">
        <w:t xml:space="preserve">, Chaffinch Group’s strategy must </w:t>
      </w:r>
      <w:r w:rsidR="003A083F">
        <w:t>meet customer needs and</w:t>
      </w:r>
      <w:r w:rsidR="00B36BB0">
        <w:t xml:space="preserve"> regulatory standards. </w:t>
      </w:r>
      <w:r w:rsidR="00860BE1">
        <w:t xml:space="preserve">Present challenges include reduced occupancy and resident </w:t>
      </w:r>
      <w:r w:rsidR="00860BE1">
        <w:lastRenderedPageBreak/>
        <w:t xml:space="preserve">departures due to standardised refurbishments and declining care quality. Resident and employee dissatisfaction </w:t>
      </w:r>
      <w:r w:rsidR="009662ED">
        <w:t xml:space="preserve">also </w:t>
      </w:r>
      <w:r w:rsidR="00860BE1">
        <w:t>stems from retention issues, rigid polic</w:t>
      </w:r>
      <w:r w:rsidR="00A34B3D">
        <w:t>i</w:t>
      </w:r>
      <w:r w:rsidR="00860BE1">
        <w:t xml:space="preserve">es and centralised decision-making. </w:t>
      </w:r>
    </w:p>
    <w:p w:rsidR="00860BE1" w:rsidRDefault="00860BE1" w:rsidP="00501D60">
      <w:pPr>
        <w:pStyle w:val="NoSpacing"/>
        <w:jc w:val="both"/>
      </w:pPr>
    </w:p>
    <w:p w:rsidR="00797E60" w:rsidRDefault="00A34B3D" w:rsidP="00501D60">
      <w:pPr>
        <w:pStyle w:val="NoSpacing"/>
        <w:jc w:val="both"/>
      </w:pPr>
      <w:r>
        <w:t xml:space="preserve">Chaffinch Group </w:t>
      </w:r>
      <w:r w:rsidR="00081A27">
        <w:t xml:space="preserve">offers residential care services for long-term residents with personalised needs. This typically includes support with personal care, washing, dressing and meals. Their respite care service </w:t>
      </w:r>
      <w:r w:rsidR="009662ED">
        <w:t xml:space="preserve">also </w:t>
      </w:r>
      <w:r w:rsidR="00081A27">
        <w:t xml:space="preserve">offers short-term stays, providing resident care and support breaks for families </w:t>
      </w:r>
      <w:r w:rsidR="00A816A9">
        <w:t>(Age Space, 2025).</w:t>
      </w:r>
    </w:p>
    <w:p w:rsidR="00A816A9" w:rsidRDefault="00A816A9" w:rsidP="00501D60">
      <w:pPr>
        <w:pStyle w:val="NoSpacing"/>
        <w:jc w:val="both"/>
      </w:pPr>
    </w:p>
    <w:p w:rsidR="003A083F" w:rsidRDefault="00A816A9" w:rsidP="00501D60">
      <w:pPr>
        <w:pStyle w:val="NoSpacing"/>
        <w:jc w:val="both"/>
      </w:pPr>
      <w:r>
        <w:t>SWOT analysis is a rational model that Chaffinch Group</w:t>
      </w:r>
      <w:r w:rsidR="0097359D">
        <w:t xml:space="preserve"> could use</w:t>
      </w:r>
      <w:r>
        <w:t xml:space="preserve"> to analyse internal micro factors </w:t>
      </w:r>
      <w:r w:rsidR="0097359D">
        <w:t>(Strengths and W</w:t>
      </w:r>
      <w:r w:rsidR="00586F41">
        <w:t>eaknesse</w:t>
      </w:r>
      <w:r w:rsidR="0097359D">
        <w:t>s) and external macro factors (Opportunities and T</w:t>
      </w:r>
      <w:r w:rsidR="00586F41">
        <w:t>hreats) (Waite</w:t>
      </w:r>
      <w:r w:rsidR="00CD24CE">
        <w:t xml:space="preserve"> </w:t>
      </w:r>
      <w:r w:rsidR="00CD24CE" w:rsidRPr="00CD24CE">
        <w:rPr>
          <w:i/>
        </w:rPr>
        <w:t>et al</w:t>
      </w:r>
      <w:r w:rsidR="00586F41">
        <w:t xml:space="preserve">, 2021). </w:t>
      </w:r>
      <w:r w:rsidR="00081A27">
        <w:t xml:space="preserve">This would aid identification of </w:t>
      </w:r>
      <w:r w:rsidR="0097359D">
        <w:t>service strengths</w:t>
      </w:r>
      <w:r w:rsidR="00081A27">
        <w:t xml:space="preserve"> inclu</w:t>
      </w:r>
      <w:r w:rsidR="00860BE1">
        <w:t>ding personalised care offering and</w:t>
      </w:r>
      <w:r w:rsidR="00081A27">
        <w:t xml:space="preserve"> skilled employees along with weaknesses such as poor retention and communication. Opportunities </w:t>
      </w:r>
      <w:r w:rsidR="009662ED">
        <w:t xml:space="preserve">can then be explored </w:t>
      </w:r>
      <w:r w:rsidR="00081A27">
        <w:t xml:space="preserve">by analysing gaps, customer attraction methods and potential service adaptations. Finally, </w:t>
      </w:r>
      <w:r w:rsidR="0097359D">
        <w:t xml:space="preserve">external threats such as regulatory changes and competitor activity should be assessed. Although often deemed simplistic, SWOT analysis is a good starting place for Chaffinch Group and could be used </w:t>
      </w:r>
      <w:r w:rsidR="009662ED">
        <w:t>alongside</w:t>
      </w:r>
      <w:r w:rsidR="0097359D">
        <w:t xml:space="preserve"> other analytical methods </w:t>
      </w:r>
      <w:r w:rsidR="00797E60">
        <w:t>to overcome uncertainties (</w:t>
      </w:r>
      <w:r w:rsidR="00516EF4">
        <w:t>Tinsager and Smith</w:t>
      </w:r>
      <w:r w:rsidR="00586F41">
        <w:t xml:space="preserve">, 2022). </w:t>
      </w:r>
      <w:r w:rsidR="0097359D">
        <w:t xml:space="preserve">Surveys </w:t>
      </w:r>
      <w:r w:rsidR="00797E60">
        <w:t xml:space="preserve">could be launched to understand customer feedback and needs whilst PESTLE analysis would allow wider examination of political, social, technological, legal and environmental factors </w:t>
      </w:r>
      <w:r w:rsidR="00331AD0">
        <w:t>(CIPD</w:t>
      </w:r>
      <w:r w:rsidR="00586F41">
        <w:t>, 2025</w:t>
      </w:r>
      <w:r w:rsidR="00331AD0">
        <w:t>c</w:t>
      </w:r>
      <w:r w:rsidR="00586F41">
        <w:t xml:space="preserve">). </w:t>
      </w:r>
      <w:r w:rsidR="003A083F">
        <w:t xml:space="preserve">PESTLE analysis is sometimes extended to include ethical factors which Chaffinch Group should explore due to the importance of ethics in the care sector (Waite </w:t>
      </w:r>
      <w:r w:rsidR="003A083F" w:rsidRPr="00CD24CE">
        <w:rPr>
          <w:i/>
        </w:rPr>
        <w:t>et al</w:t>
      </w:r>
      <w:r w:rsidR="003A083F">
        <w:t>, 2021).</w:t>
      </w:r>
    </w:p>
    <w:p w:rsidR="00D57CB1" w:rsidRDefault="00D57CB1" w:rsidP="00501D60">
      <w:pPr>
        <w:pStyle w:val="NoSpacing"/>
        <w:jc w:val="both"/>
      </w:pPr>
    </w:p>
    <w:p w:rsidR="00591343" w:rsidRDefault="00A34B3D" w:rsidP="00501D60">
      <w:pPr>
        <w:pStyle w:val="NoSpacing"/>
        <w:jc w:val="both"/>
      </w:pPr>
      <w:r>
        <w:t xml:space="preserve">A rational </w:t>
      </w:r>
      <w:r w:rsidR="0097359D">
        <w:t xml:space="preserve">approach </w:t>
      </w:r>
      <w:r w:rsidR="00860BE1">
        <w:t>would enable</w:t>
      </w:r>
      <w:r w:rsidR="0097359D">
        <w:t xml:space="preserve"> Chaffinch Group to align strategy, services and procedures with what </w:t>
      </w:r>
      <w:r w:rsidR="003B5A43">
        <w:t>customers</w:t>
      </w:r>
      <w:r w:rsidR="0097359D">
        <w:t xml:space="preserve"> value and need. </w:t>
      </w:r>
      <w:r>
        <w:t>Plans should</w:t>
      </w:r>
      <w:r w:rsidR="003B5A43">
        <w:t xml:space="preserve"> </w:t>
      </w:r>
      <w:r w:rsidR="009662ED">
        <w:t>include</w:t>
      </w:r>
      <w:r w:rsidR="003B5A43">
        <w:t xml:space="preserve"> measurable goals </w:t>
      </w:r>
      <w:r>
        <w:t xml:space="preserve">to improve care quality, occupancy, satisfaction and communication. </w:t>
      </w:r>
      <w:r w:rsidR="003B5A43">
        <w:t xml:space="preserve">Accountability, budgets and deadlines </w:t>
      </w:r>
      <w:r>
        <w:t>are also required</w:t>
      </w:r>
      <w:r w:rsidR="003B5A43">
        <w:t xml:space="preserve">. </w:t>
      </w:r>
      <w:r w:rsidR="003A083F">
        <w:t>Success should be measured</w:t>
      </w:r>
      <w:r w:rsidR="003B5A43">
        <w:t xml:space="preserve"> using metrics such as fill rates, retention and customer satisfaction surveys </w:t>
      </w:r>
      <w:r w:rsidR="00CD24CE">
        <w:t>(Shatilo, 2018</w:t>
      </w:r>
      <w:r w:rsidR="009B4038">
        <w:t>).</w:t>
      </w:r>
      <w:r w:rsidR="003B5A43">
        <w:t xml:space="preserve"> </w:t>
      </w:r>
      <w:r w:rsidR="009B4038">
        <w:t xml:space="preserve">This </w:t>
      </w:r>
      <w:r w:rsidR="003B5A43">
        <w:t>helps</w:t>
      </w:r>
      <w:r w:rsidR="009B4038">
        <w:t xml:space="preserve"> inform the next stage of strategy formulation through customer-led evidence and quantifiable data. </w:t>
      </w:r>
      <w:r w:rsidR="003B5A43">
        <w:t>Ultimately, rational tools and effective strategies will enhance service</w:t>
      </w:r>
      <w:r>
        <w:t>s</w:t>
      </w:r>
      <w:r w:rsidR="003B5A43">
        <w:t xml:space="preserve"> and care quality for each resident.</w:t>
      </w:r>
    </w:p>
    <w:p w:rsidR="004E6DF6" w:rsidRPr="00676C67" w:rsidRDefault="004E6DF6" w:rsidP="00501D60">
      <w:pPr>
        <w:pStyle w:val="NoSpacing"/>
        <w:jc w:val="both"/>
      </w:pPr>
    </w:p>
    <w:p w:rsidR="00501D60" w:rsidRDefault="00501D60" w:rsidP="00501D60">
      <w:pPr>
        <w:pStyle w:val="NoSpacing"/>
        <w:jc w:val="both"/>
        <w:rPr>
          <w:b/>
        </w:rPr>
      </w:pPr>
      <w:r w:rsidRPr="00501D60">
        <w:rPr>
          <w:b/>
        </w:rPr>
        <w:t>Q3. Analyse one external factor that is currently having a negative impact on the residential care industry and one external factor that is currently having a positive impact on the residential care industry. (AC 1.3)</w:t>
      </w:r>
    </w:p>
    <w:p w:rsidR="00FB1515" w:rsidRDefault="00FB1515" w:rsidP="00501D60">
      <w:pPr>
        <w:pStyle w:val="NoSpacing"/>
        <w:jc w:val="both"/>
        <w:rPr>
          <w:b/>
        </w:rPr>
      </w:pPr>
    </w:p>
    <w:p w:rsidR="007D4A14" w:rsidRDefault="00066D85" w:rsidP="00501D60">
      <w:pPr>
        <w:pStyle w:val="NoSpacing"/>
        <w:jc w:val="both"/>
      </w:pPr>
      <w:r>
        <w:t>Applying PESTLE</w:t>
      </w:r>
      <w:r w:rsidR="00B33F4A">
        <w:t>, w</w:t>
      </w:r>
      <w:r w:rsidR="00E25C17">
        <w:t>orkforce</w:t>
      </w:r>
      <w:r w:rsidR="00FB1515">
        <w:t xml:space="preserve"> shortages </w:t>
      </w:r>
      <w:r w:rsidR="00B33F4A">
        <w:t xml:space="preserve">are </w:t>
      </w:r>
      <w:r w:rsidR="00366D40">
        <w:t>a</w:t>
      </w:r>
      <w:r w:rsidR="00B33F4A">
        <w:t xml:space="preserve"> socio-econ</w:t>
      </w:r>
      <w:r w:rsidR="0073290B">
        <w:t xml:space="preserve">omic factor </w:t>
      </w:r>
      <w:r w:rsidR="00B33F4A">
        <w:t>negative</w:t>
      </w:r>
      <w:r>
        <w:t>ly</w:t>
      </w:r>
      <w:r w:rsidR="00B33F4A">
        <w:t xml:space="preserve"> impact</w:t>
      </w:r>
      <w:r>
        <w:t xml:space="preserve">ing </w:t>
      </w:r>
      <w:r w:rsidR="00B33F4A">
        <w:t xml:space="preserve">the residential care industry. </w:t>
      </w:r>
      <w:r w:rsidR="007D4A14">
        <w:t>Th</w:t>
      </w:r>
      <w:r w:rsidR="00E25C17">
        <w:t xml:space="preserve">is is evidenced </w:t>
      </w:r>
      <w:r>
        <w:t>by</w:t>
      </w:r>
      <w:r w:rsidR="007D4A14">
        <w:t xml:space="preserve"> ongoing </w:t>
      </w:r>
      <w:r>
        <w:t xml:space="preserve">sector </w:t>
      </w:r>
      <w:r w:rsidR="007D4A14">
        <w:t xml:space="preserve">concerns with recruitment, retention and </w:t>
      </w:r>
      <w:r w:rsidR="00E25C17">
        <w:t xml:space="preserve">employee </w:t>
      </w:r>
      <w:r w:rsidR="007D4A14">
        <w:t>morale (</w:t>
      </w:r>
      <w:r w:rsidR="00747F2B">
        <w:t>Skills for Care, 2024; Care Quality Commission, 2025).</w:t>
      </w:r>
      <w:r w:rsidR="009F4D45">
        <w:t xml:space="preserve"> </w:t>
      </w:r>
    </w:p>
    <w:p w:rsidR="00B33F4A" w:rsidRDefault="00B33F4A" w:rsidP="00501D60">
      <w:pPr>
        <w:pStyle w:val="NoSpacing"/>
        <w:jc w:val="both"/>
      </w:pPr>
    </w:p>
    <w:p w:rsidR="007D4A14" w:rsidRDefault="00747F2B" w:rsidP="00501D60">
      <w:pPr>
        <w:pStyle w:val="NoSpacing"/>
        <w:jc w:val="both"/>
      </w:pPr>
      <w:r>
        <w:t xml:space="preserve">The </w:t>
      </w:r>
      <w:r w:rsidR="00FB1515">
        <w:t>Adult Social Care Workforce Survey (Department o</w:t>
      </w:r>
      <w:r w:rsidR="00674BF1">
        <w:t>f Health and Social Care</w:t>
      </w:r>
      <w:r w:rsidR="00E25C17">
        <w:t xml:space="preserve"> (DHSC)</w:t>
      </w:r>
      <w:r w:rsidR="00674BF1">
        <w:t>, 2025</w:t>
      </w:r>
      <w:r w:rsidR="00E25C17">
        <w:t>a</w:t>
      </w:r>
      <w:r w:rsidR="00674BF1">
        <w:t xml:space="preserve">) </w:t>
      </w:r>
      <w:r w:rsidR="0008704F">
        <w:t xml:space="preserve">reports, </w:t>
      </w:r>
      <w:r w:rsidR="005960C9">
        <w:t>between 19</w:t>
      </w:r>
      <w:r w:rsidR="005960C9" w:rsidRPr="005960C9">
        <w:rPr>
          <w:vertAlign w:val="superscript"/>
        </w:rPr>
        <w:t>th</w:t>
      </w:r>
      <w:r w:rsidR="005960C9">
        <w:t xml:space="preserve"> August and 19</w:t>
      </w:r>
      <w:r w:rsidR="005960C9" w:rsidRPr="005960C9">
        <w:rPr>
          <w:vertAlign w:val="superscript"/>
        </w:rPr>
        <w:t>th</w:t>
      </w:r>
      <w:r w:rsidR="005960C9">
        <w:t xml:space="preserve"> September 202</w:t>
      </w:r>
      <w:r w:rsidR="007D4A14">
        <w:t>4</w:t>
      </w:r>
      <w:r w:rsidR="005960C9">
        <w:t>, recruitment challenges were felt by 66.7% of residential care homes, whilst 53.9% noted retention concerns</w:t>
      </w:r>
      <w:r w:rsidR="0008704F">
        <w:t xml:space="preserve"> and 41.4% report</w:t>
      </w:r>
      <w:r w:rsidR="00E25C17">
        <w:t>ed</w:t>
      </w:r>
      <w:r w:rsidR="0008704F">
        <w:t xml:space="preserve"> </w:t>
      </w:r>
      <w:r w:rsidR="00E25C17">
        <w:t>morale concerns.</w:t>
      </w:r>
      <w:r w:rsidR="0008704F">
        <w:t xml:space="preserve"> </w:t>
      </w:r>
      <w:r w:rsidR="00210023">
        <w:t xml:space="preserve">Respondent views on reasons for workforce shortages varied greatly, </w:t>
      </w:r>
      <w:r w:rsidR="00865B43">
        <w:t>including</w:t>
      </w:r>
      <w:r w:rsidR="00210023">
        <w:t xml:space="preserve"> accessibility to funding for transport and childcare, lack o</w:t>
      </w:r>
      <w:r w:rsidR="00B94832">
        <w:t>f</w:t>
      </w:r>
      <w:r w:rsidR="00560B18">
        <w:t xml:space="preserve"> recognition and </w:t>
      </w:r>
      <w:r w:rsidR="00210023">
        <w:t xml:space="preserve">prolonged recruitment </w:t>
      </w:r>
      <w:r w:rsidR="00865B43">
        <w:t xml:space="preserve">processes </w:t>
      </w:r>
      <w:r w:rsidR="00560B18">
        <w:t>b</w:t>
      </w:r>
      <w:r w:rsidR="00746127">
        <w:t xml:space="preserve">ut </w:t>
      </w:r>
      <w:r w:rsidR="00ED2ABB">
        <w:t xml:space="preserve">respondents viewed pay disparity with other sectors as the main reason with 35% </w:t>
      </w:r>
      <w:r w:rsidR="007D4A14">
        <w:t>highlighting</w:t>
      </w:r>
      <w:r w:rsidR="00ED2ABB">
        <w:t xml:space="preserve"> this (DHSC, 2025</w:t>
      </w:r>
      <w:r w:rsidR="00EF147A">
        <w:t>a</w:t>
      </w:r>
      <w:r w:rsidR="00ED2ABB">
        <w:t xml:space="preserve">). </w:t>
      </w:r>
    </w:p>
    <w:p w:rsidR="007D4A14" w:rsidRDefault="007D4A14" w:rsidP="00501D60">
      <w:pPr>
        <w:pStyle w:val="NoSpacing"/>
        <w:jc w:val="both"/>
      </w:pPr>
    </w:p>
    <w:p w:rsidR="00560B18" w:rsidRDefault="00E25C17" w:rsidP="00501D60">
      <w:pPr>
        <w:pStyle w:val="NoSpacing"/>
        <w:jc w:val="both"/>
      </w:pPr>
      <w:r>
        <w:t xml:space="preserve">Pay concerns are </w:t>
      </w:r>
      <w:r w:rsidR="00B12CDA">
        <w:t xml:space="preserve">echoed by Unison (2025) </w:t>
      </w:r>
      <w:r w:rsidR="007D4A14">
        <w:t>who state</w:t>
      </w:r>
      <w:r w:rsidR="00B12CDA">
        <w:t xml:space="preserve"> workforce shortages will remain until wages are increased and skilled workers are recognised through fair pay agreements. </w:t>
      </w:r>
      <w:r w:rsidR="00066D85">
        <w:t xml:space="preserve">Disparity </w:t>
      </w:r>
      <w:r w:rsidR="00560B18">
        <w:t xml:space="preserve">makes care roles less desirable whilst </w:t>
      </w:r>
      <w:r w:rsidR="006D4AFE">
        <w:t>encouraging leavers</w:t>
      </w:r>
      <w:r w:rsidR="00560B18">
        <w:t>. Resulting workforce shortages can impair care quality and continuity whilst leading to</w:t>
      </w:r>
      <w:r w:rsidR="00066D85">
        <w:t xml:space="preserve"> employee</w:t>
      </w:r>
      <w:r w:rsidR="00560B18">
        <w:t xml:space="preserve"> burnout, </w:t>
      </w:r>
      <w:r w:rsidR="006D4AFE">
        <w:t>dissatisfaction</w:t>
      </w:r>
      <w:r w:rsidR="00066D85">
        <w:t xml:space="preserve"> and absence</w:t>
      </w:r>
      <w:r w:rsidR="00560B18">
        <w:t xml:space="preserve"> (</w:t>
      </w:r>
      <w:r w:rsidR="007D4A14">
        <w:t>DHSC, 2025</w:t>
      </w:r>
      <w:r>
        <w:t>a</w:t>
      </w:r>
      <w:r w:rsidR="007D4A14">
        <w:t>; Skills for Ca</w:t>
      </w:r>
      <w:r w:rsidR="001516DF">
        <w:t xml:space="preserve">re 2025). </w:t>
      </w:r>
      <w:r w:rsidR="00066D85">
        <w:t xml:space="preserve">Agency utilisation </w:t>
      </w:r>
      <w:r w:rsidR="00560B18">
        <w:t>help</w:t>
      </w:r>
      <w:r w:rsidR="00066D85">
        <w:t>s</w:t>
      </w:r>
      <w:r w:rsidR="00560B18">
        <w:t xml:space="preserve"> tackle workforce shortages but this often inflates wage bills and hinders </w:t>
      </w:r>
      <w:r w:rsidR="006D4AFE">
        <w:t>care consistency and quality</w:t>
      </w:r>
      <w:r w:rsidR="001516DF">
        <w:t xml:space="preserve"> (Care Quality </w:t>
      </w:r>
      <w:r w:rsidR="00B94832">
        <w:t>Commission</w:t>
      </w:r>
      <w:r w:rsidR="001516DF">
        <w:t xml:space="preserve">, 2025; Skills for Care, 2025). </w:t>
      </w:r>
      <w:r w:rsidR="00066D85">
        <w:t>Similarly,</w:t>
      </w:r>
      <w:r w:rsidR="007C26D9">
        <w:t xml:space="preserve"> workforce shortages under Chaffinch Group’s ownership have led to resident and staff concerns and unstable care provisions. Reliance on agency staff is also not viable long-term.</w:t>
      </w:r>
    </w:p>
    <w:p w:rsidR="00B12CDA" w:rsidRDefault="00B12CDA" w:rsidP="00501D60">
      <w:pPr>
        <w:pStyle w:val="NoSpacing"/>
        <w:jc w:val="both"/>
      </w:pPr>
    </w:p>
    <w:p w:rsidR="00AC1D01" w:rsidRDefault="007C26D9" w:rsidP="00501D60">
      <w:pPr>
        <w:pStyle w:val="NoSpacing"/>
        <w:jc w:val="both"/>
      </w:pPr>
      <w:r>
        <w:t>The upskilling and development of care workers is an e</w:t>
      </w:r>
      <w:r w:rsidR="006D4AFE">
        <w:t xml:space="preserve">xternal, social factor </w:t>
      </w:r>
      <w:r>
        <w:t xml:space="preserve">positively impacting the care industry. </w:t>
      </w:r>
      <w:r w:rsidR="00C22754">
        <w:t>The Care Workforce Pathway was introduced by the government in January 2024 and expanded in April 2025 to provide a professionalised standard for care roles (</w:t>
      </w:r>
      <w:r>
        <w:t>DHSC</w:t>
      </w:r>
      <w:r w:rsidR="00C22754">
        <w:t>, 2025</w:t>
      </w:r>
      <w:r w:rsidR="00EF147A">
        <w:t>b</w:t>
      </w:r>
      <w:r w:rsidR="00C22754">
        <w:t xml:space="preserve">). </w:t>
      </w:r>
      <w:r w:rsidR="00EF147A">
        <w:t>The pathway</w:t>
      </w:r>
      <w:r>
        <w:t xml:space="preserve"> captures the sector’s diversity, defining eight progressive role categories from “new in care” up to “registered manager”, aiming to improve workforce stability, care quality, competency and relationships</w:t>
      </w:r>
      <w:r w:rsidR="00EF147A">
        <w:t xml:space="preserve"> (DHSC, 2025b). </w:t>
      </w:r>
      <w:r w:rsidR="007D2C81">
        <w:t>This provides positive recognition of skills and sector roles along with a career pathway supporting retention, training and development (</w:t>
      </w:r>
      <w:r w:rsidR="00834997">
        <w:t>King’s College London, 2024)</w:t>
      </w:r>
      <w:r w:rsidR="00EF147A">
        <w:t xml:space="preserve">. </w:t>
      </w:r>
      <w:r w:rsidR="006A7C84">
        <w:t>Learning and development</w:t>
      </w:r>
      <w:r w:rsidR="00BD2B29">
        <w:t xml:space="preserve"> can also have a</w:t>
      </w:r>
      <w:r w:rsidR="00AC1D01">
        <w:t xml:space="preserve"> positive effect on</w:t>
      </w:r>
      <w:r w:rsidR="006A7C84">
        <w:t xml:space="preserve"> employee</w:t>
      </w:r>
      <w:r w:rsidR="00AC1D01">
        <w:t xml:space="preserve"> resilience</w:t>
      </w:r>
      <w:r w:rsidR="006A7C84">
        <w:t>,</w:t>
      </w:r>
      <w:r w:rsidR="00AC1D01">
        <w:t xml:space="preserve"> adaptability and stress-management (Hesketh and Cooper, 2019). </w:t>
      </w:r>
    </w:p>
    <w:p w:rsidR="00BD2B29" w:rsidRDefault="00BD2B29" w:rsidP="00501D60">
      <w:pPr>
        <w:pStyle w:val="NoSpacing"/>
        <w:jc w:val="both"/>
      </w:pPr>
    </w:p>
    <w:p w:rsidR="00834997" w:rsidRPr="00F03C80" w:rsidRDefault="00366D40" w:rsidP="00501D60">
      <w:pPr>
        <w:pStyle w:val="NoSpacing"/>
        <w:jc w:val="both"/>
      </w:pPr>
      <w:r>
        <w:t>Funded qualifications, including Level 2 Adult Social Care, further encourage employer investment and employee upskilling (</w:t>
      </w:r>
      <w:r w:rsidR="00834997">
        <w:t xml:space="preserve">DHSC, 2025b). </w:t>
      </w:r>
      <w:r w:rsidR="005001F1">
        <w:t xml:space="preserve">Additionally, </w:t>
      </w:r>
      <w:r w:rsidR="002B0A2A">
        <w:t xml:space="preserve">newer qualifications such as Level 5 in Understanding Digital Leadership in Adult Social Care are designed to upskill and support managers through technological change </w:t>
      </w:r>
      <w:r w:rsidR="00834997" w:rsidRPr="00F03C80">
        <w:t>(</w:t>
      </w:r>
      <w:r w:rsidR="005001F1" w:rsidRPr="00F03C80">
        <w:t>DHSC</w:t>
      </w:r>
      <w:r w:rsidR="00834997" w:rsidRPr="00F03C80">
        <w:t>, 2025</w:t>
      </w:r>
      <w:r w:rsidR="001B260E" w:rsidRPr="00F03C80">
        <w:t>c</w:t>
      </w:r>
      <w:r w:rsidR="00834997" w:rsidRPr="00F03C80">
        <w:t xml:space="preserve">). </w:t>
      </w:r>
      <w:r w:rsidR="006D4AFE">
        <w:t>Learning and development investment</w:t>
      </w:r>
      <w:r>
        <w:t xml:space="preserve"> promotes benefits </w:t>
      </w:r>
      <w:r w:rsidR="002B0A2A">
        <w:t>including increased productivity, skills</w:t>
      </w:r>
      <w:r>
        <w:t xml:space="preserve"> and wages (</w:t>
      </w:r>
      <w:r w:rsidR="00F03C80" w:rsidRPr="00F03C80">
        <w:t>Mullins &amp; McLean, 2019).</w:t>
      </w:r>
    </w:p>
    <w:p w:rsidR="006A7C84" w:rsidRPr="00F03C80" w:rsidRDefault="006A7C84" w:rsidP="005001F1">
      <w:pPr>
        <w:pStyle w:val="NoSpacing"/>
        <w:jc w:val="both"/>
        <w:rPr>
          <w:sz w:val="20"/>
          <w:szCs w:val="20"/>
        </w:rPr>
      </w:pPr>
    </w:p>
    <w:p w:rsidR="00366D40" w:rsidRDefault="00066D85" w:rsidP="005001F1">
      <w:pPr>
        <w:pStyle w:val="NoSpacing"/>
        <w:jc w:val="both"/>
      </w:pPr>
      <w:r>
        <w:t xml:space="preserve">Some residential </w:t>
      </w:r>
      <w:r w:rsidR="005001F1" w:rsidRPr="00F03C80">
        <w:t xml:space="preserve">homes </w:t>
      </w:r>
      <w:r>
        <w:t>deem training</w:t>
      </w:r>
      <w:r w:rsidR="005001F1" w:rsidRPr="00F03C80">
        <w:t xml:space="preserve"> costly, difficult to access and time-consuming, suggest</w:t>
      </w:r>
      <w:r w:rsidR="00366D40">
        <w:t xml:space="preserve">ing limitations and </w:t>
      </w:r>
      <w:r>
        <w:t>challenges</w:t>
      </w:r>
      <w:r w:rsidR="005001F1" w:rsidRPr="00F03C80">
        <w:t xml:space="preserve"> (DHSC, 2025a). Despite this, upskilling and </w:t>
      </w:r>
      <w:r w:rsidR="00366D40">
        <w:t xml:space="preserve">training offer significant benefits to care standards, workforce stability and satisfaction. </w:t>
      </w:r>
    </w:p>
    <w:p w:rsidR="00C957A3" w:rsidRPr="00501D60" w:rsidRDefault="00C957A3" w:rsidP="00501D60">
      <w:pPr>
        <w:pStyle w:val="NoSpacing"/>
        <w:jc w:val="both"/>
        <w:rPr>
          <w:b/>
        </w:rPr>
      </w:pPr>
    </w:p>
    <w:p w:rsidR="00501D60" w:rsidRDefault="00501D60" w:rsidP="00501D60">
      <w:pPr>
        <w:pStyle w:val="NoSpacing"/>
        <w:jc w:val="both"/>
        <w:rPr>
          <w:b/>
        </w:rPr>
      </w:pPr>
      <w:r w:rsidRPr="00501D60">
        <w:rPr>
          <w:b/>
        </w:rPr>
        <w:t>Q4. 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p w:rsidR="00B17EE3" w:rsidRDefault="00B17EE3" w:rsidP="00501D60">
      <w:pPr>
        <w:pStyle w:val="NoSpacing"/>
        <w:jc w:val="both"/>
        <w:rPr>
          <w:b/>
        </w:rPr>
      </w:pPr>
    </w:p>
    <w:p w:rsidR="00E30095" w:rsidRDefault="001B260E" w:rsidP="00501D60">
      <w:pPr>
        <w:pStyle w:val="NoSpacing"/>
        <w:jc w:val="both"/>
      </w:pPr>
      <w:r>
        <w:t xml:space="preserve">Chaffinch Group could </w:t>
      </w:r>
      <w:r w:rsidR="00C57BE7">
        <w:t>implement</w:t>
      </w:r>
      <w:r>
        <w:t xml:space="preserve"> technology in </w:t>
      </w:r>
      <w:r w:rsidR="00DE4BD3">
        <w:t>numerous</w:t>
      </w:r>
      <w:r w:rsidR="005D35BC">
        <w:t xml:space="preserve"> ways to enhance</w:t>
      </w:r>
      <w:r w:rsidR="00044DF5">
        <w:t xml:space="preserve"> work at Calmere House.</w:t>
      </w:r>
      <w:r w:rsidR="00E30095">
        <w:t xml:space="preserve"> Introducing a digital management system would </w:t>
      </w:r>
      <w:r w:rsidR="005D35BC">
        <w:t xml:space="preserve">improve </w:t>
      </w:r>
      <w:r w:rsidR="00E30095">
        <w:t xml:space="preserve">communication allowing real-time updates to be logged and shared through a centralised, accessible platform. This replaces traditional paper-based and verbal systems whilst improving security, record-keeping and patient care (Care Quality Commission, 2023. </w:t>
      </w:r>
    </w:p>
    <w:p w:rsidR="00E30095" w:rsidRDefault="00E30095" w:rsidP="00501D60">
      <w:pPr>
        <w:pStyle w:val="NoSpacing"/>
        <w:jc w:val="both"/>
      </w:pPr>
    </w:p>
    <w:p w:rsidR="00624C51" w:rsidRDefault="00624C51" w:rsidP="00624C51">
      <w:pPr>
        <w:pStyle w:val="NoSpacing"/>
        <w:jc w:val="both"/>
      </w:pPr>
      <w:r>
        <w:t xml:space="preserve">Their strategy should enable effective adoption and integration of technology. </w:t>
      </w:r>
      <w:r w:rsidR="00B63C66">
        <w:t>Financial plans</w:t>
      </w:r>
      <w:r>
        <w:t xml:space="preserve"> </w:t>
      </w:r>
      <w:r w:rsidR="00B63C66">
        <w:t xml:space="preserve">must </w:t>
      </w:r>
      <w:r>
        <w:t>account for equipment, systems and maintenance costs (DHSC, 2023).</w:t>
      </w:r>
      <w:r w:rsidR="00B63C66">
        <w:t xml:space="preserve"> Equipment must </w:t>
      </w:r>
      <w:r w:rsidR="005D35BC">
        <w:t xml:space="preserve">be </w:t>
      </w:r>
      <w:r w:rsidR="00B63C66">
        <w:t xml:space="preserve">suitable and effective, for example, portable devices such as tablets will allow employees to work effectively whilst </w:t>
      </w:r>
      <w:r w:rsidR="005D35BC">
        <w:t xml:space="preserve">remaining </w:t>
      </w:r>
      <w:r w:rsidR="00B63C66">
        <w:t xml:space="preserve">mobile. </w:t>
      </w:r>
      <w:r>
        <w:t>Training should be structured and inclusive of varying ca</w:t>
      </w:r>
      <w:r w:rsidR="005D35BC">
        <w:t xml:space="preserve">pabilities and learning styles. </w:t>
      </w:r>
      <w:r>
        <w:t>Hesketh and Cooper (2018) note that technology can evoke a positive or negative response for employees when introduced to the workplace. Some employees feel relief as manual,</w:t>
      </w:r>
      <w:r w:rsidR="00B63C66">
        <w:t xml:space="preserve"> </w:t>
      </w:r>
      <w:r>
        <w:t>stressful processes are replaced whilst others</w:t>
      </w:r>
      <w:r w:rsidR="00B63C66">
        <w:t xml:space="preserve"> worry about job security and/or integration.</w:t>
      </w:r>
      <w:r>
        <w:t xml:space="preserve"> </w:t>
      </w:r>
      <w:r w:rsidR="005D35BC">
        <w:t>Upskilling managers will aid</w:t>
      </w:r>
      <w:r w:rsidR="00B63C66">
        <w:t xml:space="preserve"> effective rollout by ensuring standardised training an</w:t>
      </w:r>
      <w:r w:rsidR="005D35BC">
        <w:t>d proc</w:t>
      </w:r>
      <w:r w:rsidR="00A51705">
        <w:t xml:space="preserve">esses whilst enhancing </w:t>
      </w:r>
      <w:r w:rsidR="005D35BC">
        <w:t>support system</w:t>
      </w:r>
      <w:r w:rsidR="00B63C66">
        <w:t>s (Welsh Govern</w:t>
      </w:r>
      <w:r w:rsidR="000930CF">
        <w:t>ment, 2025). This should span</w:t>
      </w:r>
      <w:r w:rsidR="00B63C66">
        <w:t xml:space="preserve"> system, equipment and data protection training. The strategy must also include</w:t>
      </w:r>
      <w:r w:rsidR="00CB0BE0">
        <w:t xml:space="preserve"> </w:t>
      </w:r>
      <w:r w:rsidR="00B63C66">
        <w:t>contingency plan</w:t>
      </w:r>
      <w:r w:rsidR="00CB0BE0">
        <w:t>s</w:t>
      </w:r>
      <w:r w:rsidR="00B63C66">
        <w:t xml:space="preserve"> for system issues or outages.</w:t>
      </w:r>
    </w:p>
    <w:p w:rsidR="00B63C66" w:rsidRDefault="00B63C66" w:rsidP="00624C51">
      <w:pPr>
        <w:pStyle w:val="NoSpacing"/>
        <w:jc w:val="both"/>
      </w:pPr>
    </w:p>
    <w:p w:rsidR="00EB4BBF" w:rsidRDefault="00A34B20" w:rsidP="00EB4BBF">
      <w:pPr>
        <w:pStyle w:val="NoSpacing"/>
        <w:jc w:val="both"/>
      </w:pPr>
      <w:r>
        <w:t xml:space="preserve">Introducing </w:t>
      </w:r>
      <w:r w:rsidR="000930CF">
        <w:t>Learn</w:t>
      </w:r>
      <w:r w:rsidR="00CB0BE0">
        <w:t xml:space="preserve">ing Management Systems </w:t>
      </w:r>
      <w:r>
        <w:t xml:space="preserve">could </w:t>
      </w:r>
      <w:r w:rsidR="000930CF">
        <w:t>support employee training</w:t>
      </w:r>
      <w:r w:rsidR="008B652F">
        <w:t>, providing 24/7 access to mandatory courses</w:t>
      </w:r>
      <w:r w:rsidR="000930CF">
        <w:t xml:space="preserve"> whilst promoting engagement through interactive conte</w:t>
      </w:r>
      <w:r w:rsidR="008B652F">
        <w:t>nt and certificates</w:t>
      </w:r>
      <w:r w:rsidR="000930CF">
        <w:t xml:space="preserve">. </w:t>
      </w:r>
      <w:r w:rsidR="00EB4BBF">
        <w:t xml:space="preserve">This is illustrated by Hamberley Care Homes, who successfully launched a mobile e-learning platform to 900 employees during the covid pandemic (The Access Group, 2025). Training rates increased whilst compliance </w:t>
      </w:r>
      <w:r w:rsidR="00A51705">
        <w:t xml:space="preserve">and reporting for managers </w:t>
      </w:r>
      <w:r w:rsidR="00EB4BBF">
        <w:t>improved. Technology could also provide access to wider online resources and webinars although Chaffinch Group would need to ensure accessibilit</w:t>
      </w:r>
      <w:r w:rsidR="00CB0BE0">
        <w:t>y, training and completion</w:t>
      </w:r>
      <w:r w:rsidR="00F6744C">
        <w:t xml:space="preserve"> during work time to protect well-being </w:t>
      </w:r>
      <w:r w:rsidR="00EB4BBF">
        <w:t>(</w:t>
      </w:r>
      <w:r w:rsidR="008B652F">
        <w:t>W</w:t>
      </w:r>
      <w:r w:rsidR="00EB4BBF">
        <w:t>elsh Government, 2025).</w:t>
      </w:r>
    </w:p>
    <w:p w:rsidR="00EB4BBF" w:rsidRDefault="00EB4BBF" w:rsidP="00EB4BBF">
      <w:pPr>
        <w:pStyle w:val="NoSpacing"/>
        <w:jc w:val="both"/>
      </w:pPr>
    </w:p>
    <w:p w:rsidR="008B652F" w:rsidRDefault="008B652F" w:rsidP="00501D60">
      <w:pPr>
        <w:pStyle w:val="NoSpacing"/>
        <w:jc w:val="both"/>
      </w:pPr>
      <w:r>
        <w:lastRenderedPageBreak/>
        <w:t xml:space="preserve">Artificial Intelligence (AI) could be integrated into emails or digital systems to reduce administrative tasks and improve workflows. A recent NHS study concluded that AI-led administrative tasks aided by Microsoft Copilot saved employees approximately 43 minutes </w:t>
      </w:r>
      <w:r w:rsidR="00E45EA2">
        <w:t xml:space="preserve">daily </w:t>
      </w:r>
      <w:r w:rsidR="005369D3">
        <w:t>(</w:t>
      </w:r>
      <w:r w:rsidR="002A72BF">
        <w:t>DHSC</w:t>
      </w:r>
      <w:r w:rsidR="004E22F3">
        <w:t>, NHS England and Ahmed, 2025</w:t>
      </w:r>
      <w:r w:rsidR="005369D3">
        <w:t>).</w:t>
      </w:r>
      <w:r w:rsidR="002A72BF">
        <w:t xml:space="preserve"> </w:t>
      </w:r>
      <w:r w:rsidR="00E45EA2">
        <w:t>S</w:t>
      </w:r>
      <w:r>
        <w:t>imilar integration</w:t>
      </w:r>
      <w:r w:rsidR="00E45EA2">
        <w:t>s</w:t>
      </w:r>
      <w:r>
        <w:t xml:space="preserve"> could aid productivity and reduce stress at Calmere House. Patient care and wellbeing could be improved through introducing </w:t>
      </w:r>
      <w:r w:rsidR="002A72BF">
        <w:t>SMART technology devices such as Amazo</w:t>
      </w:r>
      <w:r>
        <w:t xml:space="preserve">n Alexa. Studies </w:t>
      </w:r>
      <w:r w:rsidR="00E45EA2">
        <w:t xml:space="preserve">show these devices </w:t>
      </w:r>
      <w:r>
        <w:t xml:space="preserve">enhance resident connectivity with family members whilst also allowing alerts to be set to support daily activities (NHS England, 2023). Interfaces and voice commands need to be simple to avoid confusion, with set-up and usage training provided for staff and residents. </w:t>
      </w:r>
      <w:r w:rsidR="00C67DAB">
        <w:t xml:space="preserve">As </w:t>
      </w:r>
      <w:r w:rsidR="00DE4BD3">
        <w:t xml:space="preserve">AI adoption grows, </w:t>
      </w:r>
      <w:r w:rsidR="00E45EA2">
        <w:t>upskilling will become increasingly important to ensuring effective use and</w:t>
      </w:r>
      <w:r w:rsidR="00DE4BD3">
        <w:t xml:space="preserve"> adoption (World Economic Forum, 2025).</w:t>
      </w:r>
    </w:p>
    <w:p w:rsidR="00E45EA2" w:rsidRDefault="00E45EA2" w:rsidP="00501D60">
      <w:pPr>
        <w:pStyle w:val="NoSpacing"/>
        <w:jc w:val="both"/>
      </w:pPr>
    </w:p>
    <w:p w:rsidR="00E45EA2" w:rsidRDefault="00A51705" w:rsidP="00501D60">
      <w:pPr>
        <w:pStyle w:val="NoSpacing"/>
        <w:jc w:val="both"/>
      </w:pPr>
      <w:r>
        <w:t>Social media could</w:t>
      </w:r>
      <w:r w:rsidR="00E45EA2">
        <w:t xml:space="preserve"> enhance brand profile and connectivity </w:t>
      </w:r>
      <w:r w:rsidR="00127D1C">
        <w:t>(CIPD, 2025</w:t>
      </w:r>
      <w:r w:rsidR="00B231B0">
        <w:t>d</w:t>
      </w:r>
      <w:r w:rsidR="00127D1C">
        <w:t>)</w:t>
      </w:r>
      <w:r w:rsidR="00E45EA2">
        <w:t xml:space="preserve">. Platforms including </w:t>
      </w:r>
      <w:r w:rsidR="00DE4BD3">
        <w:t>Facebook and L</w:t>
      </w:r>
      <w:r w:rsidR="00E45EA2">
        <w:t>inkedIn can help promote vacancies, well-being content and activities providing resident consent, reputation management and</w:t>
      </w:r>
      <w:r w:rsidR="00DF5F86">
        <w:t xml:space="preserve"> training</w:t>
      </w:r>
      <w:r w:rsidR="00E45EA2">
        <w:t xml:space="preserve"> are in place.</w:t>
      </w:r>
    </w:p>
    <w:p w:rsidR="00E45EA2" w:rsidRDefault="00E45EA2" w:rsidP="00501D60">
      <w:pPr>
        <w:pStyle w:val="NoSpacing"/>
        <w:jc w:val="both"/>
      </w:pPr>
    </w:p>
    <w:p w:rsidR="00FF4E0A" w:rsidRDefault="00FF4E0A" w:rsidP="00FF4E0A">
      <w:pPr>
        <w:pStyle w:val="NoSpacing"/>
        <w:jc w:val="both"/>
        <w:rPr>
          <w:b/>
        </w:rPr>
      </w:pPr>
      <w:r w:rsidRPr="00501D60">
        <w:rPr>
          <w:b/>
        </w:rPr>
        <w:t>Q5. Using theories and models which examine organisational and human behaviour, explain why problems have arisen following the takeover of Calmere House by Chaffinch Group. (AC 2.1)</w:t>
      </w:r>
    </w:p>
    <w:p w:rsidR="00BB797C" w:rsidRDefault="00BB797C" w:rsidP="00FF4E0A">
      <w:pPr>
        <w:pStyle w:val="NoSpacing"/>
        <w:jc w:val="both"/>
      </w:pPr>
    </w:p>
    <w:p w:rsidR="00735751" w:rsidRDefault="00735751" w:rsidP="00FF4E0A">
      <w:pPr>
        <w:pStyle w:val="NoSpacing"/>
        <w:jc w:val="both"/>
      </w:pPr>
      <w:r>
        <w:t xml:space="preserve">The SCARF model provides insight into why issues </w:t>
      </w:r>
      <w:r w:rsidR="00BB797C">
        <w:t>emerged following Chaffinch Group’s takeover of Calmere House</w:t>
      </w:r>
      <w:r w:rsidR="001323AE">
        <w:t>, applying</w:t>
      </w:r>
      <w:r w:rsidR="00F848FC">
        <w:t xml:space="preserve"> a neuroscience </w:t>
      </w:r>
      <w:r w:rsidR="001323AE">
        <w:t>viewpoint</w:t>
      </w:r>
      <w:r w:rsidR="001F0CE1">
        <w:t>. Rock (2008) iden</w:t>
      </w:r>
      <w:r w:rsidR="006A7D8C">
        <w:t xml:space="preserve">tifies five core domains </w:t>
      </w:r>
      <w:r>
        <w:t xml:space="preserve">(Status, Certainty, Autonomy, Relatedness and Fairness) which influence individuals’ responses to perceived threats and rewards. Effective application of SCARF can enhance </w:t>
      </w:r>
      <w:r w:rsidR="001B0818">
        <w:t xml:space="preserve">trust, </w:t>
      </w:r>
      <w:r w:rsidR="00D41574">
        <w:t>motivation and teamwork</w:t>
      </w:r>
      <w:r w:rsidR="001F0CE1">
        <w:t xml:space="preserve"> (</w:t>
      </w:r>
      <w:r w:rsidR="001B0818">
        <w:t>Buchanan, 2023</w:t>
      </w:r>
      <w:r w:rsidR="001F0CE1">
        <w:t xml:space="preserve">). </w:t>
      </w:r>
      <w:r>
        <w:t xml:space="preserve">However, </w:t>
      </w:r>
      <w:r w:rsidR="00CB0BE0">
        <w:t xml:space="preserve">ineffective </w:t>
      </w:r>
      <w:r w:rsidR="00D41574">
        <w:t>application</w:t>
      </w:r>
      <w:r>
        <w:t xml:space="preserve"> </w:t>
      </w:r>
      <w:r w:rsidR="00A51705">
        <w:t>can trigger threat responses,</w:t>
      </w:r>
      <w:r>
        <w:t xml:space="preserve"> seen in Chaffinch Group’s takeover, res</w:t>
      </w:r>
      <w:r w:rsidR="00CB0BE0">
        <w:t>u</w:t>
      </w:r>
      <w:r w:rsidR="00A51705">
        <w:t xml:space="preserve">lting in disengagement </w:t>
      </w:r>
      <w:r>
        <w:t xml:space="preserve">and resistance to change. </w:t>
      </w:r>
    </w:p>
    <w:p w:rsidR="00735751" w:rsidRDefault="00735751" w:rsidP="00FF4E0A">
      <w:pPr>
        <w:pStyle w:val="NoSpacing"/>
        <w:jc w:val="both"/>
      </w:pPr>
    </w:p>
    <w:p w:rsidR="00547989" w:rsidRDefault="00735751" w:rsidP="00547989">
      <w:pPr>
        <w:pStyle w:val="NoSpacing"/>
        <w:jc w:val="both"/>
      </w:pPr>
      <w:r>
        <w:t>Further exploring each domain helps clarify why problems have occurred. Pre-takeover, rela</w:t>
      </w:r>
      <w:r w:rsidR="00A51705">
        <w:t xml:space="preserve">tive status was clear evoking </w:t>
      </w:r>
      <w:r>
        <w:t>reward response</w:t>
      </w:r>
      <w:r w:rsidR="00A51705">
        <w:t>s</w:t>
      </w:r>
      <w:r>
        <w:t xml:space="preserve"> for employees who felt valued and heard. However, the hierarchical structure introduced by Chaffinch Group threatened this </w:t>
      </w:r>
      <w:r w:rsidR="00547989">
        <w:t xml:space="preserve">and reduced employee voice </w:t>
      </w:r>
      <w:r>
        <w:t>(Buchanan, 2023). Ineffective change m</w:t>
      </w:r>
      <w:r w:rsidR="00547989">
        <w:t>anagement and communication also</w:t>
      </w:r>
      <w:r>
        <w:t xml:space="preserve"> hindered certainty. Expectat</w:t>
      </w:r>
      <w:r w:rsidR="00A51705">
        <w:t xml:space="preserve">ions and routines were clear </w:t>
      </w:r>
      <w:r>
        <w:t xml:space="preserve">under Kirsten’s ownership but weakened post-takeover </w:t>
      </w:r>
      <w:r w:rsidR="00A51705">
        <w:t xml:space="preserve">causing </w:t>
      </w:r>
      <w:r w:rsidR="00547989">
        <w:t>uncertainty for employees an</w:t>
      </w:r>
      <w:r w:rsidR="00CB0BE0">
        <w:t>d residents. The takeover r</w:t>
      </w:r>
      <w:r w:rsidR="00547989">
        <w:t xml:space="preserve">educed employee autonomy by limiting involvement in decisions and control over policies. </w:t>
      </w:r>
      <w:r w:rsidR="00412971">
        <w:t>Relatedness enables individuals to identify friends and foes within a group (Rock, 2008).</w:t>
      </w:r>
      <w:r w:rsidR="00547989">
        <w:t xml:space="preserve"> Previously, Calmere House had a positive culture shaped by a supportive, collaborative team environment but the takeover created a divided environmen</w:t>
      </w:r>
      <w:r w:rsidR="00CB0BE0">
        <w:t>t through reduced engagement</w:t>
      </w:r>
      <w:r w:rsidR="00547989">
        <w:t xml:space="preserve"> and centralised decision-making</w:t>
      </w:r>
      <w:r w:rsidR="001323AE">
        <w:t>. Fairness implications contributed</w:t>
      </w:r>
      <w:r w:rsidR="00547989">
        <w:t xml:space="preserve"> to negative behaviours, burnout and </w:t>
      </w:r>
      <w:r w:rsidR="001323AE">
        <w:t>disconnection</w:t>
      </w:r>
      <w:r w:rsidR="00547989">
        <w:t xml:space="preserve">. </w:t>
      </w:r>
      <w:r w:rsidR="00CB0BE0">
        <w:t>Kirsten consulted employees on</w:t>
      </w:r>
      <w:r w:rsidR="00547989">
        <w:t xml:space="preserve"> recruitment decisions and strategic goals, as she valued their experience and input</w:t>
      </w:r>
      <w:r w:rsidR="001323AE">
        <w:t>. However, Chaffinch Group</w:t>
      </w:r>
      <w:r w:rsidR="00160C3A">
        <w:t xml:space="preserve"> introduced </w:t>
      </w:r>
      <w:r w:rsidR="001323AE">
        <w:t xml:space="preserve">autocratic leadership approaches and centralised recruitment causing </w:t>
      </w:r>
      <w:r w:rsidR="00547989">
        <w:t>frustration and reduced perceptions of fairness (Rock, 2008).</w:t>
      </w:r>
    </w:p>
    <w:p w:rsidR="00547989" w:rsidRDefault="00547989" w:rsidP="00AB1768">
      <w:pPr>
        <w:pStyle w:val="NoSpacing"/>
        <w:tabs>
          <w:tab w:val="left" w:pos="7901"/>
        </w:tabs>
        <w:jc w:val="both"/>
      </w:pPr>
    </w:p>
    <w:p w:rsidR="00A5601A" w:rsidRDefault="001944B7" w:rsidP="00FF4E0A">
      <w:pPr>
        <w:pStyle w:val="NoSpacing"/>
        <w:jc w:val="both"/>
      </w:pPr>
      <w:r>
        <w:t xml:space="preserve">Schein’s (2010) Three </w:t>
      </w:r>
      <w:r w:rsidR="00CA756A">
        <w:t xml:space="preserve">Levels of Culture model </w:t>
      </w:r>
      <w:r>
        <w:t>provides</w:t>
      </w:r>
      <w:r w:rsidR="00CA756A">
        <w:t xml:space="preserve"> further insight into </w:t>
      </w:r>
      <w:r w:rsidR="001323AE">
        <w:t>problems resulting</w:t>
      </w:r>
      <w:r>
        <w:t xml:space="preserve"> from Chaffinch Group’s takeover of Calmere House. </w:t>
      </w:r>
      <w:r w:rsidR="000D64CC">
        <w:t>Often d</w:t>
      </w:r>
      <w:r w:rsidR="00CA756A">
        <w:t>epicted as an iceberg, it</w:t>
      </w:r>
      <w:r w:rsidR="000D64CC">
        <w:t xml:space="preserve"> comprises three layers of visible artefacts, </w:t>
      </w:r>
      <w:r w:rsidR="00936661">
        <w:t>partly-</w:t>
      </w:r>
      <w:r w:rsidR="00FB404C">
        <w:t>observable</w:t>
      </w:r>
      <w:r w:rsidR="000D64CC">
        <w:t xml:space="preserve"> espoused values and </w:t>
      </w:r>
      <w:r w:rsidR="00FB404C">
        <w:t>hidden, underlying assumptions and beliefs (S</w:t>
      </w:r>
      <w:r w:rsidR="006D26E4">
        <w:t>c</w:t>
      </w:r>
      <w:r w:rsidR="00FB404C">
        <w:t xml:space="preserve">hein, 2010). Each </w:t>
      </w:r>
      <w:r w:rsidR="00CA756A">
        <w:t xml:space="preserve">layer helps explain </w:t>
      </w:r>
      <w:r w:rsidR="00FB404C">
        <w:t xml:space="preserve">organisational </w:t>
      </w:r>
      <w:r w:rsidR="00CA756A">
        <w:t xml:space="preserve">culture and behaviour, </w:t>
      </w:r>
      <w:r w:rsidR="001323AE">
        <w:t>whilst providing glimpses</w:t>
      </w:r>
      <w:r w:rsidR="00CA756A">
        <w:t xml:space="preserve"> into individuals’ behaviour </w:t>
      </w:r>
      <w:r w:rsidR="00FB404C">
        <w:t>within it (CIPD, 2025e).</w:t>
      </w:r>
    </w:p>
    <w:p w:rsidR="00936661" w:rsidRDefault="00936661" w:rsidP="00FF4E0A">
      <w:pPr>
        <w:pStyle w:val="NoSpacing"/>
        <w:jc w:val="both"/>
      </w:pPr>
    </w:p>
    <w:p w:rsidR="00D41574" w:rsidRDefault="001323AE" w:rsidP="007C5466">
      <w:pPr>
        <w:pStyle w:val="NoSpacing"/>
        <w:jc w:val="both"/>
      </w:pPr>
      <w:r>
        <w:t>Previously</w:t>
      </w:r>
      <w:r w:rsidR="00936661">
        <w:t xml:space="preserve">, </w:t>
      </w:r>
      <w:r w:rsidR="00CA756A">
        <w:t xml:space="preserve">artefacts included </w:t>
      </w:r>
      <w:r w:rsidR="00936661">
        <w:t>inf</w:t>
      </w:r>
      <w:r w:rsidR="00CA756A">
        <w:t xml:space="preserve">ormal processes </w:t>
      </w:r>
      <w:r w:rsidR="00936661">
        <w:t>and communica</w:t>
      </w:r>
      <w:r w:rsidR="00CA756A">
        <w:t>tions which positively shaped culture under a flat structure. Artefacts rapidl</w:t>
      </w:r>
      <w:r>
        <w:t>y changed during the takeover</w:t>
      </w:r>
      <w:r w:rsidR="00CA756A">
        <w:t xml:space="preserve"> </w:t>
      </w:r>
      <w:r>
        <w:t>through introducing</w:t>
      </w:r>
      <w:r w:rsidR="00D41574">
        <w:t xml:space="preserve"> </w:t>
      </w:r>
      <w:r>
        <w:t xml:space="preserve">standardised procedures under a </w:t>
      </w:r>
      <w:r w:rsidR="00D41574">
        <w:t>hierarchical structure</w:t>
      </w:r>
      <w:r w:rsidR="00CB0BE0">
        <w:t>. The change</w:t>
      </w:r>
      <w:r w:rsidR="00D41574">
        <w:t xml:space="preserve"> resulted in conflicting old and new espoused values </w:t>
      </w:r>
      <w:r w:rsidR="00CA756A">
        <w:t xml:space="preserve">(Schein, 2010). </w:t>
      </w:r>
      <w:r w:rsidR="005B2939">
        <w:t>Kirsten’s ownership pro</w:t>
      </w:r>
      <w:r w:rsidR="00CB7E35">
        <w:t xml:space="preserve">moted autonomy, flexibility and loyalty through informal practices and consultative approaches. </w:t>
      </w:r>
      <w:r w:rsidR="00D41574">
        <w:t>Conversely, Chaffinch Group’s espou</w:t>
      </w:r>
      <w:r w:rsidR="0050647D">
        <w:t xml:space="preserve">sed values focus </w:t>
      </w:r>
      <w:r w:rsidR="0050647D">
        <w:lastRenderedPageBreak/>
        <w:t>on uniformity,</w:t>
      </w:r>
      <w:r>
        <w:t xml:space="preserve"> </w:t>
      </w:r>
      <w:r w:rsidR="0050647D">
        <w:t xml:space="preserve">measured results and return on investment reinforced by autocratic leadership styles. </w:t>
      </w:r>
      <w:r w:rsidR="00160C3A">
        <w:t xml:space="preserve">Finally, </w:t>
      </w:r>
      <w:r w:rsidR="00D41574">
        <w:t xml:space="preserve">issues stem from a mismatch between Chaffinch Group’s </w:t>
      </w:r>
      <w:r w:rsidR="00160C3A">
        <w:t xml:space="preserve">assumptions and beliefs and those </w:t>
      </w:r>
      <w:r w:rsidR="00D41574">
        <w:t xml:space="preserve">employees developed under Kirsten’s ownership </w:t>
      </w:r>
      <w:r w:rsidR="006D26E4">
        <w:t>(Dimitrov, 2013). Chaffinch Group</w:t>
      </w:r>
      <w:r w:rsidR="00160C3A">
        <w:t>’s standardised a</w:t>
      </w:r>
      <w:r w:rsidR="00D41574">
        <w:t>pproach is incompatible with the personali</w:t>
      </w:r>
      <w:r w:rsidR="00160C3A">
        <w:t>sed care</w:t>
      </w:r>
      <w:r w:rsidR="0050647D">
        <w:t xml:space="preserve"> approach</w:t>
      </w:r>
      <w:r w:rsidR="00D41574">
        <w:t xml:space="preserve"> employees developed under Kirsten. This incompatibility has caused distrust and resistance to change.</w:t>
      </w:r>
    </w:p>
    <w:p w:rsidR="00D41574" w:rsidRPr="00F96729" w:rsidRDefault="00D41574" w:rsidP="00F848FC">
      <w:pPr>
        <w:pStyle w:val="NoSpacing"/>
        <w:jc w:val="both"/>
      </w:pPr>
    </w:p>
    <w:p w:rsidR="00FF4E0A" w:rsidRDefault="00FF4E0A" w:rsidP="00FF4E0A">
      <w:pPr>
        <w:pStyle w:val="NoSpacing"/>
        <w:jc w:val="both"/>
        <w:rPr>
          <w:b/>
        </w:rPr>
      </w:pPr>
      <w:r w:rsidRPr="00501D60">
        <w:rPr>
          <w:b/>
        </w:rPr>
        <w:t>Q6. Assess how changes to selection and employee voice have impacted organisational culture and behaviours at Chaffinch Group. (AC 2.2)</w:t>
      </w:r>
    </w:p>
    <w:p w:rsidR="00C703CE" w:rsidRDefault="00C703CE" w:rsidP="00F6744C">
      <w:pPr>
        <w:pStyle w:val="NoSpacing"/>
        <w:jc w:val="both"/>
      </w:pPr>
    </w:p>
    <w:p w:rsidR="00327624" w:rsidRDefault="00F6744C" w:rsidP="00A06E21">
      <w:pPr>
        <w:pStyle w:val="NoSpacing"/>
        <w:jc w:val="both"/>
      </w:pPr>
      <w:r>
        <w:t>Under Kirsten’s owner</w:t>
      </w:r>
      <w:r w:rsidR="008A0D0A">
        <w:t>ship, the selection process was employee-led, reflecting an orga</w:t>
      </w:r>
      <w:r w:rsidR="000E03BE">
        <w:t xml:space="preserve">nisational culture which </w:t>
      </w:r>
      <w:r w:rsidR="008A0D0A">
        <w:t>valued staff knowledge and experience in hiring decisions.</w:t>
      </w:r>
      <w:r w:rsidR="00CB0BE0">
        <w:t xml:space="preserve"> T</w:t>
      </w:r>
      <w:r w:rsidR="00A06E21">
        <w:t>his appro</w:t>
      </w:r>
      <w:r w:rsidR="00E33A71">
        <w:t xml:space="preserve">ach </w:t>
      </w:r>
      <w:r w:rsidR="000E03BE">
        <w:t>fostered</w:t>
      </w:r>
      <w:r w:rsidR="00160C3A">
        <w:t xml:space="preserve"> inclusivity, </w:t>
      </w:r>
      <w:r w:rsidR="00A34B20">
        <w:t>trust and</w:t>
      </w:r>
      <w:r w:rsidR="00CB0BE0">
        <w:t xml:space="preserve"> participation</w:t>
      </w:r>
      <w:r w:rsidR="000E03BE">
        <w:t xml:space="preserve"> </w:t>
      </w:r>
      <w:r w:rsidR="00E33A71">
        <w:t xml:space="preserve">(Ogu, 2024). </w:t>
      </w:r>
      <w:r w:rsidR="00AA73CD">
        <w:t xml:space="preserve">Following </w:t>
      </w:r>
      <w:r w:rsidR="00A06E21">
        <w:t xml:space="preserve">Chaffinch Group’s takeover, </w:t>
      </w:r>
      <w:r w:rsidR="00CB0BE0">
        <w:t xml:space="preserve">the </w:t>
      </w:r>
      <w:r w:rsidR="006569A5">
        <w:t xml:space="preserve">selection process </w:t>
      </w:r>
      <w:r w:rsidR="001B4FA9">
        <w:t>has been</w:t>
      </w:r>
      <w:r w:rsidR="00CB0BE0">
        <w:t xml:space="preserve"> centralised removing </w:t>
      </w:r>
      <w:r w:rsidR="00AA73CD">
        <w:t>employees’ involvement in recruitment decisions.</w:t>
      </w:r>
      <w:r w:rsidR="00A508A4">
        <w:t xml:space="preserve"> </w:t>
      </w:r>
      <w:r w:rsidR="00E82733">
        <w:t xml:space="preserve">This </w:t>
      </w:r>
      <w:r w:rsidR="00A508A4">
        <w:t>damaged the employees’ expectations of participation making them feel disconnected and unhappy (Rousseau, 1995). The</w:t>
      </w:r>
      <w:r w:rsidR="00A5390B">
        <w:t xml:space="preserve"> centralisation, combined with inadequa</w:t>
      </w:r>
      <w:r w:rsidR="00CB0BE0">
        <w:t xml:space="preserve">te change management, </w:t>
      </w:r>
      <w:r w:rsidR="001B4FA9">
        <w:t xml:space="preserve">has </w:t>
      </w:r>
      <w:r w:rsidR="00A5390B">
        <w:t>negative</w:t>
      </w:r>
      <w:r w:rsidR="006569A5">
        <w:t>ly</w:t>
      </w:r>
      <w:r w:rsidR="00A5390B">
        <w:t xml:space="preserve"> impact</w:t>
      </w:r>
      <w:r w:rsidR="006569A5">
        <w:t>ed</w:t>
      </w:r>
      <w:r w:rsidR="000E03BE">
        <w:t xml:space="preserve"> </w:t>
      </w:r>
      <w:r w:rsidR="00A5390B">
        <w:t>organisational culture and behaviours overall.</w:t>
      </w:r>
      <w:r w:rsidR="00AA73CD">
        <w:t xml:space="preserve"> </w:t>
      </w:r>
    </w:p>
    <w:p w:rsidR="00327624" w:rsidRDefault="00327624" w:rsidP="00A06E21">
      <w:pPr>
        <w:pStyle w:val="NoSpacing"/>
        <w:jc w:val="both"/>
      </w:pPr>
    </w:p>
    <w:p w:rsidR="00E86C37" w:rsidRDefault="00327624" w:rsidP="004A061D">
      <w:pPr>
        <w:pStyle w:val="NoSpacing"/>
        <w:jc w:val="both"/>
      </w:pPr>
      <w:r>
        <w:t>Removing employee-led recruitment practices has contributed to organisational culture-rot</w:t>
      </w:r>
      <w:r w:rsidR="001B4FA9">
        <w:t xml:space="preserve"> and</w:t>
      </w:r>
      <w:r w:rsidR="00445F92">
        <w:t xml:space="preserve"> reduced</w:t>
      </w:r>
      <w:r w:rsidR="001B4FA9">
        <w:t xml:space="preserve"> employee voice </w:t>
      </w:r>
      <w:r>
        <w:t xml:space="preserve">(Mayne, 2025). </w:t>
      </w:r>
      <w:r w:rsidR="00445F92">
        <w:t>Inclusive values</w:t>
      </w:r>
      <w:r w:rsidR="00827296">
        <w:t xml:space="preserve">, collaboration and previously shared cultural assumptions have been replaced </w:t>
      </w:r>
      <w:r w:rsidR="00445F92">
        <w:t>by a top-down, autocratic approach and</w:t>
      </w:r>
      <w:r w:rsidR="00E86C37">
        <w:t xml:space="preserve"> a compliance-based culture</w:t>
      </w:r>
      <w:r w:rsidR="00827296">
        <w:t xml:space="preserve"> (Schein, 2010)</w:t>
      </w:r>
      <w:r w:rsidR="00445F92">
        <w:t>. This has left employees feeling detached from decision-</w:t>
      </w:r>
      <w:r w:rsidR="000E03BE">
        <w:t>making and reduced</w:t>
      </w:r>
      <w:r w:rsidR="00445F92">
        <w:t xml:space="preserve"> morale</w:t>
      </w:r>
      <w:r w:rsidR="00827296">
        <w:t xml:space="preserve">. </w:t>
      </w:r>
      <w:r w:rsidR="00A34B20">
        <w:t xml:space="preserve">The cultural shift has </w:t>
      </w:r>
      <w:r w:rsidR="00C2648D">
        <w:t xml:space="preserve">threatened employee relatedness and autonomy leading to feelings of disengagement and uncertainty (Rock, 2008). </w:t>
      </w:r>
    </w:p>
    <w:p w:rsidR="00E86C37" w:rsidRDefault="00E86C37" w:rsidP="004A061D">
      <w:pPr>
        <w:pStyle w:val="NoSpacing"/>
        <w:jc w:val="both"/>
      </w:pPr>
    </w:p>
    <w:p w:rsidR="00E86C37" w:rsidRDefault="00E86C37" w:rsidP="00E86C37">
      <w:pPr>
        <w:pStyle w:val="NoSpacing"/>
        <w:jc w:val="both"/>
      </w:pPr>
      <w:r>
        <w:t>O</w:t>
      </w:r>
      <w:r w:rsidR="00C2648D">
        <w:t>rganisational culture is strongly influenced by how people are recruited and what type of person is hired</w:t>
      </w:r>
      <w:r>
        <w:t xml:space="preserve"> (Rudd, 2024</w:t>
      </w:r>
      <w:r w:rsidR="00C066EF">
        <w:t>).</w:t>
      </w:r>
      <w:r w:rsidR="001A0188">
        <w:t xml:space="preserve"> Under Kirsten’s ownership, recruitment practices encouraged cultural alignment as employees were able to use their expertise and understanding of company values to hire candidates w</w:t>
      </w:r>
      <w:r w:rsidR="00DF22CC">
        <w:t xml:space="preserve">ho </w:t>
      </w:r>
      <w:r w:rsidR="004A061D">
        <w:t>matched the desired culture</w:t>
      </w:r>
      <w:r>
        <w:t xml:space="preserve"> (Tholen, 2024)</w:t>
      </w:r>
      <w:r w:rsidR="004A061D">
        <w:t xml:space="preserve">. Although this </w:t>
      </w:r>
      <w:r w:rsidR="00E82733">
        <w:t>approach introduced bias risk</w:t>
      </w:r>
      <w:r w:rsidR="004A061D">
        <w:t>, it had an overall positive i</w:t>
      </w:r>
      <w:r w:rsidR="000E03BE">
        <w:t xml:space="preserve">mpact on employee voice, </w:t>
      </w:r>
      <w:r w:rsidR="004A061D">
        <w:t xml:space="preserve">satisfaction and productivity (Bashford, 2018; Rudd, 2024). Post takeover, </w:t>
      </w:r>
      <w:r w:rsidR="00A508A4">
        <w:t>selection processes are mana</w:t>
      </w:r>
      <w:r w:rsidR="006569A5">
        <w:t>ged by a centralised people team</w:t>
      </w:r>
      <w:r w:rsidR="00A508A4">
        <w:t xml:space="preserve"> who lack deeper understanding of the roles, culture, team dynamics and type of </w:t>
      </w:r>
      <w:r>
        <w:t>people nee</w:t>
      </w:r>
      <w:r w:rsidR="00A508A4">
        <w:t>ded. This has created misalignment between new hires and organisational culture whilst reducing employee voice, opennes</w:t>
      </w:r>
      <w:r>
        <w:t>s, trust and role-modelling (Bandura, 1977, cited in Mullins and McLean, 2019)</w:t>
      </w:r>
      <w:r w:rsidR="00A508A4">
        <w:t xml:space="preserve">. </w:t>
      </w:r>
    </w:p>
    <w:p w:rsidR="00E82733" w:rsidRDefault="00E82733" w:rsidP="00E86C37">
      <w:pPr>
        <w:pStyle w:val="NoSpacing"/>
        <w:jc w:val="both"/>
      </w:pPr>
    </w:p>
    <w:p w:rsidR="00567BC1" w:rsidRDefault="00940779" w:rsidP="00E86C37">
      <w:pPr>
        <w:pStyle w:val="NoSpacing"/>
        <w:jc w:val="both"/>
      </w:pPr>
      <w:r>
        <w:t xml:space="preserve">The takeover has produced a VUCA environment defined by structural volatility, role uncertainty, procedural complexity and ambiguous values and expectations (Hesketh &amp; Cooper, 2019). </w:t>
      </w:r>
      <w:r w:rsidR="00A34B20">
        <w:t>This has created</w:t>
      </w:r>
      <w:r w:rsidR="00ED504E">
        <w:t xml:space="preserve"> cultural and behavioural changes as employees feel unheard, demotivated</w:t>
      </w:r>
      <w:r w:rsidR="00567BC1">
        <w:t>, unrewarded</w:t>
      </w:r>
      <w:r w:rsidR="00ED504E">
        <w:t xml:space="preserve"> and excluded from plans. Employees are reluctant to share ideas and concerns </w:t>
      </w:r>
      <w:r w:rsidR="00567BC1">
        <w:t>which hinders culture and care quality. Resulting absenteeism and turnover further exacerbates problems through increased workloads, reduced well-being and an unstable workforce. Agency staff have been introduced by means of support but recruitment-practices exclude cultural fit focusing on qualifications. Overall, changes to selection and employee voice have weakened organisational culture whilst creating behavioural problems which negatively impact performance, stability and care quality at Calmere House.</w:t>
      </w:r>
    </w:p>
    <w:p w:rsidR="00566F39" w:rsidRDefault="00566F39" w:rsidP="00FF4E0A">
      <w:pPr>
        <w:pStyle w:val="NoSpacing"/>
        <w:jc w:val="both"/>
        <w:rPr>
          <w:b/>
        </w:rPr>
      </w:pPr>
    </w:p>
    <w:p w:rsidR="00FF4E0A" w:rsidRDefault="00FF4E0A" w:rsidP="00FF4E0A">
      <w:pPr>
        <w:pStyle w:val="NoSpacing"/>
        <w:jc w:val="both"/>
        <w:rPr>
          <w:b/>
        </w:rPr>
      </w:pPr>
      <w:r w:rsidRPr="00501D60">
        <w:rPr>
          <w:b/>
        </w:rPr>
        <w:t>Q7. Explain how Chaffinch Group could have better managed the change from a small owner-managed care home to Calmere House being part of a large organisation. (AC 2.3)</w:t>
      </w:r>
    </w:p>
    <w:p w:rsidR="00566F39" w:rsidRDefault="00566F39" w:rsidP="00FF4E0A">
      <w:pPr>
        <w:pStyle w:val="NoSpacing"/>
        <w:jc w:val="both"/>
        <w:rPr>
          <w:b/>
        </w:rPr>
      </w:pPr>
    </w:p>
    <w:p w:rsidR="009076CE" w:rsidRDefault="001B4FA9" w:rsidP="00FF4E0A">
      <w:pPr>
        <w:pStyle w:val="NoSpacing"/>
        <w:jc w:val="both"/>
      </w:pPr>
      <w:r>
        <w:t>Poor change management</w:t>
      </w:r>
      <w:r w:rsidR="00566F39">
        <w:t xml:space="preserve"> during Chaffinch Group’s takeover of Calmere House</w:t>
      </w:r>
      <w:r>
        <w:t xml:space="preserve"> has</w:t>
      </w:r>
      <w:r w:rsidR="00566F39">
        <w:t xml:space="preserve"> negative</w:t>
      </w:r>
      <w:r w:rsidR="00371617">
        <w:t>ly impacted culture and</w:t>
      </w:r>
      <w:r w:rsidR="00566F39">
        <w:t xml:space="preserve"> beha</w:t>
      </w:r>
      <w:r w:rsidR="00371617">
        <w:t>viours. This was worsened</w:t>
      </w:r>
      <w:r w:rsidR="00566F39">
        <w:t xml:space="preserve"> by the shift from a s</w:t>
      </w:r>
      <w:r>
        <w:t>mall owner-managed environment, fostering inclusivity,</w:t>
      </w:r>
      <w:r w:rsidR="00566F39">
        <w:t xml:space="preserve"> to a large</w:t>
      </w:r>
      <w:r>
        <w:t>, hierarchical</w:t>
      </w:r>
      <w:r w:rsidR="00566F39">
        <w:t xml:space="preserve"> organisatio</w:t>
      </w:r>
      <w:r>
        <w:t xml:space="preserve">n which </w:t>
      </w:r>
      <w:r w:rsidR="00566F39">
        <w:t xml:space="preserve">reduced employee voice </w:t>
      </w:r>
      <w:r w:rsidR="00566F39">
        <w:lastRenderedPageBreak/>
        <w:t xml:space="preserve">and involvement. </w:t>
      </w:r>
      <w:r w:rsidR="009076CE">
        <w:t>A s</w:t>
      </w:r>
      <w:r w:rsidR="00371617">
        <w:t>tructured change-</w:t>
      </w:r>
      <w:r w:rsidR="00566F39">
        <w:t>management</w:t>
      </w:r>
      <w:r w:rsidR="009076CE">
        <w:t xml:space="preserve"> process would have provided open communication and support to both residents and employees whilst mitigating issues and resistance</w:t>
      </w:r>
      <w:r w:rsidR="000E03BE">
        <w:t xml:space="preserve"> to change</w:t>
      </w:r>
      <w:r w:rsidR="009076CE">
        <w:t xml:space="preserve">. </w:t>
      </w:r>
    </w:p>
    <w:p w:rsidR="004D1C05" w:rsidRDefault="004D1C05" w:rsidP="00FF4E0A">
      <w:pPr>
        <w:pStyle w:val="NoSpacing"/>
        <w:jc w:val="both"/>
      </w:pPr>
    </w:p>
    <w:p w:rsidR="009C2A2B" w:rsidRDefault="004D1C05" w:rsidP="00FF4E0A">
      <w:pPr>
        <w:pStyle w:val="NoSpacing"/>
        <w:jc w:val="both"/>
      </w:pPr>
      <w:r>
        <w:t xml:space="preserve">Lewin (1947, cited in </w:t>
      </w:r>
      <w:r w:rsidR="00160C3A">
        <w:t xml:space="preserve">Burnes, 2004) provides a </w:t>
      </w:r>
      <w:r w:rsidR="00371617">
        <w:t>three-</w:t>
      </w:r>
      <w:r>
        <w:t xml:space="preserve">step framework for effective change management which Chaffinch Group could have applied to support a smoother transition. Firstly, they should have prepared employees for the change by explaining </w:t>
      </w:r>
      <w:r w:rsidR="009C2A2B">
        <w:t xml:space="preserve">why it needed to happen, what would be involved, what benefits it would bring and allowed questions to be asked. Secondly, </w:t>
      </w:r>
      <w:r w:rsidR="00371617">
        <w:t>changes</w:t>
      </w:r>
      <w:r w:rsidR="00615396">
        <w:t xml:space="preserve"> to management structure and operational procedures</w:t>
      </w:r>
      <w:r w:rsidR="00371617">
        <w:t xml:space="preserve"> should have been made gradually</w:t>
      </w:r>
      <w:r w:rsidR="00615396">
        <w:t xml:space="preserve"> to ensure </w:t>
      </w:r>
      <w:r w:rsidR="009C2A2B">
        <w:t>effective</w:t>
      </w:r>
      <w:r w:rsidR="00615396">
        <w:t xml:space="preserve"> adoption and integration. The managers and people team needed to ensure effective training, communication and support to further enhance adoption and relationship-building (</w:t>
      </w:r>
      <w:r w:rsidR="00C1334B" w:rsidRPr="0041711E">
        <w:t>Cameron and Green, 2020)</w:t>
      </w:r>
      <w:r w:rsidR="000C56E7" w:rsidRPr="0041711E">
        <w:t>.</w:t>
      </w:r>
      <w:r w:rsidR="009C2A2B" w:rsidRPr="0041711E">
        <w:t xml:space="preserve"> </w:t>
      </w:r>
      <w:r w:rsidR="00615396">
        <w:t xml:space="preserve">Finally, the ‘refreeze’ stage </w:t>
      </w:r>
      <w:r w:rsidR="000C56E7">
        <w:t xml:space="preserve">would have </w:t>
      </w:r>
      <w:r w:rsidR="00615396">
        <w:t xml:space="preserve">embedded </w:t>
      </w:r>
      <w:r w:rsidR="009C2A2B">
        <w:t>cult</w:t>
      </w:r>
      <w:r w:rsidR="00615396">
        <w:t>ural and operational changes</w:t>
      </w:r>
      <w:r w:rsidR="000C56E7">
        <w:t xml:space="preserve"> t</w:t>
      </w:r>
      <w:r w:rsidR="009C2A2B">
        <w:t>hr</w:t>
      </w:r>
      <w:r w:rsidR="00615396">
        <w:t xml:space="preserve">ough </w:t>
      </w:r>
      <w:r w:rsidR="009C2A2B">
        <w:t xml:space="preserve">role-modelling, policy </w:t>
      </w:r>
      <w:r w:rsidR="00615396">
        <w:t>updates and reward s</w:t>
      </w:r>
      <w:r w:rsidR="009C2A2B">
        <w:t xml:space="preserve">ystems. </w:t>
      </w:r>
      <w:r w:rsidR="00615396">
        <w:t xml:space="preserve">Applied effectively, this would have enhanced morale, performance and cultural alignment. </w:t>
      </w:r>
    </w:p>
    <w:p w:rsidR="00615396" w:rsidRDefault="00615396" w:rsidP="00FF4E0A">
      <w:pPr>
        <w:pStyle w:val="NoSpacing"/>
        <w:jc w:val="both"/>
      </w:pPr>
    </w:p>
    <w:p w:rsidR="00287E8B" w:rsidRDefault="000C56E7" w:rsidP="00FF4E0A">
      <w:pPr>
        <w:pStyle w:val="NoSpacing"/>
        <w:jc w:val="both"/>
      </w:pPr>
      <w:r>
        <w:t>Although</w:t>
      </w:r>
      <w:r w:rsidR="00287E8B">
        <w:t xml:space="preserve"> sometimes criticised for its simplicity</w:t>
      </w:r>
      <w:r w:rsidR="00C1334B">
        <w:t xml:space="preserve">, </w:t>
      </w:r>
      <w:r w:rsidR="00287E8B">
        <w:t xml:space="preserve">Lewin’s model underpins other </w:t>
      </w:r>
      <w:r w:rsidR="00C1334B">
        <w:t>people-centred</w:t>
      </w:r>
      <w:r w:rsidR="00287E8B">
        <w:t xml:space="preserve"> change frameworks. This includes Kotter’s eight step change model, highli</w:t>
      </w:r>
      <w:r w:rsidR="00615396">
        <w:t>ghted in figure 1.</w:t>
      </w:r>
    </w:p>
    <w:p w:rsidR="009C2A2B" w:rsidRDefault="009C2A2B" w:rsidP="00FF4E0A">
      <w:pPr>
        <w:pStyle w:val="NoSpacing"/>
        <w:jc w:val="both"/>
      </w:pPr>
    </w:p>
    <w:p w:rsidR="009C2A2B" w:rsidRDefault="00C1334B" w:rsidP="00C1334B">
      <w:pPr>
        <w:pStyle w:val="NoSpacing"/>
        <w:jc w:val="center"/>
      </w:pPr>
      <w:r>
        <w:rPr>
          <w:noProof/>
          <w:lang w:eastAsia="en-GB"/>
        </w:rPr>
        <w:drawing>
          <wp:inline distT="0" distB="0" distL="0" distR="0" wp14:anchorId="3DFF6C99" wp14:editId="1FCB04FD">
            <wp:extent cx="4401800" cy="243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24157" cy="2450785"/>
                    </a:xfrm>
                    <a:prstGeom prst="rect">
                      <a:avLst/>
                    </a:prstGeom>
                  </pic:spPr>
                </pic:pic>
              </a:graphicData>
            </a:graphic>
          </wp:inline>
        </w:drawing>
      </w:r>
    </w:p>
    <w:p w:rsidR="00C1334B" w:rsidRDefault="00C1334B" w:rsidP="00C1334B">
      <w:pPr>
        <w:pStyle w:val="NoSpacing"/>
        <w:jc w:val="center"/>
      </w:pPr>
    </w:p>
    <w:p w:rsidR="00C1334B" w:rsidRPr="00C1334B" w:rsidRDefault="00C1334B" w:rsidP="00C1334B">
      <w:pPr>
        <w:pStyle w:val="NoSpacing"/>
        <w:jc w:val="center"/>
        <w:rPr>
          <w:b/>
        </w:rPr>
      </w:pPr>
      <w:r w:rsidRPr="00C1334B">
        <w:rPr>
          <w:b/>
        </w:rPr>
        <w:t>Figure 1: (BiteSize Learning, 2025)</w:t>
      </w:r>
    </w:p>
    <w:p w:rsidR="00566F39" w:rsidRDefault="00566F39" w:rsidP="00287E8B">
      <w:pPr>
        <w:pStyle w:val="NoSpacing"/>
      </w:pPr>
    </w:p>
    <w:p w:rsidR="00783B35" w:rsidRDefault="00615396" w:rsidP="00CE7AB8">
      <w:pPr>
        <w:pStyle w:val="NoSpacing"/>
        <w:jc w:val="both"/>
      </w:pPr>
      <w:r>
        <w:t>Each step illustrates</w:t>
      </w:r>
      <w:r w:rsidR="00287E8B">
        <w:t xml:space="preserve"> how Chaffinch Group could have b</w:t>
      </w:r>
      <w:r>
        <w:t>etter managed the changes</w:t>
      </w:r>
      <w:r w:rsidR="00287E8B">
        <w:t xml:space="preserve">. </w:t>
      </w:r>
      <w:r w:rsidR="00783B35">
        <w:t>The model is typically linear but some steps may overlap or be revisited if issues occur (Burnes, 2017).</w:t>
      </w:r>
    </w:p>
    <w:p w:rsidR="00783B35" w:rsidRDefault="00783B35" w:rsidP="001B4FA9">
      <w:pPr>
        <w:pStyle w:val="NoSpacing"/>
        <w:jc w:val="center"/>
      </w:pPr>
    </w:p>
    <w:p w:rsidR="00130EFE" w:rsidRDefault="00CE7AB8" w:rsidP="00130EFE">
      <w:pPr>
        <w:pStyle w:val="NoSpacing"/>
        <w:jc w:val="both"/>
      </w:pPr>
      <w:r>
        <w:t xml:space="preserve">Chaffinch Group could </w:t>
      </w:r>
      <w:r w:rsidR="00615396">
        <w:t xml:space="preserve">have created urgency by explaining why the change is needed, thereby increasing buy-in. </w:t>
      </w:r>
      <w:r w:rsidR="00E916E1">
        <w:t xml:space="preserve">A </w:t>
      </w:r>
      <w:r w:rsidR="00413D2B">
        <w:t>‘g</w:t>
      </w:r>
      <w:r w:rsidR="00CC0E2C">
        <w:t>uiding coalition</w:t>
      </w:r>
      <w:r w:rsidR="00413D2B">
        <w:t>’</w:t>
      </w:r>
      <w:r w:rsidR="00CC0E2C">
        <w:t xml:space="preserve"> of</w:t>
      </w:r>
      <w:r>
        <w:t xml:space="preserve"> manag</w:t>
      </w:r>
      <w:r w:rsidR="00CC0E2C">
        <w:t xml:space="preserve">ers and experienced employees should next be established to </w:t>
      </w:r>
      <w:r>
        <w:t>champion the change</w:t>
      </w:r>
      <w:r w:rsidR="001B4FA9">
        <w:t xml:space="preserve"> and enhance</w:t>
      </w:r>
      <w:r w:rsidR="00CC0E2C">
        <w:t xml:space="preserve"> trust</w:t>
      </w:r>
      <w:r w:rsidR="001B4FA9">
        <w:t xml:space="preserve"> (Kotter, 2012)</w:t>
      </w:r>
      <w:r w:rsidR="00CC0E2C">
        <w:t>. A clear vision and strateg</w:t>
      </w:r>
      <w:r w:rsidR="00E916E1">
        <w:t>y should have been communicated</w:t>
      </w:r>
      <w:r w:rsidR="00CC0E2C">
        <w:t xml:space="preserve"> to reduce frustratio</w:t>
      </w:r>
      <w:r w:rsidR="001B4FA9">
        <w:t>n and uncertainty</w:t>
      </w:r>
      <w:r w:rsidR="00CC0E2C">
        <w:t xml:space="preserve">. For example, through meetings and follow-up letters. Barriers such as centralised-decision making and removal of employee voice could have been addressed through consultation with reasonable actions to minimise negative impacts. Early successes should have been celebrated to increase credibility and engagement, enabling Chaffinch Group to push further changes whilst activating reward responses </w:t>
      </w:r>
      <w:r w:rsidR="00A71235">
        <w:t xml:space="preserve">(Kotter, 2012; Rock, 2008). </w:t>
      </w:r>
      <w:r w:rsidR="00CC0E2C">
        <w:t xml:space="preserve">Change agents could have mitigated cultural issues whilst embedding changes through </w:t>
      </w:r>
      <w:r w:rsidR="00130EFE">
        <w:t xml:space="preserve">ongoing feedback, informed recruitment practices and improved communication (Kotter, 2012). </w:t>
      </w:r>
      <w:r w:rsidR="00CC0E2C">
        <w:t xml:space="preserve"> </w:t>
      </w:r>
      <w:r w:rsidR="00130EFE">
        <w:t xml:space="preserve">Overall, Chaffinch Group should have applied a planned change process, as opposed to acting reactively, to ensure a smoother </w:t>
      </w:r>
      <w:r w:rsidR="001B4FA9">
        <w:t>transition</w:t>
      </w:r>
      <w:r w:rsidR="00130EFE">
        <w:t xml:space="preserve"> and positive team behaviours.</w:t>
      </w:r>
    </w:p>
    <w:p w:rsidR="00FF4E0A" w:rsidRPr="00501D60" w:rsidRDefault="00FF4E0A" w:rsidP="00FF4E0A">
      <w:pPr>
        <w:pStyle w:val="NoSpacing"/>
        <w:jc w:val="both"/>
        <w:rPr>
          <w:b/>
        </w:rPr>
      </w:pPr>
    </w:p>
    <w:p w:rsidR="00FF4E0A" w:rsidRDefault="00FF4E0A" w:rsidP="00FF4E0A">
      <w:pPr>
        <w:pStyle w:val="NoSpacing"/>
        <w:jc w:val="both"/>
        <w:rPr>
          <w:b/>
        </w:rPr>
      </w:pPr>
      <w:r w:rsidRPr="00501D60">
        <w:rPr>
          <w:b/>
        </w:rPr>
        <w:lastRenderedPageBreak/>
        <w:t>Q8. Explain the experience of change for the employees at Calmere House and examine how this is reflected through the stages of one model. (AC 2.4)</w:t>
      </w:r>
    </w:p>
    <w:p w:rsidR="00002A97" w:rsidRDefault="00002A97" w:rsidP="00FF4E0A">
      <w:pPr>
        <w:pStyle w:val="NoSpacing"/>
        <w:jc w:val="both"/>
        <w:rPr>
          <w:b/>
        </w:rPr>
      </w:pPr>
    </w:p>
    <w:p w:rsidR="00002A97" w:rsidRDefault="00002A97" w:rsidP="00FF4E0A">
      <w:pPr>
        <w:pStyle w:val="NoSpacing"/>
        <w:jc w:val="both"/>
      </w:pPr>
      <w:r>
        <w:t xml:space="preserve">During the change, employees </w:t>
      </w:r>
      <w:r w:rsidR="00F5097D">
        <w:t xml:space="preserve">at Calmere House </w:t>
      </w:r>
      <w:r>
        <w:t>exper</w:t>
      </w:r>
      <w:r w:rsidR="001B4FA9">
        <w:t xml:space="preserve">ienced negative emotions including uncertainty, </w:t>
      </w:r>
      <w:r>
        <w:t>fear and frustration. This subsequently produced challenging behaviours</w:t>
      </w:r>
      <w:r w:rsidR="000F3D92">
        <w:t xml:space="preserve"> and issues</w:t>
      </w:r>
      <w:r>
        <w:t xml:space="preserve"> such as disengagement, resistance</w:t>
      </w:r>
      <w:r w:rsidR="000F3D92">
        <w:t xml:space="preserve"> and withdrawal. For example, the introduction of a hierarchical structure with centralised decisions evoked feelings of stress and worry over reduced voice whilst directly causing re</w:t>
      </w:r>
      <w:r w:rsidR="00F5097D">
        <w:t>duced motivation and autonomy</w:t>
      </w:r>
      <w:r w:rsidR="000F3D92">
        <w:t xml:space="preserve">. </w:t>
      </w:r>
    </w:p>
    <w:p w:rsidR="000F3D92" w:rsidRDefault="000F3D92" w:rsidP="00FF4E0A">
      <w:pPr>
        <w:pStyle w:val="NoSpacing"/>
        <w:jc w:val="both"/>
      </w:pPr>
    </w:p>
    <w:p w:rsidR="000F3D92" w:rsidRPr="00002A97" w:rsidRDefault="00FD2B33" w:rsidP="00FF4E0A">
      <w:pPr>
        <w:pStyle w:val="NoSpacing"/>
        <w:jc w:val="both"/>
      </w:pPr>
      <w:r>
        <w:t xml:space="preserve">The Kubler-Ross </w:t>
      </w:r>
      <w:r w:rsidR="000F3D92">
        <w:t>model</w:t>
      </w:r>
      <w:r w:rsidR="00F5097D">
        <w:t>, highlighted in Figure 2,</w:t>
      </w:r>
      <w:r w:rsidR="000F3D92">
        <w:t xml:space="preserve"> can be used to help understand the change experience</w:t>
      </w:r>
      <w:r w:rsidR="00A84EBA">
        <w:t>d by</w:t>
      </w:r>
      <w:r w:rsidR="000F3D92">
        <w:t xml:space="preserve"> employees at Calmere House along with the emotional and behaviour stages they navigated.</w:t>
      </w:r>
      <w:r w:rsidR="00A84EBA">
        <w:t xml:space="preserve"> When applied effectively, this model is </w:t>
      </w:r>
      <w:r w:rsidR="009F71C2">
        <w:t>a practical tool for organisations to understand and support the emotional reactions of staff during chang</w:t>
      </w:r>
      <w:r w:rsidR="00A84EBA">
        <w:t>es (Taylor and Woodhams, 2022).</w:t>
      </w:r>
    </w:p>
    <w:p w:rsidR="00002A97" w:rsidRDefault="00002A97" w:rsidP="00FF4E0A">
      <w:pPr>
        <w:pStyle w:val="NoSpacing"/>
        <w:jc w:val="both"/>
        <w:rPr>
          <w:b/>
        </w:rPr>
      </w:pPr>
    </w:p>
    <w:p w:rsidR="00FD2B33" w:rsidRDefault="00FD2B33" w:rsidP="00FF4E0A">
      <w:pPr>
        <w:pStyle w:val="NoSpacing"/>
        <w:jc w:val="both"/>
        <w:rPr>
          <w:b/>
        </w:rPr>
      </w:pPr>
      <w:r>
        <w:rPr>
          <w:noProof/>
          <w:lang w:eastAsia="en-GB"/>
        </w:rPr>
        <w:drawing>
          <wp:inline distT="0" distB="0" distL="0" distR="0">
            <wp:extent cx="5731510" cy="3720082"/>
            <wp:effectExtent l="0" t="0" r="2540" b="0"/>
            <wp:docPr id="4" name="Picture 4" descr="Understanding the Kubler-Ross change curve - Kübler-Ro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derstanding the Kubler-Ross change curve - Kübler-Ros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20082"/>
                    </a:xfrm>
                    <a:prstGeom prst="rect">
                      <a:avLst/>
                    </a:prstGeom>
                    <a:noFill/>
                    <a:ln>
                      <a:noFill/>
                    </a:ln>
                  </pic:spPr>
                </pic:pic>
              </a:graphicData>
            </a:graphic>
          </wp:inline>
        </w:drawing>
      </w:r>
    </w:p>
    <w:p w:rsidR="00FD2B33" w:rsidRDefault="00FD2B33" w:rsidP="00FF4E0A">
      <w:pPr>
        <w:pStyle w:val="NoSpacing"/>
        <w:jc w:val="both"/>
        <w:rPr>
          <w:b/>
        </w:rPr>
      </w:pPr>
    </w:p>
    <w:p w:rsidR="00F5097D" w:rsidRDefault="00A84EBA" w:rsidP="00A84EBA">
      <w:pPr>
        <w:pStyle w:val="NoSpacing"/>
        <w:tabs>
          <w:tab w:val="left" w:pos="413"/>
          <w:tab w:val="center" w:pos="4513"/>
        </w:tabs>
        <w:rPr>
          <w:b/>
        </w:rPr>
      </w:pPr>
      <w:r>
        <w:rPr>
          <w:b/>
        </w:rPr>
        <w:tab/>
      </w:r>
      <w:r>
        <w:rPr>
          <w:b/>
        </w:rPr>
        <w:tab/>
      </w:r>
      <w:r w:rsidR="00FD2B33">
        <w:rPr>
          <w:b/>
        </w:rPr>
        <w:t>Figure 2 (Belyh, 2022)</w:t>
      </w:r>
    </w:p>
    <w:p w:rsidR="00FD2B33" w:rsidRDefault="00FD2B33" w:rsidP="00FD2B33">
      <w:pPr>
        <w:pStyle w:val="NoSpacing"/>
        <w:jc w:val="center"/>
        <w:rPr>
          <w:b/>
        </w:rPr>
      </w:pPr>
    </w:p>
    <w:p w:rsidR="000750AD" w:rsidRDefault="00FD2B33" w:rsidP="00E9152E">
      <w:pPr>
        <w:pStyle w:val="NoSpacing"/>
        <w:jc w:val="both"/>
      </w:pPr>
      <w:r>
        <w:t xml:space="preserve">Similar to the ‘five stages of </w:t>
      </w:r>
      <w:r w:rsidR="00095EC1">
        <w:t xml:space="preserve">grief’, the model suggests </w:t>
      </w:r>
      <w:r>
        <w:t>employee</w:t>
      </w:r>
      <w:r w:rsidR="00EE1313">
        <w:t>s experience emoti</w:t>
      </w:r>
      <w:r w:rsidR="000750AD">
        <w:t xml:space="preserve">ons of denial, anger, depression, bargaining and acceptance </w:t>
      </w:r>
      <w:r>
        <w:t>during the change process (Taylor and Woodhams, 2022). These stage</w:t>
      </w:r>
      <w:r w:rsidR="00A84EBA">
        <w:t>s provide insight into employees’</w:t>
      </w:r>
      <w:r>
        <w:t xml:space="preserve"> exper</w:t>
      </w:r>
      <w:r w:rsidR="009338D4">
        <w:t>ience of change</w:t>
      </w:r>
      <w:r>
        <w:t xml:space="preserve"> durin</w:t>
      </w:r>
      <w:r w:rsidR="008862BA">
        <w:t xml:space="preserve">g the takeover. </w:t>
      </w:r>
      <w:r w:rsidR="000750AD">
        <w:t xml:space="preserve">Initially employees experienced shock and denial as they struggled to believe the takeover was happening, particularly </w:t>
      </w:r>
      <w:r w:rsidR="008862BA">
        <w:t>as Calmere House had been fam</w:t>
      </w:r>
      <w:r w:rsidR="000750AD">
        <w:t xml:space="preserve">ily-run for so long. </w:t>
      </w:r>
      <w:r w:rsidR="005715E3">
        <w:t>Subsequently, emp</w:t>
      </w:r>
      <w:r w:rsidR="000750AD">
        <w:t>loyees felt angered</w:t>
      </w:r>
      <w:r w:rsidR="00246176">
        <w:t xml:space="preserve"> by the new</w:t>
      </w:r>
      <w:r w:rsidR="005715E3">
        <w:t xml:space="preserve"> hierarchical structure as they were removed from decision-</w:t>
      </w:r>
      <w:r w:rsidR="000750AD">
        <w:t xml:space="preserve">making </w:t>
      </w:r>
      <w:r w:rsidR="00A84EBA">
        <w:t>processes and left feeling</w:t>
      </w:r>
      <w:r w:rsidR="000750AD">
        <w:t xml:space="preserve"> unheard. </w:t>
      </w:r>
      <w:r w:rsidR="00246176">
        <w:t>L</w:t>
      </w:r>
      <w:r w:rsidR="005715E3">
        <w:t>ack of consultation and au</w:t>
      </w:r>
      <w:r w:rsidR="00246176">
        <w:t>tocratic approaches</w:t>
      </w:r>
      <w:r w:rsidR="005715E3">
        <w:t xml:space="preserve"> further </w:t>
      </w:r>
      <w:r w:rsidR="000750AD">
        <w:t xml:space="preserve">incited </w:t>
      </w:r>
      <w:r w:rsidR="005715E3">
        <w:t>frustration whilst preventing natural progression to the problem-solving stage</w:t>
      </w:r>
      <w:r w:rsidR="00352EB4">
        <w:t xml:space="preserve"> (Zell, 2003)</w:t>
      </w:r>
      <w:r w:rsidR="005715E3">
        <w:t>.</w:t>
      </w:r>
      <w:r w:rsidR="00246176">
        <w:t xml:space="preserve"> Instead, this created feelings of depression as evidenced by employees</w:t>
      </w:r>
      <w:r w:rsidR="00A84EBA">
        <w:t>’</w:t>
      </w:r>
      <w:r w:rsidR="009338D4">
        <w:t xml:space="preserve"> l</w:t>
      </w:r>
      <w:r w:rsidR="00246176">
        <w:t xml:space="preserve">ow motivation and reduced morale during the takeover. </w:t>
      </w:r>
    </w:p>
    <w:p w:rsidR="000750AD" w:rsidRDefault="000750AD" w:rsidP="00E9152E">
      <w:pPr>
        <w:pStyle w:val="NoSpacing"/>
        <w:jc w:val="both"/>
      </w:pPr>
    </w:p>
    <w:p w:rsidR="009338D4" w:rsidRDefault="000750AD" w:rsidP="00E9152E">
      <w:pPr>
        <w:pStyle w:val="NoSpacing"/>
        <w:jc w:val="both"/>
      </w:pPr>
      <w:r>
        <w:t>Consequently, employees were disengaged and cautious during the bargaining stage as attempts to integrate new processes were</w:t>
      </w:r>
      <w:r w:rsidR="009338D4">
        <w:t xml:space="preserve"> mostly</w:t>
      </w:r>
      <w:r>
        <w:t xml:space="preserve"> ineffective (Taylor and Woodhams, 2022). Compliance with new processes re</w:t>
      </w:r>
      <w:r w:rsidR="00A84EBA">
        <w:t>flected</w:t>
      </w:r>
      <w:r>
        <w:t xml:space="preserve"> partial acceptance</w:t>
      </w:r>
      <w:r w:rsidR="00A84EBA">
        <w:t>,</w:t>
      </w:r>
      <w:r>
        <w:t xml:space="preserve"> however</w:t>
      </w:r>
      <w:r w:rsidR="00A84EBA">
        <w:t>,</w:t>
      </w:r>
      <w:r>
        <w:t xml:space="preserve"> employees felt they had no choice under a top-down </w:t>
      </w:r>
      <w:r>
        <w:lastRenderedPageBreak/>
        <w:t>leadership w</w:t>
      </w:r>
      <w:r w:rsidR="009338D4">
        <w:t xml:space="preserve">hich removed autonomy. </w:t>
      </w:r>
      <w:r>
        <w:t>I</w:t>
      </w:r>
      <w:r w:rsidR="00EE1313">
        <w:t xml:space="preserve">neffective change management ultimately prevented change from being effectively embedded leading employees to remain in the </w:t>
      </w:r>
      <w:r>
        <w:t>anger and depression stage instead of experiencing acceptance.</w:t>
      </w:r>
      <w:r w:rsidR="006970A1">
        <w:t xml:space="preserve"> </w:t>
      </w:r>
    </w:p>
    <w:p w:rsidR="009338D4" w:rsidRDefault="009338D4" w:rsidP="00E9152E">
      <w:pPr>
        <w:pStyle w:val="NoSpacing"/>
        <w:jc w:val="both"/>
      </w:pPr>
    </w:p>
    <w:p w:rsidR="00EE1313" w:rsidRDefault="006970A1" w:rsidP="00E9152E">
      <w:pPr>
        <w:pStyle w:val="NoSpacing"/>
        <w:jc w:val="both"/>
      </w:pPr>
      <w:r>
        <w:t>Limitations of this model include the assumption that employees navigate through all stages and experience feelings at the same time which is often not the case (CIPD, 2025f). Overall, the change process caused</w:t>
      </w:r>
      <w:r w:rsidR="00EE1313">
        <w:t xml:space="preserve"> further cultural problems and diminished care quality. It also hindered managers</w:t>
      </w:r>
      <w:r w:rsidR="00A84EBA">
        <w:t>’</w:t>
      </w:r>
      <w:r w:rsidR="00EE1313">
        <w:t xml:space="preserve"> ability to recognise the emotions employees were navigating and prevented the delivery of tailored support during the takeover (Tasleem, Gulati and Sharma, 2023). Effective change management would have helped employees transition through each stage of the model and adopt change more smoothly.</w:t>
      </w:r>
    </w:p>
    <w:p w:rsidR="00EE1313" w:rsidRDefault="00EE1313" w:rsidP="00FF4E0A">
      <w:pPr>
        <w:pStyle w:val="NoSpacing"/>
        <w:jc w:val="both"/>
        <w:rPr>
          <w:b/>
        </w:rPr>
      </w:pPr>
    </w:p>
    <w:p w:rsidR="00FF4E0A" w:rsidRDefault="00FF4E0A" w:rsidP="00FF4E0A">
      <w:pPr>
        <w:pStyle w:val="NoSpacing"/>
        <w:jc w:val="both"/>
        <w:rPr>
          <w:b/>
        </w:rPr>
      </w:pPr>
      <w:r w:rsidRPr="00501D60">
        <w:rPr>
          <w:b/>
        </w:rPr>
        <w:t xml:space="preserve">Q9. Assess two factors that could impact employee wellbeing at Calmere House including why it is important that these factors are addressed. (AC 2.5) </w:t>
      </w:r>
    </w:p>
    <w:p w:rsidR="00411286" w:rsidRDefault="00411286" w:rsidP="00FF4E0A">
      <w:pPr>
        <w:pStyle w:val="NoSpacing"/>
        <w:jc w:val="both"/>
        <w:rPr>
          <w:b/>
        </w:rPr>
      </w:pPr>
    </w:p>
    <w:p w:rsidR="00B17C1F" w:rsidRDefault="00D05947" w:rsidP="00B17C1F">
      <w:pPr>
        <w:pStyle w:val="NoSpacing"/>
        <w:jc w:val="both"/>
      </w:pPr>
      <w:r>
        <w:t>Organisations should</w:t>
      </w:r>
      <w:r w:rsidR="00A34B20">
        <w:t xml:space="preserve"> adopt </w:t>
      </w:r>
      <w:r w:rsidR="007A0E9E">
        <w:t xml:space="preserve">holistic </w:t>
      </w:r>
      <w:r w:rsidR="0066650C">
        <w:t>approach</w:t>
      </w:r>
      <w:r w:rsidR="00A34B20">
        <w:t>es</w:t>
      </w:r>
      <w:r w:rsidR="0066650C">
        <w:t xml:space="preserve"> to wellbe</w:t>
      </w:r>
      <w:r w:rsidR="00A34B20">
        <w:t xml:space="preserve">ing to </w:t>
      </w:r>
      <w:r w:rsidR="00894DDD">
        <w:t xml:space="preserve">support </w:t>
      </w:r>
      <w:r w:rsidR="0066650C">
        <w:t xml:space="preserve">employees’ physical, mental, social and </w:t>
      </w:r>
      <w:r w:rsidR="00A34B20">
        <w:t xml:space="preserve">financial health (CIPD, 2025g). </w:t>
      </w:r>
      <w:r w:rsidR="00894DDD">
        <w:t>E</w:t>
      </w:r>
      <w:r w:rsidR="0066650C">
        <w:t>ffective well-being str</w:t>
      </w:r>
      <w:r w:rsidR="00894DDD">
        <w:t>ategies</w:t>
      </w:r>
      <w:r w:rsidR="00075E9F">
        <w:t xml:space="preserve"> will</w:t>
      </w:r>
      <w:r w:rsidR="008B0443">
        <w:t xml:space="preserve"> ensure</w:t>
      </w:r>
      <w:r w:rsidR="0066650C">
        <w:t xml:space="preserve"> employees feel safe, happy, healthy</w:t>
      </w:r>
      <w:r w:rsidR="00894DDD">
        <w:t>,</w:t>
      </w:r>
      <w:r w:rsidR="0066650C">
        <w:t xml:space="preserve"> valued and able to perform at their full potential</w:t>
      </w:r>
      <w:r w:rsidR="00A34B20">
        <w:t xml:space="preserve"> (Hesketh and Cooper, 2019)</w:t>
      </w:r>
      <w:r w:rsidR="00075E9F">
        <w:t xml:space="preserve">. This creates mutual benefits for </w:t>
      </w:r>
      <w:r w:rsidR="0066650C">
        <w:t>organisation</w:t>
      </w:r>
      <w:r w:rsidR="00075E9F">
        <w:t>s</w:t>
      </w:r>
      <w:r w:rsidR="0066650C">
        <w:t xml:space="preserve"> and individual</w:t>
      </w:r>
      <w:r w:rsidR="00075E9F">
        <w:t>s</w:t>
      </w:r>
      <w:r w:rsidR="0066650C">
        <w:t xml:space="preserve"> and must be deeply embedded into culture and people practices to be effective</w:t>
      </w:r>
      <w:r w:rsidR="008B0443">
        <w:t xml:space="preserve"> (CIPD, 2025f</w:t>
      </w:r>
      <w:r w:rsidR="0066650C">
        <w:t xml:space="preserve">). </w:t>
      </w:r>
      <w:r w:rsidR="00877A6D">
        <w:t xml:space="preserve">Two factors </w:t>
      </w:r>
      <w:r w:rsidR="00B17C1F">
        <w:t xml:space="preserve">impacting well-being at Calmere House are increased workload and the removal of supportive working relationships. </w:t>
      </w:r>
      <w:r w:rsidR="0050339C">
        <w:t xml:space="preserve">Each can be </w:t>
      </w:r>
      <w:r w:rsidR="00413D2B">
        <w:t xml:space="preserve">explored to show the impact on well-being </w:t>
      </w:r>
      <w:r w:rsidR="00B17C1F">
        <w:t>and why it is important to overcome these.</w:t>
      </w:r>
    </w:p>
    <w:p w:rsidR="004E1E0B" w:rsidRDefault="004E1E0B" w:rsidP="00FF4E0A">
      <w:pPr>
        <w:pStyle w:val="NoSpacing"/>
        <w:jc w:val="both"/>
      </w:pPr>
    </w:p>
    <w:p w:rsidR="0050339C" w:rsidRDefault="00A8780C" w:rsidP="00FF4E0A">
      <w:pPr>
        <w:pStyle w:val="NoSpacing"/>
        <w:jc w:val="both"/>
      </w:pPr>
      <w:r>
        <w:t>W</w:t>
      </w:r>
      <w:r w:rsidR="004E1E0B">
        <w:t>orkload has increased at Calmere Hous</w:t>
      </w:r>
      <w:r w:rsidR="008B0443">
        <w:t xml:space="preserve">e </w:t>
      </w:r>
      <w:r w:rsidR="004E1E0B">
        <w:t xml:space="preserve">due to workforce shortages and </w:t>
      </w:r>
      <w:r w:rsidR="008B0443">
        <w:t>operational chal</w:t>
      </w:r>
      <w:r>
        <w:t>lenges caused by the takeover. The culture shift</w:t>
      </w:r>
      <w:r w:rsidR="00075E9F">
        <w:t xml:space="preserve"> and top-down approaches has triggered</w:t>
      </w:r>
      <w:r w:rsidR="008B0443">
        <w:t xml:space="preserve"> increased staff turnover</w:t>
      </w:r>
      <w:r>
        <w:t>, absenteeism and agency worker utilisation</w:t>
      </w:r>
      <w:r w:rsidR="000C013C">
        <w:t>. Consequently,</w:t>
      </w:r>
      <w:r w:rsidR="008B0443">
        <w:t xml:space="preserve"> existing employees are working longer hours</w:t>
      </w:r>
      <w:r w:rsidR="0050339C">
        <w:t xml:space="preserve"> and carry</w:t>
      </w:r>
      <w:r w:rsidR="009338D4">
        <w:t xml:space="preserve">ing out broader </w:t>
      </w:r>
      <w:r w:rsidR="0050339C">
        <w:t xml:space="preserve">duties to cover shortages and knowledge gaps. </w:t>
      </w:r>
      <w:r w:rsidR="000C013C">
        <w:t xml:space="preserve">Schaufeli (2023) </w:t>
      </w:r>
      <w:bookmarkStart w:id="0" w:name="_GoBack"/>
      <w:bookmarkEnd w:id="0"/>
      <w:r w:rsidR="000C013C">
        <w:t>highlights that when experience (increased workloads) does not match expectation (acceptable workloads) this damages the assumed psychological contract employees have with the organisation</w:t>
      </w:r>
      <w:r w:rsidR="0050339C">
        <w:t xml:space="preserve">. If left </w:t>
      </w:r>
      <w:r w:rsidR="009338D4">
        <w:t xml:space="preserve">unaddressed, this could cause </w:t>
      </w:r>
      <w:r w:rsidR="0050339C">
        <w:t xml:space="preserve">continued </w:t>
      </w:r>
      <w:r w:rsidR="009338D4">
        <w:t>absenteeism and turnover</w:t>
      </w:r>
      <w:r w:rsidR="0050339C">
        <w:t xml:space="preserve"> whilst diminishing care quality. Reducing workload and </w:t>
      </w:r>
      <w:r w:rsidR="009338D4">
        <w:t>improving processes will increase</w:t>
      </w:r>
      <w:r w:rsidR="0050339C">
        <w:t xml:space="preserve"> emotional a</w:t>
      </w:r>
      <w:r w:rsidR="009338D4">
        <w:t xml:space="preserve">nd physical wellbeing and </w:t>
      </w:r>
      <w:r w:rsidR="0050339C">
        <w:t>tackle these ch</w:t>
      </w:r>
      <w:r w:rsidR="009338D4">
        <w:t xml:space="preserve">allenges. Reciprocity will </w:t>
      </w:r>
      <w:r w:rsidR="0050339C">
        <w:t xml:space="preserve">be seen through enhanced productivity, commitment and retention levels which will allow improved care consistency and reduce temporary recruitment costs (Schaufeli, 2023). Positive changes will also reduce burnout risk </w:t>
      </w:r>
      <w:r w:rsidR="00005367">
        <w:t>(Dall’Ora et al., 2020)</w:t>
      </w:r>
      <w:r w:rsidR="002550A1">
        <w:t xml:space="preserve">. </w:t>
      </w:r>
      <w:r w:rsidR="00377933">
        <w:t>Issues must also be addressed to strengthen the effort-performance-reward cycle outlined in expectancy theory (Vroom, 1964 cited</w:t>
      </w:r>
      <w:r w:rsidR="00075E9F">
        <w:t xml:space="preserve"> in Sutton, 2024). </w:t>
      </w:r>
    </w:p>
    <w:p w:rsidR="00005367" w:rsidRDefault="00005367" w:rsidP="00FF4E0A">
      <w:pPr>
        <w:pStyle w:val="NoSpacing"/>
        <w:jc w:val="both"/>
      </w:pPr>
    </w:p>
    <w:p w:rsidR="00BE1806" w:rsidRDefault="000A770B" w:rsidP="00ED1FF1">
      <w:pPr>
        <w:pStyle w:val="NoSpacing"/>
        <w:jc w:val="both"/>
      </w:pPr>
      <w:r>
        <w:t>Pre-takeover, Kirsten’</w:t>
      </w:r>
      <w:r w:rsidR="009338D4">
        <w:t>s consultative approach encouraged</w:t>
      </w:r>
      <w:r>
        <w:t xml:space="preserve"> well-being as employees felt supported and heard.</w:t>
      </w:r>
      <w:r w:rsidR="00377933">
        <w:t xml:space="preserve"> The tight-knit team was </w:t>
      </w:r>
      <w:r>
        <w:t>effective, committed and involved leading to a positive culture and</w:t>
      </w:r>
      <w:r w:rsidR="0050339C">
        <w:t xml:space="preserve"> consistent care quality</w:t>
      </w:r>
      <w:r w:rsidR="009338D4">
        <w:t>. However, the takeover</w:t>
      </w:r>
      <w:r w:rsidR="00160C3A">
        <w:t xml:space="preserve"> </w:t>
      </w:r>
      <w:r>
        <w:t>created a less supportive working environment through c</w:t>
      </w:r>
      <w:r w:rsidR="0050339C">
        <w:t>entralised-decisions and autocratic leadership</w:t>
      </w:r>
      <w:r>
        <w:t>. This has negatively impacted employees’ hedonic well-being thro</w:t>
      </w:r>
      <w:r w:rsidR="009338D4">
        <w:t xml:space="preserve">ugh increased unhappiness and </w:t>
      </w:r>
      <w:r>
        <w:t xml:space="preserve">loss of trust, control and voice. </w:t>
      </w:r>
      <w:r w:rsidR="0050339C">
        <w:t>Employees’</w:t>
      </w:r>
      <w:r>
        <w:t xml:space="preserve"> eudaimonic well-being has also de</w:t>
      </w:r>
      <w:r w:rsidR="0050339C">
        <w:t xml:space="preserve">clined as they feel </w:t>
      </w:r>
      <w:r>
        <w:t>a reduced sense of purpose (Lapierre and Cooper, 2023). This threatens autonomy and status as employees fee</w:t>
      </w:r>
      <w:r w:rsidR="00ED1FF1">
        <w:t xml:space="preserve">l disconnected, unsupported and unvalued (Rock, 2008). </w:t>
      </w:r>
      <w:r w:rsidR="00160C3A">
        <w:t>Removing</w:t>
      </w:r>
      <w:r w:rsidR="00ED1FF1">
        <w:t xml:space="preserve"> co</w:t>
      </w:r>
      <w:r w:rsidR="009338D4">
        <w:t xml:space="preserve">nsultative approaches has </w:t>
      </w:r>
      <w:r w:rsidR="00ED1FF1">
        <w:t>re</w:t>
      </w:r>
      <w:r w:rsidR="009338D4">
        <w:t xml:space="preserve">duced motivation </w:t>
      </w:r>
      <w:r w:rsidR="00ED1FF1">
        <w:t>whilst resulting turnover further removes the support networks for employees</w:t>
      </w:r>
      <w:r w:rsidR="00BE1806">
        <w:t xml:space="preserve">. Chaffinch Group must work to overcome these problems to mitigate the long-term risks such as stress, burnout and reduced job satisfaction. Improving well-being will </w:t>
      </w:r>
      <w:r w:rsidR="007D5D9E">
        <w:t>rebuild trust, improve feelings of support, morale and performance, ultimately leading to better retention and care quality.</w:t>
      </w:r>
    </w:p>
    <w:p w:rsidR="00FF4E0A" w:rsidRPr="00501D60" w:rsidRDefault="00FF4E0A" w:rsidP="00FF4E0A">
      <w:pPr>
        <w:pStyle w:val="NoSpacing"/>
        <w:jc w:val="both"/>
        <w:rPr>
          <w:b/>
        </w:rPr>
      </w:pPr>
    </w:p>
    <w:p w:rsidR="00FF4E0A" w:rsidRDefault="00FF4E0A" w:rsidP="00FF4E0A">
      <w:pPr>
        <w:pStyle w:val="NoSpacing"/>
        <w:jc w:val="both"/>
        <w:rPr>
          <w:b/>
        </w:rPr>
      </w:pPr>
      <w:r w:rsidRPr="00501D60">
        <w:rPr>
          <w:b/>
        </w:rPr>
        <w:t xml:space="preserve">Q10. Discuss how the people manager, recruitment advisor </w:t>
      </w:r>
      <w:r>
        <w:rPr>
          <w:b/>
        </w:rPr>
        <w:t xml:space="preserve">and employment relations case </w:t>
      </w:r>
      <w:r w:rsidRPr="00501D60">
        <w:rPr>
          <w:b/>
        </w:rPr>
        <w:t>advisor could support the retention stage of the em</w:t>
      </w:r>
      <w:r w:rsidR="00CC56CF">
        <w:rPr>
          <w:b/>
        </w:rPr>
        <w:softHyphen/>
      </w:r>
      <w:r w:rsidRPr="00501D60">
        <w:rPr>
          <w:b/>
        </w:rPr>
        <w:t>ployee lifecycle. (AC 3.1)</w:t>
      </w:r>
    </w:p>
    <w:p w:rsidR="00C52B4A" w:rsidRDefault="00C52B4A" w:rsidP="005D0177">
      <w:pPr>
        <w:pStyle w:val="NoSpacing"/>
        <w:jc w:val="both"/>
      </w:pPr>
    </w:p>
    <w:p w:rsidR="00C52B4A" w:rsidRDefault="00C52B4A" w:rsidP="005D0177">
      <w:pPr>
        <w:pStyle w:val="NoSpacing"/>
        <w:jc w:val="both"/>
      </w:pPr>
      <w:r>
        <w:t xml:space="preserve">Retention is a key and fluid stage of the employee lifecycle (figure 3), interconnecting with other stages and encompassing reward, well-being, performance and development (Smith and Mitchell, 2022). </w:t>
      </w:r>
      <w:r w:rsidR="00D62F23">
        <w:t>The people manager, recruitment advisor and employment relations case advisor could support retention through complementary activities, decisions and employee interactions.</w:t>
      </w:r>
    </w:p>
    <w:p w:rsidR="00F2782F" w:rsidRDefault="00F2782F" w:rsidP="00FF4E0A">
      <w:pPr>
        <w:pStyle w:val="NoSpacing"/>
        <w:jc w:val="both"/>
      </w:pPr>
    </w:p>
    <w:p w:rsidR="00ED7A2C" w:rsidRPr="00ED7A2C" w:rsidRDefault="00ED7A2C" w:rsidP="00FF4E0A">
      <w:pPr>
        <w:pStyle w:val="NoSpacing"/>
        <w:jc w:val="both"/>
      </w:pPr>
      <w:r>
        <w:rPr>
          <w:noProof/>
          <w:lang w:eastAsia="en-GB"/>
        </w:rPr>
        <w:drawing>
          <wp:inline distT="0" distB="0" distL="0" distR="0" wp14:anchorId="6648E0A2" wp14:editId="0DD66850">
            <wp:extent cx="5731510" cy="517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4231"/>
                    <a:stretch/>
                  </pic:blipFill>
                  <pic:spPr>
                    <a:xfrm>
                      <a:off x="0" y="0"/>
                      <a:ext cx="5731510" cy="517525"/>
                    </a:xfrm>
                    <a:prstGeom prst="rect">
                      <a:avLst/>
                    </a:prstGeom>
                  </pic:spPr>
                </pic:pic>
              </a:graphicData>
            </a:graphic>
          </wp:inline>
        </w:drawing>
      </w:r>
    </w:p>
    <w:p w:rsidR="00ED7A2C" w:rsidRDefault="005D0177" w:rsidP="005D0177">
      <w:pPr>
        <w:pStyle w:val="NoSpacing"/>
        <w:jc w:val="center"/>
        <w:rPr>
          <w:b/>
        </w:rPr>
      </w:pPr>
      <w:r>
        <w:rPr>
          <w:b/>
        </w:rPr>
        <w:t>Figure 3 (Smith and Mitchell, 2022)</w:t>
      </w:r>
    </w:p>
    <w:p w:rsidR="00ED7A2C" w:rsidRDefault="00ED7A2C" w:rsidP="00FF4E0A">
      <w:pPr>
        <w:pStyle w:val="NoSpacing"/>
        <w:jc w:val="both"/>
        <w:rPr>
          <w:b/>
        </w:rPr>
      </w:pPr>
    </w:p>
    <w:p w:rsidR="00906045" w:rsidRDefault="00AF2160" w:rsidP="00F46F6C">
      <w:pPr>
        <w:pStyle w:val="NoSpacing"/>
        <w:jc w:val="both"/>
      </w:pPr>
      <w:r>
        <w:t>The people manager</w:t>
      </w:r>
      <w:r w:rsidR="004D30F7">
        <w:t xml:space="preserve"> could </w:t>
      </w:r>
      <w:r>
        <w:t>impact</w:t>
      </w:r>
      <w:r w:rsidR="00773F16">
        <w:t xml:space="preserve"> retention by strengthening well-being, development, culture a</w:t>
      </w:r>
      <w:r w:rsidR="00A51705">
        <w:t>nd engagement</w:t>
      </w:r>
      <w:r w:rsidR="00773F16">
        <w:t xml:space="preserve"> throughout the full employee lifecycle. Currently, there is</w:t>
      </w:r>
      <w:r w:rsidR="00FF3FE1">
        <w:t xml:space="preserve"> an autocratic management style </w:t>
      </w:r>
      <w:r w:rsidR="003B2CE8">
        <w:t xml:space="preserve">within Chaffinch Group </w:t>
      </w:r>
      <w:r w:rsidR="00FF3FE1">
        <w:t xml:space="preserve">which has </w:t>
      </w:r>
      <w:r w:rsidR="00177AAC">
        <w:t>caused</w:t>
      </w:r>
      <w:r w:rsidR="00773F16">
        <w:t xml:space="preserve"> d</w:t>
      </w:r>
      <w:r w:rsidR="00177AAC">
        <w:t>isengagement and turnover</w:t>
      </w:r>
      <w:r w:rsidR="00773F16">
        <w:t xml:space="preserve">. The people manager could train managers to conduct effective 121s and team meetings to support development, </w:t>
      </w:r>
      <w:r w:rsidR="00305501">
        <w:t>create</w:t>
      </w:r>
      <w:r w:rsidR="00773F16">
        <w:t xml:space="preserve"> feedback</w:t>
      </w:r>
      <w:r w:rsidR="00305501">
        <w:t xml:space="preserve"> loops</w:t>
      </w:r>
      <w:r w:rsidR="00773F16">
        <w:t xml:space="preserve"> and enhance employee involvement (Smith and Mitchell, 2022). </w:t>
      </w:r>
      <w:r w:rsidR="00A51705">
        <w:t xml:space="preserve">Reintroducing consultative approaches </w:t>
      </w:r>
      <w:r w:rsidR="00493238">
        <w:t xml:space="preserve">will aid hedonic and eudaimonic well-being through rebuilding trust and voice (Lapierre and Cooper, 2023). </w:t>
      </w:r>
    </w:p>
    <w:p w:rsidR="00906045" w:rsidRDefault="00906045" w:rsidP="00F46F6C">
      <w:pPr>
        <w:pStyle w:val="NoSpacing"/>
        <w:jc w:val="both"/>
      </w:pPr>
    </w:p>
    <w:p w:rsidR="00235D7B" w:rsidRDefault="00305501" w:rsidP="00F46F6C">
      <w:pPr>
        <w:pStyle w:val="NoSpacing"/>
        <w:jc w:val="both"/>
      </w:pPr>
      <w:r>
        <w:t xml:space="preserve">Furthermore, they could support managers </w:t>
      </w:r>
      <w:r w:rsidR="00493238">
        <w:t>with creating</w:t>
      </w:r>
      <w:r>
        <w:t xml:space="preserve"> well-being and reward initiatives. </w:t>
      </w:r>
      <w:r w:rsidR="00493238">
        <w:t xml:space="preserve">Motivation and engagement will increase when employees can see the positive connections between their effort, performance and meaningful rewards (Vroom, 1964 cited in Sutton, 2024). When applied positively, this increases commitment and retention. </w:t>
      </w:r>
      <w:r>
        <w:t xml:space="preserve">The people manager </w:t>
      </w:r>
      <w:r w:rsidR="00493238">
        <w:t>could conduct exit in</w:t>
      </w:r>
      <w:r w:rsidR="00A51705">
        <w:t xml:space="preserve">terviews to understand employee </w:t>
      </w:r>
      <w:r w:rsidR="00493238">
        <w:t>feedback and reasons for leaving. This provides</w:t>
      </w:r>
      <w:r w:rsidR="00177AAC">
        <w:t xml:space="preserve"> valuable feedback to </w:t>
      </w:r>
      <w:r w:rsidR="00493238">
        <w:t>inform oth</w:t>
      </w:r>
      <w:r w:rsidR="00212806">
        <w:t>er stages of the lifecycle</w:t>
      </w:r>
      <w:r w:rsidR="00A51705">
        <w:t xml:space="preserve">. Overall, their work </w:t>
      </w:r>
      <w:r w:rsidR="00212806">
        <w:t>improve</w:t>
      </w:r>
      <w:r w:rsidR="00A51705">
        <w:t>s</w:t>
      </w:r>
      <w:r w:rsidR="00212806">
        <w:t xml:space="preserve"> </w:t>
      </w:r>
      <w:r w:rsidR="00235D7B">
        <w:t xml:space="preserve">psychological safety </w:t>
      </w:r>
      <w:r w:rsidR="00177AAC">
        <w:t>which reduces employee</w:t>
      </w:r>
      <w:r w:rsidR="00212806">
        <w:t xml:space="preserve"> d</w:t>
      </w:r>
      <w:r w:rsidR="00413D2B">
        <w:t>esire</w:t>
      </w:r>
      <w:r w:rsidR="00177AAC">
        <w:t>s</w:t>
      </w:r>
      <w:r w:rsidR="00413D2B">
        <w:t xml:space="preserve"> to leave and strengthen</w:t>
      </w:r>
      <w:r w:rsidR="00177AAC">
        <w:t>s</w:t>
      </w:r>
      <w:r w:rsidR="00413D2B">
        <w:t xml:space="preserve"> </w:t>
      </w:r>
      <w:r w:rsidR="00212806">
        <w:t>retention (</w:t>
      </w:r>
      <w:r w:rsidR="00FA42BE">
        <w:t>Schaufeli, 2023</w:t>
      </w:r>
      <w:r w:rsidR="00235D7B">
        <w:t xml:space="preserve">). </w:t>
      </w:r>
    </w:p>
    <w:p w:rsidR="00212806" w:rsidRDefault="00212806" w:rsidP="00F46F6C">
      <w:pPr>
        <w:pStyle w:val="NoSpacing"/>
        <w:jc w:val="both"/>
      </w:pPr>
    </w:p>
    <w:p w:rsidR="00F67410" w:rsidRDefault="00212806" w:rsidP="00F46F6C">
      <w:pPr>
        <w:pStyle w:val="NoSpacing"/>
        <w:jc w:val="both"/>
      </w:pPr>
      <w:r>
        <w:t xml:space="preserve">The recruitment advisor </w:t>
      </w:r>
      <w:r w:rsidR="00413D2B">
        <w:t xml:space="preserve">could support </w:t>
      </w:r>
      <w:r>
        <w:t>retention by improving recruitment and onboarding</w:t>
      </w:r>
      <w:r w:rsidR="00F67410">
        <w:t xml:space="preserve"> processes. T</w:t>
      </w:r>
      <w:r>
        <w:t>hey could enhance cultural alignment by understand</w:t>
      </w:r>
      <w:r w:rsidR="00882117">
        <w:t xml:space="preserve">ing current </w:t>
      </w:r>
      <w:r>
        <w:t xml:space="preserve">employees’ </w:t>
      </w:r>
      <w:r w:rsidR="00882117">
        <w:t xml:space="preserve">values </w:t>
      </w:r>
      <w:r>
        <w:t>an</w:t>
      </w:r>
      <w:r w:rsidR="00882117">
        <w:t>d recruiting candidates</w:t>
      </w:r>
      <w:r w:rsidR="00906045">
        <w:t xml:space="preserve"> that match these</w:t>
      </w:r>
      <w:r w:rsidR="00882117">
        <w:t xml:space="preserve"> </w:t>
      </w:r>
      <w:r w:rsidR="00413D2B">
        <w:t xml:space="preserve">values </w:t>
      </w:r>
      <w:r w:rsidR="005A3DAF">
        <w:t>(Verquer, Beehr &amp; Wagner, 2003)</w:t>
      </w:r>
      <w:r w:rsidR="00373A27">
        <w:t xml:space="preserve">. </w:t>
      </w:r>
      <w:r>
        <w:t xml:space="preserve">Interviews could be improved by psychometric testing or behavioural questions to support this. </w:t>
      </w:r>
      <w:r w:rsidR="00906045">
        <w:t>Senior employees could be involved in interviews where practical to enhance fit</w:t>
      </w:r>
      <w:r>
        <w:t xml:space="preserve">. Additionally, improved job previews would </w:t>
      </w:r>
      <w:r w:rsidR="00F67410">
        <w:t>give candida</w:t>
      </w:r>
      <w:r w:rsidR="00177AAC">
        <w:t xml:space="preserve">tes honest insight into the </w:t>
      </w:r>
      <w:r w:rsidR="00F67410">
        <w:t>role</w:t>
      </w:r>
      <w:r w:rsidR="00177AAC">
        <w:t>s</w:t>
      </w:r>
      <w:r w:rsidR="00F67410">
        <w:t xml:space="preserve"> and organisation (Smith and Mitchell, 2022). This would boos</w:t>
      </w:r>
      <w:r w:rsidR="00177AAC">
        <w:t>t trust, confidence and</w:t>
      </w:r>
      <w:r w:rsidR="00F67410">
        <w:t xml:space="preserve"> the likelihood of </w:t>
      </w:r>
      <w:r w:rsidR="00B74CC3">
        <w:t>long-term commitment</w:t>
      </w:r>
      <w:r w:rsidR="00BB37F3">
        <w:t xml:space="preserve">. </w:t>
      </w:r>
      <w:r w:rsidR="00F67410">
        <w:t>Better qualit</w:t>
      </w:r>
      <w:r w:rsidR="00882117">
        <w:t xml:space="preserve">y recruitment will </w:t>
      </w:r>
      <w:r w:rsidR="00F67410">
        <w:t>enable permanent positions to be filled quicker, thereby</w:t>
      </w:r>
      <w:r w:rsidR="00882117">
        <w:t xml:space="preserve"> reducing agency utilisation, stress and burnout risks </w:t>
      </w:r>
      <w:r w:rsidR="00F67410">
        <w:t>(Schaufeli, 2023). The recruitment</w:t>
      </w:r>
      <w:r w:rsidR="00597C3E">
        <w:t xml:space="preserve"> advisor (pre-employment) and people manager (from day 1 of employment) could</w:t>
      </w:r>
      <w:r w:rsidR="00F67410">
        <w:t xml:space="preserve"> work together to </w:t>
      </w:r>
      <w:r w:rsidR="00597C3E">
        <w:t>ensure effective onboarding</w:t>
      </w:r>
      <w:r w:rsidR="00177AAC">
        <w:t xml:space="preserve"> and</w:t>
      </w:r>
      <w:r w:rsidR="00597C3E">
        <w:t xml:space="preserve"> inductions. The first 90 days of employment have the biggest impact on well-being and retention there</w:t>
      </w:r>
      <w:r w:rsidR="00882117">
        <w:t xml:space="preserve">fore regular check-ins and support would </w:t>
      </w:r>
      <w:r w:rsidR="00597C3E">
        <w:t xml:space="preserve">mitigate early issues </w:t>
      </w:r>
      <w:r w:rsidR="00177AAC">
        <w:t>and enhance commitment</w:t>
      </w:r>
      <w:r w:rsidR="00597C3E">
        <w:t xml:space="preserve"> (</w:t>
      </w:r>
      <w:r w:rsidR="00882117">
        <w:t>CIPD, 2024b).</w:t>
      </w:r>
    </w:p>
    <w:p w:rsidR="0008244E" w:rsidRDefault="0008244E" w:rsidP="00F46F6C">
      <w:pPr>
        <w:pStyle w:val="NoSpacing"/>
        <w:jc w:val="both"/>
      </w:pPr>
    </w:p>
    <w:p w:rsidR="00A86CE0" w:rsidRDefault="00E72996" w:rsidP="00F46F6C">
      <w:pPr>
        <w:pStyle w:val="NoSpacing"/>
        <w:jc w:val="both"/>
      </w:pPr>
      <w:r>
        <w:t>The employment relations case manag</w:t>
      </w:r>
      <w:r w:rsidR="00A46DDE">
        <w:t xml:space="preserve">er </w:t>
      </w:r>
      <w:r w:rsidR="0008244E">
        <w:t xml:space="preserve">could support retention </w:t>
      </w:r>
      <w:r w:rsidR="006E0BEB">
        <w:t xml:space="preserve">at Calmere House </w:t>
      </w:r>
      <w:r w:rsidR="0008244E">
        <w:t xml:space="preserve">by mitigating legal risk and guiding managers on disputes and fair policy application (Kehoe and Wright, 2013). </w:t>
      </w:r>
      <w:r w:rsidR="00E37873">
        <w:t xml:space="preserve">They </w:t>
      </w:r>
      <w:r w:rsidR="00906045">
        <w:t>could</w:t>
      </w:r>
      <w:r w:rsidR="00E37873">
        <w:t xml:space="preserve"> work with managers to prevent conflict</w:t>
      </w:r>
      <w:r w:rsidR="00906045">
        <w:t>s such as grievances, performance issues and absence whilst ensuring fair case management</w:t>
      </w:r>
      <w:r w:rsidR="00E37873">
        <w:t xml:space="preserve">. This would foster trust and psychological safety whilst increasing the likelihood of retention </w:t>
      </w:r>
      <w:r w:rsidR="00E206B0">
        <w:t>(CIPD, 2025g).</w:t>
      </w:r>
      <w:r w:rsidR="00E37873">
        <w:t xml:space="preserve"> </w:t>
      </w:r>
    </w:p>
    <w:p w:rsidR="00D62F23" w:rsidRDefault="00D62F23" w:rsidP="00F46F6C">
      <w:pPr>
        <w:pStyle w:val="NoSpacing"/>
        <w:jc w:val="both"/>
      </w:pPr>
    </w:p>
    <w:p w:rsidR="00FF4E0A" w:rsidRDefault="00FF4E0A" w:rsidP="00FF4E0A">
      <w:pPr>
        <w:pStyle w:val="NoSpacing"/>
        <w:jc w:val="both"/>
        <w:rPr>
          <w:b/>
        </w:rPr>
      </w:pPr>
      <w:r w:rsidRPr="00501D60">
        <w:rPr>
          <w:b/>
        </w:rPr>
        <w:t xml:space="preserve">Q11. Analyse how people practices could help Chaffinch Group </w:t>
      </w:r>
      <w:r>
        <w:rPr>
          <w:b/>
        </w:rPr>
        <w:t xml:space="preserve">to fill 100% of resident rooms </w:t>
      </w:r>
      <w:r w:rsidRPr="00501D60">
        <w:rPr>
          <w:b/>
        </w:rPr>
        <w:t>within six months. (AC 3.2)</w:t>
      </w:r>
    </w:p>
    <w:p w:rsidR="002548CA" w:rsidRDefault="002548CA" w:rsidP="00FF4E0A">
      <w:pPr>
        <w:pStyle w:val="NoSpacing"/>
        <w:jc w:val="both"/>
        <w:rPr>
          <w:b/>
        </w:rPr>
      </w:pPr>
    </w:p>
    <w:p w:rsidR="0013063F" w:rsidRDefault="002548CA" w:rsidP="00B23F37">
      <w:pPr>
        <w:pStyle w:val="NoSpacing"/>
        <w:jc w:val="both"/>
      </w:pPr>
      <w:r>
        <w:t xml:space="preserve">Chaffinch Group should apply vertical integration to </w:t>
      </w:r>
      <w:r w:rsidR="00B23F37">
        <w:t>ensure s</w:t>
      </w:r>
      <w:r w:rsidR="00BF1AF5">
        <w:t>trategic alignment between</w:t>
      </w:r>
      <w:r w:rsidR="00B23F37">
        <w:t xml:space="preserve"> people practices and o</w:t>
      </w:r>
      <w:r w:rsidR="00B77271">
        <w:t>verall business strategy (Holbeche, 2022</w:t>
      </w:r>
      <w:r w:rsidR="00B23F37">
        <w:t>). A coh</w:t>
      </w:r>
      <w:r w:rsidR="002F2593">
        <w:t>erent framework must be established</w:t>
      </w:r>
      <w:r w:rsidR="00B23F37">
        <w:t xml:space="preserve"> </w:t>
      </w:r>
      <w:r w:rsidR="00B23F37">
        <w:lastRenderedPageBreak/>
        <w:t>to improve resourcing</w:t>
      </w:r>
      <w:r w:rsidR="00E86218">
        <w:t xml:space="preserve"> </w:t>
      </w:r>
      <w:r w:rsidR="002F2593">
        <w:t>and to support, manage and develop employees</w:t>
      </w:r>
      <w:r w:rsidR="00B23F37">
        <w:t xml:space="preserve"> effectively (CIPD, 2025h). </w:t>
      </w:r>
      <w:r w:rsidR="00160C3A">
        <w:t>D</w:t>
      </w:r>
      <w:r w:rsidR="00D45DEB">
        <w:t xml:space="preserve">ecisions regarding resourcing, reward, relations, learning and development </w:t>
      </w:r>
      <w:r w:rsidR="00160C3A">
        <w:t xml:space="preserve">must </w:t>
      </w:r>
      <w:r w:rsidR="00D45DEB">
        <w:t>directly</w:t>
      </w:r>
      <w:r w:rsidR="00B77271">
        <w:t xml:space="preserve"> </w:t>
      </w:r>
      <w:r w:rsidR="00D45DEB">
        <w:t xml:space="preserve">support their business strategy and goal to fill 100% of resident rooms </w:t>
      </w:r>
      <w:r w:rsidR="002F2593">
        <w:t>within</w:t>
      </w:r>
      <w:r w:rsidR="00433C01">
        <w:t xml:space="preserve"> six</w:t>
      </w:r>
      <w:r w:rsidR="002F2593">
        <w:t xml:space="preserve"> months. V</w:t>
      </w:r>
      <w:r w:rsidR="003E6BA0">
        <w:t xml:space="preserve">ertical integration will </w:t>
      </w:r>
      <w:r w:rsidR="00D45DEB">
        <w:t xml:space="preserve">mitigate cultural and operational </w:t>
      </w:r>
      <w:r w:rsidR="00433C01">
        <w:t>issues whilst increasing</w:t>
      </w:r>
      <w:r w:rsidR="00D45DEB">
        <w:t xml:space="preserve"> </w:t>
      </w:r>
      <w:r w:rsidR="00433C01">
        <w:t>the likelihood of achieving the goal.</w:t>
      </w:r>
      <w:r w:rsidR="00B77271">
        <w:t xml:space="preserve"> </w:t>
      </w:r>
      <w:r w:rsidR="0013063F">
        <w:t>Additionally, HR practices must be</w:t>
      </w:r>
      <w:r w:rsidR="00160C3A">
        <w:t xml:space="preserve"> horizontally aligned with each </w:t>
      </w:r>
      <w:r w:rsidR="0013063F">
        <w:t>other to enhance consistency in employee experiences (Delery and Doty, 1996 cited in Holbeche, 2022)</w:t>
      </w:r>
      <w:r w:rsidR="00BF1AF5">
        <w:t xml:space="preserve"> Applied effectively, this will</w:t>
      </w:r>
      <w:r w:rsidR="0013063F">
        <w:t xml:space="preserve"> enhance care quality and satisfaction levels needed to increase occupancy levels. </w:t>
      </w:r>
    </w:p>
    <w:p w:rsidR="0013063F" w:rsidRDefault="0013063F" w:rsidP="00B23F37">
      <w:pPr>
        <w:pStyle w:val="NoSpacing"/>
        <w:jc w:val="both"/>
      </w:pPr>
    </w:p>
    <w:p w:rsidR="00916336" w:rsidRDefault="00F30807" w:rsidP="00B23F37">
      <w:pPr>
        <w:pStyle w:val="NoSpacing"/>
        <w:jc w:val="both"/>
      </w:pPr>
      <w:r>
        <w:t>Resourcing practices</w:t>
      </w:r>
      <w:r w:rsidR="00BA6B12">
        <w:t xml:space="preserve"> must ensure</w:t>
      </w:r>
      <w:r w:rsidR="003E6BA0">
        <w:t xml:space="preserve"> </w:t>
      </w:r>
      <w:r w:rsidR="00F27BC6">
        <w:t>the right people are</w:t>
      </w:r>
      <w:r w:rsidR="003E6BA0">
        <w:t xml:space="preserve"> hired</w:t>
      </w:r>
      <w:r w:rsidR="00BA6B12">
        <w:t xml:space="preserve"> to support </w:t>
      </w:r>
      <w:r>
        <w:t>skill requirements, workload, retention and cultural fit (</w:t>
      </w:r>
      <w:r w:rsidR="00BA6B12">
        <w:t xml:space="preserve">Smith and Mitchell, 2022). </w:t>
      </w:r>
      <w:r w:rsidR="00F27BC6">
        <w:t>Chaffinch Group could update job advert</w:t>
      </w:r>
      <w:r w:rsidR="00BF1AF5">
        <w:t>s, attend job fa</w:t>
      </w:r>
      <w:r w:rsidR="00160C3A">
        <w:t>ir</w:t>
      </w:r>
      <w:r w:rsidR="00BF1AF5">
        <w:t>s and use additional</w:t>
      </w:r>
      <w:r w:rsidR="00F27BC6">
        <w:t xml:space="preserve"> job b</w:t>
      </w:r>
      <w:r w:rsidR="00BF1AF5">
        <w:t>oards to attract better quality</w:t>
      </w:r>
      <w:r w:rsidR="00F27BC6">
        <w:t xml:space="preserve"> ca</w:t>
      </w:r>
      <w:r w:rsidR="006359C4">
        <w:t>ndidates.</w:t>
      </w:r>
      <w:r w:rsidR="0013063F">
        <w:t xml:space="preserve"> Transparent adverts and interview processes</w:t>
      </w:r>
      <w:r w:rsidR="00E86218">
        <w:t xml:space="preserve"> will increase trust and </w:t>
      </w:r>
      <w:r w:rsidR="0013063F">
        <w:t>retention (Smith and Mitchell, 20</w:t>
      </w:r>
      <w:r w:rsidR="003E6BA0">
        <w:t>22). This links</w:t>
      </w:r>
      <w:r w:rsidR="0013063F">
        <w:t xml:space="preserve"> to reward by ensuring sa</w:t>
      </w:r>
      <w:r w:rsidR="00E86218">
        <w:t>laries remain competitive</w:t>
      </w:r>
      <w:r w:rsidR="003E6BA0">
        <w:t xml:space="preserve"> and </w:t>
      </w:r>
      <w:r w:rsidR="0013063F">
        <w:t>new hires have visibility of incentives and development routes. Similarly, they could introdu</w:t>
      </w:r>
      <w:r w:rsidR="00916336">
        <w:t xml:space="preserve">ce employee referral </w:t>
      </w:r>
      <w:r w:rsidR="0013063F">
        <w:t xml:space="preserve">schemes </w:t>
      </w:r>
      <w:r w:rsidR="003E6BA0">
        <w:t xml:space="preserve">to reward staff for </w:t>
      </w:r>
      <w:r w:rsidR="0013063F">
        <w:t xml:space="preserve">successful </w:t>
      </w:r>
      <w:r w:rsidR="00916336">
        <w:t>referrals (Mani, 2012)</w:t>
      </w:r>
      <w:r w:rsidR="00E86218">
        <w:t xml:space="preserve">. </w:t>
      </w:r>
      <w:r w:rsidR="00BF1AF5">
        <w:t xml:space="preserve">Effective resource planning will mitigate current issues and ensure preparedness for the planned occupancy increase. Appropriate timescales and budgets must be set to ensure continuity of care and readiness for additional residents. Agency utilisation </w:t>
      </w:r>
      <w:r w:rsidR="00E86218">
        <w:t>could support peak periods</w:t>
      </w:r>
      <w:r w:rsidR="008E1809">
        <w:t xml:space="preserve"> with structured training </w:t>
      </w:r>
      <w:r w:rsidR="00E86218">
        <w:t xml:space="preserve">to </w:t>
      </w:r>
      <w:r w:rsidR="008E1809">
        <w:t>ensure consistency</w:t>
      </w:r>
      <w:r w:rsidR="00BF1AF5">
        <w:t xml:space="preserve">. </w:t>
      </w:r>
      <w:r w:rsidR="0013063F">
        <w:t>This supports the six-month 100% fill target whilst enhancing retention</w:t>
      </w:r>
      <w:r w:rsidR="00E86218">
        <w:t xml:space="preserve"> and reputation, subsequently increasing </w:t>
      </w:r>
      <w:r w:rsidR="0013063F">
        <w:t xml:space="preserve">eferrals and occupancy. </w:t>
      </w:r>
    </w:p>
    <w:p w:rsidR="00502557" w:rsidRDefault="00502557" w:rsidP="00B23F37">
      <w:pPr>
        <w:pStyle w:val="NoSpacing"/>
        <w:jc w:val="both"/>
      </w:pPr>
    </w:p>
    <w:p w:rsidR="00BC605B" w:rsidRDefault="00502557" w:rsidP="00B23F37">
      <w:pPr>
        <w:pStyle w:val="NoSpacing"/>
        <w:jc w:val="both"/>
      </w:pPr>
      <w:r>
        <w:t>Rewar</w:t>
      </w:r>
      <w:r w:rsidR="00AC75D7">
        <w:t xml:space="preserve">d strategies </w:t>
      </w:r>
      <w:r w:rsidR="00BF1AF5">
        <w:t>will help Chaffinch Group achieve their</w:t>
      </w:r>
      <w:r w:rsidR="00C36402">
        <w:t xml:space="preserve"> goal</w:t>
      </w:r>
      <w:r w:rsidR="00AC75D7">
        <w:t xml:space="preserve"> by creating a posit</w:t>
      </w:r>
      <w:r w:rsidR="00E86218">
        <w:t>ive work environment and</w:t>
      </w:r>
      <w:r w:rsidR="00AC75D7">
        <w:t xml:space="preserve"> team. </w:t>
      </w:r>
      <w:r w:rsidR="00C36402">
        <w:t>Salary reviews and introduction of bandings, linked to learning and development, would evoke trust and recognition. Team bonus</w:t>
      </w:r>
      <w:r w:rsidR="00E86218">
        <w:t>es based on care quality</w:t>
      </w:r>
      <w:r w:rsidR="00C36402">
        <w:t xml:space="preserve"> </w:t>
      </w:r>
      <w:r w:rsidR="008E1809">
        <w:t>could improve</w:t>
      </w:r>
      <w:r w:rsidR="00C36402">
        <w:t xml:space="preserve"> standards, resident and employee satisfaction. Similarly, introducing </w:t>
      </w:r>
      <w:r w:rsidR="00AC75D7">
        <w:t xml:space="preserve">long-service awards or an employee of the month scheme </w:t>
      </w:r>
      <w:r w:rsidR="00C36402">
        <w:t>would further foster positive performance</w:t>
      </w:r>
      <w:r w:rsidR="003E6BA0">
        <w:t xml:space="preserve"> (Silverman, 2000)</w:t>
      </w:r>
      <w:r w:rsidR="00C36402">
        <w:t>. These activities link to reward and relations whilst cr</w:t>
      </w:r>
      <w:r w:rsidR="00E86218">
        <w:t xml:space="preserve">eating positive feedback loops and </w:t>
      </w:r>
      <w:r w:rsidR="00C36402">
        <w:t>reducing absenteeism</w:t>
      </w:r>
      <w:r w:rsidR="00E86218">
        <w:t>.</w:t>
      </w:r>
      <w:r w:rsidR="00C36402">
        <w:t>. E</w:t>
      </w:r>
      <w:r w:rsidR="00BC605B">
        <w:t>ffective implementation will contribute to achieving the fill rate goal by motivating staff to deliver high qu</w:t>
      </w:r>
      <w:r w:rsidR="008E1809">
        <w:t xml:space="preserve">ality care, supporting </w:t>
      </w:r>
      <w:r w:rsidR="00226CA2">
        <w:t>well-being</w:t>
      </w:r>
      <w:r w:rsidR="008E1809">
        <w:t xml:space="preserve"> and voice</w:t>
      </w:r>
      <w:r w:rsidR="00BC605B">
        <w:t xml:space="preserve">. </w:t>
      </w:r>
      <w:r w:rsidR="00C36402">
        <w:t>This in turn leads to reten</w:t>
      </w:r>
      <w:r w:rsidR="008E1809">
        <w:t>tion of existing residents and attracts new residents</w:t>
      </w:r>
      <w:r w:rsidR="00C36402">
        <w:t>.</w:t>
      </w:r>
    </w:p>
    <w:p w:rsidR="00BC605B" w:rsidRDefault="00BC605B" w:rsidP="00B23F37">
      <w:pPr>
        <w:pStyle w:val="NoSpacing"/>
        <w:jc w:val="both"/>
      </w:pPr>
    </w:p>
    <w:p w:rsidR="003E0C5B" w:rsidRDefault="00BC605B" w:rsidP="003E0C5B">
      <w:pPr>
        <w:pStyle w:val="NoSpacing"/>
        <w:jc w:val="both"/>
      </w:pPr>
      <w:r>
        <w:t xml:space="preserve">Finally, Chaffinch Group could introduce training paths for new and existing employees to ensure care quality and </w:t>
      </w:r>
      <w:r w:rsidR="00BF1AF5">
        <w:t>satisfaction</w:t>
      </w:r>
      <w:r>
        <w:t>. In</w:t>
      </w:r>
      <w:r w:rsidR="00BF1AF5">
        <w:t xml:space="preserve">vestment in this area will </w:t>
      </w:r>
      <w:r>
        <w:t>boost employee morale, engagement and retention. This would also help set Chaffinch Group apart from their competitors whilst improving customer confidence</w:t>
      </w:r>
      <w:r w:rsidR="003E0C5B">
        <w:t xml:space="preserve"> and service reliability</w:t>
      </w:r>
      <w:r>
        <w:t>, thereby contributing to fi</w:t>
      </w:r>
      <w:r w:rsidR="003E0C5B">
        <w:t>ll rates. Due to the six month target, they should identify i</w:t>
      </w:r>
      <w:r w:rsidR="008E1809">
        <w:t>mmediate training needs and</w:t>
      </w:r>
      <w:r w:rsidR="003E0C5B">
        <w:t xml:space="preserve"> focus on</w:t>
      </w:r>
      <w:r w:rsidR="008E1809">
        <w:t xml:space="preserve"> improved onboarding and</w:t>
      </w:r>
      <w:r w:rsidR="003E0C5B">
        <w:t xml:space="preserve"> training to ensure new hires meet the care quality and role requirements efficiently and effectively. </w:t>
      </w:r>
    </w:p>
    <w:p w:rsidR="00E82733" w:rsidRPr="00501D60" w:rsidRDefault="00E82733" w:rsidP="00FF4E0A">
      <w:pPr>
        <w:pStyle w:val="NoSpacing"/>
        <w:jc w:val="both"/>
        <w:rPr>
          <w:b/>
        </w:rPr>
      </w:pPr>
    </w:p>
    <w:p w:rsidR="002A35A0" w:rsidRDefault="00FF4E0A" w:rsidP="00FF4E0A">
      <w:pPr>
        <w:pStyle w:val="NoSpacing"/>
        <w:jc w:val="both"/>
        <w:rPr>
          <w:b/>
        </w:rPr>
      </w:pPr>
      <w:r w:rsidRPr="00501D60">
        <w:rPr>
          <w:b/>
        </w:rPr>
        <w:t>Q12. Discuss how Kath could consult and engage with employ</w:t>
      </w:r>
      <w:r>
        <w:rPr>
          <w:b/>
        </w:rPr>
        <w:t xml:space="preserve">ees to understand why employee </w:t>
      </w:r>
      <w:r w:rsidRPr="00501D60">
        <w:rPr>
          <w:b/>
        </w:rPr>
        <w:t>turnover at Calme</w:t>
      </w:r>
      <w:r w:rsidR="00A97968">
        <w:rPr>
          <w:b/>
        </w:rPr>
        <w:t>re House has increased. (AC 3.3)</w:t>
      </w:r>
    </w:p>
    <w:p w:rsidR="008E1809" w:rsidRDefault="008E1809" w:rsidP="00FF4E0A">
      <w:pPr>
        <w:pStyle w:val="NoSpacing"/>
        <w:jc w:val="both"/>
        <w:rPr>
          <w:b/>
        </w:rPr>
      </w:pPr>
    </w:p>
    <w:p w:rsidR="008813DC" w:rsidRDefault="002A35A0" w:rsidP="00FF4E0A">
      <w:pPr>
        <w:pStyle w:val="NoSpacing"/>
        <w:jc w:val="both"/>
      </w:pPr>
      <w:r>
        <w:t>Chaffinch Gr</w:t>
      </w:r>
      <w:r w:rsidR="00A97968">
        <w:t xml:space="preserve">oup’s takeover </w:t>
      </w:r>
      <w:r>
        <w:t xml:space="preserve">has </w:t>
      </w:r>
      <w:r w:rsidR="00A97968">
        <w:t>increased</w:t>
      </w:r>
      <w:r w:rsidR="0078182D">
        <w:t xml:space="preserve"> </w:t>
      </w:r>
      <w:r w:rsidR="006D4AFE">
        <w:t>turnover through</w:t>
      </w:r>
      <w:r>
        <w:t xml:space="preserve"> poor change management, cultural shift, reduced employee voice, increa</w:t>
      </w:r>
      <w:r w:rsidR="0078182D">
        <w:t>sed workload and new</w:t>
      </w:r>
      <w:r w:rsidR="00A97968">
        <w:t xml:space="preserve"> hierarchical </w:t>
      </w:r>
      <w:r>
        <w:t>structure</w:t>
      </w:r>
      <w:r w:rsidR="00DD1F5C">
        <w:t xml:space="preserve"> (Clemo, 2025)</w:t>
      </w:r>
      <w:r w:rsidR="0078182D">
        <w:t>. Kath should</w:t>
      </w:r>
      <w:r>
        <w:t xml:space="preserve"> </w:t>
      </w:r>
      <w:r w:rsidR="008813DC">
        <w:t xml:space="preserve">consult and </w:t>
      </w:r>
      <w:r>
        <w:t xml:space="preserve">engage with employees to </w:t>
      </w:r>
      <w:r w:rsidR="008813DC">
        <w:t xml:space="preserve">gain greater </w:t>
      </w:r>
      <w:r>
        <w:t>understand</w:t>
      </w:r>
      <w:r w:rsidR="008813DC">
        <w:t>ing of the t</w:t>
      </w:r>
      <w:r w:rsidR="0078182D">
        <w:t>urnover’s root cause. Active,</w:t>
      </w:r>
      <w:r w:rsidR="008813DC">
        <w:t xml:space="preserve"> effective l</w:t>
      </w:r>
      <w:r w:rsidR="0078182D">
        <w:t xml:space="preserve">istening will help </w:t>
      </w:r>
      <w:r w:rsidR="008813DC">
        <w:t>identify solutions which take the employees thoughts and feedback into consideration (ACAS, 2025). Applied effectively, this will help improve workforce stability</w:t>
      </w:r>
      <w:r w:rsidR="00DD1F5C">
        <w:t>, well-being</w:t>
      </w:r>
      <w:r w:rsidR="008813DC">
        <w:t xml:space="preserve"> and</w:t>
      </w:r>
      <w:r w:rsidR="00287468">
        <w:t xml:space="preserve"> care standards which contribute to</w:t>
      </w:r>
      <w:r w:rsidR="008813DC">
        <w:t xml:space="preserve"> overall business p</w:t>
      </w:r>
      <w:r w:rsidR="0078182D">
        <w:t>erformance and retention.</w:t>
      </w:r>
      <w:r w:rsidR="008813DC">
        <w:t xml:space="preserve"> </w:t>
      </w:r>
      <w:r w:rsidR="0078182D">
        <w:t xml:space="preserve">Employees will also feel </w:t>
      </w:r>
      <w:r w:rsidR="00F85058">
        <w:t>supported as consultation build</w:t>
      </w:r>
      <w:r w:rsidR="0078182D">
        <w:t>s</w:t>
      </w:r>
      <w:r w:rsidR="00F85058">
        <w:t xml:space="preserve"> trust, enhance</w:t>
      </w:r>
      <w:r w:rsidR="0078182D">
        <w:t>s employee voice and enables</w:t>
      </w:r>
      <w:r w:rsidR="00F85058">
        <w:t xml:space="preserve"> early conflict resolution (ACAS, 2025). </w:t>
      </w:r>
    </w:p>
    <w:p w:rsidR="008813DC" w:rsidRDefault="008813DC" w:rsidP="00FF4E0A">
      <w:pPr>
        <w:pStyle w:val="NoSpacing"/>
        <w:jc w:val="both"/>
      </w:pPr>
    </w:p>
    <w:p w:rsidR="00F85058" w:rsidRDefault="008813DC" w:rsidP="000F29DB">
      <w:pPr>
        <w:pStyle w:val="NoSpacing"/>
        <w:jc w:val="both"/>
      </w:pPr>
      <w:r>
        <w:t>There are many methods of good practice consultatio</w:t>
      </w:r>
      <w:r w:rsidR="000F29DB">
        <w:t>n which Kath could use to understand the increase in tur</w:t>
      </w:r>
      <w:r w:rsidR="0078182D">
        <w:t>nover. Re</w:t>
      </w:r>
      <w:r w:rsidR="000F29DB">
        <w:t>gular empl</w:t>
      </w:r>
      <w:r w:rsidR="0078182D">
        <w:t>oyee surveys could be launched</w:t>
      </w:r>
      <w:r w:rsidR="000F29DB">
        <w:t xml:space="preserve"> to gather</w:t>
      </w:r>
      <w:r w:rsidR="00247695">
        <w:t xml:space="preserve"> quantitative</w:t>
      </w:r>
      <w:r w:rsidR="0078182D">
        <w:t xml:space="preserve"> feedback on </w:t>
      </w:r>
      <w:r w:rsidR="0078182D">
        <w:lastRenderedPageBreak/>
        <w:t>wide-ranging topics</w:t>
      </w:r>
      <w:r w:rsidR="000F29DB">
        <w:t>. This would enable broad participation with the option of anonymised responses to encourage honesty. Surveys can help Kath identify problems experienced by current empl</w:t>
      </w:r>
      <w:r w:rsidR="0078182D">
        <w:t>oyees which is invaluable as this allows her to tackle</w:t>
      </w:r>
      <w:r w:rsidR="000F29DB">
        <w:t xml:space="preserve"> issues before the employee has decided to lea</w:t>
      </w:r>
      <w:r w:rsidR="0078182D">
        <w:t>ve (Taylor and Woodhams, 2022).Ch</w:t>
      </w:r>
      <w:r w:rsidR="00FB18BE">
        <w:t>allenge</w:t>
      </w:r>
      <w:r w:rsidR="0078182D">
        <w:t>s</w:t>
      </w:r>
      <w:r w:rsidR="00FB18BE">
        <w:t xml:space="preserve"> with su</w:t>
      </w:r>
      <w:r w:rsidR="0078182D">
        <w:t>rveys include</w:t>
      </w:r>
      <w:r w:rsidR="00FB18BE">
        <w:t xml:space="preserve"> employee concerns over true anony</w:t>
      </w:r>
      <w:r w:rsidR="0078182D">
        <w:t>mity and survey saturation. S</w:t>
      </w:r>
      <w:r w:rsidR="00FB18BE">
        <w:t>urveys m</w:t>
      </w:r>
      <w:r w:rsidR="0078182D">
        <w:t>ust be regular enough to allow</w:t>
      </w:r>
      <w:r w:rsidR="00FB18BE">
        <w:t xml:space="preserve"> meaningful engagement and consultation</w:t>
      </w:r>
      <w:r w:rsidR="0078182D">
        <w:t xml:space="preserve"> without encouraging low participation through </w:t>
      </w:r>
      <w:r w:rsidR="00FB18BE">
        <w:t>complex</w:t>
      </w:r>
      <w:r w:rsidR="0078182D">
        <w:t xml:space="preserve"> questions or high frequency.</w:t>
      </w:r>
      <w:r w:rsidR="00FB18BE">
        <w:t xml:space="preserve"> </w:t>
      </w:r>
    </w:p>
    <w:p w:rsidR="0078182D" w:rsidRDefault="0078182D" w:rsidP="00247695">
      <w:pPr>
        <w:pStyle w:val="NoSpacing"/>
        <w:jc w:val="both"/>
      </w:pPr>
    </w:p>
    <w:p w:rsidR="00247695" w:rsidRDefault="0078182D" w:rsidP="00247695">
      <w:pPr>
        <w:pStyle w:val="NoSpacing"/>
        <w:jc w:val="both"/>
      </w:pPr>
      <w:r>
        <w:t>M</w:t>
      </w:r>
      <w:r w:rsidR="00FB18BE">
        <w:t>ixed-method approach</w:t>
      </w:r>
      <w:r>
        <w:t>es are</w:t>
      </w:r>
      <w:r w:rsidR="00FB18BE">
        <w:t xml:space="preserve"> often best therefore Kath could introduce formal focus groups t</w:t>
      </w:r>
      <w:r>
        <w:t>o</w:t>
      </w:r>
      <w:r w:rsidR="00A34B20">
        <w:t xml:space="preserve"> ensure qualitative feedback collection</w:t>
      </w:r>
      <w:r w:rsidR="00FB18BE">
        <w:t xml:space="preserve"> (CIPD, 2025j).</w:t>
      </w:r>
      <w:r w:rsidR="00DB483B">
        <w:t xml:space="preserve"> </w:t>
      </w:r>
      <w:r w:rsidR="00247695">
        <w:t>She must ensure that a range of people participate to g</w:t>
      </w:r>
      <w:r w:rsidR="00A34B20">
        <w:t xml:space="preserve">ain accurate insight whilst encouraging </w:t>
      </w:r>
      <w:r w:rsidR="00247695">
        <w:t>open communicat</w:t>
      </w:r>
      <w:r w:rsidR="00A34B20">
        <w:t>ion. G</w:t>
      </w:r>
      <w:r w:rsidR="00247695">
        <w:t>roup setting</w:t>
      </w:r>
      <w:r w:rsidR="00A34B20">
        <w:t>s</w:t>
      </w:r>
      <w:r w:rsidR="00247695">
        <w:t xml:space="preserve"> may encourage people to open up through sha</w:t>
      </w:r>
      <w:r w:rsidR="00A34B20">
        <w:t>red experiences or</w:t>
      </w:r>
      <w:r w:rsidR="00247695">
        <w:t xml:space="preserve"> </w:t>
      </w:r>
      <w:r w:rsidR="00A34B20">
        <w:t>may silence others</w:t>
      </w:r>
      <w:r w:rsidR="00247695">
        <w:t>. Kath could also use this set</w:t>
      </w:r>
      <w:r w:rsidR="00A34B20">
        <w:t>ting to explore suggested fixes</w:t>
      </w:r>
      <w:r w:rsidR="00247695">
        <w:t xml:space="preserve"> wh</w:t>
      </w:r>
      <w:r w:rsidR="00A34B20">
        <w:t xml:space="preserve">ich could inform </w:t>
      </w:r>
      <w:r w:rsidR="00247695">
        <w:t>retention strategies. This also increa</w:t>
      </w:r>
      <w:r w:rsidR="00A34B20">
        <w:t>ses</w:t>
      </w:r>
      <w:r w:rsidR="00247695">
        <w:t xml:space="preserve"> employee voice and engagement </w:t>
      </w:r>
      <w:r w:rsidR="00A34B20">
        <w:t>which contributes to retention.</w:t>
      </w:r>
    </w:p>
    <w:p w:rsidR="00C4634C" w:rsidRDefault="00C4634C" w:rsidP="00247695">
      <w:pPr>
        <w:pStyle w:val="NoSpacing"/>
        <w:jc w:val="both"/>
      </w:pPr>
    </w:p>
    <w:p w:rsidR="00A97968" w:rsidRDefault="00160C3A" w:rsidP="00CA7F66">
      <w:pPr>
        <w:pStyle w:val="NoSpacing"/>
        <w:jc w:val="both"/>
      </w:pPr>
      <w:r>
        <w:t>Finally,</w:t>
      </w:r>
      <w:r w:rsidR="00C4634C">
        <w:t xml:space="preserve"> individualised approach</w:t>
      </w:r>
      <w:r>
        <w:t>es</w:t>
      </w:r>
      <w:r w:rsidR="00C4634C">
        <w:t xml:space="preserve"> will provide further qualita</w:t>
      </w:r>
      <w:r w:rsidR="00CA7F66">
        <w:t xml:space="preserve">tive insight e.g. through 121 meetings </w:t>
      </w:r>
      <w:r w:rsidR="00C4634C">
        <w:t>for current staff and exit interviews for leavers.</w:t>
      </w:r>
      <w:r w:rsidR="00CA7F66">
        <w:t xml:space="preserve"> This will help highlight why people are leaving and enable Kath to</w:t>
      </w:r>
      <w:r w:rsidR="00A34B20">
        <w:t xml:space="preserve"> make changes to </w:t>
      </w:r>
      <w:r w:rsidR="00CA7F66">
        <w:t>support retention. Employees are often more open during exit interviews although may be reluctant to share feedback on Kath dire</w:t>
      </w:r>
      <w:r w:rsidR="00A34B20">
        <w:t>ctly if she conducts these</w:t>
      </w:r>
      <w:r w:rsidR="00CA7F66">
        <w:t xml:space="preserve"> (Taylor and Woodhams, 2022). </w:t>
      </w:r>
      <w:r w:rsidR="00CA7F66">
        <w:t xml:space="preserve">Furthermore, it is believed that manager’s eudaimonic well-being beliefs enhance their level of engagement which in turn influences their team’s behaviours and performance through ‘engagement contagion’ (Jalili </w:t>
      </w:r>
      <w:r w:rsidR="00CA7F66">
        <w:rPr>
          <w:rStyle w:val="Emphasis"/>
        </w:rPr>
        <w:t>et al.</w:t>
      </w:r>
      <w:r w:rsidR="00CA7F66">
        <w:t>, 2025). Therefore, if Kath is highly engaged and consults with her team this</w:t>
      </w:r>
      <w:r w:rsidR="00A34B20">
        <w:t xml:space="preserve"> will lead to increased</w:t>
      </w:r>
      <w:r w:rsidR="00CA7F66">
        <w:t xml:space="preserve"> engagement and overall retention.</w:t>
      </w:r>
      <w:r w:rsidR="00CA7F66">
        <w:t xml:space="preserve"> </w:t>
      </w:r>
      <w:r w:rsidR="0078182D">
        <w:t>Kath</w:t>
      </w:r>
      <w:r w:rsidR="00A34B20">
        <w:t xml:space="preserve"> must</w:t>
      </w:r>
      <w:r w:rsidR="00CA7F66">
        <w:t xml:space="preserve"> build trust through day-to-day interactions and consultation to ensure insightful feedback whilst implementing solutions to support retention and employee voice. </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Pr>
          <w:rFonts w:ascii="Calibri" w:hAnsi="Calibri" w:cs="Calibri"/>
          <w:b/>
          <w:bCs/>
          <w:color w:val="000000"/>
          <w:sz w:val="22"/>
          <w:szCs w:val="22"/>
        </w:rPr>
        <w:t>References</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Age Space (2025) </w:t>
      </w:r>
      <w:r w:rsidRPr="00E86218">
        <w:rPr>
          <w:rFonts w:asciiTheme="minorHAnsi" w:hAnsiTheme="minorHAnsi" w:cstheme="minorHAnsi"/>
          <w:i/>
          <w:iCs/>
          <w:color w:val="000000"/>
          <w:sz w:val="22"/>
          <w:szCs w:val="22"/>
        </w:rPr>
        <w:t>Respite Care</w:t>
      </w:r>
      <w:r w:rsidRPr="00E86218">
        <w:rPr>
          <w:rFonts w:asciiTheme="minorHAnsi" w:hAnsiTheme="minorHAnsi" w:cstheme="minorHAnsi"/>
          <w:color w:val="000000"/>
          <w:sz w:val="22"/>
          <w:szCs w:val="22"/>
        </w:rPr>
        <w:t>. Available at:</w:t>
      </w:r>
      <w:hyperlink r:id="rId10"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https://www.agespace.org/care/respite-care</w:t>
        </w:r>
      </w:hyperlink>
      <w:r w:rsidRPr="00E86218">
        <w:rPr>
          <w:rFonts w:asciiTheme="minorHAnsi" w:hAnsiTheme="minorHAnsi" w:cstheme="minorHAnsi"/>
          <w:color w:val="000000"/>
          <w:sz w:val="22"/>
          <w:szCs w:val="22"/>
        </w:rPr>
        <w:t xml:space="preserve"> (Accessed: 15 November 2025).</w:t>
      </w:r>
    </w:p>
    <w:p w:rsidR="00FB18BE" w:rsidRPr="00E86218" w:rsidRDefault="00FB18BE"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Acas (2025</w:t>
      </w:r>
      <w:r w:rsidRPr="00E86218">
        <w:rPr>
          <w:rFonts w:asciiTheme="minorHAnsi" w:hAnsiTheme="minorHAnsi" w:cstheme="minorHAnsi"/>
          <w:sz w:val="22"/>
          <w:szCs w:val="22"/>
        </w:rPr>
        <w:t xml:space="preserve">) </w:t>
      </w:r>
      <w:r w:rsidRPr="00E86218">
        <w:rPr>
          <w:rStyle w:val="Emphasis"/>
          <w:rFonts w:asciiTheme="minorHAnsi" w:hAnsiTheme="minorHAnsi" w:cstheme="minorHAnsi"/>
          <w:sz w:val="22"/>
          <w:szCs w:val="22"/>
        </w:rPr>
        <w:t>Consulting employees</w:t>
      </w:r>
      <w:r w:rsidRPr="00E86218">
        <w:rPr>
          <w:rFonts w:asciiTheme="minorHAnsi" w:hAnsiTheme="minorHAnsi" w:cstheme="minorHAnsi"/>
          <w:sz w:val="22"/>
          <w:szCs w:val="22"/>
        </w:rPr>
        <w:t xml:space="preserve">. Available at: </w:t>
      </w:r>
      <w:hyperlink r:id="rId11" w:tgtFrame="_new" w:history="1">
        <w:r w:rsidRPr="00E86218">
          <w:rPr>
            <w:rStyle w:val="Hyperlink"/>
            <w:rFonts w:asciiTheme="minorHAnsi" w:hAnsiTheme="minorHAnsi" w:cstheme="minorHAnsi"/>
            <w:sz w:val="22"/>
            <w:szCs w:val="22"/>
          </w:rPr>
          <w:t>https://www.acas.org.uk/consulting-employees</w:t>
        </w:r>
      </w:hyperlink>
      <w:r w:rsidRPr="00E86218">
        <w:rPr>
          <w:rFonts w:asciiTheme="minorHAnsi" w:hAnsiTheme="minorHAnsi" w:cstheme="minorHAnsi"/>
          <w:sz w:val="22"/>
          <w:szCs w:val="22"/>
        </w:rPr>
        <w:t xml:space="preserve"> (Accessed: 7 December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Bashford, S. (2018) </w:t>
      </w:r>
      <w:r w:rsidRPr="00E86218">
        <w:rPr>
          <w:rFonts w:asciiTheme="minorHAnsi" w:hAnsiTheme="minorHAnsi" w:cstheme="minorHAnsi"/>
          <w:i/>
          <w:iCs/>
          <w:color w:val="000000"/>
          <w:sz w:val="22"/>
          <w:szCs w:val="22"/>
        </w:rPr>
        <w:t>The dangers of recruiting for cultural fit</w:t>
      </w:r>
      <w:r w:rsidRPr="00E86218">
        <w:rPr>
          <w:rFonts w:asciiTheme="minorHAnsi" w:hAnsiTheme="minorHAnsi" w:cstheme="minorHAnsi"/>
          <w:color w:val="000000"/>
          <w:sz w:val="22"/>
          <w:szCs w:val="22"/>
        </w:rPr>
        <w:t>. Available at:</w:t>
      </w:r>
      <w:hyperlink r:id="rId12"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https://www.hrmagazine.co.uk/content/features/the-dangers-of-recruiting-for-cultural-fit</w:t>
        </w:r>
      </w:hyperlink>
      <w:r w:rsidRPr="00E86218">
        <w:rPr>
          <w:rFonts w:asciiTheme="minorHAnsi" w:hAnsiTheme="minorHAnsi" w:cstheme="minorHAnsi"/>
          <w:color w:val="000000"/>
          <w:sz w:val="22"/>
          <w:szCs w:val="22"/>
        </w:rPr>
        <w:t xml:space="preserve"> (Accessed: 13 November 2025).</w:t>
      </w:r>
    </w:p>
    <w:p w:rsidR="00FD2B33" w:rsidRPr="00E86218" w:rsidRDefault="00FD2B33"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sz w:val="22"/>
          <w:szCs w:val="22"/>
        </w:rPr>
        <w:t xml:space="preserve">Belyh, A. (2022) </w:t>
      </w:r>
      <w:r w:rsidRPr="00E86218">
        <w:rPr>
          <w:rStyle w:val="Emphasis"/>
          <w:rFonts w:asciiTheme="minorHAnsi" w:hAnsiTheme="minorHAnsi" w:cstheme="minorHAnsi"/>
          <w:sz w:val="22"/>
          <w:szCs w:val="22"/>
        </w:rPr>
        <w:t>Understanding the Kubler</w:t>
      </w:r>
      <w:r w:rsidRPr="00E86218">
        <w:rPr>
          <w:rStyle w:val="Emphasis"/>
          <w:rFonts w:asciiTheme="minorHAnsi" w:hAnsiTheme="minorHAnsi" w:cstheme="minorHAnsi"/>
          <w:sz w:val="22"/>
          <w:szCs w:val="22"/>
        </w:rPr>
        <w:noBreakHyphen/>
        <w:t>Ross Change Curve</w:t>
      </w:r>
      <w:r w:rsidRPr="00E86218">
        <w:rPr>
          <w:rFonts w:asciiTheme="minorHAnsi" w:hAnsiTheme="minorHAnsi" w:cstheme="minorHAnsi"/>
          <w:sz w:val="22"/>
          <w:szCs w:val="22"/>
        </w:rPr>
        <w:t xml:space="preserve">. Available at: </w:t>
      </w:r>
      <w:hyperlink r:id="rId13" w:tgtFrame="_new" w:history="1">
        <w:r w:rsidRPr="00E86218">
          <w:rPr>
            <w:rStyle w:val="Hyperlink"/>
            <w:rFonts w:asciiTheme="minorHAnsi" w:hAnsiTheme="minorHAnsi" w:cstheme="minorHAnsi"/>
            <w:sz w:val="22"/>
            <w:szCs w:val="22"/>
          </w:rPr>
          <w:t>https://cleverism.com/understanding-kubler-ross-change-curve/</w:t>
        </w:r>
      </w:hyperlink>
      <w:r w:rsidRPr="00E86218">
        <w:rPr>
          <w:rFonts w:asciiTheme="minorHAnsi" w:hAnsiTheme="minorHAnsi" w:cstheme="minorHAnsi"/>
          <w:sz w:val="22"/>
          <w:szCs w:val="22"/>
        </w:rPr>
        <w:t xml:space="preserve"> (Accessed: 23 November 2025).</w:t>
      </w:r>
    </w:p>
    <w:p w:rsidR="00C1334B" w:rsidRPr="00E86218" w:rsidRDefault="00C1334B"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BiteSize Learning (2025) </w:t>
      </w:r>
      <w:r w:rsidRPr="00E86218">
        <w:rPr>
          <w:rStyle w:val="Emphasis"/>
          <w:rFonts w:asciiTheme="minorHAnsi" w:hAnsiTheme="minorHAnsi" w:cstheme="minorHAnsi"/>
          <w:sz w:val="22"/>
          <w:szCs w:val="22"/>
        </w:rPr>
        <w:t>Kotter’s 8-Step Change Model</w:t>
      </w:r>
      <w:r w:rsidRPr="00E86218">
        <w:rPr>
          <w:rFonts w:asciiTheme="minorHAnsi" w:hAnsiTheme="minorHAnsi" w:cstheme="minorHAnsi"/>
          <w:sz w:val="22"/>
          <w:szCs w:val="22"/>
        </w:rPr>
        <w:t xml:space="preserve"> [Image]. Available at: </w:t>
      </w:r>
      <w:hyperlink r:id="rId14" w:tgtFrame="_new" w:history="1">
        <w:r w:rsidRPr="00E86218">
          <w:rPr>
            <w:rStyle w:val="Hyperlink"/>
            <w:rFonts w:asciiTheme="minorHAnsi" w:hAnsiTheme="minorHAnsi" w:cstheme="minorHAnsi"/>
            <w:sz w:val="22"/>
            <w:szCs w:val="22"/>
          </w:rPr>
          <w:t>https://www.bitesizelearning.co.uk/resources/kotters-8-step-change-model</w:t>
        </w:r>
      </w:hyperlink>
      <w:r w:rsidRPr="00E86218">
        <w:rPr>
          <w:rFonts w:asciiTheme="minorHAnsi" w:hAnsiTheme="minorHAnsi" w:cstheme="minorHAnsi"/>
          <w:sz w:val="22"/>
          <w:szCs w:val="22"/>
        </w:rPr>
        <w:t xml:space="preserve"> (Accessed: 24 November 2025).</w:t>
      </w:r>
    </w:p>
    <w:p w:rsidR="00AC6551" w:rsidRPr="00E86218" w:rsidRDefault="00AC6551"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Buchanan, D.A. (2023) </w:t>
      </w:r>
      <w:r w:rsidRPr="00E86218">
        <w:rPr>
          <w:rStyle w:val="Emphasis"/>
          <w:rFonts w:asciiTheme="minorHAnsi" w:hAnsiTheme="minorHAnsi" w:cstheme="minorHAnsi"/>
          <w:sz w:val="22"/>
          <w:szCs w:val="22"/>
        </w:rPr>
        <w:t>Organizational behaviour</w:t>
      </w:r>
      <w:r w:rsidRPr="00E86218">
        <w:rPr>
          <w:rFonts w:asciiTheme="minorHAnsi" w:hAnsiTheme="minorHAnsi" w:cstheme="minorHAnsi"/>
          <w:sz w:val="22"/>
          <w:szCs w:val="22"/>
        </w:rPr>
        <w:t>. 11th edn. Harlow: Pearson.</w:t>
      </w:r>
    </w:p>
    <w:p w:rsidR="000C56E7" w:rsidRPr="00E86218" w:rsidRDefault="000C56E7"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Burnes, B. (2004) ‘Kurt Lewin and the planned approach to change: A re-appraisal’, </w:t>
      </w:r>
      <w:r w:rsidRPr="00E86218">
        <w:rPr>
          <w:rStyle w:val="Emphasis"/>
          <w:rFonts w:asciiTheme="minorHAnsi" w:hAnsiTheme="minorHAnsi" w:cstheme="minorHAnsi"/>
          <w:sz w:val="22"/>
          <w:szCs w:val="22"/>
        </w:rPr>
        <w:t>Journal of Management Studies</w:t>
      </w:r>
      <w:r w:rsidRPr="00E86218">
        <w:rPr>
          <w:rFonts w:asciiTheme="minorHAnsi" w:hAnsiTheme="minorHAnsi" w:cstheme="minorHAnsi"/>
          <w:sz w:val="22"/>
          <w:szCs w:val="22"/>
        </w:rPr>
        <w:t>, 41(6), pp. 977–1002. doi: 10.1111/j.1467-6486.2004.00463.x.</w:t>
      </w:r>
    </w:p>
    <w:p w:rsidR="004E0C29" w:rsidRPr="00E86218" w:rsidRDefault="00783B35" w:rsidP="00783B35">
      <w:pPr>
        <w:pStyle w:val="NoSpacing"/>
        <w:rPr>
          <w:rFonts w:cstheme="minorHAnsi"/>
        </w:rPr>
      </w:pPr>
      <w:r w:rsidRPr="00E86218">
        <w:rPr>
          <w:rFonts w:cstheme="minorHAnsi"/>
        </w:rPr>
        <w:t xml:space="preserve">Burnes, B. (2017) </w:t>
      </w:r>
      <w:r w:rsidRPr="00E86218">
        <w:rPr>
          <w:rStyle w:val="Emphasis"/>
          <w:rFonts w:cstheme="minorHAnsi"/>
        </w:rPr>
        <w:t>Managing Change</w:t>
      </w:r>
      <w:r w:rsidRPr="00E86218">
        <w:rPr>
          <w:rFonts w:cstheme="minorHAnsi"/>
        </w:rPr>
        <w:t>. 7th edn. Harlow: Pearson.</w:t>
      </w:r>
    </w:p>
    <w:p w:rsidR="004E0C29" w:rsidRPr="00E86218" w:rsidRDefault="004E0C29" w:rsidP="004E0C29">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Cameron, E. and Green, M. (2009) </w:t>
      </w:r>
      <w:r w:rsidRPr="00E86218">
        <w:rPr>
          <w:rStyle w:val="Emphasis"/>
          <w:rFonts w:asciiTheme="minorHAnsi" w:hAnsiTheme="minorHAnsi" w:cstheme="minorHAnsi"/>
          <w:sz w:val="22"/>
          <w:szCs w:val="22"/>
        </w:rPr>
        <w:t>Making sense of change management: A complete guide to the models, tools and techniques of organizational change</w:t>
      </w:r>
      <w:r w:rsidRPr="00E86218">
        <w:rPr>
          <w:rFonts w:asciiTheme="minorHAnsi" w:hAnsiTheme="minorHAnsi" w:cstheme="minorHAnsi"/>
          <w:sz w:val="22"/>
          <w:szCs w:val="22"/>
        </w:rPr>
        <w:t>. 2nd edn. London: Kogan Page.</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lastRenderedPageBreak/>
        <w:t xml:space="preserve">Care Quality Commission (2023) </w:t>
      </w:r>
      <w:r w:rsidRPr="00E86218">
        <w:rPr>
          <w:rFonts w:asciiTheme="minorHAnsi" w:hAnsiTheme="minorHAnsi" w:cstheme="minorHAnsi"/>
          <w:i/>
          <w:iCs/>
          <w:color w:val="000000"/>
          <w:sz w:val="22"/>
          <w:szCs w:val="22"/>
        </w:rPr>
        <w:t>Digital record systems: achieving good outcomes for people using adult social care services</w:t>
      </w:r>
      <w:r w:rsidRPr="00E86218">
        <w:rPr>
          <w:rFonts w:asciiTheme="minorHAnsi" w:hAnsiTheme="minorHAnsi" w:cstheme="minorHAnsi"/>
          <w:color w:val="000000"/>
          <w:sz w:val="22"/>
          <w:szCs w:val="22"/>
        </w:rPr>
        <w:t>. Available at:</w:t>
      </w:r>
      <w:hyperlink r:id="rId15"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https://www.cqc.org.uk/guidance-providers/adult-social-care/digital-record-systems-adult-social-care-services/benefits-good-digital-records-system</w:t>
        </w:r>
      </w:hyperlink>
      <w:r w:rsidRPr="00E86218">
        <w:rPr>
          <w:rFonts w:asciiTheme="minorHAnsi" w:hAnsiTheme="minorHAnsi" w:cstheme="minorHAnsi"/>
          <w:color w:val="000000"/>
          <w:sz w:val="22"/>
          <w:szCs w:val="22"/>
        </w:rPr>
        <w:t xml:space="preserve"> (Accessed: 17 November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Care Quality Commission (2025) </w:t>
      </w:r>
      <w:r w:rsidRPr="00E86218">
        <w:rPr>
          <w:rFonts w:asciiTheme="minorHAnsi" w:hAnsiTheme="minorHAnsi" w:cstheme="minorHAnsi"/>
          <w:i/>
          <w:iCs/>
          <w:color w:val="000000"/>
          <w:sz w:val="22"/>
          <w:szCs w:val="22"/>
        </w:rPr>
        <w:t>Adult social care: access</w:t>
      </w:r>
      <w:r w:rsidRPr="00E86218">
        <w:rPr>
          <w:rFonts w:asciiTheme="minorHAnsi" w:hAnsiTheme="minorHAnsi" w:cstheme="minorHAnsi"/>
          <w:color w:val="000000"/>
          <w:sz w:val="22"/>
          <w:szCs w:val="22"/>
        </w:rPr>
        <w:t>. Available at:</w:t>
      </w:r>
      <w:hyperlink r:id="rId16"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https://www.cqc.org.uk/publications/major-report/state-care/2024-2025/access/asc</w:t>
        </w:r>
      </w:hyperlink>
      <w:r w:rsidRPr="00E86218">
        <w:rPr>
          <w:rFonts w:asciiTheme="minorHAnsi" w:hAnsiTheme="minorHAnsi" w:cstheme="minorHAnsi"/>
          <w:color w:val="000000"/>
          <w:sz w:val="22"/>
          <w:szCs w:val="22"/>
        </w:rPr>
        <w:t xml:space="preserve"> (Accessed: 17 November 2025).</w:t>
      </w:r>
    </w:p>
    <w:p w:rsidR="004E0C29" w:rsidRPr="00E86218" w:rsidRDefault="004E0C29"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sz w:val="22"/>
          <w:szCs w:val="22"/>
        </w:rPr>
        <w:t xml:space="preserve">Carter, S. P., Dudley, W., Lyle, D. S. and Smith, J. Z. (2019) ‘Who’s the Boss? The effect of strong leadership on employee turnover’, </w:t>
      </w:r>
      <w:r w:rsidRPr="00E86218">
        <w:rPr>
          <w:rStyle w:val="Emphasis"/>
          <w:rFonts w:asciiTheme="minorHAnsi" w:hAnsiTheme="minorHAnsi" w:cstheme="minorHAnsi"/>
          <w:sz w:val="22"/>
          <w:szCs w:val="22"/>
        </w:rPr>
        <w:t>Journal of Economic Behavior &amp; Organization</w:t>
      </w:r>
      <w:r w:rsidRPr="00E86218">
        <w:rPr>
          <w:rFonts w:asciiTheme="minorHAnsi" w:hAnsiTheme="minorHAnsi" w:cstheme="minorHAnsi"/>
          <w:sz w:val="22"/>
          <w:szCs w:val="22"/>
        </w:rPr>
        <w:t>, 159, pp. 323–343. doi:10.1016/j.jebo.2018.12.028</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Childs, M. (2019) </w:t>
      </w:r>
      <w:r w:rsidRPr="00E86218">
        <w:rPr>
          <w:rFonts w:asciiTheme="minorHAnsi" w:hAnsiTheme="minorHAnsi" w:cstheme="minorHAnsi"/>
          <w:i/>
          <w:iCs/>
          <w:color w:val="000000"/>
          <w:sz w:val="22"/>
          <w:szCs w:val="22"/>
        </w:rPr>
        <w:t>The flat hierarchy: fall from grace</w:t>
      </w:r>
      <w:r w:rsidRPr="00E86218">
        <w:rPr>
          <w:rFonts w:asciiTheme="minorHAnsi" w:hAnsiTheme="minorHAnsi" w:cstheme="minorHAnsi"/>
          <w:color w:val="000000"/>
          <w:sz w:val="22"/>
          <w:szCs w:val="22"/>
        </w:rPr>
        <w:t>. Available at:</w:t>
      </w:r>
      <w:hyperlink r:id="rId17"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https://www.peoplemanagement.co.uk/article/1745882/the-flat-hierarchy-fall-from-grace</w:t>
        </w:r>
      </w:hyperlink>
      <w:r w:rsidRPr="00E86218">
        <w:rPr>
          <w:rFonts w:asciiTheme="minorHAnsi" w:hAnsiTheme="minorHAnsi" w:cstheme="minorHAnsi"/>
          <w:color w:val="000000"/>
          <w:sz w:val="22"/>
          <w:szCs w:val="22"/>
        </w:rPr>
        <w:t xml:space="preserve"> (Accessed: 13 November 2025).</w:t>
      </w:r>
    </w:p>
    <w:p w:rsidR="00FB5C67" w:rsidRPr="00E86218" w:rsidRDefault="00FB5C67" w:rsidP="00FB5C67">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CIPD (2024) </w:t>
      </w:r>
      <w:r w:rsidRPr="00E86218">
        <w:rPr>
          <w:rStyle w:val="Emphasis"/>
          <w:rFonts w:asciiTheme="minorHAnsi" w:hAnsiTheme="minorHAnsi" w:cstheme="minorHAnsi"/>
          <w:sz w:val="22"/>
          <w:szCs w:val="22"/>
        </w:rPr>
        <w:t>Change management: A guide for people professionals</w:t>
      </w:r>
      <w:r w:rsidRPr="00E86218">
        <w:rPr>
          <w:rFonts w:asciiTheme="minorHAnsi" w:hAnsiTheme="minorHAnsi" w:cstheme="minorHAnsi"/>
          <w:sz w:val="22"/>
          <w:szCs w:val="22"/>
        </w:rPr>
        <w:t xml:space="preserve">. Available at: </w:t>
      </w:r>
      <w:hyperlink r:id="rId18" w:tgtFrame="_new" w:history="1">
        <w:r w:rsidRPr="00E86218">
          <w:rPr>
            <w:rStyle w:val="Hyperlink"/>
            <w:rFonts w:asciiTheme="minorHAnsi" w:hAnsiTheme="minorHAnsi" w:cstheme="minorHAnsi"/>
            <w:sz w:val="22"/>
            <w:szCs w:val="22"/>
          </w:rPr>
          <w:t>https://www.cipd.org/uk/knowledge/guides/change-management/</w:t>
        </w:r>
      </w:hyperlink>
      <w:r w:rsidRPr="00E86218">
        <w:rPr>
          <w:rFonts w:asciiTheme="minorHAnsi" w:hAnsiTheme="minorHAnsi" w:cstheme="minorHAnsi"/>
          <w:sz w:val="22"/>
          <w:szCs w:val="22"/>
        </w:rPr>
        <w:t xml:space="preserve"> (Accessed: 23 November 2025).</w:t>
      </w:r>
    </w:p>
    <w:p w:rsidR="00FB5C67" w:rsidRPr="00E86218" w:rsidRDefault="00FB5C67"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CIPD (2024b) </w:t>
      </w:r>
      <w:r w:rsidRPr="00E86218">
        <w:rPr>
          <w:rStyle w:val="Emphasis"/>
          <w:rFonts w:asciiTheme="minorHAnsi" w:hAnsiTheme="minorHAnsi" w:cstheme="minorHAnsi"/>
          <w:sz w:val="22"/>
          <w:szCs w:val="22"/>
        </w:rPr>
        <w:t>Induction Factsheet.</w:t>
      </w:r>
      <w:r w:rsidRPr="00E86218">
        <w:rPr>
          <w:rFonts w:asciiTheme="minorHAnsi" w:hAnsiTheme="minorHAnsi" w:cstheme="minorHAnsi"/>
          <w:sz w:val="22"/>
          <w:szCs w:val="22"/>
        </w:rPr>
        <w:t xml:space="preserve"> Available at: </w:t>
      </w:r>
      <w:hyperlink r:id="rId19" w:tgtFrame="_new" w:history="1">
        <w:r w:rsidRPr="00E86218">
          <w:rPr>
            <w:rStyle w:val="Hyperlink"/>
            <w:rFonts w:asciiTheme="minorHAnsi" w:hAnsiTheme="minorHAnsi" w:cstheme="minorHAnsi"/>
            <w:sz w:val="22"/>
            <w:szCs w:val="22"/>
          </w:rPr>
          <w:t>https://www.cipd.org/uk/knowledge/factsheets/induction-factsheet/</w:t>
        </w:r>
      </w:hyperlink>
      <w:r w:rsidRPr="00E86218">
        <w:rPr>
          <w:rFonts w:asciiTheme="minorHAnsi" w:hAnsiTheme="minorHAnsi" w:cstheme="minorHAnsi"/>
          <w:sz w:val="22"/>
          <w:szCs w:val="22"/>
        </w:rPr>
        <w:t xml:space="preserve"> (Accessed: 27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CIPD (2025a) </w:t>
      </w:r>
      <w:r w:rsidRPr="00E86218">
        <w:rPr>
          <w:rFonts w:asciiTheme="minorHAnsi" w:hAnsiTheme="minorHAnsi" w:cstheme="minorHAnsi"/>
          <w:i/>
          <w:iCs/>
          <w:color w:val="000000"/>
          <w:sz w:val="22"/>
          <w:szCs w:val="22"/>
        </w:rPr>
        <w:t>Leadership in the workplace</w:t>
      </w:r>
      <w:r w:rsidRPr="00E86218">
        <w:rPr>
          <w:rFonts w:asciiTheme="minorHAnsi" w:hAnsiTheme="minorHAnsi" w:cstheme="minorHAnsi"/>
          <w:color w:val="000000"/>
          <w:sz w:val="22"/>
          <w:szCs w:val="22"/>
        </w:rPr>
        <w:t>. Available at:</w:t>
      </w:r>
      <w:hyperlink r:id="rId20"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https://www.cipd.org/uk/knowledge/factsheets/leadership-factsheet/</w:t>
        </w:r>
      </w:hyperlink>
      <w:r w:rsidRPr="00E86218">
        <w:rPr>
          <w:rFonts w:asciiTheme="minorHAnsi" w:hAnsiTheme="minorHAnsi" w:cstheme="minorHAnsi"/>
          <w:color w:val="000000"/>
          <w:sz w:val="22"/>
          <w:szCs w:val="22"/>
        </w:rPr>
        <w:t xml:space="preserve"> (Accessed: 12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CIPD (2025b) </w:t>
      </w:r>
      <w:r w:rsidRPr="00E86218">
        <w:rPr>
          <w:rFonts w:asciiTheme="minorHAnsi" w:hAnsiTheme="minorHAnsi" w:cstheme="minorHAnsi"/>
          <w:i/>
          <w:iCs/>
          <w:color w:val="000000"/>
          <w:sz w:val="22"/>
          <w:szCs w:val="22"/>
        </w:rPr>
        <w:t>Employee voice</w:t>
      </w:r>
      <w:r w:rsidRPr="00E86218">
        <w:rPr>
          <w:rFonts w:asciiTheme="minorHAnsi" w:hAnsiTheme="minorHAnsi" w:cstheme="minorHAnsi"/>
          <w:color w:val="000000"/>
          <w:sz w:val="22"/>
          <w:szCs w:val="22"/>
        </w:rPr>
        <w:t>. Available at:</w:t>
      </w:r>
      <w:hyperlink r:id="rId21"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https://www.cipd.org/uk/views-and-insights/cipd-viewpoint/employee-voice/</w:t>
        </w:r>
      </w:hyperlink>
      <w:r w:rsidRPr="00E86218">
        <w:rPr>
          <w:rFonts w:asciiTheme="minorHAnsi" w:hAnsiTheme="minorHAnsi" w:cstheme="minorHAnsi"/>
          <w:color w:val="000000"/>
          <w:sz w:val="22"/>
          <w:szCs w:val="22"/>
        </w:rPr>
        <w:t xml:space="preserve"> (Accessed: 17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CIPD (2025c) </w:t>
      </w:r>
      <w:r w:rsidRPr="00E86218">
        <w:rPr>
          <w:rFonts w:asciiTheme="minorHAnsi" w:hAnsiTheme="minorHAnsi" w:cstheme="minorHAnsi"/>
          <w:i/>
          <w:iCs/>
          <w:color w:val="000000"/>
          <w:sz w:val="22"/>
          <w:szCs w:val="22"/>
        </w:rPr>
        <w:t>SWOT analysis</w:t>
      </w:r>
      <w:r w:rsidRPr="00E86218">
        <w:rPr>
          <w:rFonts w:asciiTheme="minorHAnsi" w:hAnsiTheme="minorHAnsi" w:cstheme="minorHAnsi"/>
          <w:color w:val="000000"/>
          <w:sz w:val="22"/>
          <w:szCs w:val="22"/>
        </w:rPr>
        <w:t>. Available at:</w:t>
      </w:r>
      <w:hyperlink r:id="rId22" w:anchor="what-is-a-swot-analysis"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https://www.cipd.org/uk/knowledge/factsheets/swot-analysis-factsheet/#what-is-a-swot-analysis</w:t>
        </w:r>
      </w:hyperlink>
      <w:r w:rsidRPr="00E86218">
        <w:rPr>
          <w:rFonts w:asciiTheme="minorHAnsi" w:hAnsiTheme="minorHAnsi" w:cstheme="minorHAnsi"/>
          <w:color w:val="000000"/>
          <w:sz w:val="22"/>
          <w:szCs w:val="22"/>
        </w:rPr>
        <w:t xml:space="preserve"> (Accessed: 17 November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CIPD (2025d) </w:t>
      </w:r>
      <w:r w:rsidRPr="00E86218">
        <w:rPr>
          <w:rFonts w:asciiTheme="minorHAnsi" w:hAnsiTheme="minorHAnsi" w:cstheme="minorHAnsi"/>
          <w:i/>
          <w:iCs/>
          <w:color w:val="000000"/>
          <w:sz w:val="22"/>
          <w:szCs w:val="22"/>
        </w:rPr>
        <w:t>Technology, AI and the future of work</w:t>
      </w:r>
      <w:r w:rsidRPr="00E86218">
        <w:rPr>
          <w:rFonts w:asciiTheme="minorHAnsi" w:hAnsiTheme="minorHAnsi" w:cstheme="minorHAnsi"/>
          <w:color w:val="000000"/>
          <w:sz w:val="22"/>
          <w:szCs w:val="22"/>
        </w:rPr>
        <w:t>. Available at:</w:t>
      </w:r>
      <w:hyperlink r:id="rId23"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https://www.cipd.org/uk/knowledge/factsheets/emerging-future-work-factsheet/</w:t>
        </w:r>
      </w:hyperlink>
      <w:r w:rsidRPr="00E86218">
        <w:rPr>
          <w:rFonts w:asciiTheme="minorHAnsi" w:hAnsiTheme="minorHAnsi" w:cstheme="minorHAnsi"/>
          <w:color w:val="000000"/>
          <w:sz w:val="22"/>
          <w:szCs w:val="22"/>
        </w:rPr>
        <w:t xml:space="preserve"> (Accessed: 17 November 2025).</w:t>
      </w:r>
    </w:p>
    <w:p w:rsidR="00FB404C" w:rsidRPr="00E86218" w:rsidRDefault="00FB404C"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CIPD (2025e) </w:t>
      </w:r>
      <w:r w:rsidRPr="00E86218">
        <w:rPr>
          <w:rStyle w:val="Emphasis"/>
          <w:rFonts w:asciiTheme="minorHAnsi" w:hAnsiTheme="minorHAnsi" w:cstheme="minorHAnsi"/>
          <w:sz w:val="22"/>
          <w:szCs w:val="22"/>
        </w:rPr>
        <w:t>Organisational climate and culture</w:t>
      </w:r>
      <w:r w:rsidRPr="00E86218">
        <w:rPr>
          <w:rFonts w:asciiTheme="minorHAnsi" w:hAnsiTheme="minorHAnsi" w:cstheme="minorHAnsi"/>
          <w:sz w:val="22"/>
          <w:szCs w:val="22"/>
        </w:rPr>
        <w:t xml:space="preserve">. Available at: </w:t>
      </w:r>
      <w:hyperlink r:id="rId24" w:tgtFrame="_new" w:history="1">
        <w:r w:rsidRPr="00E86218">
          <w:rPr>
            <w:rStyle w:val="Hyperlink"/>
            <w:rFonts w:asciiTheme="minorHAnsi" w:hAnsiTheme="minorHAnsi" w:cstheme="minorHAnsi"/>
            <w:sz w:val="22"/>
            <w:szCs w:val="22"/>
          </w:rPr>
          <w:t>https://www.cipd.org/uk/knowledge/factsheets/organisation-culture-change-factsheet/</w:t>
        </w:r>
      </w:hyperlink>
      <w:r w:rsidRPr="00E86218">
        <w:rPr>
          <w:rFonts w:asciiTheme="minorHAnsi" w:hAnsiTheme="minorHAnsi" w:cstheme="minorHAnsi"/>
          <w:sz w:val="22"/>
          <w:szCs w:val="22"/>
        </w:rPr>
        <w:t xml:space="preserve"> (Accessed: 19 November 2025).</w:t>
      </w:r>
    </w:p>
    <w:p w:rsidR="004E1E0B" w:rsidRPr="00E86218" w:rsidRDefault="004E1E0B"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CIPD (2025f) </w:t>
      </w:r>
      <w:r w:rsidRPr="00E86218">
        <w:rPr>
          <w:rFonts w:asciiTheme="minorHAnsi" w:hAnsiTheme="minorHAnsi" w:cstheme="minorHAnsi"/>
          <w:i/>
          <w:iCs/>
          <w:sz w:val="22"/>
          <w:szCs w:val="22"/>
        </w:rPr>
        <w:t>Wellbeing at work: factsheet</w:t>
      </w:r>
      <w:r w:rsidRPr="00E86218">
        <w:rPr>
          <w:rFonts w:asciiTheme="minorHAnsi" w:hAnsiTheme="minorHAnsi" w:cstheme="minorHAnsi"/>
          <w:sz w:val="22"/>
          <w:szCs w:val="22"/>
        </w:rPr>
        <w:t xml:space="preserve">. Available at: </w:t>
      </w:r>
      <w:hyperlink r:id="rId25" w:history="1">
        <w:r w:rsidRPr="00E86218">
          <w:rPr>
            <w:rStyle w:val="Hyperlink"/>
            <w:rFonts w:asciiTheme="minorHAnsi" w:hAnsiTheme="minorHAnsi" w:cstheme="minorHAnsi"/>
            <w:sz w:val="22"/>
            <w:szCs w:val="22"/>
          </w:rPr>
          <w:t>https://www.cipd.org/uk/knowledge/factsheets/well</w:t>
        </w:r>
        <w:r w:rsidRPr="00E86218">
          <w:rPr>
            <w:rStyle w:val="Hyperlink"/>
            <w:rFonts w:asciiTheme="minorHAnsi" w:hAnsiTheme="minorHAnsi" w:cstheme="minorHAnsi"/>
            <w:sz w:val="22"/>
            <w:szCs w:val="22"/>
          </w:rPr>
          <w:noBreakHyphen/>
          <w:t>being-factsheet</w:t>
        </w:r>
      </w:hyperlink>
      <w:r w:rsidRPr="00E86218">
        <w:rPr>
          <w:rFonts w:asciiTheme="minorHAnsi" w:hAnsiTheme="minorHAnsi" w:cstheme="minorHAnsi"/>
          <w:sz w:val="22"/>
          <w:szCs w:val="22"/>
        </w:rPr>
        <w:t>/ (Accessed: 24 November 2025).</w:t>
      </w:r>
    </w:p>
    <w:p w:rsidR="0051665A" w:rsidRPr="00E86218" w:rsidRDefault="00E206B0"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CIPD (2025g) </w:t>
      </w:r>
      <w:r w:rsidRPr="00E86218">
        <w:rPr>
          <w:rStyle w:val="Emphasis"/>
          <w:rFonts w:asciiTheme="minorHAnsi" w:hAnsiTheme="minorHAnsi" w:cstheme="minorHAnsi"/>
          <w:sz w:val="22"/>
          <w:szCs w:val="22"/>
        </w:rPr>
        <w:t>Employee relations: an introduction</w:t>
      </w:r>
      <w:r w:rsidRPr="00E86218">
        <w:rPr>
          <w:rFonts w:asciiTheme="minorHAnsi" w:hAnsiTheme="minorHAnsi" w:cstheme="minorHAnsi"/>
          <w:sz w:val="22"/>
          <w:szCs w:val="22"/>
        </w:rPr>
        <w:t xml:space="preserve">. Available at: </w:t>
      </w:r>
      <w:hyperlink r:id="rId26" w:tgtFrame="_new" w:history="1">
        <w:r w:rsidRPr="00E86218">
          <w:rPr>
            <w:rStyle w:val="Hyperlink"/>
            <w:rFonts w:asciiTheme="minorHAnsi" w:hAnsiTheme="minorHAnsi" w:cstheme="minorHAnsi"/>
            <w:sz w:val="22"/>
            <w:szCs w:val="22"/>
          </w:rPr>
          <w:t>https://www.cipd.org/uk/knowledge/factsheets/relations-employees-factsheet/</w:t>
        </w:r>
      </w:hyperlink>
      <w:r w:rsidRPr="00E86218">
        <w:rPr>
          <w:rFonts w:asciiTheme="minorHAnsi" w:hAnsiTheme="minorHAnsi" w:cstheme="minorHAnsi"/>
          <w:sz w:val="22"/>
          <w:szCs w:val="22"/>
        </w:rPr>
        <w:t xml:space="preserve"> (Accessed: 26 November 2025)</w:t>
      </w:r>
    </w:p>
    <w:p w:rsidR="0051665A" w:rsidRPr="00E86218" w:rsidRDefault="0051665A"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CIPD (2025h) </w:t>
      </w:r>
      <w:r w:rsidRPr="00E86218">
        <w:rPr>
          <w:rFonts w:asciiTheme="minorHAnsi" w:hAnsiTheme="minorHAnsi" w:cstheme="minorHAnsi"/>
          <w:i/>
          <w:sz w:val="22"/>
          <w:szCs w:val="22"/>
        </w:rPr>
        <w:t>Strategic human resource management Factsheet.</w:t>
      </w:r>
      <w:r w:rsidRPr="00E86218">
        <w:rPr>
          <w:rFonts w:asciiTheme="minorHAnsi" w:hAnsiTheme="minorHAnsi" w:cstheme="minorHAnsi"/>
          <w:sz w:val="22"/>
          <w:szCs w:val="22"/>
        </w:rPr>
        <w:t xml:space="preserve"> Available at: </w:t>
      </w:r>
      <w:hyperlink r:id="rId27" w:tgtFrame="_new" w:history="1">
        <w:r w:rsidRPr="00E86218">
          <w:rPr>
            <w:rStyle w:val="Hyperlink"/>
            <w:rFonts w:asciiTheme="minorHAnsi" w:hAnsiTheme="minorHAnsi" w:cstheme="minorHAnsi"/>
            <w:sz w:val="22"/>
            <w:szCs w:val="22"/>
          </w:rPr>
          <w:t>https://www.cipd.org/uk/knowledge/factsheets/strategic-hrm-factsheet/</w:t>
        </w:r>
      </w:hyperlink>
      <w:r w:rsidRPr="00E86218">
        <w:rPr>
          <w:rFonts w:asciiTheme="minorHAnsi" w:hAnsiTheme="minorHAnsi" w:cstheme="minorHAnsi"/>
          <w:sz w:val="22"/>
          <w:szCs w:val="22"/>
        </w:rPr>
        <w:t xml:space="preserve"> (Accessed: 7 December 2025).</w:t>
      </w:r>
    </w:p>
    <w:p w:rsidR="00FB18BE" w:rsidRPr="00E86218" w:rsidRDefault="00FB18BE"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lastRenderedPageBreak/>
        <w:t>CIPD (2025</w:t>
      </w:r>
      <w:r w:rsidRPr="00E86218">
        <w:rPr>
          <w:rFonts w:asciiTheme="minorHAnsi" w:hAnsiTheme="minorHAnsi" w:cstheme="minorHAnsi"/>
          <w:sz w:val="22"/>
          <w:szCs w:val="22"/>
        </w:rPr>
        <w:t xml:space="preserve">i) </w:t>
      </w:r>
      <w:r w:rsidRPr="00E86218">
        <w:rPr>
          <w:rFonts w:asciiTheme="minorHAnsi" w:hAnsiTheme="minorHAnsi" w:cstheme="minorHAnsi"/>
          <w:i/>
          <w:sz w:val="22"/>
          <w:szCs w:val="22"/>
        </w:rPr>
        <w:t>Employee engagemen</w:t>
      </w:r>
      <w:r w:rsidRPr="00E86218">
        <w:rPr>
          <w:rFonts w:asciiTheme="minorHAnsi" w:hAnsiTheme="minorHAnsi" w:cstheme="minorHAnsi"/>
          <w:i/>
          <w:sz w:val="22"/>
          <w:szCs w:val="22"/>
        </w:rPr>
        <w:t>t &amp; motivation: Factsheet.</w:t>
      </w:r>
      <w:r w:rsidRPr="00E86218">
        <w:rPr>
          <w:rFonts w:asciiTheme="minorHAnsi" w:hAnsiTheme="minorHAnsi" w:cstheme="minorHAnsi"/>
          <w:sz w:val="22"/>
          <w:szCs w:val="22"/>
        </w:rPr>
        <w:t xml:space="preserve"> </w:t>
      </w:r>
      <w:r w:rsidRPr="00E86218">
        <w:rPr>
          <w:rFonts w:asciiTheme="minorHAnsi" w:hAnsiTheme="minorHAnsi" w:cstheme="minorHAnsi"/>
          <w:sz w:val="22"/>
          <w:szCs w:val="22"/>
        </w:rPr>
        <w:t xml:space="preserve">Available at: </w:t>
      </w:r>
      <w:hyperlink r:id="rId28" w:tgtFrame="_new" w:history="1">
        <w:r w:rsidRPr="00E86218">
          <w:rPr>
            <w:rStyle w:val="Hyperlink"/>
            <w:rFonts w:asciiTheme="minorHAnsi" w:hAnsiTheme="minorHAnsi" w:cstheme="minorHAnsi"/>
            <w:sz w:val="22"/>
            <w:szCs w:val="22"/>
          </w:rPr>
          <w:t>https://www.cipd.org/uk/knowledge/factsheets/engagement-factsheet/</w:t>
        </w:r>
      </w:hyperlink>
      <w:r w:rsidRPr="00E86218">
        <w:rPr>
          <w:rFonts w:asciiTheme="minorHAnsi" w:hAnsiTheme="minorHAnsi" w:cstheme="minorHAnsi"/>
          <w:sz w:val="22"/>
          <w:szCs w:val="22"/>
        </w:rPr>
        <w:t xml:space="preserve"> [Accessed 7 December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Clemo, F. (2025) </w:t>
      </w:r>
      <w:r w:rsidRPr="00E86218">
        <w:rPr>
          <w:rFonts w:asciiTheme="minorHAnsi" w:hAnsiTheme="minorHAnsi" w:cstheme="minorHAnsi"/>
          <w:i/>
          <w:iCs/>
          <w:color w:val="000000"/>
          <w:sz w:val="22"/>
          <w:szCs w:val="22"/>
        </w:rPr>
        <w:t>Gentle management: could a softer leadership style boost productivity?</w:t>
      </w:r>
      <w:r w:rsidRPr="00E86218">
        <w:rPr>
          <w:rFonts w:asciiTheme="minorHAnsi" w:hAnsiTheme="minorHAnsi" w:cstheme="minorHAnsi"/>
          <w:color w:val="000000"/>
          <w:sz w:val="22"/>
          <w:szCs w:val="22"/>
        </w:rPr>
        <w:t xml:space="preserve"> Available at: </w:t>
      </w:r>
      <w:hyperlink r:id="rId29" w:history="1">
        <w:r w:rsidRPr="00E86218">
          <w:rPr>
            <w:rStyle w:val="Hyperlink"/>
            <w:rFonts w:asciiTheme="minorHAnsi" w:hAnsiTheme="minorHAnsi" w:cstheme="minorHAnsi"/>
            <w:color w:val="1155CC"/>
            <w:sz w:val="22"/>
            <w:szCs w:val="22"/>
          </w:rPr>
          <w:t>https://www.peoplemanagement.co.uk/article/1913237/gentle-management-softer-leadership-style-boost-productivity</w:t>
        </w:r>
      </w:hyperlink>
      <w:r w:rsidRPr="00E86218">
        <w:rPr>
          <w:rFonts w:asciiTheme="minorHAnsi" w:hAnsiTheme="minorHAnsi" w:cstheme="minorHAnsi"/>
          <w:color w:val="000000"/>
          <w:sz w:val="22"/>
          <w:szCs w:val="22"/>
        </w:rPr>
        <w:t xml:space="preserve"> (Accessed 11 November 2025).</w:t>
      </w:r>
    </w:p>
    <w:p w:rsidR="00EE62F1" w:rsidRPr="00E86218" w:rsidRDefault="00EE62F1"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Dall’Ora, C., Ball, J., Reinius, M. &amp; Griffiths, P. (2020) ‘Burnout in nursing: a theoretical review’, </w:t>
      </w:r>
      <w:r w:rsidRPr="00E86218">
        <w:rPr>
          <w:rStyle w:val="Emphasis"/>
          <w:rFonts w:asciiTheme="minorHAnsi" w:hAnsiTheme="minorHAnsi" w:cstheme="minorHAnsi"/>
          <w:sz w:val="22"/>
          <w:szCs w:val="22"/>
        </w:rPr>
        <w:t>Human Resources for Health</w:t>
      </w:r>
      <w:r w:rsidRPr="00E86218">
        <w:rPr>
          <w:rFonts w:asciiTheme="minorHAnsi" w:hAnsiTheme="minorHAnsi" w:cstheme="minorHAnsi"/>
          <w:sz w:val="22"/>
          <w:szCs w:val="22"/>
        </w:rPr>
        <w:t xml:space="preserve">, 18, 41. Available at: </w:t>
      </w:r>
      <w:hyperlink r:id="rId30" w:tgtFrame="_new" w:history="1">
        <w:r w:rsidRPr="00E86218">
          <w:rPr>
            <w:rStyle w:val="Hyperlink"/>
            <w:rFonts w:asciiTheme="minorHAnsi" w:hAnsiTheme="minorHAnsi" w:cstheme="minorHAnsi"/>
            <w:sz w:val="22"/>
            <w:szCs w:val="22"/>
          </w:rPr>
          <w:t>https://link.springer.com/article/10.1186/s12960-020-00469-9</w:t>
        </w:r>
      </w:hyperlink>
      <w:r w:rsidRPr="00E86218">
        <w:rPr>
          <w:rFonts w:asciiTheme="minorHAnsi" w:hAnsiTheme="minorHAnsi" w:cstheme="minorHAnsi"/>
          <w:sz w:val="22"/>
          <w:szCs w:val="22"/>
        </w:rPr>
        <w:t xml:space="preserve"> (Accessed: 24 November 2025).</w:t>
      </w:r>
    </w:p>
    <w:p w:rsidR="00EE62F1"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Department of Health &amp; Social Care (2023) </w:t>
      </w:r>
      <w:r w:rsidRPr="00E86218">
        <w:rPr>
          <w:rFonts w:asciiTheme="minorHAnsi" w:hAnsiTheme="minorHAnsi" w:cstheme="minorHAnsi"/>
          <w:i/>
          <w:iCs/>
          <w:color w:val="000000"/>
          <w:sz w:val="22"/>
          <w:szCs w:val="22"/>
        </w:rPr>
        <w:t>Digital working in adult social care: What Good Looks Like</w:t>
      </w:r>
      <w:r w:rsidRPr="00E86218">
        <w:rPr>
          <w:rFonts w:asciiTheme="minorHAnsi" w:hAnsiTheme="minorHAnsi" w:cstheme="minorHAnsi"/>
          <w:color w:val="000000"/>
          <w:sz w:val="22"/>
          <w:szCs w:val="22"/>
        </w:rPr>
        <w:t xml:space="preserve">. Available at: </w:t>
      </w:r>
      <w:hyperlink r:id="rId31" w:history="1">
        <w:r w:rsidRPr="00E86218">
          <w:rPr>
            <w:rStyle w:val="Hyperlink"/>
            <w:rFonts w:asciiTheme="minorHAnsi" w:hAnsiTheme="minorHAnsi" w:cstheme="minorHAnsi"/>
            <w:color w:val="1155CC"/>
            <w:sz w:val="22"/>
            <w:szCs w:val="22"/>
          </w:rPr>
          <w:t>https://www.gov.uk/government/publications/digital-working-in-adult-social-care-what-good-looks-like/digital-working-in-adult-social-care-what-good-looks-like-for-local-authorities-and-care-providers</w:t>
        </w:r>
      </w:hyperlink>
      <w:r w:rsidRPr="00E86218">
        <w:rPr>
          <w:rFonts w:asciiTheme="minorHAnsi" w:hAnsiTheme="minorHAnsi" w:cstheme="minorHAnsi"/>
          <w:color w:val="000000"/>
          <w:sz w:val="22"/>
          <w:szCs w:val="22"/>
        </w:rPr>
        <w:t xml:space="preserve"> (Accessed: 17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Department of Health and Social Care (2025a) </w:t>
      </w:r>
      <w:r w:rsidRPr="00E86218">
        <w:rPr>
          <w:rFonts w:asciiTheme="minorHAnsi" w:hAnsiTheme="minorHAnsi" w:cstheme="minorHAnsi"/>
          <w:i/>
          <w:iCs/>
          <w:color w:val="000000"/>
          <w:sz w:val="22"/>
          <w:szCs w:val="22"/>
        </w:rPr>
        <w:t>Adult Social Care Workforce Survey April 2025: report</w:t>
      </w:r>
      <w:r w:rsidRPr="00E86218">
        <w:rPr>
          <w:rFonts w:asciiTheme="minorHAnsi" w:hAnsiTheme="minorHAnsi" w:cstheme="minorHAnsi"/>
          <w:color w:val="000000"/>
          <w:sz w:val="22"/>
          <w:szCs w:val="22"/>
        </w:rPr>
        <w:t xml:space="preserve">. Available at: </w:t>
      </w:r>
      <w:hyperlink r:id="rId32" w:history="1">
        <w:r w:rsidRPr="00E86218">
          <w:rPr>
            <w:rStyle w:val="Hyperlink"/>
            <w:rFonts w:asciiTheme="minorHAnsi" w:hAnsiTheme="minorHAnsi" w:cstheme="minorHAnsi"/>
            <w:color w:val="1155CC"/>
            <w:sz w:val="22"/>
            <w:szCs w:val="22"/>
          </w:rPr>
          <w:t>https://www.gov.uk/government/statistics/adult-social-care-workforce-survey-april-2025/adult-social-care-workforce-survey-april-2025-report</w:t>
        </w:r>
      </w:hyperlink>
      <w:r w:rsidRPr="00E86218">
        <w:rPr>
          <w:rFonts w:asciiTheme="minorHAnsi" w:hAnsiTheme="minorHAnsi" w:cstheme="minorHAnsi"/>
          <w:color w:val="000000"/>
          <w:sz w:val="22"/>
          <w:szCs w:val="22"/>
        </w:rPr>
        <w:t xml:space="preserve"> (Accessed: 16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Department of Health &amp; Social Care (2025b) </w:t>
      </w:r>
      <w:r w:rsidRPr="00E86218">
        <w:rPr>
          <w:rFonts w:asciiTheme="minorHAnsi" w:hAnsiTheme="minorHAnsi" w:cstheme="minorHAnsi"/>
          <w:i/>
          <w:iCs/>
          <w:color w:val="000000"/>
          <w:sz w:val="22"/>
          <w:szCs w:val="22"/>
        </w:rPr>
        <w:t>Care workforce pathway for adult social care: overview</w:t>
      </w:r>
      <w:r w:rsidRPr="00E86218">
        <w:rPr>
          <w:rFonts w:asciiTheme="minorHAnsi" w:hAnsiTheme="minorHAnsi" w:cstheme="minorHAnsi"/>
          <w:color w:val="000000"/>
          <w:sz w:val="22"/>
          <w:szCs w:val="22"/>
        </w:rPr>
        <w:t xml:space="preserve">. Available at: </w:t>
      </w:r>
      <w:hyperlink r:id="rId33" w:history="1">
        <w:r w:rsidRPr="00E86218">
          <w:rPr>
            <w:rStyle w:val="Hyperlink"/>
            <w:rFonts w:asciiTheme="minorHAnsi" w:hAnsiTheme="minorHAnsi" w:cstheme="minorHAnsi"/>
            <w:color w:val="1155CC"/>
            <w:sz w:val="22"/>
            <w:szCs w:val="22"/>
          </w:rPr>
          <w:t>https://www.gov.uk/government/publications/care-workforce-pathway-for-adult-social-care/care-workforce-pathway-for-adult-social-care-overview</w:t>
        </w:r>
      </w:hyperlink>
      <w:r w:rsidRPr="00E86218">
        <w:rPr>
          <w:rFonts w:asciiTheme="minorHAnsi" w:hAnsiTheme="minorHAnsi" w:cstheme="minorHAnsi"/>
          <w:color w:val="000000"/>
          <w:sz w:val="22"/>
          <w:szCs w:val="22"/>
        </w:rPr>
        <w:t xml:space="preserve"> (Accessed: 16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Department of Health and Social Care (2025c) </w:t>
      </w:r>
      <w:r w:rsidRPr="00E86218">
        <w:rPr>
          <w:rFonts w:asciiTheme="minorHAnsi" w:hAnsiTheme="minorHAnsi" w:cstheme="minorHAnsi"/>
          <w:i/>
          <w:iCs/>
          <w:color w:val="000000"/>
          <w:sz w:val="22"/>
          <w:szCs w:val="22"/>
        </w:rPr>
        <w:t>Cutting-edge tech introduced in social care</w:t>
      </w:r>
      <w:r w:rsidRPr="00E86218">
        <w:rPr>
          <w:rFonts w:asciiTheme="minorHAnsi" w:hAnsiTheme="minorHAnsi" w:cstheme="minorHAnsi"/>
          <w:color w:val="000000"/>
          <w:sz w:val="22"/>
          <w:szCs w:val="22"/>
        </w:rPr>
        <w:t>. Available at:</w:t>
      </w:r>
      <w:hyperlink r:id="rId34" w:history="1">
        <w:r w:rsidRPr="00E86218">
          <w:rPr>
            <w:rStyle w:val="Hyperlink"/>
            <w:rFonts w:asciiTheme="minorHAnsi" w:hAnsiTheme="minorHAnsi" w:cstheme="minorHAnsi"/>
            <w:color w:val="000000"/>
            <w:sz w:val="22"/>
            <w:szCs w:val="22"/>
            <w:u w:val="none"/>
          </w:rPr>
          <w:t xml:space="preserve"> </w:t>
        </w:r>
      </w:hyperlink>
      <w:hyperlink r:id="rId35" w:history="1">
        <w:r w:rsidRPr="00E86218">
          <w:rPr>
            <w:rStyle w:val="Hyperlink"/>
            <w:rFonts w:asciiTheme="minorHAnsi" w:hAnsiTheme="minorHAnsi" w:cstheme="minorHAnsi"/>
            <w:color w:val="1155CC"/>
            <w:sz w:val="22"/>
            <w:szCs w:val="22"/>
          </w:rPr>
          <w:t>https://www.gov.uk/government/news/cutting-edge-tech-introduced-in-social-care</w:t>
        </w:r>
      </w:hyperlink>
      <w:r w:rsidRPr="00E86218">
        <w:rPr>
          <w:rFonts w:asciiTheme="minorHAnsi" w:hAnsiTheme="minorHAnsi" w:cstheme="minorHAnsi"/>
          <w:color w:val="000000"/>
          <w:sz w:val="22"/>
          <w:szCs w:val="22"/>
        </w:rPr>
        <w:t xml:space="preserve"> (Accessed: 16 November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Department of Health and Social Care, NHS England and Ahmed, Z. (2025) </w:t>
      </w:r>
      <w:r w:rsidRPr="00E86218">
        <w:rPr>
          <w:rFonts w:asciiTheme="minorHAnsi" w:hAnsiTheme="minorHAnsi" w:cstheme="minorHAnsi"/>
          <w:i/>
          <w:iCs/>
          <w:color w:val="000000"/>
          <w:sz w:val="22"/>
          <w:szCs w:val="22"/>
        </w:rPr>
        <w:t>Major NHS AI trial delivers unprecedented time and cost savings</w:t>
      </w:r>
      <w:r w:rsidRPr="00E86218">
        <w:rPr>
          <w:rFonts w:asciiTheme="minorHAnsi" w:hAnsiTheme="minorHAnsi" w:cstheme="minorHAnsi"/>
          <w:color w:val="000000"/>
          <w:sz w:val="22"/>
          <w:szCs w:val="22"/>
        </w:rPr>
        <w:t>. Available at:</w:t>
      </w:r>
      <w:hyperlink r:id="rId36"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https://www.gov.uk/government/news/major-nhs-ai-trial-delivers-unprecedented-time-and-cost-savings</w:t>
        </w:r>
      </w:hyperlink>
      <w:r w:rsidRPr="00E86218">
        <w:rPr>
          <w:rFonts w:asciiTheme="minorHAnsi" w:hAnsiTheme="minorHAnsi" w:cstheme="minorHAnsi"/>
          <w:color w:val="000000"/>
          <w:sz w:val="22"/>
          <w:szCs w:val="22"/>
        </w:rPr>
        <w:t xml:space="preserve"> (Accessed: 17 November 2025).</w:t>
      </w:r>
    </w:p>
    <w:p w:rsidR="00C703CE" w:rsidRPr="00E86218" w:rsidRDefault="00C703CE" w:rsidP="00C703CE">
      <w:pPr>
        <w:pStyle w:val="NoSpacing"/>
        <w:rPr>
          <w:rFonts w:cstheme="minorHAnsi"/>
        </w:rPr>
      </w:pPr>
      <w:r w:rsidRPr="00E86218">
        <w:rPr>
          <w:rFonts w:cstheme="minorHAnsi"/>
        </w:rPr>
        <w:t xml:space="preserve">Dimitrov, K. (2013) ‘Edgar Schein’s model of organizational culture levels as a hologram’, </w:t>
      </w:r>
      <w:r w:rsidRPr="00E86218">
        <w:rPr>
          <w:rStyle w:val="Emphasis"/>
          <w:rFonts w:cstheme="minorHAnsi"/>
        </w:rPr>
        <w:t>Ikonomicheski Izsledvania / Economic Studies</w:t>
      </w:r>
      <w:r w:rsidRPr="00E86218">
        <w:rPr>
          <w:rFonts w:cstheme="minorHAnsi"/>
        </w:rPr>
        <w:t xml:space="preserve">, 22(4), pp. 3–36. Available at: </w:t>
      </w:r>
      <w:hyperlink r:id="rId37" w:tgtFrame="_new" w:history="1">
        <w:r w:rsidRPr="00E86218">
          <w:rPr>
            <w:rStyle w:val="Hyperlink"/>
            <w:rFonts w:cstheme="minorHAnsi"/>
          </w:rPr>
          <w:t>https://www.researchgate.net/publication/287585067_Edgar_schein's_model_of_organizational_culture_levels_as_a_hologram</w:t>
        </w:r>
      </w:hyperlink>
      <w:r w:rsidRPr="00E86218">
        <w:rPr>
          <w:rFonts w:cstheme="minorHAnsi"/>
        </w:rPr>
        <w:t xml:space="preserve"> (Accessed: 19 November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Du, G., Dahl, D.W. and White, K. (2025) ‘Why horizontal organizations don’t fall flat: organizational structure shapes perceptions of egalitarianism and company warmth’, </w:t>
      </w:r>
      <w:r w:rsidRPr="00E86218">
        <w:rPr>
          <w:rFonts w:asciiTheme="minorHAnsi" w:hAnsiTheme="minorHAnsi" w:cstheme="minorHAnsi"/>
          <w:i/>
          <w:iCs/>
          <w:color w:val="000000"/>
          <w:sz w:val="22"/>
          <w:szCs w:val="22"/>
        </w:rPr>
        <w:t>Journal of Consumer Research</w:t>
      </w:r>
      <w:r w:rsidRPr="00E86218">
        <w:rPr>
          <w:rFonts w:asciiTheme="minorHAnsi" w:hAnsiTheme="minorHAnsi" w:cstheme="minorHAnsi"/>
          <w:color w:val="000000"/>
          <w:sz w:val="22"/>
          <w:szCs w:val="22"/>
        </w:rPr>
        <w:t>, ucaf041. Available at:</w:t>
      </w:r>
      <w:hyperlink r:id="rId38"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https://doi.org/10.1093/jcr/ucaf041</w:t>
        </w:r>
      </w:hyperlink>
      <w:r w:rsidRPr="00E86218">
        <w:rPr>
          <w:rFonts w:asciiTheme="minorHAnsi" w:hAnsiTheme="minorHAnsi" w:cstheme="minorHAnsi"/>
          <w:color w:val="000000"/>
          <w:sz w:val="22"/>
          <w:szCs w:val="22"/>
        </w:rPr>
        <w:t xml:space="preserve"> (Accessed: 13 November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Gaugler, J.E. (2005) ‘Family involvement in residential long-term care: a synthesis and critical review’, </w:t>
      </w:r>
      <w:r w:rsidRPr="00E86218">
        <w:rPr>
          <w:rFonts w:asciiTheme="minorHAnsi" w:hAnsiTheme="minorHAnsi" w:cstheme="minorHAnsi"/>
          <w:i/>
          <w:iCs/>
          <w:color w:val="000000"/>
          <w:sz w:val="22"/>
          <w:szCs w:val="22"/>
        </w:rPr>
        <w:t>Aging &amp; Mental Health</w:t>
      </w:r>
      <w:r w:rsidRPr="00E86218">
        <w:rPr>
          <w:rFonts w:asciiTheme="minorHAnsi" w:hAnsiTheme="minorHAnsi" w:cstheme="minorHAnsi"/>
          <w:color w:val="000000"/>
          <w:sz w:val="22"/>
          <w:szCs w:val="22"/>
        </w:rPr>
        <w:t>, 9(2), pp. 105–118. Available at:</w:t>
      </w:r>
      <w:hyperlink r:id="rId39"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https://www.ncbi.nlm.nih.gov/pmc/articles/PMC2247412/</w:t>
        </w:r>
      </w:hyperlink>
      <w:r w:rsidRPr="00E86218">
        <w:rPr>
          <w:rFonts w:asciiTheme="minorHAnsi" w:hAnsiTheme="minorHAnsi" w:cstheme="minorHAnsi"/>
          <w:color w:val="000000"/>
          <w:sz w:val="22"/>
          <w:szCs w:val="22"/>
        </w:rPr>
        <w:t xml:space="preserve"> (Accessed: 12 November 2025).</w:t>
      </w:r>
    </w:p>
    <w:p w:rsidR="00D04CB3" w:rsidRPr="00E86218" w:rsidRDefault="00D04CB3" w:rsidP="00D04CB3">
      <w:pPr>
        <w:pStyle w:val="NoSpacing"/>
        <w:rPr>
          <w:rFonts w:cstheme="minorHAnsi"/>
        </w:rPr>
      </w:pPr>
      <w:r w:rsidRPr="00E86218">
        <w:rPr>
          <w:rFonts w:cstheme="minorHAnsi"/>
        </w:rPr>
        <w:t xml:space="preserve">Hancock, A.J., Daher-Moreno, N.E. and Arnold, K.A. (2023) ‘The role of line managers in promoting and protecting employee well-being’, in Cooper, C.L. and Lapierre, L. (eds) </w:t>
      </w:r>
      <w:r w:rsidRPr="00E86218">
        <w:rPr>
          <w:rStyle w:val="Emphasis"/>
          <w:rFonts w:cstheme="minorHAnsi"/>
          <w:i w:val="0"/>
          <w:iCs w:val="0"/>
        </w:rPr>
        <w:t>Organizational stress and well-being</w:t>
      </w:r>
      <w:r w:rsidRPr="00E86218">
        <w:rPr>
          <w:rFonts w:cstheme="minorHAnsi"/>
        </w:rPr>
        <w:t>. New York, NY: Cambridge University Press.</w:t>
      </w:r>
    </w:p>
    <w:p w:rsidR="00D04CB3" w:rsidRPr="00E86218" w:rsidRDefault="00D04CB3" w:rsidP="00D04CB3">
      <w:pPr>
        <w:pStyle w:val="NoSpacing"/>
        <w:rPr>
          <w:rFonts w:cstheme="minorHAnsi"/>
        </w:rPr>
      </w:pPr>
    </w:p>
    <w:p w:rsidR="00016F42" w:rsidRPr="00E86218" w:rsidRDefault="00016F42" w:rsidP="00016F42">
      <w:pPr>
        <w:pStyle w:val="NoSpacing"/>
        <w:rPr>
          <w:rFonts w:cstheme="minorHAnsi"/>
          <w:b/>
          <w:color w:val="000000"/>
        </w:rPr>
      </w:pPr>
      <w:r w:rsidRPr="00E86218">
        <w:rPr>
          <w:rStyle w:val="Strong"/>
          <w:rFonts w:cstheme="minorHAnsi"/>
          <w:b w:val="0"/>
        </w:rPr>
        <w:t>Hesketh, I. and Cooper, C. (2019)</w:t>
      </w:r>
      <w:r w:rsidRPr="00E86218">
        <w:rPr>
          <w:rFonts w:cstheme="minorHAnsi"/>
          <w:b/>
        </w:rPr>
        <w:t xml:space="preserve"> </w:t>
      </w:r>
      <w:r w:rsidRPr="00E86218">
        <w:rPr>
          <w:rStyle w:val="Emphasis"/>
          <w:rFonts w:cstheme="minorHAnsi"/>
        </w:rPr>
        <w:t>Wellbeing at Work: How to Design, Implement and Evaluate an Effective Strategy</w:t>
      </w:r>
      <w:r w:rsidRPr="00E86218">
        <w:rPr>
          <w:rFonts w:cstheme="minorHAnsi"/>
        </w:rPr>
        <w:t>.</w:t>
      </w:r>
      <w:r w:rsidRPr="00E86218">
        <w:rPr>
          <w:rFonts w:cstheme="minorHAnsi"/>
          <w:b/>
        </w:rPr>
        <w:t xml:space="preserve"> </w:t>
      </w:r>
      <w:r w:rsidRPr="00E86218">
        <w:rPr>
          <w:rStyle w:val="Strong"/>
          <w:rFonts w:cstheme="minorHAnsi"/>
          <w:b w:val="0"/>
        </w:rPr>
        <w:t>London: Kogan Page.</w:t>
      </w:r>
      <w:r w:rsidRPr="00E86218">
        <w:rPr>
          <w:rFonts w:cstheme="minorHAnsi"/>
          <w:b/>
          <w:color w:val="000000"/>
        </w:rPr>
        <w:t xml:space="preserve"> </w:t>
      </w:r>
    </w:p>
    <w:p w:rsidR="00433C01" w:rsidRPr="00E86218" w:rsidRDefault="00433C01" w:rsidP="00016F42">
      <w:pPr>
        <w:pStyle w:val="NoSpacing"/>
        <w:rPr>
          <w:rFonts w:cstheme="minorHAnsi"/>
          <w:b/>
          <w:color w:val="000000"/>
        </w:rPr>
      </w:pPr>
    </w:p>
    <w:p w:rsidR="00433C01" w:rsidRPr="00E86218" w:rsidRDefault="00433C01" w:rsidP="00016F42">
      <w:pPr>
        <w:pStyle w:val="NoSpacing"/>
        <w:rPr>
          <w:rFonts w:cstheme="minorHAnsi"/>
        </w:rPr>
      </w:pPr>
      <w:r w:rsidRPr="00E86218">
        <w:rPr>
          <w:rFonts w:cstheme="minorHAnsi"/>
        </w:rPr>
        <w:lastRenderedPageBreak/>
        <w:t xml:space="preserve">Holbeche, L. (2022) </w:t>
      </w:r>
      <w:r w:rsidRPr="00E86218">
        <w:rPr>
          <w:rStyle w:val="Emphasis"/>
          <w:rFonts w:cstheme="minorHAnsi"/>
        </w:rPr>
        <w:t>Aligning Human Resources and Business Strategy</w:t>
      </w:r>
      <w:r w:rsidRPr="00E86218">
        <w:rPr>
          <w:rFonts w:cstheme="minorHAnsi"/>
        </w:rPr>
        <w:t>. 3rd edn. Routledge.</w:t>
      </w:r>
    </w:p>
    <w:p w:rsidR="00552AB2" w:rsidRPr="00E86218" w:rsidRDefault="00552AB2" w:rsidP="00016F42">
      <w:pPr>
        <w:pStyle w:val="NoSpacing"/>
        <w:rPr>
          <w:rFonts w:cstheme="minorHAnsi"/>
        </w:rPr>
      </w:pPr>
    </w:p>
    <w:p w:rsidR="00552AB2" w:rsidRPr="00E86218" w:rsidRDefault="00552AB2" w:rsidP="00016F42">
      <w:pPr>
        <w:pStyle w:val="NoSpacing"/>
        <w:rPr>
          <w:rFonts w:cstheme="minorHAnsi"/>
        </w:rPr>
      </w:pPr>
      <w:r w:rsidRPr="00E86218">
        <w:rPr>
          <w:rFonts w:cstheme="minorHAnsi"/>
        </w:rPr>
        <w:t xml:space="preserve">Jalili, S. </w:t>
      </w:r>
      <w:r w:rsidRPr="00E86218">
        <w:rPr>
          <w:rStyle w:val="Emphasis"/>
          <w:rFonts w:cstheme="minorHAnsi"/>
        </w:rPr>
        <w:t>et al.</w:t>
      </w:r>
      <w:r w:rsidRPr="00E86218">
        <w:rPr>
          <w:rFonts w:cstheme="minorHAnsi"/>
        </w:rPr>
        <w:t xml:space="preserve"> (2025) ‘Engagement contagion from managers to employees: the role of eudaimonic well-being beliefs’, </w:t>
      </w:r>
      <w:r w:rsidRPr="00E86218">
        <w:rPr>
          <w:rStyle w:val="Emphasis"/>
          <w:rFonts w:cstheme="minorHAnsi"/>
        </w:rPr>
        <w:t>The International Journal of Human Resource Management</w:t>
      </w:r>
      <w:r w:rsidRPr="00E86218">
        <w:rPr>
          <w:rFonts w:cstheme="minorHAnsi"/>
        </w:rPr>
        <w:t>, pp. 1–24. doi:10.1080/09585192.2025.2559969.</w:t>
      </w:r>
    </w:p>
    <w:p w:rsidR="00B60485" w:rsidRPr="00E86218" w:rsidRDefault="00B60485" w:rsidP="00016F42">
      <w:pPr>
        <w:pStyle w:val="NoSpacing"/>
        <w:rPr>
          <w:rFonts w:cstheme="minorHAnsi"/>
          <w:b/>
          <w:color w:val="000000"/>
        </w:rPr>
      </w:pPr>
    </w:p>
    <w:p w:rsidR="00B60485" w:rsidRPr="00E86218" w:rsidRDefault="00B60485" w:rsidP="00B60485">
      <w:pPr>
        <w:pStyle w:val="NoSpacing"/>
        <w:rPr>
          <w:rFonts w:cstheme="minorHAnsi"/>
          <w:b/>
          <w:color w:val="000000"/>
        </w:rPr>
      </w:pPr>
      <w:r w:rsidRPr="00E86218">
        <w:rPr>
          <w:rFonts w:cstheme="minorHAnsi"/>
        </w:rPr>
        <w:t xml:space="preserve">Kehoe, R.R. &amp; Wright, P.M. (2013) ‘The impact of high-performance HR practices on employees’ attitudes and behaviors’, </w:t>
      </w:r>
      <w:r w:rsidRPr="00E86218">
        <w:rPr>
          <w:rStyle w:val="Emphasis"/>
          <w:rFonts w:cstheme="minorHAnsi"/>
        </w:rPr>
        <w:t>Journal of Management</w:t>
      </w:r>
      <w:r w:rsidRPr="00E86218">
        <w:rPr>
          <w:rFonts w:cstheme="minorHAnsi"/>
        </w:rPr>
        <w:t>, 39(2), pp. 366–391. doi: 10.1177/0149206310365901.</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Kettley, P. (1995) </w:t>
      </w:r>
      <w:r w:rsidRPr="00E86218">
        <w:rPr>
          <w:rFonts w:asciiTheme="minorHAnsi" w:hAnsiTheme="minorHAnsi" w:cstheme="minorHAnsi"/>
          <w:i/>
          <w:iCs/>
          <w:color w:val="000000"/>
          <w:sz w:val="22"/>
          <w:szCs w:val="22"/>
        </w:rPr>
        <w:t>Is flatter better? Delayering the management hierarchy.</w:t>
      </w:r>
      <w:r w:rsidRPr="00E86218">
        <w:rPr>
          <w:rFonts w:asciiTheme="minorHAnsi" w:hAnsiTheme="minorHAnsi" w:cstheme="minorHAnsi"/>
          <w:color w:val="000000"/>
          <w:sz w:val="22"/>
          <w:szCs w:val="22"/>
        </w:rPr>
        <w:t xml:space="preserve"> Report 290. Available at:</w:t>
      </w:r>
      <w:hyperlink r:id="rId40"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https://www.employment-studies.co.uk/resource/flatter-better-delayering-management-hierarchy</w:t>
        </w:r>
      </w:hyperlink>
      <w:r w:rsidRPr="00E86218">
        <w:rPr>
          <w:rFonts w:asciiTheme="minorHAnsi" w:hAnsiTheme="minorHAnsi" w:cstheme="minorHAnsi"/>
          <w:color w:val="000000"/>
          <w:sz w:val="22"/>
          <w:szCs w:val="22"/>
        </w:rPr>
        <w:t xml:space="preserve"> (Accessed: 13 November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King’s College London (2024) </w:t>
      </w:r>
      <w:r w:rsidRPr="00E86218">
        <w:rPr>
          <w:rFonts w:asciiTheme="minorHAnsi" w:hAnsiTheme="minorHAnsi" w:cstheme="minorHAnsi"/>
          <w:i/>
          <w:iCs/>
          <w:color w:val="000000"/>
          <w:sz w:val="22"/>
          <w:szCs w:val="22"/>
        </w:rPr>
        <w:t>Developing the care workforce</w:t>
      </w:r>
      <w:r w:rsidRPr="00E86218">
        <w:rPr>
          <w:rFonts w:asciiTheme="minorHAnsi" w:hAnsiTheme="minorHAnsi" w:cstheme="minorHAnsi"/>
          <w:color w:val="000000"/>
          <w:sz w:val="22"/>
          <w:szCs w:val="22"/>
        </w:rPr>
        <w:t>. Available at:</w:t>
      </w:r>
      <w:hyperlink r:id="rId41"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https://www.kcl.ac.uk/developing-the-care-workforce</w:t>
        </w:r>
      </w:hyperlink>
      <w:r w:rsidRPr="00E86218">
        <w:rPr>
          <w:rFonts w:asciiTheme="minorHAnsi" w:hAnsiTheme="minorHAnsi" w:cstheme="minorHAnsi"/>
          <w:color w:val="000000"/>
          <w:sz w:val="22"/>
          <w:szCs w:val="22"/>
        </w:rPr>
        <w:t xml:space="preserve"> (Accessed: 16 November 2025).</w:t>
      </w:r>
    </w:p>
    <w:p w:rsidR="00855081" w:rsidRPr="00E86218" w:rsidRDefault="00855081" w:rsidP="00855081">
      <w:pPr>
        <w:pStyle w:val="NoSpacing"/>
        <w:rPr>
          <w:rFonts w:cstheme="minorHAnsi"/>
        </w:rPr>
      </w:pPr>
      <w:r w:rsidRPr="00E86218">
        <w:rPr>
          <w:rFonts w:cstheme="minorHAnsi"/>
        </w:rPr>
        <w:t xml:space="preserve">Kotter, J.P. (2012) </w:t>
      </w:r>
      <w:r w:rsidRPr="00E86218">
        <w:rPr>
          <w:rStyle w:val="Emphasis"/>
          <w:rFonts w:cstheme="minorHAnsi"/>
        </w:rPr>
        <w:t>Leading Change</w:t>
      </w:r>
      <w:r w:rsidRPr="00E86218">
        <w:rPr>
          <w:rFonts w:cstheme="minorHAnsi"/>
        </w:rPr>
        <w:t>. Boston: Harvard Business Review Press.</w:t>
      </w:r>
    </w:p>
    <w:p w:rsidR="00916336" w:rsidRPr="00E86218" w:rsidRDefault="00916336" w:rsidP="00855081">
      <w:pPr>
        <w:pStyle w:val="NoSpacing"/>
        <w:rPr>
          <w:rFonts w:cstheme="minorHAnsi"/>
        </w:rPr>
      </w:pPr>
    </w:p>
    <w:p w:rsidR="00916336" w:rsidRPr="00E86218" w:rsidRDefault="00916336" w:rsidP="00855081">
      <w:pPr>
        <w:pStyle w:val="NoSpacing"/>
        <w:rPr>
          <w:rFonts w:cstheme="minorHAnsi"/>
        </w:rPr>
      </w:pPr>
      <w:r w:rsidRPr="00E86218">
        <w:rPr>
          <w:rFonts w:cstheme="minorHAnsi"/>
        </w:rPr>
        <w:t xml:space="preserve">Mani, V. (2012) ‘The effectiveness of employee referral as a recruitment source’, </w:t>
      </w:r>
      <w:r w:rsidRPr="00E86218">
        <w:rPr>
          <w:rStyle w:val="Emphasis"/>
          <w:rFonts w:cstheme="minorHAnsi"/>
        </w:rPr>
        <w:t>International Journal of Management Sciences and Business Research</w:t>
      </w:r>
      <w:r w:rsidRPr="00E86218">
        <w:rPr>
          <w:rFonts w:cstheme="minorHAnsi"/>
        </w:rPr>
        <w:t xml:space="preserve">, 1(11), article 2704222. Available at: </w:t>
      </w:r>
      <w:hyperlink r:id="rId42" w:history="1">
        <w:r w:rsidRPr="00E86218">
          <w:rPr>
            <w:rStyle w:val="Hyperlink"/>
            <w:rFonts w:cstheme="minorHAnsi"/>
          </w:rPr>
          <w:t>https://doi.org/10.5281/zenodo.3401893</w:t>
        </w:r>
      </w:hyperlink>
      <w:r w:rsidRPr="00E86218">
        <w:rPr>
          <w:rFonts w:cstheme="minorHAnsi"/>
        </w:rPr>
        <w:t xml:space="preserve"> (Accessed: 7 December 2025).</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Martela, F. and Nandram, S. (2025) ‘Buurtzorg: scaling up an organization with hundreds of self-managing teams but no middle managers’, </w:t>
      </w:r>
      <w:r w:rsidRPr="00E86218">
        <w:rPr>
          <w:rFonts w:asciiTheme="minorHAnsi" w:hAnsiTheme="minorHAnsi" w:cstheme="minorHAnsi"/>
          <w:i/>
          <w:iCs/>
          <w:color w:val="000000"/>
          <w:sz w:val="22"/>
          <w:szCs w:val="22"/>
        </w:rPr>
        <w:t>Journal of Organization Design</w:t>
      </w:r>
      <w:r w:rsidRPr="00E86218">
        <w:rPr>
          <w:rFonts w:asciiTheme="minorHAnsi" w:hAnsiTheme="minorHAnsi" w:cstheme="minorHAnsi"/>
          <w:color w:val="000000"/>
          <w:sz w:val="22"/>
          <w:szCs w:val="22"/>
        </w:rPr>
        <w:t>. Available at:</w:t>
      </w:r>
      <w:hyperlink r:id="rId43"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https://doi.org/10.1007/s41469-024-00184-y</w:t>
        </w:r>
      </w:hyperlink>
      <w:r w:rsidRPr="00E86218">
        <w:rPr>
          <w:rFonts w:asciiTheme="minorHAnsi" w:hAnsiTheme="minorHAnsi" w:cstheme="minorHAnsi"/>
          <w:color w:val="000000"/>
          <w:sz w:val="22"/>
          <w:szCs w:val="22"/>
        </w:rPr>
        <w:t> </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Mayne, M. (2025) </w:t>
      </w:r>
      <w:r w:rsidRPr="00E86218">
        <w:rPr>
          <w:rFonts w:asciiTheme="minorHAnsi" w:hAnsiTheme="minorHAnsi" w:cstheme="minorHAnsi"/>
          <w:i/>
          <w:iCs/>
          <w:color w:val="000000"/>
          <w:sz w:val="22"/>
          <w:szCs w:val="22"/>
        </w:rPr>
        <w:t xml:space="preserve">What is ‘culture rot’ – and why is it spreading in UK workplaces? </w:t>
      </w:r>
      <w:r w:rsidRPr="00E86218">
        <w:rPr>
          <w:rFonts w:asciiTheme="minorHAnsi" w:hAnsiTheme="minorHAnsi" w:cstheme="minorHAnsi"/>
          <w:color w:val="000000"/>
          <w:sz w:val="22"/>
          <w:szCs w:val="22"/>
        </w:rPr>
        <w:t xml:space="preserve">Available at: </w:t>
      </w:r>
      <w:hyperlink r:id="rId44" w:history="1">
        <w:r w:rsidRPr="00E86218">
          <w:rPr>
            <w:rStyle w:val="Hyperlink"/>
            <w:rFonts w:asciiTheme="minorHAnsi" w:hAnsiTheme="minorHAnsi" w:cstheme="minorHAnsi"/>
            <w:color w:val="1155CC"/>
            <w:sz w:val="22"/>
            <w:szCs w:val="22"/>
          </w:rPr>
          <w:t>https://www.peoplemanagement.co.uk/article/1939309/culture-rot-%E2%80%93-why-spreading-uk-workplaces?bulletin=pm-daily&amp;utm_source=mc&amp;utm_medium=email&amp;utm_content=20251111_PM+Daily_NWL_CIPD_GLO_MIX_MAN_NA</w:t>
        </w:r>
      </w:hyperlink>
      <w:r w:rsidRPr="00E86218">
        <w:rPr>
          <w:rFonts w:asciiTheme="minorHAnsi" w:hAnsiTheme="minorHAnsi" w:cstheme="minorHAnsi"/>
          <w:color w:val="000000"/>
          <w:sz w:val="22"/>
          <w:szCs w:val="22"/>
        </w:rPr>
        <w:t xml:space="preserve"> (Accessed: 14 November 2025).</w:t>
      </w:r>
    </w:p>
    <w:p w:rsidR="00A81CD3" w:rsidRPr="00E86218" w:rsidRDefault="00A81CD3" w:rsidP="00A81CD3">
      <w:pPr>
        <w:pStyle w:val="NoSpacing"/>
        <w:rPr>
          <w:rFonts w:cstheme="minorHAnsi"/>
        </w:rPr>
      </w:pPr>
      <w:r w:rsidRPr="00E86218">
        <w:rPr>
          <w:rFonts w:cstheme="minorHAnsi"/>
        </w:rPr>
        <w:t xml:space="preserve">Mullins, L.J. and McLean, J.E. (2019) </w:t>
      </w:r>
      <w:r w:rsidRPr="00E86218">
        <w:rPr>
          <w:rStyle w:val="Emphasis"/>
          <w:rFonts w:cstheme="minorHAnsi"/>
        </w:rPr>
        <w:t>Organisational Behaviour in the Workplace</w:t>
      </w:r>
      <w:r w:rsidRPr="00E86218">
        <w:rPr>
          <w:rFonts w:cstheme="minorHAnsi"/>
        </w:rPr>
        <w:t>. 12th edn. Harlow: Pearson.</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NHS England (2023) </w:t>
      </w:r>
      <w:r w:rsidRPr="00E86218">
        <w:rPr>
          <w:rFonts w:asciiTheme="minorHAnsi" w:hAnsiTheme="minorHAnsi" w:cstheme="minorHAnsi"/>
          <w:i/>
          <w:iCs/>
          <w:color w:val="000000"/>
          <w:sz w:val="22"/>
          <w:szCs w:val="22"/>
        </w:rPr>
        <w:t>Case study: improving care home residents’ wellbeing through digital technology – South Devon and Torbay</w:t>
      </w:r>
      <w:r w:rsidRPr="00E86218">
        <w:rPr>
          <w:rFonts w:asciiTheme="minorHAnsi" w:hAnsiTheme="minorHAnsi" w:cstheme="minorHAnsi"/>
          <w:color w:val="000000"/>
          <w:sz w:val="22"/>
          <w:szCs w:val="22"/>
        </w:rPr>
        <w:t xml:space="preserve">. Available at: </w:t>
      </w:r>
      <w:hyperlink r:id="rId45" w:history="1">
        <w:r w:rsidRPr="00E86218">
          <w:rPr>
            <w:rStyle w:val="Hyperlink"/>
            <w:rFonts w:asciiTheme="minorHAnsi" w:hAnsiTheme="minorHAnsi" w:cstheme="minorHAnsi"/>
            <w:color w:val="1155CC"/>
            <w:sz w:val="22"/>
            <w:szCs w:val="22"/>
          </w:rPr>
          <w:t>https://www.england.nhs.uk/long-read/case-study-improving-care-home-residents-wellbeing-through-digital-technology-south-devon-and-torbay/</w:t>
        </w:r>
      </w:hyperlink>
      <w:r w:rsidRPr="00E86218">
        <w:rPr>
          <w:rFonts w:asciiTheme="minorHAnsi" w:hAnsiTheme="minorHAnsi" w:cstheme="minorHAnsi"/>
          <w:color w:val="000000"/>
          <w:sz w:val="22"/>
          <w:szCs w:val="22"/>
        </w:rPr>
        <w:t xml:space="preserve"> (Accessed: 16 November 2025).</w:t>
      </w:r>
    </w:p>
    <w:p w:rsidR="00E33A71" w:rsidRPr="00E86218" w:rsidRDefault="00E33A71"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Ogu, S.J. (2024) ‘Employee participation in decision-making and organizational commitment: A study of modern organizations’, </w:t>
      </w:r>
      <w:r w:rsidRPr="00E86218">
        <w:rPr>
          <w:rStyle w:val="Emphasis"/>
          <w:rFonts w:asciiTheme="minorHAnsi" w:hAnsiTheme="minorHAnsi" w:cstheme="minorHAnsi"/>
          <w:sz w:val="22"/>
          <w:szCs w:val="22"/>
        </w:rPr>
        <w:t>Journal of Commerce, Management, and Tourism Studies</w:t>
      </w:r>
      <w:r w:rsidRPr="00E86218">
        <w:rPr>
          <w:rFonts w:asciiTheme="minorHAnsi" w:hAnsiTheme="minorHAnsi" w:cstheme="minorHAnsi"/>
          <w:sz w:val="22"/>
          <w:szCs w:val="22"/>
        </w:rPr>
        <w:t>, 3(1), pp. 55–64. doi: 10.58881/jcmts.v3i1.208.</w:t>
      </w:r>
    </w:p>
    <w:p w:rsidR="00372818" w:rsidRPr="00E86218" w:rsidRDefault="00372818"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color w:val="000000"/>
          <w:sz w:val="22"/>
          <w:szCs w:val="22"/>
        </w:rPr>
        <w:t xml:space="preserve">Pacheco-Cubillos, D. B., Boria-Reverter, J. and Gil-Lafuente, J. (2024) ‘Transitioning to Agile Organizational Structures: A Contingency Theory Approach in the Financial Sector’, </w:t>
      </w:r>
      <w:r w:rsidRPr="00E86218">
        <w:rPr>
          <w:rFonts w:asciiTheme="minorHAnsi" w:hAnsiTheme="minorHAnsi" w:cstheme="minorHAnsi"/>
          <w:i/>
          <w:iCs/>
          <w:color w:val="000000"/>
          <w:sz w:val="22"/>
          <w:szCs w:val="22"/>
        </w:rPr>
        <w:t>Systems</w:t>
      </w:r>
      <w:r w:rsidRPr="00E86218">
        <w:rPr>
          <w:rFonts w:asciiTheme="minorHAnsi" w:hAnsiTheme="minorHAnsi" w:cstheme="minorHAnsi"/>
          <w:color w:val="000000"/>
          <w:sz w:val="22"/>
          <w:szCs w:val="22"/>
        </w:rPr>
        <w:t>, 12(4), article 142. Available at:</w:t>
      </w:r>
      <w:hyperlink r:id="rId46"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https://doi.org/10.3390/systems12040142</w:t>
        </w:r>
      </w:hyperlink>
      <w:r w:rsidRPr="00E86218">
        <w:rPr>
          <w:rFonts w:asciiTheme="minorHAnsi" w:hAnsiTheme="minorHAnsi" w:cstheme="minorHAnsi"/>
          <w:color w:val="000000"/>
          <w:sz w:val="22"/>
          <w:szCs w:val="22"/>
        </w:rPr>
        <w:t> </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Rand, B. (2024) </w:t>
      </w:r>
      <w:r w:rsidRPr="00E86218">
        <w:rPr>
          <w:rFonts w:asciiTheme="minorHAnsi" w:hAnsiTheme="minorHAnsi" w:cstheme="minorHAnsi"/>
          <w:i/>
          <w:iCs/>
          <w:color w:val="000000"/>
          <w:sz w:val="22"/>
          <w:szCs w:val="22"/>
        </w:rPr>
        <w:t>The middle manager of the future: more coaching, less commanding</w:t>
      </w:r>
      <w:r w:rsidRPr="00E86218">
        <w:rPr>
          <w:rFonts w:asciiTheme="minorHAnsi" w:hAnsiTheme="minorHAnsi" w:cstheme="minorHAnsi"/>
          <w:color w:val="000000"/>
          <w:sz w:val="22"/>
          <w:szCs w:val="22"/>
        </w:rPr>
        <w:t>. Available at:</w:t>
      </w:r>
      <w:hyperlink r:id="rId47"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https://www.library.hbs.edu/working-knowledge/the-middle-manager-of-the-future-more-coaching-less-commanding</w:t>
        </w:r>
      </w:hyperlink>
      <w:r w:rsidRPr="00E86218">
        <w:rPr>
          <w:rFonts w:asciiTheme="minorHAnsi" w:hAnsiTheme="minorHAnsi" w:cstheme="minorHAnsi"/>
          <w:color w:val="000000"/>
          <w:sz w:val="22"/>
          <w:szCs w:val="22"/>
        </w:rPr>
        <w:t xml:space="preserve"> (Accessed: 17 November 2025).</w:t>
      </w:r>
    </w:p>
    <w:p w:rsidR="00AC6551" w:rsidRPr="00E86218" w:rsidRDefault="00AC6551"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lastRenderedPageBreak/>
        <w:t xml:space="preserve">Rock, D. (2008) </w:t>
      </w:r>
      <w:r w:rsidRPr="00E86218">
        <w:rPr>
          <w:rStyle w:val="Emphasis"/>
          <w:rFonts w:asciiTheme="minorHAnsi" w:hAnsiTheme="minorHAnsi" w:cstheme="minorHAnsi"/>
          <w:sz w:val="22"/>
          <w:szCs w:val="22"/>
        </w:rPr>
        <w:t>SCARF: A brain-based model for collaborating with and influencing others</w:t>
      </w:r>
      <w:r w:rsidRPr="00E86218">
        <w:rPr>
          <w:rFonts w:asciiTheme="minorHAnsi" w:hAnsiTheme="minorHAnsi" w:cstheme="minorHAnsi"/>
          <w:sz w:val="22"/>
          <w:szCs w:val="22"/>
        </w:rPr>
        <w:t xml:space="preserve">. NeuroLeadership Journal, Issue 1. Available at: </w:t>
      </w:r>
      <w:hyperlink r:id="rId48" w:tgtFrame="_new" w:history="1">
        <w:r w:rsidRPr="00E86218">
          <w:rPr>
            <w:rStyle w:val="Hyperlink"/>
            <w:rFonts w:asciiTheme="minorHAnsi" w:hAnsiTheme="minorHAnsi" w:cstheme="minorHAnsi"/>
            <w:sz w:val="22"/>
            <w:szCs w:val="22"/>
          </w:rPr>
          <w:t>https://schoolguide.casel.org/uploads/sites/2/2018/12/SCARF-NeuroleadershipArticle.pdf</w:t>
        </w:r>
      </w:hyperlink>
      <w:r w:rsidRPr="00E86218">
        <w:rPr>
          <w:rFonts w:asciiTheme="minorHAnsi" w:hAnsiTheme="minorHAnsi" w:cstheme="minorHAnsi"/>
          <w:sz w:val="22"/>
          <w:szCs w:val="22"/>
        </w:rPr>
        <w:t xml:space="preserve"> (Accessed: 18 November 2025).</w:t>
      </w:r>
    </w:p>
    <w:p w:rsidR="00B04731" w:rsidRPr="00E86218" w:rsidRDefault="00B04731"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Rousseau, D.M. (1995) </w:t>
      </w:r>
      <w:r w:rsidRPr="00E86218">
        <w:rPr>
          <w:rStyle w:val="Emphasis"/>
          <w:rFonts w:asciiTheme="minorHAnsi" w:hAnsiTheme="minorHAnsi" w:cstheme="minorHAnsi"/>
          <w:sz w:val="22"/>
          <w:szCs w:val="22"/>
        </w:rPr>
        <w:t>Psychological contracts in organizations: Understanding written and unwritten agreements</w:t>
      </w:r>
      <w:r w:rsidRPr="00E86218">
        <w:rPr>
          <w:rFonts w:asciiTheme="minorHAnsi" w:hAnsiTheme="minorHAnsi" w:cstheme="minorHAnsi"/>
          <w:sz w:val="22"/>
          <w:szCs w:val="22"/>
        </w:rPr>
        <w:t>. SAGE Publications, Inc. doi: 10.4135/9781452231594</w:t>
      </w:r>
    </w:p>
    <w:p w:rsidR="00C2648D" w:rsidRPr="00E86218" w:rsidRDefault="00C2648D"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Rudd, T. (2024) ‘The interplay between organizational culture and human resources: A catalyst for success’, </w:t>
      </w:r>
      <w:r w:rsidRPr="00E86218">
        <w:rPr>
          <w:rStyle w:val="Emphasis"/>
          <w:rFonts w:asciiTheme="minorHAnsi" w:hAnsiTheme="minorHAnsi" w:cstheme="minorHAnsi"/>
          <w:sz w:val="22"/>
          <w:szCs w:val="22"/>
        </w:rPr>
        <w:t>Journal of Organizational Culture, Communications and Conflict</w:t>
      </w:r>
      <w:r w:rsidRPr="00E86218">
        <w:rPr>
          <w:rFonts w:asciiTheme="minorHAnsi" w:hAnsiTheme="minorHAnsi" w:cstheme="minorHAnsi"/>
          <w:sz w:val="22"/>
          <w:szCs w:val="22"/>
        </w:rPr>
        <w:t>, 28(S5), pp. 1</w:t>
      </w:r>
      <w:r w:rsidRPr="00E86218">
        <w:rPr>
          <w:rFonts w:asciiTheme="minorHAnsi" w:hAnsiTheme="minorHAnsi" w:cstheme="minorHAnsi"/>
          <w:sz w:val="22"/>
          <w:szCs w:val="22"/>
        </w:rPr>
        <w:noBreakHyphen/>
        <w:t xml:space="preserve">3. Available at: </w:t>
      </w:r>
      <w:hyperlink r:id="rId49" w:tgtFrame="_new" w:history="1">
        <w:r w:rsidRPr="00E86218">
          <w:rPr>
            <w:rStyle w:val="Hyperlink"/>
            <w:rFonts w:asciiTheme="minorHAnsi" w:hAnsiTheme="minorHAnsi" w:cstheme="minorHAnsi"/>
            <w:sz w:val="22"/>
            <w:szCs w:val="22"/>
          </w:rPr>
          <w:t>https://www.abacademies.org/articles/the-interplay-between-organizational-culture-and-human-resources-a-catalyst-for-success.pdf</w:t>
        </w:r>
      </w:hyperlink>
      <w:r w:rsidRPr="00E86218">
        <w:rPr>
          <w:rFonts w:asciiTheme="minorHAnsi" w:hAnsiTheme="minorHAnsi" w:cstheme="minorHAnsi"/>
          <w:sz w:val="22"/>
          <w:szCs w:val="22"/>
        </w:rPr>
        <w:t xml:space="preserve"> (Accessed: 23 November 2025).</w:t>
      </w:r>
    </w:p>
    <w:p w:rsidR="00B478AE" w:rsidRPr="00E86218" w:rsidRDefault="00B478AE"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Schaufeli, W. B. (2023) ‘Burnout: a critical overview’, in</w:t>
      </w:r>
      <w:r w:rsidRPr="00E86218">
        <w:rPr>
          <w:rFonts w:asciiTheme="minorHAnsi" w:hAnsiTheme="minorHAnsi" w:cstheme="minorHAnsi"/>
          <w:b/>
          <w:sz w:val="22"/>
          <w:szCs w:val="22"/>
        </w:rPr>
        <w:t xml:space="preserve"> </w:t>
      </w:r>
      <w:r w:rsidRPr="00E86218">
        <w:rPr>
          <w:rStyle w:val="Strong"/>
          <w:rFonts w:asciiTheme="minorHAnsi" w:hAnsiTheme="minorHAnsi" w:cstheme="minorHAnsi"/>
          <w:b w:val="0"/>
          <w:sz w:val="22"/>
          <w:szCs w:val="22"/>
        </w:rPr>
        <w:t>L. M. Lapierre &amp; Sir C. Cooper</w:t>
      </w:r>
      <w:r w:rsidRPr="00E86218">
        <w:rPr>
          <w:rFonts w:asciiTheme="minorHAnsi" w:hAnsiTheme="minorHAnsi" w:cstheme="minorHAnsi"/>
          <w:sz w:val="22"/>
          <w:szCs w:val="22"/>
        </w:rPr>
        <w:t xml:space="preserve"> (eds), </w:t>
      </w:r>
      <w:r w:rsidRPr="00E86218">
        <w:rPr>
          <w:rStyle w:val="Emphasis"/>
          <w:rFonts w:asciiTheme="minorHAnsi" w:hAnsiTheme="minorHAnsi" w:cstheme="minorHAnsi"/>
          <w:sz w:val="22"/>
          <w:szCs w:val="22"/>
        </w:rPr>
        <w:t>Organizational Stress and Well</w:t>
      </w:r>
      <w:r w:rsidRPr="00E86218">
        <w:rPr>
          <w:rStyle w:val="Emphasis"/>
          <w:rFonts w:asciiTheme="minorHAnsi" w:hAnsiTheme="minorHAnsi" w:cstheme="minorHAnsi"/>
          <w:sz w:val="22"/>
          <w:szCs w:val="22"/>
        </w:rPr>
        <w:noBreakHyphen/>
        <w:t>Being</w:t>
      </w:r>
      <w:r w:rsidRPr="00E86218">
        <w:rPr>
          <w:rFonts w:asciiTheme="minorHAnsi" w:hAnsiTheme="minorHAnsi" w:cstheme="minorHAnsi"/>
          <w:sz w:val="22"/>
          <w:szCs w:val="22"/>
        </w:rPr>
        <w:t>, Cambridge: Cambridge University Press, pp. 214</w:t>
      </w:r>
      <w:r w:rsidRPr="00E86218">
        <w:rPr>
          <w:rFonts w:asciiTheme="minorHAnsi" w:hAnsiTheme="minorHAnsi" w:cstheme="minorHAnsi"/>
          <w:sz w:val="22"/>
          <w:szCs w:val="22"/>
        </w:rPr>
        <w:noBreakHyphen/>
        <w:t>259. doi: 10.1017/9781009268332.012</w:t>
      </w:r>
    </w:p>
    <w:p w:rsidR="00C703CE" w:rsidRPr="00E86218" w:rsidRDefault="00C703CE" w:rsidP="00C703CE">
      <w:pPr>
        <w:pStyle w:val="NoSpacing"/>
        <w:rPr>
          <w:rFonts w:cstheme="minorHAnsi"/>
        </w:rPr>
      </w:pPr>
      <w:r w:rsidRPr="00E86218">
        <w:rPr>
          <w:rFonts w:cstheme="minorHAnsi"/>
        </w:rPr>
        <w:t xml:space="preserve">Schein, E.H. (2010) </w:t>
      </w:r>
      <w:r w:rsidRPr="00E86218">
        <w:rPr>
          <w:rStyle w:val="Emphasis"/>
          <w:rFonts w:cstheme="minorHAnsi"/>
        </w:rPr>
        <w:t>Organizational Culture and Leadership</w:t>
      </w:r>
      <w:r w:rsidRPr="00E86218">
        <w:rPr>
          <w:rFonts w:cstheme="minorHAnsi"/>
        </w:rPr>
        <w:t>. 4th edn. San Francisco, CA: Jossey</w:t>
      </w:r>
      <w:r w:rsidRPr="00E86218">
        <w:rPr>
          <w:rFonts w:cstheme="minorHAnsi"/>
        </w:rPr>
        <w:noBreakHyphen/>
        <w:t>Bass.</w:t>
      </w:r>
    </w:p>
    <w:p w:rsidR="00372818" w:rsidRPr="00E86218" w:rsidRDefault="00372818" w:rsidP="00372818">
      <w:pPr>
        <w:pStyle w:val="NormalWeb"/>
        <w:spacing w:before="240" w:beforeAutospacing="0" w:after="240" w:afterAutospacing="0"/>
        <w:rPr>
          <w:rStyle w:val="Hyperlink"/>
          <w:rFonts w:asciiTheme="minorHAnsi" w:hAnsiTheme="minorHAnsi" w:cstheme="minorHAnsi"/>
          <w:color w:val="1155CC"/>
          <w:sz w:val="22"/>
          <w:szCs w:val="22"/>
        </w:rPr>
      </w:pPr>
      <w:r w:rsidRPr="00E86218">
        <w:rPr>
          <w:rFonts w:asciiTheme="minorHAnsi" w:hAnsiTheme="minorHAnsi" w:cstheme="minorHAnsi"/>
          <w:color w:val="000000"/>
          <w:sz w:val="22"/>
          <w:szCs w:val="22"/>
        </w:rPr>
        <w:t xml:space="preserve">Shatilo, O. (2020) ‘The Impact of External and Internal Factors on Strategic Management of Innovation Processes at Company Level’, </w:t>
      </w:r>
      <w:r w:rsidRPr="00E86218">
        <w:rPr>
          <w:rFonts w:asciiTheme="minorHAnsi" w:hAnsiTheme="minorHAnsi" w:cstheme="minorHAnsi"/>
          <w:i/>
          <w:iCs/>
          <w:color w:val="000000"/>
          <w:sz w:val="22"/>
          <w:szCs w:val="22"/>
        </w:rPr>
        <w:t>Ekonomika</w:t>
      </w:r>
      <w:r w:rsidRPr="00E86218">
        <w:rPr>
          <w:rFonts w:asciiTheme="minorHAnsi" w:hAnsiTheme="minorHAnsi" w:cstheme="minorHAnsi"/>
          <w:color w:val="000000"/>
          <w:sz w:val="22"/>
          <w:szCs w:val="22"/>
        </w:rPr>
        <w:t>, 98(2), pp. 85–96. doi: 10.15388/Ekon.2019.2.6. Available at:</w:t>
      </w:r>
      <w:hyperlink r:id="rId50"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https://www.journals.vu.lt/ekonomika/article/view/14734</w:t>
        </w:r>
      </w:hyperlink>
    </w:p>
    <w:p w:rsidR="003E6BA0" w:rsidRPr="00E86218" w:rsidRDefault="003E6BA0" w:rsidP="003E6BA0">
      <w:pPr>
        <w:pStyle w:val="NormalWeb"/>
        <w:rPr>
          <w:rFonts w:asciiTheme="minorHAnsi" w:hAnsiTheme="minorHAnsi" w:cstheme="minorHAnsi"/>
          <w:sz w:val="22"/>
          <w:szCs w:val="22"/>
        </w:rPr>
      </w:pPr>
      <w:r w:rsidRPr="00E86218">
        <w:rPr>
          <w:rFonts w:asciiTheme="minorHAnsi" w:hAnsiTheme="minorHAnsi" w:cstheme="minorHAnsi"/>
          <w:sz w:val="22"/>
          <w:szCs w:val="22"/>
        </w:rPr>
        <w:t xml:space="preserve">Silverman, M. (2000) </w:t>
      </w:r>
      <w:r w:rsidRPr="00E86218">
        <w:rPr>
          <w:rStyle w:val="Emphasis"/>
          <w:rFonts w:asciiTheme="minorHAnsi" w:hAnsiTheme="minorHAnsi" w:cstheme="minorHAnsi"/>
          <w:sz w:val="22"/>
          <w:szCs w:val="22"/>
        </w:rPr>
        <w:t>Non-Financial Recognition: The Most Effective of Rewards?</w:t>
      </w:r>
      <w:r w:rsidRPr="00E86218">
        <w:rPr>
          <w:rFonts w:asciiTheme="minorHAnsi" w:hAnsiTheme="minorHAnsi" w:cstheme="minorHAnsi"/>
          <w:sz w:val="22"/>
          <w:szCs w:val="22"/>
        </w:rPr>
        <w:t xml:space="preserve"> HR Network Paper MP4, Institute for Employment Studies. Available at: </w:t>
      </w:r>
      <w:hyperlink r:id="rId51" w:tgtFrame="_new" w:history="1">
        <w:r w:rsidRPr="00E86218">
          <w:rPr>
            <w:rStyle w:val="Hyperlink"/>
            <w:rFonts w:asciiTheme="minorHAnsi" w:hAnsiTheme="minorHAnsi" w:cstheme="minorHAnsi"/>
            <w:sz w:val="22"/>
            <w:szCs w:val="22"/>
          </w:rPr>
          <w:t>https://www.employment-studies.co.uk/resource/non-financial-recognition</w:t>
        </w:r>
      </w:hyperlink>
      <w:r w:rsidRPr="00E86218">
        <w:rPr>
          <w:rFonts w:asciiTheme="minorHAnsi" w:hAnsiTheme="minorHAnsi" w:cstheme="minorHAnsi"/>
          <w:sz w:val="22"/>
          <w:szCs w:val="22"/>
        </w:rPr>
        <w:t xml:space="preserve"> (Accessed: 7 December 2025).</w:t>
      </w:r>
    </w:p>
    <w:p w:rsidR="00372818" w:rsidRPr="00E86218" w:rsidRDefault="00372818" w:rsidP="00372818">
      <w:pPr>
        <w:pStyle w:val="NormalWeb"/>
        <w:spacing w:before="240" w:beforeAutospacing="0" w:after="24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Skills for Care (2025) </w:t>
      </w:r>
      <w:r w:rsidRPr="00E86218">
        <w:rPr>
          <w:rFonts w:asciiTheme="minorHAnsi" w:hAnsiTheme="minorHAnsi" w:cstheme="minorHAnsi"/>
          <w:i/>
          <w:iCs/>
          <w:color w:val="000000"/>
          <w:sz w:val="22"/>
          <w:szCs w:val="22"/>
        </w:rPr>
        <w:t>The state of the adult social care sector and workforce in England 2025</w:t>
      </w:r>
      <w:r w:rsidRPr="00E86218">
        <w:rPr>
          <w:rFonts w:asciiTheme="minorHAnsi" w:hAnsiTheme="minorHAnsi" w:cstheme="minorHAnsi"/>
          <w:color w:val="000000"/>
          <w:sz w:val="22"/>
          <w:szCs w:val="22"/>
        </w:rPr>
        <w:t xml:space="preserve">. Available at: </w:t>
      </w:r>
      <w:hyperlink r:id="rId52" w:history="1">
        <w:r w:rsidRPr="00E86218">
          <w:rPr>
            <w:rStyle w:val="Hyperlink"/>
            <w:rFonts w:asciiTheme="minorHAnsi" w:hAnsiTheme="minorHAnsi" w:cstheme="minorHAnsi"/>
            <w:color w:val="1155CC"/>
            <w:sz w:val="22"/>
            <w:szCs w:val="22"/>
          </w:rPr>
          <w:t>https://www.skillsforcare.org.uk/Adult-Social-Care-Workforce-Data/workforceintelligence/resources/Reports/National/The-state-of-the-adult-social-care-sector-and-workforce-in-England-2025.pdf</w:t>
        </w:r>
      </w:hyperlink>
      <w:r w:rsidRPr="00E86218">
        <w:rPr>
          <w:rFonts w:asciiTheme="minorHAnsi" w:hAnsiTheme="minorHAnsi" w:cstheme="minorHAnsi"/>
          <w:color w:val="000000"/>
          <w:sz w:val="22"/>
          <w:szCs w:val="22"/>
        </w:rPr>
        <w:t xml:space="preserve"> (Accessed: 16 November 2025).</w:t>
      </w:r>
    </w:p>
    <w:p w:rsidR="005A3DAF" w:rsidRPr="00E86218" w:rsidRDefault="005A3DAF" w:rsidP="00372818">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 xml:space="preserve">Smith, J. and Mitchell, J. (2022) ‘Shaping people practice to benefit your organisation’, in Taylor, S. and Woodhams, C. (eds.) </w:t>
      </w:r>
      <w:r w:rsidRPr="00E86218">
        <w:rPr>
          <w:rStyle w:val="Emphasis"/>
          <w:rFonts w:asciiTheme="minorHAnsi" w:hAnsiTheme="minorHAnsi" w:cstheme="minorHAnsi"/>
          <w:sz w:val="22"/>
          <w:szCs w:val="22"/>
        </w:rPr>
        <w:t>Studying Human Resource Management</w:t>
      </w:r>
      <w:r w:rsidRPr="00E86218">
        <w:rPr>
          <w:rFonts w:asciiTheme="minorHAnsi" w:hAnsiTheme="minorHAnsi" w:cstheme="minorHAnsi"/>
          <w:sz w:val="22"/>
          <w:szCs w:val="22"/>
        </w:rPr>
        <w:t>. London: Routledge, pp. 89–112.</w:t>
      </w:r>
    </w:p>
    <w:p w:rsidR="00372818" w:rsidRPr="00E86218" w:rsidRDefault="00372818" w:rsidP="00372818">
      <w:pPr>
        <w:pStyle w:val="NormalWeb"/>
        <w:spacing w:before="0" w:beforeAutospacing="0" w:after="0" w:afterAutospacing="0"/>
        <w:rPr>
          <w:rStyle w:val="Hyperlink"/>
          <w:rFonts w:asciiTheme="minorHAnsi" w:hAnsiTheme="minorHAnsi" w:cstheme="minorHAnsi"/>
          <w:color w:val="1155CC"/>
          <w:sz w:val="22"/>
          <w:szCs w:val="22"/>
        </w:rPr>
      </w:pPr>
      <w:r w:rsidRPr="00E86218">
        <w:rPr>
          <w:rFonts w:asciiTheme="minorHAnsi" w:hAnsiTheme="minorHAnsi" w:cstheme="minorHAnsi"/>
          <w:color w:val="000000"/>
          <w:sz w:val="22"/>
          <w:szCs w:val="22"/>
        </w:rPr>
        <w:t xml:space="preserve">Sorenson, O. (2022) ‘Flat firms, complementary choices, employee effort, and the pyramid principle’, </w:t>
      </w:r>
      <w:r w:rsidRPr="00E86218">
        <w:rPr>
          <w:rFonts w:asciiTheme="minorHAnsi" w:hAnsiTheme="minorHAnsi" w:cstheme="minorHAnsi"/>
          <w:i/>
          <w:iCs/>
          <w:color w:val="000000"/>
          <w:sz w:val="22"/>
          <w:szCs w:val="22"/>
        </w:rPr>
        <w:t>Journal of Organization Design</w:t>
      </w:r>
      <w:r w:rsidRPr="00E86218">
        <w:rPr>
          <w:rFonts w:asciiTheme="minorHAnsi" w:hAnsiTheme="minorHAnsi" w:cstheme="minorHAnsi"/>
          <w:color w:val="000000"/>
          <w:sz w:val="22"/>
          <w:szCs w:val="22"/>
        </w:rPr>
        <w:t xml:space="preserve">, 11(1), pp. 11-14. Available at: </w:t>
      </w:r>
      <w:hyperlink r:id="rId53" w:history="1">
        <w:r w:rsidRPr="00E86218">
          <w:rPr>
            <w:rStyle w:val="Hyperlink"/>
            <w:rFonts w:asciiTheme="minorHAnsi" w:hAnsiTheme="minorHAnsi" w:cstheme="minorHAnsi"/>
            <w:color w:val="1155CC"/>
            <w:sz w:val="22"/>
            <w:szCs w:val="22"/>
          </w:rPr>
          <w:t>https://doi.org/10.1007/s41469-022-00115-9 </w:t>
        </w:r>
      </w:hyperlink>
    </w:p>
    <w:p w:rsidR="00EA5E62" w:rsidRPr="00E86218" w:rsidRDefault="00EA5E62" w:rsidP="00372818">
      <w:pPr>
        <w:pStyle w:val="NormalWeb"/>
        <w:spacing w:before="0" w:beforeAutospacing="0" w:after="0" w:afterAutospacing="0"/>
        <w:rPr>
          <w:rStyle w:val="Hyperlink"/>
          <w:rFonts w:asciiTheme="minorHAnsi" w:hAnsiTheme="minorHAnsi" w:cstheme="minorHAnsi"/>
          <w:color w:val="1155CC"/>
          <w:sz w:val="22"/>
          <w:szCs w:val="22"/>
        </w:rPr>
      </w:pPr>
    </w:p>
    <w:p w:rsidR="00EA5E62" w:rsidRPr="00E86218" w:rsidRDefault="00EA5E62" w:rsidP="00372818">
      <w:pPr>
        <w:pStyle w:val="NormalWeb"/>
        <w:spacing w:before="0" w:beforeAutospacing="0" w:after="0" w:afterAutospacing="0"/>
        <w:rPr>
          <w:rStyle w:val="Hyperlink"/>
          <w:rFonts w:asciiTheme="minorHAnsi" w:hAnsiTheme="minorHAnsi" w:cstheme="minorHAnsi"/>
          <w:color w:val="1155CC"/>
          <w:sz w:val="22"/>
          <w:szCs w:val="22"/>
        </w:rPr>
      </w:pPr>
      <w:r w:rsidRPr="00E86218">
        <w:rPr>
          <w:rFonts w:asciiTheme="minorHAnsi" w:hAnsiTheme="minorHAnsi" w:cstheme="minorHAnsi"/>
          <w:sz w:val="22"/>
          <w:szCs w:val="22"/>
        </w:rPr>
        <w:t xml:space="preserve">Sutton, J. (2024) </w:t>
      </w:r>
      <w:r w:rsidRPr="00E86218">
        <w:rPr>
          <w:rStyle w:val="Emphasis"/>
          <w:rFonts w:asciiTheme="minorHAnsi" w:hAnsiTheme="minorHAnsi" w:cstheme="minorHAnsi"/>
          <w:sz w:val="22"/>
          <w:szCs w:val="22"/>
        </w:rPr>
        <w:t>Expectancy Theory of Motivation</w:t>
      </w:r>
      <w:r w:rsidRPr="00E86218">
        <w:rPr>
          <w:rFonts w:asciiTheme="minorHAnsi" w:hAnsiTheme="minorHAnsi" w:cstheme="minorHAnsi"/>
          <w:sz w:val="22"/>
          <w:szCs w:val="22"/>
        </w:rPr>
        <w:t xml:space="preserve">. Available at: </w:t>
      </w:r>
      <w:hyperlink r:id="rId54" w:tgtFrame="_new" w:history="1">
        <w:r w:rsidRPr="00E86218">
          <w:rPr>
            <w:rStyle w:val="Hyperlink"/>
            <w:rFonts w:asciiTheme="minorHAnsi" w:hAnsiTheme="minorHAnsi" w:cstheme="minorHAnsi"/>
            <w:sz w:val="22"/>
            <w:szCs w:val="22"/>
          </w:rPr>
          <w:t>https://positivepsychology.com/expectancy-theory/</w:t>
        </w:r>
      </w:hyperlink>
      <w:r w:rsidRPr="00E86218">
        <w:rPr>
          <w:rFonts w:asciiTheme="minorHAnsi" w:hAnsiTheme="minorHAnsi" w:cstheme="minorHAnsi"/>
          <w:sz w:val="22"/>
          <w:szCs w:val="22"/>
        </w:rPr>
        <w:t xml:space="preserve"> (Accessed: 26 November 2025).</w:t>
      </w:r>
    </w:p>
    <w:p w:rsidR="001A60B7" w:rsidRPr="00E86218" w:rsidRDefault="001A60B7" w:rsidP="00372818">
      <w:pPr>
        <w:pStyle w:val="NormalWeb"/>
        <w:spacing w:before="0" w:beforeAutospacing="0" w:after="0" w:afterAutospacing="0"/>
        <w:rPr>
          <w:rStyle w:val="Hyperlink"/>
          <w:rFonts w:asciiTheme="minorHAnsi" w:hAnsiTheme="minorHAnsi" w:cstheme="minorHAnsi"/>
          <w:color w:val="1155CC"/>
          <w:sz w:val="22"/>
          <w:szCs w:val="22"/>
        </w:rPr>
      </w:pPr>
    </w:p>
    <w:p w:rsidR="006970A1" w:rsidRPr="00E86218" w:rsidRDefault="006970A1" w:rsidP="00372818">
      <w:pPr>
        <w:pStyle w:val="NormalWeb"/>
        <w:spacing w:before="0" w:beforeAutospacing="0" w:after="0" w:afterAutospacing="0"/>
        <w:rPr>
          <w:rStyle w:val="Hyperlink"/>
          <w:rFonts w:asciiTheme="minorHAnsi" w:hAnsiTheme="minorHAnsi" w:cstheme="minorHAnsi"/>
          <w:color w:val="1155CC"/>
          <w:sz w:val="22"/>
          <w:szCs w:val="22"/>
        </w:rPr>
      </w:pPr>
      <w:r w:rsidRPr="00E86218">
        <w:rPr>
          <w:rFonts w:asciiTheme="minorHAnsi" w:hAnsiTheme="minorHAnsi" w:cstheme="minorHAnsi"/>
          <w:sz w:val="22"/>
          <w:szCs w:val="22"/>
        </w:rPr>
        <w:t>Tasleem, N., Gulati, D. &amp; Sharma, S. (2023) ‘Organizational Readiness for Change: A Multi</w:t>
      </w:r>
      <w:r w:rsidRPr="00E86218">
        <w:rPr>
          <w:rFonts w:asciiTheme="minorHAnsi" w:hAnsiTheme="minorHAnsi" w:cstheme="minorHAnsi"/>
          <w:sz w:val="22"/>
          <w:szCs w:val="22"/>
        </w:rPr>
        <w:noBreakHyphen/>
        <w:t xml:space="preserve">Dimensional Framework’, </w:t>
      </w:r>
      <w:r w:rsidRPr="00E86218">
        <w:rPr>
          <w:rStyle w:val="Emphasis"/>
          <w:rFonts w:asciiTheme="minorHAnsi" w:hAnsiTheme="minorHAnsi" w:cstheme="minorHAnsi"/>
          <w:sz w:val="22"/>
          <w:szCs w:val="22"/>
        </w:rPr>
        <w:t>ICONIC Research and Engineering Journals</w:t>
      </w:r>
      <w:r w:rsidRPr="00E86218">
        <w:rPr>
          <w:rFonts w:asciiTheme="minorHAnsi" w:hAnsiTheme="minorHAnsi" w:cstheme="minorHAnsi"/>
          <w:sz w:val="22"/>
          <w:szCs w:val="22"/>
        </w:rPr>
        <w:t>, 6(10), pp. 1095</w:t>
      </w:r>
      <w:r w:rsidRPr="00E86218">
        <w:rPr>
          <w:rFonts w:asciiTheme="minorHAnsi" w:hAnsiTheme="minorHAnsi" w:cstheme="minorHAnsi"/>
          <w:sz w:val="22"/>
          <w:szCs w:val="22"/>
        </w:rPr>
        <w:noBreakHyphen/>
        <w:t xml:space="preserve">1108. Available from: </w:t>
      </w:r>
      <w:hyperlink r:id="rId55" w:tgtFrame="_new" w:history="1">
        <w:r w:rsidRPr="00E86218">
          <w:rPr>
            <w:rStyle w:val="Hyperlink"/>
            <w:rFonts w:asciiTheme="minorHAnsi" w:hAnsiTheme="minorHAnsi" w:cstheme="minorHAnsi"/>
            <w:sz w:val="22"/>
            <w:szCs w:val="22"/>
          </w:rPr>
          <w:t>https://www.irejournals.com/formatedpaper/1707930.pdf</w:t>
        </w:r>
      </w:hyperlink>
      <w:r w:rsidRPr="00E86218">
        <w:rPr>
          <w:rFonts w:asciiTheme="minorHAnsi" w:hAnsiTheme="minorHAnsi" w:cstheme="minorHAnsi"/>
          <w:sz w:val="22"/>
          <w:szCs w:val="22"/>
        </w:rPr>
        <w:t xml:space="preserve"> (Accessed: 23 November 2025).</w:t>
      </w:r>
    </w:p>
    <w:p w:rsidR="006970A1" w:rsidRPr="00E86218" w:rsidRDefault="006970A1" w:rsidP="00372818">
      <w:pPr>
        <w:pStyle w:val="NormalWeb"/>
        <w:spacing w:before="0" w:beforeAutospacing="0" w:after="0" w:afterAutospacing="0"/>
        <w:rPr>
          <w:rStyle w:val="Hyperlink"/>
          <w:rFonts w:asciiTheme="minorHAnsi" w:hAnsiTheme="minorHAnsi" w:cstheme="minorHAnsi"/>
          <w:color w:val="1155CC"/>
          <w:sz w:val="22"/>
          <w:szCs w:val="22"/>
        </w:rPr>
      </w:pPr>
    </w:p>
    <w:p w:rsidR="002F16C0" w:rsidRPr="00E86218" w:rsidRDefault="001A60B7" w:rsidP="001A60B7">
      <w:pPr>
        <w:spacing w:after="0" w:line="240" w:lineRule="auto"/>
        <w:rPr>
          <w:rFonts w:eastAsia="Times New Roman" w:cstheme="minorHAnsi"/>
        </w:rPr>
      </w:pPr>
      <w:r w:rsidRPr="00E86218">
        <w:rPr>
          <w:rFonts w:eastAsia="Times New Roman" w:cstheme="minorHAnsi"/>
          <w:noProof/>
        </w:rPr>
        <w:t xml:space="preserve">Taylor, S. and Woodhams, C. (2022) </w:t>
      </w:r>
      <w:r w:rsidRPr="00E86218">
        <w:rPr>
          <w:rFonts w:eastAsia="Times New Roman" w:cstheme="minorHAnsi"/>
          <w:i/>
          <w:iCs/>
          <w:noProof/>
        </w:rPr>
        <w:t>Studying Human Resource Management</w:t>
      </w:r>
      <w:r w:rsidRPr="00E86218">
        <w:rPr>
          <w:rFonts w:eastAsia="Times New Roman" w:cstheme="minorHAnsi"/>
          <w:noProof/>
        </w:rPr>
        <w:t>. 3</w:t>
      </w:r>
      <w:r w:rsidRPr="00E86218">
        <w:rPr>
          <w:rFonts w:eastAsia="Times New Roman" w:cstheme="minorHAnsi"/>
          <w:noProof/>
          <w:vertAlign w:val="superscript"/>
        </w:rPr>
        <w:t>rd</w:t>
      </w:r>
      <w:r w:rsidRPr="00E86218">
        <w:rPr>
          <w:rFonts w:eastAsia="Times New Roman" w:cstheme="minorHAnsi"/>
          <w:noProof/>
        </w:rPr>
        <w:t xml:space="preserve"> edn. London: Kogan Page.</w:t>
      </w:r>
      <w:r w:rsidRPr="00E86218">
        <w:rPr>
          <w:rFonts w:eastAsia="Times New Roman" w:cstheme="minorHAnsi"/>
        </w:rPr>
        <w:t xml:space="preserve"> </w:t>
      </w:r>
    </w:p>
    <w:p w:rsidR="00CC71D3" w:rsidRDefault="00CC71D3" w:rsidP="001A60B7">
      <w:pPr>
        <w:spacing w:after="0" w:line="240" w:lineRule="auto"/>
        <w:rPr>
          <w:rFonts w:eastAsia="Times New Roman" w:cstheme="minorHAnsi"/>
        </w:rPr>
      </w:pPr>
    </w:p>
    <w:p w:rsidR="00D41574" w:rsidRPr="00E86218" w:rsidRDefault="00D41574" w:rsidP="001A60B7">
      <w:pPr>
        <w:spacing w:after="0" w:line="240" w:lineRule="auto"/>
        <w:rPr>
          <w:rFonts w:cstheme="minorHAnsi"/>
        </w:rPr>
      </w:pPr>
      <w:r w:rsidRPr="00E86218">
        <w:rPr>
          <w:rStyle w:val="Strong"/>
          <w:rFonts w:cstheme="minorHAnsi"/>
          <w:b w:val="0"/>
        </w:rPr>
        <w:lastRenderedPageBreak/>
        <w:t>The Access Group. (2025)</w:t>
      </w:r>
      <w:r w:rsidRPr="00E86218">
        <w:rPr>
          <w:rFonts w:cstheme="minorHAnsi"/>
          <w:b/>
        </w:rPr>
        <w:t xml:space="preserve"> </w:t>
      </w:r>
      <w:r w:rsidRPr="00E86218">
        <w:rPr>
          <w:rStyle w:val="Emphasis"/>
          <w:rFonts w:cstheme="minorHAnsi"/>
        </w:rPr>
        <w:t>Hamberley Care Homes: mobile e-learning case study</w:t>
      </w:r>
      <w:r w:rsidRPr="00E86218">
        <w:rPr>
          <w:rFonts w:cstheme="minorHAnsi"/>
        </w:rPr>
        <w:t xml:space="preserve">. Available at: </w:t>
      </w:r>
      <w:hyperlink r:id="rId56" w:tgtFrame="_new" w:history="1">
        <w:r w:rsidRPr="00E86218">
          <w:rPr>
            <w:rStyle w:val="Hyperlink"/>
            <w:rFonts w:cstheme="minorHAnsi"/>
          </w:rPr>
          <w:t>https://www.theaccessgroup.com/en-gb/digital-learning/case-studies-testimonials/hamberley-care-homes/</w:t>
        </w:r>
      </w:hyperlink>
      <w:r w:rsidRPr="00E86218">
        <w:rPr>
          <w:rFonts w:cstheme="minorHAnsi"/>
        </w:rPr>
        <w:t xml:space="preserve"> (Accessed: 22 November 2025).</w:t>
      </w:r>
    </w:p>
    <w:p w:rsidR="00C066EF" w:rsidRPr="00E86218" w:rsidRDefault="00C066EF" w:rsidP="001A60B7">
      <w:pPr>
        <w:spacing w:after="0" w:line="240" w:lineRule="auto"/>
        <w:rPr>
          <w:rFonts w:cstheme="minorHAnsi"/>
        </w:rPr>
      </w:pPr>
    </w:p>
    <w:p w:rsidR="00C066EF" w:rsidRPr="00E86218" w:rsidRDefault="00C066EF" w:rsidP="001A60B7">
      <w:pPr>
        <w:spacing w:after="0" w:line="240" w:lineRule="auto"/>
        <w:rPr>
          <w:rFonts w:eastAsia="Times New Roman" w:cstheme="minorHAnsi"/>
          <w:noProof/>
        </w:rPr>
      </w:pPr>
      <w:r w:rsidRPr="00E86218">
        <w:rPr>
          <w:rFonts w:cstheme="minorHAnsi"/>
        </w:rPr>
        <w:t xml:space="preserve">Tholen, G. (2024) ‘Matching Candidates to Culture: How Assessments of Organisational Fit Shape the Hiring Process’, </w:t>
      </w:r>
      <w:r w:rsidRPr="00E86218">
        <w:rPr>
          <w:rStyle w:val="Emphasis"/>
          <w:rFonts w:cstheme="minorHAnsi"/>
        </w:rPr>
        <w:t>Work, Employment &amp; Society</w:t>
      </w:r>
      <w:r w:rsidRPr="00E86218">
        <w:rPr>
          <w:rFonts w:cstheme="minorHAnsi"/>
        </w:rPr>
        <w:t>, 38(3), pp. 705</w:t>
      </w:r>
      <w:r w:rsidRPr="00E86218">
        <w:rPr>
          <w:rFonts w:cstheme="minorHAnsi"/>
        </w:rPr>
        <w:noBreakHyphen/>
        <w:t>722. doi: 10.1177/09500170231155294.</w:t>
      </w:r>
    </w:p>
    <w:p w:rsidR="00372818" w:rsidRPr="00E86218" w:rsidRDefault="00372818" w:rsidP="00372818">
      <w:pPr>
        <w:pStyle w:val="NormalWeb"/>
        <w:spacing w:before="0" w:beforeAutospacing="0" w:after="0" w:afterAutospacing="0"/>
        <w:rPr>
          <w:rFonts w:asciiTheme="minorHAnsi" w:hAnsiTheme="minorHAnsi" w:cstheme="minorHAnsi"/>
          <w:sz w:val="22"/>
          <w:szCs w:val="22"/>
        </w:rPr>
      </w:pPr>
    </w:p>
    <w:p w:rsidR="00516EF4" w:rsidRPr="00E86218" w:rsidRDefault="00516EF4" w:rsidP="00372818">
      <w:pPr>
        <w:pStyle w:val="NormalWeb"/>
        <w:spacing w:before="0" w:beforeAutospacing="0" w:after="0" w:afterAutospacing="0"/>
        <w:rPr>
          <w:rFonts w:asciiTheme="minorHAnsi" w:hAnsiTheme="minorHAnsi" w:cstheme="minorHAnsi"/>
          <w:sz w:val="22"/>
          <w:szCs w:val="22"/>
        </w:rPr>
      </w:pPr>
      <w:r w:rsidRPr="00E86218">
        <w:rPr>
          <w:rFonts w:asciiTheme="minorHAnsi" w:hAnsiTheme="minorHAnsi" w:cstheme="minorHAnsi"/>
          <w:sz w:val="22"/>
          <w:szCs w:val="22"/>
        </w:rPr>
        <w:t xml:space="preserve">Tinsager, A. &amp; Smith, B. (2022) ‘Managing employee reactions to change’, in Taylor, P. &amp; Woodhams, E. (eds.) </w:t>
      </w:r>
      <w:r w:rsidRPr="00E86218">
        <w:rPr>
          <w:rStyle w:val="Emphasis"/>
          <w:rFonts w:asciiTheme="minorHAnsi" w:hAnsiTheme="minorHAnsi" w:cstheme="minorHAnsi"/>
          <w:sz w:val="22"/>
          <w:szCs w:val="22"/>
        </w:rPr>
        <w:t>Organisational change and development</w:t>
      </w:r>
      <w:r w:rsidRPr="00E86218">
        <w:rPr>
          <w:rFonts w:asciiTheme="minorHAnsi" w:hAnsiTheme="minorHAnsi" w:cstheme="minorHAnsi"/>
          <w:sz w:val="22"/>
          <w:szCs w:val="22"/>
        </w:rPr>
        <w:t>. London: Routledge, pp. 41</w:t>
      </w:r>
      <w:r w:rsidRPr="00E86218">
        <w:rPr>
          <w:rFonts w:asciiTheme="minorHAnsi" w:hAnsiTheme="minorHAnsi" w:cstheme="minorHAnsi"/>
          <w:sz w:val="22"/>
          <w:szCs w:val="22"/>
        </w:rPr>
        <w:noBreakHyphen/>
        <w:t>64.</w:t>
      </w:r>
    </w:p>
    <w:p w:rsidR="00516EF4" w:rsidRPr="00E86218" w:rsidRDefault="00516EF4" w:rsidP="00372818">
      <w:pPr>
        <w:pStyle w:val="NormalWeb"/>
        <w:spacing w:before="0" w:beforeAutospacing="0" w:after="0" w:afterAutospacing="0"/>
        <w:rPr>
          <w:rFonts w:asciiTheme="minorHAnsi" w:hAnsiTheme="minorHAnsi" w:cstheme="minorHAnsi"/>
          <w:sz w:val="22"/>
          <w:szCs w:val="22"/>
        </w:rPr>
      </w:pPr>
    </w:p>
    <w:p w:rsidR="00372818" w:rsidRPr="00E86218" w:rsidRDefault="00372818" w:rsidP="00372818">
      <w:pPr>
        <w:pStyle w:val="NormalWeb"/>
        <w:spacing w:before="0" w:beforeAutospacing="0" w:after="0" w:afterAutospacing="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UNISON (2025) </w:t>
      </w:r>
      <w:r w:rsidRPr="00E86218">
        <w:rPr>
          <w:rFonts w:asciiTheme="minorHAnsi" w:hAnsiTheme="minorHAnsi" w:cstheme="minorHAnsi"/>
          <w:i/>
          <w:iCs/>
          <w:color w:val="000000"/>
          <w:sz w:val="22"/>
          <w:szCs w:val="22"/>
        </w:rPr>
        <w:t xml:space="preserve">Care recruitment crisis won’t end while workers are living in poverty, says UNISON. </w:t>
      </w:r>
      <w:r w:rsidRPr="00E86218">
        <w:rPr>
          <w:rFonts w:asciiTheme="minorHAnsi" w:hAnsiTheme="minorHAnsi" w:cstheme="minorHAnsi"/>
          <w:color w:val="000000"/>
          <w:sz w:val="22"/>
          <w:szCs w:val="22"/>
        </w:rPr>
        <w:t xml:space="preserve">Available at: </w:t>
      </w:r>
      <w:hyperlink r:id="rId57" w:history="1">
        <w:r w:rsidRPr="00E86218">
          <w:rPr>
            <w:rStyle w:val="Hyperlink"/>
            <w:rFonts w:asciiTheme="minorHAnsi" w:hAnsiTheme="minorHAnsi" w:cstheme="minorHAnsi"/>
            <w:color w:val="1155CC"/>
            <w:sz w:val="22"/>
            <w:szCs w:val="22"/>
          </w:rPr>
          <w:t>https://www.unison.org.uk/news/2025/07/care-recruitment-crisis-wont-end-while-workers-are-living-in-poverty-says-unison/</w:t>
        </w:r>
      </w:hyperlink>
      <w:r w:rsidRPr="00E86218">
        <w:rPr>
          <w:rFonts w:asciiTheme="minorHAnsi" w:hAnsiTheme="minorHAnsi" w:cstheme="minorHAnsi"/>
          <w:color w:val="000000"/>
          <w:sz w:val="22"/>
          <w:szCs w:val="22"/>
        </w:rPr>
        <w:t xml:space="preserve"> (Accessed: 17 November 2025).</w:t>
      </w:r>
    </w:p>
    <w:p w:rsidR="00BB37F3" w:rsidRPr="00E86218" w:rsidRDefault="00BB37F3" w:rsidP="00372818">
      <w:pPr>
        <w:pStyle w:val="NormalWeb"/>
        <w:spacing w:before="0" w:beforeAutospacing="0" w:after="0" w:afterAutospacing="0"/>
        <w:rPr>
          <w:rFonts w:asciiTheme="minorHAnsi" w:hAnsiTheme="minorHAnsi" w:cstheme="minorHAnsi"/>
          <w:color w:val="000000"/>
          <w:sz w:val="22"/>
          <w:szCs w:val="22"/>
        </w:rPr>
      </w:pPr>
    </w:p>
    <w:p w:rsidR="00BB37F3" w:rsidRPr="00E86218" w:rsidRDefault="00BB37F3" w:rsidP="00372818">
      <w:pPr>
        <w:pStyle w:val="NormalWeb"/>
        <w:spacing w:before="0" w:beforeAutospacing="0" w:after="0" w:afterAutospacing="0"/>
        <w:rPr>
          <w:rFonts w:asciiTheme="minorHAnsi" w:hAnsiTheme="minorHAnsi" w:cstheme="minorHAnsi"/>
          <w:sz w:val="22"/>
          <w:szCs w:val="22"/>
        </w:rPr>
      </w:pPr>
      <w:r w:rsidRPr="00E86218">
        <w:rPr>
          <w:rFonts w:asciiTheme="minorHAnsi" w:hAnsiTheme="minorHAnsi" w:cstheme="minorHAnsi"/>
          <w:sz w:val="22"/>
          <w:szCs w:val="22"/>
        </w:rPr>
        <w:t>Verquer, M.L., Beehr, T.A. &amp; Wagner, S.H. (2003) ‘A meta</w:t>
      </w:r>
      <w:r w:rsidRPr="00E86218">
        <w:rPr>
          <w:rFonts w:asciiTheme="minorHAnsi" w:hAnsiTheme="minorHAnsi" w:cstheme="minorHAnsi"/>
          <w:sz w:val="22"/>
          <w:szCs w:val="22"/>
        </w:rPr>
        <w:noBreakHyphen/>
        <w:t xml:space="preserve">analysis of relations between person–organization fit and work attitudes’, </w:t>
      </w:r>
      <w:r w:rsidRPr="00E86218">
        <w:rPr>
          <w:rStyle w:val="Emphasis"/>
          <w:rFonts w:asciiTheme="minorHAnsi" w:hAnsiTheme="minorHAnsi" w:cstheme="minorHAnsi"/>
          <w:sz w:val="22"/>
          <w:szCs w:val="22"/>
        </w:rPr>
        <w:t>Journal of Vocational Behavior</w:t>
      </w:r>
      <w:r w:rsidRPr="00E86218">
        <w:rPr>
          <w:rFonts w:asciiTheme="minorHAnsi" w:hAnsiTheme="minorHAnsi" w:cstheme="minorHAnsi"/>
          <w:sz w:val="22"/>
          <w:szCs w:val="22"/>
        </w:rPr>
        <w:t>, 63, pp. 473–489. Available at: https://doi.org/10.1016/S0001-8791(02)00036-2</w:t>
      </w:r>
    </w:p>
    <w:p w:rsidR="00372818" w:rsidRPr="00E86218" w:rsidRDefault="00372818" w:rsidP="00372818">
      <w:pPr>
        <w:pStyle w:val="NormalWeb"/>
        <w:spacing w:before="240" w:beforeAutospacing="0" w:after="240" w:afterAutospacing="0"/>
        <w:ind w:right="600"/>
        <w:rPr>
          <w:rFonts w:asciiTheme="minorHAnsi" w:hAnsiTheme="minorHAnsi" w:cstheme="minorHAnsi"/>
          <w:sz w:val="22"/>
          <w:szCs w:val="22"/>
        </w:rPr>
      </w:pPr>
      <w:r w:rsidRPr="00E86218">
        <w:rPr>
          <w:rFonts w:asciiTheme="minorHAnsi" w:hAnsiTheme="minorHAnsi" w:cstheme="minorHAnsi"/>
          <w:color w:val="000000"/>
          <w:sz w:val="22"/>
          <w:szCs w:val="22"/>
        </w:rPr>
        <w:t xml:space="preserve">Waite, K., Beevers, K., Tomlinson, K., Small, N. &amp; Hussain, S. (2021) </w:t>
      </w:r>
      <w:r w:rsidRPr="00E86218">
        <w:rPr>
          <w:rFonts w:asciiTheme="minorHAnsi" w:hAnsiTheme="minorHAnsi" w:cstheme="minorHAnsi"/>
          <w:i/>
          <w:iCs/>
          <w:color w:val="000000"/>
          <w:sz w:val="22"/>
          <w:szCs w:val="22"/>
        </w:rPr>
        <w:t>People practice: a complete guide</w:t>
      </w:r>
      <w:r w:rsidRPr="00E86218">
        <w:rPr>
          <w:rFonts w:asciiTheme="minorHAnsi" w:hAnsiTheme="minorHAnsi" w:cstheme="minorHAnsi"/>
          <w:color w:val="000000"/>
          <w:sz w:val="22"/>
          <w:szCs w:val="22"/>
        </w:rPr>
        <w:t>. London: Kogan Page.</w:t>
      </w:r>
    </w:p>
    <w:p w:rsidR="00372818" w:rsidRPr="00E86218" w:rsidRDefault="00372818" w:rsidP="00372818">
      <w:pPr>
        <w:pStyle w:val="NormalWeb"/>
        <w:spacing w:before="240" w:beforeAutospacing="0" w:after="240" w:afterAutospacing="0"/>
        <w:ind w:right="600"/>
        <w:rPr>
          <w:rFonts w:asciiTheme="minorHAnsi" w:hAnsiTheme="minorHAnsi" w:cstheme="minorHAnsi"/>
          <w:sz w:val="22"/>
          <w:szCs w:val="22"/>
        </w:rPr>
      </w:pPr>
      <w:r w:rsidRPr="00E86218">
        <w:rPr>
          <w:rFonts w:asciiTheme="minorHAnsi" w:hAnsiTheme="minorHAnsi" w:cstheme="minorHAnsi"/>
          <w:color w:val="000000"/>
          <w:sz w:val="22"/>
          <w:szCs w:val="22"/>
        </w:rPr>
        <w:t xml:space="preserve">Welsh Government (2025) </w:t>
      </w:r>
      <w:r w:rsidRPr="00E86218">
        <w:rPr>
          <w:rFonts w:asciiTheme="minorHAnsi" w:hAnsiTheme="minorHAnsi" w:cstheme="minorHAnsi"/>
          <w:i/>
          <w:iCs/>
          <w:color w:val="000000"/>
          <w:sz w:val="22"/>
          <w:szCs w:val="22"/>
        </w:rPr>
        <w:t>Digital for care homes: good practice guide</w:t>
      </w:r>
      <w:r w:rsidRPr="00E86218">
        <w:rPr>
          <w:rFonts w:asciiTheme="minorHAnsi" w:hAnsiTheme="minorHAnsi" w:cstheme="minorHAnsi"/>
          <w:color w:val="000000"/>
          <w:sz w:val="22"/>
          <w:szCs w:val="22"/>
        </w:rPr>
        <w:t>. Available at:</w:t>
      </w:r>
      <w:hyperlink r:id="rId58" w:anchor="180281"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https://www.gov.wales/digital-care-homes-good-practice-guide-html#180281</w:t>
        </w:r>
      </w:hyperlink>
      <w:hyperlink r:id="rId59" w:history="1">
        <w:r w:rsidRPr="00E86218">
          <w:rPr>
            <w:rStyle w:val="Hyperlink"/>
            <w:rFonts w:asciiTheme="minorHAnsi" w:hAnsiTheme="minorHAnsi" w:cstheme="minorHAnsi"/>
            <w:color w:val="000000"/>
            <w:sz w:val="22"/>
            <w:szCs w:val="22"/>
            <w:u w:val="none"/>
          </w:rPr>
          <w:t xml:space="preserve"> </w:t>
        </w:r>
        <w:r w:rsidRPr="00E86218">
          <w:rPr>
            <w:rStyle w:val="Hyperlink"/>
            <w:rFonts w:asciiTheme="minorHAnsi" w:hAnsiTheme="minorHAnsi" w:cstheme="minorHAnsi"/>
            <w:color w:val="1155CC"/>
            <w:sz w:val="22"/>
            <w:szCs w:val="22"/>
          </w:rPr>
          <w:t>gov.wales+1</w:t>
        </w:r>
      </w:hyperlink>
      <w:r w:rsidRPr="00E86218">
        <w:rPr>
          <w:rFonts w:asciiTheme="minorHAnsi" w:hAnsiTheme="minorHAnsi" w:cstheme="minorHAnsi"/>
          <w:color w:val="000000"/>
          <w:sz w:val="22"/>
          <w:szCs w:val="22"/>
        </w:rPr>
        <w:t xml:space="preserve"> (Accessed: 17 November 2025).</w:t>
      </w:r>
    </w:p>
    <w:p w:rsidR="00D75B87" w:rsidRPr="00E86218" w:rsidRDefault="00D75B87" w:rsidP="00D75B87">
      <w:pPr>
        <w:pStyle w:val="NoSpacing"/>
        <w:rPr>
          <w:rFonts w:cstheme="minorHAnsi"/>
        </w:rPr>
      </w:pPr>
      <w:r w:rsidRPr="00E86218">
        <w:rPr>
          <w:rFonts w:cstheme="minorHAnsi"/>
        </w:rPr>
        <w:t xml:space="preserve">World Economic Forum. (2025) </w:t>
      </w:r>
      <w:r w:rsidRPr="00E86218">
        <w:rPr>
          <w:rStyle w:val="Emphasis"/>
          <w:rFonts w:cstheme="minorHAnsi"/>
        </w:rPr>
        <w:t>The Future of Jobs Report 2025</w:t>
      </w:r>
      <w:r w:rsidRPr="00E86218">
        <w:rPr>
          <w:rFonts w:cstheme="minorHAnsi"/>
        </w:rPr>
        <w:t xml:space="preserve">. Available at: </w:t>
      </w:r>
      <w:hyperlink r:id="rId60" w:tgtFrame="_new" w:history="1">
        <w:r w:rsidRPr="00E86218">
          <w:rPr>
            <w:rStyle w:val="Hyperlink"/>
            <w:rFonts w:cstheme="minorHAnsi"/>
          </w:rPr>
          <w:t>https://reports.weforum.org/docs/WEF_Future_of_Jobs_Report_2025.pdf</w:t>
        </w:r>
      </w:hyperlink>
      <w:r w:rsidRPr="00E86218">
        <w:rPr>
          <w:rFonts w:cstheme="minorHAnsi"/>
        </w:rPr>
        <w:t xml:space="preserve"> (Accessed: 17 November 2025)</w:t>
      </w:r>
    </w:p>
    <w:p w:rsidR="00372818" w:rsidRPr="00E86218" w:rsidRDefault="00372818" w:rsidP="00501D60">
      <w:pPr>
        <w:pStyle w:val="NoSpacing"/>
        <w:jc w:val="both"/>
        <w:rPr>
          <w:rFonts w:cstheme="minorHAnsi"/>
          <w:b/>
        </w:rPr>
      </w:pPr>
    </w:p>
    <w:p w:rsidR="00DE4BD3" w:rsidRPr="00E86218" w:rsidRDefault="00352EB4" w:rsidP="00501D60">
      <w:pPr>
        <w:pStyle w:val="NoSpacing"/>
        <w:jc w:val="both"/>
        <w:rPr>
          <w:rFonts w:cstheme="minorHAnsi"/>
        </w:rPr>
      </w:pPr>
      <w:r w:rsidRPr="00E86218">
        <w:rPr>
          <w:rFonts w:cstheme="minorHAnsi"/>
        </w:rPr>
        <w:t xml:space="preserve">Zell, D. (2003) ‘Organizational change as a process of death, dying, and rebirth’, </w:t>
      </w:r>
      <w:r w:rsidRPr="00E86218">
        <w:rPr>
          <w:rStyle w:val="Emphasis"/>
          <w:rFonts w:cstheme="minorHAnsi"/>
        </w:rPr>
        <w:t>The Journal of Applied Behavioral Science</w:t>
      </w:r>
      <w:r w:rsidRPr="00E86218">
        <w:rPr>
          <w:rFonts w:cstheme="minorHAnsi"/>
        </w:rPr>
        <w:t>, 39(1), pp. 73–96. doi: 10.1177/0021886303039001004.</w:t>
      </w:r>
    </w:p>
    <w:p w:rsidR="00B231B0" w:rsidRPr="00E86218" w:rsidRDefault="00B231B0" w:rsidP="00501D60">
      <w:pPr>
        <w:pStyle w:val="NoSpacing"/>
        <w:jc w:val="both"/>
        <w:rPr>
          <w:rFonts w:cstheme="minorHAnsi"/>
          <w:color w:val="00B050"/>
        </w:rPr>
      </w:pPr>
    </w:p>
    <w:p w:rsidR="009C3814" w:rsidRPr="00E86218" w:rsidRDefault="009C3814" w:rsidP="00501D60">
      <w:pPr>
        <w:pStyle w:val="NoSpacing"/>
        <w:jc w:val="both"/>
        <w:rPr>
          <w:rFonts w:cstheme="minorHAnsi"/>
          <w:b/>
          <w:color w:val="FF0000"/>
        </w:rPr>
      </w:pPr>
    </w:p>
    <w:p w:rsidR="0014262B" w:rsidRPr="00491F64" w:rsidRDefault="0014262B" w:rsidP="00501D60">
      <w:pPr>
        <w:pStyle w:val="NoSpacing"/>
        <w:jc w:val="both"/>
        <w:rPr>
          <w:b/>
          <w:color w:val="FF0000"/>
        </w:rPr>
      </w:pPr>
    </w:p>
    <w:sectPr w:rsidR="0014262B" w:rsidRPr="00491F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466" w:rsidRDefault="00644466" w:rsidP="00894DDD">
      <w:pPr>
        <w:spacing w:after="0" w:line="240" w:lineRule="auto"/>
      </w:pPr>
      <w:r>
        <w:separator/>
      </w:r>
    </w:p>
  </w:endnote>
  <w:endnote w:type="continuationSeparator" w:id="0">
    <w:p w:rsidR="00644466" w:rsidRDefault="00644466" w:rsidP="00894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466" w:rsidRDefault="00644466" w:rsidP="00894DDD">
      <w:pPr>
        <w:spacing w:after="0" w:line="240" w:lineRule="auto"/>
      </w:pPr>
      <w:r>
        <w:separator/>
      </w:r>
    </w:p>
  </w:footnote>
  <w:footnote w:type="continuationSeparator" w:id="0">
    <w:p w:rsidR="00644466" w:rsidRDefault="00644466" w:rsidP="00894D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B236C"/>
    <w:multiLevelType w:val="hybridMultilevel"/>
    <w:tmpl w:val="3710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A6D42"/>
    <w:multiLevelType w:val="multilevel"/>
    <w:tmpl w:val="89D8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B48A0"/>
    <w:multiLevelType w:val="multilevel"/>
    <w:tmpl w:val="D23E3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E1076"/>
    <w:multiLevelType w:val="multilevel"/>
    <w:tmpl w:val="7680A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A01A3"/>
    <w:multiLevelType w:val="multilevel"/>
    <w:tmpl w:val="E57A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209F3"/>
    <w:multiLevelType w:val="multilevel"/>
    <w:tmpl w:val="D79C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616C4"/>
    <w:multiLevelType w:val="multilevel"/>
    <w:tmpl w:val="34BA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B42B6"/>
    <w:multiLevelType w:val="multilevel"/>
    <w:tmpl w:val="22A4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B77EE"/>
    <w:multiLevelType w:val="hybridMultilevel"/>
    <w:tmpl w:val="842E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718A0"/>
    <w:multiLevelType w:val="multilevel"/>
    <w:tmpl w:val="E2E6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41710A"/>
    <w:multiLevelType w:val="multilevel"/>
    <w:tmpl w:val="9CBE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7021BD"/>
    <w:multiLevelType w:val="multilevel"/>
    <w:tmpl w:val="1E0C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237640"/>
    <w:multiLevelType w:val="hybridMultilevel"/>
    <w:tmpl w:val="9A60E06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35CB58C2"/>
    <w:multiLevelType w:val="multilevel"/>
    <w:tmpl w:val="9DAA0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67918"/>
    <w:multiLevelType w:val="multilevel"/>
    <w:tmpl w:val="AA6A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93045"/>
    <w:multiLevelType w:val="multilevel"/>
    <w:tmpl w:val="06A0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B03B9C"/>
    <w:multiLevelType w:val="multilevel"/>
    <w:tmpl w:val="3A9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25293F"/>
    <w:multiLevelType w:val="multilevel"/>
    <w:tmpl w:val="1DA0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860B0"/>
    <w:multiLevelType w:val="hybridMultilevel"/>
    <w:tmpl w:val="2244F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D86CE9"/>
    <w:multiLevelType w:val="multilevel"/>
    <w:tmpl w:val="E5D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606E37"/>
    <w:multiLevelType w:val="multilevel"/>
    <w:tmpl w:val="E850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A550C8"/>
    <w:multiLevelType w:val="multilevel"/>
    <w:tmpl w:val="B7CE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B40699"/>
    <w:multiLevelType w:val="multilevel"/>
    <w:tmpl w:val="90E2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B5687B"/>
    <w:multiLevelType w:val="hybridMultilevel"/>
    <w:tmpl w:val="FB34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394ACB"/>
    <w:multiLevelType w:val="multilevel"/>
    <w:tmpl w:val="12BE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3E4484"/>
    <w:multiLevelType w:val="multilevel"/>
    <w:tmpl w:val="7466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720E0F"/>
    <w:multiLevelType w:val="multilevel"/>
    <w:tmpl w:val="19E0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C143A3"/>
    <w:multiLevelType w:val="hybridMultilevel"/>
    <w:tmpl w:val="02D8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F2462C"/>
    <w:multiLevelType w:val="multilevel"/>
    <w:tmpl w:val="AEA6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3"/>
  </w:num>
  <w:num w:numId="4">
    <w:abstractNumId w:val="13"/>
  </w:num>
  <w:num w:numId="5">
    <w:abstractNumId w:val="0"/>
  </w:num>
  <w:num w:numId="6">
    <w:abstractNumId w:val="17"/>
  </w:num>
  <w:num w:numId="7">
    <w:abstractNumId w:val="7"/>
  </w:num>
  <w:num w:numId="8">
    <w:abstractNumId w:val="6"/>
  </w:num>
  <w:num w:numId="9">
    <w:abstractNumId w:val="15"/>
  </w:num>
  <w:num w:numId="10">
    <w:abstractNumId w:val="20"/>
  </w:num>
  <w:num w:numId="11">
    <w:abstractNumId w:val="21"/>
  </w:num>
  <w:num w:numId="12">
    <w:abstractNumId w:val="14"/>
  </w:num>
  <w:num w:numId="13">
    <w:abstractNumId w:val="1"/>
  </w:num>
  <w:num w:numId="14">
    <w:abstractNumId w:val="25"/>
  </w:num>
  <w:num w:numId="15">
    <w:abstractNumId w:val="26"/>
  </w:num>
  <w:num w:numId="16">
    <w:abstractNumId w:val="12"/>
  </w:num>
  <w:num w:numId="17">
    <w:abstractNumId w:val="27"/>
  </w:num>
  <w:num w:numId="18">
    <w:abstractNumId w:val="23"/>
  </w:num>
  <w:num w:numId="19">
    <w:abstractNumId w:val="11"/>
  </w:num>
  <w:num w:numId="20">
    <w:abstractNumId w:val="5"/>
  </w:num>
  <w:num w:numId="21">
    <w:abstractNumId w:val="9"/>
  </w:num>
  <w:num w:numId="22">
    <w:abstractNumId w:val="4"/>
  </w:num>
  <w:num w:numId="23">
    <w:abstractNumId w:val="22"/>
  </w:num>
  <w:num w:numId="24">
    <w:abstractNumId w:val="16"/>
  </w:num>
  <w:num w:numId="25">
    <w:abstractNumId w:val="18"/>
  </w:num>
  <w:num w:numId="26">
    <w:abstractNumId w:val="10"/>
  </w:num>
  <w:num w:numId="27">
    <w:abstractNumId w:val="24"/>
  </w:num>
  <w:num w:numId="28">
    <w:abstractNumId w:val="19"/>
  </w:num>
  <w:num w:numId="29">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19B"/>
    <w:rsid w:val="00002A97"/>
    <w:rsid w:val="00005367"/>
    <w:rsid w:val="00007CAE"/>
    <w:rsid w:val="00016F42"/>
    <w:rsid w:val="0003024C"/>
    <w:rsid w:val="00031B50"/>
    <w:rsid w:val="00044DF5"/>
    <w:rsid w:val="00060981"/>
    <w:rsid w:val="00066D85"/>
    <w:rsid w:val="000750AD"/>
    <w:rsid w:val="00075E9F"/>
    <w:rsid w:val="0008019B"/>
    <w:rsid w:val="00081A27"/>
    <w:rsid w:val="0008244E"/>
    <w:rsid w:val="0008704F"/>
    <w:rsid w:val="000871E4"/>
    <w:rsid w:val="000928A5"/>
    <w:rsid w:val="000930CF"/>
    <w:rsid w:val="0009529B"/>
    <w:rsid w:val="00095EC1"/>
    <w:rsid w:val="00097C4F"/>
    <w:rsid w:val="000A3503"/>
    <w:rsid w:val="000A4CFF"/>
    <w:rsid w:val="000A59B4"/>
    <w:rsid w:val="000A770B"/>
    <w:rsid w:val="000B3A08"/>
    <w:rsid w:val="000C013C"/>
    <w:rsid w:val="000C019A"/>
    <w:rsid w:val="000C56E7"/>
    <w:rsid w:val="000C76CD"/>
    <w:rsid w:val="000D12FA"/>
    <w:rsid w:val="000D64CC"/>
    <w:rsid w:val="000E03BE"/>
    <w:rsid w:val="000F29DB"/>
    <w:rsid w:val="000F3D92"/>
    <w:rsid w:val="000F50D1"/>
    <w:rsid w:val="000F54BC"/>
    <w:rsid w:val="000F62B1"/>
    <w:rsid w:val="000F6E9B"/>
    <w:rsid w:val="0010214E"/>
    <w:rsid w:val="00110120"/>
    <w:rsid w:val="001105C1"/>
    <w:rsid w:val="001261B6"/>
    <w:rsid w:val="00126D44"/>
    <w:rsid w:val="00127D1C"/>
    <w:rsid w:val="0013063F"/>
    <w:rsid w:val="00130EFE"/>
    <w:rsid w:val="001323AE"/>
    <w:rsid w:val="001345A2"/>
    <w:rsid w:val="0014262B"/>
    <w:rsid w:val="00143DB9"/>
    <w:rsid w:val="00146D13"/>
    <w:rsid w:val="001516DF"/>
    <w:rsid w:val="001545B6"/>
    <w:rsid w:val="00160C3A"/>
    <w:rsid w:val="0017572A"/>
    <w:rsid w:val="00177AAC"/>
    <w:rsid w:val="001808B8"/>
    <w:rsid w:val="001860F2"/>
    <w:rsid w:val="001944B7"/>
    <w:rsid w:val="001A0188"/>
    <w:rsid w:val="001A60B7"/>
    <w:rsid w:val="001B0818"/>
    <w:rsid w:val="001B260E"/>
    <w:rsid w:val="001B2856"/>
    <w:rsid w:val="001B38E7"/>
    <w:rsid w:val="001B4FA9"/>
    <w:rsid w:val="001D2726"/>
    <w:rsid w:val="001F0CE1"/>
    <w:rsid w:val="001F418E"/>
    <w:rsid w:val="001F697E"/>
    <w:rsid w:val="00210023"/>
    <w:rsid w:val="00212806"/>
    <w:rsid w:val="00226CA2"/>
    <w:rsid w:val="00227AEE"/>
    <w:rsid w:val="00232790"/>
    <w:rsid w:val="00235D7B"/>
    <w:rsid w:val="0024597C"/>
    <w:rsid w:val="00246176"/>
    <w:rsid w:val="00247695"/>
    <w:rsid w:val="00252DD1"/>
    <w:rsid w:val="002548CA"/>
    <w:rsid w:val="002550A1"/>
    <w:rsid w:val="00262282"/>
    <w:rsid w:val="00262D90"/>
    <w:rsid w:val="00273F3E"/>
    <w:rsid w:val="002743A0"/>
    <w:rsid w:val="002846A5"/>
    <w:rsid w:val="00287468"/>
    <w:rsid w:val="00287E8B"/>
    <w:rsid w:val="002901EC"/>
    <w:rsid w:val="00294CEE"/>
    <w:rsid w:val="002A35A0"/>
    <w:rsid w:val="002A72BF"/>
    <w:rsid w:val="002B09DD"/>
    <w:rsid w:val="002B0A2A"/>
    <w:rsid w:val="002B7701"/>
    <w:rsid w:val="002E287B"/>
    <w:rsid w:val="002E5054"/>
    <w:rsid w:val="002F086A"/>
    <w:rsid w:val="002F16C0"/>
    <w:rsid w:val="002F2593"/>
    <w:rsid w:val="002F48C5"/>
    <w:rsid w:val="00305501"/>
    <w:rsid w:val="00316DE7"/>
    <w:rsid w:val="00326139"/>
    <w:rsid w:val="00327624"/>
    <w:rsid w:val="00330C55"/>
    <w:rsid w:val="00331AD0"/>
    <w:rsid w:val="00352EB4"/>
    <w:rsid w:val="00366D40"/>
    <w:rsid w:val="00371617"/>
    <w:rsid w:val="00372818"/>
    <w:rsid w:val="00373A27"/>
    <w:rsid w:val="00377933"/>
    <w:rsid w:val="003878B6"/>
    <w:rsid w:val="00391BF5"/>
    <w:rsid w:val="003953DF"/>
    <w:rsid w:val="00396AB4"/>
    <w:rsid w:val="00397A33"/>
    <w:rsid w:val="003A083F"/>
    <w:rsid w:val="003A79D8"/>
    <w:rsid w:val="003B2CE8"/>
    <w:rsid w:val="003B5A43"/>
    <w:rsid w:val="003C21FA"/>
    <w:rsid w:val="003D6C5B"/>
    <w:rsid w:val="003E0C5B"/>
    <w:rsid w:val="003E279A"/>
    <w:rsid w:val="003E5970"/>
    <w:rsid w:val="003E6BA0"/>
    <w:rsid w:val="003F519F"/>
    <w:rsid w:val="003F7A4E"/>
    <w:rsid w:val="0040270E"/>
    <w:rsid w:val="004068E3"/>
    <w:rsid w:val="00411286"/>
    <w:rsid w:val="00412971"/>
    <w:rsid w:val="00413D2B"/>
    <w:rsid w:val="0041711E"/>
    <w:rsid w:val="00420E27"/>
    <w:rsid w:val="00421A00"/>
    <w:rsid w:val="00433C01"/>
    <w:rsid w:val="0044527D"/>
    <w:rsid w:val="00445730"/>
    <w:rsid w:val="00445F92"/>
    <w:rsid w:val="0045317C"/>
    <w:rsid w:val="00474D5D"/>
    <w:rsid w:val="00474FEB"/>
    <w:rsid w:val="004913A4"/>
    <w:rsid w:val="00491F64"/>
    <w:rsid w:val="00493238"/>
    <w:rsid w:val="00493B0C"/>
    <w:rsid w:val="00494AD0"/>
    <w:rsid w:val="00495F4F"/>
    <w:rsid w:val="004A061D"/>
    <w:rsid w:val="004A1770"/>
    <w:rsid w:val="004B3A32"/>
    <w:rsid w:val="004B5061"/>
    <w:rsid w:val="004B783B"/>
    <w:rsid w:val="004C55DC"/>
    <w:rsid w:val="004D0D79"/>
    <w:rsid w:val="004D1C05"/>
    <w:rsid w:val="004D30F7"/>
    <w:rsid w:val="004D6B82"/>
    <w:rsid w:val="004E0C29"/>
    <w:rsid w:val="004E1E0B"/>
    <w:rsid w:val="004E22F3"/>
    <w:rsid w:val="004E6DF6"/>
    <w:rsid w:val="004F5227"/>
    <w:rsid w:val="005001F1"/>
    <w:rsid w:val="00501D60"/>
    <w:rsid w:val="00502557"/>
    <w:rsid w:val="005029B9"/>
    <w:rsid w:val="0050339C"/>
    <w:rsid w:val="0050647D"/>
    <w:rsid w:val="00507204"/>
    <w:rsid w:val="00511FCD"/>
    <w:rsid w:val="00512A5D"/>
    <w:rsid w:val="0051665A"/>
    <w:rsid w:val="005168C1"/>
    <w:rsid w:val="00516EF4"/>
    <w:rsid w:val="00526B0E"/>
    <w:rsid w:val="00530AE7"/>
    <w:rsid w:val="00531930"/>
    <w:rsid w:val="005342F0"/>
    <w:rsid w:val="005369D3"/>
    <w:rsid w:val="00547989"/>
    <w:rsid w:val="00547FD9"/>
    <w:rsid w:val="00552AB2"/>
    <w:rsid w:val="00552F33"/>
    <w:rsid w:val="005568C2"/>
    <w:rsid w:val="0056028C"/>
    <w:rsid w:val="00560B18"/>
    <w:rsid w:val="00562FF1"/>
    <w:rsid w:val="00566F39"/>
    <w:rsid w:val="00567BC1"/>
    <w:rsid w:val="005715E3"/>
    <w:rsid w:val="0057689B"/>
    <w:rsid w:val="005777EB"/>
    <w:rsid w:val="005829A0"/>
    <w:rsid w:val="00586F41"/>
    <w:rsid w:val="00591343"/>
    <w:rsid w:val="005960C9"/>
    <w:rsid w:val="005979E8"/>
    <w:rsid w:val="00597C3E"/>
    <w:rsid w:val="005A014A"/>
    <w:rsid w:val="005A154E"/>
    <w:rsid w:val="005A3DAF"/>
    <w:rsid w:val="005B2939"/>
    <w:rsid w:val="005B45F5"/>
    <w:rsid w:val="005C4F01"/>
    <w:rsid w:val="005D0177"/>
    <w:rsid w:val="005D35BC"/>
    <w:rsid w:val="005D3D28"/>
    <w:rsid w:val="005E001D"/>
    <w:rsid w:val="005E5BD5"/>
    <w:rsid w:val="005E7EA7"/>
    <w:rsid w:val="00610BCC"/>
    <w:rsid w:val="00615396"/>
    <w:rsid w:val="00616CF7"/>
    <w:rsid w:val="00624C51"/>
    <w:rsid w:val="006359C4"/>
    <w:rsid w:val="00641558"/>
    <w:rsid w:val="00644466"/>
    <w:rsid w:val="00644E8F"/>
    <w:rsid w:val="006569A5"/>
    <w:rsid w:val="00662880"/>
    <w:rsid w:val="0066650C"/>
    <w:rsid w:val="00673AE8"/>
    <w:rsid w:val="00674BF1"/>
    <w:rsid w:val="006756F5"/>
    <w:rsid w:val="00676C67"/>
    <w:rsid w:val="006970A1"/>
    <w:rsid w:val="006A5732"/>
    <w:rsid w:val="006A6B17"/>
    <w:rsid w:val="006A7C84"/>
    <w:rsid w:val="006A7D8C"/>
    <w:rsid w:val="006B1851"/>
    <w:rsid w:val="006B4365"/>
    <w:rsid w:val="006B6CFB"/>
    <w:rsid w:val="006D26E4"/>
    <w:rsid w:val="006D4AFE"/>
    <w:rsid w:val="006D7A59"/>
    <w:rsid w:val="006E0BEB"/>
    <w:rsid w:val="006F14C2"/>
    <w:rsid w:val="00702045"/>
    <w:rsid w:val="00710D19"/>
    <w:rsid w:val="00712FAF"/>
    <w:rsid w:val="0071545A"/>
    <w:rsid w:val="00716E7D"/>
    <w:rsid w:val="0073290B"/>
    <w:rsid w:val="00735751"/>
    <w:rsid w:val="00743604"/>
    <w:rsid w:val="00746127"/>
    <w:rsid w:val="00746A22"/>
    <w:rsid w:val="00747F2B"/>
    <w:rsid w:val="0076298B"/>
    <w:rsid w:val="00773F16"/>
    <w:rsid w:val="00774382"/>
    <w:rsid w:val="0078182D"/>
    <w:rsid w:val="00783B35"/>
    <w:rsid w:val="00784C1E"/>
    <w:rsid w:val="00793B2B"/>
    <w:rsid w:val="00795A57"/>
    <w:rsid w:val="00797E60"/>
    <w:rsid w:val="007A0E9E"/>
    <w:rsid w:val="007A1C0D"/>
    <w:rsid w:val="007C26D9"/>
    <w:rsid w:val="007C2865"/>
    <w:rsid w:val="007C5466"/>
    <w:rsid w:val="007D2067"/>
    <w:rsid w:val="007D2C81"/>
    <w:rsid w:val="007D4A14"/>
    <w:rsid w:val="007D5D9E"/>
    <w:rsid w:val="007E55CF"/>
    <w:rsid w:val="008031A7"/>
    <w:rsid w:val="008078B1"/>
    <w:rsid w:val="00807FE2"/>
    <w:rsid w:val="00815C94"/>
    <w:rsid w:val="00816CD7"/>
    <w:rsid w:val="008227E9"/>
    <w:rsid w:val="008249ED"/>
    <w:rsid w:val="00827296"/>
    <w:rsid w:val="008315CA"/>
    <w:rsid w:val="00834997"/>
    <w:rsid w:val="008359BF"/>
    <w:rsid w:val="00855081"/>
    <w:rsid w:val="00860BE1"/>
    <w:rsid w:val="0086264C"/>
    <w:rsid w:val="00863400"/>
    <w:rsid w:val="00865B43"/>
    <w:rsid w:val="00865CC3"/>
    <w:rsid w:val="00877A6D"/>
    <w:rsid w:val="008813DC"/>
    <w:rsid w:val="00882117"/>
    <w:rsid w:val="008828D6"/>
    <w:rsid w:val="008862BA"/>
    <w:rsid w:val="00894DDD"/>
    <w:rsid w:val="00895921"/>
    <w:rsid w:val="008A0D0A"/>
    <w:rsid w:val="008A34DC"/>
    <w:rsid w:val="008A3EED"/>
    <w:rsid w:val="008A4E06"/>
    <w:rsid w:val="008B0443"/>
    <w:rsid w:val="008B144D"/>
    <w:rsid w:val="008B36CF"/>
    <w:rsid w:val="008B652F"/>
    <w:rsid w:val="008C0FED"/>
    <w:rsid w:val="008C3CD5"/>
    <w:rsid w:val="008E1809"/>
    <w:rsid w:val="008E3AC9"/>
    <w:rsid w:val="008E4DA5"/>
    <w:rsid w:val="008F3AC0"/>
    <w:rsid w:val="00906045"/>
    <w:rsid w:val="009076CE"/>
    <w:rsid w:val="00916336"/>
    <w:rsid w:val="009175BC"/>
    <w:rsid w:val="00925D69"/>
    <w:rsid w:val="00930142"/>
    <w:rsid w:val="00932137"/>
    <w:rsid w:val="009338D4"/>
    <w:rsid w:val="009356A3"/>
    <w:rsid w:val="00936661"/>
    <w:rsid w:val="00940779"/>
    <w:rsid w:val="009517FF"/>
    <w:rsid w:val="00956F40"/>
    <w:rsid w:val="0096171B"/>
    <w:rsid w:val="009662ED"/>
    <w:rsid w:val="00967168"/>
    <w:rsid w:val="0097359D"/>
    <w:rsid w:val="009859FB"/>
    <w:rsid w:val="009A023E"/>
    <w:rsid w:val="009A18A0"/>
    <w:rsid w:val="009A6EEB"/>
    <w:rsid w:val="009B326F"/>
    <w:rsid w:val="009B4038"/>
    <w:rsid w:val="009B512B"/>
    <w:rsid w:val="009C2A2B"/>
    <w:rsid w:val="009C3814"/>
    <w:rsid w:val="009D3549"/>
    <w:rsid w:val="009E1E5C"/>
    <w:rsid w:val="009F0AA8"/>
    <w:rsid w:val="009F4D45"/>
    <w:rsid w:val="009F71C2"/>
    <w:rsid w:val="00A024DD"/>
    <w:rsid w:val="00A03C2A"/>
    <w:rsid w:val="00A06E21"/>
    <w:rsid w:val="00A20A92"/>
    <w:rsid w:val="00A216D1"/>
    <w:rsid w:val="00A301D4"/>
    <w:rsid w:val="00A34B20"/>
    <w:rsid w:val="00A34B3D"/>
    <w:rsid w:val="00A427F3"/>
    <w:rsid w:val="00A46DDE"/>
    <w:rsid w:val="00A508A4"/>
    <w:rsid w:val="00A51705"/>
    <w:rsid w:val="00A5390B"/>
    <w:rsid w:val="00A5499B"/>
    <w:rsid w:val="00A5601A"/>
    <w:rsid w:val="00A676D0"/>
    <w:rsid w:val="00A71235"/>
    <w:rsid w:val="00A765CF"/>
    <w:rsid w:val="00A816A9"/>
    <w:rsid w:val="00A81CD3"/>
    <w:rsid w:val="00A84EBA"/>
    <w:rsid w:val="00A86117"/>
    <w:rsid w:val="00A86CE0"/>
    <w:rsid w:val="00A8780C"/>
    <w:rsid w:val="00A904D7"/>
    <w:rsid w:val="00A94EB0"/>
    <w:rsid w:val="00A97968"/>
    <w:rsid w:val="00AA1C16"/>
    <w:rsid w:val="00AA433F"/>
    <w:rsid w:val="00AA540C"/>
    <w:rsid w:val="00AA73CD"/>
    <w:rsid w:val="00AB1768"/>
    <w:rsid w:val="00AC1D01"/>
    <w:rsid w:val="00AC4009"/>
    <w:rsid w:val="00AC446F"/>
    <w:rsid w:val="00AC6551"/>
    <w:rsid w:val="00AC75D7"/>
    <w:rsid w:val="00AE0596"/>
    <w:rsid w:val="00AF2160"/>
    <w:rsid w:val="00B04731"/>
    <w:rsid w:val="00B12CDA"/>
    <w:rsid w:val="00B17C1F"/>
    <w:rsid w:val="00B17EE3"/>
    <w:rsid w:val="00B231B0"/>
    <w:rsid w:val="00B23F37"/>
    <w:rsid w:val="00B33F4A"/>
    <w:rsid w:val="00B36BB0"/>
    <w:rsid w:val="00B478AE"/>
    <w:rsid w:val="00B60485"/>
    <w:rsid w:val="00B63C66"/>
    <w:rsid w:val="00B64EF6"/>
    <w:rsid w:val="00B737D3"/>
    <w:rsid w:val="00B74CC3"/>
    <w:rsid w:val="00B77271"/>
    <w:rsid w:val="00B811C2"/>
    <w:rsid w:val="00B94832"/>
    <w:rsid w:val="00BA6B12"/>
    <w:rsid w:val="00BB37F3"/>
    <w:rsid w:val="00BB797C"/>
    <w:rsid w:val="00BC605B"/>
    <w:rsid w:val="00BC7796"/>
    <w:rsid w:val="00BD2B29"/>
    <w:rsid w:val="00BE1806"/>
    <w:rsid w:val="00BF1AF5"/>
    <w:rsid w:val="00BF7018"/>
    <w:rsid w:val="00C0451C"/>
    <w:rsid w:val="00C066EF"/>
    <w:rsid w:val="00C11AD9"/>
    <w:rsid w:val="00C1257C"/>
    <w:rsid w:val="00C1334B"/>
    <w:rsid w:val="00C15935"/>
    <w:rsid w:val="00C20726"/>
    <w:rsid w:val="00C20D6E"/>
    <w:rsid w:val="00C22754"/>
    <w:rsid w:val="00C22C11"/>
    <w:rsid w:val="00C24C9F"/>
    <w:rsid w:val="00C2648D"/>
    <w:rsid w:val="00C36402"/>
    <w:rsid w:val="00C42A60"/>
    <w:rsid w:val="00C4634C"/>
    <w:rsid w:val="00C52B4A"/>
    <w:rsid w:val="00C56C3F"/>
    <w:rsid w:val="00C5772C"/>
    <w:rsid w:val="00C57BE7"/>
    <w:rsid w:val="00C64BB4"/>
    <w:rsid w:val="00C67DAB"/>
    <w:rsid w:val="00C703CE"/>
    <w:rsid w:val="00C7559E"/>
    <w:rsid w:val="00C83130"/>
    <w:rsid w:val="00C9117A"/>
    <w:rsid w:val="00C957A3"/>
    <w:rsid w:val="00C95A3E"/>
    <w:rsid w:val="00CA0E2F"/>
    <w:rsid w:val="00CA611F"/>
    <w:rsid w:val="00CA7475"/>
    <w:rsid w:val="00CA756A"/>
    <w:rsid w:val="00CA7F66"/>
    <w:rsid w:val="00CB08A6"/>
    <w:rsid w:val="00CB0BE0"/>
    <w:rsid w:val="00CB5287"/>
    <w:rsid w:val="00CB7792"/>
    <w:rsid w:val="00CB7E35"/>
    <w:rsid w:val="00CC0E2C"/>
    <w:rsid w:val="00CC4F64"/>
    <w:rsid w:val="00CC56CF"/>
    <w:rsid w:val="00CC71D3"/>
    <w:rsid w:val="00CD24CE"/>
    <w:rsid w:val="00CE7AB8"/>
    <w:rsid w:val="00CF348E"/>
    <w:rsid w:val="00CF6B23"/>
    <w:rsid w:val="00D045FF"/>
    <w:rsid w:val="00D04CB3"/>
    <w:rsid w:val="00D05947"/>
    <w:rsid w:val="00D0649A"/>
    <w:rsid w:val="00D21E43"/>
    <w:rsid w:val="00D2429E"/>
    <w:rsid w:val="00D243B5"/>
    <w:rsid w:val="00D2699A"/>
    <w:rsid w:val="00D310C6"/>
    <w:rsid w:val="00D324FF"/>
    <w:rsid w:val="00D41574"/>
    <w:rsid w:val="00D44157"/>
    <w:rsid w:val="00D45DEB"/>
    <w:rsid w:val="00D518F1"/>
    <w:rsid w:val="00D56F73"/>
    <w:rsid w:val="00D57CB1"/>
    <w:rsid w:val="00D62E49"/>
    <w:rsid w:val="00D62F23"/>
    <w:rsid w:val="00D74BB5"/>
    <w:rsid w:val="00D75B87"/>
    <w:rsid w:val="00DA1AE4"/>
    <w:rsid w:val="00DB483B"/>
    <w:rsid w:val="00DC4552"/>
    <w:rsid w:val="00DC4D63"/>
    <w:rsid w:val="00DD1F5C"/>
    <w:rsid w:val="00DD5E37"/>
    <w:rsid w:val="00DD6A09"/>
    <w:rsid w:val="00DE1D52"/>
    <w:rsid w:val="00DE4BD3"/>
    <w:rsid w:val="00DF22CC"/>
    <w:rsid w:val="00DF3606"/>
    <w:rsid w:val="00DF4CEB"/>
    <w:rsid w:val="00DF5F86"/>
    <w:rsid w:val="00E05181"/>
    <w:rsid w:val="00E12A67"/>
    <w:rsid w:val="00E200EF"/>
    <w:rsid w:val="00E206B0"/>
    <w:rsid w:val="00E22A37"/>
    <w:rsid w:val="00E22F0F"/>
    <w:rsid w:val="00E22FAB"/>
    <w:rsid w:val="00E23319"/>
    <w:rsid w:val="00E25C17"/>
    <w:rsid w:val="00E26724"/>
    <w:rsid w:val="00E30095"/>
    <w:rsid w:val="00E33A71"/>
    <w:rsid w:val="00E37873"/>
    <w:rsid w:val="00E45EA2"/>
    <w:rsid w:val="00E46D4D"/>
    <w:rsid w:val="00E53ABF"/>
    <w:rsid w:val="00E71907"/>
    <w:rsid w:val="00E72996"/>
    <w:rsid w:val="00E82733"/>
    <w:rsid w:val="00E86218"/>
    <w:rsid w:val="00E86C37"/>
    <w:rsid w:val="00E9152E"/>
    <w:rsid w:val="00E916E1"/>
    <w:rsid w:val="00E96307"/>
    <w:rsid w:val="00EA46D1"/>
    <w:rsid w:val="00EA5E62"/>
    <w:rsid w:val="00EB4BBF"/>
    <w:rsid w:val="00ED0CB2"/>
    <w:rsid w:val="00ED1C0B"/>
    <w:rsid w:val="00ED1FF1"/>
    <w:rsid w:val="00ED2ABB"/>
    <w:rsid w:val="00ED504E"/>
    <w:rsid w:val="00ED7A2C"/>
    <w:rsid w:val="00EE1313"/>
    <w:rsid w:val="00EE5577"/>
    <w:rsid w:val="00EE62F1"/>
    <w:rsid w:val="00EF0596"/>
    <w:rsid w:val="00EF0DC6"/>
    <w:rsid w:val="00EF147A"/>
    <w:rsid w:val="00F03C80"/>
    <w:rsid w:val="00F07B3F"/>
    <w:rsid w:val="00F11C2A"/>
    <w:rsid w:val="00F2009A"/>
    <w:rsid w:val="00F214C5"/>
    <w:rsid w:val="00F229EA"/>
    <w:rsid w:val="00F2782F"/>
    <w:rsid w:val="00F27BC6"/>
    <w:rsid w:val="00F3036E"/>
    <w:rsid w:val="00F30807"/>
    <w:rsid w:val="00F4523E"/>
    <w:rsid w:val="00F46F6C"/>
    <w:rsid w:val="00F5097D"/>
    <w:rsid w:val="00F55E7F"/>
    <w:rsid w:val="00F67410"/>
    <w:rsid w:val="00F6744C"/>
    <w:rsid w:val="00F74C9A"/>
    <w:rsid w:val="00F83EDF"/>
    <w:rsid w:val="00F848FC"/>
    <w:rsid w:val="00F85058"/>
    <w:rsid w:val="00F90071"/>
    <w:rsid w:val="00F9462F"/>
    <w:rsid w:val="00F96729"/>
    <w:rsid w:val="00FA42BE"/>
    <w:rsid w:val="00FB1515"/>
    <w:rsid w:val="00FB18BE"/>
    <w:rsid w:val="00FB193F"/>
    <w:rsid w:val="00FB404C"/>
    <w:rsid w:val="00FB46DA"/>
    <w:rsid w:val="00FB5C67"/>
    <w:rsid w:val="00FD10E6"/>
    <w:rsid w:val="00FD2B33"/>
    <w:rsid w:val="00FE4EC1"/>
    <w:rsid w:val="00FE63E4"/>
    <w:rsid w:val="00FF2075"/>
    <w:rsid w:val="00FF2096"/>
    <w:rsid w:val="00FF3FE1"/>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1A0FFA-361A-4524-8C79-A69112C94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4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27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F0DC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019B"/>
    <w:pPr>
      <w:spacing w:after="0" w:line="240" w:lineRule="auto"/>
    </w:pPr>
  </w:style>
  <w:style w:type="character" w:styleId="Hyperlink">
    <w:name w:val="Hyperlink"/>
    <w:basedOn w:val="DefaultParagraphFont"/>
    <w:uiPriority w:val="99"/>
    <w:unhideWhenUsed/>
    <w:rsid w:val="0008019B"/>
    <w:rPr>
      <w:color w:val="0563C1" w:themeColor="hyperlink"/>
      <w:u w:val="single"/>
    </w:rPr>
  </w:style>
  <w:style w:type="character" w:customStyle="1" w:styleId="Heading3Char">
    <w:name w:val="Heading 3 Char"/>
    <w:basedOn w:val="DefaultParagraphFont"/>
    <w:link w:val="Heading3"/>
    <w:uiPriority w:val="9"/>
    <w:rsid w:val="00EF0DC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F0D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860F2"/>
    <w:rPr>
      <w:i/>
      <w:iCs/>
    </w:rPr>
  </w:style>
  <w:style w:type="character" w:customStyle="1" w:styleId="vkekvd">
    <w:name w:val="vkekvd"/>
    <w:basedOn w:val="DefaultParagraphFont"/>
    <w:rsid w:val="002743A0"/>
  </w:style>
  <w:style w:type="character" w:customStyle="1" w:styleId="t286pc">
    <w:name w:val="t286pc"/>
    <w:basedOn w:val="DefaultParagraphFont"/>
    <w:rsid w:val="002743A0"/>
  </w:style>
  <w:style w:type="character" w:styleId="Strong">
    <w:name w:val="Strong"/>
    <w:basedOn w:val="DefaultParagraphFont"/>
    <w:uiPriority w:val="22"/>
    <w:qFormat/>
    <w:rsid w:val="002743A0"/>
    <w:rPr>
      <w:b/>
      <w:bCs/>
    </w:rPr>
  </w:style>
  <w:style w:type="character" w:customStyle="1" w:styleId="Heading2Char">
    <w:name w:val="Heading 2 Char"/>
    <w:basedOn w:val="DefaultParagraphFont"/>
    <w:link w:val="Heading2"/>
    <w:uiPriority w:val="9"/>
    <w:rsid w:val="00C22754"/>
    <w:rPr>
      <w:rFonts w:asciiTheme="majorHAnsi" w:eastAsiaTheme="majorEastAsia" w:hAnsiTheme="majorHAnsi" w:cstheme="majorBidi"/>
      <w:color w:val="2E74B5" w:themeColor="accent1" w:themeShade="BF"/>
      <w:sz w:val="26"/>
      <w:szCs w:val="26"/>
    </w:rPr>
  </w:style>
  <w:style w:type="character" w:customStyle="1" w:styleId="ms-1">
    <w:name w:val="ms-1"/>
    <w:basedOn w:val="DefaultParagraphFont"/>
    <w:rsid w:val="00C22754"/>
  </w:style>
  <w:style w:type="character" w:customStyle="1" w:styleId="max-w-15ch">
    <w:name w:val="max-w-[15ch]"/>
    <w:basedOn w:val="DefaultParagraphFont"/>
    <w:rsid w:val="00C22754"/>
  </w:style>
  <w:style w:type="character" w:customStyle="1" w:styleId="-me-1">
    <w:name w:val="-me-1"/>
    <w:basedOn w:val="DefaultParagraphFont"/>
    <w:rsid w:val="00C22754"/>
  </w:style>
  <w:style w:type="paragraph" w:styleId="ListParagraph">
    <w:name w:val="List Paragraph"/>
    <w:basedOn w:val="Normal"/>
    <w:uiPriority w:val="34"/>
    <w:qFormat/>
    <w:rsid w:val="00F96729"/>
    <w:pPr>
      <w:ind w:left="720"/>
      <w:contextualSpacing/>
    </w:pPr>
  </w:style>
  <w:style w:type="character" w:customStyle="1" w:styleId="Heading1Char">
    <w:name w:val="Heading 1 Char"/>
    <w:basedOn w:val="DefaultParagraphFont"/>
    <w:link w:val="Heading1"/>
    <w:uiPriority w:val="9"/>
    <w:rsid w:val="007C5466"/>
    <w:rPr>
      <w:rFonts w:asciiTheme="majorHAnsi" w:eastAsiaTheme="majorEastAsia" w:hAnsiTheme="majorHAnsi" w:cstheme="majorBidi"/>
      <w:color w:val="2E74B5" w:themeColor="accent1" w:themeShade="BF"/>
      <w:sz w:val="32"/>
      <w:szCs w:val="32"/>
    </w:rPr>
  </w:style>
  <w:style w:type="paragraph" w:styleId="CommentText">
    <w:name w:val="annotation text"/>
    <w:basedOn w:val="Normal"/>
    <w:link w:val="CommentTextChar"/>
    <w:uiPriority w:val="99"/>
    <w:unhideWhenUsed/>
    <w:rsid w:val="006B4365"/>
    <w:pPr>
      <w:spacing w:line="240" w:lineRule="auto"/>
    </w:pPr>
    <w:rPr>
      <w:sz w:val="20"/>
      <w:szCs w:val="20"/>
    </w:rPr>
  </w:style>
  <w:style w:type="character" w:customStyle="1" w:styleId="CommentTextChar">
    <w:name w:val="Comment Text Char"/>
    <w:basedOn w:val="DefaultParagraphFont"/>
    <w:link w:val="CommentText"/>
    <w:uiPriority w:val="99"/>
    <w:rsid w:val="006B4365"/>
    <w:rPr>
      <w:sz w:val="20"/>
      <w:szCs w:val="20"/>
    </w:rPr>
  </w:style>
  <w:style w:type="character" w:customStyle="1" w:styleId="uv3um">
    <w:name w:val="uv3um"/>
    <w:basedOn w:val="DefaultParagraphFont"/>
    <w:rsid w:val="00BD2B29"/>
  </w:style>
  <w:style w:type="character" w:customStyle="1" w:styleId="show-for-sr">
    <w:name w:val="show-for-sr"/>
    <w:basedOn w:val="DefaultParagraphFont"/>
    <w:rsid w:val="008B0443"/>
  </w:style>
  <w:style w:type="paragraph" w:styleId="Header">
    <w:name w:val="header"/>
    <w:basedOn w:val="Normal"/>
    <w:link w:val="HeaderChar"/>
    <w:uiPriority w:val="99"/>
    <w:unhideWhenUsed/>
    <w:rsid w:val="00894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DDD"/>
  </w:style>
  <w:style w:type="paragraph" w:styleId="Footer">
    <w:name w:val="footer"/>
    <w:basedOn w:val="Normal"/>
    <w:link w:val="FooterChar"/>
    <w:uiPriority w:val="99"/>
    <w:unhideWhenUsed/>
    <w:rsid w:val="00894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0773">
      <w:bodyDiv w:val="1"/>
      <w:marLeft w:val="0"/>
      <w:marRight w:val="0"/>
      <w:marTop w:val="0"/>
      <w:marBottom w:val="0"/>
      <w:divBdr>
        <w:top w:val="none" w:sz="0" w:space="0" w:color="auto"/>
        <w:left w:val="none" w:sz="0" w:space="0" w:color="auto"/>
        <w:bottom w:val="none" w:sz="0" w:space="0" w:color="auto"/>
        <w:right w:val="none" w:sz="0" w:space="0" w:color="auto"/>
      </w:divBdr>
    </w:div>
    <w:div w:id="26689070">
      <w:bodyDiv w:val="1"/>
      <w:marLeft w:val="0"/>
      <w:marRight w:val="0"/>
      <w:marTop w:val="0"/>
      <w:marBottom w:val="0"/>
      <w:divBdr>
        <w:top w:val="none" w:sz="0" w:space="0" w:color="auto"/>
        <w:left w:val="none" w:sz="0" w:space="0" w:color="auto"/>
        <w:bottom w:val="none" w:sz="0" w:space="0" w:color="auto"/>
        <w:right w:val="none" w:sz="0" w:space="0" w:color="auto"/>
      </w:divBdr>
      <w:divsChild>
        <w:div w:id="1760297103">
          <w:marLeft w:val="0"/>
          <w:marRight w:val="0"/>
          <w:marTop w:val="0"/>
          <w:marBottom w:val="0"/>
          <w:divBdr>
            <w:top w:val="none" w:sz="0" w:space="0" w:color="auto"/>
            <w:left w:val="none" w:sz="0" w:space="0" w:color="auto"/>
            <w:bottom w:val="none" w:sz="0" w:space="0" w:color="auto"/>
            <w:right w:val="none" w:sz="0" w:space="0" w:color="auto"/>
          </w:divBdr>
          <w:divsChild>
            <w:div w:id="1539194864">
              <w:marLeft w:val="0"/>
              <w:marRight w:val="0"/>
              <w:marTop w:val="0"/>
              <w:marBottom w:val="0"/>
              <w:divBdr>
                <w:top w:val="none" w:sz="0" w:space="0" w:color="auto"/>
                <w:left w:val="none" w:sz="0" w:space="0" w:color="auto"/>
                <w:bottom w:val="none" w:sz="0" w:space="0" w:color="auto"/>
                <w:right w:val="none" w:sz="0" w:space="0" w:color="auto"/>
              </w:divBdr>
              <w:divsChild>
                <w:div w:id="1726948577">
                  <w:marLeft w:val="0"/>
                  <w:marRight w:val="0"/>
                  <w:marTop w:val="0"/>
                  <w:marBottom w:val="0"/>
                  <w:divBdr>
                    <w:top w:val="none" w:sz="0" w:space="0" w:color="auto"/>
                    <w:left w:val="none" w:sz="0" w:space="0" w:color="auto"/>
                    <w:bottom w:val="none" w:sz="0" w:space="0" w:color="auto"/>
                    <w:right w:val="none" w:sz="0" w:space="0" w:color="auto"/>
                  </w:divBdr>
                  <w:divsChild>
                    <w:div w:id="2085756202">
                      <w:marLeft w:val="0"/>
                      <w:marRight w:val="0"/>
                      <w:marTop w:val="0"/>
                      <w:marBottom w:val="0"/>
                      <w:divBdr>
                        <w:top w:val="none" w:sz="0" w:space="0" w:color="auto"/>
                        <w:left w:val="none" w:sz="0" w:space="0" w:color="auto"/>
                        <w:bottom w:val="none" w:sz="0" w:space="0" w:color="auto"/>
                        <w:right w:val="none" w:sz="0" w:space="0" w:color="auto"/>
                      </w:divBdr>
                      <w:divsChild>
                        <w:div w:id="1396078190">
                          <w:marLeft w:val="0"/>
                          <w:marRight w:val="0"/>
                          <w:marTop w:val="0"/>
                          <w:marBottom w:val="0"/>
                          <w:divBdr>
                            <w:top w:val="none" w:sz="0" w:space="0" w:color="auto"/>
                            <w:left w:val="none" w:sz="0" w:space="0" w:color="auto"/>
                            <w:bottom w:val="none" w:sz="0" w:space="0" w:color="auto"/>
                            <w:right w:val="none" w:sz="0" w:space="0" w:color="auto"/>
                          </w:divBdr>
                          <w:divsChild>
                            <w:div w:id="192094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184915">
      <w:bodyDiv w:val="1"/>
      <w:marLeft w:val="0"/>
      <w:marRight w:val="0"/>
      <w:marTop w:val="0"/>
      <w:marBottom w:val="0"/>
      <w:divBdr>
        <w:top w:val="none" w:sz="0" w:space="0" w:color="auto"/>
        <w:left w:val="none" w:sz="0" w:space="0" w:color="auto"/>
        <w:bottom w:val="none" w:sz="0" w:space="0" w:color="auto"/>
        <w:right w:val="none" w:sz="0" w:space="0" w:color="auto"/>
      </w:divBdr>
    </w:div>
    <w:div w:id="32847394">
      <w:bodyDiv w:val="1"/>
      <w:marLeft w:val="0"/>
      <w:marRight w:val="0"/>
      <w:marTop w:val="0"/>
      <w:marBottom w:val="0"/>
      <w:divBdr>
        <w:top w:val="none" w:sz="0" w:space="0" w:color="auto"/>
        <w:left w:val="none" w:sz="0" w:space="0" w:color="auto"/>
        <w:bottom w:val="none" w:sz="0" w:space="0" w:color="auto"/>
        <w:right w:val="none" w:sz="0" w:space="0" w:color="auto"/>
      </w:divBdr>
    </w:div>
    <w:div w:id="48502863">
      <w:bodyDiv w:val="1"/>
      <w:marLeft w:val="0"/>
      <w:marRight w:val="0"/>
      <w:marTop w:val="0"/>
      <w:marBottom w:val="0"/>
      <w:divBdr>
        <w:top w:val="none" w:sz="0" w:space="0" w:color="auto"/>
        <w:left w:val="none" w:sz="0" w:space="0" w:color="auto"/>
        <w:bottom w:val="none" w:sz="0" w:space="0" w:color="auto"/>
        <w:right w:val="none" w:sz="0" w:space="0" w:color="auto"/>
      </w:divBdr>
    </w:div>
    <w:div w:id="49811128">
      <w:bodyDiv w:val="1"/>
      <w:marLeft w:val="0"/>
      <w:marRight w:val="0"/>
      <w:marTop w:val="0"/>
      <w:marBottom w:val="0"/>
      <w:divBdr>
        <w:top w:val="none" w:sz="0" w:space="0" w:color="auto"/>
        <w:left w:val="none" w:sz="0" w:space="0" w:color="auto"/>
        <w:bottom w:val="none" w:sz="0" w:space="0" w:color="auto"/>
        <w:right w:val="none" w:sz="0" w:space="0" w:color="auto"/>
      </w:divBdr>
    </w:div>
    <w:div w:id="50884270">
      <w:bodyDiv w:val="1"/>
      <w:marLeft w:val="0"/>
      <w:marRight w:val="0"/>
      <w:marTop w:val="0"/>
      <w:marBottom w:val="0"/>
      <w:divBdr>
        <w:top w:val="none" w:sz="0" w:space="0" w:color="auto"/>
        <w:left w:val="none" w:sz="0" w:space="0" w:color="auto"/>
        <w:bottom w:val="none" w:sz="0" w:space="0" w:color="auto"/>
        <w:right w:val="none" w:sz="0" w:space="0" w:color="auto"/>
      </w:divBdr>
    </w:div>
    <w:div w:id="104543651">
      <w:bodyDiv w:val="1"/>
      <w:marLeft w:val="0"/>
      <w:marRight w:val="0"/>
      <w:marTop w:val="0"/>
      <w:marBottom w:val="0"/>
      <w:divBdr>
        <w:top w:val="none" w:sz="0" w:space="0" w:color="auto"/>
        <w:left w:val="none" w:sz="0" w:space="0" w:color="auto"/>
        <w:bottom w:val="none" w:sz="0" w:space="0" w:color="auto"/>
        <w:right w:val="none" w:sz="0" w:space="0" w:color="auto"/>
      </w:divBdr>
    </w:div>
    <w:div w:id="118568156">
      <w:bodyDiv w:val="1"/>
      <w:marLeft w:val="0"/>
      <w:marRight w:val="0"/>
      <w:marTop w:val="0"/>
      <w:marBottom w:val="0"/>
      <w:divBdr>
        <w:top w:val="none" w:sz="0" w:space="0" w:color="auto"/>
        <w:left w:val="none" w:sz="0" w:space="0" w:color="auto"/>
        <w:bottom w:val="none" w:sz="0" w:space="0" w:color="auto"/>
        <w:right w:val="none" w:sz="0" w:space="0" w:color="auto"/>
      </w:divBdr>
    </w:div>
    <w:div w:id="142815525">
      <w:bodyDiv w:val="1"/>
      <w:marLeft w:val="0"/>
      <w:marRight w:val="0"/>
      <w:marTop w:val="0"/>
      <w:marBottom w:val="0"/>
      <w:divBdr>
        <w:top w:val="none" w:sz="0" w:space="0" w:color="auto"/>
        <w:left w:val="none" w:sz="0" w:space="0" w:color="auto"/>
        <w:bottom w:val="none" w:sz="0" w:space="0" w:color="auto"/>
        <w:right w:val="none" w:sz="0" w:space="0" w:color="auto"/>
      </w:divBdr>
    </w:div>
    <w:div w:id="152382631">
      <w:bodyDiv w:val="1"/>
      <w:marLeft w:val="0"/>
      <w:marRight w:val="0"/>
      <w:marTop w:val="0"/>
      <w:marBottom w:val="0"/>
      <w:divBdr>
        <w:top w:val="none" w:sz="0" w:space="0" w:color="auto"/>
        <w:left w:val="none" w:sz="0" w:space="0" w:color="auto"/>
        <w:bottom w:val="none" w:sz="0" w:space="0" w:color="auto"/>
        <w:right w:val="none" w:sz="0" w:space="0" w:color="auto"/>
      </w:divBdr>
    </w:div>
    <w:div w:id="156505784">
      <w:bodyDiv w:val="1"/>
      <w:marLeft w:val="0"/>
      <w:marRight w:val="0"/>
      <w:marTop w:val="0"/>
      <w:marBottom w:val="0"/>
      <w:divBdr>
        <w:top w:val="none" w:sz="0" w:space="0" w:color="auto"/>
        <w:left w:val="none" w:sz="0" w:space="0" w:color="auto"/>
        <w:bottom w:val="none" w:sz="0" w:space="0" w:color="auto"/>
        <w:right w:val="none" w:sz="0" w:space="0" w:color="auto"/>
      </w:divBdr>
    </w:div>
    <w:div w:id="163085510">
      <w:bodyDiv w:val="1"/>
      <w:marLeft w:val="0"/>
      <w:marRight w:val="0"/>
      <w:marTop w:val="0"/>
      <w:marBottom w:val="0"/>
      <w:divBdr>
        <w:top w:val="none" w:sz="0" w:space="0" w:color="auto"/>
        <w:left w:val="none" w:sz="0" w:space="0" w:color="auto"/>
        <w:bottom w:val="none" w:sz="0" w:space="0" w:color="auto"/>
        <w:right w:val="none" w:sz="0" w:space="0" w:color="auto"/>
      </w:divBdr>
    </w:div>
    <w:div w:id="189530949">
      <w:bodyDiv w:val="1"/>
      <w:marLeft w:val="0"/>
      <w:marRight w:val="0"/>
      <w:marTop w:val="0"/>
      <w:marBottom w:val="0"/>
      <w:divBdr>
        <w:top w:val="none" w:sz="0" w:space="0" w:color="auto"/>
        <w:left w:val="none" w:sz="0" w:space="0" w:color="auto"/>
        <w:bottom w:val="none" w:sz="0" w:space="0" w:color="auto"/>
        <w:right w:val="none" w:sz="0" w:space="0" w:color="auto"/>
      </w:divBdr>
    </w:div>
    <w:div w:id="196159512">
      <w:bodyDiv w:val="1"/>
      <w:marLeft w:val="0"/>
      <w:marRight w:val="0"/>
      <w:marTop w:val="0"/>
      <w:marBottom w:val="0"/>
      <w:divBdr>
        <w:top w:val="none" w:sz="0" w:space="0" w:color="auto"/>
        <w:left w:val="none" w:sz="0" w:space="0" w:color="auto"/>
        <w:bottom w:val="none" w:sz="0" w:space="0" w:color="auto"/>
        <w:right w:val="none" w:sz="0" w:space="0" w:color="auto"/>
      </w:divBdr>
    </w:div>
    <w:div w:id="225337250">
      <w:bodyDiv w:val="1"/>
      <w:marLeft w:val="0"/>
      <w:marRight w:val="0"/>
      <w:marTop w:val="0"/>
      <w:marBottom w:val="0"/>
      <w:divBdr>
        <w:top w:val="none" w:sz="0" w:space="0" w:color="auto"/>
        <w:left w:val="none" w:sz="0" w:space="0" w:color="auto"/>
        <w:bottom w:val="none" w:sz="0" w:space="0" w:color="auto"/>
        <w:right w:val="none" w:sz="0" w:space="0" w:color="auto"/>
      </w:divBdr>
    </w:div>
    <w:div w:id="255283859">
      <w:bodyDiv w:val="1"/>
      <w:marLeft w:val="0"/>
      <w:marRight w:val="0"/>
      <w:marTop w:val="0"/>
      <w:marBottom w:val="0"/>
      <w:divBdr>
        <w:top w:val="none" w:sz="0" w:space="0" w:color="auto"/>
        <w:left w:val="none" w:sz="0" w:space="0" w:color="auto"/>
        <w:bottom w:val="none" w:sz="0" w:space="0" w:color="auto"/>
        <w:right w:val="none" w:sz="0" w:space="0" w:color="auto"/>
      </w:divBdr>
      <w:divsChild>
        <w:div w:id="60616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5332515">
      <w:bodyDiv w:val="1"/>
      <w:marLeft w:val="0"/>
      <w:marRight w:val="0"/>
      <w:marTop w:val="0"/>
      <w:marBottom w:val="0"/>
      <w:divBdr>
        <w:top w:val="none" w:sz="0" w:space="0" w:color="auto"/>
        <w:left w:val="none" w:sz="0" w:space="0" w:color="auto"/>
        <w:bottom w:val="none" w:sz="0" w:space="0" w:color="auto"/>
        <w:right w:val="none" w:sz="0" w:space="0" w:color="auto"/>
      </w:divBdr>
    </w:div>
    <w:div w:id="308677995">
      <w:bodyDiv w:val="1"/>
      <w:marLeft w:val="0"/>
      <w:marRight w:val="0"/>
      <w:marTop w:val="0"/>
      <w:marBottom w:val="0"/>
      <w:divBdr>
        <w:top w:val="none" w:sz="0" w:space="0" w:color="auto"/>
        <w:left w:val="none" w:sz="0" w:space="0" w:color="auto"/>
        <w:bottom w:val="none" w:sz="0" w:space="0" w:color="auto"/>
        <w:right w:val="none" w:sz="0" w:space="0" w:color="auto"/>
      </w:divBdr>
      <w:divsChild>
        <w:div w:id="6745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998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614446">
      <w:bodyDiv w:val="1"/>
      <w:marLeft w:val="0"/>
      <w:marRight w:val="0"/>
      <w:marTop w:val="0"/>
      <w:marBottom w:val="0"/>
      <w:divBdr>
        <w:top w:val="none" w:sz="0" w:space="0" w:color="auto"/>
        <w:left w:val="none" w:sz="0" w:space="0" w:color="auto"/>
        <w:bottom w:val="none" w:sz="0" w:space="0" w:color="auto"/>
        <w:right w:val="none" w:sz="0" w:space="0" w:color="auto"/>
      </w:divBdr>
      <w:divsChild>
        <w:div w:id="1840383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596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701726">
      <w:bodyDiv w:val="1"/>
      <w:marLeft w:val="0"/>
      <w:marRight w:val="0"/>
      <w:marTop w:val="0"/>
      <w:marBottom w:val="0"/>
      <w:divBdr>
        <w:top w:val="none" w:sz="0" w:space="0" w:color="auto"/>
        <w:left w:val="none" w:sz="0" w:space="0" w:color="auto"/>
        <w:bottom w:val="none" w:sz="0" w:space="0" w:color="auto"/>
        <w:right w:val="none" w:sz="0" w:space="0" w:color="auto"/>
      </w:divBdr>
    </w:div>
    <w:div w:id="378750499">
      <w:bodyDiv w:val="1"/>
      <w:marLeft w:val="0"/>
      <w:marRight w:val="0"/>
      <w:marTop w:val="0"/>
      <w:marBottom w:val="0"/>
      <w:divBdr>
        <w:top w:val="none" w:sz="0" w:space="0" w:color="auto"/>
        <w:left w:val="none" w:sz="0" w:space="0" w:color="auto"/>
        <w:bottom w:val="none" w:sz="0" w:space="0" w:color="auto"/>
        <w:right w:val="none" w:sz="0" w:space="0" w:color="auto"/>
      </w:divBdr>
      <w:divsChild>
        <w:div w:id="1464032576">
          <w:marLeft w:val="0"/>
          <w:marRight w:val="0"/>
          <w:marTop w:val="0"/>
          <w:marBottom w:val="0"/>
          <w:divBdr>
            <w:top w:val="none" w:sz="0" w:space="0" w:color="auto"/>
            <w:left w:val="none" w:sz="0" w:space="0" w:color="auto"/>
            <w:bottom w:val="none" w:sz="0" w:space="0" w:color="auto"/>
            <w:right w:val="none" w:sz="0" w:space="0" w:color="auto"/>
          </w:divBdr>
          <w:divsChild>
            <w:div w:id="1194272006">
              <w:marLeft w:val="0"/>
              <w:marRight w:val="0"/>
              <w:marTop w:val="0"/>
              <w:marBottom w:val="0"/>
              <w:divBdr>
                <w:top w:val="none" w:sz="0" w:space="0" w:color="auto"/>
                <w:left w:val="none" w:sz="0" w:space="0" w:color="auto"/>
                <w:bottom w:val="none" w:sz="0" w:space="0" w:color="auto"/>
                <w:right w:val="none" w:sz="0" w:space="0" w:color="auto"/>
              </w:divBdr>
              <w:divsChild>
                <w:div w:id="195655950">
                  <w:marLeft w:val="0"/>
                  <w:marRight w:val="0"/>
                  <w:marTop w:val="0"/>
                  <w:marBottom w:val="0"/>
                  <w:divBdr>
                    <w:top w:val="none" w:sz="0" w:space="0" w:color="auto"/>
                    <w:left w:val="none" w:sz="0" w:space="0" w:color="auto"/>
                    <w:bottom w:val="none" w:sz="0" w:space="0" w:color="auto"/>
                    <w:right w:val="none" w:sz="0" w:space="0" w:color="auto"/>
                  </w:divBdr>
                  <w:divsChild>
                    <w:div w:id="283386569">
                      <w:marLeft w:val="0"/>
                      <w:marRight w:val="0"/>
                      <w:marTop w:val="0"/>
                      <w:marBottom w:val="0"/>
                      <w:divBdr>
                        <w:top w:val="none" w:sz="0" w:space="0" w:color="auto"/>
                        <w:left w:val="none" w:sz="0" w:space="0" w:color="auto"/>
                        <w:bottom w:val="none" w:sz="0" w:space="0" w:color="auto"/>
                        <w:right w:val="none" w:sz="0" w:space="0" w:color="auto"/>
                      </w:divBdr>
                      <w:divsChild>
                        <w:div w:id="1571234111">
                          <w:marLeft w:val="0"/>
                          <w:marRight w:val="0"/>
                          <w:marTop w:val="0"/>
                          <w:marBottom w:val="0"/>
                          <w:divBdr>
                            <w:top w:val="none" w:sz="0" w:space="0" w:color="auto"/>
                            <w:left w:val="none" w:sz="0" w:space="0" w:color="auto"/>
                            <w:bottom w:val="none" w:sz="0" w:space="0" w:color="auto"/>
                            <w:right w:val="none" w:sz="0" w:space="0" w:color="auto"/>
                          </w:divBdr>
                          <w:divsChild>
                            <w:div w:id="29078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359005">
      <w:bodyDiv w:val="1"/>
      <w:marLeft w:val="0"/>
      <w:marRight w:val="0"/>
      <w:marTop w:val="0"/>
      <w:marBottom w:val="0"/>
      <w:divBdr>
        <w:top w:val="none" w:sz="0" w:space="0" w:color="auto"/>
        <w:left w:val="none" w:sz="0" w:space="0" w:color="auto"/>
        <w:bottom w:val="none" w:sz="0" w:space="0" w:color="auto"/>
        <w:right w:val="none" w:sz="0" w:space="0" w:color="auto"/>
      </w:divBdr>
    </w:div>
    <w:div w:id="420612272">
      <w:bodyDiv w:val="1"/>
      <w:marLeft w:val="0"/>
      <w:marRight w:val="0"/>
      <w:marTop w:val="0"/>
      <w:marBottom w:val="0"/>
      <w:divBdr>
        <w:top w:val="none" w:sz="0" w:space="0" w:color="auto"/>
        <w:left w:val="none" w:sz="0" w:space="0" w:color="auto"/>
        <w:bottom w:val="none" w:sz="0" w:space="0" w:color="auto"/>
        <w:right w:val="none" w:sz="0" w:space="0" w:color="auto"/>
      </w:divBdr>
    </w:div>
    <w:div w:id="467749186">
      <w:bodyDiv w:val="1"/>
      <w:marLeft w:val="0"/>
      <w:marRight w:val="0"/>
      <w:marTop w:val="0"/>
      <w:marBottom w:val="0"/>
      <w:divBdr>
        <w:top w:val="none" w:sz="0" w:space="0" w:color="auto"/>
        <w:left w:val="none" w:sz="0" w:space="0" w:color="auto"/>
        <w:bottom w:val="none" w:sz="0" w:space="0" w:color="auto"/>
        <w:right w:val="none" w:sz="0" w:space="0" w:color="auto"/>
      </w:divBdr>
    </w:div>
    <w:div w:id="489978411">
      <w:bodyDiv w:val="1"/>
      <w:marLeft w:val="0"/>
      <w:marRight w:val="0"/>
      <w:marTop w:val="0"/>
      <w:marBottom w:val="0"/>
      <w:divBdr>
        <w:top w:val="none" w:sz="0" w:space="0" w:color="auto"/>
        <w:left w:val="none" w:sz="0" w:space="0" w:color="auto"/>
        <w:bottom w:val="none" w:sz="0" w:space="0" w:color="auto"/>
        <w:right w:val="none" w:sz="0" w:space="0" w:color="auto"/>
      </w:divBdr>
    </w:div>
    <w:div w:id="515923345">
      <w:bodyDiv w:val="1"/>
      <w:marLeft w:val="0"/>
      <w:marRight w:val="0"/>
      <w:marTop w:val="0"/>
      <w:marBottom w:val="0"/>
      <w:divBdr>
        <w:top w:val="none" w:sz="0" w:space="0" w:color="auto"/>
        <w:left w:val="none" w:sz="0" w:space="0" w:color="auto"/>
        <w:bottom w:val="none" w:sz="0" w:space="0" w:color="auto"/>
        <w:right w:val="none" w:sz="0" w:space="0" w:color="auto"/>
      </w:divBdr>
    </w:div>
    <w:div w:id="524292574">
      <w:bodyDiv w:val="1"/>
      <w:marLeft w:val="0"/>
      <w:marRight w:val="0"/>
      <w:marTop w:val="0"/>
      <w:marBottom w:val="0"/>
      <w:divBdr>
        <w:top w:val="none" w:sz="0" w:space="0" w:color="auto"/>
        <w:left w:val="none" w:sz="0" w:space="0" w:color="auto"/>
        <w:bottom w:val="none" w:sz="0" w:space="0" w:color="auto"/>
        <w:right w:val="none" w:sz="0" w:space="0" w:color="auto"/>
      </w:divBdr>
    </w:div>
    <w:div w:id="525946419">
      <w:bodyDiv w:val="1"/>
      <w:marLeft w:val="0"/>
      <w:marRight w:val="0"/>
      <w:marTop w:val="0"/>
      <w:marBottom w:val="0"/>
      <w:divBdr>
        <w:top w:val="none" w:sz="0" w:space="0" w:color="auto"/>
        <w:left w:val="none" w:sz="0" w:space="0" w:color="auto"/>
        <w:bottom w:val="none" w:sz="0" w:space="0" w:color="auto"/>
        <w:right w:val="none" w:sz="0" w:space="0" w:color="auto"/>
      </w:divBdr>
    </w:div>
    <w:div w:id="579681982">
      <w:bodyDiv w:val="1"/>
      <w:marLeft w:val="0"/>
      <w:marRight w:val="0"/>
      <w:marTop w:val="0"/>
      <w:marBottom w:val="0"/>
      <w:divBdr>
        <w:top w:val="none" w:sz="0" w:space="0" w:color="auto"/>
        <w:left w:val="none" w:sz="0" w:space="0" w:color="auto"/>
        <w:bottom w:val="none" w:sz="0" w:space="0" w:color="auto"/>
        <w:right w:val="none" w:sz="0" w:space="0" w:color="auto"/>
      </w:divBdr>
    </w:div>
    <w:div w:id="582882332">
      <w:bodyDiv w:val="1"/>
      <w:marLeft w:val="0"/>
      <w:marRight w:val="0"/>
      <w:marTop w:val="0"/>
      <w:marBottom w:val="0"/>
      <w:divBdr>
        <w:top w:val="none" w:sz="0" w:space="0" w:color="auto"/>
        <w:left w:val="none" w:sz="0" w:space="0" w:color="auto"/>
        <w:bottom w:val="none" w:sz="0" w:space="0" w:color="auto"/>
        <w:right w:val="none" w:sz="0" w:space="0" w:color="auto"/>
      </w:divBdr>
    </w:div>
    <w:div w:id="596056886">
      <w:bodyDiv w:val="1"/>
      <w:marLeft w:val="0"/>
      <w:marRight w:val="0"/>
      <w:marTop w:val="0"/>
      <w:marBottom w:val="0"/>
      <w:divBdr>
        <w:top w:val="none" w:sz="0" w:space="0" w:color="auto"/>
        <w:left w:val="none" w:sz="0" w:space="0" w:color="auto"/>
        <w:bottom w:val="none" w:sz="0" w:space="0" w:color="auto"/>
        <w:right w:val="none" w:sz="0" w:space="0" w:color="auto"/>
      </w:divBdr>
    </w:div>
    <w:div w:id="640580645">
      <w:bodyDiv w:val="1"/>
      <w:marLeft w:val="0"/>
      <w:marRight w:val="0"/>
      <w:marTop w:val="0"/>
      <w:marBottom w:val="0"/>
      <w:divBdr>
        <w:top w:val="none" w:sz="0" w:space="0" w:color="auto"/>
        <w:left w:val="none" w:sz="0" w:space="0" w:color="auto"/>
        <w:bottom w:val="none" w:sz="0" w:space="0" w:color="auto"/>
        <w:right w:val="none" w:sz="0" w:space="0" w:color="auto"/>
      </w:divBdr>
    </w:div>
    <w:div w:id="648168293">
      <w:bodyDiv w:val="1"/>
      <w:marLeft w:val="0"/>
      <w:marRight w:val="0"/>
      <w:marTop w:val="0"/>
      <w:marBottom w:val="0"/>
      <w:divBdr>
        <w:top w:val="none" w:sz="0" w:space="0" w:color="auto"/>
        <w:left w:val="none" w:sz="0" w:space="0" w:color="auto"/>
        <w:bottom w:val="none" w:sz="0" w:space="0" w:color="auto"/>
        <w:right w:val="none" w:sz="0" w:space="0" w:color="auto"/>
      </w:divBdr>
    </w:div>
    <w:div w:id="673725856">
      <w:bodyDiv w:val="1"/>
      <w:marLeft w:val="0"/>
      <w:marRight w:val="0"/>
      <w:marTop w:val="0"/>
      <w:marBottom w:val="0"/>
      <w:divBdr>
        <w:top w:val="none" w:sz="0" w:space="0" w:color="auto"/>
        <w:left w:val="none" w:sz="0" w:space="0" w:color="auto"/>
        <w:bottom w:val="none" w:sz="0" w:space="0" w:color="auto"/>
        <w:right w:val="none" w:sz="0" w:space="0" w:color="auto"/>
      </w:divBdr>
    </w:div>
    <w:div w:id="676074192">
      <w:bodyDiv w:val="1"/>
      <w:marLeft w:val="0"/>
      <w:marRight w:val="0"/>
      <w:marTop w:val="0"/>
      <w:marBottom w:val="0"/>
      <w:divBdr>
        <w:top w:val="none" w:sz="0" w:space="0" w:color="auto"/>
        <w:left w:val="none" w:sz="0" w:space="0" w:color="auto"/>
        <w:bottom w:val="none" w:sz="0" w:space="0" w:color="auto"/>
        <w:right w:val="none" w:sz="0" w:space="0" w:color="auto"/>
      </w:divBdr>
      <w:divsChild>
        <w:div w:id="1958027714">
          <w:marLeft w:val="0"/>
          <w:marRight w:val="0"/>
          <w:marTop w:val="300"/>
          <w:marBottom w:val="150"/>
          <w:divBdr>
            <w:top w:val="none" w:sz="0" w:space="0" w:color="auto"/>
            <w:left w:val="none" w:sz="0" w:space="0" w:color="auto"/>
            <w:bottom w:val="none" w:sz="0" w:space="0" w:color="auto"/>
            <w:right w:val="none" w:sz="0" w:space="0" w:color="auto"/>
          </w:divBdr>
        </w:div>
      </w:divsChild>
    </w:div>
    <w:div w:id="676462901">
      <w:bodyDiv w:val="1"/>
      <w:marLeft w:val="0"/>
      <w:marRight w:val="0"/>
      <w:marTop w:val="0"/>
      <w:marBottom w:val="0"/>
      <w:divBdr>
        <w:top w:val="none" w:sz="0" w:space="0" w:color="auto"/>
        <w:left w:val="none" w:sz="0" w:space="0" w:color="auto"/>
        <w:bottom w:val="none" w:sz="0" w:space="0" w:color="auto"/>
        <w:right w:val="none" w:sz="0" w:space="0" w:color="auto"/>
      </w:divBdr>
    </w:div>
    <w:div w:id="681663790">
      <w:bodyDiv w:val="1"/>
      <w:marLeft w:val="0"/>
      <w:marRight w:val="0"/>
      <w:marTop w:val="0"/>
      <w:marBottom w:val="0"/>
      <w:divBdr>
        <w:top w:val="none" w:sz="0" w:space="0" w:color="auto"/>
        <w:left w:val="none" w:sz="0" w:space="0" w:color="auto"/>
        <w:bottom w:val="none" w:sz="0" w:space="0" w:color="auto"/>
        <w:right w:val="none" w:sz="0" w:space="0" w:color="auto"/>
      </w:divBdr>
    </w:div>
    <w:div w:id="684134666">
      <w:bodyDiv w:val="1"/>
      <w:marLeft w:val="0"/>
      <w:marRight w:val="0"/>
      <w:marTop w:val="0"/>
      <w:marBottom w:val="0"/>
      <w:divBdr>
        <w:top w:val="none" w:sz="0" w:space="0" w:color="auto"/>
        <w:left w:val="none" w:sz="0" w:space="0" w:color="auto"/>
        <w:bottom w:val="none" w:sz="0" w:space="0" w:color="auto"/>
        <w:right w:val="none" w:sz="0" w:space="0" w:color="auto"/>
      </w:divBdr>
    </w:div>
    <w:div w:id="724185164">
      <w:bodyDiv w:val="1"/>
      <w:marLeft w:val="0"/>
      <w:marRight w:val="0"/>
      <w:marTop w:val="0"/>
      <w:marBottom w:val="0"/>
      <w:divBdr>
        <w:top w:val="none" w:sz="0" w:space="0" w:color="auto"/>
        <w:left w:val="none" w:sz="0" w:space="0" w:color="auto"/>
        <w:bottom w:val="none" w:sz="0" w:space="0" w:color="auto"/>
        <w:right w:val="none" w:sz="0" w:space="0" w:color="auto"/>
      </w:divBdr>
    </w:div>
    <w:div w:id="747314387">
      <w:bodyDiv w:val="1"/>
      <w:marLeft w:val="0"/>
      <w:marRight w:val="0"/>
      <w:marTop w:val="0"/>
      <w:marBottom w:val="0"/>
      <w:divBdr>
        <w:top w:val="none" w:sz="0" w:space="0" w:color="auto"/>
        <w:left w:val="none" w:sz="0" w:space="0" w:color="auto"/>
        <w:bottom w:val="none" w:sz="0" w:space="0" w:color="auto"/>
        <w:right w:val="none" w:sz="0" w:space="0" w:color="auto"/>
      </w:divBdr>
    </w:div>
    <w:div w:id="757671655">
      <w:bodyDiv w:val="1"/>
      <w:marLeft w:val="0"/>
      <w:marRight w:val="0"/>
      <w:marTop w:val="0"/>
      <w:marBottom w:val="0"/>
      <w:divBdr>
        <w:top w:val="none" w:sz="0" w:space="0" w:color="auto"/>
        <w:left w:val="none" w:sz="0" w:space="0" w:color="auto"/>
        <w:bottom w:val="none" w:sz="0" w:space="0" w:color="auto"/>
        <w:right w:val="none" w:sz="0" w:space="0" w:color="auto"/>
      </w:divBdr>
    </w:div>
    <w:div w:id="765613056">
      <w:bodyDiv w:val="1"/>
      <w:marLeft w:val="0"/>
      <w:marRight w:val="0"/>
      <w:marTop w:val="0"/>
      <w:marBottom w:val="0"/>
      <w:divBdr>
        <w:top w:val="none" w:sz="0" w:space="0" w:color="auto"/>
        <w:left w:val="none" w:sz="0" w:space="0" w:color="auto"/>
        <w:bottom w:val="none" w:sz="0" w:space="0" w:color="auto"/>
        <w:right w:val="none" w:sz="0" w:space="0" w:color="auto"/>
      </w:divBdr>
      <w:divsChild>
        <w:div w:id="1625766090">
          <w:marLeft w:val="0"/>
          <w:marRight w:val="0"/>
          <w:marTop w:val="0"/>
          <w:marBottom w:val="300"/>
          <w:divBdr>
            <w:top w:val="none" w:sz="0" w:space="0" w:color="auto"/>
            <w:left w:val="none" w:sz="0" w:space="0" w:color="auto"/>
            <w:bottom w:val="none" w:sz="0" w:space="0" w:color="auto"/>
            <w:right w:val="none" w:sz="0" w:space="0" w:color="auto"/>
          </w:divBdr>
        </w:div>
        <w:div w:id="861473767">
          <w:marLeft w:val="0"/>
          <w:marRight w:val="0"/>
          <w:marTop w:val="300"/>
          <w:marBottom w:val="150"/>
          <w:divBdr>
            <w:top w:val="none" w:sz="0" w:space="0" w:color="auto"/>
            <w:left w:val="none" w:sz="0" w:space="0" w:color="auto"/>
            <w:bottom w:val="none" w:sz="0" w:space="0" w:color="auto"/>
            <w:right w:val="none" w:sz="0" w:space="0" w:color="auto"/>
          </w:divBdr>
        </w:div>
      </w:divsChild>
    </w:div>
    <w:div w:id="771097923">
      <w:bodyDiv w:val="1"/>
      <w:marLeft w:val="0"/>
      <w:marRight w:val="0"/>
      <w:marTop w:val="0"/>
      <w:marBottom w:val="0"/>
      <w:divBdr>
        <w:top w:val="none" w:sz="0" w:space="0" w:color="auto"/>
        <w:left w:val="none" w:sz="0" w:space="0" w:color="auto"/>
        <w:bottom w:val="none" w:sz="0" w:space="0" w:color="auto"/>
        <w:right w:val="none" w:sz="0" w:space="0" w:color="auto"/>
      </w:divBdr>
    </w:div>
    <w:div w:id="802313452">
      <w:bodyDiv w:val="1"/>
      <w:marLeft w:val="0"/>
      <w:marRight w:val="0"/>
      <w:marTop w:val="0"/>
      <w:marBottom w:val="0"/>
      <w:divBdr>
        <w:top w:val="none" w:sz="0" w:space="0" w:color="auto"/>
        <w:left w:val="none" w:sz="0" w:space="0" w:color="auto"/>
        <w:bottom w:val="none" w:sz="0" w:space="0" w:color="auto"/>
        <w:right w:val="none" w:sz="0" w:space="0" w:color="auto"/>
      </w:divBdr>
    </w:div>
    <w:div w:id="820774671">
      <w:bodyDiv w:val="1"/>
      <w:marLeft w:val="0"/>
      <w:marRight w:val="0"/>
      <w:marTop w:val="0"/>
      <w:marBottom w:val="0"/>
      <w:divBdr>
        <w:top w:val="none" w:sz="0" w:space="0" w:color="auto"/>
        <w:left w:val="none" w:sz="0" w:space="0" w:color="auto"/>
        <w:bottom w:val="none" w:sz="0" w:space="0" w:color="auto"/>
        <w:right w:val="none" w:sz="0" w:space="0" w:color="auto"/>
      </w:divBdr>
      <w:divsChild>
        <w:div w:id="281692940">
          <w:blockQuote w:val="1"/>
          <w:marLeft w:val="720"/>
          <w:marRight w:val="720"/>
          <w:marTop w:val="100"/>
          <w:marBottom w:val="100"/>
          <w:divBdr>
            <w:top w:val="none" w:sz="0" w:space="0" w:color="auto"/>
            <w:left w:val="none" w:sz="0" w:space="0" w:color="auto"/>
            <w:bottom w:val="none" w:sz="0" w:space="0" w:color="auto"/>
            <w:right w:val="none" w:sz="0" w:space="0" w:color="auto"/>
          </w:divBdr>
        </w:div>
        <w:div w:id="494340593">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461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226846">
      <w:bodyDiv w:val="1"/>
      <w:marLeft w:val="0"/>
      <w:marRight w:val="0"/>
      <w:marTop w:val="0"/>
      <w:marBottom w:val="0"/>
      <w:divBdr>
        <w:top w:val="none" w:sz="0" w:space="0" w:color="auto"/>
        <w:left w:val="none" w:sz="0" w:space="0" w:color="auto"/>
        <w:bottom w:val="none" w:sz="0" w:space="0" w:color="auto"/>
        <w:right w:val="none" w:sz="0" w:space="0" w:color="auto"/>
      </w:divBdr>
    </w:div>
    <w:div w:id="853374651">
      <w:bodyDiv w:val="1"/>
      <w:marLeft w:val="0"/>
      <w:marRight w:val="0"/>
      <w:marTop w:val="0"/>
      <w:marBottom w:val="0"/>
      <w:divBdr>
        <w:top w:val="none" w:sz="0" w:space="0" w:color="auto"/>
        <w:left w:val="none" w:sz="0" w:space="0" w:color="auto"/>
        <w:bottom w:val="none" w:sz="0" w:space="0" w:color="auto"/>
        <w:right w:val="none" w:sz="0" w:space="0" w:color="auto"/>
      </w:divBdr>
    </w:div>
    <w:div w:id="857693087">
      <w:bodyDiv w:val="1"/>
      <w:marLeft w:val="0"/>
      <w:marRight w:val="0"/>
      <w:marTop w:val="0"/>
      <w:marBottom w:val="0"/>
      <w:divBdr>
        <w:top w:val="none" w:sz="0" w:space="0" w:color="auto"/>
        <w:left w:val="none" w:sz="0" w:space="0" w:color="auto"/>
        <w:bottom w:val="none" w:sz="0" w:space="0" w:color="auto"/>
        <w:right w:val="none" w:sz="0" w:space="0" w:color="auto"/>
      </w:divBdr>
    </w:div>
    <w:div w:id="875316726">
      <w:bodyDiv w:val="1"/>
      <w:marLeft w:val="0"/>
      <w:marRight w:val="0"/>
      <w:marTop w:val="0"/>
      <w:marBottom w:val="0"/>
      <w:divBdr>
        <w:top w:val="none" w:sz="0" w:space="0" w:color="auto"/>
        <w:left w:val="none" w:sz="0" w:space="0" w:color="auto"/>
        <w:bottom w:val="none" w:sz="0" w:space="0" w:color="auto"/>
        <w:right w:val="none" w:sz="0" w:space="0" w:color="auto"/>
      </w:divBdr>
    </w:div>
    <w:div w:id="880243598">
      <w:bodyDiv w:val="1"/>
      <w:marLeft w:val="0"/>
      <w:marRight w:val="0"/>
      <w:marTop w:val="0"/>
      <w:marBottom w:val="0"/>
      <w:divBdr>
        <w:top w:val="none" w:sz="0" w:space="0" w:color="auto"/>
        <w:left w:val="none" w:sz="0" w:space="0" w:color="auto"/>
        <w:bottom w:val="none" w:sz="0" w:space="0" w:color="auto"/>
        <w:right w:val="none" w:sz="0" w:space="0" w:color="auto"/>
      </w:divBdr>
    </w:div>
    <w:div w:id="918641391">
      <w:bodyDiv w:val="1"/>
      <w:marLeft w:val="0"/>
      <w:marRight w:val="0"/>
      <w:marTop w:val="0"/>
      <w:marBottom w:val="0"/>
      <w:divBdr>
        <w:top w:val="none" w:sz="0" w:space="0" w:color="auto"/>
        <w:left w:val="none" w:sz="0" w:space="0" w:color="auto"/>
        <w:bottom w:val="none" w:sz="0" w:space="0" w:color="auto"/>
        <w:right w:val="none" w:sz="0" w:space="0" w:color="auto"/>
      </w:divBdr>
    </w:div>
    <w:div w:id="942765621">
      <w:bodyDiv w:val="1"/>
      <w:marLeft w:val="0"/>
      <w:marRight w:val="0"/>
      <w:marTop w:val="0"/>
      <w:marBottom w:val="0"/>
      <w:divBdr>
        <w:top w:val="none" w:sz="0" w:space="0" w:color="auto"/>
        <w:left w:val="none" w:sz="0" w:space="0" w:color="auto"/>
        <w:bottom w:val="none" w:sz="0" w:space="0" w:color="auto"/>
        <w:right w:val="none" w:sz="0" w:space="0" w:color="auto"/>
      </w:divBdr>
    </w:div>
    <w:div w:id="943149571">
      <w:bodyDiv w:val="1"/>
      <w:marLeft w:val="0"/>
      <w:marRight w:val="0"/>
      <w:marTop w:val="0"/>
      <w:marBottom w:val="0"/>
      <w:divBdr>
        <w:top w:val="none" w:sz="0" w:space="0" w:color="auto"/>
        <w:left w:val="none" w:sz="0" w:space="0" w:color="auto"/>
        <w:bottom w:val="none" w:sz="0" w:space="0" w:color="auto"/>
        <w:right w:val="none" w:sz="0" w:space="0" w:color="auto"/>
      </w:divBdr>
    </w:div>
    <w:div w:id="949820646">
      <w:bodyDiv w:val="1"/>
      <w:marLeft w:val="0"/>
      <w:marRight w:val="0"/>
      <w:marTop w:val="0"/>
      <w:marBottom w:val="0"/>
      <w:divBdr>
        <w:top w:val="none" w:sz="0" w:space="0" w:color="auto"/>
        <w:left w:val="none" w:sz="0" w:space="0" w:color="auto"/>
        <w:bottom w:val="none" w:sz="0" w:space="0" w:color="auto"/>
        <w:right w:val="none" w:sz="0" w:space="0" w:color="auto"/>
      </w:divBdr>
    </w:div>
    <w:div w:id="970984146">
      <w:bodyDiv w:val="1"/>
      <w:marLeft w:val="0"/>
      <w:marRight w:val="0"/>
      <w:marTop w:val="0"/>
      <w:marBottom w:val="0"/>
      <w:divBdr>
        <w:top w:val="none" w:sz="0" w:space="0" w:color="auto"/>
        <w:left w:val="none" w:sz="0" w:space="0" w:color="auto"/>
        <w:bottom w:val="none" w:sz="0" w:space="0" w:color="auto"/>
        <w:right w:val="none" w:sz="0" w:space="0" w:color="auto"/>
      </w:divBdr>
    </w:div>
    <w:div w:id="1024752376">
      <w:bodyDiv w:val="1"/>
      <w:marLeft w:val="0"/>
      <w:marRight w:val="0"/>
      <w:marTop w:val="0"/>
      <w:marBottom w:val="0"/>
      <w:divBdr>
        <w:top w:val="none" w:sz="0" w:space="0" w:color="auto"/>
        <w:left w:val="none" w:sz="0" w:space="0" w:color="auto"/>
        <w:bottom w:val="none" w:sz="0" w:space="0" w:color="auto"/>
        <w:right w:val="none" w:sz="0" w:space="0" w:color="auto"/>
      </w:divBdr>
    </w:div>
    <w:div w:id="1033193636">
      <w:bodyDiv w:val="1"/>
      <w:marLeft w:val="0"/>
      <w:marRight w:val="0"/>
      <w:marTop w:val="0"/>
      <w:marBottom w:val="0"/>
      <w:divBdr>
        <w:top w:val="none" w:sz="0" w:space="0" w:color="auto"/>
        <w:left w:val="none" w:sz="0" w:space="0" w:color="auto"/>
        <w:bottom w:val="none" w:sz="0" w:space="0" w:color="auto"/>
        <w:right w:val="none" w:sz="0" w:space="0" w:color="auto"/>
      </w:divBdr>
    </w:div>
    <w:div w:id="1048725541">
      <w:bodyDiv w:val="1"/>
      <w:marLeft w:val="0"/>
      <w:marRight w:val="0"/>
      <w:marTop w:val="0"/>
      <w:marBottom w:val="0"/>
      <w:divBdr>
        <w:top w:val="none" w:sz="0" w:space="0" w:color="auto"/>
        <w:left w:val="none" w:sz="0" w:space="0" w:color="auto"/>
        <w:bottom w:val="none" w:sz="0" w:space="0" w:color="auto"/>
        <w:right w:val="none" w:sz="0" w:space="0" w:color="auto"/>
      </w:divBdr>
    </w:div>
    <w:div w:id="1099178423">
      <w:bodyDiv w:val="1"/>
      <w:marLeft w:val="0"/>
      <w:marRight w:val="0"/>
      <w:marTop w:val="0"/>
      <w:marBottom w:val="0"/>
      <w:divBdr>
        <w:top w:val="none" w:sz="0" w:space="0" w:color="auto"/>
        <w:left w:val="none" w:sz="0" w:space="0" w:color="auto"/>
        <w:bottom w:val="none" w:sz="0" w:space="0" w:color="auto"/>
        <w:right w:val="none" w:sz="0" w:space="0" w:color="auto"/>
      </w:divBdr>
    </w:div>
    <w:div w:id="1115833301">
      <w:bodyDiv w:val="1"/>
      <w:marLeft w:val="0"/>
      <w:marRight w:val="0"/>
      <w:marTop w:val="0"/>
      <w:marBottom w:val="0"/>
      <w:divBdr>
        <w:top w:val="none" w:sz="0" w:space="0" w:color="auto"/>
        <w:left w:val="none" w:sz="0" w:space="0" w:color="auto"/>
        <w:bottom w:val="none" w:sz="0" w:space="0" w:color="auto"/>
        <w:right w:val="none" w:sz="0" w:space="0" w:color="auto"/>
      </w:divBdr>
    </w:div>
    <w:div w:id="1126895871">
      <w:bodyDiv w:val="1"/>
      <w:marLeft w:val="0"/>
      <w:marRight w:val="0"/>
      <w:marTop w:val="0"/>
      <w:marBottom w:val="0"/>
      <w:divBdr>
        <w:top w:val="none" w:sz="0" w:space="0" w:color="auto"/>
        <w:left w:val="none" w:sz="0" w:space="0" w:color="auto"/>
        <w:bottom w:val="none" w:sz="0" w:space="0" w:color="auto"/>
        <w:right w:val="none" w:sz="0" w:space="0" w:color="auto"/>
      </w:divBdr>
    </w:div>
    <w:div w:id="1134953033">
      <w:bodyDiv w:val="1"/>
      <w:marLeft w:val="0"/>
      <w:marRight w:val="0"/>
      <w:marTop w:val="0"/>
      <w:marBottom w:val="0"/>
      <w:divBdr>
        <w:top w:val="none" w:sz="0" w:space="0" w:color="auto"/>
        <w:left w:val="none" w:sz="0" w:space="0" w:color="auto"/>
        <w:bottom w:val="none" w:sz="0" w:space="0" w:color="auto"/>
        <w:right w:val="none" w:sz="0" w:space="0" w:color="auto"/>
      </w:divBdr>
    </w:div>
    <w:div w:id="1142163066">
      <w:bodyDiv w:val="1"/>
      <w:marLeft w:val="0"/>
      <w:marRight w:val="0"/>
      <w:marTop w:val="0"/>
      <w:marBottom w:val="0"/>
      <w:divBdr>
        <w:top w:val="none" w:sz="0" w:space="0" w:color="auto"/>
        <w:left w:val="none" w:sz="0" w:space="0" w:color="auto"/>
        <w:bottom w:val="none" w:sz="0" w:space="0" w:color="auto"/>
        <w:right w:val="none" w:sz="0" w:space="0" w:color="auto"/>
      </w:divBdr>
    </w:div>
    <w:div w:id="1149596710">
      <w:bodyDiv w:val="1"/>
      <w:marLeft w:val="0"/>
      <w:marRight w:val="0"/>
      <w:marTop w:val="0"/>
      <w:marBottom w:val="0"/>
      <w:divBdr>
        <w:top w:val="none" w:sz="0" w:space="0" w:color="auto"/>
        <w:left w:val="none" w:sz="0" w:space="0" w:color="auto"/>
        <w:bottom w:val="none" w:sz="0" w:space="0" w:color="auto"/>
        <w:right w:val="none" w:sz="0" w:space="0" w:color="auto"/>
      </w:divBdr>
    </w:div>
    <w:div w:id="1150443733">
      <w:bodyDiv w:val="1"/>
      <w:marLeft w:val="0"/>
      <w:marRight w:val="0"/>
      <w:marTop w:val="0"/>
      <w:marBottom w:val="0"/>
      <w:divBdr>
        <w:top w:val="none" w:sz="0" w:space="0" w:color="auto"/>
        <w:left w:val="none" w:sz="0" w:space="0" w:color="auto"/>
        <w:bottom w:val="none" w:sz="0" w:space="0" w:color="auto"/>
        <w:right w:val="none" w:sz="0" w:space="0" w:color="auto"/>
      </w:divBdr>
    </w:div>
    <w:div w:id="1176506248">
      <w:bodyDiv w:val="1"/>
      <w:marLeft w:val="0"/>
      <w:marRight w:val="0"/>
      <w:marTop w:val="0"/>
      <w:marBottom w:val="0"/>
      <w:divBdr>
        <w:top w:val="none" w:sz="0" w:space="0" w:color="auto"/>
        <w:left w:val="none" w:sz="0" w:space="0" w:color="auto"/>
        <w:bottom w:val="none" w:sz="0" w:space="0" w:color="auto"/>
        <w:right w:val="none" w:sz="0" w:space="0" w:color="auto"/>
      </w:divBdr>
    </w:div>
    <w:div w:id="1179663187">
      <w:bodyDiv w:val="1"/>
      <w:marLeft w:val="0"/>
      <w:marRight w:val="0"/>
      <w:marTop w:val="0"/>
      <w:marBottom w:val="0"/>
      <w:divBdr>
        <w:top w:val="none" w:sz="0" w:space="0" w:color="auto"/>
        <w:left w:val="none" w:sz="0" w:space="0" w:color="auto"/>
        <w:bottom w:val="none" w:sz="0" w:space="0" w:color="auto"/>
        <w:right w:val="none" w:sz="0" w:space="0" w:color="auto"/>
      </w:divBdr>
    </w:div>
    <w:div w:id="1182085470">
      <w:bodyDiv w:val="1"/>
      <w:marLeft w:val="0"/>
      <w:marRight w:val="0"/>
      <w:marTop w:val="0"/>
      <w:marBottom w:val="0"/>
      <w:divBdr>
        <w:top w:val="none" w:sz="0" w:space="0" w:color="auto"/>
        <w:left w:val="none" w:sz="0" w:space="0" w:color="auto"/>
        <w:bottom w:val="none" w:sz="0" w:space="0" w:color="auto"/>
        <w:right w:val="none" w:sz="0" w:space="0" w:color="auto"/>
      </w:divBdr>
    </w:div>
    <w:div w:id="1183132296">
      <w:bodyDiv w:val="1"/>
      <w:marLeft w:val="0"/>
      <w:marRight w:val="0"/>
      <w:marTop w:val="0"/>
      <w:marBottom w:val="0"/>
      <w:divBdr>
        <w:top w:val="none" w:sz="0" w:space="0" w:color="auto"/>
        <w:left w:val="none" w:sz="0" w:space="0" w:color="auto"/>
        <w:bottom w:val="none" w:sz="0" w:space="0" w:color="auto"/>
        <w:right w:val="none" w:sz="0" w:space="0" w:color="auto"/>
      </w:divBdr>
    </w:div>
    <w:div w:id="1221210194">
      <w:bodyDiv w:val="1"/>
      <w:marLeft w:val="0"/>
      <w:marRight w:val="0"/>
      <w:marTop w:val="0"/>
      <w:marBottom w:val="0"/>
      <w:divBdr>
        <w:top w:val="none" w:sz="0" w:space="0" w:color="auto"/>
        <w:left w:val="none" w:sz="0" w:space="0" w:color="auto"/>
        <w:bottom w:val="none" w:sz="0" w:space="0" w:color="auto"/>
        <w:right w:val="none" w:sz="0" w:space="0" w:color="auto"/>
      </w:divBdr>
    </w:div>
    <w:div w:id="1246954648">
      <w:bodyDiv w:val="1"/>
      <w:marLeft w:val="0"/>
      <w:marRight w:val="0"/>
      <w:marTop w:val="0"/>
      <w:marBottom w:val="0"/>
      <w:divBdr>
        <w:top w:val="none" w:sz="0" w:space="0" w:color="auto"/>
        <w:left w:val="none" w:sz="0" w:space="0" w:color="auto"/>
        <w:bottom w:val="none" w:sz="0" w:space="0" w:color="auto"/>
        <w:right w:val="none" w:sz="0" w:space="0" w:color="auto"/>
      </w:divBdr>
      <w:divsChild>
        <w:div w:id="603339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120694">
      <w:bodyDiv w:val="1"/>
      <w:marLeft w:val="0"/>
      <w:marRight w:val="0"/>
      <w:marTop w:val="0"/>
      <w:marBottom w:val="0"/>
      <w:divBdr>
        <w:top w:val="none" w:sz="0" w:space="0" w:color="auto"/>
        <w:left w:val="none" w:sz="0" w:space="0" w:color="auto"/>
        <w:bottom w:val="none" w:sz="0" w:space="0" w:color="auto"/>
        <w:right w:val="none" w:sz="0" w:space="0" w:color="auto"/>
      </w:divBdr>
    </w:div>
    <w:div w:id="1257598174">
      <w:bodyDiv w:val="1"/>
      <w:marLeft w:val="0"/>
      <w:marRight w:val="0"/>
      <w:marTop w:val="0"/>
      <w:marBottom w:val="0"/>
      <w:divBdr>
        <w:top w:val="none" w:sz="0" w:space="0" w:color="auto"/>
        <w:left w:val="none" w:sz="0" w:space="0" w:color="auto"/>
        <w:bottom w:val="none" w:sz="0" w:space="0" w:color="auto"/>
        <w:right w:val="none" w:sz="0" w:space="0" w:color="auto"/>
      </w:divBdr>
    </w:div>
    <w:div w:id="1259872460">
      <w:bodyDiv w:val="1"/>
      <w:marLeft w:val="0"/>
      <w:marRight w:val="0"/>
      <w:marTop w:val="0"/>
      <w:marBottom w:val="0"/>
      <w:divBdr>
        <w:top w:val="none" w:sz="0" w:space="0" w:color="auto"/>
        <w:left w:val="none" w:sz="0" w:space="0" w:color="auto"/>
        <w:bottom w:val="none" w:sz="0" w:space="0" w:color="auto"/>
        <w:right w:val="none" w:sz="0" w:space="0" w:color="auto"/>
      </w:divBdr>
      <w:divsChild>
        <w:div w:id="207229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081838">
      <w:bodyDiv w:val="1"/>
      <w:marLeft w:val="0"/>
      <w:marRight w:val="0"/>
      <w:marTop w:val="0"/>
      <w:marBottom w:val="0"/>
      <w:divBdr>
        <w:top w:val="none" w:sz="0" w:space="0" w:color="auto"/>
        <w:left w:val="none" w:sz="0" w:space="0" w:color="auto"/>
        <w:bottom w:val="none" w:sz="0" w:space="0" w:color="auto"/>
        <w:right w:val="none" w:sz="0" w:space="0" w:color="auto"/>
      </w:divBdr>
      <w:divsChild>
        <w:div w:id="872882079">
          <w:marLeft w:val="1526"/>
          <w:marRight w:val="0"/>
          <w:marTop w:val="200"/>
          <w:marBottom w:val="0"/>
          <w:divBdr>
            <w:top w:val="none" w:sz="0" w:space="0" w:color="auto"/>
            <w:left w:val="none" w:sz="0" w:space="0" w:color="auto"/>
            <w:bottom w:val="none" w:sz="0" w:space="0" w:color="auto"/>
            <w:right w:val="none" w:sz="0" w:space="0" w:color="auto"/>
          </w:divBdr>
        </w:div>
        <w:div w:id="1895501015">
          <w:marLeft w:val="1526"/>
          <w:marRight w:val="0"/>
          <w:marTop w:val="200"/>
          <w:marBottom w:val="0"/>
          <w:divBdr>
            <w:top w:val="none" w:sz="0" w:space="0" w:color="auto"/>
            <w:left w:val="none" w:sz="0" w:space="0" w:color="auto"/>
            <w:bottom w:val="none" w:sz="0" w:space="0" w:color="auto"/>
            <w:right w:val="none" w:sz="0" w:space="0" w:color="auto"/>
          </w:divBdr>
        </w:div>
        <w:div w:id="1828205429">
          <w:marLeft w:val="1526"/>
          <w:marRight w:val="0"/>
          <w:marTop w:val="200"/>
          <w:marBottom w:val="0"/>
          <w:divBdr>
            <w:top w:val="none" w:sz="0" w:space="0" w:color="auto"/>
            <w:left w:val="none" w:sz="0" w:space="0" w:color="auto"/>
            <w:bottom w:val="none" w:sz="0" w:space="0" w:color="auto"/>
            <w:right w:val="none" w:sz="0" w:space="0" w:color="auto"/>
          </w:divBdr>
        </w:div>
        <w:div w:id="1854612706">
          <w:marLeft w:val="1526"/>
          <w:marRight w:val="0"/>
          <w:marTop w:val="200"/>
          <w:marBottom w:val="0"/>
          <w:divBdr>
            <w:top w:val="none" w:sz="0" w:space="0" w:color="auto"/>
            <w:left w:val="none" w:sz="0" w:space="0" w:color="auto"/>
            <w:bottom w:val="none" w:sz="0" w:space="0" w:color="auto"/>
            <w:right w:val="none" w:sz="0" w:space="0" w:color="auto"/>
          </w:divBdr>
        </w:div>
        <w:div w:id="1545405856">
          <w:marLeft w:val="1526"/>
          <w:marRight w:val="0"/>
          <w:marTop w:val="200"/>
          <w:marBottom w:val="0"/>
          <w:divBdr>
            <w:top w:val="none" w:sz="0" w:space="0" w:color="auto"/>
            <w:left w:val="none" w:sz="0" w:space="0" w:color="auto"/>
            <w:bottom w:val="none" w:sz="0" w:space="0" w:color="auto"/>
            <w:right w:val="none" w:sz="0" w:space="0" w:color="auto"/>
          </w:divBdr>
        </w:div>
      </w:divsChild>
    </w:div>
    <w:div w:id="1388917357">
      <w:bodyDiv w:val="1"/>
      <w:marLeft w:val="0"/>
      <w:marRight w:val="0"/>
      <w:marTop w:val="0"/>
      <w:marBottom w:val="0"/>
      <w:divBdr>
        <w:top w:val="none" w:sz="0" w:space="0" w:color="auto"/>
        <w:left w:val="none" w:sz="0" w:space="0" w:color="auto"/>
        <w:bottom w:val="none" w:sz="0" w:space="0" w:color="auto"/>
        <w:right w:val="none" w:sz="0" w:space="0" w:color="auto"/>
      </w:divBdr>
    </w:div>
    <w:div w:id="1392777534">
      <w:bodyDiv w:val="1"/>
      <w:marLeft w:val="0"/>
      <w:marRight w:val="0"/>
      <w:marTop w:val="0"/>
      <w:marBottom w:val="0"/>
      <w:divBdr>
        <w:top w:val="none" w:sz="0" w:space="0" w:color="auto"/>
        <w:left w:val="none" w:sz="0" w:space="0" w:color="auto"/>
        <w:bottom w:val="none" w:sz="0" w:space="0" w:color="auto"/>
        <w:right w:val="none" w:sz="0" w:space="0" w:color="auto"/>
      </w:divBdr>
    </w:div>
    <w:div w:id="1422871852">
      <w:bodyDiv w:val="1"/>
      <w:marLeft w:val="0"/>
      <w:marRight w:val="0"/>
      <w:marTop w:val="0"/>
      <w:marBottom w:val="0"/>
      <w:divBdr>
        <w:top w:val="none" w:sz="0" w:space="0" w:color="auto"/>
        <w:left w:val="none" w:sz="0" w:space="0" w:color="auto"/>
        <w:bottom w:val="none" w:sz="0" w:space="0" w:color="auto"/>
        <w:right w:val="none" w:sz="0" w:space="0" w:color="auto"/>
      </w:divBdr>
    </w:div>
    <w:div w:id="1466777946">
      <w:bodyDiv w:val="1"/>
      <w:marLeft w:val="0"/>
      <w:marRight w:val="0"/>
      <w:marTop w:val="0"/>
      <w:marBottom w:val="0"/>
      <w:divBdr>
        <w:top w:val="none" w:sz="0" w:space="0" w:color="auto"/>
        <w:left w:val="none" w:sz="0" w:space="0" w:color="auto"/>
        <w:bottom w:val="none" w:sz="0" w:space="0" w:color="auto"/>
        <w:right w:val="none" w:sz="0" w:space="0" w:color="auto"/>
      </w:divBdr>
      <w:divsChild>
        <w:div w:id="779763233">
          <w:marLeft w:val="0"/>
          <w:marRight w:val="0"/>
          <w:marTop w:val="0"/>
          <w:marBottom w:val="0"/>
          <w:divBdr>
            <w:top w:val="none" w:sz="0" w:space="0" w:color="auto"/>
            <w:left w:val="none" w:sz="0" w:space="0" w:color="auto"/>
            <w:bottom w:val="none" w:sz="0" w:space="0" w:color="auto"/>
            <w:right w:val="none" w:sz="0" w:space="0" w:color="auto"/>
          </w:divBdr>
        </w:div>
        <w:div w:id="328103162">
          <w:marLeft w:val="0"/>
          <w:marRight w:val="0"/>
          <w:marTop w:val="75"/>
          <w:marBottom w:val="0"/>
          <w:divBdr>
            <w:top w:val="none" w:sz="0" w:space="0" w:color="auto"/>
            <w:left w:val="none" w:sz="0" w:space="0" w:color="auto"/>
            <w:bottom w:val="none" w:sz="0" w:space="0" w:color="auto"/>
            <w:right w:val="none" w:sz="0" w:space="0" w:color="auto"/>
          </w:divBdr>
          <w:divsChild>
            <w:div w:id="337929132">
              <w:marLeft w:val="0"/>
              <w:marRight w:val="0"/>
              <w:marTop w:val="0"/>
              <w:marBottom w:val="0"/>
              <w:divBdr>
                <w:top w:val="none" w:sz="0" w:space="0" w:color="auto"/>
                <w:left w:val="none" w:sz="0" w:space="0" w:color="auto"/>
                <w:bottom w:val="none" w:sz="0" w:space="0" w:color="auto"/>
                <w:right w:val="none" w:sz="0" w:space="0" w:color="auto"/>
              </w:divBdr>
            </w:div>
            <w:div w:id="178330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032552">
      <w:bodyDiv w:val="1"/>
      <w:marLeft w:val="0"/>
      <w:marRight w:val="0"/>
      <w:marTop w:val="0"/>
      <w:marBottom w:val="0"/>
      <w:divBdr>
        <w:top w:val="none" w:sz="0" w:space="0" w:color="auto"/>
        <w:left w:val="none" w:sz="0" w:space="0" w:color="auto"/>
        <w:bottom w:val="none" w:sz="0" w:space="0" w:color="auto"/>
        <w:right w:val="none" w:sz="0" w:space="0" w:color="auto"/>
      </w:divBdr>
      <w:divsChild>
        <w:div w:id="1349871696">
          <w:marLeft w:val="0"/>
          <w:marRight w:val="0"/>
          <w:marTop w:val="0"/>
          <w:marBottom w:val="0"/>
          <w:divBdr>
            <w:top w:val="none" w:sz="0" w:space="0" w:color="auto"/>
            <w:left w:val="none" w:sz="0" w:space="0" w:color="auto"/>
            <w:bottom w:val="none" w:sz="0" w:space="0" w:color="auto"/>
            <w:right w:val="none" w:sz="0" w:space="0" w:color="auto"/>
          </w:divBdr>
          <w:divsChild>
            <w:div w:id="719594797">
              <w:marLeft w:val="0"/>
              <w:marRight w:val="0"/>
              <w:marTop w:val="0"/>
              <w:marBottom w:val="0"/>
              <w:divBdr>
                <w:top w:val="none" w:sz="0" w:space="0" w:color="auto"/>
                <w:left w:val="none" w:sz="0" w:space="0" w:color="auto"/>
                <w:bottom w:val="none" w:sz="0" w:space="0" w:color="auto"/>
                <w:right w:val="none" w:sz="0" w:space="0" w:color="auto"/>
              </w:divBdr>
              <w:divsChild>
                <w:div w:id="1393967013">
                  <w:marLeft w:val="0"/>
                  <w:marRight w:val="0"/>
                  <w:marTop w:val="0"/>
                  <w:marBottom w:val="0"/>
                  <w:divBdr>
                    <w:top w:val="none" w:sz="0" w:space="0" w:color="auto"/>
                    <w:left w:val="none" w:sz="0" w:space="0" w:color="auto"/>
                    <w:bottom w:val="none" w:sz="0" w:space="0" w:color="auto"/>
                    <w:right w:val="none" w:sz="0" w:space="0" w:color="auto"/>
                  </w:divBdr>
                  <w:divsChild>
                    <w:div w:id="1617524733">
                      <w:marLeft w:val="0"/>
                      <w:marRight w:val="0"/>
                      <w:marTop w:val="0"/>
                      <w:marBottom w:val="0"/>
                      <w:divBdr>
                        <w:top w:val="none" w:sz="0" w:space="0" w:color="auto"/>
                        <w:left w:val="none" w:sz="0" w:space="0" w:color="auto"/>
                        <w:bottom w:val="none" w:sz="0" w:space="0" w:color="auto"/>
                        <w:right w:val="none" w:sz="0" w:space="0" w:color="auto"/>
                      </w:divBdr>
                      <w:divsChild>
                        <w:div w:id="2032100772">
                          <w:marLeft w:val="0"/>
                          <w:marRight w:val="0"/>
                          <w:marTop w:val="0"/>
                          <w:marBottom w:val="0"/>
                          <w:divBdr>
                            <w:top w:val="none" w:sz="0" w:space="0" w:color="auto"/>
                            <w:left w:val="none" w:sz="0" w:space="0" w:color="auto"/>
                            <w:bottom w:val="none" w:sz="0" w:space="0" w:color="auto"/>
                            <w:right w:val="none" w:sz="0" w:space="0" w:color="auto"/>
                          </w:divBdr>
                          <w:divsChild>
                            <w:div w:id="120641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7350354">
      <w:bodyDiv w:val="1"/>
      <w:marLeft w:val="0"/>
      <w:marRight w:val="0"/>
      <w:marTop w:val="0"/>
      <w:marBottom w:val="0"/>
      <w:divBdr>
        <w:top w:val="none" w:sz="0" w:space="0" w:color="auto"/>
        <w:left w:val="none" w:sz="0" w:space="0" w:color="auto"/>
        <w:bottom w:val="none" w:sz="0" w:space="0" w:color="auto"/>
        <w:right w:val="none" w:sz="0" w:space="0" w:color="auto"/>
      </w:divBdr>
    </w:div>
    <w:div w:id="1545866582">
      <w:bodyDiv w:val="1"/>
      <w:marLeft w:val="0"/>
      <w:marRight w:val="0"/>
      <w:marTop w:val="0"/>
      <w:marBottom w:val="0"/>
      <w:divBdr>
        <w:top w:val="none" w:sz="0" w:space="0" w:color="auto"/>
        <w:left w:val="none" w:sz="0" w:space="0" w:color="auto"/>
        <w:bottom w:val="none" w:sz="0" w:space="0" w:color="auto"/>
        <w:right w:val="none" w:sz="0" w:space="0" w:color="auto"/>
      </w:divBdr>
      <w:divsChild>
        <w:div w:id="1193108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6745555">
      <w:bodyDiv w:val="1"/>
      <w:marLeft w:val="0"/>
      <w:marRight w:val="0"/>
      <w:marTop w:val="0"/>
      <w:marBottom w:val="0"/>
      <w:divBdr>
        <w:top w:val="none" w:sz="0" w:space="0" w:color="auto"/>
        <w:left w:val="none" w:sz="0" w:space="0" w:color="auto"/>
        <w:bottom w:val="none" w:sz="0" w:space="0" w:color="auto"/>
        <w:right w:val="none" w:sz="0" w:space="0" w:color="auto"/>
      </w:divBdr>
    </w:div>
    <w:div w:id="1588229186">
      <w:bodyDiv w:val="1"/>
      <w:marLeft w:val="0"/>
      <w:marRight w:val="0"/>
      <w:marTop w:val="0"/>
      <w:marBottom w:val="0"/>
      <w:divBdr>
        <w:top w:val="none" w:sz="0" w:space="0" w:color="auto"/>
        <w:left w:val="none" w:sz="0" w:space="0" w:color="auto"/>
        <w:bottom w:val="none" w:sz="0" w:space="0" w:color="auto"/>
        <w:right w:val="none" w:sz="0" w:space="0" w:color="auto"/>
      </w:divBdr>
    </w:div>
    <w:div w:id="1604456184">
      <w:bodyDiv w:val="1"/>
      <w:marLeft w:val="0"/>
      <w:marRight w:val="0"/>
      <w:marTop w:val="0"/>
      <w:marBottom w:val="0"/>
      <w:divBdr>
        <w:top w:val="none" w:sz="0" w:space="0" w:color="auto"/>
        <w:left w:val="none" w:sz="0" w:space="0" w:color="auto"/>
        <w:bottom w:val="none" w:sz="0" w:space="0" w:color="auto"/>
        <w:right w:val="none" w:sz="0" w:space="0" w:color="auto"/>
      </w:divBdr>
    </w:div>
    <w:div w:id="1627927292">
      <w:bodyDiv w:val="1"/>
      <w:marLeft w:val="0"/>
      <w:marRight w:val="0"/>
      <w:marTop w:val="0"/>
      <w:marBottom w:val="0"/>
      <w:divBdr>
        <w:top w:val="none" w:sz="0" w:space="0" w:color="auto"/>
        <w:left w:val="none" w:sz="0" w:space="0" w:color="auto"/>
        <w:bottom w:val="none" w:sz="0" w:space="0" w:color="auto"/>
        <w:right w:val="none" w:sz="0" w:space="0" w:color="auto"/>
      </w:divBdr>
    </w:div>
    <w:div w:id="1653949233">
      <w:bodyDiv w:val="1"/>
      <w:marLeft w:val="0"/>
      <w:marRight w:val="0"/>
      <w:marTop w:val="0"/>
      <w:marBottom w:val="0"/>
      <w:divBdr>
        <w:top w:val="none" w:sz="0" w:space="0" w:color="auto"/>
        <w:left w:val="none" w:sz="0" w:space="0" w:color="auto"/>
        <w:bottom w:val="none" w:sz="0" w:space="0" w:color="auto"/>
        <w:right w:val="none" w:sz="0" w:space="0" w:color="auto"/>
      </w:divBdr>
      <w:divsChild>
        <w:div w:id="1761754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869222">
      <w:bodyDiv w:val="1"/>
      <w:marLeft w:val="0"/>
      <w:marRight w:val="0"/>
      <w:marTop w:val="0"/>
      <w:marBottom w:val="0"/>
      <w:divBdr>
        <w:top w:val="none" w:sz="0" w:space="0" w:color="auto"/>
        <w:left w:val="none" w:sz="0" w:space="0" w:color="auto"/>
        <w:bottom w:val="none" w:sz="0" w:space="0" w:color="auto"/>
        <w:right w:val="none" w:sz="0" w:space="0" w:color="auto"/>
      </w:divBdr>
    </w:div>
    <w:div w:id="1692761212">
      <w:bodyDiv w:val="1"/>
      <w:marLeft w:val="0"/>
      <w:marRight w:val="0"/>
      <w:marTop w:val="0"/>
      <w:marBottom w:val="0"/>
      <w:divBdr>
        <w:top w:val="none" w:sz="0" w:space="0" w:color="auto"/>
        <w:left w:val="none" w:sz="0" w:space="0" w:color="auto"/>
        <w:bottom w:val="none" w:sz="0" w:space="0" w:color="auto"/>
        <w:right w:val="none" w:sz="0" w:space="0" w:color="auto"/>
      </w:divBdr>
    </w:div>
    <w:div w:id="1706128843">
      <w:bodyDiv w:val="1"/>
      <w:marLeft w:val="0"/>
      <w:marRight w:val="0"/>
      <w:marTop w:val="0"/>
      <w:marBottom w:val="0"/>
      <w:divBdr>
        <w:top w:val="none" w:sz="0" w:space="0" w:color="auto"/>
        <w:left w:val="none" w:sz="0" w:space="0" w:color="auto"/>
        <w:bottom w:val="none" w:sz="0" w:space="0" w:color="auto"/>
        <w:right w:val="none" w:sz="0" w:space="0" w:color="auto"/>
      </w:divBdr>
    </w:div>
    <w:div w:id="1719889676">
      <w:bodyDiv w:val="1"/>
      <w:marLeft w:val="0"/>
      <w:marRight w:val="0"/>
      <w:marTop w:val="0"/>
      <w:marBottom w:val="0"/>
      <w:divBdr>
        <w:top w:val="none" w:sz="0" w:space="0" w:color="auto"/>
        <w:left w:val="none" w:sz="0" w:space="0" w:color="auto"/>
        <w:bottom w:val="none" w:sz="0" w:space="0" w:color="auto"/>
        <w:right w:val="none" w:sz="0" w:space="0" w:color="auto"/>
      </w:divBdr>
    </w:div>
    <w:div w:id="1720779505">
      <w:bodyDiv w:val="1"/>
      <w:marLeft w:val="0"/>
      <w:marRight w:val="0"/>
      <w:marTop w:val="0"/>
      <w:marBottom w:val="0"/>
      <w:divBdr>
        <w:top w:val="none" w:sz="0" w:space="0" w:color="auto"/>
        <w:left w:val="none" w:sz="0" w:space="0" w:color="auto"/>
        <w:bottom w:val="none" w:sz="0" w:space="0" w:color="auto"/>
        <w:right w:val="none" w:sz="0" w:space="0" w:color="auto"/>
      </w:divBdr>
    </w:div>
    <w:div w:id="1721979602">
      <w:bodyDiv w:val="1"/>
      <w:marLeft w:val="0"/>
      <w:marRight w:val="0"/>
      <w:marTop w:val="0"/>
      <w:marBottom w:val="0"/>
      <w:divBdr>
        <w:top w:val="none" w:sz="0" w:space="0" w:color="auto"/>
        <w:left w:val="none" w:sz="0" w:space="0" w:color="auto"/>
        <w:bottom w:val="none" w:sz="0" w:space="0" w:color="auto"/>
        <w:right w:val="none" w:sz="0" w:space="0" w:color="auto"/>
      </w:divBdr>
    </w:div>
    <w:div w:id="1735082122">
      <w:bodyDiv w:val="1"/>
      <w:marLeft w:val="0"/>
      <w:marRight w:val="0"/>
      <w:marTop w:val="0"/>
      <w:marBottom w:val="0"/>
      <w:divBdr>
        <w:top w:val="none" w:sz="0" w:space="0" w:color="auto"/>
        <w:left w:val="none" w:sz="0" w:space="0" w:color="auto"/>
        <w:bottom w:val="none" w:sz="0" w:space="0" w:color="auto"/>
        <w:right w:val="none" w:sz="0" w:space="0" w:color="auto"/>
      </w:divBdr>
    </w:div>
    <w:div w:id="1747220536">
      <w:bodyDiv w:val="1"/>
      <w:marLeft w:val="0"/>
      <w:marRight w:val="0"/>
      <w:marTop w:val="0"/>
      <w:marBottom w:val="0"/>
      <w:divBdr>
        <w:top w:val="none" w:sz="0" w:space="0" w:color="auto"/>
        <w:left w:val="none" w:sz="0" w:space="0" w:color="auto"/>
        <w:bottom w:val="none" w:sz="0" w:space="0" w:color="auto"/>
        <w:right w:val="none" w:sz="0" w:space="0" w:color="auto"/>
      </w:divBdr>
    </w:div>
    <w:div w:id="1781683805">
      <w:bodyDiv w:val="1"/>
      <w:marLeft w:val="0"/>
      <w:marRight w:val="0"/>
      <w:marTop w:val="0"/>
      <w:marBottom w:val="0"/>
      <w:divBdr>
        <w:top w:val="none" w:sz="0" w:space="0" w:color="auto"/>
        <w:left w:val="none" w:sz="0" w:space="0" w:color="auto"/>
        <w:bottom w:val="none" w:sz="0" w:space="0" w:color="auto"/>
        <w:right w:val="none" w:sz="0" w:space="0" w:color="auto"/>
      </w:divBdr>
    </w:div>
    <w:div w:id="1798454925">
      <w:bodyDiv w:val="1"/>
      <w:marLeft w:val="0"/>
      <w:marRight w:val="0"/>
      <w:marTop w:val="0"/>
      <w:marBottom w:val="0"/>
      <w:divBdr>
        <w:top w:val="none" w:sz="0" w:space="0" w:color="auto"/>
        <w:left w:val="none" w:sz="0" w:space="0" w:color="auto"/>
        <w:bottom w:val="none" w:sz="0" w:space="0" w:color="auto"/>
        <w:right w:val="none" w:sz="0" w:space="0" w:color="auto"/>
      </w:divBdr>
    </w:div>
    <w:div w:id="1799371870">
      <w:bodyDiv w:val="1"/>
      <w:marLeft w:val="0"/>
      <w:marRight w:val="0"/>
      <w:marTop w:val="0"/>
      <w:marBottom w:val="0"/>
      <w:divBdr>
        <w:top w:val="none" w:sz="0" w:space="0" w:color="auto"/>
        <w:left w:val="none" w:sz="0" w:space="0" w:color="auto"/>
        <w:bottom w:val="none" w:sz="0" w:space="0" w:color="auto"/>
        <w:right w:val="none" w:sz="0" w:space="0" w:color="auto"/>
      </w:divBdr>
      <w:divsChild>
        <w:div w:id="23556062">
          <w:marLeft w:val="0"/>
          <w:marRight w:val="0"/>
          <w:marTop w:val="0"/>
          <w:marBottom w:val="0"/>
          <w:divBdr>
            <w:top w:val="none" w:sz="0" w:space="0" w:color="auto"/>
            <w:left w:val="none" w:sz="0" w:space="0" w:color="auto"/>
            <w:bottom w:val="none" w:sz="0" w:space="0" w:color="auto"/>
            <w:right w:val="none" w:sz="0" w:space="0" w:color="auto"/>
          </w:divBdr>
        </w:div>
        <w:div w:id="559635639">
          <w:marLeft w:val="0"/>
          <w:marRight w:val="0"/>
          <w:marTop w:val="75"/>
          <w:marBottom w:val="0"/>
          <w:divBdr>
            <w:top w:val="none" w:sz="0" w:space="0" w:color="auto"/>
            <w:left w:val="none" w:sz="0" w:space="0" w:color="auto"/>
            <w:bottom w:val="none" w:sz="0" w:space="0" w:color="auto"/>
            <w:right w:val="none" w:sz="0" w:space="0" w:color="auto"/>
          </w:divBdr>
          <w:divsChild>
            <w:div w:id="834339277">
              <w:marLeft w:val="0"/>
              <w:marRight w:val="0"/>
              <w:marTop w:val="0"/>
              <w:marBottom w:val="0"/>
              <w:divBdr>
                <w:top w:val="none" w:sz="0" w:space="0" w:color="auto"/>
                <w:left w:val="none" w:sz="0" w:space="0" w:color="auto"/>
                <w:bottom w:val="none" w:sz="0" w:space="0" w:color="auto"/>
                <w:right w:val="none" w:sz="0" w:space="0" w:color="auto"/>
              </w:divBdr>
            </w:div>
            <w:div w:id="2917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95618">
      <w:bodyDiv w:val="1"/>
      <w:marLeft w:val="0"/>
      <w:marRight w:val="0"/>
      <w:marTop w:val="0"/>
      <w:marBottom w:val="0"/>
      <w:divBdr>
        <w:top w:val="none" w:sz="0" w:space="0" w:color="auto"/>
        <w:left w:val="none" w:sz="0" w:space="0" w:color="auto"/>
        <w:bottom w:val="none" w:sz="0" w:space="0" w:color="auto"/>
        <w:right w:val="none" w:sz="0" w:space="0" w:color="auto"/>
      </w:divBdr>
      <w:divsChild>
        <w:div w:id="628166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537082">
      <w:bodyDiv w:val="1"/>
      <w:marLeft w:val="0"/>
      <w:marRight w:val="0"/>
      <w:marTop w:val="0"/>
      <w:marBottom w:val="0"/>
      <w:divBdr>
        <w:top w:val="none" w:sz="0" w:space="0" w:color="auto"/>
        <w:left w:val="none" w:sz="0" w:space="0" w:color="auto"/>
        <w:bottom w:val="none" w:sz="0" w:space="0" w:color="auto"/>
        <w:right w:val="none" w:sz="0" w:space="0" w:color="auto"/>
      </w:divBdr>
    </w:div>
    <w:div w:id="1821921046">
      <w:bodyDiv w:val="1"/>
      <w:marLeft w:val="0"/>
      <w:marRight w:val="0"/>
      <w:marTop w:val="0"/>
      <w:marBottom w:val="0"/>
      <w:divBdr>
        <w:top w:val="none" w:sz="0" w:space="0" w:color="auto"/>
        <w:left w:val="none" w:sz="0" w:space="0" w:color="auto"/>
        <w:bottom w:val="none" w:sz="0" w:space="0" w:color="auto"/>
        <w:right w:val="none" w:sz="0" w:space="0" w:color="auto"/>
      </w:divBdr>
      <w:divsChild>
        <w:div w:id="1213079111">
          <w:blockQuote w:val="1"/>
          <w:marLeft w:val="720"/>
          <w:marRight w:val="720"/>
          <w:marTop w:val="100"/>
          <w:marBottom w:val="100"/>
          <w:divBdr>
            <w:top w:val="none" w:sz="0" w:space="0" w:color="auto"/>
            <w:left w:val="none" w:sz="0" w:space="0" w:color="auto"/>
            <w:bottom w:val="none" w:sz="0" w:space="0" w:color="auto"/>
            <w:right w:val="none" w:sz="0" w:space="0" w:color="auto"/>
          </w:divBdr>
        </w:div>
        <w:div w:id="765928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5047071">
      <w:bodyDiv w:val="1"/>
      <w:marLeft w:val="0"/>
      <w:marRight w:val="0"/>
      <w:marTop w:val="0"/>
      <w:marBottom w:val="0"/>
      <w:divBdr>
        <w:top w:val="none" w:sz="0" w:space="0" w:color="auto"/>
        <w:left w:val="none" w:sz="0" w:space="0" w:color="auto"/>
        <w:bottom w:val="none" w:sz="0" w:space="0" w:color="auto"/>
        <w:right w:val="none" w:sz="0" w:space="0" w:color="auto"/>
      </w:divBdr>
    </w:div>
    <w:div w:id="1851215948">
      <w:bodyDiv w:val="1"/>
      <w:marLeft w:val="0"/>
      <w:marRight w:val="0"/>
      <w:marTop w:val="0"/>
      <w:marBottom w:val="0"/>
      <w:divBdr>
        <w:top w:val="none" w:sz="0" w:space="0" w:color="auto"/>
        <w:left w:val="none" w:sz="0" w:space="0" w:color="auto"/>
        <w:bottom w:val="none" w:sz="0" w:space="0" w:color="auto"/>
        <w:right w:val="none" w:sz="0" w:space="0" w:color="auto"/>
      </w:divBdr>
    </w:div>
    <w:div w:id="1857232749">
      <w:bodyDiv w:val="1"/>
      <w:marLeft w:val="0"/>
      <w:marRight w:val="0"/>
      <w:marTop w:val="0"/>
      <w:marBottom w:val="0"/>
      <w:divBdr>
        <w:top w:val="none" w:sz="0" w:space="0" w:color="auto"/>
        <w:left w:val="none" w:sz="0" w:space="0" w:color="auto"/>
        <w:bottom w:val="none" w:sz="0" w:space="0" w:color="auto"/>
        <w:right w:val="none" w:sz="0" w:space="0" w:color="auto"/>
      </w:divBdr>
    </w:div>
    <w:div w:id="1863856721">
      <w:bodyDiv w:val="1"/>
      <w:marLeft w:val="0"/>
      <w:marRight w:val="0"/>
      <w:marTop w:val="0"/>
      <w:marBottom w:val="0"/>
      <w:divBdr>
        <w:top w:val="none" w:sz="0" w:space="0" w:color="auto"/>
        <w:left w:val="none" w:sz="0" w:space="0" w:color="auto"/>
        <w:bottom w:val="none" w:sz="0" w:space="0" w:color="auto"/>
        <w:right w:val="none" w:sz="0" w:space="0" w:color="auto"/>
      </w:divBdr>
    </w:div>
    <w:div w:id="1880235873">
      <w:bodyDiv w:val="1"/>
      <w:marLeft w:val="0"/>
      <w:marRight w:val="0"/>
      <w:marTop w:val="0"/>
      <w:marBottom w:val="0"/>
      <w:divBdr>
        <w:top w:val="none" w:sz="0" w:space="0" w:color="auto"/>
        <w:left w:val="none" w:sz="0" w:space="0" w:color="auto"/>
        <w:bottom w:val="none" w:sz="0" w:space="0" w:color="auto"/>
        <w:right w:val="none" w:sz="0" w:space="0" w:color="auto"/>
      </w:divBdr>
      <w:divsChild>
        <w:div w:id="219754453">
          <w:marLeft w:val="0"/>
          <w:marRight w:val="0"/>
          <w:marTop w:val="0"/>
          <w:marBottom w:val="0"/>
          <w:divBdr>
            <w:top w:val="none" w:sz="0" w:space="0" w:color="auto"/>
            <w:left w:val="none" w:sz="0" w:space="0" w:color="auto"/>
            <w:bottom w:val="none" w:sz="0" w:space="0" w:color="auto"/>
            <w:right w:val="none" w:sz="0" w:space="0" w:color="auto"/>
          </w:divBdr>
        </w:div>
        <w:div w:id="1021052014">
          <w:marLeft w:val="0"/>
          <w:marRight w:val="0"/>
          <w:marTop w:val="75"/>
          <w:marBottom w:val="0"/>
          <w:divBdr>
            <w:top w:val="none" w:sz="0" w:space="0" w:color="auto"/>
            <w:left w:val="none" w:sz="0" w:space="0" w:color="auto"/>
            <w:bottom w:val="none" w:sz="0" w:space="0" w:color="auto"/>
            <w:right w:val="none" w:sz="0" w:space="0" w:color="auto"/>
          </w:divBdr>
          <w:divsChild>
            <w:div w:id="160781152">
              <w:marLeft w:val="0"/>
              <w:marRight w:val="0"/>
              <w:marTop w:val="0"/>
              <w:marBottom w:val="0"/>
              <w:divBdr>
                <w:top w:val="none" w:sz="0" w:space="0" w:color="auto"/>
                <w:left w:val="none" w:sz="0" w:space="0" w:color="auto"/>
                <w:bottom w:val="none" w:sz="0" w:space="0" w:color="auto"/>
                <w:right w:val="none" w:sz="0" w:space="0" w:color="auto"/>
              </w:divBdr>
            </w:div>
            <w:div w:id="6660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866053">
      <w:bodyDiv w:val="1"/>
      <w:marLeft w:val="0"/>
      <w:marRight w:val="0"/>
      <w:marTop w:val="0"/>
      <w:marBottom w:val="0"/>
      <w:divBdr>
        <w:top w:val="none" w:sz="0" w:space="0" w:color="auto"/>
        <w:left w:val="none" w:sz="0" w:space="0" w:color="auto"/>
        <w:bottom w:val="none" w:sz="0" w:space="0" w:color="auto"/>
        <w:right w:val="none" w:sz="0" w:space="0" w:color="auto"/>
      </w:divBdr>
    </w:div>
    <w:div w:id="1911571111">
      <w:bodyDiv w:val="1"/>
      <w:marLeft w:val="0"/>
      <w:marRight w:val="0"/>
      <w:marTop w:val="0"/>
      <w:marBottom w:val="0"/>
      <w:divBdr>
        <w:top w:val="none" w:sz="0" w:space="0" w:color="auto"/>
        <w:left w:val="none" w:sz="0" w:space="0" w:color="auto"/>
        <w:bottom w:val="none" w:sz="0" w:space="0" w:color="auto"/>
        <w:right w:val="none" w:sz="0" w:space="0" w:color="auto"/>
      </w:divBdr>
    </w:div>
    <w:div w:id="1916352111">
      <w:bodyDiv w:val="1"/>
      <w:marLeft w:val="0"/>
      <w:marRight w:val="0"/>
      <w:marTop w:val="0"/>
      <w:marBottom w:val="0"/>
      <w:divBdr>
        <w:top w:val="none" w:sz="0" w:space="0" w:color="auto"/>
        <w:left w:val="none" w:sz="0" w:space="0" w:color="auto"/>
        <w:bottom w:val="none" w:sz="0" w:space="0" w:color="auto"/>
        <w:right w:val="none" w:sz="0" w:space="0" w:color="auto"/>
      </w:divBdr>
    </w:div>
    <w:div w:id="1957371609">
      <w:bodyDiv w:val="1"/>
      <w:marLeft w:val="0"/>
      <w:marRight w:val="0"/>
      <w:marTop w:val="0"/>
      <w:marBottom w:val="0"/>
      <w:divBdr>
        <w:top w:val="none" w:sz="0" w:space="0" w:color="auto"/>
        <w:left w:val="none" w:sz="0" w:space="0" w:color="auto"/>
        <w:bottom w:val="none" w:sz="0" w:space="0" w:color="auto"/>
        <w:right w:val="none" w:sz="0" w:space="0" w:color="auto"/>
      </w:divBdr>
    </w:div>
    <w:div w:id="1996454005">
      <w:bodyDiv w:val="1"/>
      <w:marLeft w:val="0"/>
      <w:marRight w:val="0"/>
      <w:marTop w:val="0"/>
      <w:marBottom w:val="0"/>
      <w:divBdr>
        <w:top w:val="none" w:sz="0" w:space="0" w:color="auto"/>
        <w:left w:val="none" w:sz="0" w:space="0" w:color="auto"/>
        <w:bottom w:val="none" w:sz="0" w:space="0" w:color="auto"/>
        <w:right w:val="none" w:sz="0" w:space="0" w:color="auto"/>
      </w:divBdr>
    </w:div>
    <w:div w:id="2054889110">
      <w:bodyDiv w:val="1"/>
      <w:marLeft w:val="0"/>
      <w:marRight w:val="0"/>
      <w:marTop w:val="0"/>
      <w:marBottom w:val="0"/>
      <w:divBdr>
        <w:top w:val="none" w:sz="0" w:space="0" w:color="auto"/>
        <w:left w:val="none" w:sz="0" w:space="0" w:color="auto"/>
        <w:bottom w:val="none" w:sz="0" w:space="0" w:color="auto"/>
        <w:right w:val="none" w:sz="0" w:space="0" w:color="auto"/>
      </w:divBdr>
    </w:div>
    <w:div w:id="2074351543">
      <w:bodyDiv w:val="1"/>
      <w:marLeft w:val="0"/>
      <w:marRight w:val="0"/>
      <w:marTop w:val="0"/>
      <w:marBottom w:val="0"/>
      <w:divBdr>
        <w:top w:val="none" w:sz="0" w:space="0" w:color="auto"/>
        <w:left w:val="none" w:sz="0" w:space="0" w:color="auto"/>
        <w:bottom w:val="none" w:sz="0" w:space="0" w:color="auto"/>
        <w:right w:val="none" w:sz="0" w:space="0" w:color="auto"/>
      </w:divBdr>
    </w:div>
    <w:div w:id="2105572447">
      <w:bodyDiv w:val="1"/>
      <w:marLeft w:val="0"/>
      <w:marRight w:val="0"/>
      <w:marTop w:val="0"/>
      <w:marBottom w:val="0"/>
      <w:divBdr>
        <w:top w:val="none" w:sz="0" w:space="0" w:color="auto"/>
        <w:left w:val="none" w:sz="0" w:space="0" w:color="auto"/>
        <w:bottom w:val="none" w:sz="0" w:space="0" w:color="auto"/>
        <w:right w:val="none" w:sz="0" w:space="0" w:color="auto"/>
      </w:divBdr>
    </w:div>
    <w:div w:id="211369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everism.com/understanding-kubler-ross-change-curve/" TargetMode="External"/><Relationship Id="rId18" Type="http://schemas.openxmlformats.org/officeDocument/2006/relationships/hyperlink" Target="https://www.cipd.org/uk/knowledge/guides/change-management/?utm_source=chatgpt.com" TargetMode="External"/><Relationship Id="rId26" Type="http://schemas.openxmlformats.org/officeDocument/2006/relationships/hyperlink" Target="https://www.cipd.org/uk/knowledge/factsheets/relations-employees-factsheet/?utm_source=chatgpt.com" TargetMode="External"/><Relationship Id="rId39" Type="http://schemas.openxmlformats.org/officeDocument/2006/relationships/hyperlink" Target="https://www.ncbi.nlm.nih.gov/pmc/articles/PMC2247412/?utm_source=chatgpt.com" TargetMode="External"/><Relationship Id="rId21" Type="http://schemas.openxmlformats.org/officeDocument/2006/relationships/hyperlink" Target="https://www.cipd.org/uk/views-and-insights/cipd-viewpoint/employee-voice/" TargetMode="External"/><Relationship Id="rId34" Type="http://schemas.openxmlformats.org/officeDocument/2006/relationships/hyperlink" Target="https://www.gov.uk/government/news/cutting-edge-tech-introduced-in-social-care?utm_source=chatgpt.com" TargetMode="External"/><Relationship Id="rId42" Type="http://schemas.openxmlformats.org/officeDocument/2006/relationships/hyperlink" Target="https://doi.org/10.5281/zenodo.3401893%20" TargetMode="External"/><Relationship Id="rId47" Type="http://schemas.openxmlformats.org/officeDocument/2006/relationships/hyperlink" Target="https://www.library.hbs.edu/working-knowledge/the-middle-manager-of-the-future-more-coaching-less-commanding?utm_source=chatgpt.com" TargetMode="External"/><Relationship Id="rId50" Type="http://schemas.openxmlformats.org/officeDocument/2006/relationships/hyperlink" Target="https://www.journals.vu.lt/ekonomika/article/view/14734" TargetMode="External"/><Relationship Id="rId55" Type="http://schemas.openxmlformats.org/officeDocument/2006/relationships/hyperlink" Target="https://www.irejournals.com/formatedpaper/1707930.pdf?utm_source=chatgpt.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qc.org.uk/publications/major-report/state-care/2024-2025/access/asc?utm_source=chatgpt.com" TargetMode="External"/><Relationship Id="rId29" Type="http://schemas.openxmlformats.org/officeDocument/2006/relationships/hyperlink" Target="https://www.peoplemanagement.co.uk/article/1913237/gentle-management-softer-leadership-style-boost-productivity" TargetMode="External"/><Relationship Id="rId11" Type="http://schemas.openxmlformats.org/officeDocument/2006/relationships/hyperlink" Target="https://www.acas.org.uk/consulting-employees" TargetMode="External"/><Relationship Id="rId24" Type="http://schemas.openxmlformats.org/officeDocument/2006/relationships/hyperlink" Target="https://www.cipd.org/uk/knowledge/factsheets/organisation-culture-change-factsheet/?utm_source=chatgpt.com" TargetMode="External"/><Relationship Id="rId32" Type="http://schemas.openxmlformats.org/officeDocument/2006/relationships/hyperlink" Target="https://www.gov.uk/government/statistics/adult-social-care-workforce-survey-april-2025/adult-social-care-workforce-survey-april-2025-report" TargetMode="External"/><Relationship Id="rId37" Type="http://schemas.openxmlformats.org/officeDocument/2006/relationships/hyperlink" Target="https://www.researchgate.net/publication/287585067_Edgar_schein's_model_of_organizational_culture_levels_as_a_hologram?utm_source=chatgpt.com" TargetMode="External"/><Relationship Id="rId40" Type="http://schemas.openxmlformats.org/officeDocument/2006/relationships/hyperlink" Target="https://www.employment-studies.co.uk/resource/flatter-better-delayering-management-hierarchy?utm_source=chatgpt.com" TargetMode="External"/><Relationship Id="rId45" Type="http://schemas.openxmlformats.org/officeDocument/2006/relationships/hyperlink" Target="https://www.england.nhs.uk/long-read/case-study-improving-care-home-residents-wellbeing-through-digital-technology-south-devon-and-torbay/?utm_source=chatgpt.com" TargetMode="External"/><Relationship Id="rId53" Type="http://schemas.openxmlformats.org/officeDocument/2006/relationships/hyperlink" Target="https://doi.org/10.1007/s41469-022-00115-9" TargetMode="External"/><Relationship Id="rId58" Type="http://schemas.openxmlformats.org/officeDocument/2006/relationships/hyperlink" Target="https://www.gov.wales/digital-care-homes-good-practice-guide-html"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cipd.org/uk/knowledge/factsheets/induction-factsheet/?utm_source=chatgpt.com" TargetMode="External"/><Relationship Id="rId14" Type="http://schemas.openxmlformats.org/officeDocument/2006/relationships/hyperlink" Target="https://www.bitesizelearning.co.uk/resources/kotters-8-step-change-model?utm_source=chatgpt.com" TargetMode="External"/><Relationship Id="rId22" Type="http://schemas.openxmlformats.org/officeDocument/2006/relationships/hyperlink" Target="https://www.cipd.org/uk/knowledge/factsheets/swot-analysis-factsheet/" TargetMode="External"/><Relationship Id="rId27" Type="http://schemas.openxmlformats.org/officeDocument/2006/relationships/hyperlink" Target="https://www.cipd.org/uk/knowledge/factsheets/strategic-hrm-factsheet/?utm_source=chatgpt.com" TargetMode="External"/><Relationship Id="rId30" Type="http://schemas.openxmlformats.org/officeDocument/2006/relationships/hyperlink" Target="https://link.springer.com/article/10.1186/s12960-020-00469-9?utm_source=chatgpt.com" TargetMode="External"/><Relationship Id="rId35" Type="http://schemas.openxmlformats.org/officeDocument/2006/relationships/hyperlink" Target="https://www.gov.uk/government/news/cutting-edge-tech-introduced-in-social-care" TargetMode="External"/><Relationship Id="rId43" Type="http://schemas.openxmlformats.org/officeDocument/2006/relationships/hyperlink" Target="https://doi.org/10.1007/s41469-024-00184-y" TargetMode="External"/><Relationship Id="rId48" Type="http://schemas.openxmlformats.org/officeDocument/2006/relationships/hyperlink" Target="https://schoolguide.casel.org/uploads/sites/2/2018/12/SCARF-NeuroleadershipArticle.pdf?utm_source=chatgpt.com" TargetMode="External"/><Relationship Id="rId56" Type="http://schemas.openxmlformats.org/officeDocument/2006/relationships/hyperlink" Target="https://www.theaccessgroup.com/en-gb/digital-learning/case-studies-testimonials/hamberley-care-homes/" TargetMode="External"/><Relationship Id="rId8" Type="http://schemas.openxmlformats.org/officeDocument/2006/relationships/image" Target="media/image2.png"/><Relationship Id="rId51" Type="http://schemas.openxmlformats.org/officeDocument/2006/relationships/hyperlink" Target="https://www.employment-studies.co.uk/resource/non-financial-recognition?utm_source=chatgpt.com" TargetMode="External"/><Relationship Id="rId3" Type="http://schemas.openxmlformats.org/officeDocument/2006/relationships/settings" Target="settings.xml"/><Relationship Id="rId12" Type="http://schemas.openxmlformats.org/officeDocument/2006/relationships/hyperlink" Target="https://www.hrmagazine.co.uk/content/features/the-dangers-of-recruiting-for-cultural-fit?utm_source=chatgpt.com" TargetMode="External"/><Relationship Id="rId17" Type="http://schemas.openxmlformats.org/officeDocument/2006/relationships/hyperlink" Target="https://www.peoplemanagement.co.uk/article/1745882/the-flat-hierarchy-fall-from-grace" TargetMode="External"/><Relationship Id="rId25" Type="http://schemas.openxmlformats.org/officeDocument/2006/relationships/hyperlink" Target="https://www.cipd.org/uk/knowledge/factsheets/well%1ebeing-factsheet" TargetMode="External"/><Relationship Id="rId33" Type="http://schemas.openxmlformats.org/officeDocument/2006/relationships/hyperlink" Target="https://www.gov.uk/government/publications/care-workforce-pathway-for-adult-social-care/care-workforce-pathway-for-adult-social-care-overview?utm_source=chatgpt.com" TargetMode="External"/><Relationship Id="rId38" Type="http://schemas.openxmlformats.org/officeDocument/2006/relationships/hyperlink" Target="https://doi.org/10.1093/jcr/ucaf041" TargetMode="External"/><Relationship Id="rId46" Type="http://schemas.openxmlformats.org/officeDocument/2006/relationships/hyperlink" Target="https://doi.org/10.3390/systems12040142" TargetMode="External"/><Relationship Id="rId59" Type="http://schemas.openxmlformats.org/officeDocument/2006/relationships/hyperlink" Target="https://www.gov.wales/digital-care-homes-good-practice-guide-html?utm_source=chatgpt.com" TargetMode="External"/><Relationship Id="rId20" Type="http://schemas.openxmlformats.org/officeDocument/2006/relationships/hyperlink" Target="https://www.cipd.org/uk/knowledge/factsheets/leadership-factsheet/?utm_source=chatgpt.com" TargetMode="External"/><Relationship Id="rId41" Type="http://schemas.openxmlformats.org/officeDocument/2006/relationships/hyperlink" Target="https://www.kcl.ac.uk/developing-the-care-workforce?utm_source=chatgpt.com" TargetMode="External"/><Relationship Id="rId54" Type="http://schemas.openxmlformats.org/officeDocument/2006/relationships/hyperlink" Target="https://positivepsychology.com/expectancy-theory/?utm_source=chatgpt.com"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qc.org.uk/guidance-providers/adult-social-care/digital-record-systems-adult-social-care-services/benefits-good-digital-records-system?utm_source=chatgpt.com" TargetMode="External"/><Relationship Id="rId23" Type="http://schemas.openxmlformats.org/officeDocument/2006/relationships/hyperlink" Target="https://www.cipd.org/uk/knowledge/factsheets/emerging-future-work-factsheet/?utm_source=chatgpt.com" TargetMode="External"/><Relationship Id="rId28" Type="http://schemas.openxmlformats.org/officeDocument/2006/relationships/hyperlink" Target="https://www.cipd.org/uk/knowledge/factsheets/engagement-factsheet/?utm_source=chatgpt.com" TargetMode="External"/><Relationship Id="rId36" Type="http://schemas.openxmlformats.org/officeDocument/2006/relationships/hyperlink" Target="https://www.gov.uk/government/news/major-nhs-ai-trial-delivers-unprecedented-time-and-cost-savings" TargetMode="External"/><Relationship Id="rId49" Type="http://schemas.openxmlformats.org/officeDocument/2006/relationships/hyperlink" Target="https://www.abacademies.org/articles/the-interplay-between-organizational-culture-and-human-resources-a-catalyst-for-success.pdf?utm_source=chatgpt.com" TargetMode="External"/><Relationship Id="rId57" Type="http://schemas.openxmlformats.org/officeDocument/2006/relationships/hyperlink" Target="https://www.unison.org.uk/news/2025/07/care-recruitment-crisis-wont-end-while-workers-are-living-in-poverty-says-unison/?utm_source=chatgpt.com" TargetMode="External"/><Relationship Id="rId10" Type="http://schemas.openxmlformats.org/officeDocument/2006/relationships/hyperlink" Target="https://www.agespace.org/care/respite-care" TargetMode="External"/><Relationship Id="rId31" Type="http://schemas.openxmlformats.org/officeDocument/2006/relationships/hyperlink" Target="https://www.gov.uk/government/publications/digital-working-in-adult-social-care-what-good-looks-like/digital-working-in-adult-social-care-what-good-looks-like-for-local-authorities-and-care-providers" TargetMode="External"/><Relationship Id="rId44" Type="http://schemas.openxmlformats.org/officeDocument/2006/relationships/hyperlink" Target="https://www.peoplemanagement.co.uk/article/1939309/culture-rot-%E2%80%93-why-spreading-uk-workplaces?bulletin=pm-daily&amp;utm_source=mc&amp;utm_medium=email&amp;utm_content=20251111_PM+Daily_NWL_CIPD_GLO_MIX_MAN_NA" TargetMode="External"/><Relationship Id="rId52" Type="http://schemas.openxmlformats.org/officeDocument/2006/relationships/hyperlink" Target="https://www.skillsforcare.org.uk/Adult-Social-Care-Workforce-Data/workforceintelligence/resources/Reports/National/The-state-of-the-adult-social-care-sector-and-workforce-in-England-2025.pdf?utm_source=chatgpt.com" TargetMode="External"/><Relationship Id="rId60" Type="http://schemas.openxmlformats.org/officeDocument/2006/relationships/hyperlink" Target="https://reports.weforum.org/docs/WEF_Future_of_Jobs_Report_2025.pdf?utm_source=chatgpt.com"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8937</Words>
  <Characters>50941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Sanderson</dc:creator>
  <cp:keywords/>
  <dc:description/>
  <cp:lastModifiedBy>Laura Sanderson</cp:lastModifiedBy>
  <cp:revision>3</cp:revision>
  <dcterms:created xsi:type="dcterms:W3CDTF">2025-12-07T17:48:00Z</dcterms:created>
  <dcterms:modified xsi:type="dcterms:W3CDTF">2025-12-07T17:51:00Z</dcterms:modified>
</cp:coreProperties>
</file>