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rPr>
          <w:rtl w:val="0"/>
          <w:lang w:val="en-US"/>
        </w:rPr>
        <w:t>Micro Teach Reference List: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 xml:space="preserve">American Psychological Association. (2024). </w:t>
      </w:r>
      <w:r>
        <w:rPr>
          <w:rFonts w:ascii="Aptos" w:cs="Aptos" w:hAnsi="Aptos" w:eastAsia="Aptos"/>
          <w:i w:val="1"/>
          <w:iCs w:val="1"/>
          <w:rtl w:val="0"/>
          <w:lang w:val="fr-FR"/>
        </w:rPr>
        <w:t>Emotions</w:t>
      </w:r>
      <w:r>
        <w:rPr>
          <w:rtl w:val="0"/>
          <w:lang w:val="en-US"/>
        </w:rPr>
        <w:t>. Available at: https://www.apa.org/topics/emotions</w:t>
      </w:r>
    </w:p>
    <w:p>
      <w:pPr>
        <w:pStyle w:val="Body"/>
      </w:pPr>
      <w:r>
        <w:rPr>
          <w:rtl w:val="0"/>
        </w:rPr>
        <w:t xml:space="preserve">Bogart, A. (2007). </w:t>
      </w:r>
      <w:r>
        <w:rPr>
          <w:rtl w:val="1"/>
          <w:lang w:val="ar-SA" w:bidi="ar-SA"/>
        </w:rPr>
        <w:t>“</w:t>
      </w:r>
      <w:r>
        <w:rPr>
          <w:rFonts w:ascii="Aptos" w:cs="Aptos" w:hAnsi="Aptos" w:eastAsia="Aptos"/>
          <w:i w:val="1"/>
          <w:iCs w:val="1"/>
          <w:rtl w:val="0"/>
          <w:lang w:val="it-IT"/>
        </w:rPr>
        <w:t>Magnetism</w:t>
      </w:r>
      <w:r>
        <w:rPr>
          <w:rFonts w:ascii="Aptos" w:cs="Aptos" w:hAnsi="Aptos" w:eastAsia="Aptos"/>
          <w:i w:val="1"/>
          <w:iCs w:val="1"/>
          <w:rtl w:val="0"/>
        </w:rPr>
        <w:t xml:space="preserve">” </w:t>
      </w:r>
      <w:r>
        <w:rPr>
          <w:rFonts w:ascii="Aptos" w:cs="Aptos" w:hAnsi="Aptos" w:eastAsia="Aptos"/>
          <w:i w:val="1"/>
          <w:iCs w:val="1"/>
          <w:rtl w:val="0"/>
          <w:lang w:val="en-US"/>
        </w:rPr>
        <w:t>and Then, You Act: Making Art in an Unpredictable World</w:t>
      </w:r>
      <w:r>
        <w:rPr>
          <w:rtl w:val="0"/>
          <w:lang w:val="en-US"/>
        </w:rPr>
        <w:t xml:space="preserve">. New York. Routledge. pp.128-133.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"https://www.bu.edu/writingprogram/journal/past-issues/issue-6/lader/"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https://www.bu.edu/writingprogram/journal/past-issues/issue-6/lader/</w:t>
      </w:r>
      <w:r>
        <w:rPr/>
        <w:fldChar w:fldCharType="end" w:fldLock="0"/>
      </w:r>
    </w:p>
    <w:p>
      <w:pPr>
        <w:pStyle w:val="Body"/>
      </w:pPr>
      <w:r>
        <w:rPr>
          <w:rtl w:val="0"/>
        </w:rPr>
        <w:t xml:space="preserve">McMullen, R. Donald (2024). </w:t>
      </w:r>
      <w:r>
        <w:rPr>
          <w:rFonts w:ascii="Aptos" w:cs="Aptos" w:hAnsi="Aptos" w:eastAsia="Aptos"/>
          <w:i w:val="1"/>
          <w:iCs w:val="1"/>
          <w:rtl w:val="0"/>
        </w:rPr>
        <w:t>Wassily Kandinsky</w:t>
      </w:r>
      <w:r>
        <w:rPr>
          <w:rtl w:val="0"/>
          <w:lang w:val="en-US"/>
        </w:rPr>
        <w:t>. Available at: https://www.britannica.com/biography/Wassily-Kandinsky</w:t>
      </w:r>
    </w:p>
    <w:p>
      <w:pPr>
        <w:pStyle w:val="Body"/>
      </w:pPr>
      <w:r>
        <w:rPr>
          <w:rtl w:val="0"/>
        </w:rPr>
        <w:t xml:space="preserve">Britannica. (2024). </w:t>
      </w:r>
      <w:r>
        <w:rPr>
          <w:rFonts w:ascii="Aptos" w:cs="Aptos" w:hAnsi="Aptos" w:eastAsia="Aptos"/>
          <w:i w:val="1"/>
          <w:iCs w:val="1"/>
          <w:rtl w:val="0"/>
          <w:lang w:val="it-IT"/>
        </w:rPr>
        <w:t>Expressionism</w:t>
      </w:r>
      <w:r>
        <w:rPr>
          <w:rtl w:val="0"/>
          <w:lang w:val="en-US"/>
        </w:rPr>
        <w:t>. Available at: https://www.britannica.com/art/Expressionism</w:t>
      </w:r>
    </w:p>
    <w:p>
      <w:pPr>
        <w:pStyle w:val="Body"/>
      </w:pPr>
      <w:r>
        <w:rPr>
          <w:rtl w:val="0"/>
        </w:rPr>
        <w:t xml:space="preserve">Gagosian Gallery. (2012). </w:t>
      </w:r>
      <w:r>
        <w:rPr>
          <w:rFonts w:ascii="Aptos" w:cs="Aptos" w:hAnsi="Aptos" w:eastAsia="Aptos"/>
          <w:i w:val="1"/>
          <w:iCs w:val="1"/>
          <w:rtl w:val="0"/>
          <w:lang w:val="en-US"/>
        </w:rPr>
        <w:t>Damien Hirst The Complete Spot Paintings 1986-2011</w:t>
      </w:r>
      <w:r>
        <w:rPr>
          <w:rtl w:val="0"/>
          <w:lang w:val="en-US"/>
        </w:rPr>
        <w:t>. Available at: https://gagosian.com/exhibitions/2012/damien-hirst-the-complete-spot-paintings-1986-2011-new-york/</w:t>
      </w:r>
    </w:p>
    <w:p>
      <w:pPr>
        <w:pStyle w:val="Body"/>
      </w:pPr>
      <w:r>
        <w:rPr>
          <w:rtl w:val="0"/>
        </w:rPr>
        <w:t xml:space="preserve">Gary Tatintsian Gallery. (2024). </w:t>
      </w:r>
      <w:r>
        <w:rPr>
          <w:rFonts w:ascii="Aptos" w:cs="Aptos" w:hAnsi="Aptos" w:eastAsia="Aptos"/>
          <w:i w:val="1"/>
          <w:iCs w:val="1"/>
          <w:rtl w:val="0"/>
        </w:rPr>
        <w:t>Damien Hirst</w:t>
      </w:r>
      <w:r>
        <w:rPr>
          <w:rtl w:val="0"/>
          <w:lang w:val="en-US"/>
        </w:rPr>
        <w:t xml:space="preserve">. Available at: 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"https://tatintsian.com/artists/damien-hirst/works/"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https://tatintsian.com/artists/damien-hirst/works/</w:t>
      </w:r>
      <w:r>
        <w:rPr/>
        <w:fldChar w:fldCharType="end" w:fldLock="0"/>
      </w:r>
    </w:p>
    <w:p>
      <w:pPr>
        <w:pStyle w:val="Body"/>
      </w:pPr>
      <w:r>
        <w:rPr>
          <w:rtl w:val="0"/>
        </w:rPr>
        <w:t xml:space="preserve">MOMA. (2024). </w:t>
      </w:r>
      <w:bookmarkStart w:name="_Hlk177661819" w:id="0"/>
      <w:r>
        <w:rPr>
          <w:rFonts w:ascii="Aptos" w:cs="Aptos" w:hAnsi="Aptos" w:eastAsia="Aptos"/>
          <w:i w:val="1"/>
          <w:iCs w:val="1"/>
          <w:rtl w:val="0"/>
          <w:lang w:val="en-US"/>
        </w:rPr>
        <w:t>German Expressionism Works from the Collection</w:t>
      </w:r>
      <w:bookmarkEnd w:id="0"/>
      <w:r>
        <w:rPr>
          <w:rtl w:val="0"/>
          <w:lang w:val="en-US"/>
        </w:rPr>
        <w:t xml:space="preserve">.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"https://www.moma.org/s/ge/curated_ge/"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https://www.moma.org/s/ge/curated_ge/</w:t>
      </w:r>
      <w:r>
        <w:rPr/>
        <w:fldChar w:fldCharType="end" w:fldLock="0"/>
      </w:r>
    </w:p>
    <w:p>
      <w:pPr>
        <w:pStyle w:val="Body"/>
      </w:pPr>
      <w:r>
        <w:rPr>
          <w:rtl w:val="0"/>
        </w:rPr>
        <w:t xml:space="preserve">MOMA. (2024). </w:t>
      </w:r>
      <w:r>
        <w:rPr>
          <w:rFonts w:ascii="Aptos" w:cs="Aptos" w:hAnsi="Aptos" w:eastAsia="Aptos"/>
          <w:i w:val="1"/>
          <w:iCs w:val="1"/>
          <w:rtl w:val="0"/>
          <w:lang w:val="it-IT"/>
        </w:rPr>
        <w:t>Austrian Expressionism</w:t>
      </w:r>
      <w:r>
        <w:rPr>
          <w:rtl w:val="0"/>
          <w:lang w:val="en-US"/>
        </w:rPr>
        <w:t>. Available at: https://www.moma.org/s/ge/curated_ge/styles/austrian_expressionism.html</w:t>
      </w:r>
    </w:p>
    <w:p>
      <w:pPr>
        <w:pStyle w:val="Body"/>
      </w:pPr>
      <w:r>
        <w:rPr>
          <w:rtl w:val="0"/>
          <w:lang w:val="nl-NL"/>
        </w:rPr>
        <w:t xml:space="preserve">Niedenthal, P. Wood, A. (2019). </w:t>
      </w:r>
      <w:r>
        <w:rPr>
          <w:rFonts w:ascii="Aptos" w:cs="Aptos" w:hAnsi="Aptos" w:eastAsia="Aptos"/>
          <w:i w:val="1"/>
          <w:iCs w:val="1"/>
          <w:rtl w:val="0"/>
          <w:lang w:val="en-US"/>
        </w:rPr>
        <w:t>Does Emotion Influence Visual Perception? Depends on How You Look At It</w:t>
      </w:r>
      <w:r>
        <w:rPr>
          <w:rtl w:val="0"/>
          <w:lang w:val="fr-FR"/>
        </w:rPr>
        <w:t>. Cognition &amp; Emotion, 33(1), 77</w:t>
      </w:r>
      <w:r>
        <w:rPr>
          <w:rtl w:val="0"/>
        </w:rPr>
        <w:t>–</w:t>
      </w:r>
      <w:r>
        <w:rPr>
          <w:rtl w:val="0"/>
          <w:lang w:val="en-US"/>
        </w:rPr>
        <w:t>84. Available at:  https://doi.org/10.1080/02699931.2018.1561424</w:t>
      </w:r>
    </w:p>
    <w:p>
      <w:pPr>
        <w:pStyle w:val="Body"/>
      </w:pPr>
      <w:r>
        <w:rPr>
          <w:rtl w:val="0"/>
        </w:rPr>
        <w:t xml:space="preserve">Overton, T. (2010). </w:t>
      </w:r>
      <w:r>
        <w:rPr>
          <w:rFonts w:ascii="Aptos" w:cs="Aptos" w:hAnsi="Aptos" w:eastAsia="Aptos"/>
          <w:i w:val="1"/>
          <w:iCs w:val="1"/>
          <w:rtl w:val="0"/>
        </w:rPr>
        <w:t xml:space="preserve">Tracey Emin (1963 </w:t>
      </w:r>
      <w:r>
        <w:rPr>
          <w:rFonts w:ascii="Aptos" w:cs="Aptos" w:hAnsi="Aptos" w:eastAsia="Aptos"/>
          <w:i w:val="1"/>
          <w:iCs w:val="1"/>
          <w:rtl w:val="0"/>
        </w:rPr>
        <w:t xml:space="preserve">– </w:t>
      </w:r>
      <w:r>
        <w:rPr>
          <w:rFonts w:ascii="Aptos" w:cs="Aptos" w:hAnsi="Aptos" w:eastAsia="Aptos"/>
          <w:i w:val="1"/>
          <w:iCs w:val="1"/>
          <w:rtl w:val="0"/>
        </w:rPr>
        <w:t>).</w:t>
      </w:r>
      <w:r>
        <w:rPr>
          <w:rtl w:val="0"/>
          <w:lang w:val="en-US"/>
        </w:rPr>
        <w:t xml:space="preserve">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"https://visualarts.britishcouncil.org/collection/artists/emin-tracey-1963/object/somethings-wrong-emin-2002-p7709"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https://visualarts.britishcouncil.org/collection/artists/emin-tracey-1963/object/somethings-wrong-emin-2002-p7709</w:t>
      </w:r>
      <w:r>
        <w:rPr/>
        <w:fldChar w:fldCharType="end" w:fldLock="0"/>
      </w:r>
    </w:p>
    <w:p>
      <w:pPr>
        <w:pStyle w:val="Body"/>
      </w:pPr>
      <w:r>
        <w:rPr>
          <w:rtl w:val="0"/>
        </w:rPr>
        <w:t xml:space="preserve">Oxford. (2024). </w:t>
      </w:r>
      <w:r>
        <w:rPr>
          <w:rFonts w:ascii="Aptos" w:cs="Aptos" w:hAnsi="Aptos" w:eastAsia="Aptos"/>
          <w:i w:val="1"/>
          <w:iCs w:val="1"/>
          <w:rtl w:val="0"/>
        </w:rPr>
        <w:t>Art.</w:t>
      </w:r>
      <w:r>
        <w:rPr>
          <w:rtl w:val="0"/>
          <w:lang w:val="en-US"/>
        </w:rPr>
        <w:t xml:space="preserve"> Available at: https://www.oxfordlearnersdictionaries.com/definition/english/art_1</w:t>
      </w:r>
    </w:p>
    <w:p>
      <w:pPr>
        <w:pStyle w:val="Body"/>
      </w:pPr>
      <w:r>
        <w:rPr>
          <w:rtl w:val="0"/>
          <w:lang w:val="nl-NL"/>
        </w:rPr>
        <w:t xml:space="preserve">Rampley, M. (1996). </w:t>
      </w:r>
      <w:r>
        <w:rPr>
          <w:rFonts w:ascii="Aptos" w:cs="Aptos" w:hAnsi="Aptos" w:eastAsia="Aptos"/>
          <w:i w:val="1"/>
          <w:iCs w:val="1"/>
          <w:rtl w:val="0"/>
          <w:lang w:val="en-US"/>
        </w:rPr>
        <w:t>Identity and Difference:</w:t>
      </w:r>
      <w:r>
        <w:rPr>
          <w:rtl w:val="0"/>
        </w:rPr>
        <w:t xml:space="preserve"> </w:t>
      </w:r>
      <w:r>
        <w:rPr>
          <w:rFonts w:ascii="Aptos" w:cs="Aptos" w:hAnsi="Aptos" w:eastAsia="Aptos"/>
          <w:i w:val="1"/>
          <w:iCs w:val="1"/>
          <w:rtl w:val="0"/>
          <w:lang w:val="en-US"/>
        </w:rPr>
        <w:t>Jackson Pollock and the Ideology of the Drip.</w:t>
      </w:r>
      <w:r>
        <w:rPr>
          <w:rtl w:val="0"/>
          <w:lang w:val="en-US"/>
        </w:rPr>
        <w:t xml:space="preserve"> Oxford University Press. pp.83-86. Available at: http://www.jstor.org/stable/1360731 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tl w:val="0"/>
        </w:rPr>
        <w:t xml:space="preserve">Smiljkovic, I. (2012). </w:t>
      </w:r>
      <w:r>
        <w:rPr>
          <w:rFonts w:ascii="Aptos" w:cs="Aptos" w:hAnsi="Aptos" w:eastAsia="Aptos"/>
          <w:i w:val="1"/>
          <w:iCs w:val="1"/>
          <w:rtl w:val="0"/>
          <w:lang w:val="en-US"/>
        </w:rPr>
        <w:t>Marina &amp; Ulay @ MoMA (The Artist is Present).</w:t>
      </w:r>
      <w:r>
        <w:rPr>
          <w:rtl w:val="0"/>
          <w:lang w:val="en-US"/>
        </w:rPr>
        <w:t xml:space="preserve"> Available at: https://www.bing.com/videos/riverview/relatedvideo?q=youtube%20the%20artist%20is%20present%20youtube&amp;mid=6469C9AD13AD852315666469C9AD13AD85231566&amp;ajaxhist=0</w:t>
      </w:r>
    </w:p>
    <w:p>
      <w:pPr>
        <w:pStyle w:val="Body"/>
      </w:pPr>
      <w:r>
        <w:rPr>
          <w:rtl w:val="0"/>
        </w:rPr>
        <w:t xml:space="preserve">Tate. (2024). </w:t>
      </w:r>
      <w:r>
        <w:rPr>
          <w:rFonts w:ascii="Aptos" w:cs="Aptos" w:hAnsi="Aptos" w:eastAsia="Aptos"/>
          <w:i w:val="1"/>
          <w:iCs w:val="1"/>
          <w:rtl w:val="0"/>
        </w:rPr>
        <w:t>Conceptual Art.</w:t>
      </w:r>
      <w:r>
        <w:rPr>
          <w:rtl w:val="0"/>
          <w:lang w:val="en-US"/>
        </w:rPr>
        <w:t xml:space="preserve"> Available at: https://www.tate.org.uk/art/art-terms/c/conceptual-art</w:t>
      </w:r>
    </w:p>
    <w:p>
      <w:pPr>
        <w:pStyle w:val="Body"/>
      </w:pPr>
      <w:r>
        <w:rPr>
          <w:rtl w:val="0"/>
        </w:rPr>
        <w:t xml:space="preserve">Tate. (2024). </w:t>
      </w:r>
      <w:r>
        <w:rPr>
          <w:rFonts w:ascii="Aptos" w:cs="Aptos" w:hAnsi="Aptos" w:eastAsia="Aptos"/>
          <w:i w:val="1"/>
          <w:iCs w:val="1"/>
          <w:rtl w:val="0"/>
        </w:rPr>
        <w:t>Wassily Kandinsky</w:t>
      </w:r>
      <w:r>
        <w:rPr>
          <w:rtl w:val="0"/>
          <w:lang w:val="en-US"/>
        </w:rPr>
        <w:t xml:space="preserve">.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"https://www.tate.org.uk/art/artists/wassily-kandinsky-1382"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https://www.tate.org.uk/art/artists/wassily-kandinsky-1382</w:t>
      </w:r>
      <w:r>
        <w:rPr/>
        <w:fldChar w:fldCharType="end" w:fldLock="0"/>
      </w:r>
    </w:p>
    <w:p>
      <w:pPr>
        <w:pStyle w:val="Body"/>
      </w:pPr>
      <w:r>
        <w:rPr>
          <w:rtl w:val="0"/>
        </w:rPr>
        <w:t xml:space="preserve">The Art Story. (2024). </w:t>
      </w:r>
      <w:r>
        <w:rPr>
          <w:rFonts w:ascii="Aptos" w:cs="Aptos" w:hAnsi="Aptos" w:eastAsia="Aptos"/>
          <w:i w:val="1"/>
          <w:iCs w:val="1"/>
          <w:rtl w:val="0"/>
          <w:lang w:val="de-DE"/>
        </w:rPr>
        <w:t>Der Blaue Reiter.</w:t>
      </w:r>
      <w:r>
        <w:rPr>
          <w:rtl w:val="0"/>
          <w:lang w:val="en-US"/>
        </w:rPr>
        <w:t xml:space="preserve">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"https://www.theartstory.org/movement/der-blaue-reiter/"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https://www.theartstory.org/movement/der-blaue-reiter/</w:t>
      </w:r>
      <w:r>
        <w:rPr/>
        <w:fldChar w:fldCharType="end" w:fldLock="0"/>
      </w:r>
    </w:p>
    <w:p>
      <w:pPr>
        <w:pStyle w:val="Body"/>
      </w:pPr>
      <w:r>
        <w:rPr>
          <w:rtl w:val="0"/>
        </w:rPr>
        <w:t xml:space="preserve">The Art Story. (2024). </w:t>
      </w:r>
      <w:r>
        <w:rPr>
          <w:rFonts w:ascii="Aptos" w:cs="Aptos" w:hAnsi="Aptos" w:eastAsia="Aptos"/>
          <w:i w:val="1"/>
          <w:iCs w:val="1"/>
          <w:rtl w:val="0"/>
          <w:lang w:val="de-DE"/>
        </w:rPr>
        <w:t>Der Brucke</w:t>
      </w:r>
      <w:r>
        <w:rPr>
          <w:rtl w:val="0"/>
          <w:lang w:val="en-US"/>
        </w:rPr>
        <w:t xml:space="preserve">.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"https://www.theartstory.org/movement/die-brucke/"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https://www.theartstory.org/movement/die-brucke/</w:t>
      </w:r>
      <w:r>
        <w:rPr/>
        <w:fldChar w:fldCharType="end" w:fldLock="0"/>
      </w:r>
    </w:p>
    <w:p>
      <w:pPr>
        <w:pStyle w:val="Body"/>
      </w:pPr>
      <w:r>
        <w:rPr>
          <w:rtl w:val="0"/>
          <w:lang w:val="en-US"/>
        </w:rPr>
        <w:t>Williams, J. (2018). Theme From Schindler</w:t>
      </w:r>
      <w:r>
        <w:rPr>
          <w:rtl w:val="1"/>
        </w:rPr>
        <w:t>’</w:t>
      </w:r>
      <w:r>
        <w:rPr>
          <w:rtl w:val="0"/>
          <w:lang w:val="en-US"/>
        </w:rPr>
        <w:t>s List. Available at: https://www.youtube.com/watch?v=057A1RdssoU</w:t>
      </w:r>
    </w:p>
    <w:p>
      <w:pPr>
        <w:pStyle w:val="Body"/>
      </w:pPr>
      <w:r>
        <w:rPr>
          <w:rtl w:val="0"/>
        </w:rPr>
        <w:t xml:space="preserve">Quinn, M. (2024). </w:t>
      </w:r>
      <w:r>
        <w:rPr>
          <w:rFonts w:ascii="Aptos" w:cs="Aptos" w:hAnsi="Aptos" w:eastAsia="Aptos"/>
          <w:i w:val="1"/>
          <w:iCs w:val="1"/>
          <w:rtl w:val="0"/>
          <w:lang w:val="nl-NL"/>
        </w:rPr>
        <w:t>Self</w:t>
      </w:r>
      <w:r>
        <w:rPr>
          <w:rtl w:val="0"/>
          <w:lang w:val="en-US"/>
        </w:rPr>
        <w:t xml:space="preserve">. Available at: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"http://marcquinn.com/artworks/self"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it-IT"/>
        </w:rPr>
        <w:t>Self (marcquinn.com)</w:t>
      </w:r>
      <w:r>
        <w:rPr/>
        <w:fldChar w:fldCharType="end" w:fldLock="0"/>
      </w:r>
    </w:p>
    <w:p>
      <w:pPr>
        <w:pStyle w:val="Body"/>
      </w:pPr>
      <w:r>
        <w:rPr>
          <w:rStyle w:val="None"/>
          <w:rtl w:val="0"/>
        </w:rPr>
        <w:t xml:space="preserve">Wolf, J. Duncan, A. (2011). </w:t>
      </w:r>
      <w:r>
        <w:rPr>
          <w:rStyle w:val="None"/>
          <w:rFonts w:ascii="Aptos" w:cs="Aptos" w:hAnsi="Aptos" w:eastAsia="Aptos"/>
          <w:i w:val="1"/>
          <w:iCs w:val="1"/>
          <w:rtl w:val="0"/>
          <w:lang w:val="en-US"/>
        </w:rPr>
        <w:t>Edvard Munch Artist Overview and Analysis.</w:t>
      </w:r>
      <w:r>
        <w:rPr>
          <w:rStyle w:val="None"/>
          <w:rtl w:val="0"/>
          <w:lang w:val="en-US"/>
        </w:rPr>
        <w:t xml:space="preserve">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"https://www.theartstory.org/artist/munch-edvard/%23"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https://www.theartstory.org/artist/munch-edvard/#</w:t>
      </w:r>
      <w:r>
        <w:rPr/>
        <w:fldChar w:fldCharType="end" w:fldLock="0"/>
      </w:r>
    </w:p>
    <w:p>
      <w:pPr>
        <w:pStyle w:val="Body"/>
      </w:pPr>
      <w:r/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467886"/>
      <w:u w:val="single" w:color="467886"/>
      <w14:textFill>
        <w14:solidFill>
          <w14:srgbClr w14:val="467886"/>
        </w14:solidFill>
      </w14:textFill>
    </w:rPr>
  </w:style>
  <w:style w:type="character" w:styleId="None">
    <w:name w:val="None"/>
  </w:style>
  <w:style w:type="character" w:styleId="Hyperlink.1">
    <w:name w:val="Hyperlink.1"/>
    <w:basedOn w:val="None"/>
    <w:next w:val="Hyperlink.1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