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6164080E" w14:textId="77777777" w:rsidR="00420FE9" w:rsidRDefault="00420FE9" w:rsidP="00420FE9">
      <w:pPr>
        <w:jc w:val="center"/>
        <w:rPr>
          <w:rFonts w:ascii="Tahoma" w:hAnsi="Tahoma" w:cs="Tahoma"/>
          <w:b/>
          <w:u w:val="single"/>
        </w:rPr>
      </w:pPr>
    </w:p>
    <w:p w14:paraId="5595FA65" w14:textId="77777777" w:rsidR="00420FE9" w:rsidRDefault="00420FE9" w:rsidP="00420FE9">
      <w:pPr>
        <w:jc w:val="center"/>
        <w:rPr>
          <w:rFonts w:ascii="Tahoma" w:hAnsi="Tahoma" w:cs="Tahoma"/>
          <w:b/>
          <w:u w:val="single"/>
        </w:rPr>
      </w:pPr>
    </w:p>
    <w:p w14:paraId="75B3D173" w14:textId="77777777" w:rsidR="00420FE9" w:rsidRDefault="00420FE9" w:rsidP="00420FE9">
      <w:pPr>
        <w:jc w:val="center"/>
        <w:rPr>
          <w:rFonts w:ascii="Tahoma" w:hAnsi="Tahoma" w:cs="Tahoma"/>
          <w:b/>
          <w:u w:val="single"/>
        </w:rPr>
      </w:pPr>
    </w:p>
    <w:p w14:paraId="0E77240A" w14:textId="77777777" w:rsidR="00420FE9" w:rsidRDefault="00420FE9" w:rsidP="00420FE9">
      <w:pPr>
        <w:jc w:val="center"/>
        <w:rPr>
          <w:rFonts w:ascii="Tahoma" w:hAnsi="Tahoma" w:cs="Tahoma"/>
          <w:b/>
          <w:u w:val="single"/>
        </w:rPr>
      </w:pPr>
    </w:p>
    <w:p w14:paraId="0BAE3F78" w14:textId="77777777" w:rsidR="00420FE9" w:rsidRDefault="00420FE9" w:rsidP="00420FE9">
      <w:pPr>
        <w:jc w:val="center"/>
        <w:rPr>
          <w:rFonts w:ascii="Tahoma" w:hAnsi="Tahoma" w:cs="Tahoma"/>
          <w:b/>
          <w:u w:val="single"/>
        </w:rPr>
      </w:pPr>
    </w:p>
    <w:p w14:paraId="36C59C09" w14:textId="77777777" w:rsidR="00420FE9" w:rsidRDefault="00420FE9" w:rsidP="00420FE9">
      <w:pPr>
        <w:jc w:val="center"/>
        <w:rPr>
          <w:rFonts w:ascii="Tahoma" w:hAnsi="Tahoma" w:cs="Tahoma"/>
          <w:b/>
          <w:u w:val="single"/>
        </w:rPr>
      </w:pPr>
    </w:p>
    <w:p w14:paraId="55FFDD02" w14:textId="77777777" w:rsidR="00420FE9" w:rsidRDefault="00420FE9" w:rsidP="00420FE9">
      <w:pPr>
        <w:jc w:val="center"/>
        <w:rPr>
          <w:rFonts w:ascii="Tahoma" w:hAnsi="Tahoma" w:cs="Tahoma"/>
          <w:b/>
          <w:u w:val="single"/>
        </w:rPr>
      </w:pPr>
    </w:p>
    <w:p w14:paraId="53CE8A77" w14:textId="77777777" w:rsidR="00420FE9" w:rsidRDefault="00420FE9" w:rsidP="00420FE9">
      <w:pPr>
        <w:jc w:val="center"/>
        <w:rPr>
          <w:rFonts w:ascii="Tahoma" w:hAnsi="Tahoma" w:cs="Tahoma"/>
          <w:b/>
          <w:u w:val="single"/>
        </w:rPr>
      </w:pPr>
    </w:p>
    <w:p w14:paraId="35A2D0EC" w14:textId="77777777" w:rsidR="00420FE9" w:rsidRDefault="00420FE9" w:rsidP="00420FE9">
      <w:pPr>
        <w:jc w:val="center"/>
        <w:rPr>
          <w:rFonts w:ascii="Tahoma" w:hAnsi="Tahoma" w:cs="Tahoma"/>
          <w:b/>
          <w:u w:val="single"/>
        </w:rPr>
      </w:pPr>
    </w:p>
    <w:p w14:paraId="4235B178" w14:textId="77777777" w:rsidR="00420FE9" w:rsidRDefault="00420FE9" w:rsidP="00420FE9">
      <w:pPr>
        <w:jc w:val="center"/>
        <w:rPr>
          <w:rFonts w:ascii="Tahoma" w:hAnsi="Tahoma" w:cs="Tahoma"/>
          <w:b/>
          <w:u w:val="single"/>
        </w:rPr>
      </w:pPr>
    </w:p>
    <w:p w14:paraId="3FBC8958" w14:textId="606BB0DB" w:rsidR="00301AD0" w:rsidRDefault="001B6DB4" w:rsidP="00420FE9">
      <w:pPr>
        <w:jc w:val="center"/>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420FE9">
        <w:rPr>
          <w:rFonts w:ascii="Tahoma" w:hAnsi="Tahoma" w:cs="Tahoma"/>
          <w:b/>
          <w:u w:val="single"/>
        </w:rPr>
        <w:t>Student Journal</w:t>
      </w:r>
    </w:p>
    <w:p w14:paraId="3EEDD075" w14:textId="77777777" w:rsidR="00C50AE7" w:rsidRPr="003C3341" w:rsidRDefault="00C50AE7" w:rsidP="00B945EA">
      <w:pPr>
        <w:jc w:val="both"/>
        <w:rPr>
          <w:rFonts w:ascii="Tahoma" w:hAnsi="Tahoma" w:cs="Tahoma"/>
          <w:b/>
          <w:u w:val="single"/>
        </w:rPr>
      </w:pPr>
    </w:p>
    <w:p w14:paraId="48A65D50" w14:textId="31569377" w:rsidR="00301AD0" w:rsidRPr="003C3341" w:rsidRDefault="00420FE9">
      <w:pPr>
        <w:rPr>
          <w:rFonts w:ascii="Tahoma" w:hAnsi="Tahoma" w:cs="Tahoma"/>
          <w:sz w:val="20"/>
          <w:szCs w:val="20"/>
        </w:rPr>
      </w:pPr>
      <w:r>
        <w:rPr>
          <w:rFonts w:ascii="Tahoma" w:hAnsi="Tahoma" w:cs="Tahoma"/>
          <w:sz w:val="20"/>
          <w:szCs w:val="20"/>
        </w:rPr>
        <w:br w:type="page"/>
      </w: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223E311"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
          <w:p w14:paraId="498F0B10" w14:textId="0CAD2421" w:rsidR="001B69C8" w:rsidRPr="003C3341" w:rsidRDefault="007659DF">
            <w:pPr>
              <w:rPr>
                <w:rFonts w:ascii="Tahoma" w:hAnsi="Tahoma" w:cs="Tahoma"/>
                <w:b/>
                <w:sz w:val="20"/>
                <w:szCs w:val="20"/>
              </w:rPr>
            </w:pPr>
            <w:r>
              <w:rPr>
                <w:rFonts w:ascii="Tahoma" w:hAnsi="Tahoma" w:cs="Tahoma"/>
                <w:b/>
                <w:sz w:val="20"/>
                <w:szCs w:val="20"/>
              </w:rPr>
              <w:t xml:space="preserve">Anamaria Bursuc </w:t>
            </w:r>
          </w:p>
          <w:p w14:paraId="1BE02E96" w14:textId="5AADA962"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E66A62">
              <w:rPr>
                <w:rFonts w:ascii="Tahoma" w:hAnsi="Tahoma" w:cs="Tahoma"/>
                <w:b/>
                <w:sz w:val="20"/>
                <w:szCs w:val="20"/>
              </w:rPr>
              <w:t>2122375</w:t>
            </w:r>
          </w:p>
        </w:tc>
        <w:tc>
          <w:tcPr>
            <w:tcW w:w="7195" w:type="dxa"/>
            <w:shd w:val="clear" w:color="auto" w:fill="8DB3E2" w:themeFill="text2" w:themeFillTint="66"/>
          </w:tcPr>
          <w:p w14:paraId="488BCD26" w14:textId="13F1AB79"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5D3C32">
              <w:rPr>
                <w:rFonts w:ascii="Tahoma" w:hAnsi="Tahoma" w:cs="Tahoma"/>
                <w:b/>
                <w:sz w:val="20"/>
                <w:szCs w:val="20"/>
              </w:rPr>
              <w:t>BMIH400</w:t>
            </w:r>
            <w:r w:rsidR="004F74AD">
              <w:rPr>
                <w:rFonts w:ascii="Tahoma" w:hAnsi="Tahoma" w:cs="Tahoma"/>
                <w:b/>
                <w:sz w:val="20"/>
                <w:szCs w:val="20"/>
              </w:rPr>
              <w:t>2</w:t>
            </w:r>
          </w:p>
          <w:p w14:paraId="2019D1B6" w14:textId="77777777" w:rsidR="00B21F2E" w:rsidRDefault="00B21F2E" w:rsidP="00B21F2E">
            <w:pPr>
              <w:rPr>
                <w:rFonts w:ascii="Tahoma" w:hAnsi="Tahoma" w:cs="Tahoma"/>
                <w:b/>
                <w:sz w:val="20"/>
                <w:szCs w:val="20"/>
              </w:rPr>
            </w:pPr>
          </w:p>
          <w:p w14:paraId="450FE136" w14:textId="4B620A67"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5D3C32">
              <w:rPr>
                <w:rFonts w:ascii="Tahoma" w:hAnsi="Tahoma" w:cs="Tahoma"/>
                <w:b/>
                <w:sz w:val="20"/>
                <w:szCs w:val="20"/>
              </w:rPr>
              <w:t>Lola</w:t>
            </w:r>
            <w:r w:rsidR="00B26A44">
              <w:rPr>
                <w:rFonts w:ascii="Tahoma" w:hAnsi="Tahoma" w:cs="Tahoma"/>
                <w:b/>
                <w:sz w:val="20"/>
                <w:szCs w:val="20"/>
              </w:rPr>
              <w:t xml:space="preserve"> Villard</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5F9AE271" w14:textId="77777777" w:rsidR="00420FE9" w:rsidRDefault="00420FE9" w:rsidP="00420FE9">
            <w:pPr>
              <w:jc w:val="center"/>
              <w:rPr>
                <w:rFonts w:ascii="Tahoma" w:hAnsi="Tahoma" w:cs="Tahoma"/>
                <w:b/>
                <w:sz w:val="20"/>
                <w:szCs w:val="20"/>
              </w:rPr>
            </w:pPr>
          </w:p>
          <w:p w14:paraId="15299B24" w14:textId="390DC066" w:rsidR="00B21F2E" w:rsidRPr="00946B23" w:rsidRDefault="008F0D83" w:rsidP="00420FE9">
            <w:pPr>
              <w:jc w:val="center"/>
              <w:rPr>
                <w:rFonts w:ascii="Tahoma" w:hAnsi="Tahoma" w:cs="Tahoma"/>
                <w:b/>
                <w:sz w:val="20"/>
                <w:szCs w:val="20"/>
              </w:rPr>
            </w:pPr>
            <w:r>
              <w:rPr>
                <w:rFonts w:ascii="Tahoma" w:hAnsi="Tahoma" w:cs="Tahoma"/>
                <w:b/>
                <w:sz w:val="20"/>
                <w:szCs w:val="20"/>
              </w:rPr>
              <w:t>Topic of choice:</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5A58C08D" w14:textId="24750A02" w:rsidR="00B21F2E" w:rsidRPr="00420FE9" w:rsidRDefault="00420FE9" w:rsidP="00420FE9">
            <w:pPr>
              <w:spacing w:line="360" w:lineRule="auto"/>
              <w:mirrorIndents/>
              <w:jc w:val="center"/>
              <w:rPr>
                <w:rFonts w:ascii="Arial" w:hAnsi="Arial" w:cs="Arial"/>
                <w:b/>
                <w:bCs/>
                <w:color w:val="0D0D0D" w:themeColor="text1" w:themeTint="F2"/>
              </w:rPr>
            </w:pPr>
            <w:r w:rsidRPr="00420FE9">
              <w:rPr>
                <w:rStyle w:val="Strong"/>
                <w:rFonts w:ascii="Arial" w:hAnsi="Arial" w:cs="Arial"/>
                <w:color w:val="0D0D0D" w:themeColor="text1" w:themeTint="F2"/>
              </w:rPr>
              <w:t>Allergies and Intolerances and the importance within the industry.</w:t>
            </w: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21E13A5F" w14:textId="77777777" w:rsidR="00205FB2" w:rsidRPr="007B5770" w:rsidRDefault="00205FB2" w:rsidP="00205FB2">
            <w:pPr>
              <w:spacing w:line="360" w:lineRule="auto"/>
              <w:mirrorIndents/>
              <w:jc w:val="center"/>
              <w:rPr>
                <w:rFonts w:ascii="Arial" w:hAnsi="Arial" w:cs="Arial"/>
                <w:b/>
                <w:u w:val="single"/>
              </w:rPr>
            </w:pPr>
          </w:p>
          <w:p w14:paraId="58891432" w14:textId="77777777" w:rsidR="00205FB2" w:rsidRPr="007B5770" w:rsidRDefault="00205FB2" w:rsidP="00205FB2">
            <w:pPr>
              <w:pStyle w:val="ListParagraph"/>
              <w:numPr>
                <w:ilvl w:val="0"/>
                <w:numId w:val="29"/>
              </w:numPr>
              <w:spacing w:line="360" w:lineRule="auto"/>
              <w:ind w:left="0" w:firstLine="0"/>
              <w:mirrorIndents/>
              <w:jc w:val="both"/>
              <w:rPr>
                <w:rFonts w:ascii="Arial" w:hAnsi="Arial" w:cs="Arial"/>
                <w:b/>
                <w:sz w:val="28"/>
                <w:szCs w:val="28"/>
              </w:rPr>
            </w:pPr>
            <w:r w:rsidRPr="007B5770">
              <w:rPr>
                <w:rFonts w:ascii="Arial" w:hAnsi="Arial" w:cs="Arial"/>
                <w:b/>
                <w:sz w:val="28"/>
                <w:szCs w:val="28"/>
              </w:rPr>
              <w:t>Key point of Lecture (Allergy and Intolerance)</w:t>
            </w:r>
          </w:p>
          <w:p w14:paraId="1DD89929" w14:textId="77777777" w:rsidR="00205FB2" w:rsidRPr="007B5770" w:rsidRDefault="00205FB2" w:rsidP="00205FB2">
            <w:pPr>
              <w:pStyle w:val="ListParagraph"/>
              <w:spacing w:line="360" w:lineRule="auto"/>
              <w:ind w:left="0"/>
              <w:mirrorIndents/>
              <w:jc w:val="both"/>
              <w:rPr>
                <w:rFonts w:ascii="Arial" w:hAnsi="Arial" w:cs="Arial"/>
                <w:color w:val="0D0D0D" w:themeColor="text1" w:themeTint="F2"/>
                <w:shd w:val="clear" w:color="auto" w:fill="FFFFFF"/>
              </w:rPr>
            </w:pPr>
            <w:r w:rsidRPr="007B5770">
              <w:rPr>
                <w:rFonts w:ascii="Arial" w:hAnsi="Arial" w:cs="Arial"/>
                <w:color w:val="0D0D0D" w:themeColor="text1" w:themeTint="F2"/>
                <w:shd w:val="clear" w:color="auto" w:fill="FFFFFF"/>
              </w:rPr>
              <w:t xml:space="preserve">Food allergy can be </w:t>
            </w:r>
            <w:r w:rsidRPr="007B5770">
              <w:rPr>
                <w:rFonts w:ascii="Arial" w:hAnsi="Arial" w:cs="Arial"/>
                <w:bCs/>
                <w:color w:val="0D0D0D" w:themeColor="text1" w:themeTint="F2"/>
                <w:shd w:val="clear" w:color="auto" w:fill="FFFFFF"/>
              </w:rPr>
              <w:t>occurred soon after eating a certain food, basically the</w:t>
            </w:r>
            <w:r w:rsidRPr="007B5770">
              <w:rPr>
                <w:rFonts w:ascii="Arial" w:hAnsi="Arial" w:cs="Arial"/>
                <w:color w:val="0D0D0D" w:themeColor="text1" w:themeTint="F2"/>
                <w:shd w:val="clear" w:color="auto" w:fill="FFFFFF"/>
              </w:rPr>
              <w:t xml:space="preserve"> </w:t>
            </w:r>
            <w:r w:rsidRPr="007B5770">
              <w:rPr>
                <w:rFonts w:ascii="Arial" w:hAnsi="Arial" w:cs="Arial"/>
                <w:bCs/>
                <w:color w:val="0D0D0D" w:themeColor="text1" w:themeTint="F2"/>
                <w:shd w:val="clear" w:color="auto" w:fill="FFFFFF"/>
              </w:rPr>
              <w:t>immune system react after eating an allergic food.  An allergic food may cause the digestive</w:t>
            </w:r>
            <w:r w:rsidRPr="007B5770">
              <w:rPr>
                <w:rFonts w:ascii="Arial" w:hAnsi="Arial" w:cs="Arial"/>
                <w:color w:val="0D0D0D" w:themeColor="text1" w:themeTint="F2"/>
                <w:shd w:val="clear" w:color="auto" w:fill="FFFFFF"/>
              </w:rPr>
              <w:t xml:space="preserve"> issue, pimples or swollen airways.</w:t>
            </w:r>
          </w:p>
          <w:p w14:paraId="197868F4" w14:textId="77777777" w:rsidR="00205FB2" w:rsidRDefault="00205FB2" w:rsidP="00205FB2">
            <w:pPr>
              <w:pStyle w:val="ListParagraph"/>
              <w:spacing w:line="360" w:lineRule="auto"/>
              <w:ind w:left="0"/>
              <w:mirrorIndents/>
              <w:jc w:val="both"/>
              <w:rPr>
                <w:rFonts w:ascii="Arial" w:hAnsi="Arial" w:cs="Arial"/>
                <w:color w:val="0D0D0D" w:themeColor="text1" w:themeTint="F2"/>
                <w:shd w:val="clear" w:color="auto" w:fill="FFFFFF"/>
              </w:rPr>
            </w:pPr>
            <w:r w:rsidRPr="007B5770">
              <w:rPr>
                <w:rFonts w:ascii="Arial" w:hAnsi="Arial" w:cs="Arial"/>
                <w:color w:val="0D0D0D" w:themeColor="text1" w:themeTint="F2"/>
                <w:shd w:val="clear" w:color="auto" w:fill="FFFFFF"/>
              </w:rPr>
              <w:t xml:space="preserve">A food intolerance means </w:t>
            </w:r>
            <w:r w:rsidRPr="007B5770">
              <w:rPr>
                <w:rFonts w:ascii="Arial" w:hAnsi="Arial" w:cs="Arial"/>
                <w:bCs/>
                <w:color w:val="0D0D0D" w:themeColor="text1" w:themeTint="F2"/>
                <w:shd w:val="clear" w:color="auto" w:fill="FFFFFF"/>
              </w:rPr>
              <w:t>an unpleasant physical reaction</w:t>
            </w:r>
            <w:r w:rsidRPr="007B5770">
              <w:rPr>
                <w:rFonts w:ascii="Arial" w:hAnsi="Arial" w:cs="Arial"/>
                <w:color w:val="0D0D0D" w:themeColor="text1" w:themeTint="F2"/>
                <w:shd w:val="clear" w:color="auto" w:fill="FFFFFF"/>
              </w:rPr>
              <w:t xml:space="preserve"> because of difficulties in</w:t>
            </w:r>
            <w:r w:rsidRPr="007B5770">
              <w:rPr>
                <w:rFonts w:ascii="Arial" w:hAnsi="Arial" w:cs="Arial"/>
                <w:bCs/>
                <w:color w:val="0D0D0D" w:themeColor="text1" w:themeTint="F2"/>
                <w:shd w:val="clear" w:color="auto" w:fill="FFFFFF"/>
              </w:rPr>
              <w:t xml:space="preserve"> digesting certain food items</w:t>
            </w:r>
            <w:r w:rsidRPr="007B5770">
              <w:rPr>
                <w:rFonts w:ascii="Arial" w:hAnsi="Arial" w:cs="Arial"/>
                <w:color w:val="0D0D0D" w:themeColor="text1" w:themeTint="F2"/>
                <w:shd w:val="clear" w:color="auto" w:fill="FFFFFF"/>
              </w:rPr>
              <w:t xml:space="preserve">. Food intolerance causes symptoms, like tummy pain and bloating, take place an hours after taking the food </w:t>
            </w:r>
            <w:r w:rsidRPr="007B5770">
              <w:rPr>
                <w:rFonts w:ascii="Arial" w:hAnsi="Arial" w:cs="Arial"/>
                <w:color w:val="000000" w:themeColor="text1"/>
              </w:rPr>
              <w:t>(Turnbull et al., 2015)</w:t>
            </w:r>
            <w:r w:rsidRPr="007B5770">
              <w:rPr>
                <w:rFonts w:ascii="Arial" w:hAnsi="Arial" w:cs="Arial"/>
                <w:color w:val="0D0D0D" w:themeColor="text1" w:themeTint="F2"/>
                <w:shd w:val="clear" w:color="auto" w:fill="FFFFFF"/>
              </w:rPr>
              <w:t>.</w:t>
            </w:r>
          </w:p>
          <w:p w14:paraId="3B5F0ED0" w14:textId="77777777" w:rsidR="00205FB2" w:rsidRPr="007B5770" w:rsidRDefault="00205FB2" w:rsidP="00205FB2">
            <w:pPr>
              <w:pStyle w:val="ListParagraph"/>
              <w:spacing w:line="360" w:lineRule="auto"/>
              <w:ind w:left="0"/>
              <w:mirrorIndents/>
              <w:jc w:val="both"/>
              <w:rPr>
                <w:rFonts w:ascii="Arial" w:hAnsi="Arial" w:cs="Arial"/>
                <w:color w:val="0D0D0D" w:themeColor="text1" w:themeTint="F2"/>
                <w:shd w:val="clear" w:color="auto" w:fill="FFFFFF"/>
              </w:rPr>
            </w:pPr>
          </w:p>
          <w:p w14:paraId="48C827EA" w14:textId="77777777" w:rsidR="00205FB2" w:rsidRPr="007B5770" w:rsidRDefault="00205FB2" w:rsidP="00205FB2">
            <w:pPr>
              <w:pStyle w:val="ListParagraph"/>
              <w:numPr>
                <w:ilvl w:val="0"/>
                <w:numId w:val="29"/>
              </w:numPr>
              <w:spacing w:line="360" w:lineRule="auto"/>
              <w:ind w:left="0" w:firstLine="0"/>
              <w:mirrorIndents/>
              <w:jc w:val="both"/>
              <w:rPr>
                <w:rFonts w:ascii="Arial" w:hAnsi="Arial" w:cs="Arial"/>
                <w:b/>
                <w:sz w:val="28"/>
                <w:szCs w:val="28"/>
              </w:rPr>
            </w:pPr>
            <w:r w:rsidRPr="007B5770">
              <w:rPr>
                <w:rFonts w:ascii="Arial" w:hAnsi="Arial" w:cs="Arial"/>
                <w:b/>
                <w:sz w:val="28"/>
                <w:szCs w:val="28"/>
              </w:rPr>
              <w:t xml:space="preserve">New Skills Learned from the Lecture </w:t>
            </w:r>
          </w:p>
          <w:p w14:paraId="41B01A7E" w14:textId="77777777" w:rsidR="00205FB2" w:rsidRDefault="00205FB2" w:rsidP="00205FB2">
            <w:pPr>
              <w:pStyle w:val="NormalWeb"/>
              <w:shd w:val="clear" w:color="auto" w:fill="FFFFFF"/>
              <w:spacing w:before="0" w:beforeAutospacing="0" w:after="0" w:afterAutospacing="0" w:line="360" w:lineRule="auto"/>
              <w:mirrorIndents/>
              <w:jc w:val="both"/>
              <w:rPr>
                <w:rFonts w:ascii="Arial" w:hAnsi="Arial" w:cs="Arial"/>
                <w:color w:val="0D0D0D" w:themeColor="text1" w:themeTint="F2"/>
              </w:rPr>
            </w:pPr>
            <w:r w:rsidRPr="007B5770">
              <w:rPr>
                <w:rFonts w:ascii="Arial" w:hAnsi="Arial" w:cs="Arial"/>
                <w:color w:val="0D0D0D" w:themeColor="text1" w:themeTint="F2"/>
              </w:rPr>
              <w:t>After attending the lecture on food allergies and foo</w:t>
            </w:r>
            <w:r>
              <w:rPr>
                <w:rFonts w:ascii="Arial" w:hAnsi="Arial" w:cs="Arial"/>
                <w:color w:val="0D0D0D" w:themeColor="text1" w:themeTint="F2"/>
              </w:rPr>
              <w:t>d intolerance the researchers or</w:t>
            </w:r>
            <w:r w:rsidRPr="007B5770">
              <w:rPr>
                <w:rFonts w:ascii="Arial" w:hAnsi="Arial" w:cs="Arial"/>
                <w:color w:val="0D0D0D" w:themeColor="text1" w:themeTint="F2"/>
              </w:rPr>
              <w:t xml:space="preserve"> students become well known about the importance of food safety in food industry and also gained skills on the causing factors, impacts and how to get rid from these issues. The lecture also elaborated how to manage and take initial precautions regarding the food allergies and food intolerance in a food industry. Being a participant of this lecture one can easily help others or give awareness concerning with the food</w:t>
            </w:r>
            <w:r>
              <w:rPr>
                <w:rFonts w:ascii="Arial" w:hAnsi="Arial" w:cs="Arial"/>
                <w:color w:val="0D0D0D" w:themeColor="text1" w:themeTint="F2"/>
              </w:rPr>
              <w:t xml:space="preserve"> allergies and food intolerance.</w:t>
            </w:r>
          </w:p>
          <w:p w14:paraId="1BF52F7D" w14:textId="77777777" w:rsidR="00205FB2" w:rsidRPr="007B5770" w:rsidRDefault="00205FB2" w:rsidP="00205FB2">
            <w:pPr>
              <w:pStyle w:val="NormalWeb"/>
              <w:shd w:val="clear" w:color="auto" w:fill="FFFFFF"/>
              <w:spacing w:before="0" w:beforeAutospacing="0" w:after="0" w:afterAutospacing="0" w:line="360" w:lineRule="auto"/>
              <w:mirrorIndents/>
              <w:jc w:val="both"/>
              <w:rPr>
                <w:rFonts w:ascii="Arial" w:hAnsi="Arial" w:cs="Arial"/>
                <w:color w:val="0D0D0D" w:themeColor="text1" w:themeTint="F2"/>
              </w:rPr>
            </w:pPr>
          </w:p>
          <w:p w14:paraId="282B8E7A" w14:textId="77777777" w:rsidR="00205FB2" w:rsidRPr="007B5770" w:rsidRDefault="00205FB2" w:rsidP="00205FB2">
            <w:pPr>
              <w:pStyle w:val="ListParagraph"/>
              <w:numPr>
                <w:ilvl w:val="0"/>
                <w:numId w:val="29"/>
              </w:numPr>
              <w:spacing w:line="360" w:lineRule="auto"/>
              <w:ind w:left="0" w:firstLine="0"/>
              <w:mirrorIndents/>
              <w:jc w:val="both"/>
              <w:rPr>
                <w:rFonts w:ascii="Arial" w:hAnsi="Arial" w:cs="Arial"/>
                <w:b/>
                <w:sz w:val="28"/>
                <w:szCs w:val="28"/>
              </w:rPr>
            </w:pPr>
            <w:r w:rsidRPr="007B5770">
              <w:rPr>
                <w:rFonts w:ascii="Arial" w:hAnsi="Arial" w:cs="Arial"/>
                <w:b/>
                <w:sz w:val="28"/>
                <w:szCs w:val="28"/>
              </w:rPr>
              <w:t xml:space="preserve">Future implementation of given Lecture </w:t>
            </w:r>
          </w:p>
          <w:p w14:paraId="2A059D69" w14:textId="77777777" w:rsidR="00205FB2" w:rsidRPr="007B5770" w:rsidRDefault="00205FB2" w:rsidP="00205FB2">
            <w:pPr>
              <w:pStyle w:val="ListParagraph"/>
              <w:spacing w:line="360" w:lineRule="auto"/>
              <w:ind w:left="0"/>
              <w:mirrorIndents/>
              <w:jc w:val="both"/>
              <w:rPr>
                <w:rFonts w:ascii="Arial" w:hAnsi="Arial" w:cs="Arial"/>
                <w:color w:val="0D0D0D" w:themeColor="text1" w:themeTint="F2"/>
                <w:shd w:val="clear" w:color="auto" w:fill="FFFFFF"/>
              </w:rPr>
            </w:pPr>
            <w:r w:rsidRPr="007B5770">
              <w:rPr>
                <w:rFonts w:ascii="Arial" w:hAnsi="Arial" w:cs="Arial"/>
                <w:color w:val="0D0D0D" w:themeColor="text1" w:themeTint="F2"/>
                <w:shd w:val="clear" w:color="auto" w:fill="FFFFFF"/>
              </w:rPr>
              <w:t>To avoid food allergies and intolerance is important for all of us. There are many global programs that work on the </w:t>
            </w:r>
            <w:hyperlink r:id="rId7" w:history="1">
              <w:r w:rsidRPr="00205FB2">
                <w:rPr>
                  <w:rStyle w:val="Hyperlink"/>
                  <w:rFonts w:ascii="Arial" w:hAnsi="Arial" w:cs="Arial"/>
                  <w:color w:val="0D0D0D" w:themeColor="text1" w:themeTint="F2"/>
                  <w:u w:val="none"/>
                  <w:shd w:val="clear" w:color="auto" w:fill="FFFFFF"/>
                </w:rPr>
                <w:t>Food Allergy and Intolerance. These program</w:t>
              </w:r>
            </w:hyperlink>
            <w:r w:rsidRPr="00205FB2">
              <w:rPr>
                <w:rFonts w:ascii="Arial" w:hAnsi="Arial" w:cs="Arial"/>
                <w:color w:val="0D0D0D" w:themeColor="text1" w:themeTint="F2"/>
                <w:shd w:val="clear" w:color="auto" w:fill="FFFFFF"/>
              </w:rPr>
              <w:t>s</w:t>
            </w:r>
            <w:r w:rsidRPr="007B5770">
              <w:rPr>
                <w:rFonts w:ascii="Arial" w:hAnsi="Arial" w:cs="Arial"/>
                <w:color w:val="0D0D0D" w:themeColor="text1" w:themeTint="F2"/>
                <w:shd w:val="clear" w:color="auto" w:fill="FFFFFF"/>
              </w:rPr>
              <w:t xml:space="preserve"> also identifies risk factors linked with food intolerance and allergies. This program exists, and in future helps us to improve allergy and intolerance research and deliver consumers with the most fruitful and new information </w:t>
            </w:r>
            <w:r w:rsidRPr="007B5770">
              <w:rPr>
                <w:rFonts w:ascii="Arial" w:hAnsi="Arial" w:cs="Arial"/>
                <w:color w:val="000000" w:themeColor="text1"/>
              </w:rPr>
              <w:t>(Turnbull et al., 2015)</w:t>
            </w:r>
            <w:r w:rsidRPr="007B5770">
              <w:rPr>
                <w:rFonts w:ascii="Arial" w:hAnsi="Arial" w:cs="Arial"/>
                <w:color w:val="0D0D0D" w:themeColor="text1" w:themeTint="F2"/>
                <w:shd w:val="clear" w:color="auto" w:fill="FFFFFF"/>
              </w:rPr>
              <w:t xml:space="preserve">. </w:t>
            </w:r>
          </w:p>
          <w:p w14:paraId="34749CBD" w14:textId="77777777" w:rsidR="00205FB2" w:rsidRDefault="00205FB2" w:rsidP="00205FB2">
            <w:pPr>
              <w:pStyle w:val="ListParagraph"/>
              <w:spacing w:line="360" w:lineRule="auto"/>
              <w:ind w:left="0"/>
              <w:mirrorIndents/>
              <w:jc w:val="both"/>
              <w:rPr>
                <w:rFonts w:ascii="Arial" w:hAnsi="Arial" w:cs="Arial"/>
                <w:b/>
              </w:rPr>
            </w:pPr>
          </w:p>
          <w:p w14:paraId="78ADBF18" w14:textId="77777777" w:rsidR="00205FB2" w:rsidRDefault="00205FB2" w:rsidP="00205FB2">
            <w:pPr>
              <w:pStyle w:val="ListParagraph"/>
              <w:spacing w:line="360" w:lineRule="auto"/>
              <w:ind w:left="0"/>
              <w:mirrorIndents/>
              <w:jc w:val="both"/>
              <w:rPr>
                <w:rFonts w:ascii="Arial" w:hAnsi="Arial" w:cs="Arial"/>
                <w:b/>
              </w:rPr>
            </w:pPr>
          </w:p>
          <w:p w14:paraId="3C890404" w14:textId="77777777" w:rsidR="00205FB2" w:rsidRDefault="00205FB2" w:rsidP="00205FB2">
            <w:pPr>
              <w:pStyle w:val="ListParagraph"/>
              <w:spacing w:line="360" w:lineRule="auto"/>
              <w:ind w:left="0"/>
              <w:mirrorIndents/>
              <w:jc w:val="both"/>
              <w:rPr>
                <w:rFonts w:ascii="Arial" w:hAnsi="Arial" w:cs="Arial"/>
                <w:b/>
              </w:rPr>
            </w:pPr>
          </w:p>
          <w:p w14:paraId="6F6BD083" w14:textId="77777777" w:rsidR="00205FB2" w:rsidRDefault="00205FB2" w:rsidP="00205FB2">
            <w:pPr>
              <w:pStyle w:val="ListParagraph"/>
              <w:spacing w:line="360" w:lineRule="auto"/>
              <w:ind w:left="0"/>
              <w:mirrorIndents/>
              <w:jc w:val="both"/>
              <w:rPr>
                <w:rFonts w:ascii="Arial" w:hAnsi="Arial" w:cs="Arial"/>
                <w:b/>
              </w:rPr>
            </w:pPr>
          </w:p>
          <w:p w14:paraId="162B213C" w14:textId="77777777" w:rsidR="00205FB2" w:rsidRPr="007B5770" w:rsidRDefault="00205FB2" w:rsidP="00205FB2">
            <w:pPr>
              <w:pStyle w:val="ListParagraph"/>
              <w:spacing w:line="360" w:lineRule="auto"/>
              <w:ind w:left="0"/>
              <w:mirrorIndents/>
              <w:jc w:val="both"/>
              <w:rPr>
                <w:rFonts w:ascii="Arial" w:hAnsi="Arial" w:cs="Arial"/>
                <w:b/>
              </w:rPr>
            </w:pPr>
          </w:p>
          <w:p w14:paraId="0FA6C727" w14:textId="77777777" w:rsidR="00205FB2" w:rsidRPr="007B5770" w:rsidRDefault="00205FB2" w:rsidP="00205FB2">
            <w:pPr>
              <w:pStyle w:val="ListParagraph"/>
              <w:numPr>
                <w:ilvl w:val="0"/>
                <w:numId w:val="29"/>
              </w:numPr>
              <w:spacing w:line="360" w:lineRule="auto"/>
              <w:ind w:left="0" w:firstLine="0"/>
              <w:mirrorIndents/>
              <w:jc w:val="both"/>
              <w:rPr>
                <w:rFonts w:ascii="Arial" w:hAnsi="Arial" w:cs="Arial"/>
                <w:b/>
                <w:sz w:val="28"/>
                <w:szCs w:val="28"/>
              </w:rPr>
            </w:pPr>
            <w:r w:rsidRPr="007B5770">
              <w:rPr>
                <w:rFonts w:ascii="Arial" w:hAnsi="Arial" w:cs="Arial"/>
                <w:b/>
                <w:sz w:val="28"/>
                <w:szCs w:val="28"/>
              </w:rPr>
              <w:t>Personal Reflection.</w:t>
            </w:r>
          </w:p>
          <w:p w14:paraId="0C32DA2B" w14:textId="77777777" w:rsidR="00205FB2" w:rsidRDefault="00205FB2" w:rsidP="00205FB2">
            <w:pPr>
              <w:pStyle w:val="NormalWeb"/>
              <w:shd w:val="clear" w:color="auto" w:fill="FFFFFF"/>
              <w:spacing w:before="0" w:beforeAutospacing="0" w:after="0" w:afterAutospacing="0" w:line="360" w:lineRule="auto"/>
              <w:mirrorIndents/>
              <w:jc w:val="both"/>
              <w:rPr>
                <w:rFonts w:ascii="Arial" w:hAnsi="Arial" w:cs="Arial"/>
                <w:color w:val="0D0D0D" w:themeColor="text1" w:themeTint="F2"/>
              </w:rPr>
            </w:pPr>
            <w:r w:rsidRPr="007B5770">
              <w:rPr>
                <w:rFonts w:ascii="Arial" w:hAnsi="Arial" w:cs="Arial"/>
                <w:color w:val="0D0D0D" w:themeColor="text1" w:themeTint="F2"/>
              </w:rPr>
              <w:t xml:space="preserve">The personal reflections concern with the given topic are “the industry should arrange a special team to check and balance the food items and the teams should be responsible for giving information about the expiry of food items so that the people may not become prey to food allergy and food intolerance”.  The committee should be responsible of putting the food in required environment so that the environmental challenges may not affect the food. Secondly, the customers should check the expiry dates and details about the food item before parching the item. </w:t>
            </w:r>
          </w:p>
          <w:p w14:paraId="15E8638A" w14:textId="77777777" w:rsidR="00205FB2" w:rsidRPr="007B5770" w:rsidRDefault="00205FB2" w:rsidP="00205FB2">
            <w:pPr>
              <w:pStyle w:val="NormalWeb"/>
              <w:shd w:val="clear" w:color="auto" w:fill="FFFFFF"/>
              <w:spacing w:before="0" w:beforeAutospacing="0" w:after="0" w:afterAutospacing="0" w:line="360" w:lineRule="auto"/>
              <w:mirrorIndents/>
              <w:jc w:val="both"/>
              <w:rPr>
                <w:rFonts w:ascii="Arial" w:hAnsi="Arial" w:cs="Arial"/>
                <w:color w:val="0D0D0D" w:themeColor="text1" w:themeTint="F2"/>
              </w:rPr>
            </w:pPr>
          </w:p>
          <w:p w14:paraId="0F3F564A" w14:textId="77777777" w:rsidR="00205FB2" w:rsidRPr="007B5770" w:rsidRDefault="00205FB2" w:rsidP="00205FB2">
            <w:pPr>
              <w:pStyle w:val="ListParagraph"/>
              <w:numPr>
                <w:ilvl w:val="0"/>
                <w:numId w:val="29"/>
              </w:numPr>
              <w:spacing w:line="360" w:lineRule="auto"/>
              <w:ind w:left="0" w:firstLine="0"/>
              <w:mirrorIndents/>
              <w:jc w:val="both"/>
              <w:rPr>
                <w:rFonts w:ascii="Arial" w:hAnsi="Arial" w:cs="Arial"/>
                <w:b/>
                <w:sz w:val="28"/>
                <w:szCs w:val="28"/>
              </w:rPr>
            </w:pPr>
            <w:r w:rsidRPr="007B5770">
              <w:rPr>
                <w:rFonts w:ascii="Arial" w:hAnsi="Arial" w:cs="Arial"/>
                <w:b/>
                <w:sz w:val="28"/>
                <w:szCs w:val="28"/>
              </w:rPr>
              <w:t>Importance of topic for Industry.</w:t>
            </w:r>
          </w:p>
          <w:p w14:paraId="0BDE0E5B" w14:textId="77777777" w:rsidR="00205FB2" w:rsidRPr="00205FB2" w:rsidRDefault="00205FB2" w:rsidP="00205FB2">
            <w:pPr>
              <w:pStyle w:val="NormalWeb"/>
              <w:spacing w:before="0" w:beforeAutospacing="0" w:after="0" w:afterAutospacing="0" w:line="360" w:lineRule="auto"/>
              <w:mirrorIndents/>
              <w:jc w:val="both"/>
              <w:rPr>
                <w:rStyle w:val="Strong"/>
                <w:rFonts w:ascii="Arial" w:hAnsi="Arial" w:cs="Arial"/>
                <w:b w:val="0"/>
                <w:color w:val="0D0D0D" w:themeColor="text1" w:themeTint="F2"/>
              </w:rPr>
            </w:pPr>
            <w:r w:rsidRPr="00205FB2">
              <w:rPr>
                <w:rFonts w:ascii="Arial" w:hAnsi="Arial" w:cs="Arial"/>
                <w:color w:val="0D0D0D" w:themeColor="text1" w:themeTint="F2"/>
              </w:rPr>
              <w:t>Given lecture is much needed for all those participants, welling to join a food industry in future. World Health Organization (WHO) has projected in recent data, that at least</w:t>
            </w:r>
            <w:r w:rsidRPr="00205FB2">
              <w:rPr>
                <w:rStyle w:val="Strong"/>
                <w:rFonts w:ascii="Arial" w:hAnsi="Arial" w:cs="Arial"/>
                <w:b w:val="0"/>
                <w:color w:val="0D0D0D" w:themeColor="text1" w:themeTint="F2"/>
              </w:rPr>
              <w:t> 600 million people around the world become infected with foodborne diseases after consuming allergic food</w:t>
            </w:r>
            <w:r w:rsidRPr="00205FB2">
              <w:rPr>
                <w:rFonts w:ascii="Arial" w:hAnsi="Arial" w:cs="Arial"/>
                <w:color w:val="0D0D0D" w:themeColor="text1" w:themeTint="F2"/>
              </w:rPr>
              <w:t>.</w:t>
            </w:r>
            <w:r w:rsidRPr="00205FB2">
              <w:rPr>
                <w:rStyle w:val="Strong"/>
                <w:rFonts w:ascii="Arial" w:hAnsi="Arial" w:cs="Arial"/>
                <w:b w:val="0"/>
                <w:color w:val="0D0D0D" w:themeColor="text1" w:themeTint="F2"/>
              </w:rPr>
              <w:t>   Out of 6 million, at most 420,000 people pass away every year</w:t>
            </w:r>
            <w:r w:rsidRPr="00205FB2">
              <w:rPr>
                <w:rFonts w:ascii="Arial" w:hAnsi="Arial" w:cs="Arial"/>
                <w:color w:val="0D0D0D" w:themeColor="text1" w:themeTint="F2"/>
              </w:rPr>
              <w:t>. The most of food security issues are because of pathogenic microorganisms like bacteria which cause food intoxication or food poisoning. </w:t>
            </w:r>
            <w:r w:rsidRPr="00205FB2">
              <w:rPr>
                <w:rStyle w:val="Strong"/>
                <w:rFonts w:ascii="Arial" w:hAnsi="Arial" w:cs="Arial"/>
                <w:b w:val="0"/>
                <w:color w:val="0D0D0D" w:themeColor="text1" w:themeTint="F2"/>
              </w:rPr>
              <w:t>These bacteria can cause minor to fatal health significances that include abdominal pain, watery diarrhea, vomiting, and long lasting diseases (</w:t>
            </w:r>
            <w:r w:rsidRPr="00205FB2">
              <w:rPr>
                <w:rFonts w:ascii="Arial" w:hAnsi="Arial" w:cs="Arial"/>
                <w:color w:val="222222"/>
                <w:shd w:val="clear" w:color="auto" w:fill="FFFFFF"/>
              </w:rPr>
              <w:t>Popping and Diaz-Amigo., 2018</w:t>
            </w:r>
            <w:r w:rsidRPr="00205FB2">
              <w:rPr>
                <w:rStyle w:val="Strong"/>
                <w:rFonts w:ascii="Arial" w:hAnsi="Arial" w:cs="Arial"/>
                <w:b w:val="0"/>
                <w:color w:val="0D0D0D" w:themeColor="text1" w:themeTint="F2"/>
              </w:rPr>
              <w:t xml:space="preserve">) </w:t>
            </w:r>
          </w:p>
          <w:p w14:paraId="60D978BF" w14:textId="77777777" w:rsidR="00205FB2" w:rsidRPr="00205FB2" w:rsidRDefault="00205FB2" w:rsidP="00205FB2">
            <w:pPr>
              <w:pStyle w:val="NormalWeb"/>
              <w:spacing w:before="0" w:beforeAutospacing="0" w:after="0" w:afterAutospacing="0" w:line="360" w:lineRule="auto"/>
              <w:mirrorIndents/>
              <w:jc w:val="both"/>
              <w:rPr>
                <w:rStyle w:val="Strong"/>
                <w:rFonts w:ascii="Arial" w:hAnsi="Arial" w:cs="Arial"/>
                <w:b w:val="0"/>
                <w:color w:val="0D0D0D" w:themeColor="text1" w:themeTint="F2"/>
              </w:rPr>
            </w:pPr>
            <w:r w:rsidRPr="00205FB2">
              <w:rPr>
                <w:rStyle w:val="Strong"/>
                <w:rFonts w:ascii="Arial" w:hAnsi="Arial" w:cs="Arial"/>
                <w:b w:val="0"/>
                <w:color w:val="0D0D0D" w:themeColor="text1" w:themeTint="F2"/>
              </w:rPr>
              <w:t>So, the topic or lecture cannot be neglected while studying about a food industry. It’s also helpful to all those, who are working in a food industry. The food industry Managers, staff and all employees can get enough knowledge while studying the given lecture</w:t>
            </w:r>
            <w:r w:rsidRPr="00205FB2">
              <w:rPr>
                <w:rFonts w:ascii="Arial" w:hAnsi="Arial" w:cs="Arial"/>
                <w:color w:val="0D0D0D" w:themeColor="text1" w:themeTint="F2"/>
              </w:rPr>
              <w:t xml:space="preserve">. After attending this lecture the industry staff will be familiar about the elementary and everyday foods poisoning. Some foods are involved in common infections such foods are </w:t>
            </w:r>
            <w:r w:rsidRPr="00205FB2">
              <w:rPr>
                <w:rStyle w:val="Strong"/>
                <w:rFonts w:ascii="Arial" w:hAnsi="Arial" w:cs="Arial"/>
                <w:b w:val="0"/>
                <w:color w:val="0D0D0D" w:themeColor="text1" w:themeTint="F2"/>
              </w:rPr>
              <w:t>fresh fruits,</w:t>
            </w:r>
            <w:r w:rsidRPr="00205FB2">
              <w:rPr>
                <w:rFonts w:ascii="Arial" w:hAnsi="Arial" w:cs="Arial"/>
                <w:color w:val="0D0D0D" w:themeColor="text1" w:themeTint="F2"/>
              </w:rPr>
              <w:t> </w:t>
            </w:r>
            <w:r w:rsidRPr="00205FB2">
              <w:rPr>
                <w:rStyle w:val="Strong"/>
                <w:rFonts w:ascii="Arial" w:hAnsi="Arial" w:cs="Arial"/>
                <w:b w:val="0"/>
                <w:color w:val="0D0D0D" w:themeColor="text1" w:themeTint="F2"/>
              </w:rPr>
              <w:t>eggs, poultry, raw meat or deli meats, undercooked seafood, deli seafood salads, raw sprouts, ground meat, and raw milk products (</w:t>
            </w:r>
            <w:r w:rsidRPr="00205FB2">
              <w:rPr>
                <w:rFonts w:ascii="Arial" w:hAnsi="Arial" w:cs="Arial"/>
                <w:color w:val="222222"/>
                <w:shd w:val="clear" w:color="auto" w:fill="FFFFFF"/>
              </w:rPr>
              <w:t>Nettleton et al</w:t>
            </w:r>
            <w:r w:rsidRPr="00205FB2">
              <w:rPr>
                <w:rStyle w:val="Strong"/>
                <w:rFonts w:ascii="Arial" w:hAnsi="Arial" w:cs="Arial"/>
                <w:b w:val="0"/>
                <w:color w:val="0D0D0D" w:themeColor="text1" w:themeTint="F2"/>
              </w:rPr>
              <w:t>.,2009).</w:t>
            </w:r>
          </w:p>
          <w:p w14:paraId="36A14ACD" w14:textId="77777777" w:rsidR="00205FB2" w:rsidRPr="007B5770" w:rsidRDefault="00205FB2" w:rsidP="00205FB2">
            <w:pPr>
              <w:pStyle w:val="NormalWeb"/>
              <w:spacing w:before="0" w:beforeAutospacing="0" w:after="0" w:afterAutospacing="0" w:line="360" w:lineRule="auto"/>
              <w:mirrorIndents/>
              <w:jc w:val="both"/>
              <w:rPr>
                <w:rFonts w:ascii="Arial" w:hAnsi="Arial" w:cs="Arial"/>
                <w:b/>
                <w:bCs/>
                <w:color w:val="0D0D0D" w:themeColor="text1" w:themeTint="F2"/>
              </w:rPr>
            </w:pPr>
          </w:p>
          <w:p w14:paraId="64BF761C" w14:textId="77777777" w:rsidR="00205FB2" w:rsidRPr="007B5770" w:rsidRDefault="00205FB2" w:rsidP="00205FB2">
            <w:pPr>
              <w:pStyle w:val="ListParagraph"/>
              <w:numPr>
                <w:ilvl w:val="0"/>
                <w:numId w:val="29"/>
              </w:numPr>
              <w:spacing w:line="360" w:lineRule="auto"/>
              <w:ind w:left="0" w:firstLine="0"/>
              <w:mirrorIndents/>
              <w:jc w:val="both"/>
              <w:rPr>
                <w:rFonts w:ascii="Arial" w:hAnsi="Arial" w:cs="Arial"/>
                <w:b/>
                <w:sz w:val="28"/>
                <w:szCs w:val="28"/>
              </w:rPr>
            </w:pPr>
            <w:r w:rsidRPr="007B5770">
              <w:rPr>
                <w:rFonts w:ascii="Arial" w:hAnsi="Arial" w:cs="Arial"/>
                <w:b/>
                <w:sz w:val="28"/>
                <w:szCs w:val="28"/>
              </w:rPr>
              <w:t xml:space="preserve">Summary </w:t>
            </w:r>
          </w:p>
          <w:p w14:paraId="2022EFA2" w14:textId="77777777" w:rsidR="00205FB2" w:rsidRPr="007B5770" w:rsidRDefault="00205FB2" w:rsidP="00205FB2">
            <w:pPr>
              <w:pStyle w:val="ListParagraph"/>
              <w:spacing w:line="360" w:lineRule="auto"/>
              <w:ind w:left="0"/>
              <w:mirrorIndents/>
              <w:jc w:val="both"/>
              <w:rPr>
                <w:rFonts w:ascii="Arial" w:hAnsi="Arial" w:cs="Arial"/>
              </w:rPr>
            </w:pPr>
            <w:r w:rsidRPr="007B5770">
              <w:rPr>
                <w:rFonts w:ascii="Arial" w:hAnsi="Arial" w:cs="Arial"/>
              </w:rPr>
              <w:t>The summary of given lecture might be more important for all reviewers, which will review the lecture and find out the key points.  This lecture asks what sociological understandings an analysis of food poisoning might afford. The lecture outline the limits food allergy and food intolerance in clinical and epidemiological, and immunological literatures, in order to recognize analytic features which might light up our sociological considerations (</w:t>
            </w:r>
            <w:r w:rsidRPr="007B5770">
              <w:rPr>
                <w:rFonts w:ascii="Arial" w:hAnsi="Arial" w:cs="Arial"/>
                <w:color w:val="222222"/>
                <w:shd w:val="clear" w:color="auto" w:fill="FFFFFF"/>
              </w:rPr>
              <w:t>Ortolani and Pastorello., 2006)</w:t>
            </w:r>
            <w:r w:rsidRPr="007B5770">
              <w:rPr>
                <w:rFonts w:ascii="Arial" w:hAnsi="Arial" w:cs="Arial"/>
              </w:rPr>
              <w:t xml:space="preserve">. </w:t>
            </w:r>
          </w:p>
          <w:p w14:paraId="774FDD0F" w14:textId="77777777" w:rsidR="00205FB2" w:rsidRDefault="00205FB2" w:rsidP="00205FB2">
            <w:pPr>
              <w:pStyle w:val="ListParagraph"/>
              <w:spacing w:line="360" w:lineRule="auto"/>
              <w:ind w:left="0"/>
              <w:mirrorIndents/>
              <w:jc w:val="both"/>
              <w:rPr>
                <w:rFonts w:ascii="Arial" w:hAnsi="Arial" w:cs="Arial"/>
              </w:rPr>
            </w:pPr>
            <w:r w:rsidRPr="007B5770">
              <w:rPr>
                <w:rFonts w:ascii="Arial" w:hAnsi="Arial" w:cs="Arial"/>
              </w:rPr>
              <w:t>The lecture summaries that the use of proper precautions, skilled worker, and concern teams should be fully managed in food industry. These are the main elements in a food industry that can safe food from allergy and intolerance and also take role in reputation of industry (</w:t>
            </w:r>
            <w:r w:rsidRPr="007B5770">
              <w:rPr>
                <w:rFonts w:ascii="Arial" w:hAnsi="Arial" w:cs="Arial"/>
                <w:color w:val="222222"/>
                <w:shd w:val="clear" w:color="auto" w:fill="FFFFFF"/>
              </w:rPr>
              <w:t>Mills and Breiteneder., 2005)</w:t>
            </w:r>
            <w:r w:rsidRPr="007B5770">
              <w:rPr>
                <w:rFonts w:ascii="Arial" w:hAnsi="Arial" w:cs="Arial"/>
              </w:rPr>
              <w:t xml:space="preserve">. </w:t>
            </w:r>
          </w:p>
          <w:p w14:paraId="4DE08607" w14:textId="77777777" w:rsidR="00205FB2" w:rsidRPr="007B5770" w:rsidRDefault="00205FB2" w:rsidP="00205FB2">
            <w:pPr>
              <w:pStyle w:val="ListParagraph"/>
              <w:spacing w:line="360" w:lineRule="auto"/>
              <w:ind w:left="0"/>
              <w:mirrorIndents/>
              <w:jc w:val="both"/>
              <w:rPr>
                <w:rFonts w:ascii="Arial" w:hAnsi="Arial" w:cs="Arial"/>
              </w:rPr>
            </w:pPr>
          </w:p>
          <w:p w14:paraId="3982A4DE" w14:textId="77777777" w:rsidR="00205FB2" w:rsidRPr="007B5770" w:rsidRDefault="00205FB2" w:rsidP="00205FB2">
            <w:pPr>
              <w:pStyle w:val="ListParagraph"/>
              <w:numPr>
                <w:ilvl w:val="0"/>
                <w:numId w:val="29"/>
              </w:numPr>
              <w:spacing w:line="360" w:lineRule="auto"/>
              <w:ind w:left="0" w:firstLine="0"/>
              <w:mirrorIndents/>
              <w:jc w:val="both"/>
              <w:rPr>
                <w:rFonts w:ascii="Arial" w:hAnsi="Arial" w:cs="Arial"/>
                <w:b/>
                <w:sz w:val="28"/>
                <w:szCs w:val="28"/>
              </w:rPr>
            </w:pPr>
            <w:r w:rsidRPr="007B5770">
              <w:rPr>
                <w:rFonts w:ascii="Arial" w:hAnsi="Arial" w:cs="Arial"/>
                <w:b/>
                <w:sz w:val="28"/>
                <w:szCs w:val="28"/>
              </w:rPr>
              <w:t xml:space="preserve">Recommendation </w:t>
            </w:r>
          </w:p>
          <w:p w14:paraId="63FBA8D2" w14:textId="77777777" w:rsidR="00205FB2" w:rsidRPr="007B5770" w:rsidRDefault="00205FB2" w:rsidP="00205FB2">
            <w:pPr>
              <w:pStyle w:val="ListParagraph"/>
              <w:spacing w:line="360" w:lineRule="auto"/>
              <w:ind w:left="0"/>
              <w:mirrorIndents/>
              <w:jc w:val="both"/>
              <w:rPr>
                <w:rFonts w:ascii="Arial" w:hAnsi="Arial" w:cs="Arial"/>
                <w:color w:val="000000" w:themeColor="text1"/>
              </w:rPr>
            </w:pPr>
            <w:r w:rsidRPr="007B5770">
              <w:rPr>
                <w:rFonts w:ascii="Arial" w:hAnsi="Arial" w:cs="Arial"/>
                <w:color w:val="000000" w:themeColor="text1"/>
              </w:rPr>
              <w:t>First of all, the participant of this lecture highly recommends the given lecture to all managers, staff and employees of food industry, so that they will get knowledge from lecture about the food allergy and intolerance, and implement on their industry.</w:t>
            </w:r>
          </w:p>
          <w:p w14:paraId="488867C4" w14:textId="77777777" w:rsidR="00205FB2" w:rsidRPr="007B5770" w:rsidRDefault="00205FB2" w:rsidP="00205FB2">
            <w:pPr>
              <w:pStyle w:val="ListParagraph"/>
              <w:spacing w:line="360" w:lineRule="auto"/>
              <w:ind w:left="0"/>
              <w:mirrorIndents/>
              <w:jc w:val="both"/>
              <w:rPr>
                <w:rFonts w:ascii="Arial" w:hAnsi="Arial" w:cs="Arial"/>
                <w:color w:val="000000" w:themeColor="text1"/>
              </w:rPr>
            </w:pPr>
            <w:r w:rsidRPr="007B5770">
              <w:rPr>
                <w:rFonts w:ascii="Arial" w:hAnsi="Arial" w:cs="Arial"/>
                <w:color w:val="000000" w:themeColor="text1"/>
              </w:rPr>
              <w:t>The basic recommendation for avoiding food allergy and food intolerance are clean, separation, cook, and chill.  One should clean hand, and work area before, during, and after making food. The food must be cooked in</w:t>
            </w:r>
            <w:r w:rsidRPr="007B5770">
              <w:rPr>
                <w:rFonts w:ascii="Arial" w:hAnsi="Arial" w:cs="Arial"/>
                <w:color w:val="000000" w:themeColor="text1"/>
                <w:shd w:val="clear" w:color="auto" w:fill="FFFFFF"/>
              </w:rPr>
              <w:t xml:space="preserve"> </w:t>
            </w:r>
            <w:hyperlink r:id="rId8" w:anchor="cook" w:history="1">
              <w:r w:rsidRPr="007B5770">
                <w:rPr>
                  <w:rFonts w:ascii="Arial" w:hAnsi="Arial" w:cs="Arial"/>
                  <w:color w:val="000000" w:themeColor="text1"/>
                </w:rPr>
                <w:t>required temperature</w:t>
              </w:r>
            </w:hyperlink>
            <w:r w:rsidRPr="007B5770">
              <w:rPr>
                <w:rFonts w:ascii="Arial" w:hAnsi="Arial" w:cs="Arial"/>
                <w:color w:val="000000" w:themeColor="text1"/>
              </w:rPr>
              <w:t> to destroy injurious bacteria. Use a food thermometer (</w:t>
            </w:r>
            <w:r w:rsidRPr="007B5770">
              <w:rPr>
                <w:rFonts w:ascii="Arial" w:hAnsi="Arial" w:cs="Arial"/>
                <w:color w:val="222222"/>
                <w:shd w:val="clear" w:color="auto" w:fill="FFFFFF"/>
              </w:rPr>
              <w:t>Gargano et al,</w:t>
            </w:r>
            <w:r w:rsidRPr="007B5770">
              <w:rPr>
                <w:rFonts w:ascii="Arial" w:hAnsi="Arial" w:cs="Arial"/>
                <w:color w:val="000000" w:themeColor="text1"/>
              </w:rPr>
              <w:t>. 2021).</w:t>
            </w:r>
          </w:p>
          <w:p w14:paraId="34019E20" w14:textId="77777777" w:rsidR="00205FB2" w:rsidRPr="007B5770" w:rsidRDefault="00205FB2" w:rsidP="00205FB2">
            <w:pPr>
              <w:spacing w:line="360" w:lineRule="auto"/>
              <w:mirrorIndents/>
              <w:jc w:val="both"/>
              <w:rPr>
                <w:rFonts w:ascii="Arial" w:hAnsi="Arial" w:cs="Arial"/>
                <w:b/>
              </w:rPr>
            </w:pPr>
            <w:r w:rsidRPr="007B5770">
              <w:rPr>
                <w:rFonts w:ascii="Arial" w:hAnsi="Arial" w:cs="Arial"/>
                <w:b/>
              </w:rPr>
              <w:br w:type="page"/>
            </w:r>
          </w:p>
          <w:p w14:paraId="31742AB4" w14:textId="193FFA64" w:rsidR="00F51904" w:rsidRDefault="00F51904" w:rsidP="00C414B0">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p w14:paraId="41E9329A" w14:textId="77777777" w:rsidR="00205FB2" w:rsidRDefault="00205FB2" w:rsidP="00B945EA">
      <w:pPr>
        <w:rPr>
          <w:rFonts w:ascii="Tahoma" w:hAnsi="Tahoma" w:cs="Tahoma"/>
          <w:b/>
        </w:rPr>
      </w:pPr>
    </w:p>
    <w:p w14:paraId="2A472174" w14:textId="77777777" w:rsidR="00205FB2" w:rsidRDefault="00205FB2" w:rsidP="00B945EA">
      <w:pPr>
        <w:rPr>
          <w:rFonts w:ascii="Tahoma" w:hAnsi="Tahoma" w:cs="Tahoma"/>
          <w:b/>
        </w:rPr>
      </w:pPr>
    </w:p>
    <w:p w14:paraId="05DB1B03" w14:textId="77777777" w:rsidR="00205FB2" w:rsidRDefault="00205FB2"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56E247CC" w:rsidR="00205FB2" w:rsidRPr="00946B23" w:rsidRDefault="00205FB2" w:rsidP="00205FB2">
            <w:pPr>
              <w:rPr>
                <w:rFonts w:ascii="Tahoma" w:hAnsi="Tahoma" w:cs="Tahoma"/>
                <w:b/>
                <w:sz w:val="20"/>
                <w:szCs w:val="20"/>
              </w:rPr>
            </w:pPr>
            <w:r>
              <w:rPr>
                <w:rFonts w:ascii="Tahoma" w:hAnsi="Tahoma" w:cs="Tahoma"/>
                <w:b/>
                <w:sz w:val="20"/>
                <w:szCs w:val="20"/>
              </w:rPr>
              <w:t>REFERENCE LIST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63831DC1" w14:textId="77777777" w:rsidR="00205FB2" w:rsidRPr="007B5770" w:rsidRDefault="00205FB2" w:rsidP="00205FB2">
            <w:pPr>
              <w:pStyle w:val="ListParagraph"/>
              <w:spacing w:line="360" w:lineRule="auto"/>
              <w:ind w:hanging="720"/>
              <w:mirrorIndents/>
              <w:jc w:val="both"/>
              <w:rPr>
                <w:rFonts w:ascii="Arial" w:hAnsi="Arial" w:cs="Arial"/>
                <w:b/>
              </w:rPr>
            </w:pPr>
            <w:r w:rsidRPr="007B5770">
              <w:rPr>
                <w:rFonts w:ascii="Arial" w:hAnsi="Arial" w:cs="Arial"/>
                <w:color w:val="222222"/>
                <w:shd w:val="clear" w:color="auto" w:fill="FFFFFF"/>
              </w:rPr>
              <w:t>Gargano, D., Appanna, R., Santonicola, A., De Bartolomeis, F., Stellato, C., Cianferoni, A., Casolaro, V. and Iovino, P., 2021. Food allergy and intolerance: A narrative review on nutritional concerns. </w:t>
            </w:r>
            <w:r w:rsidRPr="007B5770">
              <w:rPr>
                <w:rFonts w:ascii="Arial" w:hAnsi="Arial" w:cs="Arial"/>
                <w:i/>
                <w:iCs/>
                <w:color w:val="222222"/>
                <w:shd w:val="clear" w:color="auto" w:fill="FFFFFF"/>
              </w:rPr>
              <w:t>Nutrients</w:t>
            </w:r>
            <w:r w:rsidRPr="007B5770">
              <w:rPr>
                <w:rFonts w:ascii="Arial" w:hAnsi="Arial" w:cs="Arial"/>
                <w:color w:val="222222"/>
                <w:shd w:val="clear" w:color="auto" w:fill="FFFFFF"/>
              </w:rPr>
              <w:t>, </w:t>
            </w:r>
            <w:r w:rsidRPr="007B5770">
              <w:rPr>
                <w:rFonts w:ascii="Arial" w:hAnsi="Arial" w:cs="Arial"/>
                <w:i/>
                <w:iCs/>
                <w:color w:val="222222"/>
                <w:shd w:val="clear" w:color="auto" w:fill="FFFFFF"/>
              </w:rPr>
              <w:t>13</w:t>
            </w:r>
            <w:r w:rsidRPr="007B5770">
              <w:rPr>
                <w:rFonts w:ascii="Arial" w:hAnsi="Arial" w:cs="Arial"/>
                <w:color w:val="222222"/>
                <w:shd w:val="clear" w:color="auto" w:fill="FFFFFF"/>
              </w:rPr>
              <w:t>(5), p.1638.</w:t>
            </w:r>
          </w:p>
          <w:p w14:paraId="38195326" w14:textId="77777777" w:rsidR="00205FB2" w:rsidRPr="007B5770" w:rsidRDefault="00205FB2" w:rsidP="00205FB2">
            <w:pPr>
              <w:pStyle w:val="ListParagraph"/>
              <w:spacing w:line="360" w:lineRule="auto"/>
              <w:ind w:hanging="720"/>
              <w:mirrorIndents/>
              <w:jc w:val="both"/>
              <w:rPr>
                <w:rFonts w:ascii="Arial" w:hAnsi="Arial" w:cs="Arial"/>
                <w:color w:val="222222"/>
                <w:shd w:val="clear" w:color="auto" w:fill="FFFFFF"/>
              </w:rPr>
            </w:pPr>
            <w:r w:rsidRPr="007B5770">
              <w:rPr>
                <w:rFonts w:ascii="Arial" w:hAnsi="Arial" w:cs="Arial"/>
                <w:color w:val="222222"/>
                <w:shd w:val="clear" w:color="auto" w:fill="FFFFFF"/>
              </w:rPr>
              <w:t>Mills, E.N.C. and Breiteneder, H., 2005. Food allergy and its relevance to industrial food proteins. </w:t>
            </w:r>
            <w:r w:rsidRPr="007B5770">
              <w:rPr>
                <w:rFonts w:ascii="Arial" w:hAnsi="Arial" w:cs="Arial"/>
                <w:i/>
                <w:iCs/>
                <w:color w:val="222222"/>
                <w:shd w:val="clear" w:color="auto" w:fill="FFFFFF"/>
              </w:rPr>
              <w:t>Biotechnology advances</w:t>
            </w:r>
            <w:r w:rsidRPr="007B5770">
              <w:rPr>
                <w:rFonts w:ascii="Arial" w:hAnsi="Arial" w:cs="Arial"/>
                <w:color w:val="222222"/>
                <w:shd w:val="clear" w:color="auto" w:fill="FFFFFF"/>
              </w:rPr>
              <w:t>, </w:t>
            </w:r>
            <w:r w:rsidRPr="007B5770">
              <w:rPr>
                <w:rFonts w:ascii="Arial" w:hAnsi="Arial" w:cs="Arial"/>
                <w:i/>
                <w:iCs/>
                <w:color w:val="222222"/>
                <w:shd w:val="clear" w:color="auto" w:fill="FFFFFF"/>
              </w:rPr>
              <w:t>23</w:t>
            </w:r>
            <w:r w:rsidRPr="007B5770">
              <w:rPr>
                <w:rFonts w:ascii="Arial" w:hAnsi="Arial" w:cs="Arial"/>
                <w:color w:val="222222"/>
                <w:shd w:val="clear" w:color="auto" w:fill="FFFFFF"/>
              </w:rPr>
              <w:t>(6), pp.409-414.</w:t>
            </w:r>
          </w:p>
          <w:p w14:paraId="3E97B112" w14:textId="77777777" w:rsidR="00205FB2" w:rsidRPr="007B5770" w:rsidRDefault="00205FB2" w:rsidP="00205FB2">
            <w:pPr>
              <w:pStyle w:val="ListParagraph"/>
              <w:spacing w:line="360" w:lineRule="auto"/>
              <w:ind w:hanging="720"/>
              <w:mirrorIndents/>
              <w:jc w:val="both"/>
              <w:rPr>
                <w:rFonts w:ascii="Arial" w:hAnsi="Arial" w:cs="Arial"/>
                <w:color w:val="222222"/>
                <w:shd w:val="clear" w:color="auto" w:fill="FFFFFF"/>
              </w:rPr>
            </w:pPr>
            <w:r w:rsidRPr="007B5770">
              <w:rPr>
                <w:rFonts w:ascii="Arial" w:hAnsi="Arial" w:cs="Arial"/>
                <w:color w:val="222222"/>
                <w:shd w:val="clear" w:color="auto" w:fill="FFFFFF"/>
              </w:rPr>
              <w:t>Nettleton, S., Woods, B., Burrows, R. and Kerr, A., 2009. Food allergy and food intolerance: towards a sociological agenda. </w:t>
            </w:r>
            <w:r w:rsidRPr="007B5770">
              <w:rPr>
                <w:rFonts w:ascii="Arial" w:hAnsi="Arial" w:cs="Arial"/>
                <w:i/>
                <w:iCs/>
                <w:color w:val="222222"/>
                <w:shd w:val="clear" w:color="auto" w:fill="FFFFFF"/>
              </w:rPr>
              <w:t>Health:</w:t>
            </w:r>
            <w:r w:rsidRPr="007B5770">
              <w:rPr>
                <w:rFonts w:ascii="Arial" w:hAnsi="Arial" w:cs="Arial"/>
                <w:color w:val="222222"/>
                <w:shd w:val="clear" w:color="auto" w:fill="FFFFFF"/>
              </w:rPr>
              <w:t>, </w:t>
            </w:r>
            <w:r w:rsidRPr="007B5770">
              <w:rPr>
                <w:rFonts w:ascii="Arial" w:hAnsi="Arial" w:cs="Arial"/>
                <w:i/>
                <w:iCs/>
                <w:color w:val="222222"/>
                <w:shd w:val="clear" w:color="auto" w:fill="FFFFFF"/>
              </w:rPr>
              <w:t>13</w:t>
            </w:r>
            <w:r w:rsidRPr="007B5770">
              <w:rPr>
                <w:rFonts w:ascii="Arial" w:hAnsi="Arial" w:cs="Arial"/>
                <w:color w:val="222222"/>
                <w:shd w:val="clear" w:color="auto" w:fill="FFFFFF"/>
              </w:rPr>
              <w:t>(6), pp.647-664.</w:t>
            </w:r>
          </w:p>
          <w:p w14:paraId="5C70D854" w14:textId="77777777" w:rsidR="00205FB2" w:rsidRPr="007B5770" w:rsidRDefault="00205FB2" w:rsidP="00205FB2">
            <w:pPr>
              <w:pStyle w:val="ListParagraph"/>
              <w:spacing w:line="360" w:lineRule="auto"/>
              <w:ind w:hanging="720"/>
              <w:mirrorIndents/>
              <w:jc w:val="both"/>
              <w:rPr>
                <w:rFonts w:ascii="Arial" w:hAnsi="Arial" w:cs="Arial"/>
                <w:color w:val="222222"/>
                <w:shd w:val="clear" w:color="auto" w:fill="FFFFFF"/>
              </w:rPr>
            </w:pPr>
            <w:r w:rsidRPr="007B5770">
              <w:rPr>
                <w:rFonts w:ascii="Arial" w:hAnsi="Arial" w:cs="Arial"/>
                <w:color w:val="222222"/>
                <w:shd w:val="clear" w:color="auto" w:fill="FFFFFF"/>
              </w:rPr>
              <w:t>Ortolani, C. and Pastorello, E.A., 2006. Food allergies and food intolerances. </w:t>
            </w:r>
            <w:r w:rsidRPr="007B5770">
              <w:rPr>
                <w:rFonts w:ascii="Arial" w:hAnsi="Arial" w:cs="Arial"/>
                <w:i/>
                <w:iCs/>
                <w:color w:val="222222"/>
                <w:shd w:val="clear" w:color="auto" w:fill="FFFFFF"/>
              </w:rPr>
              <w:t>Best Practice &amp; Research Clinical Gastroenterology</w:t>
            </w:r>
            <w:r w:rsidRPr="007B5770">
              <w:rPr>
                <w:rFonts w:ascii="Arial" w:hAnsi="Arial" w:cs="Arial"/>
                <w:color w:val="222222"/>
                <w:shd w:val="clear" w:color="auto" w:fill="FFFFFF"/>
              </w:rPr>
              <w:t>, </w:t>
            </w:r>
            <w:r w:rsidRPr="007B5770">
              <w:rPr>
                <w:rFonts w:ascii="Arial" w:hAnsi="Arial" w:cs="Arial"/>
                <w:i/>
                <w:iCs/>
                <w:color w:val="222222"/>
                <w:shd w:val="clear" w:color="auto" w:fill="FFFFFF"/>
              </w:rPr>
              <w:t>20</w:t>
            </w:r>
            <w:r w:rsidRPr="007B5770">
              <w:rPr>
                <w:rFonts w:ascii="Arial" w:hAnsi="Arial" w:cs="Arial"/>
                <w:color w:val="222222"/>
                <w:shd w:val="clear" w:color="auto" w:fill="FFFFFF"/>
              </w:rPr>
              <w:t>(3), pp.467-483.</w:t>
            </w:r>
          </w:p>
          <w:p w14:paraId="7027F1B8" w14:textId="77777777" w:rsidR="00205FB2" w:rsidRPr="007B5770" w:rsidRDefault="00205FB2" w:rsidP="00205FB2">
            <w:pPr>
              <w:pStyle w:val="ListParagraph"/>
              <w:spacing w:line="360" w:lineRule="auto"/>
              <w:ind w:hanging="720"/>
              <w:mirrorIndents/>
              <w:jc w:val="both"/>
              <w:rPr>
                <w:rFonts w:ascii="Arial" w:hAnsi="Arial" w:cs="Arial"/>
                <w:color w:val="222222"/>
                <w:shd w:val="clear" w:color="auto" w:fill="FFFFFF"/>
              </w:rPr>
            </w:pPr>
            <w:r w:rsidRPr="007B5770">
              <w:rPr>
                <w:rFonts w:ascii="Arial" w:hAnsi="Arial" w:cs="Arial"/>
                <w:color w:val="222222"/>
                <w:shd w:val="clear" w:color="auto" w:fill="FFFFFF"/>
              </w:rPr>
              <w:t>Popping, B. and Diaz-Amigo, C., 2018. European regulations for labeling requirements for food allergens and substances causing intolerances: history and future. </w:t>
            </w:r>
            <w:r w:rsidRPr="007B5770">
              <w:rPr>
                <w:rFonts w:ascii="Arial" w:hAnsi="Arial" w:cs="Arial"/>
                <w:i/>
                <w:iCs/>
                <w:color w:val="222222"/>
                <w:shd w:val="clear" w:color="auto" w:fill="FFFFFF"/>
              </w:rPr>
              <w:t>Journal of AOAC International</w:t>
            </w:r>
            <w:r w:rsidRPr="007B5770">
              <w:rPr>
                <w:rFonts w:ascii="Arial" w:hAnsi="Arial" w:cs="Arial"/>
                <w:color w:val="222222"/>
                <w:shd w:val="clear" w:color="auto" w:fill="FFFFFF"/>
              </w:rPr>
              <w:t>, </w:t>
            </w:r>
            <w:r w:rsidRPr="007B5770">
              <w:rPr>
                <w:rFonts w:ascii="Arial" w:hAnsi="Arial" w:cs="Arial"/>
                <w:i/>
                <w:iCs/>
                <w:color w:val="222222"/>
                <w:shd w:val="clear" w:color="auto" w:fill="FFFFFF"/>
              </w:rPr>
              <w:t>101</w:t>
            </w:r>
            <w:r w:rsidRPr="007B5770">
              <w:rPr>
                <w:rFonts w:ascii="Arial" w:hAnsi="Arial" w:cs="Arial"/>
                <w:color w:val="222222"/>
                <w:shd w:val="clear" w:color="auto" w:fill="FFFFFF"/>
              </w:rPr>
              <w:t>(1), pp.2-7.</w:t>
            </w:r>
          </w:p>
          <w:p w14:paraId="47710C91" w14:textId="77777777" w:rsidR="00205FB2" w:rsidRPr="007B5770" w:rsidRDefault="00205FB2" w:rsidP="00205FB2">
            <w:pPr>
              <w:pStyle w:val="ListParagraph"/>
              <w:spacing w:line="360" w:lineRule="auto"/>
              <w:ind w:hanging="720"/>
              <w:mirrorIndents/>
              <w:jc w:val="both"/>
              <w:rPr>
                <w:rFonts w:ascii="Arial" w:hAnsi="Arial" w:cs="Arial"/>
                <w:color w:val="222222"/>
                <w:shd w:val="clear" w:color="auto" w:fill="FFFFFF"/>
              </w:rPr>
            </w:pPr>
            <w:r w:rsidRPr="007B5770">
              <w:rPr>
                <w:rFonts w:ascii="Arial" w:hAnsi="Arial" w:cs="Arial"/>
                <w:color w:val="222222"/>
                <w:shd w:val="clear" w:color="auto" w:fill="FFFFFF"/>
              </w:rPr>
              <w:t>Turnbull, J.L., Adams, H.N. and Gorard, D.A., 2015. The diagnosis and management of food allergy and food intolerances. </w:t>
            </w:r>
            <w:r w:rsidRPr="007B5770">
              <w:rPr>
                <w:rFonts w:ascii="Arial" w:hAnsi="Arial" w:cs="Arial"/>
                <w:i/>
                <w:iCs/>
                <w:color w:val="222222"/>
                <w:shd w:val="clear" w:color="auto" w:fill="FFFFFF"/>
              </w:rPr>
              <w:t>Alimentary pharmacology &amp; therapeutics</w:t>
            </w:r>
            <w:r w:rsidRPr="007B5770">
              <w:rPr>
                <w:rFonts w:ascii="Arial" w:hAnsi="Arial" w:cs="Arial"/>
                <w:color w:val="222222"/>
                <w:shd w:val="clear" w:color="auto" w:fill="FFFFFF"/>
              </w:rPr>
              <w:t>, </w:t>
            </w:r>
            <w:r w:rsidRPr="007B5770">
              <w:rPr>
                <w:rFonts w:ascii="Arial" w:hAnsi="Arial" w:cs="Arial"/>
                <w:i/>
                <w:iCs/>
                <w:color w:val="222222"/>
                <w:shd w:val="clear" w:color="auto" w:fill="FFFFFF"/>
              </w:rPr>
              <w:t>41</w:t>
            </w:r>
            <w:r w:rsidRPr="007B5770">
              <w:rPr>
                <w:rFonts w:ascii="Arial" w:hAnsi="Arial" w:cs="Arial"/>
                <w:color w:val="222222"/>
                <w:shd w:val="clear" w:color="auto" w:fill="FFFFFF"/>
              </w:rPr>
              <w:t>(1), pp.3-25.</w:t>
            </w: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9"/>
      <w:footerReference w:type="default" r:id="rId1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48D54" w14:textId="77777777" w:rsidR="00F20AA9" w:rsidRDefault="00F20AA9">
      <w:r>
        <w:separator/>
      </w:r>
    </w:p>
  </w:endnote>
  <w:endnote w:type="continuationSeparator" w:id="0">
    <w:p w14:paraId="7A1129B1" w14:textId="77777777" w:rsidR="00F20AA9" w:rsidRDefault="00F20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A20D6C">
          <w:rPr>
            <w:noProof/>
          </w:rPr>
          <w:t>5</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A09A5" w14:textId="77777777" w:rsidR="00F20AA9" w:rsidRDefault="00F20AA9">
      <w:r>
        <w:separator/>
      </w:r>
    </w:p>
  </w:footnote>
  <w:footnote w:type="continuationSeparator" w:id="0">
    <w:p w14:paraId="43135D3A" w14:textId="77777777" w:rsidR="00F20AA9" w:rsidRDefault="00F20A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A5434D4"/>
    <w:multiLevelType w:val="hybridMultilevel"/>
    <w:tmpl w:val="C3E0F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8"/>
  </w:num>
  <w:num w:numId="4">
    <w:abstractNumId w:val="5"/>
  </w:num>
  <w:num w:numId="5">
    <w:abstractNumId w:val="24"/>
  </w:num>
  <w:num w:numId="6">
    <w:abstractNumId w:val="6"/>
  </w:num>
  <w:num w:numId="7">
    <w:abstractNumId w:val="0"/>
  </w:num>
  <w:num w:numId="8">
    <w:abstractNumId w:val="27"/>
  </w:num>
  <w:num w:numId="9">
    <w:abstractNumId w:val="16"/>
  </w:num>
  <w:num w:numId="10">
    <w:abstractNumId w:val="19"/>
  </w:num>
  <w:num w:numId="11">
    <w:abstractNumId w:val="3"/>
  </w:num>
  <w:num w:numId="12">
    <w:abstractNumId w:val="13"/>
  </w:num>
  <w:num w:numId="13">
    <w:abstractNumId w:val="2"/>
  </w:num>
  <w:num w:numId="14">
    <w:abstractNumId w:val="9"/>
  </w:num>
  <w:num w:numId="15">
    <w:abstractNumId w:val="18"/>
  </w:num>
  <w:num w:numId="16">
    <w:abstractNumId w:val="20"/>
  </w:num>
  <w:num w:numId="17">
    <w:abstractNumId w:val="1"/>
  </w:num>
  <w:num w:numId="18">
    <w:abstractNumId w:val="26"/>
  </w:num>
  <w:num w:numId="19">
    <w:abstractNumId w:val="8"/>
  </w:num>
  <w:num w:numId="20">
    <w:abstractNumId w:val="21"/>
  </w:num>
  <w:num w:numId="21">
    <w:abstractNumId w:val="11"/>
  </w:num>
  <w:num w:numId="22">
    <w:abstractNumId w:val="17"/>
  </w:num>
  <w:num w:numId="23">
    <w:abstractNumId w:val="25"/>
  </w:num>
  <w:num w:numId="24">
    <w:abstractNumId w:val="10"/>
  </w:num>
  <w:num w:numId="25">
    <w:abstractNumId w:val="23"/>
  </w:num>
  <w:num w:numId="26">
    <w:abstractNumId w:val="7"/>
  </w:num>
  <w:num w:numId="27">
    <w:abstractNumId w:val="22"/>
  </w:num>
  <w:num w:numId="28">
    <w:abstractNumId w:val="1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71E15"/>
    <w:rsid w:val="0018449A"/>
    <w:rsid w:val="00197F4A"/>
    <w:rsid w:val="001A18F7"/>
    <w:rsid w:val="001A59E7"/>
    <w:rsid w:val="001B69C8"/>
    <w:rsid w:val="001B6DB4"/>
    <w:rsid w:val="001C5C4E"/>
    <w:rsid w:val="001D4719"/>
    <w:rsid w:val="001E720E"/>
    <w:rsid w:val="00202878"/>
    <w:rsid w:val="00205FB2"/>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5B18"/>
    <w:rsid w:val="00396412"/>
    <w:rsid w:val="003C3341"/>
    <w:rsid w:val="003C7C45"/>
    <w:rsid w:val="003E36D1"/>
    <w:rsid w:val="003E46A6"/>
    <w:rsid w:val="003F52F1"/>
    <w:rsid w:val="00414F02"/>
    <w:rsid w:val="00420FE9"/>
    <w:rsid w:val="004325B5"/>
    <w:rsid w:val="00433DBF"/>
    <w:rsid w:val="004341F2"/>
    <w:rsid w:val="00442F02"/>
    <w:rsid w:val="0044343A"/>
    <w:rsid w:val="00444EC9"/>
    <w:rsid w:val="00445A58"/>
    <w:rsid w:val="00447AEC"/>
    <w:rsid w:val="00451947"/>
    <w:rsid w:val="00456590"/>
    <w:rsid w:val="004639B7"/>
    <w:rsid w:val="00474A29"/>
    <w:rsid w:val="00486E62"/>
    <w:rsid w:val="00490F9C"/>
    <w:rsid w:val="004B113B"/>
    <w:rsid w:val="004C08E2"/>
    <w:rsid w:val="004C7E23"/>
    <w:rsid w:val="004F74AD"/>
    <w:rsid w:val="005036DE"/>
    <w:rsid w:val="00517154"/>
    <w:rsid w:val="00522B05"/>
    <w:rsid w:val="00542C5B"/>
    <w:rsid w:val="00552EED"/>
    <w:rsid w:val="00566333"/>
    <w:rsid w:val="005C6352"/>
    <w:rsid w:val="005D0DDE"/>
    <w:rsid w:val="005D3C32"/>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659DF"/>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C702A"/>
    <w:rsid w:val="009D0DDA"/>
    <w:rsid w:val="00A02728"/>
    <w:rsid w:val="00A138AA"/>
    <w:rsid w:val="00A14DA0"/>
    <w:rsid w:val="00A20D6C"/>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26A44"/>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17A49"/>
    <w:rsid w:val="00D80D6E"/>
    <w:rsid w:val="00D833FD"/>
    <w:rsid w:val="00D95816"/>
    <w:rsid w:val="00DA09FA"/>
    <w:rsid w:val="00DD00CB"/>
    <w:rsid w:val="00DE6434"/>
    <w:rsid w:val="00E00580"/>
    <w:rsid w:val="00E26639"/>
    <w:rsid w:val="00E30C3C"/>
    <w:rsid w:val="00E42568"/>
    <w:rsid w:val="00E66A62"/>
    <w:rsid w:val="00E672A4"/>
    <w:rsid w:val="00EB1AD3"/>
    <w:rsid w:val="00EB4BAF"/>
    <w:rsid w:val="00EC294D"/>
    <w:rsid w:val="00ED52B6"/>
    <w:rsid w:val="00EF41E3"/>
    <w:rsid w:val="00F007E2"/>
    <w:rsid w:val="00F118EC"/>
    <w:rsid w:val="00F20AA9"/>
    <w:rsid w:val="00F34E01"/>
    <w:rsid w:val="00F37A71"/>
    <w:rsid w:val="00F43CED"/>
    <w:rsid w:val="00F51904"/>
    <w:rsid w:val="00F537E9"/>
    <w:rsid w:val="00F720CF"/>
    <w:rsid w:val="00F81336"/>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Strong">
    <w:name w:val="Strong"/>
    <w:basedOn w:val="DefaultParagraphFont"/>
    <w:uiPriority w:val="22"/>
    <w:qFormat/>
    <w:rsid w:val="00420FE9"/>
    <w:rPr>
      <w:b/>
      <w:bCs/>
    </w:rPr>
  </w:style>
  <w:style w:type="character" w:styleId="Hyperlink">
    <w:name w:val="Hyperlink"/>
    <w:basedOn w:val="DefaultParagraphFont"/>
    <w:uiPriority w:val="99"/>
    <w:unhideWhenUsed/>
    <w:rsid w:val="00205FB2"/>
    <w:rPr>
      <w:color w:val="0000FF"/>
      <w:u w:val="single"/>
    </w:rPr>
  </w:style>
  <w:style w:type="character" w:styleId="UnresolvedMention">
    <w:name w:val="Unresolved Mention"/>
    <w:basedOn w:val="DefaultParagraphFont"/>
    <w:uiPriority w:val="99"/>
    <w:semiHidden/>
    <w:unhideWhenUsed/>
    <w:rsid w:val="007659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foodsafety/keep-food-safe.html" TargetMode="External" /><Relationship Id="rId3" Type="http://schemas.openxmlformats.org/officeDocument/2006/relationships/settings" Target="settings.xml" /><Relationship Id="rId7" Type="http://schemas.openxmlformats.org/officeDocument/2006/relationships/hyperlink" Target="https://www.food.gov.uk/research/food-allergy-and-intolerance-research"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927</Words>
  <Characters>5417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
  <cp:lastModifiedBy>Anamaria Cristina Bursuc</cp:lastModifiedBy>
  <cp:revision>2</cp:revision>
  <cp:lastPrinted>2020-09-28T20:53:00Z</cp:lastPrinted>
  <dcterms:created xsi:type="dcterms:W3CDTF">2022-05-26T13:03:00Z</dcterms:created>
  <dcterms:modified xsi:type="dcterms:W3CDTF">2022-05-26T13:03:00Z</dcterms:modified>
</cp:coreProperties>
</file>