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F6751C" w14:textId="0F524FB2" w:rsidR="002C2118" w:rsidRPr="00FB1ABD" w:rsidRDefault="00AA6F77" w:rsidP="00AA6F77">
      <w:pPr>
        <w:jc w:val="center"/>
        <w:rPr>
          <w:rFonts w:ascii="Times New Roman" w:hAnsi="Times New Roman" w:cs="Times New Roman"/>
          <w:color w:val="000000" w:themeColor="text1"/>
          <w:sz w:val="44"/>
          <w:szCs w:val="44"/>
          <w:u w:val="single"/>
        </w:rPr>
      </w:pPr>
      <w:r w:rsidRPr="00FB1ABD">
        <w:rPr>
          <w:rFonts w:ascii="Times New Roman" w:hAnsi="Times New Roman" w:cs="Times New Roman"/>
          <w:color w:val="000000" w:themeColor="text1"/>
          <w:sz w:val="44"/>
          <w:szCs w:val="44"/>
          <w:u w:val="single"/>
        </w:rPr>
        <w:t>Annotated Bibliography</w:t>
      </w:r>
    </w:p>
    <w:p w14:paraId="63C806A0" w14:textId="1FFB8C33" w:rsidR="00FB1ABD" w:rsidRPr="00FB1ABD" w:rsidRDefault="00FB1ABD" w:rsidP="00FB1ABD">
      <w:pPr>
        <w:pStyle w:val="Subtitle"/>
        <w:jc w:val="center"/>
        <w:rPr>
          <w:rFonts w:ascii="Times New Roman" w:hAnsi="Times New Roman" w:cs="Times New Roman"/>
          <w:color w:val="000000" w:themeColor="text1"/>
          <w:sz w:val="32"/>
          <w:szCs w:val="32"/>
          <w:u w:val="single"/>
        </w:rPr>
      </w:pPr>
      <w:r w:rsidRPr="00FB1ABD">
        <w:rPr>
          <w:rFonts w:ascii="Times New Roman" w:hAnsi="Times New Roman" w:cs="Times New Roman"/>
          <w:color w:val="000000" w:themeColor="text1"/>
          <w:sz w:val="32"/>
          <w:szCs w:val="32"/>
          <w:u w:val="single"/>
        </w:rPr>
        <w:t>Women in the Aegean Bronze Age</w:t>
      </w:r>
    </w:p>
    <w:p w14:paraId="20F8075D" w14:textId="761289B0" w:rsidR="00AA6F77" w:rsidRPr="004C1A4A" w:rsidRDefault="00AA6F77">
      <w:pPr>
        <w:rPr>
          <w:rFonts w:ascii="Times New Roman" w:hAnsi="Times New Roman" w:cs="Times New Roman"/>
          <w:color w:val="000000" w:themeColor="text1"/>
          <w:sz w:val="32"/>
          <w:szCs w:val="32"/>
        </w:rPr>
      </w:pPr>
    </w:p>
    <w:p w14:paraId="24970ECF" w14:textId="71B61EF0" w:rsidR="00C641A7" w:rsidRDefault="00C641A7" w:rsidP="00C641A7">
      <w:pPr>
        <w:shd w:val="clear" w:color="auto" w:fill="FFFFFF"/>
        <w:spacing w:after="120" w:line="240" w:lineRule="auto"/>
        <w:outlineLvl w:val="0"/>
        <w:rPr>
          <w:rFonts w:ascii="Times New Roman" w:hAnsi="Times New Roman" w:cs="Times New Roman"/>
          <w:color w:val="000000"/>
          <w:sz w:val="32"/>
          <w:szCs w:val="32"/>
          <w:shd w:val="clear" w:color="auto" w:fill="FFFFFF"/>
        </w:rPr>
      </w:pPr>
      <w:r w:rsidRPr="004C1A4A">
        <w:rPr>
          <w:rFonts w:ascii="Times New Roman" w:hAnsi="Times New Roman" w:cs="Times New Roman"/>
          <w:color w:val="000000"/>
          <w:sz w:val="32"/>
          <w:szCs w:val="32"/>
          <w:shd w:val="clear" w:color="auto" w:fill="FFFFFF"/>
        </w:rPr>
        <w:t>Olsen, B., 1998. Women, children and the family in the Late Aegean Bronze Age: Differences in Minoan and Mycenaean constructions of gender. </w:t>
      </w:r>
      <w:r w:rsidRPr="004C1A4A">
        <w:rPr>
          <w:rFonts w:ascii="Times New Roman" w:hAnsi="Times New Roman" w:cs="Times New Roman"/>
          <w:i/>
          <w:iCs/>
          <w:color w:val="000000"/>
          <w:sz w:val="32"/>
          <w:szCs w:val="32"/>
          <w:shd w:val="clear" w:color="auto" w:fill="FFFFFF"/>
        </w:rPr>
        <w:t>World Archaeology</w:t>
      </w:r>
      <w:r w:rsidRPr="004C1A4A">
        <w:rPr>
          <w:rFonts w:ascii="Times New Roman" w:hAnsi="Times New Roman" w:cs="Times New Roman"/>
          <w:color w:val="000000"/>
          <w:sz w:val="32"/>
          <w:szCs w:val="32"/>
          <w:shd w:val="clear" w:color="auto" w:fill="FFFFFF"/>
        </w:rPr>
        <w:t>, [online] 29(3), pp.380-392. Available at: &lt;https://www.jstor.org/stable/125037?seq=1#metadata_info_tab_contents&gt; [Accessed 6 April 2020].</w:t>
      </w:r>
    </w:p>
    <w:p w14:paraId="72CDDCCA" w14:textId="5C862E21" w:rsidR="004C1A4A" w:rsidRDefault="004C1A4A" w:rsidP="00C641A7">
      <w:pPr>
        <w:shd w:val="clear" w:color="auto" w:fill="FFFFFF"/>
        <w:spacing w:after="120" w:line="240" w:lineRule="auto"/>
        <w:outlineLvl w:val="0"/>
        <w:rPr>
          <w:rFonts w:ascii="Times New Roman" w:hAnsi="Times New Roman" w:cs="Times New Roman"/>
          <w:color w:val="000000"/>
          <w:sz w:val="32"/>
          <w:szCs w:val="32"/>
          <w:shd w:val="clear" w:color="auto" w:fill="FFFFFF"/>
        </w:rPr>
      </w:pPr>
    </w:p>
    <w:p w14:paraId="22A498FB" w14:textId="3C6E262C" w:rsidR="0076524A" w:rsidRPr="0076524A" w:rsidRDefault="0076524A" w:rsidP="00C641A7">
      <w:pPr>
        <w:shd w:val="clear" w:color="auto" w:fill="FFFFFF"/>
        <w:spacing w:after="120" w:line="240" w:lineRule="auto"/>
        <w:outlineLvl w:val="0"/>
        <w:rPr>
          <w:rFonts w:ascii="Times New Roman" w:hAnsi="Times New Roman" w:cs="Times New Roman"/>
          <w:color w:val="000000"/>
          <w:sz w:val="32"/>
          <w:szCs w:val="32"/>
          <w:u w:val="single"/>
          <w:shd w:val="clear" w:color="auto" w:fill="FFFFFF"/>
        </w:rPr>
      </w:pPr>
      <w:r w:rsidRPr="0076524A">
        <w:rPr>
          <w:rFonts w:ascii="Times New Roman" w:hAnsi="Times New Roman" w:cs="Times New Roman"/>
          <w:color w:val="000000"/>
          <w:sz w:val="32"/>
          <w:szCs w:val="32"/>
          <w:u w:val="single"/>
          <w:shd w:val="clear" w:color="auto" w:fill="FFFFFF"/>
        </w:rPr>
        <w:t xml:space="preserve">Journal Article </w:t>
      </w:r>
    </w:p>
    <w:p w14:paraId="2555C536" w14:textId="4CD9B904" w:rsidR="004C1A4A" w:rsidRPr="00F77B68" w:rsidRDefault="005F3823" w:rsidP="00C641A7">
      <w:pPr>
        <w:shd w:val="clear" w:color="auto" w:fill="FFFFFF"/>
        <w:spacing w:after="120" w:line="240" w:lineRule="auto"/>
        <w:outlineLvl w:val="0"/>
        <w:rPr>
          <w:rFonts w:ascii="Times New Roman" w:hAnsi="Times New Roman" w:cs="Times New Roman"/>
          <w:color w:val="000000" w:themeColor="text1"/>
          <w:sz w:val="32"/>
          <w:szCs w:val="32"/>
          <w:shd w:val="clear" w:color="auto" w:fill="FFFFFF"/>
        </w:rPr>
      </w:pPr>
      <w:r>
        <w:rPr>
          <w:rFonts w:ascii="Times New Roman" w:hAnsi="Times New Roman" w:cs="Times New Roman"/>
          <w:color w:val="000000" w:themeColor="text1"/>
          <w:sz w:val="32"/>
          <w:szCs w:val="32"/>
        </w:rPr>
        <w:t xml:space="preserve">Dr </w:t>
      </w:r>
      <w:r w:rsidR="00DD0082" w:rsidRPr="00DD0082">
        <w:rPr>
          <w:rFonts w:ascii="Times New Roman" w:hAnsi="Times New Roman" w:cs="Times New Roman"/>
          <w:color w:val="000000" w:themeColor="text1"/>
          <w:sz w:val="32"/>
          <w:szCs w:val="32"/>
        </w:rPr>
        <w:t>Barbara A. Olsen is an Aegean Prehistorian who specializes in Greek archaeology and history, she received her PhD in Classical Studies from Duke University</w:t>
      </w:r>
      <w:r w:rsidR="00DD0082" w:rsidRPr="00DD0082">
        <w:rPr>
          <w:rFonts w:ascii="Times New Roman" w:hAnsi="Times New Roman" w:cs="Times New Roman"/>
          <w:color w:val="000000" w:themeColor="text1"/>
          <w:sz w:val="32"/>
          <w:szCs w:val="32"/>
          <w:shd w:val="clear" w:color="auto" w:fill="FFFFFF"/>
        </w:rPr>
        <w:t xml:space="preserve">. </w:t>
      </w:r>
      <w:r w:rsidR="00395123" w:rsidRPr="00DD0082">
        <w:rPr>
          <w:rFonts w:ascii="Times New Roman" w:hAnsi="Times New Roman" w:cs="Times New Roman"/>
          <w:color w:val="000000" w:themeColor="text1"/>
          <w:sz w:val="32"/>
          <w:szCs w:val="32"/>
          <w:shd w:val="clear" w:color="auto" w:fill="FFFFFF"/>
        </w:rPr>
        <w:t xml:space="preserve">Olsen’s journal article provides the reader </w:t>
      </w:r>
      <w:r w:rsidR="00577EDF">
        <w:rPr>
          <w:rFonts w:ascii="Times New Roman" w:hAnsi="Times New Roman" w:cs="Times New Roman"/>
          <w:color w:val="000000" w:themeColor="text1"/>
          <w:sz w:val="32"/>
          <w:szCs w:val="32"/>
          <w:shd w:val="clear" w:color="auto" w:fill="FFFFFF"/>
        </w:rPr>
        <w:t xml:space="preserve">with </w:t>
      </w:r>
      <w:r w:rsidR="00395123" w:rsidRPr="00DD0082">
        <w:rPr>
          <w:rFonts w:ascii="Times New Roman" w:hAnsi="Times New Roman" w:cs="Times New Roman"/>
          <w:color w:val="000000" w:themeColor="text1"/>
          <w:sz w:val="32"/>
          <w:szCs w:val="32"/>
          <w:shd w:val="clear" w:color="auto" w:fill="FFFFFF"/>
        </w:rPr>
        <w:t>a unique insight into the way women were viewed in the Aegean Bronze Age</w:t>
      </w:r>
      <w:r w:rsidR="00DD0082" w:rsidRPr="00DD0082">
        <w:rPr>
          <w:rFonts w:ascii="Times New Roman" w:hAnsi="Times New Roman" w:cs="Times New Roman"/>
          <w:color w:val="000000" w:themeColor="text1"/>
          <w:sz w:val="32"/>
          <w:szCs w:val="32"/>
          <w:shd w:val="clear" w:color="auto" w:fill="FFFFFF"/>
        </w:rPr>
        <w:t xml:space="preserve">, by examining two different </w:t>
      </w:r>
      <w:r w:rsidR="00CA2892">
        <w:rPr>
          <w:rFonts w:ascii="Times New Roman" w:hAnsi="Times New Roman" w:cs="Times New Roman"/>
          <w:color w:val="000000" w:themeColor="text1"/>
          <w:sz w:val="32"/>
          <w:szCs w:val="32"/>
          <w:shd w:val="clear" w:color="auto" w:fill="FFFFFF"/>
        </w:rPr>
        <w:t xml:space="preserve">aspects of similar societal structures </w:t>
      </w:r>
      <w:r w:rsidR="00DD0082" w:rsidRPr="00DD0082">
        <w:rPr>
          <w:rFonts w:ascii="Times New Roman" w:hAnsi="Times New Roman" w:cs="Times New Roman"/>
          <w:color w:val="000000" w:themeColor="text1"/>
          <w:sz w:val="32"/>
          <w:szCs w:val="32"/>
          <w:shd w:val="clear" w:color="auto" w:fill="FFFFFF"/>
        </w:rPr>
        <w:t xml:space="preserve">Olsen remains unbiased as to women’s place in </w:t>
      </w:r>
      <w:r w:rsidR="00DD0082">
        <w:rPr>
          <w:rFonts w:ascii="Times New Roman" w:hAnsi="Times New Roman" w:cs="Times New Roman"/>
          <w:color w:val="000000" w:themeColor="text1"/>
          <w:sz w:val="32"/>
          <w:szCs w:val="32"/>
          <w:shd w:val="clear" w:color="auto" w:fill="FFFFFF"/>
        </w:rPr>
        <w:t>both of these societies giving us a valuable contrast for the period</w:t>
      </w:r>
      <w:r w:rsidR="00B03E0D">
        <w:rPr>
          <w:rFonts w:ascii="Times New Roman" w:hAnsi="Times New Roman" w:cs="Times New Roman"/>
          <w:color w:val="000000" w:themeColor="text1"/>
          <w:sz w:val="32"/>
          <w:szCs w:val="32"/>
          <w:shd w:val="clear" w:color="auto" w:fill="FFFFFF"/>
        </w:rPr>
        <w:t xml:space="preserve"> with the result of Mycenaean </w:t>
      </w:r>
      <w:r w:rsidR="00CA2892">
        <w:rPr>
          <w:rFonts w:ascii="Times New Roman" w:hAnsi="Times New Roman" w:cs="Times New Roman"/>
          <w:color w:val="000000" w:themeColor="text1"/>
          <w:sz w:val="32"/>
          <w:szCs w:val="32"/>
          <w:shd w:val="clear" w:color="auto" w:fill="FFFFFF"/>
        </w:rPr>
        <w:t>mainland and Mycenaean Crete both placing women’s main role as mothers and caregivers</w:t>
      </w:r>
      <w:r w:rsidR="00DD0082">
        <w:rPr>
          <w:rFonts w:ascii="Times New Roman" w:hAnsi="Times New Roman" w:cs="Times New Roman"/>
          <w:color w:val="000000" w:themeColor="text1"/>
          <w:sz w:val="32"/>
          <w:szCs w:val="32"/>
          <w:shd w:val="clear" w:color="auto" w:fill="FFFFFF"/>
        </w:rPr>
        <w:t xml:space="preserve">. </w:t>
      </w:r>
      <w:r w:rsidR="00B84258">
        <w:rPr>
          <w:rFonts w:ascii="Times New Roman" w:hAnsi="Times New Roman" w:cs="Times New Roman"/>
          <w:color w:val="000000" w:themeColor="text1"/>
          <w:sz w:val="32"/>
          <w:szCs w:val="32"/>
          <w:shd w:val="clear" w:color="auto" w:fill="FFFFFF"/>
        </w:rPr>
        <w:t>From administrative records</w:t>
      </w:r>
      <w:r w:rsidR="00577EDF">
        <w:rPr>
          <w:rFonts w:ascii="Times New Roman" w:hAnsi="Times New Roman" w:cs="Times New Roman"/>
          <w:color w:val="000000" w:themeColor="text1"/>
          <w:sz w:val="32"/>
          <w:szCs w:val="32"/>
          <w:shd w:val="clear" w:color="auto" w:fill="FFFFFF"/>
        </w:rPr>
        <w:t>,</w:t>
      </w:r>
      <w:r w:rsidR="00B84258">
        <w:rPr>
          <w:rFonts w:ascii="Times New Roman" w:hAnsi="Times New Roman" w:cs="Times New Roman"/>
          <w:color w:val="000000" w:themeColor="text1"/>
          <w:sz w:val="32"/>
          <w:szCs w:val="32"/>
          <w:shd w:val="clear" w:color="auto" w:fill="FFFFFF"/>
        </w:rPr>
        <w:t xml:space="preserve"> Olsen shows that </w:t>
      </w:r>
      <w:r w:rsidR="00F77B68">
        <w:rPr>
          <w:rFonts w:ascii="Times New Roman" w:hAnsi="Times New Roman" w:cs="Times New Roman"/>
          <w:color w:val="000000" w:themeColor="text1"/>
          <w:sz w:val="32"/>
          <w:szCs w:val="32"/>
          <w:shd w:val="clear" w:color="auto" w:fill="FFFFFF"/>
        </w:rPr>
        <w:t xml:space="preserve">both </w:t>
      </w:r>
      <w:r w:rsidR="00B84258">
        <w:rPr>
          <w:rFonts w:ascii="Times New Roman" w:hAnsi="Times New Roman" w:cs="Times New Roman"/>
          <w:color w:val="000000" w:themeColor="text1"/>
          <w:sz w:val="32"/>
          <w:szCs w:val="32"/>
          <w:shd w:val="clear" w:color="auto" w:fill="FFFFFF"/>
        </w:rPr>
        <w:t xml:space="preserve">Crete and Mainland Greece took a </w:t>
      </w:r>
      <w:r w:rsidR="008758D4">
        <w:rPr>
          <w:rFonts w:ascii="Times New Roman" w:hAnsi="Times New Roman" w:cs="Times New Roman"/>
          <w:color w:val="000000" w:themeColor="text1"/>
          <w:sz w:val="32"/>
          <w:szCs w:val="32"/>
          <w:shd w:val="clear" w:color="auto" w:fill="FFFFFF"/>
        </w:rPr>
        <w:t xml:space="preserve">segregated approach </w:t>
      </w:r>
      <w:r w:rsidR="00C05B1D">
        <w:rPr>
          <w:rFonts w:ascii="Times New Roman" w:hAnsi="Times New Roman" w:cs="Times New Roman"/>
          <w:color w:val="000000" w:themeColor="text1"/>
          <w:sz w:val="32"/>
          <w:szCs w:val="32"/>
          <w:shd w:val="clear" w:color="auto" w:fill="FFFFFF"/>
        </w:rPr>
        <w:t>with “</w:t>
      </w:r>
      <w:r w:rsidR="00C05B1D" w:rsidRPr="00C05B1D">
        <w:rPr>
          <w:rFonts w:ascii="Times New Roman" w:hAnsi="Times New Roman" w:cs="Times New Roman"/>
          <w:i/>
          <w:iCs/>
          <w:color w:val="000000" w:themeColor="text1"/>
          <w:sz w:val="32"/>
          <w:szCs w:val="32"/>
          <w:shd w:val="clear" w:color="auto" w:fill="FFFFFF"/>
        </w:rPr>
        <w:t>Men and women occupying different spheres</w:t>
      </w:r>
      <w:r w:rsidR="00C05B1D">
        <w:rPr>
          <w:rFonts w:ascii="Times New Roman" w:hAnsi="Times New Roman" w:cs="Times New Roman"/>
          <w:color w:val="000000" w:themeColor="text1"/>
          <w:sz w:val="32"/>
          <w:szCs w:val="32"/>
          <w:shd w:val="clear" w:color="auto" w:fill="FFFFFF"/>
        </w:rPr>
        <w:t>”</w:t>
      </w:r>
      <w:r w:rsidR="00CA2892">
        <w:rPr>
          <w:rFonts w:ascii="Times New Roman" w:hAnsi="Times New Roman" w:cs="Times New Roman"/>
          <w:color w:val="000000" w:themeColor="text1"/>
          <w:sz w:val="32"/>
          <w:szCs w:val="32"/>
          <w:shd w:val="clear" w:color="auto" w:fill="FFFFFF"/>
        </w:rPr>
        <w:t>, in addition to this Olsen also utilises archaeological evidence to support the rational</w:t>
      </w:r>
      <w:r w:rsidR="00577EDF">
        <w:rPr>
          <w:rFonts w:ascii="Times New Roman" w:hAnsi="Times New Roman" w:cs="Times New Roman"/>
          <w:color w:val="000000" w:themeColor="text1"/>
          <w:sz w:val="32"/>
          <w:szCs w:val="32"/>
          <w:shd w:val="clear" w:color="auto" w:fill="FFFFFF"/>
        </w:rPr>
        <w:t>e</w:t>
      </w:r>
      <w:r w:rsidR="00CA2892">
        <w:rPr>
          <w:rFonts w:ascii="Times New Roman" w:hAnsi="Times New Roman" w:cs="Times New Roman"/>
          <w:color w:val="000000" w:themeColor="text1"/>
          <w:sz w:val="32"/>
          <w:szCs w:val="32"/>
          <w:shd w:val="clear" w:color="auto" w:fill="FFFFFF"/>
        </w:rPr>
        <w:t xml:space="preserve"> of how women were viewed in society along with introducing the reader to the religious beliefs using mythology to </w:t>
      </w:r>
      <w:r w:rsidR="00F77B68">
        <w:rPr>
          <w:rFonts w:ascii="Times New Roman" w:hAnsi="Times New Roman" w:cs="Times New Roman"/>
          <w:color w:val="000000" w:themeColor="text1"/>
          <w:sz w:val="32"/>
          <w:szCs w:val="32"/>
          <w:shd w:val="clear" w:color="auto" w:fill="FFFFFF"/>
        </w:rPr>
        <w:t>convey how women were seen even from a place of religious significance. Throughout the article</w:t>
      </w:r>
      <w:r w:rsidR="00577EDF">
        <w:rPr>
          <w:rFonts w:ascii="Times New Roman" w:hAnsi="Times New Roman" w:cs="Times New Roman"/>
          <w:color w:val="000000" w:themeColor="text1"/>
          <w:sz w:val="32"/>
          <w:szCs w:val="32"/>
          <w:shd w:val="clear" w:color="auto" w:fill="FFFFFF"/>
        </w:rPr>
        <w:t>,</w:t>
      </w:r>
      <w:r w:rsidR="00F77B68">
        <w:rPr>
          <w:rFonts w:ascii="Times New Roman" w:hAnsi="Times New Roman" w:cs="Times New Roman"/>
          <w:color w:val="000000" w:themeColor="text1"/>
          <w:sz w:val="32"/>
          <w:szCs w:val="32"/>
          <w:shd w:val="clear" w:color="auto" w:fill="FFFFFF"/>
        </w:rPr>
        <w:t xml:space="preserve"> Olesen separates the two constructions of gender stating that “</w:t>
      </w:r>
      <w:r w:rsidR="00F77B68" w:rsidRPr="00F77B68">
        <w:rPr>
          <w:rFonts w:ascii="Times New Roman" w:hAnsi="Times New Roman" w:cs="Times New Roman"/>
          <w:i/>
          <w:iCs/>
          <w:color w:val="000000" w:themeColor="text1"/>
          <w:sz w:val="32"/>
          <w:szCs w:val="32"/>
          <w:shd w:val="clear" w:color="auto" w:fill="FFFFFF"/>
        </w:rPr>
        <w:t>Aegean societies share no standardised investment in depicting motherhood as women’s primary function”</w:t>
      </w:r>
      <w:r w:rsidR="00F77B68">
        <w:rPr>
          <w:rFonts w:ascii="Times New Roman" w:hAnsi="Times New Roman" w:cs="Times New Roman"/>
          <w:i/>
          <w:iCs/>
          <w:color w:val="000000" w:themeColor="text1"/>
          <w:sz w:val="32"/>
          <w:szCs w:val="32"/>
          <w:shd w:val="clear" w:color="auto" w:fill="FFFFFF"/>
        </w:rPr>
        <w:t xml:space="preserve">. </w:t>
      </w:r>
      <w:r w:rsidR="00F77B68">
        <w:rPr>
          <w:rFonts w:ascii="Times New Roman" w:hAnsi="Times New Roman" w:cs="Times New Roman"/>
          <w:color w:val="000000" w:themeColor="text1"/>
          <w:sz w:val="32"/>
          <w:szCs w:val="32"/>
          <w:shd w:val="clear" w:color="auto" w:fill="FFFFFF"/>
        </w:rPr>
        <w:t xml:space="preserve">This article is valuable for studying women’s place in the Aegean Bronze Age as it uses a great deal of different reliable sources in a comprehensive break down of the two different </w:t>
      </w:r>
      <w:r w:rsidR="00A36EB8">
        <w:rPr>
          <w:rFonts w:ascii="Times New Roman" w:hAnsi="Times New Roman" w:cs="Times New Roman"/>
          <w:color w:val="000000" w:themeColor="text1"/>
          <w:sz w:val="32"/>
          <w:szCs w:val="32"/>
          <w:shd w:val="clear" w:color="auto" w:fill="FFFFFF"/>
        </w:rPr>
        <w:t xml:space="preserve">societies </w:t>
      </w:r>
      <w:r w:rsidR="00F77B68">
        <w:rPr>
          <w:rFonts w:ascii="Times New Roman" w:hAnsi="Times New Roman" w:cs="Times New Roman"/>
          <w:color w:val="000000" w:themeColor="text1"/>
          <w:sz w:val="32"/>
          <w:szCs w:val="32"/>
          <w:shd w:val="clear" w:color="auto" w:fill="FFFFFF"/>
        </w:rPr>
        <w:t xml:space="preserve">expectations of women. </w:t>
      </w:r>
    </w:p>
    <w:p w14:paraId="2BC997AE" w14:textId="29B0A8C0" w:rsidR="00C641A7" w:rsidRDefault="00C641A7" w:rsidP="00C641A7">
      <w:pPr>
        <w:shd w:val="clear" w:color="auto" w:fill="FFFFFF"/>
        <w:spacing w:after="120" w:line="240" w:lineRule="auto"/>
        <w:outlineLvl w:val="0"/>
        <w:rPr>
          <w:rFonts w:ascii="Times New Roman" w:eastAsia="Times New Roman" w:hAnsi="Times New Roman" w:cs="Times New Roman"/>
          <w:color w:val="000000" w:themeColor="text1"/>
          <w:kern w:val="36"/>
          <w:sz w:val="32"/>
          <w:szCs w:val="32"/>
          <w:lang w:eastAsia="en-GB"/>
        </w:rPr>
      </w:pPr>
    </w:p>
    <w:p w14:paraId="794691C8" w14:textId="77777777" w:rsidR="00963333" w:rsidRDefault="00963333" w:rsidP="00C641A7">
      <w:pPr>
        <w:shd w:val="clear" w:color="auto" w:fill="FFFFFF"/>
        <w:spacing w:after="120" w:line="240" w:lineRule="auto"/>
        <w:outlineLvl w:val="0"/>
        <w:rPr>
          <w:rFonts w:ascii="Times New Roman" w:eastAsia="Times New Roman" w:hAnsi="Times New Roman" w:cs="Times New Roman"/>
          <w:color w:val="000000" w:themeColor="text1"/>
          <w:kern w:val="36"/>
          <w:sz w:val="32"/>
          <w:szCs w:val="32"/>
          <w:lang w:eastAsia="en-GB"/>
        </w:rPr>
      </w:pPr>
    </w:p>
    <w:p w14:paraId="216214EA" w14:textId="778D6401" w:rsidR="00963333" w:rsidRDefault="00963333" w:rsidP="00C641A7">
      <w:pPr>
        <w:shd w:val="clear" w:color="auto" w:fill="FFFFFF"/>
        <w:spacing w:after="120" w:line="240" w:lineRule="auto"/>
        <w:outlineLvl w:val="0"/>
        <w:rPr>
          <w:rFonts w:ascii="Times New Roman" w:hAnsi="Times New Roman" w:cs="Times New Roman"/>
          <w:color w:val="000000"/>
          <w:sz w:val="32"/>
          <w:szCs w:val="32"/>
          <w:shd w:val="clear" w:color="auto" w:fill="FFFFFF"/>
        </w:rPr>
      </w:pPr>
      <w:r w:rsidRPr="00963333">
        <w:rPr>
          <w:rFonts w:ascii="Times New Roman" w:hAnsi="Times New Roman" w:cs="Times New Roman"/>
          <w:color w:val="000000"/>
          <w:sz w:val="32"/>
          <w:szCs w:val="32"/>
          <w:shd w:val="clear" w:color="auto" w:fill="FFFFFF"/>
        </w:rPr>
        <w:lastRenderedPageBreak/>
        <w:t>L. C. E. Witcombe, C., 2020. </w:t>
      </w:r>
      <w:r w:rsidRPr="00963333">
        <w:rPr>
          <w:rFonts w:ascii="Times New Roman" w:hAnsi="Times New Roman" w:cs="Times New Roman"/>
          <w:i/>
          <w:iCs/>
          <w:color w:val="000000"/>
          <w:sz w:val="32"/>
          <w:szCs w:val="32"/>
          <w:shd w:val="clear" w:color="auto" w:fill="FFFFFF"/>
        </w:rPr>
        <w:t>Women in The Aegean: Minoan Snake Goddess: 10. Women in Minoan Culture</w:t>
      </w:r>
      <w:r w:rsidRPr="00963333">
        <w:rPr>
          <w:rFonts w:ascii="Times New Roman" w:hAnsi="Times New Roman" w:cs="Times New Roman"/>
          <w:color w:val="000000"/>
          <w:sz w:val="32"/>
          <w:szCs w:val="32"/>
          <w:shd w:val="clear" w:color="auto" w:fill="FFFFFF"/>
        </w:rPr>
        <w:t>. [online] Arthistoryresources.net. Available at: &lt;http://arthistoryresources.net/snakegoddess/minoanwomen.html&gt; [Accessed 6 April 2020].</w:t>
      </w:r>
    </w:p>
    <w:p w14:paraId="5AA73F53" w14:textId="68BB3422" w:rsidR="00963333" w:rsidRDefault="00963333" w:rsidP="00C641A7">
      <w:pPr>
        <w:shd w:val="clear" w:color="auto" w:fill="FFFFFF"/>
        <w:spacing w:after="120" w:line="240" w:lineRule="auto"/>
        <w:outlineLvl w:val="0"/>
        <w:rPr>
          <w:rFonts w:ascii="Times New Roman" w:hAnsi="Times New Roman" w:cs="Times New Roman"/>
          <w:color w:val="000000"/>
          <w:sz w:val="32"/>
          <w:szCs w:val="32"/>
          <w:shd w:val="clear" w:color="auto" w:fill="FFFFFF"/>
        </w:rPr>
      </w:pPr>
    </w:p>
    <w:p w14:paraId="70CBE77F" w14:textId="2B92B5EC" w:rsidR="0076524A" w:rsidRPr="0076524A" w:rsidRDefault="0076524A" w:rsidP="00C641A7">
      <w:pPr>
        <w:shd w:val="clear" w:color="auto" w:fill="FFFFFF"/>
        <w:spacing w:after="120" w:line="240" w:lineRule="auto"/>
        <w:outlineLvl w:val="0"/>
        <w:rPr>
          <w:rFonts w:ascii="Times New Roman" w:hAnsi="Times New Roman" w:cs="Times New Roman"/>
          <w:color w:val="000000"/>
          <w:sz w:val="32"/>
          <w:szCs w:val="32"/>
          <w:u w:val="single"/>
          <w:shd w:val="clear" w:color="auto" w:fill="FFFFFF"/>
        </w:rPr>
      </w:pPr>
      <w:r w:rsidRPr="0076524A">
        <w:rPr>
          <w:rFonts w:ascii="Times New Roman" w:hAnsi="Times New Roman" w:cs="Times New Roman"/>
          <w:color w:val="000000"/>
          <w:sz w:val="32"/>
          <w:szCs w:val="32"/>
          <w:u w:val="single"/>
          <w:shd w:val="clear" w:color="auto" w:fill="FFFFFF"/>
        </w:rPr>
        <w:t xml:space="preserve">Website Source </w:t>
      </w:r>
    </w:p>
    <w:p w14:paraId="598B2738" w14:textId="0326A361" w:rsidR="009324E7" w:rsidRDefault="005F3823" w:rsidP="00C641A7">
      <w:pPr>
        <w:shd w:val="clear" w:color="auto" w:fill="FFFFFF"/>
        <w:spacing w:after="120" w:line="240" w:lineRule="auto"/>
        <w:outlineLvl w:val="0"/>
        <w:rPr>
          <w:rFonts w:ascii="Times New Roman" w:hAnsi="Times New Roman" w:cs="Times New Roman"/>
          <w:sz w:val="32"/>
          <w:szCs w:val="32"/>
          <w:shd w:val="clear" w:color="auto" w:fill="FFFFFF"/>
        </w:rPr>
      </w:pPr>
      <w:r w:rsidRPr="003C2491">
        <w:rPr>
          <w:rFonts w:ascii="Times New Roman" w:eastAsia="Times New Roman" w:hAnsi="Times New Roman" w:cs="Times New Roman"/>
          <w:kern w:val="36"/>
          <w:sz w:val="32"/>
          <w:szCs w:val="32"/>
          <w:lang w:eastAsia="en-GB"/>
        </w:rPr>
        <w:t xml:space="preserve">Dr Christopher L.C.E Witcombe is an Art Historian who specializes in </w:t>
      </w:r>
      <w:r w:rsidRPr="003C2491">
        <w:rPr>
          <w:rStyle w:val="Emphasis"/>
          <w:rFonts w:ascii="Times New Roman" w:hAnsi="Times New Roman" w:cs="Times New Roman"/>
          <w:i w:val="0"/>
          <w:iCs w:val="0"/>
          <w:sz w:val="32"/>
          <w:szCs w:val="32"/>
          <w:bdr w:val="none" w:sz="0" w:space="0" w:color="auto" w:frame="1"/>
          <w:shd w:val="clear" w:color="auto" w:fill="FFFFFF"/>
        </w:rPr>
        <w:t xml:space="preserve">Prehistoric Art, Images of Women and Feminism, he received his PhD from </w:t>
      </w:r>
      <w:hyperlink r:id="rId7" w:history="1">
        <w:r w:rsidRPr="003C2491">
          <w:rPr>
            <w:rStyle w:val="Hyperlink"/>
            <w:rFonts w:ascii="Times New Roman" w:hAnsi="Times New Roman" w:cs="Times New Roman"/>
            <w:color w:val="auto"/>
            <w:sz w:val="32"/>
            <w:szCs w:val="32"/>
            <w:u w:val="none"/>
            <w:shd w:val="clear" w:color="auto" w:fill="FFFFFF"/>
          </w:rPr>
          <w:t>Bryn Mawr College</w:t>
        </w:r>
      </w:hyperlink>
      <w:r w:rsidRPr="003C2491">
        <w:rPr>
          <w:rFonts w:ascii="Times New Roman" w:hAnsi="Times New Roman" w:cs="Times New Roman"/>
          <w:sz w:val="32"/>
          <w:szCs w:val="32"/>
        </w:rPr>
        <w:t>. Witcombe’s website entails 10 chapters studying women</w:t>
      </w:r>
      <w:r w:rsidR="003C2491">
        <w:rPr>
          <w:rFonts w:ascii="Times New Roman" w:hAnsi="Times New Roman" w:cs="Times New Roman"/>
          <w:sz w:val="32"/>
          <w:szCs w:val="32"/>
        </w:rPr>
        <w:t>’s place</w:t>
      </w:r>
      <w:r w:rsidRPr="003C2491">
        <w:rPr>
          <w:rFonts w:ascii="Times New Roman" w:hAnsi="Times New Roman" w:cs="Times New Roman"/>
          <w:sz w:val="32"/>
          <w:szCs w:val="32"/>
        </w:rPr>
        <w:t xml:space="preserve"> in Aegean society with the primary focus being the Minoan Snake Goddess</w:t>
      </w:r>
      <w:r w:rsidR="000C78BF">
        <w:rPr>
          <w:rFonts w:ascii="Times New Roman" w:hAnsi="Times New Roman" w:cs="Times New Roman"/>
          <w:sz w:val="32"/>
          <w:szCs w:val="32"/>
        </w:rPr>
        <w:t xml:space="preserve"> that he uses as a viewpoint to interpret women’s place in Aegean society via religious art</w:t>
      </w:r>
      <w:r w:rsidRPr="003C2491">
        <w:rPr>
          <w:rFonts w:ascii="Times New Roman" w:hAnsi="Times New Roman" w:cs="Times New Roman"/>
          <w:sz w:val="32"/>
          <w:szCs w:val="32"/>
        </w:rPr>
        <w:t>, however</w:t>
      </w:r>
      <w:r w:rsidR="00F3297D">
        <w:rPr>
          <w:rFonts w:ascii="Times New Roman" w:hAnsi="Times New Roman" w:cs="Times New Roman"/>
          <w:sz w:val="32"/>
          <w:szCs w:val="32"/>
        </w:rPr>
        <w:t>,</w:t>
      </w:r>
      <w:r w:rsidRPr="003C2491">
        <w:rPr>
          <w:rFonts w:ascii="Times New Roman" w:hAnsi="Times New Roman" w:cs="Times New Roman"/>
          <w:sz w:val="32"/>
          <w:szCs w:val="32"/>
        </w:rPr>
        <w:t xml:space="preserve"> I have chosen to focus on chapter 10 titled “</w:t>
      </w:r>
      <w:r w:rsidRPr="003C2491">
        <w:rPr>
          <w:rFonts w:ascii="Times New Roman" w:hAnsi="Times New Roman" w:cs="Times New Roman"/>
          <w:i/>
          <w:iCs/>
          <w:sz w:val="32"/>
          <w:szCs w:val="32"/>
        </w:rPr>
        <w:t>Women in Minoan culture</w:t>
      </w:r>
      <w:r w:rsidRPr="003C2491">
        <w:rPr>
          <w:rFonts w:ascii="Times New Roman" w:hAnsi="Times New Roman" w:cs="Times New Roman"/>
          <w:sz w:val="32"/>
          <w:szCs w:val="32"/>
        </w:rPr>
        <w:t>”.</w:t>
      </w:r>
      <w:r w:rsidR="000D67DA" w:rsidRPr="003C2491">
        <w:rPr>
          <w:rFonts w:ascii="Times New Roman" w:hAnsi="Times New Roman" w:cs="Times New Roman"/>
          <w:sz w:val="32"/>
          <w:szCs w:val="32"/>
        </w:rPr>
        <w:t xml:space="preserve"> Witcombe’s writing provides fresh insight into the way women were viewed in the Aegean Bronze Age, through the lens of religion Witcombe demonstrates “</w:t>
      </w:r>
      <w:r w:rsidR="000D67DA" w:rsidRPr="003C2491">
        <w:rPr>
          <w:rFonts w:ascii="Times New Roman" w:hAnsi="Times New Roman" w:cs="Times New Roman"/>
          <w:i/>
          <w:iCs/>
          <w:sz w:val="32"/>
          <w:szCs w:val="32"/>
          <w:shd w:val="clear" w:color="auto" w:fill="FFFFFF"/>
        </w:rPr>
        <w:t>women occupied an important if not dominant position within religion</w:t>
      </w:r>
      <w:r w:rsidR="000D67DA" w:rsidRPr="003C2491">
        <w:rPr>
          <w:rFonts w:ascii="Times New Roman" w:hAnsi="Times New Roman" w:cs="Times New Roman"/>
          <w:sz w:val="32"/>
          <w:szCs w:val="32"/>
          <w:shd w:val="clear" w:color="auto" w:fill="FFFFFF"/>
        </w:rPr>
        <w:t>”</w:t>
      </w:r>
      <w:r w:rsidR="000D67DA" w:rsidRPr="003C2491">
        <w:rPr>
          <w:rFonts w:ascii="Times New Roman" w:hAnsi="Times New Roman" w:cs="Times New Roman"/>
          <w:sz w:val="32"/>
          <w:szCs w:val="32"/>
        </w:rPr>
        <w:t xml:space="preserve">. By providing insight into women dominated religious practices Witcombe </w:t>
      </w:r>
      <w:r w:rsidR="00FA5691" w:rsidRPr="003C2491">
        <w:rPr>
          <w:rFonts w:ascii="Times New Roman" w:hAnsi="Times New Roman" w:cs="Times New Roman"/>
          <w:sz w:val="32"/>
          <w:szCs w:val="32"/>
        </w:rPr>
        <w:t>allows the reader to experience a different reflection of how women were more commonly viewed in Aegean society</w:t>
      </w:r>
      <w:r w:rsidR="003C2491" w:rsidRPr="003C2491">
        <w:rPr>
          <w:rFonts w:ascii="Times New Roman" w:hAnsi="Times New Roman" w:cs="Times New Roman"/>
          <w:sz w:val="32"/>
          <w:szCs w:val="32"/>
        </w:rPr>
        <w:t xml:space="preserve">. In addition, Witcombe uses the </w:t>
      </w:r>
      <w:r w:rsidR="003C2491" w:rsidRPr="003C2491">
        <w:rPr>
          <w:rFonts w:ascii="Times New Roman" w:hAnsi="Times New Roman" w:cs="Times New Roman"/>
          <w:sz w:val="32"/>
          <w:szCs w:val="32"/>
          <w:shd w:val="clear" w:color="auto" w:fill="FFFFFF"/>
        </w:rPr>
        <w:t>Aghia Triadha sarcophagus</w:t>
      </w:r>
      <w:r w:rsidR="003C2491">
        <w:rPr>
          <w:rFonts w:ascii="Times New Roman" w:hAnsi="Times New Roman" w:cs="Times New Roman"/>
          <w:sz w:val="32"/>
          <w:szCs w:val="32"/>
          <w:shd w:val="clear" w:color="auto" w:fill="FFFFFF"/>
        </w:rPr>
        <w:t xml:space="preserve"> as evidence</w:t>
      </w:r>
      <w:r w:rsidR="00D073C7">
        <w:rPr>
          <w:rFonts w:ascii="Times New Roman" w:hAnsi="Times New Roman" w:cs="Times New Roman"/>
          <w:sz w:val="32"/>
          <w:szCs w:val="32"/>
          <w:shd w:val="clear" w:color="auto" w:fill="FFFFFF"/>
        </w:rPr>
        <w:t xml:space="preserve"> to support the</w:t>
      </w:r>
      <w:r w:rsidR="003C2491">
        <w:rPr>
          <w:rFonts w:ascii="Times New Roman" w:hAnsi="Times New Roman" w:cs="Times New Roman"/>
          <w:sz w:val="32"/>
          <w:szCs w:val="32"/>
          <w:shd w:val="clear" w:color="auto" w:fill="FFFFFF"/>
        </w:rPr>
        <w:t xml:space="preserve"> </w:t>
      </w:r>
      <w:r w:rsidR="00D073C7">
        <w:rPr>
          <w:rFonts w:ascii="Times New Roman" w:hAnsi="Times New Roman" w:cs="Times New Roman"/>
          <w:sz w:val="32"/>
          <w:szCs w:val="32"/>
          <w:shd w:val="clear" w:color="auto" w:fill="FFFFFF"/>
        </w:rPr>
        <w:t xml:space="preserve">idea that </w:t>
      </w:r>
      <w:r w:rsidR="003C2491">
        <w:rPr>
          <w:rFonts w:ascii="Times New Roman" w:hAnsi="Times New Roman" w:cs="Times New Roman"/>
          <w:sz w:val="32"/>
          <w:szCs w:val="32"/>
          <w:shd w:val="clear" w:color="auto" w:fill="FFFFFF"/>
        </w:rPr>
        <w:t>women outnumb</w:t>
      </w:r>
      <w:r w:rsidR="00D073C7">
        <w:rPr>
          <w:rFonts w:ascii="Times New Roman" w:hAnsi="Times New Roman" w:cs="Times New Roman"/>
          <w:sz w:val="32"/>
          <w:szCs w:val="32"/>
          <w:shd w:val="clear" w:color="auto" w:fill="FFFFFF"/>
        </w:rPr>
        <w:t xml:space="preserve">ered </w:t>
      </w:r>
      <w:r w:rsidR="003C2491">
        <w:rPr>
          <w:rFonts w:ascii="Times New Roman" w:hAnsi="Times New Roman" w:cs="Times New Roman"/>
          <w:sz w:val="32"/>
          <w:szCs w:val="32"/>
          <w:shd w:val="clear" w:color="auto" w:fill="FFFFFF"/>
        </w:rPr>
        <w:t>men in the context of religious rituals</w:t>
      </w:r>
      <w:r w:rsidR="00FA5691" w:rsidRPr="003C2491">
        <w:rPr>
          <w:rFonts w:ascii="Times New Roman" w:hAnsi="Times New Roman" w:cs="Times New Roman"/>
          <w:sz w:val="32"/>
          <w:szCs w:val="32"/>
        </w:rPr>
        <w:t xml:space="preserve">. Witcombe includes a Fresco titled </w:t>
      </w:r>
      <w:r w:rsidR="00FA5691" w:rsidRPr="003C2491">
        <w:rPr>
          <w:rFonts w:ascii="Times New Roman" w:hAnsi="Times New Roman" w:cs="Times New Roman"/>
          <w:sz w:val="32"/>
          <w:szCs w:val="32"/>
          <w:shd w:val="clear" w:color="auto" w:fill="FFFFFF"/>
        </w:rPr>
        <w:t xml:space="preserve">Toreador, by examining this archaeological evidence </w:t>
      </w:r>
      <w:r w:rsidR="00CC19B0" w:rsidRPr="003C2491">
        <w:rPr>
          <w:rFonts w:ascii="Times New Roman" w:hAnsi="Times New Roman" w:cs="Times New Roman"/>
          <w:sz w:val="32"/>
          <w:szCs w:val="32"/>
          <w:shd w:val="clear" w:color="auto" w:fill="FFFFFF"/>
        </w:rPr>
        <w:t xml:space="preserve">Witcombe argues that this sport demonstrates </w:t>
      </w:r>
      <w:r w:rsidR="00ED6DD6" w:rsidRPr="003C2491">
        <w:rPr>
          <w:rFonts w:ascii="Times New Roman" w:hAnsi="Times New Roman" w:cs="Times New Roman"/>
          <w:sz w:val="32"/>
          <w:szCs w:val="32"/>
          <w:shd w:val="clear" w:color="auto" w:fill="FFFFFF"/>
        </w:rPr>
        <w:t>a great deal of “</w:t>
      </w:r>
      <w:r w:rsidR="00ED6DD6" w:rsidRPr="003C2491">
        <w:rPr>
          <w:rFonts w:ascii="Times New Roman" w:hAnsi="Times New Roman" w:cs="Times New Roman"/>
          <w:i/>
          <w:iCs/>
          <w:sz w:val="32"/>
          <w:szCs w:val="32"/>
          <w:shd w:val="clear" w:color="auto" w:fill="FFFFFF"/>
        </w:rPr>
        <w:t>bravery, agility, and skill</w:t>
      </w:r>
      <w:r w:rsidR="00ED6DD6" w:rsidRPr="003C2491">
        <w:rPr>
          <w:rFonts w:ascii="Times New Roman" w:hAnsi="Times New Roman" w:cs="Times New Roman"/>
          <w:sz w:val="32"/>
          <w:szCs w:val="32"/>
          <w:shd w:val="clear" w:color="auto" w:fill="FFFFFF"/>
        </w:rPr>
        <w:t xml:space="preserve">” </w:t>
      </w:r>
      <w:r w:rsidR="00B579B6" w:rsidRPr="003C2491">
        <w:rPr>
          <w:rFonts w:ascii="Times New Roman" w:hAnsi="Times New Roman" w:cs="Times New Roman"/>
          <w:sz w:val="32"/>
          <w:szCs w:val="32"/>
          <w:shd w:val="clear" w:color="auto" w:fill="FFFFFF"/>
        </w:rPr>
        <w:t>such traits would most commonly be portrayed by men</w:t>
      </w:r>
      <w:r w:rsidR="0072386E">
        <w:rPr>
          <w:rFonts w:ascii="Times New Roman" w:hAnsi="Times New Roman" w:cs="Times New Roman"/>
          <w:sz w:val="32"/>
          <w:szCs w:val="32"/>
          <w:shd w:val="clear" w:color="auto" w:fill="FFFFFF"/>
        </w:rPr>
        <w:t xml:space="preserve"> further supporting the fact women were placed on a more equal playing field than perhaps other cultures at the time.</w:t>
      </w:r>
      <w:r w:rsidR="008B5E45">
        <w:rPr>
          <w:rFonts w:ascii="Times New Roman" w:hAnsi="Times New Roman" w:cs="Times New Roman"/>
          <w:sz w:val="32"/>
          <w:szCs w:val="32"/>
          <w:shd w:val="clear" w:color="auto" w:fill="FFFFFF"/>
        </w:rPr>
        <w:t xml:space="preserve"> By examining archaeological evidence through this lens </w:t>
      </w:r>
      <w:r w:rsidR="00C83460">
        <w:rPr>
          <w:rFonts w:ascii="Times New Roman" w:hAnsi="Times New Roman" w:cs="Times New Roman"/>
          <w:sz w:val="32"/>
          <w:szCs w:val="32"/>
          <w:shd w:val="clear" w:color="auto" w:fill="FFFFFF"/>
        </w:rPr>
        <w:t xml:space="preserve">Witcombe allows the reader to take the same approach to other archaeological evidence for the Bronze period. </w:t>
      </w:r>
    </w:p>
    <w:p w14:paraId="1DE9A91C" w14:textId="38F6F514" w:rsidR="009324E7" w:rsidRDefault="009324E7" w:rsidP="00C641A7">
      <w:pPr>
        <w:shd w:val="clear" w:color="auto" w:fill="FFFFFF"/>
        <w:spacing w:after="120" w:line="240" w:lineRule="auto"/>
        <w:outlineLvl w:val="0"/>
        <w:rPr>
          <w:rFonts w:ascii="Times New Roman" w:hAnsi="Times New Roman" w:cs="Times New Roman"/>
          <w:sz w:val="32"/>
          <w:szCs w:val="32"/>
          <w:shd w:val="clear" w:color="auto" w:fill="FFFFFF"/>
        </w:rPr>
      </w:pPr>
    </w:p>
    <w:p w14:paraId="7524C69F" w14:textId="1EE4B11C" w:rsidR="0078178D" w:rsidRDefault="0078178D" w:rsidP="00C641A7">
      <w:pPr>
        <w:shd w:val="clear" w:color="auto" w:fill="FFFFFF"/>
        <w:spacing w:after="120" w:line="240" w:lineRule="auto"/>
        <w:outlineLvl w:val="0"/>
        <w:rPr>
          <w:rFonts w:ascii="Times New Roman" w:hAnsi="Times New Roman" w:cs="Times New Roman"/>
          <w:sz w:val="32"/>
          <w:szCs w:val="32"/>
          <w:shd w:val="clear" w:color="auto" w:fill="FFFFFF"/>
        </w:rPr>
      </w:pPr>
    </w:p>
    <w:p w14:paraId="466B2FA7" w14:textId="190FE127" w:rsidR="0078178D" w:rsidRDefault="0078178D" w:rsidP="00C641A7">
      <w:pPr>
        <w:shd w:val="clear" w:color="auto" w:fill="FFFFFF"/>
        <w:spacing w:after="120" w:line="240" w:lineRule="auto"/>
        <w:outlineLvl w:val="0"/>
        <w:rPr>
          <w:rFonts w:ascii="Times New Roman" w:hAnsi="Times New Roman" w:cs="Times New Roman"/>
          <w:sz w:val="32"/>
          <w:szCs w:val="32"/>
          <w:shd w:val="clear" w:color="auto" w:fill="FFFFFF"/>
        </w:rPr>
      </w:pPr>
    </w:p>
    <w:p w14:paraId="113D5396" w14:textId="78BC60BB" w:rsidR="0078178D" w:rsidRDefault="0078178D" w:rsidP="00C641A7">
      <w:pPr>
        <w:shd w:val="clear" w:color="auto" w:fill="FFFFFF"/>
        <w:spacing w:after="120" w:line="240" w:lineRule="auto"/>
        <w:outlineLvl w:val="0"/>
        <w:rPr>
          <w:rFonts w:ascii="Times New Roman" w:hAnsi="Times New Roman" w:cs="Times New Roman"/>
          <w:sz w:val="32"/>
          <w:szCs w:val="32"/>
          <w:shd w:val="clear" w:color="auto" w:fill="FFFFFF"/>
        </w:rPr>
      </w:pPr>
    </w:p>
    <w:p w14:paraId="6DD7CB75" w14:textId="0AA54C81" w:rsidR="0078178D" w:rsidRDefault="0078178D" w:rsidP="00C641A7">
      <w:pPr>
        <w:shd w:val="clear" w:color="auto" w:fill="FFFFFF"/>
        <w:spacing w:after="120" w:line="240" w:lineRule="auto"/>
        <w:outlineLvl w:val="0"/>
        <w:rPr>
          <w:rFonts w:ascii="Times New Roman" w:hAnsi="Times New Roman" w:cs="Times New Roman"/>
          <w:sz w:val="32"/>
          <w:szCs w:val="32"/>
          <w:shd w:val="clear" w:color="auto" w:fill="FFFFFF"/>
        </w:rPr>
      </w:pPr>
    </w:p>
    <w:p w14:paraId="0274B43A" w14:textId="5232D3DC" w:rsidR="0078178D" w:rsidRDefault="0078178D" w:rsidP="00C641A7">
      <w:pPr>
        <w:shd w:val="clear" w:color="auto" w:fill="FFFFFF"/>
        <w:spacing w:after="120" w:line="240" w:lineRule="auto"/>
        <w:outlineLvl w:val="0"/>
        <w:rPr>
          <w:rFonts w:ascii="Times New Roman" w:hAnsi="Times New Roman" w:cs="Times New Roman"/>
          <w:sz w:val="32"/>
          <w:szCs w:val="32"/>
          <w:shd w:val="clear" w:color="auto" w:fill="FFFFFF"/>
        </w:rPr>
      </w:pPr>
    </w:p>
    <w:p w14:paraId="02F68102" w14:textId="77777777" w:rsidR="0078178D" w:rsidRPr="009324E7" w:rsidRDefault="0078178D" w:rsidP="00C641A7">
      <w:pPr>
        <w:shd w:val="clear" w:color="auto" w:fill="FFFFFF"/>
        <w:spacing w:after="120" w:line="240" w:lineRule="auto"/>
        <w:outlineLvl w:val="0"/>
        <w:rPr>
          <w:rFonts w:ascii="Times New Roman" w:hAnsi="Times New Roman" w:cs="Times New Roman"/>
          <w:sz w:val="32"/>
          <w:szCs w:val="32"/>
          <w:shd w:val="clear" w:color="auto" w:fill="FFFFFF"/>
        </w:rPr>
      </w:pPr>
    </w:p>
    <w:p w14:paraId="5B0FE773" w14:textId="11FE9CA4" w:rsidR="009324E7" w:rsidRPr="009324E7" w:rsidRDefault="009324E7" w:rsidP="00C641A7">
      <w:pPr>
        <w:shd w:val="clear" w:color="auto" w:fill="FFFFFF"/>
        <w:spacing w:after="120" w:line="240" w:lineRule="auto"/>
        <w:outlineLvl w:val="0"/>
        <w:rPr>
          <w:rFonts w:ascii="Times New Roman" w:eastAsia="Times New Roman" w:hAnsi="Times New Roman" w:cs="Times New Roman"/>
          <w:kern w:val="36"/>
          <w:sz w:val="32"/>
          <w:szCs w:val="32"/>
          <w:lang w:eastAsia="en-GB"/>
        </w:rPr>
      </w:pPr>
      <w:r w:rsidRPr="009324E7">
        <w:rPr>
          <w:rFonts w:ascii="Times New Roman" w:hAnsi="Times New Roman" w:cs="Times New Roman"/>
          <w:color w:val="000000"/>
          <w:sz w:val="32"/>
          <w:szCs w:val="32"/>
          <w:shd w:val="clear" w:color="auto" w:fill="FFFFFF"/>
        </w:rPr>
        <w:t>Shelmerdine, C., 2010. </w:t>
      </w:r>
      <w:r w:rsidRPr="009324E7">
        <w:rPr>
          <w:rFonts w:ascii="Times New Roman" w:hAnsi="Times New Roman" w:cs="Times New Roman"/>
          <w:i/>
          <w:iCs/>
          <w:color w:val="000000"/>
          <w:sz w:val="32"/>
          <w:szCs w:val="32"/>
          <w:shd w:val="clear" w:color="auto" w:fill="FFFFFF"/>
        </w:rPr>
        <w:t xml:space="preserve">The Cambridge Companion </w:t>
      </w:r>
      <w:r w:rsidR="00F3297D" w:rsidRPr="009324E7">
        <w:rPr>
          <w:rFonts w:ascii="Times New Roman" w:hAnsi="Times New Roman" w:cs="Times New Roman"/>
          <w:i/>
          <w:iCs/>
          <w:color w:val="000000"/>
          <w:sz w:val="32"/>
          <w:szCs w:val="32"/>
          <w:shd w:val="clear" w:color="auto" w:fill="FFFFFF"/>
        </w:rPr>
        <w:t>to</w:t>
      </w:r>
      <w:r w:rsidRPr="009324E7">
        <w:rPr>
          <w:rFonts w:ascii="Times New Roman" w:hAnsi="Times New Roman" w:cs="Times New Roman"/>
          <w:i/>
          <w:iCs/>
          <w:color w:val="000000"/>
          <w:sz w:val="32"/>
          <w:szCs w:val="32"/>
          <w:shd w:val="clear" w:color="auto" w:fill="FFFFFF"/>
        </w:rPr>
        <w:t xml:space="preserve"> The Aegean Bronze Age</w:t>
      </w:r>
      <w:r w:rsidRPr="009324E7">
        <w:rPr>
          <w:rFonts w:ascii="Times New Roman" w:hAnsi="Times New Roman" w:cs="Times New Roman"/>
          <w:color w:val="000000"/>
          <w:sz w:val="32"/>
          <w:szCs w:val="32"/>
          <w:shd w:val="clear" w:color="auto" w:fill="FFFFFF"/>
        </w:rPr>
        <w:t>. Cambridge: Cambridge University Press, pp.179,180,181,182.</w:t>
      </w:r>
    </w:p>
    <w:p w14:paraId="488CAF54" w14:textId="582F114A" w:rsidR="0076524A" w:rsidRDefault="0076524A">
      <w:pPr>
        <w:rPr>
          <w:rFonts w:ascii="Times New Roman" w:hAnsi="Times New Roman" w:cs="Times New Roman"/>
          <w:color w:val="000000" w:themeColor="text1"/>
          <w:sz w:val="32"/>
          <w:szCs w:val="32"/>
        </w:rPr>
      </w:pPr>
    </w:p>
    <w:p w14:paraId="20B733AE" w14:textId="150B61FB" w:rsidR="0076524A" w:rsidRPr="0076524A" w:rsidRDefault="0076524A">
      <w:pPr>
        <w:rPr>
          <w:rFonts w:ascii="Times New Roman" w:hAnsi="Times New Roman" w:cs="Times New Roman"/>
          <w:color w:val="000000" w:themeColor="text1"/>
          <w:sz w:val="32"/>
          <w:szCs w:val="32"/>
          <w:u w:val="single"/>
        </w:rPr>
      </w:pPr>
      <w:r w:rsidRPr="0076524A">
        <w:rPr>
          <w:rFonts w:ascii="Times New Roman" w:hAnsi="Times New Roman" w:cs="Times New Roman"/>
          <w:color w:val="000000" w:themeColor="text1"/>
          <w:sz w:val="32"/>
          <w:szCs w:val="32"/>
          <w:u w:val="single"/>
        </w:rPr>
        <w:t xml:space="preserve">Edited Volume </w:t>
      </w:r>
    </w:p>
    <w:p w14:paraId="32A35BB8" w14:textId="212EA753" w:rsidR="00702FE8" w:rsidRDefault="0033193F">
      <w:pPr>
        <w:rPr>
          <w:rFonts w:ascii="Times New Roman" w:hAnsi="Times New Roman" w:cs="Times New Roman"/>
          <w:sz w:val="32"/>
          <w:szCs w:val="32"/>
        </w:rPr>
      </w:pPr>
      <w:r w:rsidRPr="0033193F">
        <w:rPr>
          <w:rFonts w:ascii="Times New Roman" w:hAnsi="Times New Roman" w:cs="Times New Roman"/>
          <w:sz w:val="32"/>
          <w:szCs w:val="32"/>
          <w:shd w:val="clear" w:color="auto" w:fill="FFFFFF"/>
        </w:rPr>
        <w:t>Cynthia Wright Shelmerdine is an American classicist and archaeologist</w:t>
      </w:r>
      <w:r w:rsidRPr="0033193F">
        <w:rPr>
          <w:rFonts w:ascii="Times New Roman" w:hAnsi="Times New Roman" w:cs="Times New Roman"/>
          <w:sz w:val="32"/>
          <w:szCs w:val="32"/>
          <w:shd w:val="clear" w:color="auto" w:fill="FFFFFF"/>
        </w:rPr>
        <w:t xml:space="preserve">, </w:t>
      </w:r>
      <w:r w:rsidRPr="0033193F">
        <w:rPr>
          <w:rFonts w:ascii="Times New Roman" w:hAnsi="Times New Roman" w:cs="Times New Roman"/>
          <w:sz w:val="32"/>
          <w:szCs w:val="32"/>
          <w:shd w:val="clear" w:color="auto" w:fill="FFFFFF"/>
        </w:rPr>
        <w:t> She received a doctorate in classical philology from </w:t>
      </w:r>
      <w:hyperlink r:id="rId8" w:history="1">
        <w:r w:rsidRPr="0033193F">
          <w:rPr>
            <w:rStyle w:val="Hyperlink"/>
            <w:rFonts w:ascii="Times New Roman" w:hAnsi="Times New Roman" w:cs="Times New Roman"/>
            <w:color w:val="auto"/>
            <w:sz w:val="32"/>
            <w:szCs w:val="32"/>
            <w:u w:val="none"/>
            <w:shd w:val="clear" w:color="auto" w:fill="FFFFFF"/>
          </w:rPr>
          <w:t>Harvard University</w:t>
        </w:r>
      </w:hyperlink>
      <w:r>
        <w:rPr>
          <w:rFonts w:ascii="Times New Roman" w:hAnsi="Times New Roman" w:cs="Times New Roman"/>
          <w:sz w:val="32"/>
          <w:szCs w:val="32"/>
        </w:rPr>
        <w:t>.</w:t>
      </w:r>
      <w:r w:rsidR="002315BC">
        <w:rPr>
          <w:rFonts w:ascii="Times New Roman" w:hAnsi="Times New Roman" w:cs="Times New Roman"/>
          <w:sz w:val="32"/>
          <w:szCs w:val="32"/>
        </w:rPr>
        <w:t xml:space="preserve"> I have chosen </w:t>
      </w:r>
      <w:r w:rsidR="00770A94">
        <w:rPr>
          <w:rFonts w:ascii="Times New Roman" w:hAnsi="Times New Roman" w:cs="Times New Roman"/>
          <w:sz w:val="32"/>
          <w:szCs w:val="32"/>
        </w:rPr>
        <w:t xml:space="preserve">to focus on 4 main pages of the </w:t>
      </w:r>
      <w:r w:rsidR="00023EE7">
        <w:rPr>
          <w:rFonts w:ascii="Times New Roman" w:hAnsi="Times New Roman" w:cs="Times New Roman"/>
          <w:sz w:val="32"/>
          <w:szCs w:val="32"/>
        </w:rPr>
        <w:t xml:space="preserve">edited volume </w:t>
      </w:r>
      <w:r w:rsidR="00770A94">
        <w:rPr>
          <w:rFonts w:ascii="Times New Roman" w:hAnsi="Times New Roman" w:cs="Times New Roman"/>
          <w:sz w:val="32"/>
          <w:szCs w:val="32"/>
        </w:rPr>
        <w:t>titled “</w:t>
      </w:r>
      <w:r w:rsidR="00770A94" w:rsidRPr="00770A94">
        <w:rPr>
          <w:rFonts w:ascii="Times New Roman" w:hAnsi="Times New Roman" w:cs="Times New Roman"/>
          <w:i/>
          <w:iCs/>
          <w:sz w:val="32"/>
          <w:szCs w:val="32"/>
        </w:rPr>
        <w:t>How Minoan Society Operated: Politics and Belief Systems</w:t>
      </w:r>
      <w:r w:rsidR="00770A94">
        <w:rPr>
          <w:rFonts w:ascii="Times New Roman" w:hAnsi="Times New Roman" w:cs="Times New Roman"/>
          <w:i/>
          <w:iCs/>
          <w:sz w:val="32"/>
          <w:szCs w:val="32"/>
        </w:rPr>
        <w:t>”</w:t>
      </w:r>
      <w:r w:rsidR="00CE3DD0">
        <w:rPr>
          <w:rFonts w:ascii="Times New Roman" w:hAnsi="Times New Roman" w:cs="Times New Roman"/>
          <w:i/>
          <w:iCs/>
          <w:sz w:val="32"/>
          <w:szCs w:val="32"/>
        </w:rPr>
        <w:t xml:space="preserve"> </w:t>
      </w:r>
      <w:r w:rsidR="00CE3DD0">
        <w:rPr>
          <w:rFonts w:ascii="Times New Roman" w:hAnsi="Times New Roman" w:cs="Times New Roman"/>
          <w:sz w:val="32"/>
          <w:szCs w:val="32"/>
        </w:rPr>
        <w:t xml:space="preserve">found </w:t>
      </w:r>
      <w:r w:rsidR="00F52EC8">
        <w:rPr>
          <w:rFonts w:ascii="Times New Roman" w:hAnsi="Times New Roman" w:cs="Times New Roman"/>
          <w:sz w:val="32"/>
          <w:szCs w:val="32"/>
        </w:rPr>
        <w:t>i</w:t>
      </w:r>
      <w:r w:rsidR="00CE3DD0">
        <w:rPr>
          <w:rFonts w:ascii="Times New Roman" w:hAnsi="Times New Roman" w:cs="Times New Roman"/>
          <w:sz w:val="32"/>
          <w:szCs w:val="32"/>
        </w:rPr>
        <w:t>n chapter 7</w:t>
      </w:r>
      <w:r w:rsidR="00770A94">
        <w:rPr>
          <w:rFonts w:ascii="Times New Roman" w:hAnsi="Times New Roman" w:cs="Times New Roman"/>
          <w:i/>
          <w:iCs/>
          <w:sz w:val="32"/>
          <w:szCs w:val="32"/>
        </w:rPr>
        <w:t xml:space="preserve">. </w:t>
      </w:r>
      <w:r w:rsidR="00770A94">
        <w:rPr>
          <w:rFonts w:ascii="Times New Roman" w:hAnsi="Times New Roman" w:cs="Times New Roman"/>
          <w:sz w:val="32"/>
          <w:szCs w:val="32"/>
        </w:rPr>
        <w:t>In these 4 pages</w:t>
      </w:r>
      <w:r w:rsidR="00F52EC8">
        <w:rPr>
          <w:rFonts w:ascii="Times New Roman" w:hAnsi="Times New Roman" w:cs="Times New Roman"/>
          <w:sz w:val="32"/>
          <w:szCs w:val="32"/>
        </w:rPr>
        <w:t>,</w:t>
      </w:r>
      <w:r w:rsidR="00770A94">
        <w:rPr>
          <w:rFonts w:ascii="Times New Roman" w:hAnsi="Times New Roman" w:cs="Times New Roman"/>
          <w:sz w:val="32"/>
          <w:szCs w:val="32"/>
        </w:rPr>
        <w:t xml:space="preserve"> Wright </w:t>
      </w:r>
      <w:r w:rsidR="00657FA5">
        <w:rPr>
          <w:rFonts w:ascii="Times New Roman" w:hAnsi="Times New Roman" w:cs="Times New Roman"/>
          <w:sz w:val="32"/>
          <w:szCs w:val="32"/>
        </w:rPr>
        <w:t xml:space="preserve">poses a fair analysis for both men and women being the more powerful in terms of both religious beliefs as well as </w:t>
      </w:r>
      <w:r w:rsidR="0076524A">
        <w:rPr>
          <w:rFonts w:ascii="Times New Roman" w:hAnsi="Times New Roman" w:cs="Times New Roman"/>
          <w:sz w:val="32"/>
          <w:szCs w:val="32"/>
        </w:rPr>
        <w:t xml:space="preserve">in the </w:t>
      </w:r>
      <w:r w:rsidR="00657FA5">
        <w:rPr>
          <w:rFonts w:ascii="Times New Roman" w:hAnsi="Times New Roman" w:cs="Times New Roman"/>
          <w:sz w:val="32"/>
          <w:szCs w:val="32"/>
        </w:rPr>
        <w:t>societal structure. The first argument that Wright puts forward is one supported by archaeological evidence in the form of a stone relief</w:t>
      </w:r>
      <w:r w:rsidR="00C52F59">
        <w:rPr>
          <w:rFonts w:ascii="Times New Roman" w:hAnsi="Times New Roman" w:cs="Times New Roman"/>
          <w:sz w:val="32"/>
          <w:szCs w:val="32"/>
        </w:rPr>
        <w:t>. This stone relie</w:t>
      </w:r>
      <w:r w:rsidR="00113C83">
        <w:rPr>
          <w:rFonts w:ascii="Times New Roman" w:hAnsi="Times New Roman" w:cs="Times New Roman"/>
          <w:sz w:val="32"/>
          <w:szCs w:val="32"/>
        </w:rPr>
        <w:t>f shows an “</w:t>
      </w:r>
      <w:r w:rsidR="00113C83" w:rsidRPr="00ED0C01">
        <w:rPr>
          <w:rFonts w:ascii="Times New Roman" w:hAnsi="Times New Roman" w:cs="Times New Roman"/>
          <w:i/>
          <w:iCs/>
          <w:sz w:val="32"/>
          <w:szCs w:val="32"/>
        </w:rPr>
        <w:t>Important man</w:t>
      </w:r>
      <w:r w:rsidR="00113C83">
        <w:rPr>
          <w:rFonts w:ascii="Times New Roman" w:hAnsi="Times New Roman" w:cs="Times New Roman"/>
          <w:sz w:val="32"/>
          <w:szCs w:val="32"/>
        </w:rPr>
        <w:t xml:space="preserve">” overseeing his workers which </w:t>
      </w:r>
      <w:r w:rsidR="00ED0C01">
        <w:rPr>
          <w:rFonts w:ascii="Times New Roman" w:hAnsi="Times New Roman" w:cs="Times New Roman"/>
          <w:sz w:val="32"/>
          <w:szCs w:val="32"/>
        </w:rPr>
        <w:t>supports Wright’s further statement that “</w:t>
      </w:r>
      <w:r w:rsidR="00ED0C01" w:rsidRPr="00ED0C01">
        <w:rPr>
          <w:rFonts w:ascii="Times New Roman" w:hAnsi="Times New Roman" w:cs="Times New Roman"/>
          <w:i/>
          <w:iCs/>
          <w:sz w:val="32"/>
          <w:szCs w:val="32"/>
        </w:rPr>
        <w:t>Minoan society was sex</w:t>
      </w:r>
      <w:r w:rsidR="00F52EC8">
        <w:rPr>
          <w:rFonts w:ascii="Times New Roman" w:hAnsi="Times New Roman" w:cs="Times New Roman"/>
          <w:i/>
          <w:iCs/>
          <w:sz w:val="32"/>
          <w:szCs w:val="32"/>
        </w:rPr>
        <w:t>-</w:t>
      </w:r>
      <w:r w:rsidR="00ED0C01" w:rsidRPr="00ED0C01">
        <w:rPr>
          <w:rFonts w:ascii="Times New Roman" w:hAnsi="Times New Roman" w:cs="Times New Roman"/>
          <w:i/>
          <w:iCs/>
          <w:sz w:val="32"/>
          <w:szCs w:val="32"/>
        </w:rPr>
        <w:t>segregated</w:t>
      </w:r>
      <w:r w:rsidR="00ED0C01">
        <w:rPr>
          <w:rFonts w:ascii="Times New Roman" w:hAnsi="Times New Roman" w:cs="Times New Roman"/>
          <w:sz w:val="32"/>
          <w:szCs w:val="32"/>
        </w:rPr>
        <w:t xml:space="preserve">”. </w:t>
      </w:r>
      <w:r w:rsidR="00982E7C">
        <w:rPr>
          <w:rFonts w:ascii="Times New Roman" w:hAnsi="Times New Roman" w:cs="Times New Roman"/>
          <w:sz w:val="32"/>
          <w:szCs w:val="32"/>
        </w:rPr>
        <w:t xml:space="preserve">However, Wright gives the reader a balanced view on these power differentials by stating that both men and women are represented in positions of power but that power is expressed in different ways, on the other hand just because both men and women are represented as such does not mean that this was </w:t>
      </w:r>
      <w:r w:rsidR="00F52EC8">
        <w:rPr>
          <w:rFonts w:ascii="Times New Roman" w:hAnsi="Times New Roman" w:cs="Times New Roman"/>
          <w:sz w:val="32"/>
          <w:szCs w:val="32"/>
        </w:rPr>
        <w:t xml:space="preserve">a </w:t>
      </w:r>
      <w:r w:rsidR="00982E7C">
        <w:rPr>
          <w:rFonts w:ascii="Times New Roman" w:hAnsi="Times New Roman" w:cs="Times New Roman"/>
          <w:sz w:val="32"/>
          <w:szCs w:val="32"/>
        </w:rPr>
        <w:t xml:space="preserve">true reflection for the </w:t>
      </w:r>
      <w:r w:rsidR="00702FE8">
        <w:rPr>
          <w:rFonts w:ascii="Times New Roman" w:hAnsi="Times New Roman" w:cs="Times New Roman"/>
          <w:sz w:val="32"/>
          <w:szCs w:val="32"/>
        </w:rPr>
        <w:t xml:space="preserve">society. Although Wright gives evidence that there are far fewer depictions of male deities. But the obvious power differentials in how human men and women are portrayed show that perhaps a </w:t>
      </w:r>
      <w:r w:rsidR="00702FE8" w:rsidRPr="00702FE8">
        <w:rPr>
          <w:rFonts w:ascii="Times New Roman" w:hAnsi="Times New Roman" w:cs="Times New Roman"/>
          <w:sz w:val="32"/>
          <w:szCs w:val="32"/>
        </w:rPr>
        <w:t xml:space="preserve">more </w:t>
      </w:r>
      <w:r w:rsidR="00702FE8" w:rsidRPr="00702FE8">
        <w:rPr>
          <w:rFonts w:ascii="Times New Roman" w:hAnsi="Times New Roman" w:cs="Times New Roman"/>
          <w:color w:val="222222"/>
          <w:sz w:val="32"/>
          <w:szCs w:val="32"/>
          <w:shd w:val="clear" w:color="auto" w:fill="FFFFFF"/>
        </w:rPr>
        <w:t>Patriarch</w:t>
      </w:r>
      <w:r w:rsidR="00702FE8" w:rsidRPr="00702FE8">
        <w:rPr>
          <w:rFonts w:ascii="Times New Roman" w:hAnsi="Times New Roman" w:cs="Times New Roman"/>
          <w:color w:val="222222"/>
          <w:sz w:val="32"/>
          <w:szCs w:val="32"/>
          <w:shd w:val="clear" w:color="auto" w:fill="FFFFFF"/>
        </w:rPr>
        <w:t xml:space="preserve">al </w:t>
      </w:r>
      <w:r w:rsidR="00702FE8" w:rsidRPr="00702FE8">
        <w:rPr>
          <w:rFonts w:ascii="Times New Roman" w:hAnsi="Times New Roman" w:cs="Times New Roman"/>
          <w:sz w:val="32"/>
          <w:szCs w:val="32"/>
        </w:rPr>
        <w:t>society</w:t>
      </w:r>
      <w:r w:rsidR="00702FE8">
        <w:rPr>
          <w:rFonts w:ascii="Times New Roman" w:hAnsi="Times New Roman" w:cs="Times New Roman"/>
          <w:sz w:val="32"/>
          <w:szCs w:val="32"/>
        </w:rPr>
        <w:t xml:space="preserve"> at work. </w:t>
      </w:r>
    </w:p>
    <w:p w14:paraId="6EB24D40" w14:textId="494A7926" w:rsidR="0078178D" w:rsidRDefault="0078178D">
      <w:pPr>
        <w:rPr>
          <w:rFonts w:ascii="Times New Roman" w:hAnsi="Times New Roman" w:cs="Times New Roman"/>
          <w:sz w:val="32"/>
          <w:szCs w:val="32"/>
        </w:rPr>
      </w:pPr>
    </w:p>
    <w:p w14:paraId="49168C08" w14:textId="0106F7F6" w:rsidR="0078178D" w:rsidRDefault="0078178D">
      <w:pPr>
        <w:rPr>
          <w:rFonts w:ascii="Times New Roman" w:hAnsi="Times New Roman" w:cs="Times New Roman"/>
          <w:sz w:val="32"/>
          <w:szCs w:val="32"/>
        </w:rPr>
      </w:pPr>
    </w:p>
    <w:p w14:paraId="03633ECF" w14:textId="116D45A6" w:rsidR="0078178D" w:rsidRDefault="0078178D">
      <w:pPr>
        <w:rPr>
          <w:rFonts w:ascii="Times New Roman" w:hAnsi="Times New Roman" w:cs="Times New Roman"/>
          <w:sz w:val="32"/>
          <w:szCs w:val="32"/>
        </w:rPr>
      </w:pPr>
    </w:p>
    <w:p w14:paraId="2815A3FE" w14:textId="614101B2" w:rsidR="0078178D" w:rsidRDefault="0078178D">
      <w:pPr>
        <w:rPr>
          <w:rFonts w:ascii="Times New Roman" w:hAnsi="Times New Roman" w:cs="Times New Roman"/>
          <w:sz w:val="32"/>
          <w:szCs w:val="32"/>
        </w:rPr>
      </w:pPr>
    </w:p>
    <w:p w14:paraId="15EB0573" w14:textId="743CC2F3" w:rsidR="0078178D" w:rsidRDefault="0078178D">
      <w:pPr>
        <w:rPr>
          <w:rFonts w:ascii="Times New Roman" w:hAnsi="Times New Roman" w:cs="Times New Roman"/>
          <w:sz w:val="32"/>
          <w:szCs w:val="32"/>
        </w:rPr>
      </w:pPr>
    </w:p>
    <w:p w14:paraId="5A0FCAA1" w14:textId="77777777" w:rsidR="0078178D" w:rsidRDefault="0078178D">
      <w:pPr>
        <w:rPr>
          <w:rFonts w:ascii="Times New Roman" w:hAnsi="Times New Roman" w:cs="Times New Roman"/>
          <w:sz w:val="32"/>
          <w:szCs w:val="32"/>
        </w:rPr>
      </w:pPr>
    </w:p>
    <w:p w14:paraId="57F11DED" w14:textId="2ADD6120" w:rsidR="00B44064" w:rsidRPr="00F32D5A" w:rsidRDefault="00B44412" w:rsidP="00B44064">
      <w:pPr>
        <w:rPr>
          <w:rFonts w:ascii="Times New Roman" w:hAnsi="Times New Roman" w:cs="Times New Roman"/>
          <w:color w:val="000000"/>
          <w:sz w:val="32"/>
          <w:szCs w:val="32"/>
          <w:shd w:val="clear" w:color="auto" w:fill="FFFFFF"/>
        </w:rPr>
      </w:pPr>
      <w:r w:rsidRPr="00F32D5A">
        <w:rPr>
          <w:rFonts w:ascii="Times New Roman" w:hAnsi="Times New Roman" w:cs="Times New Roman"/>
          <w:color w:val="000000"/>
          <w:sz w:val="32"/>
          <w:szCs w:val="32"/>
          <w:shd w:val="clear" w:color="auto" w:fill="FFFFFF"/>
        </w:rPr>
        <w:t xml:space="preserve">Budin, S., 2011. Images </w:t>
      </w:r>
      <w:r w:rsidRPr="00F32D5A">
        <w:rPr>
          <w:rFonts w:ascii="Times New Roman" w:hAnsi="Times New Roman" w:cs="Times New Roman"/>
          <w:color w:val="000000"/>
          <w:sz w:val="32"/>
          <w:szCs w:val="32"/>
          <w:shd w:val="clear" w:color="auto" w:fill="FFFFFF"/>
        </w:rPr>
        <w:t>of</w:t>
      </w:r>
      <w:r w:rsidRPr="00F32D5A">
        <w:rPr>
          <w:rFonts w:ascii="Times New Roman" w:hAnsi="Times New Roman" w:cs="Times New Roman"/>
          <w:color w:val="000000"/>
          <w:sz w:val="32"/>
          <w:szCs w:val="32"/>
          <w:shd w:val="clear" w:color="auto" w:fill="FFFFFF"/>
        </w:rPr>
        <w:t xml:space="preserve"> Woman </w:t>
      </w:r>
      <w:r w:rsidRPr="00F32D5A">
        <w:rPr>
          <w:rFonts w:ascii="Times New Roman" w:hAnsi="Times New Roman" w:cs="Times New Roman"/>
          <w:color w:val="000000"/>
          <w:sz w:val="32"/>
          <w:szCs w:val="32"/>
          <w:shd w:val="clear" w:color="auto" w:fill="FFFFFF"/>
        </w:rPr>
        <w:t>and</w:t>
      </w:r>
      <w:r w:rsidRPr="00F32D5A">
        <w:rPr>
          <w:rFonts w:ascii="Times New Roman" w:hAnsi="Times New Roman" w:cs="Times New Roman"/>
          <w:color w:val="000000"/>
          <w:sz w:val="32"/>
          <w:szCs w:val="32"/>
          <w:shd w:val="clear" w:color="auto" w:fill="FFFFFF"/>
        </w:rPr>
        <w:t xml:space="preserve"> Child </w:t>
      </w:r>
      <w:r w:rsidR="00AA4E3C" w:rsidRPr="00F32D5A">
        <w:rPr>
          <w:rFonts w:ascii="Times New Roman" w:hAnsi="Times New Roman" w:cs="Times New Roman"/>
          <w:color w:val="000000"/>
          <w:sz w:val="32"/>
          <w:szCs w:val="32"/>
          <w:shd w:val="clear" w:color="auto" w:fill="FFFFFF"/>
        </w:rPr>
        <w:t>from</w:t>
      </w:r>
      <w:r w:rsidRPr="00F32D5A">
        <w:rPr>
          <w:rFonts w:ascii="Times New Roman" w:hAnsi="Times New Roman" w:cs="Times New Roman"/>
          <w:color w:val="000000"/>
          <w:sz w:val="32"/>
          <w:szCs w:val="32"/>
          <w:shd w:val="clear" w:color="auto" w:fill="FFFFFF"/>
        </w:rPr>
        <w:t xml:space="preserve"> The Bronze Age: Reconsidering Fertility, Maternity, And Gender </w:t>
      </w:r>
      <w:r w:rsidR="00AA4E3C" w:rsidRPr="00F32D5A">
        <w:rPr>
          <w:rFonts w:ascii="Times New Roman" w:hAnsi="Times New Roman" w:cs="Times New Roman"/>
          <w:color w:val="000000"/>
          <w:sz w:val="32"/>
          <w:szCs w:val="32"/>
          <w:shd w:val="clear" w:color="auto" w:fill="FFFFFF"/>
        </w:rPr>
        <w:t>in</w:t>
      </w:r>
      <w:r w:rsidRPr="00F32D5A">
        <w:rPr>
          <w:rFonts w:ascii="Times New Roman" w:hAnsi="Times New Roman" w:cs="Times New Roman"/>
          <w:color w:val="000000"/>
          <w:sz w:val="32"/>
          <w:szCs w:val="32"/>
          <w:shd w:val="clear" w:color="auto" w:fill="FFFFFF"/>
        </w:rPr>
        <w:t xml:space="preserve"> The Ancient World. Cambridge University Press.</w:t>
      </w:r>
    </w:p>
    <w:p w14:paraId="09E3CBEA" w14:textId="70BAA46F" w:rsidR="0078178D" w:rsidRPr="00F32D5A" w:rsidRDefault="0078178D" w:rsidP="00B44064">
      <w:pPr>
        <w:rPr>
          <w:rFonts w:ascii="Times New Roman" w:hAnsi="Times New Roman" w:cs="Times New Roman"/>
          <w:color w:val="000000"/>
          <w:sz w:val="32"/>
          <w:szCs w:val="32"/>
          <w:shd w:val="clear" w:color="auto" w:fill="FFFFFF"/>
        </w:rPr>
      </w:pPr>
    </w:p>
    <w:p w14:paraId="434336C0" w14:textId="6466F307" w:rsidR="0076524A" w:rsidRPr="00F32D5A" w:rsidRDefault="0076524A" w:rsidP="00B44064">
      <w:pPr>
        <w:rPr>
          <w:rFonts w:ascii="Times New Roman" w:hAnsi="Times New Roman" w:cs="Times New Roman"/>
          <w:color w:val="000000"/>
          <w:sz w:val="32"/>
          <w:szCs w:val="32"/>
          <w:u w:val="single"/>
          <w:shd w:val="clear" w:color="auto" w:fill="FFFFFF"/>
        </w:rPr>
      </w:pPr>
      <w:r w:rsidRPr="00F32D5A">
        <w:rPr>
          <w:rFonts w:ascii="Times New Roman" w:hAnsi="Times New Roman" w:cs="Times New Roman"/>
          <w:color w:val="000000"/>
          <w:sz w:val="32"/>
          <w:szCs w:val="32"/>
          <w:u w:val="single"/>
          <w:shd w:val="clear" w:color="auto" w:fill="FFFFFF"/>
        </w:rPr>
        <w:t>Single Authored Text</w:t>
      </w:r>
    </w:p>
    <w:p w14:paraId="3A1EDC72" w14:textId="507709F7" w:rsidR="00702FE8" w:rsidRPr="00770A94" w:rsidRDefault="0095767F">
      <w:pPr>
        <w:rPr>
          <w:rFonts w:ascii="Times New Roman" w:hAnsi="Times New Roman" w:cs="Times New Roman"/>
          <w:sz w:val="32"/>
          <w:szCs w:val="32"/>
        </w:rPr>
      </w:pPr>
      <w:r w:rsidRPr="00F32D5A">
        <w:rPr>
          <w:rFonts w:ascii="Times New Roman" w:hAnsi="Times New Roman" w:cs="Times New Roman"/>
          <w:sz w:val="32"/>
          <w:szCs w:val="32"/>
        </w:rPr>
        <w:t xml:space="preserve">Published by </w:t>
      </w:r>
      <w:r w:rsidRPr="00F32D5A">
        <w:rPr>
          <w:rFonts w:ascii="Times New Roman" w:hAnsi="Times New Roman" w:cs="Times New Roman"/>
          <w:sz w:val="32"/>
          <w:szCs w:val="32"/>
          <w:shd w:val="clear" w:color="auto" w:fill="FFFFFF"/>
        </w:rPr>
        <w:t>Stephanie Lynn Budin</w:t>
      </w:r>
      <w:r w:rsidRPr="00F32D5A">
        <w:rPr>
          <w:rFonts w:ascii="Times New Roman" w:hAnsi="Times New Roman" w:cs="Times New Roman"/>
          <w:sz w:val="32"/>
          <w:szCs w:val="32"/>
          <w:shd w:val="clear" w:color="auto" w:fill="FFFFFF"/>
        </w:rPr>
        <w:t xml:space="preserve"> who received her PhD in Ancient History from the University</w:t>
      </w:r>
      <w:r w:rsidRPr="00B44064">
        <w:rPr>
          <w:rFonts w:ascii="Times New Roman" w:hAnsi="Times New Roman" w:cs="Times New Roman"/>
          <w:sz w:val="32"/>
          <w:szCs w:val="32"/>
          <w:shd w:val="clear" w:color="auto" w:fill="FFFFFF"/>
        </w:rPr>
        <w:t xml:space="preserve"> </w:t>
      </w:r>
      <w:r w:rsidR="00C024B1" w:rsidRPr="00B44064">
        <w:rPr>
          <w:rFonts w:ascii="Times New Roman" w:hAnsi="Times New Roman" w:cs="Times New Roman"/>
          <w:sz w:val="32"/>
          <w:szCs w:val="32"/>
          <w:shd w:val="clear" w:color="auto" w:fill="FFFFFF"/>
        </w:rPr>
        <w:t>of Pennsylvania this single</w:t>
      </w:r>
      <w:r w:rsidR="00025D38">
        <w:rPr>
          <w:rFonts w:ascii="Times New Roman" w:hAnsi="Times New Roman" w:cs="Times New Roman"/>
          <w:sz w:val="32"/>
          <w:szCs w:val="32"/>
          <w:shd w:val="clear" w:color="auto" w:fill="FFFFFF"/>
        </w:rPr>
        <w:t>-</w:t>
      </w:r>
      <w:r w:rsidR="00C024B1" w:rsidRPr="00B44064">
        <w:rPr>
          <w:rFonts w:ascii="Times New Roman" w:hAnsi="Times New Roman" w:cs="Times New Roman"/>
          <w:sz w:val="32"/>
          <w:szCs w:val="32"/>
          <w:shd w:val="clear" w:color="auto" w:fill="FFFFFF"/>
        </w:rPr>
        <w:t>authored text titled “</w:t>
      </w:r>
      <w:r w:rsidR="00C024B1" w:rsidRPr="00B44064">
        <w:rPr>
          <w:rFonts w:ascii="Times New Roman" w:eastAsia="Times New Roman" w:hAnsi="Times New Roman" w:cs="Times New Roman"/>
          <w:i/>
          <w:iCs/>
          <w:kern w:val="36"/>
          <w:sz w:val="32"/>
          <w:szCs w:val="32"/>
          <w:lang w:eastAsia="en-GB"/>
        </w:rPr>
        <w:t>Images of Woman and Child from the Bronze Age: Reconsidering Fertility, Maternity, and Gender in the Ancient World</w:t>
      </w:r>
      <w:r w:rsidR="00C024B1" w:rsidRPr="00B44064">
        <w:rPr>
          <w:rFonts w:ascii="Times New Roman" w:eastAsia="Times New Roman" w:hAnsi="Times New Roman" w:cs="Times New Roman"/>
          <w:kern w:val="36"/>
          <w:sz w:val="32"/>
          <w:szCs w:val="32"/>
          <w:lang w:eastAsia="en-GB"/>
        </w:rPr>
        <w:t xml:space="preserve">” Is an incredibly detailed look into women’s roles </w:t>
      </w:r>
      <w:r w:rsidR="001858E4" w:rsidRPr="00B44064">
        <w:rPr>
          <w:rFonts w:ascii="Times New Roman" w:eastAsia="Times New Roman" w:hAnsi="Times New Roman" w:cs="Times New Roman"/>
          <w:kern w:val="36"/>
          <w:sz w:val="32"/>
          <w:szCs w:val="32"/>
          <w:lang w:eastAsia="en-GB"/>
        </w:rPr>
        <w:t xml:space="preserve">in the Bronze age in Egypt, Levant and </w:t>
      </w:r>
      <w:r w:rsidR="00025D38">
        <w:rPr>
          <w:rFonts w:ascii="Times New Roman" w:eastAsia="Times New Roman" w:hAnsi="Times New Roman" w:cs="Times New Roman"/>
          <w:kern w:val="36"/>
          <w:sz w:val="32"/>
          <w:szCs w:val="32"/>
          <w:lang w:eastAsia="en-GB"/>
        </w:rPr>
        <w:t xml:space="preserve">the </w:t>
      </w:r>
      <w:r w:rsidR="001858E4" w:rsidRPr="00B44064">
        <w:rPr>
          <w:rFonts w:ascii="Times New Roman" w:eastAsia="Times New Roman" w:hAnsi="Times New Roman" w:cs="Times New Roman"/>
          <w:kern w:val="36"/>
          <w:sz w:val="32"/>
          <w:szCs w:val="32"/>
          <w:lang w:eastAsia="en-GB"/>
        </w:rPr>
        <w:t>Aegean as well as many other</w:t>
      </w:r>
      <w:r w:rsidR="00B9159D" w:rsidRPr="00B44064">
        <w:rPr>
          <w:rFonts w:ascii="Times New Roman" w:eastAsia="Times New Roman" w:hAnsi="Times New Roman" w:cs="Times New Roman"/>
          <w:kern w:val="36"/>
          <w:sz w:val="32"/>
          <w:szCs w:val="32"/>
          <w:lang w:eastAsia="en-GB"/>
        </w:rPr>
        <w:t xml:space="preserve">s allowing the reader to experience women’s place in society from multiple </w:t>
      </w:r>
      <w:r w:rsidR="00025D38" w:rsidRPr="00B44064">
        <w:rPr>
          <w:rFonts w:ascii="Times New Roman" w:eastAsia="Times New Roman" w:hAnsi="Times New Roman" w:cs="Times New Roman"/>
          <w:kern w:val="36"/>
          <w:sz w:val="32"/>
          <w:szCs w:val="32"/>
          <w:lang w:eastAsia="en-GB"/>
        </w:rPr>
        <w:t>viewpoints</w:t>
      </w:r>
      <w:r w:rsidR="00B9159D" w:rsidRPr="00B44064">
        <w:rPr>
          <w:rFonts w:ascii="Times New Roman" w:eastAsia="Times New Roman" w:hAnsi="Times New Roman" w:cs="Times New Roman"/>
          <w:kern w:val="36"/>
          <w:sz w:val="32"/>
          <w:szCs w:val="32"/>
          <w:lang w:eastAsia="en-GB"/>
        </w:rPr>
        <w:t xml:space="preserve"> providing valuable insight into multiple cultures attitudes</w:t>
      </w:r>
      <w:r w:rsidR="00025D38">
        <w:rPr>
          <w:rFonts w:ascii="Times New Roman" w:eastAsia="Times New Roman" w:hAnsi="Times New Roman" w:cs="Times New Roman"/>
          <w:kern w:val="36"/>
          <w:sz w:val="32"/>
          <w:szCs w:val="32"/>
          <w:lang w:eastAsia="en-GB"/>
        </w:rPr>
        <w:t xml:space="preserve"> to gender</w:t>
      </w:r>
      <w:r w:rsidR="00B9159D" w:rsidRPr="00B44064">
        <w:rPr>
          <w:rFonts w:ascii="Times New Roman" w:eastAsia="Times New Roman" w:hAnsi="Times New Roman" w:cs="Times New Roman"/>
          <w:kern w:val="36"/>
          <w:sz w:val="32"/>
          <w:szCs w:val="32"/>
          <w:lang w:eastAsia="en-GB"/>
        </w:rPr>
        <w:t>. In the text</w:t>
      </w:r>
      <w:r w:rsidR="00025D38">
        <w:rPr>
          <w:rFonts w:ascii="Times New Roman" w:eastAsia="Times New Roman" w:hAnsi="Times New Roman" w:cs="Times New Roman"/>
          <w:kern w:val="36"/>
          <w:sz w:val="32"/>
          <w:szCs w:val="32"/>
          <w:lang w:eastAsia="en-GB"/>
        </w:rPr>
        <w:t>,</w:t>
      </w:r>
      <w:r w:rsidR="00B9159D" w:rsidRPr="00B44064">
        <w:rPr>
          <w:rFonts w:ascii="Times New Roman" w:eastAsia="Times New Roman" w:hAnsi="Times New Roman" w:cs="Times New Roman"/>
          <w:kern w:val="36"/>
          <w:sz w:val="32"/>
          <w:szCs w:val="32"/>
          <w:lang w:eastAsia="en-GB"/>
        </w:rPr>
        <w:t xml:space="preserve"> Budin dismantles concepts like sex and gender to give the reader an unhindered view of women and society in the bronze age stating that “</w:t>
      </w:r>
      <w:r w:rsidR="00B9159D" w:rsidRPr="00B44064">
        <w:rPr>
          <w:rFonts w:ascii="Times New Roman" w:eastAsia="Times New Roman" w:hAnsi="Times New Roman" w:cs="Times New Roman"/>
          <w:i/>
          <w:iCs/>
          <w:kern w:val="36"/>
          <w:sz w:val="32"/>
          <w:szCs w:val="32"/>
          <w:lang w:eastAsia="en-GB"/>
        </w:rPr>
        <w:t xml:space="preserve">The relationship between </w:t>
      </w:r>
      <w:r w:rsidR="00EF1F9B" w:rsidRPr="00B44064">
        <w:rPr>
          <w:rFonts w:ascii="Times New Roman" w:eastAsia="Times New Roman" w:hAnsi="Times New Roman" w:cs="Times New Roman"/>
          <w:i/>
          <w:iCs/>
          <w:kern w:val="36"/>
          <w:sz w:val="32"/>
          <w:szCs w:val="32"/>
          <w:lang w:eastAsia="en-GB"/>
        </w:rPr>
        <w:t>“</w:t>
      </w:r>
      <w:r w:rsidR="00B9159D" w:rsidRPr="00B44064">
        <w:rPr>
          <w:rFonts w:ascii="Times New Roman" w:eastAsia="Times New Roman" w:hAnsi="Times New Roman" w:cs="Times New Roman"/>
          <w:i/>
          <w:iCs/>
          <w:kern w:val="36"/>
          <w:sz w:val="32"/>
          <w:szCs w:val="32"/>
          <w:lang w:eastAsia="en-GB"/>
        </w:rPr>
        <w:t>biological</w:t>
      </w:r>
      <w:r w:rsidR="00EF1F9B" w:rsidRPr="00B44064">
        <w:rPr>
          <w:rFonts w:ascii="Times New Roman" w:eastAsia="Times New Roman" w:hAnsi="Times New Roman" w:cs="Times New Roman"/>
          <w:i/>
          <w:iCs/>
          <w:kern w:val="36"/>
          <w:sz w:val="32"/>
          <w:szCs w:val="32"/>
          <w:lang w:eastAsia="en-GB"/>
        </w:rPr>
        <w:t>” sex and “cultural” gender ha</w:t>
      </w:r>
      <w:r w:rsidR="00025D38">
        <w:rPr>
          <w:rFonts w:ascii="Times New Roman" w:eastAsia="Times New Roman" w:hAnsi="Times New Roman" w:cs="Times New Roman"/>
          <w:i/>
          <w:iCs/>
          <w:kern w:val="36"/>
          <w:sz w:val="32"/>
          <w:szCs w:val="32"/>
          <w:lang w:eastAsia="en-GB"/>
        </w:rPr>
        <w:t xml:space="preserve">ve </w:t>
      </w:r>
      <w:r w:rsidR="00EF1F9B" w:rsidRPr="00B44064">
        <w:rPr>
          <w:rFonts w:ascii="Times New Roman" w:eastAsia="Times New Roman" w:hAnsi="Times New Roman" w:cs="Times New Roman"/>
          <w:i/>
          <w:iCs/>
          <w:kern w:val="36"/>
          <w:sz w:val="32"/>
          <w:szCs w:val="32"/>
          <w:lang w:eastAsia="en-GB"/>
        </w:rPr>
        <w:t>been problematized in the past several decades by</w:t>
      </w:r>
      <w:r w:rsidR="00B9159D" w:rsidRPr="00B44064">
        <w:rPr>
          <w:rFonts w:ascii="Times New Roman" w:eastAsia="Times New Roman" w:hAnsi="Times New Roman" w:cs="Times New Roman"/>
          <w:i/>
          <w:iCs/>
          <w:kern w:val="36"/>
          <w:sz w:val="32"/>
          <w:szCs w:val="32"/>
          <w:lang w:eastAsia="en-GB"/>
        </w:rPr>
        <w:t xml:space="preserve"> </w:t>
      </w:r>
      <w:r w:rsidR="00EF1F9B" w:rsidRPr="00B44064">
        <w:rPr>
          <w:rFonts w:ascii="Times New Roman" w:eastAsia="Times New Roman" w:hAnsi="Times New Roman" w:cs="Times New Roman"/>
          <w:i/>
          <w:iCs/>
          <w:kern w:val="36"/>
          <w:sz w:val="32"/>
          <w:szCs w:val="32"/>
          <w:lang w:eastAsia="en-GB"/>
        </w:rPr>
        <w:t>scholars</w:t>
      </w:r>
      <w:r w:rsidR="00B44064">
        <w:rPr>
          <w:rFonts w:ascii="Times New Roman" w:eastAsia="Times New Roman" w:hAnsi="Times New Roman" w:cs="Times New Roman"/>
          <w:kern w:val="36"/>
          <w:sz w:val="32"/>
          <w:szCs w:val="32"/>
          <w:lang w:eastAsia="en-GB"/>
        </w:rPr>
        <w:t xml:space="preserve">. </w:t>
      </w:r>
      <w:r w:rsidR="0078178D">
        <w:rPr>
          <w:rFonts w:ascii="Times New Roman" w:eastAsia="Times New Roman" w:hAnsi="Times New Roman" w:cs="Times New Roman"/>
          <w:kern w:val="36"/>
          <w:sz w:val="32"/>
          <w:szCs w:val="32"/>
          <w:lang w:eastAsia="en-GB"/>
        </w:rPr>
        <w:t>Not only this</w:t>
      </w:r>
      <w:r w:rsidR="00025D38">
        <w:rPr>
          <w:rFonts w:ascii="Times New Roman" w:eastAsia="Times New Roman" w:hAnsi="Times New Roman" w:cs="Times New Roman"/>
          <w:kern w:val="36"/>
          <w:sz w:val="32"/>
          <w:szCs w:val="32"/>
          <w:lang w:eastAsia="en-GB"/>
        </w:rPr>
        <w:t>, however,</w:t>
      </w:r>
      <w:r w:rsidR="0078178D">
        <w:rPr>
          <w:rFonts w:ascii="Times New Roman" w:eastAsia="Times New Roman" w:hAnsi="Times New Roman" w:cs="Times New Roman"/>
          <w:kern w:val="36"/>
          <w:sz w:val="32"/>
          <w:szCs w:val="32"/>
          <w:lang w:eastAsia="en-GB"/>
        </w:rPr>
        <w:t xml:space="preserve"> Budin also continues to provide a unique insight into the archaeological evidence often used as evidence for this topic stating “</w:t>
      </w:r>
      <w:r w:rsidR="0078178D" w:rsidRPr="00EF626A">
        <w:rPr>
          <w:rFonts w:ascii="Times New Roman" w:eastAsia="Times New Roman" w:hAnsi="Times New Roman" w:cs="Times New Roman"/>
          <w:i/>
          <w:iCs/>
          <w:kern w:val="36"/>
          <w:sz w:val="32"/>
          <w:szCs w:val="32"/>
          <w:lang w:eastAsia="en-GB"/>
        </w:rPr>
        <w:t>Asexual figures were often coded female</w:t>
      </w:r>
      <w:r w:rsidR="0078178D">
        <w:rPr>
          <w:rFonts w:ascii="Times New Roman" w:eastAsia="Times New Roman" w:hAnsi="Times New Roman" w:cs="Times New Roman"/>
          <w:kern w:val="36"/>
          <w:sz w:val="32"/>
          <w:szCs w:val="32"/>
          <w:lang w:eastAsia="en-GB"/>
        </w:rPr>
        <w:t xml:space="preserve">” </w:t>
      </w:r>
      <w:r w:rsidR="00EF626A">
        <w:rPr>
          <w:rFonts w:ascii="Times New Roman" w:eastAsia="Times New Roman" w:hAnsi="Times New Roman" w:cs="Times New Roman"/>
          <w:kern w:val="36"/>
          <w:sz w:val="32"/>
          <w:szCs w:val="32"/>
          <w:lang w:eastAsia="en-GB"/>
        </w:rPr>
        <w:t xml:space="preserve">Budin argues that by placing </w:t>
      </w:r>
      <w:r w:rsidR="00025D38">
        <w:rPr>
          <w:rFonts w:ascii="Times New Roman" w:eastAsia="Times New Roman" w:hAnsi="Times New Roman" w:cs="Times New Roman"/>
          <w:kern w:val="36"/>
          <w:sz w:val="32"/>
          <w:szCs w:val="32"/>
          <w:lang w:eastAsia="en-GB"/>
        </w:rPr>
        <w:t>gender on these figures diminishes their cultural value for the period, for example</w:t>
      </w:r>
      <w:r w:rsidR="00842DFD">
        <w:rPr>
          <w:rFonts w:ascii="Times New Roman" w:eastAsia="Times New Roman" w:hAnsi="Times New Roman" w:cs="Times New Roman"/>
          <w:kern w:val="36"/>
          <w:sz w:val="32"/>
          <w:szCs w:val="32"/>
          <w:lang w:eastAsia="en-GB"/>
        </w:rPr>
        <w:t xml:space="preserve"> </w:t>
      </w:r>
      <w:r w:rsidR="00025D38">
        <w:rPr>
          <w:rFonts w:ascii="Times New Roman" w:eastAsia="Times New Roman" w:hAnsi="Times New Roman" w:cs="Times New Roman"/>
          <w:kern w:val="36"/>
          <w:sz w:val="32"/>
          <w:szCs w:val="32"/>
          <w:lang w:eastAsia="en-GB"/>
        </w:rPr>
        <w:t xml:space="preserve"> asexual figures may also indicate an engendered construction of </w:t>
      </w:r>
      <w:r w:rsidR="00842DFD">
        <w:rPr>
          <w:rFonts w:ascii="Times New Roman" w:eastAsia="Times New Roman" w:hAnsi="Times New Roman" w:cs="Times New Roman"/>
          <w:kern w:val="36"/>
          <w:sz w:val="32"/>
          <w:szCs w:val="32"/>
          <w:lang w:eastAsia="en-GB"/>
        </w:rPr>
        <w:t xml:space="preserve">power for </w:t>
      </w:r>
      <w:bookmarkStart w:id="0" w:name="_GoBack"/>
      <w:bookmarkEnd w:id="0"/>
      <w:r w:rsidR="00025D38">
        <w:rPr>
          <w:rFonts w:ascii="Times New Roman" w:eastAsia="Times New Roman" w:hAnsi="Times New Roman" w:cs="Times New Roman"/>
          <w:kern w:val="36"/>
          <w:sz w:val="32"/>
          <w:szCs w:val="32"/>
          <w:lang w:eastAsia="en-GB"/>
        </w:rPr>
        <w:t>that society. Such insights would be valuable to a scholar examining women in the Aegean Bronze Age as they would most likely be examining archaeological evidence like this.</w:t>
      </w:r>
      <w:r w:rsidR="0076524A">
        <w:rPr>
          <w:rFonts w:ascii="Times New Roman" w:eastAsia="Times New Roman" w:hAnsi="Times New Roman" w:cs="Times New Roman"/>
          <w:kern w:val="36"/>
          <w:sz w:val="32"/>
          <w:szCs w:val="32"/>
          <w:lang w:eastAsia="en-GB"/>
        </w:rPr>
        <w:t xml:space="preserve"> </w:t>
      </w:r>
    </w:p>
    <w:sectPr w:rsidR="00702FE8" w:rsidRPr="00770A94">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90C9B2" w14:textId="77777777" w:rsidR="00F717B0" w:rsidRDefault="00F717B0" w:rsidP="00FB1ABD">
      <w:pPr>
        <w:spacing w:after="0" w:line="240" w:lineRule="auto"/>
      </w:pPr>
      <w:r>
        <w:separator/>
      </w:r>
    </w:p>
  </w:endnote>
  <w:endnote w:type="continuationSeparator" w:id="0">
    <w:p w14:paraId="0A25348A" w14:textId="77777777" w:rsidR="00F717B0" w:rsidRDefault="00F717B0" w:rsidP="00FB1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8461681"/>
      <w:docPartObj>
        <w:docPartGallery w:val="Page Numbers (Bottom of Page)"/>
        <w:docPartUnique/>
      </w:docPartObj>
    </w:sdtPr>
    <w:sdtEndPr>
      <w:rPr>
        <w:noProof/>
      </w:rPr>
    </w:sdtEndPr>
    <w:sdtContent>
      <w:p w14:paraId="0A0F4583" w14:textId="6937ED66" w:rsidR="00F32D5A" w:rsidRDefault="00F32D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184953" w14:textId="77777777" w:rsidR="00F32D5A" w:rsidRDefault="00F32D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1E2C3F" w14:textId="77777777" w:rsidR="00F717B0" w:rsidRDefault="00F717B0" w:rsidP="00FB1ABD">
      <w:pPr>
        <w:spacing w:after="0" w:line="240" w:lineRule="auto"/>
      </w:pPr>
      <w:r>
        <w:separator/>
      </w:r>
    </w:p>
  </w:footnote>
  <w:footnote w:type="continuationSeparator" w:id="0">
    <w:p w14:paraId="4588E445" w14:textId="77777777" w:rsidR="00F717B0" w:rsidRDefault="00F717B0" w:rsidP="00FB1A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48B8AD" w14:textId="34C6DB46" w:rsidR="00FB1ABD" w:rsidRDefault="00FB1ABD">
    <w:pPr>
      <w:pStyle w:val="Header"/>
    </w:pPr>
    <w:r>
      <w:t>Emily Vaughan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C2MDUzNzU3MzMyNDJU0lEKTi0uzszPAykwrgUAktqxOSwAAAA="/>
  </w:docVars>
  <w:rsids>
    <w:rsidRoot w:val="00AA6F77"/>
    <w:rsid w:val="00023EE7"/>
    <w:rsid w:val="00025D38"/>
    <w:rsid w:val="000C78BF"/>
    <w:rsid w:val="000D67DA"/>
    <w:rsid w:val="00113C83"/>
    <w:rsid w:val="00125D60"/>
    <w:rsid w:val="001858E4"/>
    <w:rsid w:val="002315BC"/>
    <w:rsid w:val="002C2118"/>
    <w:rsid w:val="0033193F"/>
    <w:rsid w:val="00395123"/>
    <w:rsid w:val="003C2491"/>
    <w:rsid w:val="00456471"/>
    <w:rsid w:val="004C1A4A"/>
    <w:rsid w:val="00577EDF"/>
    <w:rsid w:val="005C4C19"/>
    <w:rsid w:val="005F3823"/>
    <w:rsid w:val="00657FA5"/>
    <w:rsid w:val="00702FE8"/>
    <w:rsid w:val="0072386E"/>
    <w:rsid w:val="0076524A"/>
    <w:rsid w:val="00770A94"/>
    <w:rsid w:val="0078178D"/>
    <w:rsid w:val="007D2B71"/>
    <w:rsid w:val="00842DFD"/>
    <w:rsid w:val="008758D4"/>
    <w:rsid w:val="008B5E45"/>
    <w:rsid w:val="009324E7"/>
    <w:rsid w:val="0095767F"/>
    <w:rsid w:val="00963333"/>
    <w:rsid w:val="00982E7C"/>
    <w:rsid w:val="00A36EB8"/>
    <w:rsid w:val="00AA4E3C"/>
    <w:rsid w:val="00AA6F77"/>
    <w:rsid w:val="00B03E0D"/>
    <w:rsid w:val="00B44064"/>
    <w:rsid w:val="00B44412"/>
    <w:rsid w:val="00B579B6"/>
    <w:rsid w:val="00B84258"/>
    <w:rsid w:val="00B9159D"/>
    <w:rsid w:val="00C024B1"/>
    <w:rsid w:val="00C05B1D"/>
    <w:rsid w:val="00C32895"/>
    <w:rsid w:val="00C52F59"/>
    <w:rsid w:val="00C641A7"/>
    <w:rsid w:val="00C83460"/>
    <w:rsid w:val="00C96D90"/>
    <w:rsid w:val="00CA2892"/>
    <w:rsid w:val="00CC19B0"/>
    <w:rsid w:val="00CE3DD0"/>
    <w:rsid w:val="00D073C7"/>
    <w:rsid w:val="00D63AEA"/>
    <w:rsid w:val="00DD0082"/>
    <w:rsid w:val="00ED0C01"/>
    <w:rsid w:val="00ED6DD6"/>
    <w:rsid w:val="00EF1F9B"/>
    <w:rsid w:val="00EF626A"/>
    <w:rsid w:val="00F3297D"/>
    <w:rsid w:val="00F32D5A"/>
    <w:rsid w:val="00F52EC8"/>
    <w:rsid w:val="00F717B0"/>
    <w:rsid w:val="00F77B68"/>
    <w:rsid w:val="00FA5691"/>
    <w:rsid w:val="00FB1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9D909"/>
  <w15:chartTrackingRefBased/>
  <w15:docId w15:val="{D67124DA-E0EB-4DEE-BAA3-AFB2C5341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1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FB1AB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B1ABD"/>
    <w:rPr>
      <w:rFonts w:eastAsiaTheme="minorEastAsia"/>
      <w:color w:val="5A5A5A" w:themeColor="text1" w:themeTint="A5"/>
      <w:spacing w:val="15"/>
    </w:rPr>
  </w:style>
  <w:style w:type="paragraph" w:styleId="Header">
    <w:name w:val="header"/>
    <w:basedOn w:val="Normal"/>
    <w:link w:val="HeaderChar"/>
    <w:uiPriority w:val="99"/>
    <w:unhideWhenUsed/>
    <w:rsid w:val="00FB1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ABD"/>
  </w:style>
  <w:style w:type="paragraph" w:styleId="Footer">
    <w:name w:val="footer"/>
    <w:basedOn w:val="Normal"/>
    <w:link w:val="FooterChar"/>
    <w:uiPriority w:val="99"/>
    <w:unhideWhenUsed/>
    <w:rsid w:val="00FB1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ABD"/>
  </w:style>
  <w:style w:type="character" w:customStyle="1" w:styleId="Heading1Char">
    <w:name w:val="Heading 1 Char"/>
    <w:basedOn w:val="DefaultParagraphFont"/>
    <w:link w:val="Heading1"/>
    <w:uiPriority w:val="9"/>
    <w:rsid w:val="00C641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641A7"/>
  </w:style>
  <w:style w:type="character" w:styleId="Emphasis">
    <w:name w:val="Emphasis"/>
    <w:basedOn w:val="DefaultParagraphFont"/>
    <w:uiPriority w:val="20"/>
    <w:qFormat/>
    <w:rsid w:val="005F3823"/>
    <w:rPr>
      <w:i/>
      <w:iCs/>
    </w:rPr>
  </w:style>
  <w:style w:type="character" w:styleId="Hyperlink">
    <w:name w:val="Hyperlink"/>
    <w:basedOn w:val="DefaultParagraphFont"/>
    <w:uiPriority w:val="99"/>
    <w:semiHidden/>
    <w:unhideWhenUsed/>
    <w:rsid w:val="005F3823"/>
    <w:rPr>
      <w:color w:val="0000FF"/>
      <w:u w:val="single"/>
    </w:rPr>
  </w:style>
  <w:style w:type="character" w:customStyle="1" w:styleId="fn">
    <w:name w:val="fn"/>
    <w:basedOn w:val="DefaultParagraphFont"/>
    <w:rsid w:val="00C024B1"/>
  </w:style>
  <w:style w:type="character" w:customStyle="1" w:styleId="subtitle0">
    <w:name w:val="subtitle"/>
    <w:basedOn w:val="DefaultParagraphFont"/>
    <w:rsid w:val="00C024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217013">
      <w:bodyDiv w:val="1"/>
      <w:marLeft w:val="0"/>
      <w:marRight w:val="0"/>
      <w:marTop w:val="0"/>
      <w:marBottom w:val="0"/>
      <w:divBdr>
        <w:top w:val="none" w:sz="0" w:space="0" w:color="auto"/>
        <w:left w:val="none" w:sz="0" w:space="0" w:color="auto"/>
        <w:bottom w:val="none" w:sz="0" w:space="0" w:color="auto"/>
        <w:right w:val="none" w:sz="0" w:space="0" w:color="auto"/>
      </w:divBdr>
    </w:div>
    <w:div w:id="597714253">
      <w:bodyDiv w:val="1"/>
      <w:marLeft w:val="0"/>
      <w:marRight w:val="0"/>
      <w:marTop w:val="0"/>
      <w:marBottom w:val="0"/>
      <w:divBdr>
        <w:top w:val="none" w:sz="0" w:space="0" w:color="auto"/>
        <w:left w:val="none" w:sz="0" w:space="0" w:color="auto"/>
        <w:bottom w:val="none" w:sz="0" w:space="0" w:color="auto"/>
        <w:right w:val="none" w:sz="0" w:space="0" w:color="auto"/>
      </w:divBdr>
    </w:div>
    <w:div w:id="848759115">
      <w:bodyDiv w:val="1"/>
      <w:marLeft w:val="0"/>
      <w:marRight w:val="0"/>
      <w:marTop w:val="0"/>
      <w:marBottom w:val="0"/>
      <w:divBdr>
        <w:top w:val="none" w:sz="0" w:space="0" w:color="auto"/>
        <w:left w:val="none" w:sz="0" w:space="0" w:color="auto"/>
        <w:bottom w:val="none" w:sz="0" w:space="0" w:color="auto"/>
        <w:right w:val="none" w:sz="0" w:space="0" w:color="auto"/>
      </w:divBdr>
    </w:div>
    <w:div w:id="920140711">
      <w:bodyDiv w:val="1"/>
      <w:marLeft w:val="0"/>
      <w:marRight w:val="0"/>
      <w:marTop w:val="0"/>
      <w:marBottom w:val="0"/>
      <w:divBdr>
        <w:top w:val="none" w:sz="0" w:space="0" w:color="auto"/>
        <w:left w:val="none" w:sz="0" w:space="0" w:color="auto"/>
        <w:bottom w:val="none" w:sz="0" w:space="0" w:color="auto"/>
        <w:right w:val="none" w:sz="0" w:space="0" w:color="auto"/>
      </w:divBdr>
    </w:div>
    <w:div w:id="921836685">
      <w:bodyDiv w:val="1"/>
      <w:marLeft w:val="0"/>
      <w:marRight w:val="0"/>
      <w:marTop w:val="0"/>
      <w:marBottom w:val="0"/>
      <w:divBdr>
        <w:top w:val="none" w:sz="0" w:space="0" w:color="auto"/>
        <w:left w:val="none" w:sz="0" w:space="0" w:color="auto"/>
        <w:bottom w:val="none" w:sz="0" w:space="0" w:color="auto"/>
        <w:right w:val="none" w:sz="0" w:space="0" w:color="auto"/>
      </w:divBdr>
    </w:div>
    <w:div w:id="1481581336">
      <w:bodyDiv w:val="1"/>
      <w:marLeft w:val="0"/>
      <w:marRight w:val="0"/>
      <w:marTop w:val="0"/>
      <w:marBottom w:val="0"/>
      <w:divBdr>
        <w:top w:val="none" w:sz="0" w:space="0" w:color="auto"/>
        <w:left w:val="none" w:sz="0" w:space="0" w:color="auto"/>
        <w:bottom w:val="none" w:sz="0" w:space="0" w:color="auto"/>
        <w:right w:val="none" w:sz="0" w:space="0" w:color="auto"/>
      </w:divBdr>
    </w:div>
    <w:div w:id="1620188310">
      <w:bodyDiv w:val="1"/>
      <w:marLeft w:val="0"/>
      <w:marRight w:val="0"/>
      <w:marTop w:val="0"/>
      <w:marBottom w:val="0"/>
      <w:divBdr>
        <w:top w:val="none" w:sz="0" w:space="0" w:color="auto"/>
        <w:left w:val="none" w:sz="0" w:space="0" w:color="auto"/>
        <w:bottom w:val="none" w:sz="0" w:space="0" w:color="auto"/>
        <w:right w:val="none" w:sz="0" w:space="0" w:color="auto"/>
      </w:divBdr>
    </w:div>
    <w:div w:id="1825506968">
      <w:bodyDiv w:val="1"/>
      <w:marLeft w:val="0"/>
      <w:marRight w:val="0"/>
      <w:marTop w:val="0"/>
      <w:marBottom w:val="0"/>
      <w:divBdr>
        <w:top w:val="none" w:sz="0" w:space="0" w:color="auto"/>
        <w:left w:val="none" w:sz="0" w:space="0" w:color="auto"/>
        <w:bottom w:val="none" w:sz="0" w:space="0" w:color="auto"/>
        <w:right w:val="none" w:sz="0" w:space="0" w:color="auto"/>
      </w:divBdr>
    </w:div>
    <w:div w:id="1878662325">
      <w:bodyDiv w:val="1"/>
      <w:marLeft w:val="0"/>
      <w:marRight w:val="0"/>
      <w:marTop w:val="0"/>
      <w:marBottom w:val="0"/>
      <w:divBdr>
        <w:top w:val="none" w:sz="0" w:space="0" w:color="auto"/>
        <w:left w:val="none" w:sz="0" w:space="0" w:color="auto"/>
        <w:bottom w:val="none" w:sz="0" w:space="0" w:color="auto"/>
        <w:right w:val="none" w:sz="0" w:space="0" w:color="auto"/>
      </w:divBdr>
    </w:div>
    <w:div w:id="2102946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Harvard_University" TargetMode="External"/><Relationship Id="rId3" Type="http://schemas.openxmlformats.org/officeDocument/2006/relationships/settings" Target="settings.xml"/><Relationship Id="rId7" Type="http://schemas.openxmlformats.org/officeDocument/2006/relationships/hyperlink" Target="http://www.brynmawr.edu/gradgroup/historyofar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Bar88</b:Tag>
    <b:SourceType>JournalArticle</b:SourceType>
    <b:Guid>{FE3EA290-81F5-4C15-80DD-1B388660A536}</b:Guid>
    <b:Title>Women, Children and the Family in the Late Aegean Bronze Age: Differences in Minoan and Mycenaean Constructions of Gender</b:Title>
    <b:Year>1988</b:Year>
    <b:Author>
      <b:Author>
        <b:NameList>
          <b:Person>
            <b:Last>Olsen</b:Last>
            <b:First>Barbara</b:First>
            <b:Middle>A.</b:Middle>
          </b:Person>
        </b:NameList>
      </b:Author>
    </b:Author>
    <b:JournalName>JSTOR</b:JournalName>
    <b:Pages>13</b:Pages>
    <b:Volume>29</b:Volume>
    <b:Issue>No.3</b:Issue>
    <b:RefOrder>1</b:RefOrder>
  </b:Source>
</b:Sources>
</file>

<file path=customXml/itemProps1.xml><?xml version="1.0" encoding="utf-8"?>
<ds:datastoreItem xmlns:ds="http://schemas.openxmlformats.org/officeDocument/2006/customXml" ds:itemID="{4AA954FD-C81F-47CA-9B6D-4B98F2E0F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2366</TotalTime>
  <Pages>4</Pages>
  <Words>1001</Words>
  <Characters>5709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39</cp:revision>
  <dcterms:created xsi:type="dcterms:W3CDTF">2020-04-03T11:07:00Z</dcterms:created>
  <dcterms:modified xsi:type="dcterms:W3CDTF">2020-04-09T17:49:00Z</dcterms:modified>
</cp:coreProperties>
</file>