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BCD40" w14:textId="5E23F166" w:rsidR="00F915B1" w:rsidRDefault="00B9361C" w:rsidP="00957986">
      <w:pPr>
        <w:pStyle w:val="Title"/>
        <w:jc w:val="center"/>
      </w:pPr>
      <w:r>
        <w:t xml:space="preserve">Calculating the oxygen balance </w:t>
      </w:r>
      <w:r w:rsidR="0091185C">
        <w:t xml:space="preserve">and performance of </w:t>
      </w:r>
      <w:r w:rsidR="00C32038">
        <w:t xml:space="preserve">a mixed explosive from defined parameters </w:t>
      </w:r>
    </w:p>
    <w:p w14:paraId="2CF6F775" w14:textId="720B9AE5" w:rsidR="00403C0B" w:rsidRDefault="00403C0B" w:rsidP="00957986">
      <w:pPr>
        <w:pStyle w:val="Title"/>
        <w:jc w:val="center"/>
      </w:pPr>
      <w:r>
        <w:t>ACDA</w:t>
      </w:r>
      <w:r w:rsidR="00B9361C">
        <w:t xml:space="preserve"> 4019</w:t>
      </w:r>
    </w:p>
    <w:p w14:paraId="165DDE58" w14:textId="598A62A3" w:rsidR="00F915B1" w:rsidRDefault="00F915B1" w:rsidP="00957986">
      <w:pPr>
        <w:pStyle w:val="Title"/>
        <w:jc w:val="center"/>
      </w:pPr>
      <w:r>
        <w:t>2307750</w:t>
      </w:r>
    </w:p>
    <w:p w14:paraId="53406B98" w14:textId="4C2DDC01" w:rsidR="00A6020B" w:rsidRDefault="00A6020B" w:rsidP="00957986">
      <w:pPr>
        <w:pStyle w:val="Title"/>
        <w:jc w:val="center"/>
      </w:pPr>
      <w:r>
        <w:t>Dan</w:t>
      </w:r>
      <w:r w:rsidR="000A7061">
        <w:t>iel</w:t>
      </w:r>
      <w:r>
        <w:t xml:space="preserve"> Cowen</w:t>
      </w:r>
    </w:p>
    <w:p w14:paraId="5294899B" w14:textId="438194B2" w:rsidR="00E25D04" w:rsidRDefault="00957986" w:rsidP="00957986">
      <w:pPr>
        <w:pStyle w:val="Title"/>
        <w:jc w:val="center"/>
      </w:pPr>
      <w:r>
        <w:t>1</w:t>
      </w:r>
      <w:r w:rsidR="00900E2B">
        <w:t>8</w:t>
      </w:r>
      <w:r>
        <w:t>/</w:t>
      </w:r>
      <w:r w:rsidR="00900E2B">
        <w:t>7</w:t>
      </w:r>
      <w:r>
        <w:t>/202</w:t>
      </w:r>
      <w:r w:rsidR="00900E2B">
        <w:t>5</w:t>
      </w:r>
    </w:p>
    <w:p w14:paraId="38DE99D6" w14:textId="3421473D" w:rsidR="00E25D04" w:rsidRDefault="00E25D04" w:rsidP="00957986">
      <w:pPr>
        <w:jc w:val="center"/>
      </w:pPr>
      <w:r>
        <w:br w:type="page"/>
      </w:r>
    </w:p>
    <w:bookmarkStart w:id="0" w:name="_Toc203033553" w:displacedByCustomXml="next"/>
    <w:sdt>
      <w:sdtPr>
        <w:rPr>
          <w:rFonts w:asciiTheme="minorHAnsi" w:eastAsiaTheme="minorHAnsi" w:hAnsiTheme="minorHAnsi" w:cstheme="minorBidi"/>
          <w:color w:val="auto"/>
          <w:sz w:val="22"/>
          <w:szCs w:val="22"/>
        </w:rPr>
        <w:id w:val="-1744330149"/>
        <w:docPartObj>
          <w:docPartGallery w:val="Table of Contents"/>
          <w:docPartUnique/>
        </w:docPartObj>
      </w:sdtPr>
      <w:sdtEndPr>
        <w:rPr>
          <w:b/>
          <w:bCs/>
          <w:noProof/>
        </w:rPr>
      </w:sdtEndPr>
      <w:sdtContent>
        <w:p w14:paraId="4EC0853A" w14:textId="2FEDAC9E" w:rsidR="00E25D04" w:rsidRDefault="00E25D04" w:rsidP="00E25D04">
          <w:pPr>
            <w:pStyle w:val="Heading1"/>
            <w:jc w:val="both"/>
          </w:pPr>
          <w:r>
            <w:t>Contents</w:t>
          </w:r>
          <w:bookmarkEnd w:id="0"/>
        </w:p>
        <w:p w14:paraId="225B2C50" w14:textId="414EC86C" w:rsidR="00DE02FE" w:rsidRDefault="00E25D0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03033553" w:history="1">
            <w:r w:rsidR="00DE02FE" w:rsidRPr="00FD2F20">
              <w:rPr>
                <w:rStyle w:val="Hyperlink"/>
                <w:noProof/>
              </w:rPr>
              <w:t>1</w:t>
            </w:r>
            <w:r w:rsidR="00DE02FE">
              <w:rPr>
                <w:rFonts w:eastAsiaTheme="minorEastAsia"/>
                <w:noProof/>
                <w:kern w:val="2"/>
                <w:sz w:val="24"/>
                <w:szCs w:val="24"/>
                <w:lang w:eastAsia="en-GB"/>
                <w14:ligatures w14:val="standardContextual"/>
              </w:rPr>
              <w:tab/>
            </w:r>
            <w:r w:rsidR="00DE02FE" w:rsidRPr="00FD2F20">
              <w:rPr>
                <w:rStyle w:val="Hyperlink"/>
                <w:noProof/>
              </w:rPr>
              <w:t>Contents</w:t>
            </w:r>
            <w:r w:rsidR="00DE02FE">
              <w:rPr>
                <w:noProof/>
                <w:webHidden/>
              </w:rPr>
              <w:tab/>
            </w:r>
            <w:r w:rsidR="00DE02FE">
              <w:rPr>
                <w:noProof/>
                <w:webHidden/>
              </w:rPr>
              <w:fldChar w:fldCharType="begin"/>
            </w:r>
            <w:r w:rsidR="00DE02FE">
              <w:rPr>
                <w:noProof/>
                <w:webHidden/>
              </w:rPr>
              <w:instrText xml:space="preserve"> PAGEREF _Toc203033553 \h </w:instrText>
            </w:r>
            <w:r w:rsidR="00DE02FE">
              <w:rPr>
                <w:noProof/>
                <w:webHidden/>
              </w:rPr>
            </w:r>
            <w:r w:rsidR="00DE02FE">
              <w:rPr>
                <w:noProof/>
                <w:webHidden/>
              </w:rPr>
              <w:fldChar w:fldCharType="separate"/>
            </w:r>
            <w:r w:rsidR="00DE02FE">
              <w:rPr>
                <w:noProof/>
                <w:webHidden/>
              </w:rPr>
              <w:t>2</w:t>
            </w:r>
            <w:r w:rsidR="00DE02FE">
              <w:rPr>
                <w:noProof/>
                <w:webHidden/>
              </w:rPr>
              <w:fldChar w:fldCharType="end"/>
            </w:r>
          </w:hyperlink>
        </w:p>
        <w:p w14:paraId="1EBFAD37" w14:textId="568FEE6E" w:rsidR="00DE02FE" w:rsidRDefault="00DE02FE">
          <w:pPr>
            <w:pStyle w:val="TOC1"/>
            <w:tabs>
              <w:tab w:val="left" w:pos="440"/>
              <w:tab w:val="right" w:leader="dot" w:pos="9016"/>
            </w:tabs>
            <w:rPr>
              <w:rFonts w:eastAsiaTheme="minorEastAsia"/>
              <w:noProof/>
              <w:kern w:val="2"/>
              <w:sz w:val="24"/>
              <w:szCs w:val="24"/>
              <w:lang w:eastAsia="en-GB"/>
              <w14:ligatures w14:val="standardContextual"/>
            </w:rPr>
          </w:pPr>
          <w:hyperlink w:anchor="_Toc203033554" w:history="1">
            <w:r w:rsidRPr="00FD2F20">
              <w:rPr>
                <w:rStyle w:val="Hyperlink"/>
                <w:noProof/>
              </w:rPr>
              <w:t>2</w:t>
            </w:r>
            <w:r>
              <w:rPr>
                <w:rFonts w:eastAsiaTheme="minorEastAsia"/>
                <w:noProof/>
                <w:kern w:val="2"/>
                <w:sz w:val="24"/>
                <w:szCs w:val="24"/>
                <w:lang w:eastAsia="en-GB"/>
                <w14:ligatures w14:val="standardContextual"/>
              </w:rPr>
              <w:tab/>
            </w:r>
            <w:r w:rsidRPr="00FD2F20">
              <w:rPr>
                <w:rStyle w:val="Hyperlink"/>
                <w:noProof/>
              </w:rPr>
              <w:t>Table of figures</w:t>
            </w:r>
            <w:r>
              <w:rPr>
                <w:noProof/>
                <w:webHidden/>
              </w:rPr>
              <w:tab/>
            </w:r>
            <w:r>
              <w:rPr>
                <w:noProof/>
                <w:webHidden/>
              </w:rPr>
              <w:fldChar w:fldCharType="begin"/>
            </w:r>
            <w:r>
              <w:rPr>
                <w:noProof/>
                <w:webHidden/>
              </w:rPr>
              <w:instrText xml:space="preserve"> PAGEREF _Toc203033554 \h </w:instrText>
            </w:r>
            <w:r>
              <w:rPr>
                <w:noProof/>
                <w:webHidden/>
              </w:rPr>
            </w:r>
            <w:r>
              <w:rPr>
                <w:noProof/>
                <w:webHidden/>
              </w:rPr>
              <w:fldChar w:fldCharType="separate"/>
            </w:r>
            <w:r>
              <w:rPr>
                <w:noProof/>
                <w:webHidden/>
              </w:rPr>
              <w:t>2</w:t>
            </w:r>
            <w:r>
              <w:rPr>
                <w:noProof/>
                <w:webHidden/>
              </w:rPr>
              <w:fldChar w:fldCharType="end"/>
            </w:r>
          </w:hyperlink>
        </w:p>
        <w:p w14:paraId="3A64DAA4" w14:textId="180105C5" w:rsidR="00DE02FE" w:rsidRDefault="00DE02FE">
          <w:pPr>
            <w:pStyle w:val="TOC1"/>
            <w:tabs>
              <w:tab w:val="left" w:pos="440"/>
              <w:tab w:val="right" w:leader="dot" w:pos="9016"/>
            </w:tabs>
            <w:rPr>
              <w:rFonts w:eastAsiaTheme="minorEastAsia"/>
              <w:noProof/>
              <w:kern w:val="2"/>
              <w:sz w:val="24"/>
              <w:szCs w:val="24"/>
              <w:lang w:eastAsia="en-GB"/>
              <w14:ligatures w14:val="standardContextual"/>
            </w:rPr>
          </w:pPr>
          <w:hyperlink w:anchor="_Toc203033555" w:history="1">
            <w:r w:rsidRPr="00FD2F20">
              <w:rPr>
                <w:rStyle w:val="Hyperlink"/>
                <w:noProof/>
              </w:rPr>
              <w:t>3</w:t>
            </w:r>
            <w:r>
              <w:rPr>
                <w:rFonts w:eastAsiaTheme="minorEastAsia"/>
                <w:noProof/>
                <w:kern w:val="2"/>
                <w:sz w:val="24"/>
                <w:szCs w:val="24"/>
                <w:lang w:eastAsia="en-GB"/>
                <w14:ligatures w14:val="standardContextual"/>
              </w:rPr>
              <w:tab/>
            </w:r>
            <w:r w:rsidRPr="00FD2F20">
              <w:rPr>
                <w:rStyle w:val="Hyperlink"/>
                <w:noProof/>
              </w:rPr>
              <w:t>Table of tables</w:t>
            </w:r>
            <w:r>
              <w:rPr>
                <w:noProof/>
                <w:webHidden/>
              </w:rPr>
              <w:tab/>
            </w:r>
            <w:r>
              <w:rPr>
                <w:noProof/>
                <w:webHidden/>
              </w:rPr>
              <w:fldChar w:fldCharType="begin"/>
            </w:r>
            <w:r>
              <w:rPr>
                <w:noProof/>
                <w:webHidden/>
              </w:rPr>
              <w:instrText xml:space="preserve"> PAGEREF _Toc203033555 \h </w:instrText>
            </w:r>
            <w:r>
              <w:rPr>
                <w:noProof/>
                <w:webHidden/>
              </w:rPr>
            </w:r>
            <w:r>
              <w:rPr>
                <w:noProof/>
                <w:webHidden/>
              </w:rPr>
              <w:fldChar w:fldCharType="separate"/>
            </w:r>
            <w:r>
              <w:rPr>
                <w:noProof/>
                <w:webHidden/>
              </w:rPr>
              <w:t>2</w:t>
            </w:r>
            <w:r>
              <w:rPr>
                <w:noProof/>
                <w:webHidden/>
              </w:rPr>
              <w:fldChar w:fldCharType="end"/>
            </w:r>
          </w:hyperlink>
        </w:p>
        <w:p w14:paraId="4A24A03E" w14:textId="3DE9C53C" w:rsidR="00DE02FE" w:rsidRDefault="00DE02FE">
          <w:pPr>
            <w:pStyle w:val="TOC1"/>
            <w:tabs>
              <w:tab w:val="left" w:pos="440"/>
              <w:tab w:val="right" w:leader="dot" w:pos="9016"/>
            </w:tabs>
            <w:rPr>
              <w:rFonts w:eastAsiaTheme="minorEastAsia"/>
              <w:noProof/>
              <w:kern w:val="2"/>
              <w:sz w:val="24"/>
              <w:szCs w:val="24"/>
              <w:lang w:eastAsia="en-GB"/>
              <w14:ligatures w14:val="standardContextual"/>
            </w:rPr>
          </w:pPr>
          <w:hyperlink w:anchor="_Toc203033556" w:history="1">
            <w:r w:rsidRPr="00FD2F20">
              <w:rPr>
                <w:rStyle w:val="Hyperlink"/>
                <w:noProof/>
              </w:rPr>
              <w:t>4</w:t>
            </w:r>
            <w:r>
              <w:rPr>
                <w:rFonts w:eastAsiaTheme="minorEastAsia"/>
                <w:noProof/>
                <w:kern w:val="2"/>
                <w:sz w:val="24"/>
                <w:szCs w:val="24"/>
                <w:lang w:eastAsia="en-GB"/>
                <w14:ligatures w14:val="standardContextual"/>
              </w:rPr>
              <w:tab/>
            </w:r>
            <w:r w:rsidRPr="00FD2F20">
              <w:rPr>
                <w:rStyle w:val="Hyperlink"/>
                <w:noProof/>
              </w:rPr>
              <w:t>Section one – Introduction</w:t>
            </w:r>
            <w:r>
              <w:rPr>
                <w:noProof/>
                <w:webHidden/>
              </w:rPr>
              <w:tab/>
            </w:r>
            <w:r>
              <w:rPr>
                <w:noProof/>
                <w:webHidden/>
              </w:rPr>
              <w:fldChar w:fldCharType="begin"/>
            </w:r>
            <w:r>
              <w:rPr>
                <w:noProof/>
                <w:webHidden/>
              </w:rPr>
              <w:instrText xml:space="preserve"> PAGEREF _Toc203033556 \h </w:instrText>
            </w:r>
            <w:r>
              <w:rPr>
                <w:noProof/>
                <w:webHidden/>
              </w:rPr>
            </w:r>
            <w:r>
              <w:rPr>
                <w:noProof/>
                <w:webHidden/>
              </w:rPr>
              <w:fldChar w:fldCharType="separate"/>
            </w:r>
            <w:r>
              <w:rPr>
                <w:noProof/>
                <w:webHidden/>
              </w:rPr>
              <w:t>3</w:t>
            </w:r>
            <w:r>
              <w:rPr>
                <w:noProof/>
                <w:webHidden/>
              </w:rPr>
              <w:fldChar w:fldCharType="end"/>
            </w:r>
          </w:hyperlink>
        </w:p>
        <w:p w14:paraId="7A243C1E" w14:textId="6CFAE7D4" w:rsidR="00DE02FE" w:rsidRDefault="00DE02FE">
          <w:pPr>
            <w:pStyle w:val="TOC2"/>
            <w:tabs>
              <w:tab w:val="left" w:pos="960"/>
              <w:tab w:val="right" w:leader="dot" w:pos="9016"/>
            </w:tabs>
            <w:rPr>
              <w:rFonts w:eastAsiaTheme="minorEastAsia"/>
              <w:noProof/>
              <w:kern w:val="2"/>
              <w:sz w:val="24"/>
              <w:szCs w:val="24"/>
              <w:lang w:eastAsia="en-GB"/>
              <w14:ligatures w14:val="standardContextual"/>
            </w:rPr>
          </w:pPr>
          <w:hyperlink w:anchor="_Toc203033557" w:history="1">
            <w:r w:rsidRPr="00FD2F20">
              <w:rPr>
                <w:rStyle w:val="Hyperlink"/>
                <w:noProof/>
              </w:rPr>
              <w:t>4.1</w:t>
            </w:r>
            <w:r>
              <w:rPr>
                <w:rFonts w:eastAsiaTheme="minorEastAsia"/>
                <w:noProof/>
                <w:kern w:val="2"/>
                <w:sz w:val="24"/>
                <w:szCs w:val="24"/>
                <w:lang w:eastAsia="en-GB"/>
                <w14:ligatures w14:val="standardContextual"/>
              </w:rPr>
              <w:tab/>
            </w:r>
            <w:r w:rsidRPr="00FD2F20">
              <w:rPr>
                <w:rStyle w:val="Hyperlink"/>
                <w:noProof/>
              </w:rPr>
              <w:t>Calculating oxygen balance</w:t>
            </w:r>
            <w:r>
              <w:rPr>
                <w:noProof/>
                <w:webHidden/>
              </w:rPr>
              <w:tab/>
            </w:r>
            <w:r>
              <w:rPr>
                <w:noProof/>
                <w:webHidden/>
              </w:rPr>
              <w:fldChar w:fldCharType="begin"/>
            </w:r>
            <w:r>
              <w:rPr>
                <w:noProof/>
                <w:webHidden/>
              </w:rPr>
              <w:instrText xml:space="preserve"> PAGEREF _Toc203033557 \h </w:instrText>
            </w:r>
            <w:r>
              <w:rPr>
                <w:noProof/>
                <w:webHidden/>
              </w:rPr>
            </w:r>
            <w:r>
              <w:rPr>
                <w:noProof/>
                <w:webHidden/>
              </w:rPr>
              <w:fldChar w:fldCharType="separate"/>
            </w:r>
            <w:r>
              <w:rPr>
                <w:noProof/>
                <w:webHidden/>
              </w:rPr>
              <w:t>3</w:t>
            </w:r>
            <w:r>
              <w:rPr>
                <w:noProof/>
                <w:webHidden/>
              </w:rPr>
              <w:fldChar w:fldCharType="end"/>
            </w:r>
          </w:hyperlink>
        </w:p>
        <w:p w14:paraId="5B2343AE" w14:textId="6B56DFA8" w:rsidR="00DE02FE" w:rsidRDefault="00DE02FE">
          <w:pPr>
            <w:pStyle w:val="TOC2"/>
            <w:tabs>
              <w:tab w:val="left" w:pos="960"/>
              <w:tab w:val="right" w:leader="dot" w:pos="9016"/>
            </w:tabs>
            <w:rPr>
              <w:rFonts w:eastAsiaTheme="minorEastAsia"/>
              <w:noProof/>
              <w:kern w:val="2"/>
              <w:sz w:val="24"/>
              <w:szCs w:val="24"/>
              <w:lang w:eastAsia="en-GB"/>
              <w14:ligatures w14:val="standardContextual"/>
            </w:rPr>
          </w:pPr>
          <w:hyperlink w:anchor="_Toc203033558" w:history="1">
            <w:r w:rsidRPr="00FD2F20">
              <w:rPr>
                <w:rStyle w:val="Hyperlink"/>
                <w:noProof/>
              </w:rPr>
              <w:t>4.2</w:t>
            </w:r>
            <w:r>
              <w:rPr>
                <w:rFonts w:eastAsiaTheme="minorEastAsia"/>
                <w:noProof/>
                <w:kern w:val="2"/>
                <w:sz w:val="24"/>
                <w:szCs w:val="24"/>
                <w:lang w:eastAsia="en-GB"/>
                <w14:ligatures w14:val="standardContextual"/>
              </w:rPr>
              <w:tab/>
            </w:r>
            <w:r w:rsidRPr="00FD2F20">
              <w:rPr>
                <w:rStyle w:val="Hyperlink"/>
                <w:noProof/>
              </w:rPr>
              <w:t>Determine the Velocity of Detonation</w:t>
            </w:r>
            <w:r>
              <w:rPr>
                <w:noProof/>
                <w:webHidden/>
              </w:rPr>
              <w:tab/>
            </w:r>
            <w:r>
              <w:rPr>
                <w:noProof/>
                <w:webHidden/>
              </w:rPr>
              <w:fldChar w:fldCharType="begin"/>
            </w:r>
            <w:r>
              <w:rPr>
                <w:noProof/>
                <w:webHidden/>
              </w:rPr>
              <w:instrText xml:space="preserve"> PAGEREF _Toc203033558 \h </w:instrText>
            </w:r>
            <w:r>
              <w:rPr>
                <w:noProof/>
                <w:webHidden/>
              </w:rPr>
            </w:r>
            <w:r>
              <w:rPr>
                <w:noProof/>
                <w:webHidden/>
              </w:rPr>
              <w:fldChar w:fldCharType="separate"/>
            </w:r>
            <w:r>
              <w:rPr>
                <w:noProof/>
                <w:webHidden/>
              </w:rPr>
              <w:t>3</w:t>
            </w:r>
            <w:r>
              <w:rPr>
                <w:noProof/>
                <w:webHidden/>
              </w:rPr>
              <w:fldChar w:fldCharType="end"/>
            </w:r>
          </w:hyperlink>
        </w:p>
        <w:p w14:paraId="72E862EB" w14:textId="418394F6" w:rsidR="00DE02FE" w:rsidRDefault="00DE02FE">
          <w:pPr>
            <w:pStyle w:val="TOC1"/>
            <w:tabs>
              <w:tab w:val="left" w:pos="440"/>
              <w:tab w:val="right" w:leader="dot" w:pos="9016"/>
            </w:tabs>
            <w:rPr>
              <w:rFonts w:eastAsiaTheme="minorEastAsia"/>
              <w:noProof/>
              <w:kern w:val="2"/>
              <w:sz w:val="24"/>
              <w:szCs w:val="24"/>
              <w:lang w:eastAsia="en-GB"/>
              <w14:ligatures w14:val="standardContextual"/>
            </w:rPr>
          </w:pPr>
          <w:hyperlink w:anchor="_Toc203033559" w:history="1">
            <w:r w:rsidRPr="00FD2F20">
              <w:rPr>
                <w:rStyle w:val="Hyperlink"/>
                <w:noProof/>
              </w:rPr>
              <w:t>5</w:t>
            </w:r>
            <w:r>
              <w:rPr>
                <w:rFonts w:eastAsiaTheme="minorEastAsia"/>
                <w:noProof/>
                <w:kern w:val="2"/>
                <w:sz w:val="24"/>
                <w:szCs w:val="24"/>
                <w:lang w:eastAsia="en-GB"/>
                <w14:ligatures w14:val="standardContextual"/>
              </w:rPr>
              <w:tab/>
            </w:r>
            <w:r w:rsidRPr="00FD2F20">
              <w:rPr>
                <w:rStyle w:val="Hyperlink"/>
                <w:noProof/>
              </w:rPr>
              <w:t>Section Two – Evaluating the explosive mixture</w:t>
            </w:r>
            <w:r>
              <w:rPr>
                <w:noProof/>
                <w:webHidden/>
              </w:rPr>
              <w:tab/>
            </w:r>
            <w:r>
              <w:rPr>
                <w:noProof/>
                <w:webHidden/>
              </w:rPr>
              <w:fldChar w:fldCharType="begin"/>
            </w:r>
            <w:r>
              <w:rPr>
                <w:noProof/>
                <w:webHidden/>
              </w:rPr>
              <w:instrText xml:space="preserve"> PAGEREF _Toc203033559 \h </w:instrText>
            </w:r>
            <w:r>
              <w:rPr>
                <w:noProof/>
                <w:webHidden/>
              </w:rPr>
            </w:r>
            <w:r>
              <w:rPr>
                <w:noProof/>
                <w:webHidden/>
              </w:rPr>
              <w:fldChar w:fldCharType="separate"/>
            </w:r>
            <w:r>
              <w:rPr>
                <w:noProof/>
                <w:webHidden/>
              </w:rPr>
              <w:t>4</w:t>
            </w:r>
            <w:r>
              <w:rPr>
                <w:noProof/>
                <w:webHidden/>
              </w:rPr>
              <w:fldChar w:fldCharType="end"/>
            </w:r>
          </w:hyperlink>
        </w:p>
        <w:p w14:paraId="5827C31C" w14:textId="66152F3B" w:rsidR="00DE02FE" w:rsidRDefault="00DE02FE">
          <w:pPr>
            <w:pStyle w:val="TOC2"/>
            <w:tabs>
              <w:tab w:val="left" w:pos="960"/>
              <w:tab w:val="right" w:leader="dot" w:pos="9016"/>
            </w:tabs>
            <w:rPr>
              <w:rFonts w:eastAsiaTheme="minorEastAsia"/>
              <w:noProof/>
              <w:kern w:val="2"/>
              <w:sz w:val="24"/>
              <w:szCs w:val="24"/>
              <w:lang w:eastAsia="en-GB"/>
              <w14:ligatures w14:val="standardContextual"/>
            </w:rPr>
          </w:pPr>
          <w:hyperlink w:anchor="_Toc203033560" w:history="1">
            <w:r w:rsidRPr="00FD2F20">
              <w:rPr>
                <w:rStyle w:val="Hyperlink"/>
                <w:noProof/>
              </w:rPr>
              <w:t>5.1</w:t>
            </w:r>
            <w:r>
              <w:rPr>
                <w:rFonts w:eastAsiaTheme="minorEastAsia"/>
                <w:noProof/>
                <w:kern w:val="2"/>
                <w:sz w:val="24"/>
                <w:szCs w:val="24"/>
                <w:lang w:eastAsia="en-GB"/>
                <w14:ligatures w14:val="standardContextual"/>
              </w:rPr>
              <w:tab/>
            </w:r>
            <w:r w:rsidRPr="00FD2F20">
              <w:rPr>
                <w:rStyle w:val="Hyperlink"/>
                <w:noProof/>
              </w:rPr>
              <w:t>Definition of brisance and its effects</w:t>
            </w:r>
            <w:r>
              <w:rPr>
                <w:noProof/>
                <w:webHidden/>
              </w:rPr>
              <w:tab/>
            </w:r>
            <w:r>
              <w:rPr>
                <w:noProof/>
                <w:webHidden/>
              </w:rPr>
              <w:fldChar w:fldCharType="begin"/>
            </w:r>
            <w:r>
              <w:rPr>
                <w:noProof/>
                <w:webHidden/>
              </w:rPr>
              <w:instrText xml:space="preserve"> PAGEREF _Toc203033560 \h </w:instrText>
            </w:r>
            <w:r>
              <w:rPr>
                <w:noProof/>
                <w:webHidden/>
              </w:rPr>
            </w:r>
            <w:r>
              <w:rPr>
                <w:noProof/>
                <w:webHidden/>
              </w:rPr>
              <w:fldChar w:fldCharType="separate"/>
            </w:r>
            <w:r>
              <w:rPr>
                <w:noProof/>
                <w:webHidden/>
              </w:rPr>
              <w:t>4</w:t>
            </w:r>
            <w:r>
              <w:rPr>
                <w:noProof/>
                <w:webHidden/>
              </w:rPr>
              <w:fldChar w:fldCharType="end"/>
            </w:r>
          </w:hyperlink>
        </w:p>
        <w:p w14:paraId="0874FF30" w14:textId="7CFB4FFA" w:rsidR="00DE02FE" w:rsidRDefault="00DE02FE">
          <w:pPr>
            <w:pStyle w:val="TOC2"/>
            <w:tabs>
              <w:tab w:val="left" w:pos="960"/>
              <w:tab w:val="right" w:leader="dot" w:pos="9016"/>
            </w:tabs>
            <w:rPr>
              <w:rFonts w:eastAsiaTheme="minorEastAsia"/>
              <w:noProof/>
              <w:kern w:val="2"/>
              <w:sz w:val="24"/>
              <w:szCs w:val="24"/>
              <w:lang w:eastAsia="en-GB"/>
              <w14:ligatures w14:val="standardContextual"/>
            </w:rPr>
          </w:pPr>
          <w:hyperlink w:anchor="_Toc203033561" w:history="1">
            <w:r w:rsidRPr="00FD2F20">
              <w:rPr>
                <w:rStyle w:val="Hyperlink"/>
                <w:noProof/>
              </w:rPr>
              <w:t>5.2</w:t>
            </w:r>
            <w:r>
              <w:rPr>
                <w:rFonts w:eastAsiaTheme="minorEastAsia"/>
                <w:noProof/>
                <w:kern w:val="2"/>
                <w:sz w:val="24"/>
                <w:szCs w:val="24"/>
                <w:lang w:eastAsia="en-GB"/>
                <w14:ligatures w14:val="standardContextual"/>
              </w:rPr>
              <w:tab/>
            </w:r>
            <w:r w:rsidRPr="00FD2F20">
              <w:rPr>
                <w:rStyle w:val="Hyperlink"/>
                <w:noProof/>
              </w:rPr>
              <w:t>Detonation products of an explosive mix (60% RDX and 40% TNT)</w:t>
            </w:r>
            <w:r>
              <w:rPr>
                <w:noProof/>
                <w:webHidden/>
              </w:rPr>
              <w:tab/>
            </w:r>
            <w:r>
              <w:rPr>
                <w:noProof/>
                <w:webHidden/>
              </w:rPr>
              <w:fldChar w:fldCharType="begin"/>
            </w:r>
            <w:r>
              <w:rPr>
                <w:noProof/>
                <w:webHidden/>
              </w:rPr>
              <w:instrText xml:space="preserve"> PAGEREF _Toc203033561 \h </w:instrText>
            </w:r>
            <w:r>
              <w:rPr>
                <w:noProof/>
                <w:webHidden/>
              </w:rPr>
            </w:r>
            <w:r>
              <w:rPr>
                <w:noProof/>
                <w:webHidden/>
              </w:rPr>
              <w:fldChar w:fldCharType="separate"/>
            </w:r>
            <w:r>
              <w:rPr>
                <w:noProof/>
                <w:webHidden/>
              </w:rPr>
              <w:t>5</w:t>
            </w:r>
            <w:r>
              <w:rPr>
                <w:noProof/>
                <w:webHidden/>
              </w:rPr>
              <w:fldChar w:fldCharType="end"/>
            </w:r>
          </w:hyperlink>
        </w:p>
        <w:p w14:paraId="0B6E8B24" w14:textId="3D64D71D" w:rsidR="00DE02FE" w:rsidRDefault="00DE02FE">
          <w:pPr>
            <w:pStyle w:val="TOC1"/>
            <w:tabs>
              <w:tab w:val="left" w:pos="440"/>
              <w:tab w:val="right" w:leader="dot" w:pos="9016"/>
            </w:tabs>
            <w:rPr>
              <w:rFonts w:eastAsiaTheme="minorEastAsia"/>
              <w:noProof/>
              <w:kern w:val="2"/>
              <w:sz w:val="24"/>
              <w:szCs w:val="24"/>
              <w:lang w:eastAsia="en-GB"/>
              <w14:ligatures w14:val="standardContextual"/>
            </w:rPr>
          </w:pPr>
          <w:hyperlink w:anchor="_Toc203033562" w:history="1">
            <w:r w:rsidRPr="00FD2F20">
              <w:rPr>
                <w:rStyle w:val="Hyperlink"/>
                <w:noProof/>
              </w:rPr>
              <w:t>6</w:t>
            </w:r>
            <w:r>
              <w:rPr>
                <w:rFonts w:eastAsiaTheme="minorEastAsia"/>
                <w:noProof/>
                <w:kern w:val="2"/>
                <w:sz w:val="24"/>
                <w:szCs w:val="24"/>
                <w:lang w:eastAsia="en-GB"/>
                <w14:ligatures w14:val="standardContextual"/>
              </w:rPr>
              <w:tab/>
            </w:r>
            <w:r w:rsidRPr="00FD2F20">
              <w:rPr>
                <w:rStyle w:val="Hyperlink"/>
                <w:noProof/>
              </w:rPr>
              <w:t>Section Three – Designing an Explosive Train</w:t>
            </w:r>
            <w:r>
              <w:rPr>
                <w:noProof/>
                <w:webHidden/>
              </w:rPr>
              <w:tab/>
            </w:r>
            <w:r>
              <w:rPr>
                <w:noProof/>
                <w:webHidden/>
              </w:rPr>
              <w:fldChar w:fldCharType="begin"/>
            </w:r>
            <w:r>
              <w:rPr>
                <w:noProof/>
                <w:webHidden/>
              </w:rPr>
              <w:instrText xml:space="preserve"> PAGEREF _Toc203033562 \h </w:instrText>
            </w:r>
            <w:r>
              <w:rPr>
                <w:noProof/>
                <w:webHidden/>
              </w:rPr>
            </w:r>
            <w:r>
              <w:rPr>
                <w:noProof/>
                <w:webHidden/>
              </w:rPr>
              <w:fldChar w:fldCharType="separate"/>
            </w:r>
            <w:r>
              <w:rPr>
                <w:noProof/>
                <w:webHidden/>
              </w:rPr>
              <w:t>7</w:t>
            </w:r>
            <w:r>
              <w:rPr>
                <w:noProof/>
                <w:webHidden/>
              </w:rPr>
              <w:fldChar w:fldCharType="end"/>
            </w:r>
          </w:hyperlink>
        </w:p>
        <w:p w14:paraId="2ADC881F" w14:textId="64174480" w:rsidR="00DE02FE" w:rsidRDefault="00DE02FE">
          <w:pPr>
            <w:pStyle w:val="TOC2"/>
            <w:tabs>
              <w:tab w:val="left" w:pos="960"/>
              <w:tab w:val="right" w:leader="dot" w:pos="9016"/>
            </w:tabs>
            <w:rPr>
              <w:rFonts w:eastAsiaTheme="minorEastAsia"/>
              <w:noProof/>
              <w:kern w:val="2"/>
              <w:sz w:val="24"/>
              <w:szCs w:val="24"/>
              <w:lang w:eastAsia="en-GB"/>
              <w14:ligatures w14:val="standardContextual"/>
            </w:rPr>
          </w:pPr>
          <w:hyperlink w:anchor="_Toc203033563" w:history="1">
            <w:r w:rsidRPr="00FD2F20">
              <w:rPr>
                <w:rStyle w:val="Hyperlink"/>
                <w:noProof/>
              </w:rPr>
              <w:t>6.1</w:t>
            </w:r>
            <w:r>
              <w:rPr>
                <w:rFonts w:eastAsiaTheme="minorEastAsia"/>
                <w:noProof/>
                <w:kern w:val="2"/>
                <w:sz w:val="24"/>
                <w:szCs w:val="24"/>
                <w:lang w:eastAsia="en-GB"/>
                <w14:ligatures w14:val="standardContextual"/>
              </w:rPr>
              <w:tab/>
            </w:r>
            <w:r w:rsidRPr="00FD2F20">
              <w:rPr>
                <w:rStyle w:val="Hyperlink"/>
                <w:noProof/>
              </w:rPr>
              <w:t>Detonator</w:t>
            </w:r>
            <w:r>
              <w:rPr>
                <w:noProof/>
                <w:webHidden/>
              </w:rPr>
              <w:tab/>
            </w:r>
            <w:r>
              <w:rPr>
                <w:noProof/>
                <w:webHidden/>
              </w:rPr>
              <w:fldChar w:fldCharType="begin"/>
            </w:r>
            <w:r>
              <w:rPr>
                <w:noProof/>
                <w:webHidden/>
              </w:rPr>
              <w:instrText xml:space="preserve"> PAGEREF _Toc203033563 \h </w:instrText>
            </w:r>
            <w:r>
              <w:rPr>
                <w:noProof/>
                <w:webHidden/>
              </w:rPr>
            </w:r>
            <w:r>
              <w:rPr>
                <w:noProof/>
                <w:webHidden/>
              </w:rPr>
              <w:fldChar w:fldCharType="separate"/>
            </w:r>
            <w:r>
              <w:rPr>
                <w:noProof/>
                <w:webHidden/>
              </w:rPr>
              <w:t>7</w:t>
            </w:r>
            <w:r>
              <w:rPr>
                <w:noProof/>
                <w:webHidden/>
              </w:rPr>
              <w:fldChar w:fldCharType="end"/>
            </w:r>
          </w:hyperlink>
        </w:p>
        <w:p w14:paraId="695ECEE6" w14:textId="6B03FF78" w:rsidR="00DE02FE" w:rsidRDefault="00DE02FE">
          <w:pPr>
            <w:pStyle w:val="TOC2"/>
            <w:tabs>
              <w:tab w:val="left" w:pos="960"/>
              <w:tab w:val="right" w:leader="dot" w:pos="9016"/>
            </w:tabs>
            <w:rPr>
              <w:rFonts w:eastAsiaTheme="minorEastAsia"/>
              <w:noProof/>
              <w:kern w:val="2"/>
              <w:sz w:val="24"/>
              <w:szCs w:val="24"/>
              <w:lang w:eastAsia="en-GB"/>
              <w14:ligatures w14:val="standardContextual"/>
            </w:rPr>
          </w:pPr>
          <w:hyperlink w:anchor="_Toc203033564" w:history="1">
            <w:r w:rsidRPr="00FD2F20">
              <w:rPr>
                <w:rStyle w:val="Hyperlink"/>
                <w:noProof/>
              </w:rPr>
              <w:t>6.2</w:t>
            </w:r>
            <w:r>
              <w:rPr>
                <w:rFonts w:eastAsiaTheme="minorEastAsia"/>
                <w:noProof/>
                <w:kern w:val="2"/>
                <w:sz w:val="24"/>
                <w:szCs w:val="24"/>
                <w:lang w:eastAsia="en-GB"/>
                <w14:ligatures w14:val="standardContextual"/>
              </w:rPr>
              <w:tab/>
            </w:r>
            <w:r w:rsidRPr="00FD2F20">
              <w:rPr>
                <w:rStyle w:val="Hyperlink"/>
                <w:noProof/>
              </w:rPr>
              <w:t>Explosive booster</w:t>
            </w:r>
            <w:r>
              <w:rPr>
                <w:noProof/>
                <w:webHidden/>
              </w:rPr>
              <w:tab/>
            </w:r>
            <w:r>
              <w:rPr>
                <w:noProof/>
                <w:webHidden/>
              </w:rPr>
              <w:fldChar w:fldCharType="begin"/>
            </w:r>
            <w:r>
              <w:rPr>
                <w:noProof/>
                <w:webHidden/>
              </w:rPr>
              <w:instrText xml:space="preserve"> PAGEREF _Toc203033564 \h </w:instrText>
            </w:r>
            <w:r>
              <w:rPr>
                <w:noProof/>
                <w:webHidden/>
              </w:rPr>
            </w:r>
            <w:r>
              <w:rPr>
                <w:noProof/>
                <w:webHidden/>
              </w:rPr>
              <w:fldChar w:fldCharType="separate"/>
            </w:r>
            <w:r>
              <w:rPr>
                <w:noProof/>
                <w:webHidden/>
              </w:rPr>
              <w:t>8</w:t>
            </w:r>
            <w:r>
              <w:rPr>
                <w:noProof/>
                <w:webHidden/>
              </w:rPr>
              <w:fldChar w:fldCharType="end"/>
            </w:r>
          </w:hyperlink>
        </w:p>
        <w:p w14:paraId="75342BE3" w14:textId="10FB4D93" w:rsidR="00DE02FE" w:rsidRDefault="00DE02FE">
          <w:pPr>
            <w:pStyle w:val="TOC2"/>
            <w:tabs>
              <w:tab w:val="left" w:pos="960"/>
              <w:tab w:val="right" w:leader="dot" w:pos="9016"/>
            </w:tabs>
            <w:rPr>
              <w:rFonts w:eastAsiaTheme="minorEastAsia"/>
              <w:noProof/>
              <w:kern w:val="2"/>
              <w:sz w:val="24"/>
              <w:szCs w:val="24"/>
              <w:lang w:eastAsia="en-GB"/>
              <w14:ligatures w14:val="standardContextual"/>
            </w:rPr>
          </w:pPr>
          <w:hyperlink w:anchor="_Toc203033565" w:history="1">
            <w:r w:rsidRPr="00FD2F20">
              <w:rPr>
                <w:rStyle w:val="Hyperlink"/>
                <w:noProof/>
              </w:rPr>
              <w:t>6.3</w:t>
            </w:r>
            <w:r>
              <w:rPr>
                <w:rFonts w:eastAsiaTheme="minorEastAsia"/>
                <w:noProof/>
                <w:kern w:val="2"/>
                <w:sz w:val="24"/>
                <w:szCs w:val="24"/>
                <w:lang w:eastAsia="en-GB"/>
                <w14:ligatures w14:val="standardContextual"/>
              </w:rPr>
              <w:tab/>
            </w:r>
            <w:r w:rsidRPr="00FD2F20">
              <w:rPr>
                <w:rStyle w:val="Hyperlink"/>
                <w:noProof/>
              </w:rPr>
              <w:t>Final explosive train design</w:t>
            </w:r>
            <w:r>
              <w:rPr>
                <w:noProof/>
                <w:webHidden/>
              </w:rPr>
              <w:tab/>
            </w:r>
            <w:r>
              <w:rPr>
                <w:noProof/>
                <w:webHidden/>
              </w:rPr>
              <w:fldChar w:fldCharType="begin"/>
            </w:r>
            <w:r>
              <w:rPr>
                <w:noProof/>
                <w:webHidden/>
              </w:rPr>
              <w:instrText xml:space="preserve"> PAGEREF _Toc203033565 \h </w:instrText>
            </w:r>
            <w:r>
              <w:rPr>
                <w:noProof/>
                <w:webHidden/>
              </w:rPr>
            </w:r>
            <w:r>
              <w:rPr>
                <w:noProof/>
                <w:webHidden/>
              </w:rPr>
              <w:fldChar w:fldCharType="separate"/>
            </w:r>
            <w:r>
              <w:rPr>
                <w:noProof/>
                <w:webHidden/>
              </w:rPr>
              <w:t>8</w:t>
            </w:r>
            <w:r>
              <w:rPr>
                <w:noProof/>
                <w:webHidden/>
              </w:rPr>
              <w:fldChar w:fldCharType="end"/>
            </w:r>
          </w:hyperlink>
        </w:p>
        <w:p w14:paraId="6D84979A" w14:textId="6872FA7F" w:rsidR="00DE02FE" w:rsidRDefault="00DE02FE">
          <w:pPr>
            <w:pStyle w:val="TOC1"/>
            <w:tabs>
              <w:tab w:val="left" w:pos="440"/>
              <w:tab w:val="right" w:leader="dot" w:pos="9016"/>
            </w:tabs>
            <w:rPr>
              <w:rFonts w:eastAsiaTheme="minorEastAsia"/>
              <w:noProof/>
              <w:kern w:val="2"/>
              <w:sz w:val="24"/>
              <w:szCs w:val="24"/>
              <w:lang w:eastAsia="en-GB"/>
              <w14:ligatures w14:val="standardContextual"/>
            </w:rPr>
          </w:pPr>
          <w:hyperlink w:anchor="_Toc203033566" w:history="1">
            <w:r w:rsidRPr="00FD2F20">
              <w:rPr>
                <w:rStyle w:val="Hyperlink"/>
                <w:noProof/>
              </w:rPr>
              <w:t>7</w:t>
            </w:r>
            <w:r>
              <w:rPr>
                <w:rFonts w:eastAsiaTheme="minorEastAsia"/>
                <w:noProof/>
                <w:kern w:val="2"/>
                <w:sz w:val="24"/>
                <w:szCs w:val="24"/>
                <w:lang w:eastAsia="en-GB"/>
                <w14:ligatures w14:val="standardContextual"/>
              </w:rPr>
              <w:tab/>
            </w:r>
            <w:r w:rsidRPr="00FD2F20">
              <w:rPr>
                <w:rStyle w:val="Hyperlink"/>
                <w:noProof/>
              </w:rPr>
              <w:t>Section Four – Improving the explosive mixture for performance underwater</w:t>
            </w:r>
            <w:r>
              <w:rPr>
                <w:noProof/>
                <w:webHidden/>
              </w:rPr>
              <w:tab/>
            </w:r>
            <w:r>
              <w:rPr>
                <w:noProof/>
                <w:webHidden/>
              </w:rPr>
              <w:fldChar w:fldCharType="begin"/>
            </w:r>
            <w:r>
              <w:rPr>
                <w:noProof/>
                <w:webHidden/>
              </w:rPr>
              <w:instrText xml:space="preserve"> PAGEREF _Toc203033566 \h </w:instrText>
            </w:r>
            <w:r>
              <w:rPr>
                <w:noProof/>
                <w:webHidden/>
              </w:rPr>
            </w:r>
            <w:r>
              <w:rPr>
                <w:noProof/>
                <w:webHidden/>
              </w:rPr>
              <w:fldChar w:fldCharType="separate"/>
            </w:r>
            <w:r>
              <w:rPr>
                <w:noProof/>
                <w:webHidden/>
              </w:rPr>
              <w:t>9</w:t>
            </w:r>
            <w:r>
              <w:rPr>
                <w:noProof/>
                <w:webHidden/>
              </w:rPr>
              <w:fldChar w:fldCharType="end"/>
            </w:r>
          </w:hyperlink>
        </w:p>
        <w:p w14:paraId="12B8DDC4" w14:textId="394DB3DE" w:rsidR="00DE02FE" w:rsidRDefault="00DE02FE">
          <w:pPr>
            <w:pStyle w:val="TOC1"/>
            <w:tabs>
              <w:tab w:val="left" w:pos="440"/>
              <w:tab w:val="right" w:leader="dot" w:pos="9016"/>
            </w:tabs>
            <w:rPr>
              <w:rFonts w:eastAsiaTheme="minorEastAsia"/>
              <w:noProof/>
              <w:kern w:val="2"/>
              <w:sz w:val="24"/>
              <w:szCs w:val="24"/>
              <w:lang w:eastAsia="en-GB"/>
              <w14:ligatures w14:val="standardContextual"/>
            </w:rPr>
          </w:pPr>
          <w:hyperlink w:anchor="_Toc203033567" w:history="1">
            <w:r w:rsidRPr="00FD2F20">
              <w:rPr>
                <w:rStyle w:val="Hyperlink"/>
                <w:noProof/>
              </w:rPr>
              <w:t>8</w:t>
            </w:r>
            <w:r>
              <w:rPr>
                <w:rFonts w:eastAsiaTheme="minorEastAsia"/>
                <w:noProof/>
                <w:kern w:val="2"/>
                <w:sz w:val="24"/>
                <w:szCs w:val="24"/>
                <w:lang w:eastAsia="en-GB"/>
                <w14:ligatures w14:val="standardContextual"/>
              </w:rPr>
              <w:tab/>
            </w:r>
            <w:r w:rsidRPr="00FD2F20">
              <w:rPr>
                <w:rStyle w:val="Hyperlink"/>
                <w:noProof/>
              </w:rPr>
              <w:t>Section Five – Conclusion</w:t>
            </w:r>
            <w:r>
              <w:rPr>
                <w:noProof/>
                <w:webHidden/>
              </w:rPr>
              <w:tab/>
            </w:r>
            <w:r>
              <w:rPr>
                <w:noProof/>
                <w:webHidden/>
              </w:rPr>
              <w:fldChar w:fldCharType="begin"/>
            </w:r>
            <w:r>
              <w:rPr>
                <w:noProof/>
                <w:webHidden/>
              </w:rPr>
              <w:instrText xml:space="preserve"> PAGEREF _Toc203033567 \h </w:instrText>
            </w:r>
            <w:r>
              <w:rPr>
                <w:noProof/>
                <w:webHidden/>
              </w:rPr>
            </w:r>
            <w:r>
              <w:rPr>
                <w:noProof/>
                <w:webHidden/>
              </w:rPr>
              <w:fldChar w:fldCharType="separate"/>
            </w:r>
            <w:r>
              <w:rPr>
                <w:noProof/>
                <w:webHidden/>
              </w:rPr>
              <w:t>9</w:t>
            </w:r>
            <w:r>
              <w:rPr>
                <w:noProof/>
                <w:webHidden/>
              </w:rPr>
              <w:fldChar w:fldCharType="end"/>
            </w:r>
          </w:hyperlink>
        </w:p>
        <w:p w14:paraId="5920748E" w14:textId="0DDA647E" w:rsidR="00DE02FE" w:rsidRDefault="00DE02FE">
          <w:pPr>
            <w:pStyle w:val="TOC1"/>
            <w:tabs>
              <w:tab w:val="left" w:pos="440"/>
              <w:tab w:val="right" w:leader="dot" w:pos="9016"/>
            </w:tabs>
            <w:rPr>
              <w:rFonts w:eastAsiaTheme="minorEastAsia"/>
              <w:noProof/>
              <w:kern w:val="2"/>
              <w:sz w:val="24"/>
              <w:szCs w:val="24"/>
              <w:lang w:eastAsia="en-GB"/>
              <w14:ligatures w14:val="standardContextual"/>
            </w:rPr>
          </w:pPr>
          <w:hyperlink w:anchor="_Toc203033568" w:history="1">
            <w:r w:rsidRPr="00FD2F20">
              <w:rPr>
                <w:rStyle w:val="Hyperlink"/>
                <w:noProof/>
              </w:rPr>
              <w:t>9</w:t>
            </w:r>
            <w:r>
              <w:rPr>
                <w:rFonts w:eastAsiaTheme="minorEastAsia"/>
                <w:noProof/>
                <w:kern w:val="2"/>
                <w:sz w:val="24"/>
                <w:szCs w:val="24"/>
                <w:lang w:eastAsia="en-GB"/>
                <w14:ligatures w14:val="standardContextual"/>
              </w:rPr>
              <w:tab/>
            </w:r>
            <w:r w:rsidRPr="00FD2F20">
              <w:rPr>
                <w:rStyle w:val="Hyperlink"/>
                <w:noProof/>
              </w:rPr>
              <w:t>References</w:t>
            </w:r>
            <w:r>
              <w:rPr>
                <w:noProof/>
                <w:webHidden/>
              </w:rPr>
              <w:tab/>
            </w:r>
            <w:r>
              <w:rPr>
                <w:noProof/>
                <w:webHidden/>
              </w:rPr>
              <w:fldChar w:fldCharType="begin"/>
            </w:r>
            <w:r>
              <w:rPr>
                <w:noProof/>
                <w:webHidden/>
              </w:rPr>
              <w:instrText xml:space="preserve"> PAGEREF _Toc203033568 \h </w:instrText>
            </w:r>
            <w:r>
              <w:rPr>
                <w:noProof/>
                <w:webHidden/>
              </w:rPr>
            </w:r>
            <w:r>
              <w:rPr>
                <w:noProof/>
                <w:webHidden/>
              </w:rPr>
              <w:fldChar w:fldCharType="separate"/>
            </w:r>
            <w:r>
              <w:rPr>
                <w:noProof/>
                <w:webHidden/>
              </w:rPr>
              <w:t>10</w:t>
            </w:r>
            <w:r>
              <w:rPr>
                <w:noProof/>
                <w:webHidden/>
              </w:rPr>
              <w:fldChar w:fldCharType="end"/>
            </w:r>
          </w:hyperlink>
        </w:p>
        <w:p w14:paraId="4AC3DDC8" w14:textId="4D2448F2" w:rsidR="00E25D04" w:rsidRDefault="00E25D04" w:rsidP="00E25D04">
          <w:pPr>
            <w:jc w:val="both"/>
          </w:pPr>
          <w:r>
            <w:rPr>
              <w:b/>
              <w:bCs/>
              <w:noProof/>
            </w:rPr>
            <w:fldChar w:fldCharType="end"/>
          </w:r>
        </w:p>
      </w:sdtContent>
    </w:sdt>
    <w:p w14:paraId="5A053A15" w14:textId="77777777" w:rsidR="00E963AE" w:rsidRDefault="00E963AE">
      <w:pPr>
        <w:pStyle w:val="TableofFigures"/>
        <w:tabs>
          <w:tab w:val="right" w:leader="dot" w:pos="9016"/>
        </w:tabs>
      </w:pPr>
    </w:p>
    <w:p w14:paraId="00FE7FFE" w14:textId="123722D3" w:rsidR="003D0444" w:rsidRPr="003D0444" w:rsidRDefault="00E23538" w:rsidP="003D0444">
      <w:pPr>
        <w:pStyle w:val="Heading1"/>
      </w:pPr>
      <w:bookmarkStart w:id="1" w:name="_Toc203033554"/>
      <w:r>
        <w:t>Table of figures</w:t>
      </w:r>
      <w:bookmarkEnd w:id="1"/>
    </w:p>
    <w:p w14:paraId="19DD8C89" w14:textId="5CD2CDAD" w:rsidR="00DE02FE" w:rsidRDefault="00512FF8">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203033569" w:history="1">
        <w:r w:rsidR="00DE02FE" w:rsidRPr="006D44F7">
          <w:rPr>
            <w:rStyle w:val="Hyperlink"/>
            <w:noProof/>
          </w:rPr>
          <w:t>Figure 1- Before and after Trauzl lead block test [4]</w:t>
        </w:r>
        <w:r w:rsidR="00DE02FE">
          <w:rPr>
            <w:noProof/>
            <w:webHidden/>
          </w:rPr>
          <w:tab/>
        </w:r>
        <w:r w:rsidR="00DE02FE">
          <w:rPr>
            <w:noProof/>
            <w:webHidden/>
          </w:rPr>
          <w:fldChar w:fldCharType="begin"/>
        </w:r>
        <w:r w:rsidR="00DE02FE">
          <w:rPr>
            <w:noProof/>
            <w:webHidden/>
          </w:rPr>
          <w:instrText xml:space="preserve"> PAGEREF _Toc203033569 \h </w:instrText>
        </w:r>
        <w:r w:rsidR="00DE02FE">
          <w:rPr>
            <w:noProof/>
            <w:webHidden/>
          </w:rPr>
        </w:r>
        <w:r w:rsidR="00DE02FE">
          <w:rPr>
            <w:noProof/>
            <w:webHidden/>
          </w:rPr>
          <w:fldChar w:fldCharType="separate"/>
        </w:r>
        <w:r w:rsidR="00DE02FE">
          <w:rPr>
            <w:noProof/>
            <w:webHidden/>
          </w:rPr>
          <w:t>4</w:t>
        </w:r>
        <w:r w:rsidR="00DE02FE">
          <w:rPr>
            <w:noProof/>
            <w:webHidden/>
          </w:rPr>
          <w:fldChar w:fldCharType="end"/>
        </w:r>
      </w:hyperlink>
    </w:p>
    <w:p w14:paraId="636512BF" w14:textId="38E9487A" w:rsidR="00DE02FE" w:rsidRDefault="00DE02FE">
      <w:pPr>
        <w:pStyle w:val="TableofFigures"/>
        <w:tabs>
          <w:tab w:val="right" w:leader="dot" w:pos="9016"/>
        </w:tabs>
        <w:rPr>
          <w:rFonts w:eastAsiaTheme="minorEastAsia"/>
          <w:noProof/>
          <w:kern w:val="2"/>
          <w:sz w:val="24"/>
          <w:szCs w:val="24"/>
          <w:lang w:eastAsia="en-GB"/>
          <w14:ligatures w14:val="standardContextual"/>
        </w:rPr>
      </w:pPr>
      <w:hyperlink w:anchor="_Toc203033570" w:history="1">
        <w:r w:rsidRPr="006D44F7">
          <w:rPr>
            <w:rStyle w:val="Hyperlink"/>
            <w:noProof/>
          </w:rPr>
          <w:t>Figure 2- Graph showing the relationship between detonation pressure and brisance.</w:t>
        </w:r>
        <w:r>
          <w:rPr>
            <w:noProof/>
            <w:webHidden/>
          </w:rPr>
          <w:tab/>
        </w:r>
        <w:r>
          <w:rPr>
            <w:noProof/>
            <w:webHidden/>
          </w:rPr>
          <w:fldChar w:fldCharType="begin"/>
        </w:r>
        <w:r>
          <w:rPr>
            <w:noProof/>
            <w:webHidden/>
          </w:rPr>
          <w:instrText xml:space="preserve"> PAGEREF _Toc203033570 \h </w:instrText>
        </w:r>
        <w:r>
          <w:rPr>
            <w:noProof/>
            <w:webHidden/>
          </w:rPr>
        </w:r>
        <w:r>
          <w:rPr>
            <w:noProof/>
            <w:webHidden/>
          </w:rPr>
          <w:fldChar w:fldCharType="separate"/>
        </w:r>
        <w:r>
          <w:rPr>
            <w:noProof/>
            <w:webHidden/>
          </w:rPr>
          <w:t>5</w:t>
        </w:r>
        <w:r>
          <w:rPr>
            <w:noProof/>
            <w:webHidden/>
          </w:rPr>
          <w:fldChar w:fldCharType="end"/>
        </w:r>
      </w:hyperlink>
    </w:p>
    <w:p w14:paraId="378D2552" w14:textId="3B6A530D" w:rsidR="00DE02FE" w:rsidRDefault="00DE02FE">
      <w:pPr>
        <w:pStyle w:val="TableofFigures"/>
        <w:tabs>
          <w:tab w:val="right" w:leader="dot" w:pos="9016"/>
        </w:tabs>
        <w:rPr>
          <w:rFonts w:eastAsiaTheme="minorEastAsia"/>
          <w:noProof/>
          <w:kern w:val="2"/>
          <w:sz w:val="24"/>
          <w:szCs w:val="24"/>
          <w:lang w:eastAsia="en-GB"/>
          <w14:ligatures w14:val="standardContextual"/>
        </w:rPr>
      </w:pPr>
      <w:hyperlink w:anchor="_Toc203033571" w:history="1">
        <w:r w:rsidRPr="006D44F7">
          <w:rPr>
            <w:rStyle w:val="Hyperlink"/>
            <w:noProof/>
          </w:rPr>
          <w:t>Figure 3- Kistiakowsky-Wilson rules [5].</w:t>
        </w:r>
        <w:r>
          <w:rPr>
            <w:noProof/>
            <w:webHidden/>
          </w:rPr>
          <w:tab/>
        </w:r>
        <w:r>
          <w:rPr>
            <w:noProof/>
            <w:webHidden/>
          </w:rPr>
          <w:fldChar w:fldCharType="begin"/>
        </w:r>
        <w:r>
          <w:rPr>
            <w:noProof/>
            <w:webHidden/>
          </w:rPr>
          <w:instrText xml:space="preserve"> PAGEREF _Toc203033571 \h </w:instrText>
        </w:r>
        <w:r>
          <w:rPr>
            <w:noProof/>
            <w:webHidden/>
          </w:rPr>
        </w:r>
        <w:r>
          <w:rPr>
            <w:noProof/>
            <w:webHidden/>
          </w:rPr>
          <w:fldChar w:fldCharType="separate"/>
        </w:r>
        <w:r>
          <w:rPr>
            <w:noProof/>
            <w:webHidden/>
          </w:rPr>
          <w:t>5</w:t>
        </w:r>
        <w:r>
          <w:rPr>
            <w:noProof/>
            <w:webHidden/>
          </w:rPr>
          <w:fldChar w:fldCharType="end"/>
        </w:r>
      </w:hyperlink>
    </w:p>
    <w:p w14:paraId="3CDD7EE6" w14:textId="6CD25EF3" w:rsidR="00DE02FE" w:rsidRDefault="00DE02FE">
      <w:pPr>
        <w:pStyle w:val="TableofFigures"/>
        <w:tabs>
          <w:tab w:val="right" w:leader="dot" w:pos="9016"/>
        </w:tabs>
        <w:rPr>
          <w:rFonts w:eastAsiaTheme="minorEastAsia"/>
          <w:noProof/>
          <w:kern w:val="2"/>
          <w:sz w:val="24"/>
          <w:szCs w:val="24"/>
          <w:lang w:eastAsia="en-GB"/>
          <w14:ligatures w14:val="standardContextual"/>
        </w:rPr>
      </w:pPr>
      <w:hyperlink w:anchor="_Toc203033572" w:history="1">
        <w:r w:rsidRPr="006D44F7">
          <w:rPr>
            <w:rStyle w:val="Hyperlink"/>
            <w:noProof/>
          </w:rPr>
          <w:t>Figure 4- detailed breakdown of RP-83 detonator.</w:t>
        </w:r>
        <w:r>
          <w:rPr>
            <w:noProof/>
            <w:webHidden/>
          </w:rPr>
          <w:tab/>
        </w:r>
        <w:r>
          <w:rPr>
            <w:noProof/>
            <w:webHidden/>
          </w:rPr>
          <w:fldChar w:fldCharType="begin"/>
        </w:r>
        <w:r>
          <w:rPr>
            <w:noProof/>
            <w:webHidden/>
          </w:rPr>
          <w:instrText xml:space="preserve"> PAGEREF _Toc203033572 \h </w:instrText>
        </w:r>
        <w:r>
          <w:rPr>
            <w:noProof/>
            <w:webHidden/>
          </w:rPr>
        </w:r>
        <w:r>
          <w:rPr>
            <w:noProof/>
            <w:webHidden/>
          </w:rPr>
          <w:fldChar w:fldCharType="separate"/>
        </w:r>
        <w:r>
          <w:rPr>
            <w:noProof/>
            <w:webHidden/>
          </w:rPr>
          <w:t>7</w:t>
        </w:r>
        <w:r>
          <w:rPr>
            <w:noProof/>
            <w:webHidden/>
          </w:rPr>
          <w:fldChar w:fldCharType="end"/>
        </w:r>
      </w:hyperlink>
    </w:p>
    <w:p w14:paraId="7AFF468B" w14:textId="185A1BAB" w:rsidR="00E25D04" w:rsidRDefault="00512FF8" w:rsidP="00E25D04">
      <w:pPr>
        <w:jc w:val="both"/>
        <w:rPr>
          <w:b/>
          <w:bCs/>
          <w:noProof/>
          <w:lang w:val="en-US"/>
        </w:rPr>
      </w:pPr>
      <w:r>
        <w:rPr>
          <w:b/>
          <w:bCs/>
          <w:noProof/>
          <w:lang w:val="en-US"/>
        </w:rPr>
        <w:fldChar w:fldCharType="end"/>
      </w:r>
    </w:p>
    <w:p w14:paraId="05AF9CA3" w14:textId="2EA68022" w:rsidR="00B31736" w:rsidRDefault="00B31736" w:rsidP="00B31736">
      <w:pPr>
        <w:pStyle w:val="Heading1"/>
      </w:pPr>
      <w:bookmarkStart w:id="2" w:name="_Toc203033555"/>
      <w:r>
        <w:t>Table of tables</w:t>
      </w:r>
      <w:bookmarkEnd w:id="2"/>
    </w:p>
    <w:p w14:paraId="4A800E33" w14:textId="29406837" w:rsidR="00DE02FE" w:rsidRDefault="003D0444">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"Table" </w:instrText>
      </w:r>
      <w:r>
        <w:fldChar w:fldCharType="separate"/>
      </w:r>
      <w:hyperlink w:anchor="_Toc203033573" w:history="1">
        <w:r w:rsidR="00DE02FE" w:rsidRPr="00354D23">
          <w:rPr>
            <w:rStyle w:val="Hyperlink"/>
            <w:noProof/>
          </w:rPr>
          <w:t>Table 1- Mixed explosive parameters</w:t>
        </w:r>
        <w:r w:rsidR="00DE02FE">
          <w:rPr>
            <w:noProof/>
            <w:webHidden/>
          </w:rPr>
          <w:tab/>
        </w:r>
        <w:r w:rsidR="00DE02FE">
          <w:rPr>
            <w:noProof/>
            <w:webHidden/>
          </w:rPr>
          <w:fldChar w:fldCharType="begin"/>
        </w:r>
        <w:r w:rsidR="00DE02FE">
          <w:rPr>
            <w:noProof/>
            <w:webHidden/>
          </w:rPr>
          <w:instrText xml:space="preserve"> PAGEREF _Toc203033573 \h </w:instrText>
        </w:r>
        <w:r w:rsidR="00DE02FE">
          <w:rPr>
            <w:noProof/>
            <w:webHidden/>
          </w:rPr>
        </w:r>
        <w:r w:rsidR="00DE02FE">
          <w:rPr>
            <w:noProof/>
            <w:webHidden/>
          </w:rPr>
          <w:fldChar w:fldCharType="separate"/>
        </w:r>
        <w:r w:rsidR="00DE02FE">
          <w:rPr>
            <w:noProof/>
            <w:webHidden/>
          </w:rPr>
          <w:t>3</w:t>
        </w:r>
        <w:r w:rsidR="00DE02FE">
          <w:rPr>
            <w:noProof/>
            <w:webHidden/>
          </w:rPr>
          <w:fldChar w:fldCharType="end"/>
        </w:r>
      </w:hyperlink>
    </w:p>
    <w:p w14:paraId="2DAD8E60" w14:textId="47B00E1D" w:rsidR="00DE02FE" w:rsidRDefault="00DE02FE">
      <w:pPr>
        <w:pStyle w:val="TableofFigures"/>
        <w:tabs>
          <w:tab w:val="right" w:leader="dot" w:pos="9016"/>
        </w:tabs>
        <w:rPr>
          <w:rFonts w:eastAsiaTheme="minorEastAsia"/>
          <w:noProof/>
          <w:kern w:val="2"/>
          <w:sz w:val="24"/>
          <w:szCs w:val="24"/>
          <w:lang w:eastAsia="en-GB"/>
          <w14:ligatures w14:val="standardContextual"/>
        </w:rPr>
      </w:pPr>
      <w:hyperlink w:anchor="_Toc203033574" w:history="1">
        <w:r w:rsidRPr="00354D23">
          <w:rPr>
            <w:rStyle w:val="Hyperlink"/>
            <w:noProof/>
          </w:rPr>
          <w:t>Table 2- Modified Kistiakowsky-Wilson rules [6]</w:t>
        </w:r>
        <w:r>
          <w:rPr>
            <w:noProof/>
            <w:webHidden/>
          </w:rPr>
          <w:tab/>
        </w:r>
        <w:r>
          <w:rPr>
            <w:noProof/>
            <w:webHidden/>
          </w:rPr>
          <w:fldChar w:fldCharType="begin"/>
        </w:r>
        <w:r>
          <w:rPr>
            <w:noProof/>
            <w:webHidden/>
          </w:rPr>
          <w:instrText xml:space="preserve"> PAGEREF _Toc203033574 \h </w:instrText>
        </w:r>
        <w:r>
          <w:rPr>
            <w:noProof/>
            <w:webHidden/>
          </w:rPr>
        </w:r>
        <w:r>
          <w:rPr>
            <w:noProof/>
            <w:webHidden/>
          </w:rPr>
          <w:fldChar w:fldCharType="separate"/>
        </w:r>
        <w:r>
          <w:rPr>
            <w:noProof/>
            <w:webHidden/>
          </w:rPr>
          <w:t>6</w:t>
        </w:r>
        <w:r>
          <w:rPr>
            <w:noProof/>
            <w:webHidden/>
          </w:rPr>
          <w:fldChar w:fldCharType="end"/>
        </w:r>
      </w:hyperlink>
    </w:p>
    <w:p w14:paraId="763BB62A" w14:textId="78549400" w:rsidR="00DE02FE" w:rsidRDefault="00DE02FE">
      <w:pPr>
        <w:pStyle w:val="TableofFigures"/>
        <w:tabs>
          <w:tab w:val="right" w:leader="dot" w:pos="9016"/>
        </w:tabs>
        <w:rPr>
          <w:rFonts w:eastAsiaTheme="minorEastAsia"/>
          <w:noProof/>
          <w:kern w:val="2"/>
          <w:sz w:val="24"/>
          <w:szCs w:val="24"/>
          <w:lang w:eastAsia="en-GB"/>
          <w14:ligatures w14:val="standardContextual"/>
        </w:rPr>
      </w:pPr>
      <w:hyperlink w:anchor="_Toc203033575" w:history="1">
        <w:r w:rsidRPr="00354D23">
          <w:rPr>
            <w:rStyle w:val="Hyperlink"/>
            <w:noProof/>
          </w:rPr>
          <w:t>Table 3- Explosive properties of RP-83</w:t>
        </w:r>
        <w:r>
          <w:rPr>
            <w:noProof/>
            <w:webHidden/>
          </w:rPr>
          <w:tab/>
        </w:r>
        <w:r>
          <w:rPr>
            <w:noProof/>
            <w:webHidden/>
          </w:rPr>
          <w:fldChar w:fldCharType="begin"/>
        </w:r>
        <w:r>
          <w:rPr>
            <w:noProof/>
            <w:webHidden/>
          </w:rPr>
          <w:instrText xml:space="preserve"> PAGEREF _Toc203033575 \h </w:instrText>
        </w:r>
        <w:r>
          <w:rPr>
            <w:noProof/>
            <w:webHidden/>
          </w:rPr>
        </w:r>
        <w:r>
          <w:rPr>
            <w:noProof/>
            <w:webHidden/>
          </w:rPr>
          <w:fldChar w:fldCharType="separate"/>
        </w:r>
        <w:r>
          <w:rPr>
            <w:noProof/>
            <w:webHidden/>
          </w:rPr>
          <w:t>8</w:t>
        </w:r>
        <w:r>
          <w:rPr>
            <w:noProof/>
            <w:webHidden/>
          </w:rPr>
          <w:fldChar w:fldCharType="end"/>
        </w:r>
      </w:hyperlink>
    </w:p>
    <w:p w14:paraId="6BC8596C" w14:textId="28D4BB67" w:rsidR="00DE02FE" w:rsidRDefault="00DE02FE">
      <w:pPr>
        <w:pStyle w:val="TableofFigures"/>
        <w:tabs>
          <w:tab w:val="right" w:leader="dot" w:pos="9016"/>
        </w:tabs>
        <w:rPr>
          <w:rFonts w:eastAsiaTheme="minorEastAsia"/>
          <w:noProof/>
          <w:kern w:val="2"/>
          <w:sz w:val="24"/>
          <w:szCs w:val="24"/>
          <w:lang w:eastAsia="en-GB"/>
          <w14:ligatures w14:val="standardContextual"/>
        </w:rPr>
      </w:pPr>
      <w:hyperlink w:anchor="_Toc203033576" w:history="1">
        <w:r w:rsidRPr="00354D23">
          <w:rPr>
            <w:rStyle w:val="Hyperlink"/>
            <w:noProof/>
          </w:rPr>
          <w:t>Table 4- Explosive properties for plastic explosive booster</w:t>
        </w:r>
        <w:r>
          <w:rPr>
            <w:noProof/>
            <w:webHidden/>
          </w:rPr>
          <w:tab/>
        </w:r>
        <w:r>
          <w:rPr>
            <w:noProof/>
            <w:webHidden/>
          </w:rPr>
          <w:fldChar w:fldCharType="begin"/>
        </w:r>
        <w:r>
          <w:rPr>
            <w:noProof/>
            <w:webHidden/>
          </w:rPr>
          <w:instrText xml:space="preserve"> PAGEREF _Toc203033576 \h </w:instrText>
        </w:r>
        <w:r>
          <w:rPr>
            <w:noProof/>
            <w:webHidden/>
          </w:rPr>
        </w:r>
        <w:r>
          <w:rPr>
            <w:noProof/>
            <w:webHidden/>
          </w:rPr>
          <w:fldChar w:fldCharType="separate"/>
        </w:r>
        <w:r>
          <w:rPr>
            <w:noProof/>
            <w:webHidden/>
          </w:rPr>
          <w:t>8</w:t>
        </w:r>
        <w:r>
          <w:rPr>
            <w:noProof/>
            <w:webHidden/>
          </w:rPr>
          <w:fldChar w:fldCharType="end"/>
        </w:r>
      </w:hyperlink>
    </w:p>
    <w:p w14:paraId="001B814B" w14:textId="65A7D227" w:rsidR="00DE02FE" w:rsidRDefault="00DE02FE">
      <w:pPr>
        <w:pStyle w:val="TableofFigures"/>
        <w:tabs>
          <w:tab w:val="right" w:leader="dot" w:pos="9016"/>
        </w:tabs>
        <w:rPr>
          <w:rFonts w:eastAsiaTheme="minorEastAsia"/>
          <w:noProof/>
          <w:kern w:val="2"/>
          <w:sz w:val="24"/>
          <w:szCs w:val="24"/>
          <w:lang w:eastAsia="en-GB"/>
          <w14:ligatures w14:val="standardContextual"/>
        </w:rPr>
      </w:pPr>
      <w:hyperlink w:anchor="_Toc203033577" w:history="1">
        <w:r w:rsidRPr="00354D23">
          <w:rPr>
            <w:rStyle w:val="Hyperlink"/>
            <w:noProof/>
          </w:rPr>
          <w:t>Table 5- Final explosive train.</w:t>
        </w:r>
        <w:r>
          <w:rPr>
            <w:noProof/>
            <w:webHidden/>
          </w:rPr>
          <w:tab/>
        </w:r>
        <w:r>
          <w:rPr>
            <w:noProof/>
            <w:webHidden/>
          </w:rPr>
          <w:fldChar w:fldCharType="begin"/>
        </w:r>
        <w:r>
          <w:rPr>
            <w:noProof/>
            <w:webHidden/>
          </w:rPr>
          <w:instrText xml:space="preserve"> PAGEREF _Toc203033577 \h </w:instrText>
        </w:r>
        <w:r>
          <w:rPr>
            <w:noProof/>
            <w:webHidden/>
          </w:rPr>
        </w:r>
        <w:r>
          <w:rPr>
            <w:noProof/>
            <w:webHidden/>
          </w:rPr>
          <w:fldChar w:fldCharType="separate"/>
        </w:r>
        <w:r>
          <w:rPr>
            <w:noProof/>
            <w:webHidden/>
          </w:rPr>
          <w:t>8</w:t>
        </w:r>
        <w:r>
          <w:rPr>
            <w:noProof/>
            <w:webHidden/>
          </w:rPr>
          <w:fldChar w:fldCharType="end"/>
        </w:r>
      </w:hyperlink>
    </w:p>
    <w:p w14:paraId="3A3BD3DE" w14:textId="6DCFFCD5" w:rsidR="00DE02FE" w:rsidRDefault="00DE02FE">
      <w:pPr>
        <w:pStyle w:val="TableofFigures"/>
        <w:tabs>
          <w:tab w:val="right" w:leader="dot" w:pos="9016"/>
        </w:tabs>
        <w:rPr>
          <w:rFonts w:eastAsiaTheme="minorEastAsia"/>
          <w:noProof/>
          <w:kern w:val="2"/>
          <w:sz w:val="24"/>
          <w:szCs w:val="24"/>
          <w:lang w:eastAsia="en-GB"/>
          <w14:ligatures w14:val="standardContextual"/>
        </w:rPr>
      </w:pPr>
      <w:hyperlink w:anchor="_Toc203033578" w:history="1">
        <w:r w:rsidRPr="00354D23">
          <w:rPr>
            <w:rStyle w:val="Hyperlink"/>
            <w:noProof/>
          </w:rPr>
          <w:t>Table 6- Explosive properties of Torpex [17]</w:t>
        </w:r>
        <w:r>
          <w:rPr>
            <w:noProof/>
            <w:webHidden/>
          </w:rPr>
          <w:tab/>
        </w:r>
        <w:r>
          <w:rPr>
            <w:noProof/>
            <w:webHidden/>
          </w:rPr>
          <w:fldChar w:fldCharType="begin"/>
        </w:r>
        <w:r>
          <w:rPr>
            <w:noProof/>
            <w:webHidden/>
          </w:rPr>
          <w:instrText xml:space="preserve"> PAGEREF _Toc203033578 \h </w:instrText>
        </w:r>
        <w:r>
          <w:rPr>
            <w:noProof/>
            <w:webHidden/>
          </w:rPr>
        </w:r>
        <w:r>
          <w:rPr>
            <w:noProof/>
            <w:webHidden/>
          </w:rPr>
          <w:fldChar w:fldCharType="separate"/>
        </w:r>
        <w:r>
          <w:rPr>
            <w:noProof/>
            <w:webHidden/>
          </w:rPr>
          <w:t>9</w:t>
        </w:r>
        <w:r>
          <w:rPr>
            <w:noProof/>
            <w:webHidden/>
          </w:rPr>
          <w:fldChar w:fldCharType="end"/>
        </w:r>
      </w:hyperlink>
    </w:p>
    <w:p w14:paraId="1309FADE" w14:textId="243BB947" w:rsidR="00E25D04" w:rsidRDefault="003D0444" w:rsidP="00E25D04">
      <w:pPr>
        <w:pStyle w:val="TableofFigures"/>
        <w:tabs>
          <w:tab w:val="right" w:leader="dot" w:pos="9016"/>
        </w:tabs>
        <w:jc w:val="both"/>
      </w:pPr>
      <w:r>
        <w:fldChar w:fldCharType="end"/>
      </w:r>
    </w:p>
    <w:p w14:paraId="08FE1DAC" w14:textId="579EDBE1" w:rsidR="00E25D04" w:rsidRDefault="00E25D04" w:rsidP="00E25D04">
      <w:pPr>
        <w:jc w:val="both"/>
      </w:pPr>
    </w:p>
    <w:p w14:paraId="2DC94FA0" w14:textId="7A11F98D" w:rsidR="00087B15" w:rsidRDefault="00E25D04" w:rsidP="00E25D04">
      <w:pPr>
        <w:jc w:val="both"/>
      </w:pPr>
      <w:r>
        <w:br w:type="page"/>
      </w:r>
      <w:r w:rsidR="005E7A23">
        <w:lastRenderedPageBreak/>
        <w:t xml:space="preserve">                     </w:t>
      </w:r>
    </w:p>
    <w:p w14:paraId="2C80ED9A" w14:textId="79E830E9" w:rsidR="00E25D04" w:rsidRDefault="00E25D04" w:rsidP="00710DEB">
      <w:pPr>
        <w:pStyle w:val="Heading1"/>
        <w:jc w:val="both"/>
      </w:pPr>
      <w:bookmarkStart w:id="3" w:name="_Toc203033556"/>
      <w:r>
        <w:t>Section one</w:t>
      </w:r>
      <w:r w:rsidR="009D5C6F">
        <w:t xml:space="preserve"> </w:t>
      </w:r>
      <w:r w:rsidR="00613768">
        <w:t>–</w:t>
      </w:r>
      <w:r w:rsidR="00925F7A">
        <w:t xml:space="preserve"> </w:t>
      </w:r>
      <w:r w:rsidR="00700BE2">
        <w:t>Introduction</w:t>
      </w:r>
      <w:bookmarkEnd w:id="3"/>
      <w:r w:rsidR="00700BE2">
        <w:t xml:space="preserve"> </w:t>
      </w:r>
    </w:p>
    <w:p w14:paraId="0862E75D" w14:textId="5D02DB28" w:rsidR="00700BE2" w:rsidRDefault="00700BE2" w:rsidP="00700BE2">
      <w:r>
        <w:t>This report will contain the information on how to calculate the oxygen balance for a certain explosive mixture</w:t>
      </w:r>
      <w:r w:rsidR="00D508BC">
        <w:t xml:space="preserve"> that the author has been provided with to complete this assignment</w:t>
      </w:r>
      <w:r>
        <w:t xml:space="preserve">. </w:t>
      </w:r>
      <w:r w:rsidR="00586809">
        <w:t xml:space="preserve">The performance of the explosive mixture will then be determined using various techniques covered throughout the course. </w:t>
      </w:r>
    </w:p>
    <w:p w14:paraId="4A29B9AD" w14:textId="39199503" w:rsidR="006A2DA7" w:rsidRDefault="006A2DA7" w:rsidP="006A2DA7">
      <w:pPr>
        <w:pStyle w:val="Heading2"/>
      </w:pPr>
      <w:bookmarkStart w:id="4" w:name="_Toc203033557"/>
      <w:r>
        <w:t>Calculating oxygen balance</w:t>
      </w:r>
      <w:bookmarkEnd w:id="4"/>
    </w:p>
    <w:tbl>
      <w:tblPr>
        <w:tblStyle w:val="TableGrid"/>
        <w:tblpPr w:leftFromText="180" w:rightFromText="180" w:vertAnchor="text" w:horzAnchor="margin" w:tblpXSpec="center" w:tblpY="648"/>
        <w:tblW w:w="9960" w:type="dxa"/>
        <w:tblLook w:val="04A0" w:firstRow="1" w:lastRow="0" w:firstColumn="1" w:lastColumn="0" w:noHBand="0" w:noVBand="1"/>
      </w:tblPr>
      <w:tblGrid>
        <w:gridCol w:w="3515"/>
        <w:gridCol w:w="3228"/>
        <w:gridCol w:w="3217"/>
      </w:tblGrid>
      <w:tr w:rsidR="004109F1" w14:paraId="416BA468" w14:textId="77777777" w:rsidTr="004109F1">
        <w:tc>
          <w:tcPr>
            <w:tcW w:w="3515" w:type="dxa"/>
            <w:tcBorders>
              <w:top w:val="single" w:sz="4" w:space="0" w:color="auto"/>
              <w:left w:val="single" w:sz="4" w:space="0" w:color="auto"/>
              <w:bottom w:val="single" w:sz="4" w:space="0" w:color="auto"/>
              <w:right w:val="single" w:sz="4" w:space="0" w:color="auto"/>
            </w:tcBorders>
            <w:hideMark/>
          </w:tcPr>
          <w:p w14:paraId="2CE71B1F" w14:textId="77777777" w:rsidR="004109F1" w:rsidRDefault="004109F1" w:rsidP="004109F1">
            <w:pPr>
              <w:rPr>
                <w:rFonts w:ascii="Arial" w:hAnsi="Arial" w:cs="Arial"/>
                <w:sz w:val="24"/>
                <w:szCs w:val="24"/>
              </w:rPr>
            </w:pPr>
            <w:r>
              <w:rPr>
                <w:rFonts w:ascii="Arial" w:hAnsi="Arial" w:cs="Arial"/>
                <w:sz w:val="24"/>
                <w:szCs w:val="24"/>
              </w:rPr>
              <w:t>Explosive</w:t>
            </w:r>
          </w:p>
        </w:tc>
        <w:tc>
          <w:tcPr>
            <w:tcW w:w="3228" w:type="dxa"/>
            <w:tcBorders>
              <w:top w:val="single" w:sz="4" w:space="0" w:color="auto"/>
              <w:left w:val="single" w:sz="4" w:space="0" w:color="auto"/>
              <w:bottom w:val="single" w:sz="4" w:space="0" w:color="auto"/>
              <w:right w:val="single" w:sz="4" w:space="0" w:color="auto"/>
            </w:tcBorders>
            <w:hideMark/>
          </w:tcPr>
          <w:p w14:paraId="39083D18" w14:textId="77777777" w:rsidR="004109F1" w:rsidRDefault="004109F1" w:rsidP="004109F1">
            <w:pPr>
              <w:rPr>
                <w:rFonts w:ascii="Arial" w:hAnsi="Arial" w:cs="Arial"/>
                <w:sz w:val="24"/>
                <w:szCs w:val="24"/>
              </w:rPr>
            </w:pPr>
            <w:r>
              <w:rPr>
                <w:rFonts w:ascii="Arial" w:hAnsi="Arial" w:cs="Arial"/>
                <w:sz w:val="24"/>
                <w:szCs w:val="24"/>
              </w:rPr>
              <w:t>TNT</w:t>
            </w:r>
          </w:p>
        </w:tc>
        <w:tc>
          <w:tcPr>
            <w:tcW w:w="3217" w:type="dxa"/>
            <w:tcBorders>
              <w:top w:val="single" w:sz="4" w:space="0" w:color="auto"/>
              <w:left w:val="single" w:sz="4" w:space="0" w:color="auto"/>
              <w:bottom w:val="single" w:sz="4" w:space="0" w:color="auto"/>
              <w:right w:val="single" w:sz="4" w:space="0" w:color="auto"/>
            </w:tcBorders>
            <w:hideMark/>
          </w:tcPr>
          <w:p w14:paraId="0C1CA17B" w14:textId="77777777" w:rsidR="004109F1" w:rsidRDefault="004109F1" w:rsidP="004109F1">
            <w:pPr>
              <w:rPr>
                <w:rFonts w:ascii="Arial" w:hAnsi="Arial" w:cs="Arial"/>
                <w:sz w:val="24"/>
                <w:szCs w:val="24"/>
              </w:rPr>
            </w:pPr>
            <w:r>
              <w:rPr>
                <w:rFonts w:ascii="Arial" w:hAnsi="Arial" w:cs="Arial"/>
                <w:sz w:val="24"/>
                <w:szCs w:val="24"/>
              </w:rPr>
              <w:t>RDX</w:t>
            </w:r>
          </w:p>
        </w:tc>
      </w:tr>
      <w:tr w:rsidR="004109F1" w14:paraId="77D5A1FF" w14:textId="77777777" w:rsidTr="004109F1">
        <w:tc>
          <w:tcPr>
            <w:tcW w:w="3515" w:type="dxa"/>
            <w:tcBorders>
              <w:top w:val="single" w:sz="4" w:space="0" w:color="auto"/>
              <w:left w:val="single" w:sz="4" w:space="0" w:color="auto"/>
              <w:bottom w:val="single" w:sz="4" w:space="0" w:color="auto"/>
              <w:right w:val="single" w:sz="4" w:space="0" w:color="auto"/>
            </w:tcBorders>
            <w:hideMark/>
          </w:tcPr>
          <w:p w14:paraId="598EF083" w14:textId="77777777" w:rsidR="004109F1" w:rsidRDefault="004109F1" w:rsidP="004109F1">
            <w:pPr>
              <w:rPr>
                <w:rFonts w:ascii="Arial" w:hAnsi="Arial" w:cs="Arial"/>
                <w:sz w:val="24"/>
                <w:szCs w:val="24"/>
              </w:rPr>
            </w:pPr>
            <w:r>
              <w:rPr>
                <w:rFonts w:ascii="Arial" w:hAnsi="Arial" w:cs="Arial"/>
                <w:sz w:val="24"/>
                <w:szCs w:val="24"/>
              </w:rPr>
              <w:t>Density</w:t>
            </w:r>
          </w:p>
        </w:tc>
        <w:tc>
          <w:tcPr>
            <w:tcW w:w="3228" w:type="dxa"/>
            <w:tcBorders>
              <w:top w:val="single" w:sz="4" w:space="0" w:color="auto"/>
              <w:left w:val="single" w:sz="4" w:space="0" w:color="auto"/>
              <w:bottom w:val="single" w:sz="4" w:space="0" w:color="auto"/>
              <w:right w:val="single" w:sz="4" w:space="0" w:color="auto"/>
            </w:tcBorders>
            <w:hideMark/>
          </w:tcPr>
          <w:p w14:paraId="5BADBD69" w14:textId="77777777" w:rsidR="004109F1" w:rsidRDefault="004109F1" w:rsidP="004109F1">
            <w:pPr>
              <w:rPr>
                <w:rFonts w:ascii="Arial" w:hAnsi="Arial" w:cs="Arial"/>
                <w:sz w:val="24"/>
                <w:szCs w:val="24"/>
              </w:rPr>
            </w:pPr>
            <w:r>
              <w:rPr>
                <w:rFonts w:ascii="Arial" w:hAnsi="Arial" w:cs="Arial"/>
                <w:sz w:val="24"/>
                <w:szCs w:val="24"/>
              </w:rPr>
              <w:t>1.654 g cm</w:t>
            </w:r>
            <w:r>
              <w:rPr>
                <w:rFonts w:ascii="Arial" w:hAnsi="Arial" w:cs="Arial"/>
                <w:sz w:val="24"/>
                <w:szCs w:val="24"/>
                <w:vertAlign w:val="superscript"/>
              </w:rPr>
              <w:t>-3</w:t>
            </w:r>
          </w:p>
        </w:tc>
        <w:tc>
          <w:tcPr>
            <w:tcW w:w="3217" w:type="dxa"/>
            <w:tcBorders>
              <w:top w:val="single" w:sz="4" w:space="0" w:color="auto"/>
              <w:left w:val="single" w:sz="4" w:space="0" w:color="auto"/>
              <w:bottom w:val="single" w:sz="4" w:space="0" w:color="auto"/>
              <w:right w:val="single" w:sz="4" w:space="0" w:color="auto"/>
            </w:tcBorders>
            <w:hideMark/>
          </w:tcPr>
          <w:p w14:paraId="33484D98" w14:textId="77777777" w:rsidR="004109F1" w:rsidRDefault="004109F1" w:rsidP="004109F1">
            <w:pPr>
              <w:rPr>
                <w:rFonts w:ascii="Arial" w:hAnsi="Arial" w:cs="Arial"/>
                <w:sz w:val="24"/>
                <w:szCs w:val="24"/>
              </w:rPr>
            </w:pPr>
            <w:r>
              <w:rPr>
                <w:rFonts w:ascii="Arial" w:hAnsi="Arial" w:cs="Arial"/>
                <w:sz w:val="24"/>
                <w:szCs w:val="24"/>
              </w:rPr>
              <w:t>1.793 g cm</w:t>
            </w:r>
            <w:r>
              <w:rPr>
                <w:rFonts w:ascii="Arial" w:hAnsi="Arial" w:cs="Arial"/>
                <w:sz w:val="24"/>
                <w:szCs w:val="24"/>
                <w:vertAlign w:val="superscript"/>
              </w:rPr>
              <w:t>-3</w:t>
            </w:r>
          </w:p>
        </w:tc>
      </w:tr>
      <w:tr w:rsidR="004109F1" w14:paraId="56AC4B0E" w14:textId="77777777" w:rsidTr="004109F1">
        <w:tc>
          <w:tcPr>
            <w:tcW w:w="3515" w:type="dxa"/>
            <w:tcBorders>
              <w:top w:val="single" w:sz="4" w:space="0" w:color="auto"/>
              <w:left w:val="single" w:sz="4" w:space="0" w:color="auto"/>
              <w:bottom w:val="single" w:sz="4" w:space="0" w:color="auto"/>
              <w:right w:val="single" w:sz="4" w:space="0" w:color="auto"/>
            </w:tcBorders>
            <w:hideMark/>
          </w:tcPr>
          <w:p w14:paraId="59B4B569" w14:textId="77777777" w:rsidR="004109F1" w:rsidRDefault="004109F1" w:rsidP="004109F1">
            <w:pPr>
              <w:rPr>
                <w:rFonts w:ascii="Arial" w:hAnsi="Arial" w:cs="Arial"/>
                <w:sz w:val="24"/>
                <w:szCs w:val="24"/>
              </w:rPr>
            </w:pPr>
            <w:r>
              <w:rPr>
                <w:rFonts w:ascii="Arial" w:hAnsi="Arial" w:cs="Arial"/>
                <w:sz w:val="24"/>
                <w:szCs w:val="24"/>
              </w:rPr>
              <w:t>VoD</w:t>
            </w:r>
          </w:p>
        </w:tc>
        <w:tc>
          <w:tcPr>
            <w:tcW w:w="3228" w:type="dxa"/>
            <w:tcBorders>
              <w:top w:val="single" w:sz="4" w:space="0" w:color="auto"/>
              <w:left w:val="single" w:sz="4" w:space="0" w:color="auto"/>
              <w:bottom w:val="single" w:sz="4" w:space="0" w:color="auto"/>
              <w:right w:val="single" w:sz="4" w:space="0" w:color="auto"/>
            </w:tcBorders>
            <w:hideMark/>
          </w:tcPr>
          <w:p w14:paraId="04A06E11" w14:textId="77777777" w:rsidR="004109F1" w:rsidRDefault="004109F1" w:rsidP="004109F1">
            <w:pPr>
              <w:rPr>
                <w:rFonts w:ascii="Arial" w:hAnsi="Arial" w:cs="Arial"/>
                <w:sz w:val="24"/>
                <w:szCs w:val="24"/>
              </w:rPr>
            </w:pPr>
            <w:r>
              <w:rPr>
                <w:rFonts w:ascii="Arial" w:hAnsi="Arial" w:cs="Arial"/>
                <w:sz w:val="24"/>
                <w:szCs w:val="24"/>
              </w:rPr>
              <w:t>6850 ms</w:t>
            </w:r>
            <w:r>
              <w:rPr>
                <w:rFonts w:ascii="Arial" w:hAnsi="Arial" w:cs="Arial"/>
                <w:sz w:val="24"/>
                <w:szCs w:val="24"/>
                <w:vertAlign w:val="superscript"/>
              </w:rPr>
              <w:t>-1</w:t>
            </w:r>
          </w:p>
        </w:tc>
        <w:tc>
          <w:tcPr>
            <w:tcW w:w="3217" w:type="dxa"/>
            <w:tcBorders>
              <w:top w:val="single" w:sz="4" w:space="0" w:color="auto"/>
              <w:left w:val="single" w:sz="4" w:space="0" w:color="auto"/>
              <w:bottom w:val="single" w:sz="4" w:space="0" w:color="auto"/>
              <w:right w:val="single" w:sz="4" w:space="0" w:color="auto"/>
            </w:tcBorders>
            <w:hideMark/>
          </w:tcPr>
          <w:p w14:paraId="19AB2B64" w14:textId="77777777" w:rsidR="004109F1" w:rsidRDefault="004109F1" w:rsidP="004109F1">
            <w:pPr>
              <w:rPr>
                <w:rFonts w:ascii="Arial" w:hAnsi="Arial" w:cs="Arial"/>
                <w:sz w:val="24"/>
                <w:szCs w:val="24"/>
              </w:rPr>
            </w:pPr>
            <w:r>
              <w:rPr>
                <w:rFonts w:ascii="Arial" w:hAnsi="Arial" w:cs="Arial"/>
                <w:sz w:val="24"/>
                <w:szCs w:val="24"/>
              </w:rPr>
              <w:t>8440 ms</w:t>
            </w:r>
            <w:r>
              <w:rPr>
                <w:rFonts w:ascii="Arial" w:hAnsi="Arial" w:cs="Arial"/>
                <w:sz w:val="24"/>
                <w:szCs w:val="24"/>
                <w:vertAlign w:val="superscript"/>
              </w:rPr>
              <w:t>-1</w:t>
            </w:r>
          </w:p>
        </w:tc>
      </w:tr>
      <w:tr w:rsidR="004109F1" w14:paraId="7C0B766D" w14:textId="77777777" w:rsidTr="004109F1">
        <w:tc>
          <w:tcPr>
            <w:tcW w:w="3515" w:type="dxa"/>
            <w:tcBorders>
              <w:top w:val="single" w:sz="4" w:space="0" w:color="auto"/>
              <w:left w:val="single" w:sz="4" w:space="0" w:color="auto"/>
              <w:bottom w:val="single" w:sz="4" w:space="0" w:color="auto"/>
              <w:right w:val="single" w:sz="4" w:space="0" w:color="auto"/>
            </w:tcBorders>
            <w:hideMark/>
          </w:tcPr>
          <w:p w14:paraId="2AC84CFA" w14:textId="77777777" w:rsidR="004109F1" w:rsidRDefault="004109F1" w:rsidP="004109F1">
            <w:pPr>
              <w:rPr>
                <w:rFonts w:ascii="Arial" w:hAnsi="Arial" w:cs="Arial"/>
                <w:sz w:val="24"/>
                <w:szCs w:val="24"/>
              </w:rPr>
            </w:pPr>
            <w:r>
              <w:rPr>
                <w:rFonts w:ascii="Arial" w:hAnsi="Arial" w:cs="Arial"/>
                <w:sz w:val="24"/>
                <w:szCs w:val="24"/>
              </w:rPr>
              <w:t>Detonation Pressure</w:t>
            </w:r>
          </w:p>
        </w:tc>
        <w:tc>
          <w:tcPr>
            <w:tcW w:w="3228" w:type="dxa"/>
            <w:tcBorders>
              <w:top w:val="single" w:sz="4" w:space="0" w:color="auto"/>
              <w:left w:val="single" w:sz="4" w:space="0" w:color="auto"/>
              <w:bottom w:val="single" w:sz="4" w:space="0" w:color="auto"/>
              <w:right w:val="single" w:sz="4" w:space="0" w:color="auto"/>
            </w:tcBorders>
            <w:hideMark/>
          </w:tcPr>
          <w:p w14:paraId="613DD415" w14:textId="77777777" w:rsidR="004109F1" w:rsidRDefault="004109F1" w:rsidP="004109F1">
            <w:pPr>
              <w:rPr>
                <w:rFonts w:ascii="Arial" w:hAnsi="Arial" w:cs="Arial"/>
                <w:sz w:val="24"/>
                <w:szCs w:val="24"/>
              </w:rPr>
            </w:pPr>
            <w:r>
              <w:rPr>
                <w:rFonts w:ascii="Arial" w:hAnsi="Arial" w:cs="Arial"/>
                <w:sz w:val="24"/>
                <w:szCs w:val="24"/>
              </w:rPr>
              <w:t>19 GPa</w:t>
            </w:r>
          </w:p>
        </w:tc>
        <w:tc>
          <w:tcPr>
            <w:tcW w:w="3217" w:type="dxa"/>
            <w:tcBorders>
              <w:top w:val="single" w:sz="4" w:space="0" w:color="auto"/>
              <w:left w:val="single" w:sz="4" w:space="0" w:color="auto"/>
              <w:bottom w:val="single" w:sz="4" w:space="0" w:color="auto"/>
              <w:right w:val="single" w:sz="4" w:space="0" w:color="auto"/>
            </w:tcBorders>
            <w:hideMark/>
          </w:tcPr>
          <w:p w14:paraId="1BFE0B7D" w14:textId="77777777" w:rsidR="004109F1" w:rsidRDefault="004109F1" w:rsidP="004109F1">
            <w:pPr>
              <w:rPr>
                <w:rFonts w:ascii="Arial" w:hAnsi="Arial" w:cs="Arial"/>
                <w:sz w:val="24"/>
                <w:szCs w:val="24"/>
              </w:rPr>
            </w:pPr>
            <w:r>
              <w:rPr>
                <w:rFonts w:ascii="Arial" w:hAnsi="Arial" w:cs="Arial"/>
                <w:sz w:val="24"/>
                <w:szCs w:val="24"/>
              </w:rPr>
              <w:t>31.9 GPa</w:t>
            </w:r>
          </w:p>
        </w:tc>
      </w:tr>
      <w:tr w:rsidR="004109F1" w14:paraId="685F4216" w14:textId="77777777" w:rsidTr="004109F1">
        <w:tc>
          <w:tcPr>
            <w:tcW w:w="3515" w:type="dxa"/>
            <w:tcBorders>
              <w:top w:val="single" w:sz="4" w:space="0" w:color="auto"/>
              <w:left w:val="single" w:sz="4" w:space="0" w:color="auto"/>
              <w:bottom w:val="single" w:sz="4" w:space="0" w:color="auto"/>
              <w:right w:val="single" w:sz="4" w:space="0" w:color="auto"/>
            </w:tcBorders>
            <w:hideMark/>
          </w:tcPr>
          <w:p w14:paraId="5ECB2064" w14:textId="77777777" w:rsidR="004109F1" w:rsidRDefault="004109F1" w:rsidP="004109F1">
            <w:pPr>
              <w:rPr>
                <w:rFonts w:ascii="Arial" w:hAnsi="Arial" w:cs="Arial"/>
                <w:sz w:val="24"/>
                <w:szCs w:val="24"/>
              </w:rPr>
            </w:pPr>
            <w:r>
              <w:rPr>
                <w:rFonts w:ascii="Arial" w:hAnsi="Arial" w:cs="Arial"/>
                <w:sz w:val="24"/>
                <w:szCs w:val="24"/>
              </w:rPr>
              <w:t>Critical Diameter (unconfined)</w:t>
            </w:r>
          </w:p>
        </w:tc>
        <w:tc>
          <w:tcPr>
            <w:tcW w:w="3228" w:type="dxa"/>
            <w:tcBorders>
              <w:top w:val="single" w:sz="4" w:space="0" w:color="auto"/>
              <w:left w:val="single" w:sz="4" w:space="0" w:color="auto"/>
              <w:bottom w:val="single" w:sz="4" w:space="0" w:color="auto"/>
              <w:right w:val="single" w:sz="4" w:space="0" w:color="auto"/>
            </w:tcBorders>
            <w:hideMark/>
          </w:tcPr>
          <w:p w14:paraId="31A692A4" w14:textId="77777777" w:rsidR="004109F1" w:rsidRDefault="004109F1" w:rsidP="004109F1">
            <w:pPr>
              <w:rPr>
                <w:rFonts w:ascii="Arial" w:hAnsi="Arial" w:cs="Arial"/>
                <w:sz w:val="24"/>
                <w:szCs w:val="24"/>
              </w:rPr>
            </w:pPr>
            <w:r>
              <w:rPr>
                <w:rFonts w:ascii="Arial" w:hAnsi="Arial" w:cs="Arial"/>
                <w:sz w:val="24"/>
                <w:szCs w:val="24"/>
              </w:rPr>
              <w:t>2 mm</w:t>
            </w:r>
          </w:p>
        </w:tc>
        <w:tc>
          <w:tcPr>
            <w:tcW w:w="3217" w:type="dxa"/>
            <w:tcBorders>
              <w:top w:val="single" w:sz="4" w:space="0" w:color="auto"/>
              <w:left w:val="single" w:sz="4" w:space="0" w:color="auto"/>
              <w:bottom w:val="single" w:sz="4" w:space="0" w:color="auto"/>
              <w:right w:val="single" w:sz="4" w:space="0" w:color="auto"/>
            </w:tcBorders>
            <w:hideMark/>
          </w:tcPr>
          <w:p w14:paraId="5E547026" w14:textId="77777777" w:rsidR="004109F1" w:rsidRDefault="004109F1" w:rsidP="004109F1">
            <w:pPr>
              <w:rPr>
                <w:rFonts w:ascii="Arial" w:hAnsi="Arial" w:cs="Arial"/>
                <w:sz w:val="24"/>
                <w:szCs w:val="24"/>
              </w:rPr>
            </w:pPr>
            <w:r>
              <w:rPr>
                <w:rFonts w:ascii="Arial" w:hAnsi="Arial" w:cs="Arial"/>
                <w:sz w:val="24"/>
                <w:szCs w:val="24"/>
              </w:rPr>
              <w:t>1.5 mm</w:t>
            </w:r>
          </w:p>
        </w:tc>
      </w:tr>
      <w:tr w:rsidR="004109F1" w14:paraId="203BBD24" w14:textId="77777777" w:rsidTr="004109F1">
        <w:tc>
          <w:tcPr>
            <w:tcW w:w="3515" w:type="dxa"/>
            <w:tcBorders>
              <w:top w:val="single" w:sz="4" w:space="0" w:color="auto"/>
              <w:left w:val="single" w:sz="4" w:space="0" w:color="auto"/>
              <w:bottom w:val="single" w:sz="4" w:space="0" w:color="auto"/>
              <w:right w:val="single" w:sz="4" w:space="0" w:color="auto"/>
            </w:tcBorders>
            <w:hideMark/>
          </w:tcPr>
          <w:p w14:paraId="29772F7E" w14:textId="77777777" w:rsidR="004109F1" w:rsidRDefault="004109F1" w:rsidP="004109F1">
            <w:pPr>
              <w:rPr>
                <w:rFonts w:ascii="Arial" w:hAnsi="Arial" w:cs="Arial"/>
                <w:sz w:val="24"/>
                <w:szCs w:val="24"/>
              </w:rPr>
            </w:pPr>
            <w:r>
              <w:rPr>
                <w:rFonts w:ascii="Arial" w:hAnsi="Arial" w:cs="Arial"/>
                <w:sz w:val="24"/>
                <w:szCs w:val="24"/>
              </w:rPr>
              <w:t>Oxygen Balance</w:t>
            </w:r>
          </w:p>
        </w:tc>
        <w:tc>
          <w:tcPr>
            <w:tcW w:w="3228" w:type="dxa"/>
            <w:tcBorders>
              <w:top w:val="single" w:sz="4" w:space="0" w:color="auto"/>
              <w:left w:val="single" w:sz="4" w:space="0" w:color="auto"/>
              <w:bottom w:val="single" w:sz="4" w:space="0" w:color="auto"/>
              <w:right w:val="single" w:sz="4" w:space="0" w:color="auto"/>
            </w:tcBorders>
            <w:hideMark/>
          </w:tcPr>
          <w:p w14:paraId="5C65C505" w14:textId="77777777" w:rsidR="004109F1" w:rsidRDefault="004109F1" w:rsidP="004109F1">
            <w:pPr>
              <w:rPr>
                <w:rFonts w:ascii="Arial" w:hAnsi="Arial" w:cs="Arial"/>
                <w:sz w:val="24"/>
                <w:szCs w:val="24"/>
              </w:rPr>
            </w:pPr>
            <w:r>
              <w:rPr>
                <w:rFonts w:ascii="Arial" w:hAnsi="Arial" w:cs="Arial"/>
                <w:sz w:val="24"/>
                <w:szCs w:val="24"/>
              </w:rPr>
              <w:t>-73.96</w:t>
            </w:r>
          </w:p>
        </w:tc>
        <w:tc>
          <w:tcPr>
            <w:tcW w:w="3217" w:type="dxa"/>
            <w:tcBorders>
              <w:top w:val="single" w:sz="4" w:space="0" w:color="auto"/>
              <w:left w:val="single" w:sz="4" w:space="0" w:color="auto"/>
              <w:bottom w:val="single" w:sz="4" w:space="0" w:color="auto"/>
              <w:right w:val="single" w:sz="4" w:space="0" w:color="auto"/>
            </w:tcBorders>
            <w:hideMark/>
          </w:tcPr>
          <w:p w14:paraId="47443F43" w14:textId="77777777" w:rsidR="004109F1" w:rsidRDefault="004109F1" w:rsidP="004109F1">
            <w:pPr>
              <w:rPr>
                <w:rFonts w:ascii="Arial" w:hAnsi="Arial" w:cs="Arial"/>
                <w:sz w:val="24"/>
                <w:szCs w:val="24"/>
              </w:rPr>
            </w:pPr>
            <w:r>
              <w:rPr>
                <w:rFonts w:ascii="Arial" w:hAnsi="Arial" w:cs="Arial"/>
                <w:sz w:val="24"/>
                <w:szCs w:val="24"/>
              </w:rPr>
              <w:t>-21.61</w:t>
            </w:r>
          </w:p>
        </w:tc>
      </w:tr>
      <w:tr w:rsidR="004109F1" w14:paraId="52D4B1CE" w14:textId="77777777" w:rsidTr="004109F1">
        <w:tc>
          <w:tcPr>
            <w:tcW w:w="3515" w:type="dxa"/>
            <w:tcBorders>
              <w:top w:val="single" w:sz="4" w:space="0" w:color="auto"/>
              <w:left w:val="single" w:sz="4" w:space="0" w:color="auto"/>
              <w:bottom w:val="single" w:sz="4" w:space="0" w:color="auto"/>
              <w:right w:val="single" w:sz="4" w:space="0" w:color="auto"/>
            </w:tcBorders>
            <w:hideMark/>
          </w:tcPr>
          <w:p w14:paraId="2ED3D2B7" w14:textId="77777777" w:rsidR="004109F1" w:rsidRDefault="004109F1" w:rsidP="004109F1">
            <w:pPr>
              <w:rPr>
                <w:rFonts w:ascii="Arial" w:hAnsi="Arial" w:cs="Arial"/>
                <w:sz w:val="24"/>
                <w:szCs w:val="24"/>
              </w:rPr>
            </w:pPr>
            <w:r>
              <w:rPr>
                <w:rFonts w:ascii="Arial" w:hAnsi="Arial" w:cs="Arial"/>
                <w:sz w:val="24"/>
                <w:szCs w:val="24"/>
              </w:rPr>
              <w:t>Enthalpy of Formation</w:t>
            </w:r>
          </w:p>
        </w:tc>
        <w:tc>
          <w:tcPr>
            <w:tcW w:w="3228" w:type="dxa"/>
            <w:tcBorders>
              <w:top w:val="single" w:sz="4" w:space="0" w:color="auto"/>
              <w:left w:val="single" w:sz="4" w:space="0" w:color="auto"/>
              <w:bottom w:val="single" w:sz="4" w:space="0" w:color="auto"/>
              <w:right w:val="single" w:sz="4" w:space="0" w:color="auto"/>
            </w:tcBorders>
            <w:hideMark/>
          </w:tcPr>
          <w:p w14:paraId="0F4778A5" w14:textId="77777777" w:rsidR="004109F1" w:rsidRDefault="004109F1" w:rsidP="004109F1">
            <w:pPr>
              <w:rPr>
                <w:rFonts w:ascii="Arial" w:hAnsi="Arial" w:cs="Arial"/>
                <w:sz w:val="24"/>
                <w:szCs w:val="24"/>
              </w:rPr>
            </w:pPr>
            <w:r>
              <w:rPr>
                <w:rFonts w:ascii="Arial" w:hAnsi="Arial" w:cs="Arial"/>
                <w:sz w:val="24"/>
                <w:szCs w:val="24"/>
              </w:rPr>
              <w:t>-62.07 kJ mol</w:t>
            </w:r>
            <w:r>
              <w:rPr>
                <w:rFonts w:ascii="Arial" w:hAnsi="Arial" w:cs="Arial"/>
                <w:sz w:val="24"/>
                <w:szCs w:val="24"/>
                <w:vertAlign w:val="superscript"/>
              </w:rPr>
              <w:t>-1</w:t>
            </w:r>
          </w:p>
        </w:tc>
        <w:tc>
          <w:tcPr>
            <w:tcW w:w="3217" w:type="dxa"/>
            <w:tcBorders>
              <w:top w:val="single" w:sz="4" w:space="0" w:color="auto"/>
              <w:left w:val="single" w:sz="4" w:space="0" w:color="auto"/>
              <w:bottom w:val="single" w:sz="4" w:space="0" w:color="auto"/>
              <w:right w:val="single" w:sz="4" w:space="0" w:color="auto"/>
            </w:tcBorders>
            <w:hideMark/>
          </w:tcPr>
          <w:p w14:paraId="43EC1454" w14:textId="77777777" w:rsidR="004109F1" w:rsidRDefault="004109F1" w:rsidP="004109F1">
            <w:pPr>
              <w:keepNext/>
              <w:rPr>
                <w:rFonts w:ascii="Arial" w:hAnsi="Arial" w:cs="Arial"/>
                <w:sz w:val="24"/>
                <w:szCs w:val="24"/>
              </w:rPr>
            </w:pPr>
            <w:r>
              <w:rPr>
                <w:rFonts w:ascii="Arial" w:hAnsi="Arial" w:cs="Arial"/>
                <w:sz w:val="24"/>
                <w:szCs w:val="24"/>
              </w:rPr>
              <w:t>+70.29 kJ mol</w:t>
            </w:r>
            <w:r>
              <w:rPr>
                <w:rFonts w:ascii="Arial" w:hAnsi="Arial" w:cs="Arial"/>
                <w:sz w:val="24"/>
                <w:szCs w:val="24"/>
                <w:vertAlign w:val="superscript"/>
              </w:rPr>
              <w:t>-1</w:t>
            </w:r>
          </w:p>
        </w:tc>
      </w:tr>
    </w:tbl>
    <w:p w14:paraId="1D1404FB" w14:textId="67D81F1C" w:rsidR="00B31736" w:rsidRPr="00B016CA" w:rsidRDefault="00FC7E50" w:rsidP="00B016CA">
      <w:pPr>
        <w:rPr>
          <w:rFonts w:cstheme="minorHAnsi"/>
        </w:rPr>
      </w:pPr>
      <w:r w:rsidRPr="00FC7E50">
        <w:rPr>
          <w:rFonts w:cstheme="minorHAnsi"/>
          <w:sz w:val="20"/>
          <w:szCs w:val="20"/>
        </w:rPr>
        <w:t xml:space="preserve"> </w:t>
      </w:r>
      <w:r w:rsidRPr="00FC7E50">
        <w:rPr>
          <w:rFonts w:cstheme="minorHAnsi"/>
        </w:rPr>
        <w:t>A mixed explosive composition comprises 60% RDX and 40% TNT, with the following explosive parameters:</w:t>
      </w:r>
    </w:p>
    <w:p w14:paraId="1B599AE8" w14:textId="072FC9ED" w:rsidR="004109F1" w:rsidRDefault="004109F1" w:rsidP="004109F1">
      <w:pPr>
        <w:pStyle w:val="Caption"/>
        <w:keepNext/>
      </w:pPr>
      <w:bookmarkStart w:id="5" w:name="_Toc203033573"/>
      <w:r>
        <w:t xml:space="preserve">Table </w:t>
      </w:r>
      <w:r w:rsidR="00D51978">
        <w:fldChar w:fldCharType="begin"/>
      </w:r>
      <w:r w:rsidR="00D51978">
        <w:instrText xml:space="preserve"> SEQ Table \* ARABIC </w:instrText>
      </w:r>
      <w:r w:rsidR="00D51978">
        <w:fldChar w:fldCharType="separate"/>
      </w:r>
      <w:r w:rsidR="0000404B">
        <w:rPr>
          <w:noProof/>
        </w:rPr>
        <w:t>1</w:t>
      </w:r>
      <w:r w:rsidR="00D51978">
        <w:fldChar w:fldCharType="end"/>
      </w:r>
      <w:r>
        <w:t>- Mixed explosive parameters</w:t>
      </w:r>
      <w:bookmarkEnd w:id="5"/>
    </w:p>
    <w:p w14:paraId="5C326E31" w14:textId="1FE5CD36" w:rsidR="00FC7E50" w:rsidRDefault="00205D75" w:rsidP="00A96C9F">
      <w:pPr>
        <w:rPr>
          <w:rFonts w:cstheme="minorHAnsi"/>
        </w:rPr>
      </w:pPr>
      <w:r>
        <w:rPr>
          <w:rFonts w:cstheme="minorHAnsi"/>
        </w:rPr>
        <w:t>Oxyge</w:t>
      </w:r>
      <w:r w:rsidR="002F050E">
        <w:rPr>
          <w:rFonts w:cstheme="minorHAnsi"/>
        </w:rPr>
        <w:t xml:space="preserve">n balance is </w:t>
      </w:r>
      <w:r w:rsidR="004217F2">
        <w:rPr>
          <w:rFonts w:cstheme="minorHAnsi"/>
        </w:rPr>
        <w:t xml:space="preserve">the amount of oxygen in a molecule compared to the amount </w:t>
      </w:r>
      <w:r w:rsidR="003D00C1">
        <w:rPr>
          <w:rFonts w:cstheme="minorHAnsi"/>
        </w:rPr>
        <w:t>required</w:t>
      </w:r>
      <w:r w:rsidR="004217F2">
        <w:rPr>
          <w:rFonts w:cstheme="minorHAnsi"/>
        </w:rPr>
        <w:t xml:space="preserve"> to complete full oxidation</w:t>
      </w:r>
      <w:r w:rsidR="003D00C1">
        <w:rPr>
          <w:rFonts w:cstheme="minorHAnsi"/>
        </w:rPr>
        <w:t xml:space="preserve"> of the fuel elements. </w:t>
      </w:r>
      <w:r w:rsidR="007A01D2">
        <w:rPr>
          <w:rFonts w:cstheme="minorHAnsi"/>
        </w:rPr>
        <w:t xml:space="preserve">If the amount of oxygen is </w:t>
      </w:r>
      <w:r w:rsidR="00EB7E28">
        <w:rPr>
          <w:rFonts w:cstheme="minorHAnsi"/>
        </w:rPr>
        <w:t>insufficient,</w:t>
      </w:r>
      <w:r w:rsidR="007A01D2">
        <w:rPr>
          <w:rFonts w:cstheme="minorHAnsi"/>
        </w:rPr>
        <w:t xml:space="preserve"> </w:t>
      </w:r>
      <w:r w:rsidR="0008315D">
        <w:rPr>
          <w:rFonts w:cstheme="minorHAnsi"/>
        </w:rPr>
        <w:t>then it will produce a negative oxygen balance</w:t>
      </w:r>
      <w:r w:rsidR="00E81AC3">
        <w:rPr>
          <w:rFonts w:cstheme="minorHAnsi"/>
        </w:rPr>
        <w:t xml:space="preserve"> which means the products will contain toxic gases</w:t>
      </w:r>
      <w:r w:rsidR="00DF5EDE">
        <w:rPr>
          <w:rFonts w:cstheme="minorHAnsi"/>
        </w:rPr>
        <w:t xml:space="preserve">. </w:t>
      </w:r>
      <w:r w:rsidR="002901D1">
        <w:rPr>
          <w:rFonts w:cstheme="minorHAnsi"/>
        </w:rPr>
        <w:t xml:space="preserve">If the amount of oxygen is more than </w:t>
      </w:r>
      <w:r w:rsidR="00EB7E28">
        <w:rPr>
          <w:rFonts w:cstheme="minorHAnsi"/>
        </w:rPr>
        <w:t>required,</w:t>
      </w:r>
      <w:r w:rsidR="002901D1">
        <w:rPr>
          <w:rFonts w:cstheme="minorHAnsi"/>
        </w:rPr>
        <w:t xml:space="preserve"> then the oxygen balance will be positive</w:t>
      </w:r>
      <w:r w:rsidR="0051526E">
        <w:rPr>
          <w:rFonts w:cstheme="minorHAnsi"/>
        </w:rPr>
        <w:t xml:space="preserve"> [1]. </w:t>
      </w:r>
      <w:r w:rsidR="002C3988">
        <w:rPr>
          <w:rFonts w:cstheme="minorHAnsi"/>
        </w:rPr>
        <w:t>Oxygen balance is</w:t>
      </w:r>
      <w:r w:rsidR="00D73A10">
        <w:rPr>
          <w:rFonts w:cstheme="minorHAnsi"/>
        </w:rPr>
        <w:t xml:space="preserve"> </w:t>
      </w:r>
      <w:r w:rsidR="002C3988">
        <w:rPr>
          <w:rFonts w:cstheme="minorHAnsi"/>
        </w:rPr>
        <w:t xml:space="preserve">defined as a percentage therefore if the oxygen balance is 0% it has the exact required amount of oxygen to complete full oxidation. The closer the percentage is to </w:t>
      </w:r>
      <w:r w:rsidR="00D73A10">
        <w:rPr>
          <w:rFonts w:cstheme="minorHAnsi"/>
        </w:rPr>
        <w:t>zero</w:t>
      </w:r>
      <w:r w:rsidR="002C3988">
        <w:rPr>
          <w:rFonts w:cstheme="minorHAnsi"/>
        </w:rPr>
        <w:t xml:space="preserve"> the</w:t>
      </w:r>
      <w:r w:rsidR="000B361C">
        <w:rPr>
          <w:rFonts w:cstheme="minorHAnsi"/>
        </w:rPr>
        <w:t xml:space="preserve"> higher the performance of the explosive. </w:t>
      </w:r>
      <w:r w:rsidR="00F254B4">
        <w:rPr>
          <w:rFonts w:cstheme="minorHAnsi"/>
        </w:rPr>
        <w:t>The table above details the properties of both TNT and RDX</w:t>
      </w:r>
      <w:r w:rsidR="00E37D60">
        <w:rPr>
          <w:rFonts w:cstheme="minorHAnsi"/>
        </w:rPr>
        <w:t xml:space="preserve"> this will be used to </w:t>
      </w:r>
      <w:r w:rsidR="00246C6B">
        <w:rPr>
          <w:rFonts w:cstheme="minorHAnsi"/>
        </w:rPr>
        <w:t xml:space="preserve">determine the oxygen balance of a 60% RDX and 40% TNT mixed explosive. </w:t>
      </w:r>
    </w:p>
    <w:p w14:paraId="69B96C8B" w14:textId="1230211F" w:rsidR="006A2B42" w:rsidRDefault="006A2B42" w:rsidP="00A96C9F">
      <w:pPr>
        <w:rPr>
          <w:rFonts w:cstheme="minorHAnsi"/>
        </w:rPr>
      </w:pPr>
      <w:r>
        <w:rPr>
          <w:rFonts w:cstheme="minorHAnsi"/>
        </w:rPr>
        <w:t xml:space="preserve">As detailed above the </w:t>
      </w:r>
      <w:r w:rsidR="00602C3D">
        <w:rPr>
          <w:rFonts w:cstheme="minorHAnsi"/>
        </w:rPr>
        <w:t xml:space="preserve">Oxygen balance of TNT is -73.96% this however is for a 100% TNT explosive therefor </w:t>
      </w:r>
      <w:r w:rsidR="000A27F5">
        <w:rPr>
          <w:rFonts w:cstheme="minorHAnsi"/>
        </w:rPr>
        <w:t xml:space="preserve">40% will need to be calculated by doing </w:t>
      </w:r>
      <w:r w:rsidR="00096014">
        <w:rPr>
          <w:rFonts w:cstheme="minorHAnsi"/>
        </w:rPr>
        <w:t>0.4</w:t>
      </w:r>
      <w:r w:rsidR="00C3215D">
        <w:rPr>
          <w:rFonts w:cstheme="minorHAnsi"/>
        </w:rPr>
        <w:t xml:space="preserve"> x -73.96% = -29.</w:t>
      </w:r>
      <w:r w:rsidR="008F52D9">
        <w:rPr>
          <w:rFonts w:cstheme="minorHAnsi"/>
        </w:rPr>
        <w:t xml:space="preserve">584%. </w:t>
      </w:r>
    </w:p>
    <w:p w14:paraId="6F31BA8A" w14:textId="3C225FC3" w:rsidR="008F52D9" w:rsidRDefault="008F52D9" w:rsidP="00A96C9F">
      <w:pPr>
        <w:rPr>
          <w:rFonts w:cstheme="minorHAnsi"/>
        </w:rPr>
      </w:pPr>
      <w:r>
        <w:rPr>
          <w:rFonts w:cstheme="minorHAnsi"/>
        </w:rPr>
        <w:t>The Oxygen balance of</w:t>
      </w:r>
      <w:r w:rsidR="00CF4A25">
        <w:rPr>
          <w:rFonts w:cstheme="minorHAnsi"/>
        </w:rPr>
        <w:t xml:space="preserve"> 100%</w:t>
      </w:r>
      <w:r>
        <w:rPr>
          <w:rFonts w:cstheme="minorHAnsi"/>
        </w:rPr>
        <w:t xml:space="preserve"> RDX is -21.61%</w:t>
      </w:r>
      <w:r w:rsidR="00CF4A25">
        <w:rPr>
          <w:rFonts w:cstheme="minorHAnsi"/>
        </w:rPr>
        <w:t xml:space="preserve"> therefore to work out 60% RDX</w:t>
      </w:r>
      <w:r w:rsidR="003E7CC9">
        <w:rPr>
          <w:rFonts w:cstheme="minorHAnsi"/>
        </w:rPr>
        <w:t xml:space="preserve"> 0.6 x </w:t>
      </w:r>
      <w:r w:rsidR="00CC65A9">
        <w:rPr>
          <w:rFonts w:cstheme="minorHAnsi"/>
        </w:rPr>
        <w:t>-21.61% = -12.966</w:t>
      </w:r>
      <w:r>
        <w:rPr>
          <w:rFonts w:cstheme="minorHAnsi"/>
        </w:rPr>
        <w:t xml:space="preserve"> </w:t>
      </w:r>
      <w:r w:rsidR="00CC65A9">
        <w:rPr>
          <w:rFonts w:cstheme="minorHAnsi"/>
        </w:rPr>
        <w:t>%</w:t>
      </w:r>
      <w:r w:rsidR="00F85AB3">
        <w:rPr>
          <w:rFonts w:cstheme="minorHAnsi"/>
        </w:rPr>
        <w:t>.</w:t>
      </w:r>
    </w:p>
    <w:p w14:paraId="7B58FC5E" w14:textId="74E11F8A" w:rsidR="001A1C2A" w:rsidRDefault="00D1676F" w:rsidP="00A96C9F">
      <w:pPr>
        <w:rPr>
          <w:rFonts w:cstheme="minorHAnsi"/>
        </w:rPr>
      </w:pPr>
      <w:r>
        <w:rPr>
          <w:rFonts w:cstheme="minorHAnsi"/>
        </w:rPr>
        <w:t>Therefore,</w:t>
      </w:r>
      <w:r w:rsidR="00D0273E">
        <w:rPr>
          <w:rFonts w:cstheme="minorHAnsi"/>
        </w:rPr>
        <w:t xml:space="preserve"> the total oxygen balance of the 40% TNT and 60% RDX </w:t>
      </w:r>
      <w:r w:rsidR="00273EDE">
        <w:rPr>
          <w:rFonts w:cstheme="minorHAnsi"/>
        </w:rPr>
        <w:t xml:space="preserve">mixture is -29.584% + -12.966% = </w:t>
      </w:r>
      <w:r w:rsidR="005A3BD7">
        <w:rPr>
          <w:rFonts w:cstheme="minorHAnsi"/>
        </w:rPr>
        <w:t xml:space="preserve">  -42.55</w:t>
      </w:r>
      <w:r w:rsidR="00394790">
        <w:rPr>
          <w:rFonts w:cstheme="minorHAnsi"/>
        </w:rPr>
        <w:t xml:space="preserve">%. </w:t>
      </w:r>
    </w:p>
    <w:p w14:paraId="78FD8227" w14:textId="6D83D371" w:rsidR="00272991" w:rsidRDefault="00272991" w:rsidP="00272991">
      <w:pPr>
        <w:pStyle w:val="Heading2"/>
      </w:pPr>
      <w:bookmarkStart w:id="6" w:name="_Toc203033558"/>
      <w:r>
        <w:t xml:space="preserve">Determine the </w:t>
      </w:r>
      <w:r w:rsidR="00D1676F">
        <w:t>V</w:t>
      </w:r>
      <w:r>
        <w:t xml:space="preserve">elocity of </w:t>
      </w:r>
      <w:r w:rsidR="00D1676F">
        <w:t>D</w:t>
      </w:r>
      <w:r w:rsidR="00576FD3">
        <w:t>etonation</w:t>
      </w:r>
      <w:bookmarkEnd w:id="6"/>
    </w:p>
    <w:p w14:paraId="05205B9F" w14:textId="646ECF25" w:rsidR="00AE799B" w:rsidRDefault="00D70FE7" w:rsidP="00D1676F">
      <w:r>
        <w:t>Velocity of detonation</w:t>
      </w:r>
      <w:r w:rsidR="009A398A">
        <w:t xml:space="preserve"> (VoD) </w:t>
      </w:r>
      <w:r>
        <w:t xml:space="preserve">is </w:t>
      </w:r>
      <w:r w:rsidR="00AF4DCF">
        <w:t xml:space="preserve">the velocity the </w:t>
      </w:r>
      <w:r w:rsidR="009A398A">
        <w:t xml:space="preserve">detonation wave moves through a detonated explosive. The VoD will always be faster than the </w:t>
      </w:r>
      <w:r w:rsidR="001D7BDE">
        <w:t>local speed of sound in the material</w:t>
      </w:r>
      <w:r w:rsidR="00420097">
        <w:t xml:space="preserve"> [2]</w:t>
      </w:r>
      <w:r w:rsidR="001D7BDE">
        <w:t xml:space="preserve">. </w:t>
      </w:r>
      <w:r w:rsidR="006401F2">
        <w:t xml:space="preserve">The VoD figures in table 1 will be used to </w:t>
      </w:r>
      <w:r w:rsidR="007B4D06">
        <w:t>determine the velocity of detonation</w:t>
      </w:r>
      <w:r w:rsidR="00FA6392">
        <w:t xml:space="preserve"> for the explosive mixture. </w:t>
      </w:r>
    </w:p>
    <w:p w14:paraId="4F51C4ED" w14:textId="31720465" w:rsidR="00576FD3" w:rsidRDefault="00E61A0A" w:rsidP="00576FD3">
      <w:r>
        <w:t>Th</w:t>
      </w:r>
      <w:r w:rsidR="00AE799B">
        <w:t xml:space="preserve">e first step to determining the VoD is to </w:t>
      </w:r>
      <w:r w:rsidR="007A4CF4">
        <w:t>calculate the</w:t>
      </w:r>
      <w:r w:rsidR="001D4CBB">
        <w:t xml:space="preserve"> density of the mixture using the equation 1/(</w:t>
      </w:r>
      <w:r w:rsidR="00DE2E4A">
        <w:t>%TNT</w:t>
      </w:r>
      <w:r w:rsidR="002A52F3">
        <w:t>/</w:t>
      </w:r>
      <w:r w:rsidR="00DE2E4A">
        <w:t>Density of TNT)+(%RDX</w:t>
      </w:r>
      <w:r w:rsidR="002A52F3">
        <w:t>/</w:t>
      </w:r>
      <w:r w:rsidR="00DE2E4A">
        <w:t xml:space="preserve">Density RDX) </w:t>
      </w:r>
      <w:r w:rsidR="00420097">
        <w:t>= 1/</w:t>
      </w:r>
      <w:r w:rsidR="001F3A4E">
        <w:t>(0.6</w:t>
      </w:r>
      <w:r w:rsidR="00A12A37">
        <w:t>/</w:t>
      </w:r>
      <w:r w:rsidR="000155CE">
        <w:t xml:space="preserve"> 1.793) + (0.4</w:t>
      </w:r>
      <w:r w:rsidR="00A12A37">
        <w:t>/</w:t>
      </w:r>
      <w:r w:rsidR="000155CE">
        <w:t xml:space="preserve">1.654) = </w:t>
      </w:r>
      <w:r w:rsidR="007F2299">
        <w:t xml:space="preserve">1.735 </w:t>
      </w:r>
      <w:r w:rsidR="001A4A14" w:rsidRPr="001A4A14">
        <w:rPr>
          <w:rFonts w:cstheme="minorHAnsi"/>
        </w:rPr>
        <w:t>g cm</w:t>
      </w:r>
      <w:r w:rsidR="001A4A14" w:rsidRPr="001A4A14">
        <w:rPr>
          <w:rFonts w:cstheme="minorHAnsi"/>
          <w:vertAlign w:val="superscript"/>
        </w:rPr>
        <w:t>-3</w:t>
      </w:r>
      <w:r w:rsidR="00BB3E31">
        <w:t xml:space="preserve"> </w:t>
      </w:r>
    </w:p>
    <w:p w14:paraId="2E067200" w14:textId="61109B2C" w:rsidR="00640D5D" w:rsidRDefault="00601ABA" w:rsidP="00576FD3">
      <w:r>
        <w:t>This then allows for the Velocity of detonation for TNT and RDX within the mixture to be calculated using the Equation V</w:t>
      </w:r>
      <w:r w:rsidR="003D1E4F">
        <w:t>oD in mixture= VoD x (density of mixture</w:t>
      </w:r>
      <w:r w:rsidR="00640D5D">
        <w:t>/ density).</w:t>
      </w:r>
    </w:p>
    <w:p w14:paraId="75F8FC97" w14:textId="0FE1F0F6" w:rsidR="00640D5D" w:rsidRDefault="00640D5D" w:rsidP="00576FD3">
      <w:r>
        <w:t xml:space="preserve">VoD for </w:t>
      </w:r>
      <w:r w:rsidR="0043389B">
        <w:t>TNT</w:t>
      </w:r>
      <w:r>
        <w:t xml:space="preserve"> in mixture =</w:t>
      </w:r>
      <w:r w:rsidR="0043389B">
        <w:t xml:space="preserve"> 6850 </w:t>
      </w:r>
      <w:r w:rsidR="00D54020">
        <w:t>x (1.7</w:t>
      </w:r>
      <w:r w:rsidR="00974F95">
        <w:t>35</w:t>
      </w:r>
      <w:r w:rsidR="009D10C6">
        <w:t>/1.</w:t>
      </w:r>
      <w:r w:rsidR="00716094">
        <w:t>654</w:t>
      </w:r>
      <w:r w:rsidR="009D10C6">
        <w:t xml:space="preserve">) = </w:t>
      </w:r>
      <w:r w:rsidR="00F7441C">
        <w:t xml:space="preserve">7185.46m/s </w:t>
      </w:r>
    </w:p>
    <w:p w14:paraId="2CA838CE" w14:textId="750E6F9D" w:rsidR="00F7441C" w:rsidRDefault="00F7441C" w:rsidP="00576FD3">
      <w:r>
        <w:lastRenderedPageBreak/>
        <w:t xml:space="preserve">VoD for RDX in mixture = </w:t>
      </w:r>
      <w:r w:rsidR="00CA58CB">
        <w:t>8440 x (1.7</w:t>
      </w:r>
      <w:r w:rsidR="00974F95">
        <w:t>35</w:t>
      </w:r>
      <w:r w:rsidR="00CA58CB">
        <w:t>/1.</w:t>
      </w:r>
      <w:r w:rsidR="00716094">
        <w:t>793</w:t>
      </w:r>
      <w:r w:rsidR="00CA58CB">
        <w:t xml:space="preserve">) = </w:t>
      </w:r>
      <w:r w:rsidR="00716094">
        <w:t>8166.98</w:t>
      </w:r>
      <w:r w:rsidR="005B7646">
        <w:t>m/s</w:t>
      </w:r>
    </w:p>
    <w:p w14:paraId="7EEDDFB8" w14:textId="0DB6C099" w:rsidR="007E56E3" w:rsidRDefault="00F9767F" w:rsidP="009415A7">
      <w:r>
        <w:t xml:space="preserve">Total velocity </w:t>
      </w:r>
      <w:r w:rsidR="00BA7E5E">
        <w:t>of detonation for mixture = (%</w:t>
      </w:r>
      <w:r w:rsidR="007B3CC0">
        <w:t xml:space="preserve">TNT x VoD of TNT in mixture) + </w:t>
      </w:r>
      <w:r w:rsidR="004539D9">
        <w:t xml:space="preserve">(%RDX x VoD of RDX in mixture) </w:t>
      </w:r>
      <w:r w:rsidR="006225A8">
        <w:t>= (0.4 x 7185.46) + (0.6 x 8166.9</w:t>
      </w:r>
      <w:r w:rsidR="00842793">
        <w:t>8) = 7774.37 m/s</w:t>
      </w:r>
      <w:r w:rsidR="00D53996">
        <w:t>.</w:t>
      </w:r>
    </w:p>
    <w:p w14:paraId="16FF0CF9" w14:textId="5E823B75" w:rsidR="003A1A71" w:rsidRDefault="0072756F" w:rsidP="00710DEB">
      <w:pPr>
        <w:pStyle w:val="Heading1"/>
        <w:jc w:val="both"/>
      </w:pPr>
      <w:bookmarkStart w:id="7" w:name="_Toc203033559"/>
      <w:r>
        <w:t xml:space="preserve">Section Two </w:t>
      </w:r>
      <w:r w:rsidR="00257DB1">
        <w:t>–</w:t>
      </w:r>
      <w:r>
        <w:t xml:space="preserve"> </w:t>
      </w:r>
      <w:r w:rsidR="000D4AA1">
        <w:t xml:space="preserve">Evaluating </w:t>
      </w:r>
      <w:r w:rsidR="004302EF">
        <w:t xml:space="preserve">the </w:t>
      </w:r>
      <w:r w:rsidR="000D4AA1">
        <w:t xml:space="preserve">explosive </w:t>
      </w:r>
      <w:r w:rsidR="004302EF">
        <w:t>mixture</w:t>
      </w:r>
      <w:bookmarkEnd w:id="7"/>
    </w:p>
    <w:p w14:paraId="3180BC23" w14:textId="4D375970" w:rsidR="00A868EC" w:rsidRDefault="00720D99" w:rsidP="00435C3F">
      <w:r>
        <w:t xml:space="preserve">Section two will contain a detailed </w:t>
      </w:r>
      <w:r w:rsidR="001C7034">
        <w:t xml:space="preserve">definition of the word brisance and how it is used within the explosive industry this will allow for an in depth look at how well the explosive mixture works and other explosives that cause a brisance effect. </w:t>
      </w:r>
      <w:r w:rsidR="00353913">
        <w:t xml:space="preserve">Section two will also take a look at the </w:t>
      </w:r>
      <w:r w:rsidR="00435C3F">
        <w:t xml:space="preserve">products released by the explosive mixture. </w:t>
      </w:r>
    </w:p>
    <w:p w14:paraId="6F92EF18" w14:textId="3F47ADAD" w:rsidR="00B7074F" w:rsidRDefault="00435C3F" w:rsidP="00B7074F">
      <w:pPr>
        <w:pStyle w:val="Heading2"/>
      </w:pPr>
      <w:bookmarkStart w:id="8" w:name="_Toc203033560"/>
      <w:r>
        <w:t>Definition of brisance and its effects</w:t>
      </w:r>
      <w:bookmarkEnd w:id="8"/>
    </w:p>
    <w:p w14:paraId="40A420DA" w14:textId="14F97C6E" w:rsidR="00E036EA" w:rsidRDefault="00596D99" w:rsidP="00435C3F">
      <w:r>
        <w:t>The term brisance is the shattering ca</w:t>
      </w:r>
      <w:r w:rsidR="00172EF6">
        <w:t>pability of a high explosive</w:t>
      </w:r>
      <w:r w:rsidR="006E7C56">
        <w:t xml:space="preserve">. This determined by its detonation pressure. </w:t>
      </w:r>
      <w:r w:rsidR="00325F74">
        <w:t>The term can be traced back to the French verb “briser” which means to break or shatter</w:t>
      </w:r>
      <w:r w:rsidR="00556549">
        <w:t xml:space="preserve"> [3]. </w:t>
      </w:r>
      <w:r w:rsidR="00F67DAB">
        <w:t xml:space="preserve">Brisance has been used throughout history for many purposes such as </w:t>
      </w:r>
      <w:r w:rsidR="00894461">
        <w:t xml:space="preserve">fragmentation shells which are designed to detonate </w:t>
      </w:r>
      <w:r w:rsidR="007A4CF4">
        <w:t>mid-air</w:t>
      </w:r>
      <w:r w:rsidR="00894461">
        <w:t xml:space="preserve"> causing structural damage, </w:t>
      </w:r>
      <w:r w:rsidR="001C6F73">
        <w:t xml:space="preserve">grenades which use fragmentation to </w:t>
      </w:r>
      <w:r w:rsidR="002D2A62">
        <w:t xml:space="preserve">cause significant injury to personnel, </w:t>
      </w:r>
      <w:r w:rsidR="00144F16">
        <w:t xml:space="preserve">plastic explosives which are commonly use </w:t>
      </w:r>
      <w:r w:rsidR="00F75681">
        <w:t>create a high brisance effect and are commonly used within the armed forces to cause damage to structures</w:t>
      </w:r>
      <w:r w:rsidR="009E3ECB">
        <w:t xml:space="preserve">. </w:t>
      </w:r>
      <w:r w:rsidR="0077668B">
        <w:t xml:space="preserve"> </w:t>
      </w:r>
      <w:r w:rsidR="00684EB5">
        <w:t>An explosive with a high brisance effect usually has a VoD of be</w:t>
      </w:r>
      <w:r w:rsidR="00957BDD">
        <w:t>tween 7000m/s and 9000m/s</w:t>
      </w:r>
      <w:r w:rsidR="000F5C29">
        <w:t xml:space="preserve">. </w:t>
      </w:r>
      <w:r w:rsidR="00A20765">
        <w:t xml:space="preserve">types of commonly known explosives with high brisance are TNT, PETN </w:t>
      </w:r>
      <w:r w:rsidR="00AB3D66">
        <w:t xml:space="preserve">and RDX [3]. </w:t>
      </w:r>
      <w:r w:rsidR="00E036EA">
        <w:t xml:space="preserve">An example of a commonly used test to determine brisance effects is the </w:t>
      </w:r>
      <w:r w:rsidR="0034097A">
        <w:t>Trauzl</w:t>
      </w:r>
      <w:r w:rsidR="00C24F3A">
        <w:t xml:space="preserve"> lead block</w:t>
      </w:r>
      <w:r w:rsidR="0034097A">
        <w:t xml:space="preserve"> test</w:t>
      </w:r>
      <w:r w:rsidR="00CE1A6D">
        <w:t xml:space="preserve">. </w:t>
      </w:r>
      <w:r w:rsidR="00FC21CD">
        <w:t xml:space="preserve">The lead block test </w:t>
      </w:r>
      <w:r w:rsidR="00640682">
        <w:t>is a way of comparing two explosive mixtures by measuring how much they can expand in a cavity within a lead block</w:t>
      </w:r>
      <w:r w:rsidR="008518CF">
        <w:t xml:space="preserve"> [</w:t>
      </w:r>
      <w:r w:rsidR="00CC753D">
        <w:t>4].</w:t>
      </w:r>
    </w:p>
    <w:p w14:paraId="3EB962F6" w14:textId="77777777" w:rsidR="00CC753D" w:rsidRDefault="00CC753D" w:rsidP="00CC753D">
      <w:pPr>
        <w:keepNext/>
      </w:pPr>
      <w:r>
        <w:rPr>
          <w:noProof/>
        </w:rPr>
        <w:drawing>
          <wp:inline distT="0" distB="0" distL="0" distR="0" wp14:anchorId="00A844E9" wp14:editId="52685F3B">
            <wp:extent cx="5730875" cy="2752725"/>
            <wp:effectExtent l="0" t="0" r="3175" b="9525"/>
            <wp:docPr id="2" name="Picture 1" descr="Trauzl b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uzl blo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981" cy="2754697"/>
                    </a:xfrm>
                    <a:prstGeom prst="rect">
                      <a:avLst/>
                    </a:prstGeom>
                    <a:noFill/>
                    <a:ln>
                      <a:noFill/>
                    </a:ln>
                  </pic:spPr>
                </pic:pic>
              </a:graphicData>
            </a:graphic>
          </wp:inline>
        </w:drawing>
      </w:r>
    </w:p>
    <w:p w14:paraId="06425C64" w14:textId="510EC710" w:rsidR="00CC753D" w:rsidRDefault="00CC753D" w:rsidP="00CC753D">
      <w:pPr>
        <w:pStyle w:val="Caption"/>
      </w:pPr>
      <w:bookmarkStart w:id="9" w:name="_Toc203033569"/>
      <w:r>
        <w:t xml:space="preserve">Figure </w:t>
      </w:r>
      <w:r>
        <w:fldChar w:fldCharType="begin"/>
      </w:r>
      <w:r>
        <w:instrText xml:space="preserve"> SEQ Figure \* ARABIC </w:instrText>
      </w:r>
      <w:r>
        <w:fldChar w:fldCharType="separate"/>
      </w:r>
      <w:r w:rsidR="00697877">
        <w:rPr>
          <w:noProof/>
        </w:rPr>
        <w:t>1</w:t>
      </w:r>
      <w:r>
        <w:fldChar w:fldCharType="end"/>
      </w:r>
      <w:r>
        <w:t>- Before and after Trauzl lead block test [4]</w:t>
      </w:r>
      <w:bookmarkEnd w:id="9"/>
    </w:p>
    <w:p w14:paraId="2D0FC854" w14:textId="62B1D2E5" w:rsidR="00CC753D" w:rsidRDefault="0038775A" w:rsidP="00CC753D">
      <w:r>
        <w:t xml:space="preserve">As seen in figure 1 after detonation water is poured into the cavity and then </w:t>
      </w:r>
      <w:r w:rsidR="003B123A">
        <w:t xml:space="preserve">emptied into a </w:t>
      </w:r>
      <w:r w:rsidR="006F49AC">
        <w:t xml:space="preserve">graduated cylinder to measure the volume [4]. </w:t>
      </w:r>
    </w:p>
    <w:p w14:paraId="0F3168C7" w14:textId="77777777" w:rsidR="008A2397" w:rsidRDefault="008A2397" w:rsidP="008A2397">
      <w:pPr>
        <w:keepNext/>
        <w:jc w:val="center"/>
      </w:pPr>
      <w:r>
        <w:rPr>
          <w:noProof/>
        </w:rPr>
        <w:lastRenderedPageBreak/>
        <w:drawing>
          <wp:inline distT="0" distB="0" distL="0" distR="0" wp14:anchorId="18620398" wp14:editId="6D53A44C">
            <wp:extent cx="4581525" cy="2396674"/>
            <wp:effectExtent l="0" t="0" r="0" b="3810"/>
            <wp:docPr id="4" name="Picture 3" descr="Relationship between the calculated detonation pressure and relativ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ionship between the calculated detonation pressure and relative...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01792" cy="2407276"/>
                    </a:xfrm>
                    <a:prstGeom prst="rect">
                      <a:avLst/>
                    </a:prstGeom>
                    <a:noFill/>
                    <a:ln>
                      <a:noFill/>
                    </a:ln>
                  </pic:spPr>
                </pic:pic>
              </a:graphicData>
            </a:graphic>
          </wp:inline>
        </w:drawing>
      </w:r>
    </w:p>
    <w:p w14:paraId="3BBBD813" w14:textId="7C651712" w:rsidR="00EC519A" w:rsidRDefault="008A2397" w:rsidP="002703FF">
      <w:pPr>
        <w:pStyle w:val="Caption"/>
        <w:jc w:val="center"/>
      </w:pPr>
      <w:bookmarkStart w:id="10" w:name="_Toc203033570"/>
      <w:r>
        <w:t xml:space="preserve">Figure </w:t>
      </w:r>
      <w:r>
        <w:fldChar w:fldCharType="begin"/>
      </w:r>
      <w:r>
        <w:instrText xml:space="preserve"> SEQ Figure \* ARABIC </w:instrText>
      </w:r>
      <w:r>
        <w:fldChar w:fldCharType="separate"/>
      </w:r>
      <w:r w:rsidR="00697877">
        <w:rPr>
          <w:noProof/>
        </w:rPr>
        <w:t>2</w:t>
      </w:r>
      <w:r>
        <w:fldChar w:fldCharType="end"/>
      </w:r>
      <w:r>
        <w:t>- Graph showing the relationship between detonation pressure and brisance.</w:t>
      </w:r>
      <w:bookmarkEnd w:id="10"/>
    </w:p>
    <w:p w14:paraId="73B2921B" w14:textId="458C21F2" w:rsidR="006F49AC" w:rsidRDefault="00B53DF6" w:rsidP="00CC753D">
      <w:r>
        <w:t>As seen from the graph in figure 2 d</w:t>
      </w:r>
      <w:r w:rsidR="0050377F">
        <w:t xml:space="preserve">ue to velocity of detonation and detonation pressure having a direct correlation with </w:t>
      </w:r>
      <w:r w:rsidR="0087575C">
        <w:t xml:space="preserve">brisance it can be worked out from table 1 that RDX has a higher brisance effect than TNT this is due to RDX having a VoD of 8440 m/s and a detonation pressure of 41.9 GPa compared to TNT </w:t>
      </w:r>
      <w:r w:rsidR="006E6EA7">
        <w:t>which has a VoD of 6850 m/s and a pressure of 19 GPa</w:t>
      </w:r>
      <w:r w:rsidR="0012070B">
        <w:t xml:space="preserve">. This information also allows </w:t>
      </w:r>
      <w:r w:rsidR="00C2399B">
        <w:t xml:space="preserve">for </w:t>
      </w:r>
      <w:r w:rsidR="0012070B">
        <w:t>an understanding that the 60% RDX and 40% TNT mix</w:t>
      </w:r>
      <w:r w:rsidR="00C2399B">
        <w:t>ture will have a higher brisance effect than the TNT due to the mixture containing 60% RDX</w:t>
      </w:r>
      <w:r w:rsidR="00800550">
        <w:t xml:space="preserve"> </w:t>
      </w:r>
      <w:r w:rsidR="00087113">
        <w:t xml:space="preserve">and having a VoD of 7774.37 m/s </w:t>
      </w:r>
      <w:r w:rsidR="00800550">
        <w:t xml:space="preserve">however </w:t>
      </w:r>
      <w:r w:rsidR="002703FF">
        <w:t>has a</w:t>
      </w:r>
      <w:r w:rsidR="00800550">
        <w:t xml:space="preserve"> lower brisance effect than RDX as it contains 40% TNT </w:t>
      </w:r>
      <w:r w:rsidR="00DA0DC4">
        <w:t xml:space="preserve">and a lower VoD. </w:t>
      </w:r>
    </w:p>
    <w:p w14:paraId="4612B30A" w14:textId="7C6F694A" w:rsidR="005C289A" w:rsidRDefault="005C289A" w:rsidP="005C289A">
      <w:pPr>
        <w:pStyle w:val="Heading2"/>
      </w:pPr>
      <w:bookmarkStart w:id="11" w:name="_Toc203033561"/>
      <w:r>
        <w:t>Detonation products of an explosive mix (</w:t>
      </w:r>
      <w:r w:rsidR="00B54379">
        <w:t>60% RDX and 40% TNT)</w:t>
      </w:r>
      <w:bookmarkEnd w:id="11"/>
      <w:r w:rsidR="00B54379">
        <w:t xml:space="preserve"> </w:t>
      </w:r>
    </w:p>
    <w:p w14:paraId="6F5DD7DF" w14:textId="717E05C7" w:rsidR="00E60A88" w:rsidRPr="00997AE5" w:rsidRDefault="00FF34A8" w:rsidP="00E60A88">
      <w:r>
        <w:t xml:space="preserve">To calculate the detonation products the </w:t>
      </w:r>
      <w:r w:rsidR="00877535">
        <w:t>K</w:t>
      </w:r>
      <w:r>
        <w:t>istiakowsky</w:t>
      </w:r>
      <w:r w:rsidR="008157FB">
        <w:t>-</w:t>
      </w:r>
      <w:r>
        <w:t>Wilson</w:t>
      </w:r>
      <w:r w:rsidR="00B354CB">
        <w:t xml:space="preserve"> rules must be applied to the chemical equation</w:t>
      </w:r>
      <w:r w:rsidR="008157FB">
        <w:t xml:space="preserve"> if the oxygen balance is </w:t>
      </w:r>
      <w:r w:rsidR="001A47CF">
        <w:t>more than -40%</w:t>
      </w:r>
      <w:r w:rsidR="00997AE5">
        <w:t>.</w:t>
      </w:r>
      <w:r w:rsidR="005969A9">
        <w:t xml:space="preserve"> </w:t>
      </w:r>
    </w:p>
    <w:tbl>
      <w:tblPr>
        <w:tblW w:w="9825" w:type="dxa"/>
        <w:tblCellSpacing w:w="15" w:type="dxa"/>
        <w:shd w:val="clear" w:color="auto" w:fill="FFFFFF"/>
        <w:tblCellMar>
          <w:left w:w="0" w:type="dxa"/>
          <w:right w:w="0" w:type="dxa"/>
        </w:tblCellMar>
        <w:tblLook w:val="04A0" w:firstRow="1" w:lastRow="0" w:firstColumn="1" w:lastColumn="0" w:noHBand="0" w:noVBand="1"/>
      </w:tblPr>
      <w:tblGrid>
        <w:gridCol w:w="1199"/>
        <w:gridCol w:w="8626"/>
      </w:tblGrid>
      <w:tr w:rsidR="00952E03" w:rsidRPr="00952E03" w14:paraId="7A591F93" w14:textId="77777777" w:rsidTr="00952E03">
        <w:trPr>
          <w:tblHeader/>
          <w:tblCellSpacing w:w="15" w:type="dxa"/>
        </w:trPr>
        <w:tc>
          <w:tcPr>
            <w:tcW w:w="0" w:type="auto"/>
            <w:tcBorders>
              <w:top w:val="nil"/>
              <w:left w:val="nil"/>
              <w:bottom w:val="nil"/>
              <w:right w:val="nil"/>
            </w:tcBorders>
            <w:shd w:val="clear" w:color="auto" w:fill="C3D9FF"/>
            <w:tcMar>
              <w:top w:w="60" w:type="dxa"/>
              <w:left w:w="75" w:type="dxa"/>
              <w:bottom w:w="60" w:type="dxa"/>
              <w:right w:w="150" w:type="dxa"/>
            </w:tcMar>
            <w:vAlign w:val="center"/>
            <w:hideMark/>
          </w:tcPr>
          <w:p w14:paraId="64BD6F3C" w14:textId="77777777" w:rsidR="00952E03" w:rsidRPr="00952E03" w:rsidRDefault="00952E03" w:rsidP="00952E03">
            <w:pPr>
              <w:keepNext/>
              <w:jc w:val="center"/>
              <w:rPr>
                <w:b/>
                <w:bCs/>
              </w:rPr>
            </w:pPr>
            <w:r w:rsidRPr="00952E03">
              <w:rPr>
                <w:b/>
                <w:bCs/>
              </w:rPr>
              <w:t>Rule no.</w:t>
            </w:r>
          </w:p>
        </w:tc>
        <w:tc>
          <w:tcPr>
            <w:tcW w:w="0" w:type="auto"/>
            <w:tcBorders>
              <w:top w:val="nil"/>
              <w:left w:val="nil"/>
              <w:bottom w:val="nil"/>
              <w:right w:val="nil"/>
            </w:tcBorders>
            <w:shd w:val="clear" w:color="auto" w:fill="C3D9FF"/>
            <w:tcMar>
              <w:top w:w="60" w:type="dxa"/>
              <w:left w:w="75" w:type="dxa"/>
              <w:bottom w:w="60" w:type="dxa"/>
              <w:right w:w="150" w:type="dxa"/>
            </w:tcMar>
            <w:vAlign w:val="center"/>
            <w:hideMark/>
          </w:tcPr>
          <w:p w14:paraId="52615079" w14:textId="77777777" w:rsidR="00952E03" w:rsidRPr="00952E03" w:rsidRDefault="00952E03" w:rsidP="00952E03">
            <w:pPr>
              <w:keepNext/>
              <w:jc w:val="center"/>
              <w:rPr>
                <w:b/>
                <w:bCs/>
              </w:rPr>
            </w:pPr>
            <w:r w:rsidRPr="00952E03">
              <w:rPr>
                <w:b/>
                <w:bCs/>
              </w:rPr>
              <w:t>Conditions</w:t>
            </w:r>
          </w:p>
        </w:tc>
      </w:tr>
      <w:tr w:rsidR="00952E03" w:rsidRPr="00952E03" w14:paraId="7AFE4BDA" w14:textId="77777777" w:rsidTr="00952E03">
        <w:trPr>
          <w:tblCellSpacing w:w="15" w:type="dxa"/>
        </w:trPr>
        <w:tc>
          <w:tcPr>
            <w:tcW w:w="0" w:type="auto"/>
            <w:tcBorders>
              <w:top w:val="nil"/>
              <w:left w:val="nil"/>
              <w:bottom w:val="nil"/>
              <w:right w:val="nil"/>
            </w:tcBorders>
            <w:shd w:val="clear" w:color="auto" w:fill="FFFFFF"/>
            <w:tcMar>
              <w:top w:w="60" w:type="dxa"/>
              <w:left w:w="75" w:type="dxa"/>
              <w:bottom w:w="60" w:type="dxa"/>
              <w:right w:w="150" w:type="dxa"/>
            </w:tcMar>
            <w:vAlign w:val="center"/>
            <w:hideMark/>
          </w:tcPr>
          <w:p w14:paraId="481D40A4" w14:textId="77777777" w:rsidR="00952E03" w:rsidRPr="00952E03" w:rsidRDefault="00952E03" w:rsidP="00952E03">
            <w:pPr>
              <w:keepNext/>
              <w:jc w:val="center"/>
            </w:pPr>
            <w:r w:rsidRPr="00952E03">
              <w:t>1</w:t>
            </w:r>
          </w:p>
        </w:tc>
        <w:tc>
          <w:tcPr>
            <w:tcW w:w="0" w:type="auto"/>
            <w:tcBorders>
              <w:top w:val="nil"/>
              <w:left w:val="nil"/>
              <w:bottom w:val="nil"/>
              <w:right w:val="nil"/>
            </w:tcBorders>
            <w:shd w:val="clear" w:color="auto" w:fill="FFFFFF"/>
            <w:tcMar>
              <w:top w:w="60" w:type="dxa"/>
              <w:left w:w="75" w:type="dxa"/>
              <w:bottom w:w="60" w:type="dxa"/>
              <w:right w:w="150" w:type="dxa"/>
            </w:tcMar>
            <w:vAlign w:val="center"/>
            <w:hideMark/>
          </w:tcPr>
          <w:p w14:paraId="25459F55" w14:textId="77777777" w:rsidR="00952E03" w:rsidRPr="00952E03" w:rsidRDefault="00952E03" w:rsidP="00952E03">
            <w:pPr>
              <w:keepNext/>
              <w:jc w:val="center"/>
            </w:pPr>
            <w:r w:rsidRPr="00952E03">
              <w:t>Carbon atoms are converted to carbon monoxide</w:t>
            </w:r>
          </w:p>
        </w:tc>
      </w:tr>
      <w:tr w:rsidR="00952E03" w:rsidRPr="00952E03" w14:paraId="23C1A68E" w14:textId="77777777" w:rsidTr="00952E03">
        <w:trPr>
          <w:tblCellSpacing w:w="15" w:type="dxa"/>
        </w:trPr>
        <w:tc>
          <w:tcPr>
            <w:tcW w:w="0" w:type="auto"/>
            <w:tcBorders>
              <w:top w:val="nil"/>
              <w:left w:val="nil"/>
              <w:bottom w:val="nil"/>
              <w:right w:val="nil"/>
            </w:tcBorders>
            <w:shd w:val="clear" w:color="auto" w:fill="FFFFFF"/>
            <w:tcMar>
              <w:top w:w="60" w:type="dxa"/>
              <w:left w:w="75" w:type="dxa"/>
              <w:bottom w:w="60" w:type="dxa"/>
              <w:right w:w="150" w:type="dxa"/>
            </w:tcMar>
            <w:vAlign w:val="center"/>
            <w:hideMark/>
          </w:tcPr>
          <w:p w14:paraId="08B0F172" w14:textId="77777777" w:rsidR="00952E03" w:rsidRPr="00952E03" w:rsidRDefault="00952E03" w:rsidP="00952E03">
            <w:pPr>
              <w:keepNext/>
              <w:jc w:val="center"/>
            </w:pPr>
            <w:r w:rsidRPr="00952E03">
              <w:t>2</w:t>
            </w:r>
          </w:p>
        </w:tc>
        <w:tc>
          <w:tcPr>
            <w:tcW w:w="0" w:type="auto"/>
            <w:tcBorders>
              <w:top w:val="nil"/>
              <w:left w:val="nil"/>
              <w:bottom w:val="nil"/>
              <w:right w:val="nil"/>
            </w:tcBorders>
            <w:shd w:val="clear" w:color="auto" w:fill="FFFFFF"/>
            <w:tcMar>
              <w:top w:w="60" w:type="dxa"/>
              <w:left w:w="75" w:type="dxa"/>
              <w:bottom w:w="60" w:type="dxa"/>
              <w:right w:w="150" w:type="dxa"/>
            </w:tcMar>
            <w:vAlign w:val="center"/>
            <w:hideMark/>
          </w:tcPr>
          <w:p w14:paraId="072B50A6" w14:textId="1CADD531" w:rsidR="00952E03" w:rsidRPr="00952E03" w:rsidRDefault="00952E03" w:rsidP="00952E03">
            <w:pPr>
              <w:keepNext/>
              <w:jc w:val="center"/>
            </w:pPr>
            <w:r w:rsidRPr="00952E03">
              <w:t xml:space="preserve">If any oxygen </w:t>
            </w:r>
            <w:r w:rsidR="007A4CF4" w:rsidRPr="00952E03">
              <w:t>remains,</w:t>
            </w:r>
            <w:r w:rsidRPr="00952E03">
              <w:t xml:space="preserve"> then hydrogen is then oxidized to water</w:t>
            </w:r>
          </w:p>
        </w:tc>
      </w:tr>
      <w:tr w:rsidR="00952E03" w:rsidRPr="00952E03" w14:paraId="28C94603" w14:textId="77777777" w:rsidTr="00952E03">
        <w:trPr>
          <w:tblCellSpacing w:w="15" w:type="dxa"/>
        </w:trPr>
        <w:tc>
          <w:tcPr>
            <w:tcW w:w="0" w:type="auto"/>
            <w:tcBorders>
              <w:top w:val="nil"/>
              <w:left w:val="nil"/>
              <w:bottom w:val="nil"/>
              <w:right w:val="nil"/>
            </w:tcBorders>
            <w:shd w:val="clear" w:color="auto" w:fill="FFFFFF"/>
            <w:tcMar>
              <w:top w:w="60" w:type="dxa"/>
              <w:left w:w="75" w:type="dxa"/>
              <w:bottom w:w="60" w:type="dxa"/>
              <w:right w:w="150" w:type="dxa"/>
            </w:tcMar>
            <w:vAlign w:val="center"/>
            <w:hideMark/>
          </w:tcPr>
          <w:p w14:paraId="571F5C8B" w14:textId="77777777" w:rsidR="00952E03" w:rsidRPr="00952E03" w:rsidRDefault="00952E03" w:rsidP="00952E03">
            <w:pPr>
              <w:keepNext/>
              <w:jc w:val="center"/>
            </w:pPr>
            <w:r w:rsidRPr="00952E03">
              <w:t>3</w:t>
            </w:r>
          </w:p>
        </w:tc>
        <w:tc>
          <w:tcPr>
            <w:tcW w:w="0" w:type="auto"/>
            <w:tcBorders>
              <w:top w:val="nil"/>
              <w:left w:val="nil"/>
              <w:bottom w:val="nil"/>
              <w:right w:val="nil"/>
            </w:tcBorders>
            <w:shd w:val="clear" w:color="auto" w:fill="FFFFFF"/>
            <w:tcMar>
              <w:top w:w="60" w:type="dxa"/>
              <w:left w:w="75" w:type="dxa"/>
              <w:bottom w:w="60" w:type="dxa"/>
              <w:right w:w="150" w:type="dxa"/>
            </w:tcMar>
            <w:vAlign w:val="center"/>
            <w:hideMark/>
          </w:tcPr>
          <w:p w14:paraId="692E1ADC" w14:textId="7950EB56" w:rsidR="00952E03" w:rsidRPr="00952E03" w:rsidRDefault="00952E03" w:rsidP="00952E03">
            <w:pPr>
              <w:keepNext/>
              <w:jc w:val="center"/>
            </w:pPr>
            <w:r w:rsidRPr="00952E03">
              <w:t xml:space="preserve">If any oxygen still </w:t>
            </w:r>
            <w:r w:rsidR="007A4CF4" w:rsidRPr="00952E03">
              <w:t>remains,</w:t>
            </w:r>
            <w:r w:rsidRPr="00952E03">
              <w:t xml:space="preserve"> then carbon monoxide is oxidized to carbon dioxide</w:t>
            </w:r>
          </w:p>
        </w:tc>
      </w:tr>
      <w:tr w:rsidR="00952E03" w:rsidRPr="00952E03" w14:paraId="3FB64C7E" w14:textId="77777777" w:rsidTr="00952E03">
        <w:trPr>
          <w:tblCellSpacing w:w="15" w:type="dxa"/>
        </w:trPr>
        <w:tc>
          <w:tcPr>
            <w:tcW w:w="0" w:type="auto"/>
            <w:tcBorders>
              <w:top w:val="nil"/>
              <w:left w:val="nil"/>
              <w:bottom w:val="nil"/>
              <w:right w:val="nil"/>
            </w:tcBorders>
            <w:shd w:val="clear" w:color="auto" w:fill="FFFFFF"/>
            <w:tcMar>
              <w:top w:w="60" w:type="dxa"/>
              <w:left w:w="75" w:type="dxa"/>
              <w:bottom w:w="60" w:type="dxa"/>
              <w:right w:w="150" w:type="dxa"/>
            </w:tcMar>
            <w:vAlign w:val="center"/>
            <w:hideMark/>
          </w:tcPr>
          <w:p w14:paraId="4C8F9DA2" w14:textId="77777777" w:rsidR="00952E03" w:rsidRPr="00952E03" w:rsidRDefault="00952E03" w:rsidP="00952E03">
            <w:pPr>
              <w:keepNext/>
              <w:jc w:val="center"/>
            </w:pPr>
            <w:r w:rsidRPr="00952E03">
              <w:t>4</w:t>
            </w:r>
          </w:p>
        </w:tc>
        <w:tc>
          <w:tcPr>
            <w:tcW w:w="0" w:type="auto"/>
            <w:tcBorders>
              <w:top w:val="nil"/>
              <w:left w:val="nil"/>
              <w:bottom w:val="nil"/>
              <w:right w:val="nil"/>
            </w:tcBorders>
            <w:shd w:val="clear" w:color="auto" w:fill="FFFFFF"/>
            <w:tcMar>
              <w:top w:w="60" w:type="dxa"/>
              <w:left w:w="75" w:type="dxa"/>
              <w:bottom w:w="60" w:type="dxa"/>
              <w:right w:w="150" w:type="dxa"/>
            </w:tcMar>
            <w:vAlign w:val="center"/>
            <w:hideMark/>
          </w:tcPr>
          <w:p w14:paraId="3C9F20B3" w14:textId="77777777" w:rsidR="00952E03" w:rsidRPr="00952E03" w:rsidRDefault="00952E03" w:rsidP="00952E03">
            <w:pPr>
              <w:keepNext/>
              <w:jc w:val="center"/>
            </w:pPr>
            <w:r w:rsidRPr="00952E03">
              <w:t>All the nitrogen is converted to nitrogen gas, N </w:t>
            </w:r>
            <w:r w:rsidRPr="00952E03">
              <w:rPr>
                <w:vertAlign w:val="subscript"/>
              </w:rPr>
              <w:t>2</w:t>
            </w:r>
          </w:p>
        </w:tc>
      </w:tr>
    </w:tbl>
    <w:p w14:paraId="1E2775A2" w14:textId="1C3A75BE" w:rsidR="00087B15" w:rsidRDefault="008157FB" w:rsidP="00D51978">
      <w:pPr>
        <w:pStyle w:val="Caption"/>
      </w:pPr>
      <w:bookmarkStart w:id="12" w:name="_Toc203033571"/>
      <w:r>
        <w:t xml:space="preserve">Figure </w:t>
      </w:r>
      <w:r>
        <w:fldChar w:fldCharType="begin"/>
      </w:r>
      <w:r>
        <w:instrText xml:space="preserve"> SEQ Figure \* ARABIC </w:instrText>
      </w:r>
      <w:r>
        <w:fldChar w:fldCharType="separate"/>
      </w:r>
      <w:r w:rsidR="00697877">
        <w:rPr>
          <w:noProof/>
        </w:rPr>
        <w:t>3</w:t>
      </w:r>
      <w:r>
        <w:fldChar w:fldCharType="end"/>
      </w:r>
      <w:r>
        <w:t xml:space="preserve">- </w:t>
      </w:r>
      <w:proofErr w:type="spellStart"/>
      <w:r>
        <w:t>Kistiakowsky</w:t>
      </w:r>
      <w:proofErr w:type="spellEnd"/>
      <w:r>
        <w:t>-Wilson rules</w:t>
      </w:r>
      <w:r w:rsidR="00853C40">
        <w:t xml:space="preserve"> [5].</w:t>
      </w:r>
      <w:bookmarkEnd w:id="12"/>
    </w:p>
    <w:p w14:paraId="3FB40D9C" w14:textId="77777777" w:rsidR="00BB60DC" w:rsidRDefault="00BB60DC" w:rsidP="00710DEB">
      <w:pPr>
        <w:jc w:val="both"/>
      </w:pPr>
    </w:p>
    <w:p w14:paraId="7ACEB1ED" w14:textId="77777777" w:rsidR="00BB60DC" w:rsidRDefault="00BB60DC" w:rsidP="00710DEB">
      <w:pPr>
        <w:jc w:val="both"/>
      </w:pPr>
    </w:p>
    <w:p w14:paraId="4140E000" w14:textId="77777777" w:rsidR="00BB60DC" w:rsidRDefault="00BB60DC" w:rsidP="00710DEB">
      <w:pPr>
        <w:jc w:val="both"/>
      </w:pPr>
    </w:p>
    <w:p w14:paraId="15867F80" w14:textId="77777777" w:rsidR="00BB60DC" w:rsidRDefault="00BB60DC" w:rsidP="00710DEB">
      <w:pPr>
        <w:jc w:val="both"/>
      </w:pPr>
    </w:p>
    <w:p w14:paraId="2580F15F" w14:textId="77777777" w:rsidR="00BB60DC" w:rsidRDefault="00BB60DC" w:rsidP="00710DEB">
      <w:pPr>
        <w:jc w:val="both"/>
      </w:pPr>
    </w:p>
    <w:p w14:paraId="6AEF95EB" w14:textId="77777777" w:rsidR="00BB60DC" w:rsidRDefault="00BB60DC" w:rsidP="00710DEB">
      <w:pPr>
        <w:jc w:val="both"/>
      </w:pPr>
    </w:p>
    <w:p w14:paraId="367A0581" w14:textId="5EB899C2" w:rsidR="00E5149F" w:rsidRDefault="00E5149F" w:rsidP="00710DEB">
      <w:pPr>
        <w:jc w:val="both"/>
      </w:pPr>
      <w:r>
        <w:lastRenderedPageBreak/>
        <w:t>Due the oxygen balance of the</w:t>
      </w:r>
      <w:r w:rsidR="00BB60DC">
        <w:t xml:space="preserve"> </w:t>
      </w:r>
      <w:r>
        <w:t xml:space="preserve">60% RDX and 40% TNT mixture being -42.55% the modified Kistiakowsky-Wilson rules must </w:t>
      </w:r>
      <w:proofErr w:type="gramStart"/>
      <w:r>
        <w:t>be applied</w:t>
      </w:r>
      <w:proofErr w:type="gramEnd"/>
      <w:r>
        <w:t>.</w:t>
      </w:r>
      <w:r w:rsidR="00BB60DC">
        <w:t xml:space="preserve"> </w:t>
      </w:r>
    </w:p>
    <w:tbl>
      <w:tblPr>
        <w:tblStyle w:val="TableGrid"/>
        <w:tblW w:w="0" w:type="auto"/>
        <w:tblLook w:val="04A0" w:firstRow="1" w:lastRow="0" w:firstColumn="1" w:lastColumn="0" w:noHBand="0" w:noVBand="1"/>
      </w:tblPr>
      <w:tblGrid>
        <w:gridCol w:w="988"/>
        <w:gridCol w:w="8028"/>
      </w:tblGrid>
      <w:tr w:rsidR="00BB60DC" w14:paraId="6D98C5D3" w14:textId="77777777" w:rsidTr="005471DB">
        <w:tc>
          <w:tcPr>
            <w:tcW w:w="9016" w:type="dxa"/>
            <w:gridSpan w:val="2"/>
          </w:tcPr>
          <w:p w14:paraId="52C513E3" w14:textId="1C892603" w:rsidR="00BB60DC" w:rsidRDefault="00BB60DC" w:rsidP="00BB60DC">
            <w:pPr>
              <w:jc w:val="center"/>
            </w:pPr>
            <w:r>
              <w:t>Modified Kistiakowsky-Wilson rules</w:t>
            </w:r>
          </w:p>
        </w:tc>
      </w:tr>
      <w:tr w:rsidR="00BB60DC" w14:paraId="32B1176A" w14:textId="77777777" w:rsidTr="00BB60DC">
        <w:tc>
          <w:tcPr>
            <w:tcW w:w="988" w:type="dxa"/>
          </w:tcPr>
          <w:p w14:paraId="18EA321B" w14:textId="54840533" w:rsidR="00BB60DC" w:rsidRDefault="00BB60DC" w:rsidP="00710DEB">
            <w:pPr>
              <w:jc w:val="both"/>
            </w:pPr>
            <w:r>
              <w:t>1</w:t>
            </w:r>
          </w:p>
        </w:tc>
        <w:tc>
          <w:tcPr>
            <w:tcW w:w="8028" w:type="dxa"/>
          </w:tcPr>
          <w:p w14:paraId="6B90F26C" w14:textId="4CB7842F" w:rsidR="00BB60DC" w:rsidRDefault="0093191E" w:rsidP="0093191E">
            <w:pPr>
              <w:tabs>
                <w:tab w:val="left" w:pos="5280"/>
              </w:tabs>
              <w:jc w:val="both"/>
            </w:pPr>
            <w:r w:rsidRPr="0093191E">
              <w:t>All hydrogen atoms in the molecule are oxidized to water</w:t>
            </w:r>
          </w:p>
        </w:tc>
      </w:tr>
      <w:tr w:rsidR="00BB60DC" w14:paraId="0DC5C551" w14:textId="77777777" w:rsidTr="00BB60DC">
        <w:tc>
          <w:tcPr>
            <w:tcW w:w="988" w:type="dxa"/>
          </w:tcPr>
          <w:p w14:paraId="4EDC12DA" w14:textId="67C853A3" w:rsidR="00BB60DC" w:rsidRDefault="00BB60DC" w:rsidP="00710DEB">
            <w:pPr>
              <w:jc w:val="both"/>
            </w:pPr>
            <w:r>
              <w:t>2</w:t>
            </w:r>
          </w:p>
        </w:tc>
        <w:tc>
          <w:tcPr>
            <w:tcW w:w="8028" w:type="dxa"/>
          </w:tcPr>
          <w:p w14:paraId="6BCC0AC3" w14:textId="68F018AC" w:rsidR="00BB60DC" w:rsidRDefault="0093191E" w:rsidP="00710DEB">
            <w:pPr>
              <w:jc w:val="both"/>
            </w:pPr>
            <w:r w:rsidRPr="0093191E">
              <w:t>If any oxygen atoms remain, they are used to convert carbon to carbon monoxide</w:t>
            </w:r>
          </w:p>
        </w:tc>
      </w:tr>
      <w:tr w:rsidR="00BB60DC" w14:paraId="6E0FA9E7" w14:textId="77777777" w:rsidTr="00BB60DC">
        <w:tc>
          <w:tcPr>
            <w:tcW w:w="988" w:type="dxa"/>
          </w:tcPr>
          <w:p w14:paraId="772F6C3F" w14:textId="0B3D7374" w:rsidR="00BB60DC" w:rsidRDefault="00BB60DC" w:rsidP="00710DEB">
            <w:pPr>
              <w:jc w:val="both"/>
            </w:pPr>
            <w:r>
              <w:t>3</w:t>
            </w:r>
          </w:p>
        </w:tc>
        <w:tc>
          <w:tcPr>
            <w:tcW w:w="8028" w:type="dxa"/>
          </w:tcPr>
          <w:p w14:paraId="71589316" w14:textId="7804F38D" w:rsidR="00BB60DC" w:rsidRDefault="0093191E" w:rsidP="00710DEB">
            <w:pPr>
              <w:jc w:val="both"/>
            </w:pPr>
            <w:r w:rsidRPr="0093191E">
              <w:t>If any oxygen atoms still remain, they are used by oxidizing their stoichiometric amount of carbon monoxide to CO2</w:t>
            </w:r>
          </w:p>
        </w:tc>
      </w:tr>
      <w:tr w:rsidR="00BB60DC" w14:paraId="20033C33" w14:textId="77777777" w:rsidTr="00BB60DC">
        <w:tc>
          <w:tcPr>
            <w:tcW w:w="988" w:type="dxa"/>
          </w:tcPr>
          <w:p w14:paraId="69F5E6F2" w14:textId="575BE079" w:rsidR="00BB60DC" w:rsidRDefault="00BB60DC" w:rsidP="00710DEB">
            <w:pPr>
              <w:jc w:val="both"/>
            </w:pPr>
            <w:r>
              <w:t>4</w:t>
            </w:r>
          </w:p>
        </w:tc>
        <w:tc>
          <w:tcPr>
            <w:tcW w:w="8028" w:type="dxa"/>
          </w:tcPr>
          <w:p w14:paraId="19A9BEA3" w14:textId="1A98AB45" w:rsidR="00BB60DC" w:rsidRDefault="00D51978" w:rsidP="00710DEB">
            <w:pPr>
              <w:jc w:val="both"/>
            </w:pPr>
            <w:r w:rsidRPr="00D51978">
              <w:t>Any leftover oxygen atoms form oxygen gas (O</w:t>
            </w:r>
            <w:r w:rsidR="007A4CF4" w:rsidRPr="00D51978">
              <w:t>2)</w:t>
            </w:r>
          </w:p>
        </w:tc>
      </w:tr>
      <w:tr w:rsidR="00BB60DC" w14:paraId="4EE82F40" w14:textId="77777777" w:rsidTr="00BB60DC">
        <w:tc>
          <w:tcPr>
            <w:tcW w:w="988" w:type="dxa"/>
          </w:tcPr>
          <w:p w14:paraId="372920DB" w14:textId="7ABF5CB1" w:rsidR="00BB60DC" w:rsidRDefault="00BB60DC" w:rsidP="00710DEB">
            <w:pPr>
              <w:jc w:val="both"/>
            </w:pPr>
            <w:r>
              <w:t>5</w:t>
            </w:r>
          </w:p>
        </w:tc>
        <w:tc>
          <w:tcPr>
            <w:tcW w:w="8028" w:type="dxa"/>
          </w:tcPr>
          <w:p w14:paraId="3FDE5178" w14:textId="0C9D99B6" w:rsidR="00BB60DC" w:rsidRDefault="00D51978" w:rsidP="00710DEB">
            <w:pPr>
              <w:jc w:val="both"/>
            </w:pPr>
            <w:r w:rsidRPr="00D51978">
              <w:t>Nitrogen atoms produce nitrogen gas (N</w:t>
            </w:r>
            <w:r w:rsidR="007A4CF4" w:rsidRPr="00D51978">
              <w:t>2)</w:t>
            </w:r>
          </w:p>
        </w:tc>
      </w:tr>
      <w:tr w:rsidR="00BB60DC" w14:paraId="7DCA0BDB" w14:textId="77777777" w:rsidTr="00BB60DC">
        <w:tc>
          <w:tcPr>
            <w:tcW w:w="988" w:type="dxa"/>
          </w:tcPr>
          <w:p w14:paraId="3C698F1B" w14:textId="1A53F13B" w:rsidR="00BB60DC" w:rsidRDefault="00BB60DC" w:rsidP="00710DEB">
            <w:pPr>
              <w:jc w:val="both"/>
            </w:pPr>
            <w:r>
              <w:t>6</w:t>
            </w:r>
          </w:p>
        </w:tc>
        <w:tc>
          <w:tcPr>
            <w:tcW w:w="8028" w:type="dxa"/>
          </w:tcPr>
          <w:p w14:paraId="38A3C504" w14:textId="1D08975F" w:rsidR="00BB60DC" w:rsidRDefault="00D51978" w:rsidP="00D51978">
            <w:pPr>
              <w:keepNext/>
              <w:jc w:val="both"/>
            </w:pPr>
            <w:r w:rsidRPr="00D51978">
              <w:t>Any remaining carbons form solid carbon (C)</w:t>
            </w:r>
          </w:p>
        </w:tc>
      </w:tr>
    </w:tbl>
    <w:p w14:paraId="127AAE0E" w14:textId="46A84F73" w:rsidR="00E5149F" w:rsidRDefault="00D51978" w:rsidP="006A0850">
      <w:pPr>
        <w:pStyle w:val="Caption"/>
      </w:pPr>
      <w:bookmarkStart w:id="13" w:name="_Toc203033574"/>
      <w:r>
        <w:t xml:space="preserve">Table </w:t>
      </w:r>
      <w:r>
        <w:fldChar w:fldCharType="begin"/>
      </w:r>
      <w:r>
        <w:instrText xml:space="preserve"> SEQ Table \* ARABIC </w:instrText>
      </w:r>
      <w:r>
        <w:fldChar w:fldCharType="separate"/>
      </w:r>
      <w:r w:rsidR="0000404B">
        <w:rPr>
          <w:noProof/>
        </w:rPr>
        <w:t>2</w:t>
      </w:r>
      <w:r>
        <w:fldChar w:fldCharType="end"/>
      </w:r>
      <w:r>
        <w:t>- Modified Kistiakowsky-Wilson rules</w:t>
      </w:r>
      <w:r w:rsidR="00EC7119">
        <w:t xml:space="preserve"> [6]</w:t>
      </w:r>
      <w:bookmarkEnd w:id="13"/>
    </w:p>
    <w:p w14:paraId="5FA6B062" w14:textId="4E40A5D1" w:rsidR="00B021A4" w:rsidRDefault="00011684" w:rsidP="00710DEB">
      <w:pPr>
        <w:jc w:val="both"/>
      </w:pPr>
      <w:r>
        <w:t>TNT has a chemical formula of C7H5</w:t>
      </w:r>
      <w:r w:rsidR="006A607E">
        <w:t>N3O6 and a Molecular weight of 227.13 g/mol [</w:t>
      </w:r>
      <w:r w:rsidR="00EC7119">
        <w:t>7</w:t>
      </w:r>
      <w:r w:rsidR="006A607E">
        <w:t xml:space="preserve">] and RDX has a chemical formula of </w:t>
      </w:r>
      <w:r w:rsidR="00B81F61">
        <w:t>C3H6N6O6 and a molecular weight of 222.12 g/mol</w:t>
      </w:r>
      <w:r w:rsidR="009A689E">
        <w:t xml:space="preserve"> [</w:t>
      </w:r>
      <w:r w:rsidR="00EC7119">
        <w:t>8</w:t>
      </w:r>
      <w:r w:rsidR="009A689E">
        <w:t>]</w:t>
      </w:r>
      <w:r w:rsidR="0075019F">
        <w:t xml:space="preserve">. </w:t>
      </w:r>
      <w:r w:rsidR="008B0C90">
        <w:t xml:space="preserve">Using this </w:t>
      </w:r>
      <w:r w:rsidR="00876E78">
        <w:t>information,</w:t>
      </w:r>
      <w:r w:rsidR="008B0C90">
        <w:t xml:space="preserve"> it can be said for ease that 100g of the mixture has been used which allows for the </w:t>
      </w:r>
      <w:r w:rsidR="00837E53">
        <w:t xml:space="preserve">number of Moles for example </w:t>
      </w:r>
      <w:r w:rsidR="00923991">
        <w:t xml:space="preserve">TNT </w:t>
      </w:r>
      <w:r w:rsidR="00C51A5A">
        <w:t xml:space="preserve">= 40% (40g)/227.13 = </w:t>
      </w:r>
      <w:r w:rsidR="00A245F4">
        <w:t xml:space="preserve">0.176 mol and RDX = </w:t>
      </w:r>
      <w:r w:rsidR="00837E53">
        <w:t>60% (</w:t>
      </w:r>
      <w:r w:rsidR="00856D22">
        <w:t xml:space="preserve">60g)/222.12 = </w:t>
      </w:r>
      <w:r w:rsidR="00923991">
        <w:t>0.270 mol</w:t>
      </w:r>
      <w:r w:rsidR="00F91CEB">
        <w:t>.</w:t>
      </w:r>
      <w:r w:rsidR="00203531">
        <w:t xml:space="preserve"> </w:t>
      </w:r>
    </w:p>
    <w:p w14:paraId="06C898C2" w14:textId="77777777" w:rsidR="00B021A4" w:rsidRDefault="005875D5" w:rsidP="00710DEB">
      <w:pPr>
        <w:jc w:val="both"/>
      </w:pPr>
      <w:r>
        <w:t xml:space="preserve">This allows for the </w:t>
      </w:r>
      <w:r w:rsidR="00070681">
        <w:t xml:space="preserve">mixture to be broken down by Mol. </w:t>
      </w:r>
      <w:r w:rsidR="00701680">
        <w:t>The final chemical formula for the mixture will be C2.04 H2.5</w:t>
      </w:r>
      <w:r w:rsidR="00FE6452">
        <w:t xml:space="preserve"> N2.15 O2.68</w:t>
      </w:r>
      <w:r w:rsidR="0058435E">
        <w:t xml:space="preserve">. </w:t>
      </w:r>
    </w:p>
    <w:p w14:paraId="299BFD46" w14:textId="342F774C" w:rsidR="008B0C90" w:rsidRDefault="0058435E" w:rsidP="00710DEB">
      <w:pPr>
        <w:jc w:val="both"/>
      </w:pPr>
      <w:r>
        <w:t xml:space="preserve">Carbon is </w:t>
      </w:r>
      <w:r w:rsidR="00461A1D">
        <w:t xml:space="preserve">0.27 x 3 = 0.81 </w:t>
      </w:r>
      <w:r w:rsidR="00762DC9">
        <w:t xml:space="preserve">mol </w:t>
      </w:r>
      <w:r w:rsidR="00461A1D">
        <w:t>for RDX and 0.17</w:t>
      </w:r>
      <w:r w:rsidR="00762DC9">
        <w:t>6 x 7 = 1.232 mol for TNT.</w:t>
      </w:r>
      <w:r w:rsidR="00B021A4">
        <w:t xml:space="preserve"> </w:t>
      </w:r>
      <w:r w:rsidR="004A1026">
        <w:t>Overall,</w:t>
      </w:r>
      <w:r w:rsidR="00B021A4">
        <w:t xml:space="preserve"> </w:t>
      </w:r>
      <w:r w:rsidR="00B917C2">
        <w:t xml:space="preserve">for the mixture </w:t>
      </w:r>
      <w:r w:rsidR="00B021A4">
        <w:t>it is 0.81 + 1.232</w:t>
      </w:r>
      <w:r w:rsidR="00367991">
        <w:t>= 2.04 mol.</w:t>
      </w:r>
    </w:p>
    <w:p w14:paraId="16C80DF3" w14:textId="7DD9DDAC" w:rsidR="00367991" w:rsidRDefault="00367991" w:rsidP="00710DEB">
      <w:pPr>
        <w:jc w:val="both"/>
      </w:pPr>
      <w:r>
        <w:t xml:space="preserve">Hydrogen is 0.27 x 6= 1.62 </w:t>
      </w:r>
      <w:r w:rsidR="006F1CE9">
        <w:t xml:space="preserve">mol for RDX and 0.176 x 5 = 0.88 mol for TNT. </w:t>
      </w:r>
      <w:r w:rsidR="004A1026">
        <w:t>Overall,</w:t>
      </w:r>
      <w:r w:rsidR="006F1CE9">
        <w:t xml:space="preserve"> for the mixture </w:t>
      </w:r>
      <w:r w:rsidR="00B917C2">
        <w:t xml:space="preserve">it is 1.62 + 0.88 = 2.5 mol. </w:t>
      </w:r>
    </w:p>
    <w:p w14:paraId="32EAF3C1" w14:textId="676D9288" w:rsidR="00B917C2" w:rsidRDefault="00B917C2" w:rsidP="00710DEB">
      <w:pPr>
        <w:jc w:val="both"/>
      </w:pPr>
      <w:r>
        <w:t xml:space="preserve">Nitrogen </w:t>
      </w:r>
      <w:r w:rsidR="00866E54">
        <w:t>is 0.27 x 6 = 1.62 mol for RDX and 0.176 x 3 = 0.528 mol for TNT</w:t>
      </w:r>
      <w:r w:rsidR="004A1026">
        <w:t xml:space="preserve">. Overall, for the mixture it is </w:t>
      </w:r>
      <w:r w:rsidR="00B83102">
        <w:t xml:space="preserve">1.62 + 0.528 = 2.15 mol. </w:t>
      </w:r>
    </w:p>
    <w:p w14:paraId="4DAB295D" w14:textId="7D3F6BEB" w:rsidR="00B41209" w:rsidRDefault="00B41209" w:rsidP="00710DEB">
      <w:pPr>
        <w:jc w:val="both"/>
      </w:pPr>
      <w:r>
        <w:t xml:space="preserve">Oxygen </w:t>
      </w:r>
      <w:r w:rsidR="00496BA4">
        <w:t xml:space="preserve">is 0.27 x 6 = 1.62 mol for RDX and 0.176 x 6 </w:t>
      </w:r>
      <w:r w:rsidR="001811AF">
        <w:t xml:space="preserve">=1.056 mol for TNT. </w:t>
      </w:r>
      <w:r w:rsidR="008553EA">
        <w:t>Overall,</w:t>
      </w:r>
      <w:r w:rsidR="001811AF">
        <w:t xml:space="preserve"> for the mixture it is 1.62 </w:t>
      </w:r>
      <w:r w:rsidR="008E4B25">
        <w:t xml:space="preserve">+ 1.056 = 2.68 mol. </w:t>
      </w:r>
    </w:p>
    <w:p w14:paraId="6D956F13" w14:textId="0E53BAF4" w:rsidR="00087B15" w:rsidRDefault="00F572B8" w:rsidP="00710DEB">
      <w:pPr>
        <w:jc w:val="both"/>
      </w:pPr>
      <w:r>
        <w:t>Using the</w:t>
      </w:r>
      <w:r w:rsidR="006A0850">
        <w:t xml:space="preserve"> modified</w:t>
      </w:r>
      <w:r>
        <w:t xml:space="preserve"> Kistiakowsky-Wilson rules it was found that</w:t>
      </w:r>
      <w:r w:rsidR="00AB01B6">
        <w:t>:</w:t>
      </w:r>
    </w:p>
    <w:p w14:paraId="393C1BA1" w14:textId="538673C7" w:rsidR="00EC7119" w:rsidRDefault="004024E3" w:rsidP="00EC7119">
      <w:pPr>
        <w:pStyle w:val="ListParagraph"/>
        <w:numPr>
          <w:ilvl w:val="0"/>
          <w:numId w:val="7"/>
        </w:numPr>
        <w:jc w:val="both"/>
      </w:pPr>
      <w:r>
        <w:t>2.5 mol of Hydrogen</w:t>
      </w:r>
      <w:r w:rsidR="00052F94">
        <w:t xml:space="preserve"> (H)</w:t>
      </w:r>
      <w:r>
        <w:t xml:space="preserve"> </w:t>
      </w:r>
      <w:r w:rsidR="00052F94">
        <w:t xml:space="preserve">oxidize to 1.25 </w:t>
      </w:r>
      <w:r w:rsidR="00B810CC">
        <w:t xml:space="preserve">mol </w:t>
      </w:r>
      <w:r w:rsidR="00052F94">
        <w:t>Water (H20)</w:t>
      </w:r>
    </w:p>
    <w:p w14:paraId="1F2F37B0" w14:textId="57D6C48F" w:rsidR="00052F94" w:rsidRDefault="00CB64F6" w:rsidP="00EC7119">
      <w:pPr>
        <w:pStyle w:val="ListParagraph"/>
        <w:numPr>
          <w:ilvl w:val="0"/>
          <w:numId w:val="7"/>
        </w:numPr>
        <w:jc w:val="both"/>
      </w:pPr>
      <w:r>
        <w:t xml:space="preserve">Left over 1.43 </w:t>
      </w:r>
      <w:r w:rsidR="00B810CC">
        <w:t xml:space="preserve">mol of oxygen (O) </w:t>
      </w:r>
      <w:r w:rsidR="003E2164">
        <w:t>convert to 1.43 mol of Carbon monoxide (CO)</w:t>
      </w:r>
    </w:p>
    <w:p w14:paraId="53F4D295" w14:textId="5AA922E4" w:rsidR="003E2164" w:rsidRDefault="00965171" w:rsidP="00EC7119">
      <w:pPr>
        <w:pStyle w:val="ListParagraph"/>
        <w:numPr>
          <w:ilvl w:val="0"/>
          <w:numId w:val="7"/>
        </w:numPr>
        <w:jc w:val="both"/>
      </w:pPr>
      <w:r>
        <w:t xml:space="preserve">No Oxygen </w:t>
      </w:r>
      <w:r w:rsidR="00F6214E">
        <w:t xml:space="preserve">(O) </w:t>
      </w:r>
      <w:r w:rsidR="0043690B">
        <w:t>remaining.</w:t>
      </w:r>
      <w:r>
        <w:t xml:space="preserve"> </w:t>
      </w:r>
    </w:p>
    <w:p w14:paraId="62B16E0F" w14:textId="5D123B6B" w:rsidR="00965171" w:rsidRDefault="00965171" w:rsidP="00EC7119">
      <w:pPr>
        <w:pStyle w:val="ListParagraph"/>
        <w:numPr>
          <w:ilvl w:val="0"/>
          <w:numId w:val="7"/>
        </w:numPr>
        <w:jc w:val="both"/>
      </w:pPr>
      <w:r>
        <w:t>No Oxygen (</w:t>
      </w:r>
      <w:r w:rsidR="00F6214E">
        <w:t>O)</w:t>
      </w:r>
      <w:r>
        <w:t xml:space="preserve"> </w:t>
      </w:r>
      <w:r w:rsidR="0043690B">
        <w:t>remaining.</w:t>
      </w:r>
    </w:p>
    <w:p w14:paraId="1E8C1735" w14:textId="231CAE2C" w:rsidR="00F6214E" w:rsidRDefault="00F6214E" w:rsidP="00EC7119">
      <w:pPr>
        <w:pStyle w:val="ListParagraph"/>
        <w:numPr>
          <w:ilvl w:val="0"/>
          <w:numId w:val="7"/>
        </w:numPr>
        <w:jc w:val="both"/>
      </w:pPr>
      <w:r>
        <w:t xml:space="preserve">2.15 Nitrogen mol (N) convert to 1.075 mol of Nitrogen gas (N2) </w:t>
      </w:r>
    </w:p>
    <w:p w14:paraId="61D25448" w14:textId="07E37B71" w:rsidR="00F6214E" w:rsidRDefault="00E45667" w:rsidP="00EC7119">
      <w:pPr>
        <w:pStyle w:val="ListParagraph"/>
        <w:numPr>
          <w:ilvl w:val="0"/>
          <w:numId w:val="7"/>
        </w:numPr>
        <w:jc w:val="both"/>
      </w:pPr>
      <w:r>
        <w:t xml:space="preserve">0.61 </w:t>
      </w:r>
      <w:r w:rsidR="00C975F2">
        <w:t xml:space="preserve">mol </w:t>
      </w:r>
      <w:r>
        <w:t xml:space="preserve">Carbon (C) </w:t>
      </w:r>
      <w:r w:rsidR="0043690B">
        <w:t>remaining.</w:t>
      </w:r>
    </w:p>
    <w:p w14:paraId="5A33558E" w14:textId="32226CC5" w:rsidR="008E1D06" w:rsidRDefault="008E1D06" w:rsidP="008E1D06">
      <w:pPr>
        <w:jc w:val="both"/>
      </w:pPr>
      <w:r>
        <w:t>This can be compared to the detonation products of TNT alone</w:t>
      </w:r>
      <w:r w:rsidR="00E45667">
        <w:t xml:space="preserve"> using the modified Kistiakowsky-Wilson rules due to the oxygen balance </w:t>
      </w:r>
      <w:r w:rsidR="00D24267">
        <w:t>being -73.96%</w:t>
      </w:r>
      <w:r>
        <w:t xml:space="preserve">: </w:t>
      </w:r>
    </w:p>
    <w:p w14:paraId="0AFCFF35" w14:textId="018B6A33" w:rsidR="00A95335" w:rsidRDefault="00584E59" w:rsidP="00A95335">
      <w:pPr>
        <w:pStyle w:val="ListParagraph"/>
        <w:numPr>
          <w:ilvl w:val="0"/>
          <w:numId w:val="6"/>
        </w:numPr>
        <w:jc w:val="both"/>
      </w:pPr>
      <w:r>
        <w:t xml:space="preserve">5 mol of Hydrogen (H) oxidizes to 2.5 Water (H2O) </w:t>
      </w:r>
    </w:p>
    <w:p w14:paraId="2EF458A7" w14:textId="4E029173" w:rsidR="00584E59" w:rsidRDefault="00011CD6" w:rsidP="00A95335">
      <w:pPr>
        <w:pStyle w:val="ListParagraph"/>
        <w:numPr>
          <w:ilvl w:val="0"/>
          <w:numId w:val="6"/>
        </w:numPr>
        <w:jc w:val="both"/>
      </w:pPr>
      <w:r>
        <w:t xml:space="preserve">Left over </w:t>
      </w:r>
      <w:r w:rsidR="00FD7153">
        <w:t>3.5 mol of Oxygen (O) Converts to 3.5 Carbon monoxide (CO)</w:t>
      </w:r>
    </w:p>
    <w:p w14:paraId="403E1933" w14:textId="3CE0991C" w:rsidR="00FD7153" w:rsidRDefault="00FD7153" w:rsidP="00A95335">
      <w:pPr>
        <w:pStyle w:val="ListParagraph"/>
        <w:numPr>
          <w:ilvl w:val="0"/>
          <w:numId w:val="6"/>
        </w:numPr>
        <w:jc w:val="both"/>
      </w:pPr>
      <w:r>
        <w:t xml:space="preserve">No Oxygen (O) </w:t>
      </w:r>
      <w:r w:rsidR="0043690B">
        <w:t>remaining.</w:t>
      </w:r>
    </w:p>
    <w:p w14:paraId="780B0069" w14:textId="0E6C2159" w:rsidR="00FD7153" w:rsidRDefault="00FD7153" w:rsidP="00A95335">
      <w:pPr>
        <w:pStyle w:val="ListParagraph"/>
        <w:numPr>
          <w:ilvl w:val="0"/>
          <w:numId w:val="6"/>
        </w:numPr>
        <w:jc w:val="both"/>
      </w:pPr>
      <w:r>
        <w:t xml:space="preserve">No Oxygen (O) </w:t>
      </w:r>
      <w:r w:rsidR="0043690B">
        <w:t>remaining.</w:t>
      </w:r>
    </w:p>
    <w:p w14:paraId="3C2909EE" w14:textId="25689978" w:rsidR="00FD7153" w:rsidRDefault="00FD7153" w:rsidP="00A95335">
      <w:pPr>
        <w:pStyle w:val="ListParagraph"/>
        <w:numPr>
          <w:ilvl w:val="0"/>
          <w:numId w:val="6"/>
        </w:numPr>
        <w:jc w:val="both"/>
      </w:pPr>
      <w:r>
        <w:t xml:space="preserve">3 mol of Nitrogen (N) converts to 1.5 mol of Nitrogen gas (N2) </w:t>
      </w:r>
    </w:p>
    <w:p w14:paraId="473D9EEB" w14:textId="0C9DADFA" w:rsidR="00FD7153" w:rsidRDefault="00C975F2" w:rsidP="00A95335">
      <w:pPr>
        <w:pStyle w:val="ListParagraph"/>
        <w:numPr>
          <w:ilvl w:val="0"/>
          <w:numId w:val="6"/>
        </w:numPr>
        <w:jc w:val="both"/>
      </w:pPr>
      <w:r>
        <w:t xml:space="preserve">3.5 mol of Carbon (C) </w:t>
      </w:r>
      <w:r w:rsidR="0043690B">
        <w:t>remaining.</w:t>
      </w:r>
    </w:p>
    <w:p w14:paraId="38D42C55" w14:textId="04D30A51" w:rsidR="00684017" w:rsidRPr="0072756F" w:rsidRDefault="00303317" w:rsidP="00684017">
      <w:pPr>
        <w:jc w:val="both"/>
      </w:pPr>
      <w:r>
        <w:t xml:space="preserve">As seen by the detonation products above </w:t>
      </w:r>
      <w:r w:rsidR="004823D6">
        <w:t xml:space="preserve">there is far less Carbon remaining when detonating the 60% RDX and 40% TNT mixture than there is remaining for TNT alone. This is further backed up by the </w:t>
      </w:r>
      <w:r w:rsidR="004823D6">
        <w:lastRenderedPageBreak/>
        <w:t>Oxygen balance of the mixture being -42.55% compared to TNT which has an Oxygen balance of -73.96%</w:t>
      </w:r>
      <w:r w:rsidR="00CF2B0B">
        <w:t xml:space="preserve">. this shows that the mixture has a higher performance and produces </w:t>
      </w:r>
      <w:r w:rsidR="001205F2">
        <w:t xml:space="preserve">higher volumes of gas products. </w:t>
      </w:r>
    </w:p>
    <w:p w14:paraId="57DCCF73" w14:textId="5CA02DEE" w:rsidR="00E25D04" w:rsidRDefault="00B238A3" w:rsidP="00B238A3">
      <w:pPr>
        <w:pStyle w:val="Heading1"/>
      </w:pPr>
      <w:bookmarkStart w:id="14" w:name="_Toc203033562"/>
      <w:r>
        <w:t>Section Three</w:t>
      </w:r>
      <w:r w:rsidR="00BC7BCB">
        <w:t xml:space="preserve"> – </w:t>
      </w:r>
      <w:r w:rsidR="00D94E2D">
        <w:t>Designing an Explosive Train</w:t>
      </w:r>
      <w:bookmarkEnd w:id="14"/>
    </w:p>
    <w:p w14:paraId="279B5DEA" w14:textId="3ED300FD" w:rsidR="00D94E2D" w:rsidRDefault="00D84610" w:rsidP="00D94E2D">
      <w:r>
        <w:t xml:space="preserve">The definition of an explosive train is a </w:t>
      </w:r>
      <w:r w:rsidR="00CE484C">
        <w:t>sequence of events that culminates in the detonation of explosives. This is due to</w:t>
      </w:r>
      <w:r w:rsidR="00151C5D">
        <w:t xml:space="preserve"> high explosives</w:t>
      </w:r>
      <w:r w:rsidR="00B05104">
        <w:t xml:space="preserve"> such as</w:t>
      </w:r>
      <w:r w:rsidR="0035273A">
        <w:t xml:space="preserve"> TNT, RDX, HMX and PETN</w:t>
      </w:r>
      <w:r w:rsidR="00151C5D">
        <w:t xml:space="preserve"> being largely insensitive </w:t>
      </w:r>
      <w:r w:rsidR="00B05104">
        <w:t>and hard to detonate</w:t>
      </w:r>
      <w:r w:rsidR="00494DBF">
        <w:t xml:space="preserve"> these explosive types are usually </w:t>
      </w:r>
      <w:r w:rsidR="008A0719">
        <w:t>larger main charges</w:t>
      </w:r>
      <w:r w:rsidR="00B05104">
        <w:t xml:space="preserve">. </w:t>
      </w:r>
      <w:r w:rsidR="008157C4">
        <w:t>Therefore,</w:t>
      </w:r>
      <w:r w:rsidR="00B05104">
        <w:t xml:space="preserve"> a primary explosive </w:t>
      </w:r>
      <w:r w:rsidR="0035273A">
        <w:t xml:space="preserve">such as </w:t>
      </w:r>
      <w:r w:rsidR="00DC6292">
        <w:t xml:space="preserve">lead azide, Lead styphnate and Mercury fulminate </w:t>
      </w:r>
      <w:r w:rsidR="00A06751">
        <w:t>which have a higher sensitivity are used in order to provide the high explosive with enough energy to detonate</w:t>
      </w:r>
      <w:r w:rsidR="00494DBF">
        <w:t xml:space="preserve"> this is usually in the form of a small detonator</w:t>
      </w:r>
      <w:r w:rsidR="00784BF2">
        <w:t xml:space="preserve"> [9]</w:t>
      </w:r>
      <w:r w:rsidR="00A06751">
        <w:t xml:space="preserve">. </w:t>
      </w:r>
      <w:r w:rsidR="003710B6">
        <w:t xml:space="preserve">Some high explosives such as TNT require a booster in order to detonate as it is so insensitive </w:t>
      </w:r>
      <w:r w:rsidR="000C0900">
        <w:t>the energy provided from a detonator alone will not be enough</w:t>
      </w:r>
      <w:r w:rsidR="00440FF2">
        <w:t xml:space="preserve">. An example of a booster could be </w:t>
      </w:r>
      <w:r w:rsidR="00414EF8">
        <w:t xml:space="preserve">a plastic explosive such as PE8 or PE4 which </w:t>
      </w:r>
      <w:r w:rsidR="00BB4D5B">
        <w:t xml:space="preserve">contain </w:t>
      </w:r>
      <w:r w:rsidR="00E95240">
        <w:t>a significant percentage</w:t>
      </w:r>
      <w:r w:rsidR="00BB4D5B">
        <w:t xml:space="preserve"> of RDX mixed with a plasticiser</w:t>
      </w:r>
      <w:r w:rsidR="00031086">
        <w:t xml:space="preserve"> in order to be malleable. </w:t>
      </w:r>
    </w:p>
    <w:p w14:paraId="70BB636B" w14:textId="20514D43" w:rsidR="003624F0" w:rsidRDefault="003624F0" w:rsidP="00D94E2D">
      <w:r>
        <w:t>Due to</w:t>
      </w:r>
      <w:r w:rsidR="004B4AA5">
        <w:t xml:space="preserve"> the 60%</w:t>
      </w:r>
      <w:r>
        <w:t xml:space="preserve"> RDX and </w:t>
      </w:r>
      <w:r w:rsidR="004B4AA5">
        <w:t xml:space="preserve">40% </w:t>
      </w:r>
      <w:r>
        <w:t xml:space="preserve">TNT </w:t>
      </w:r>
      <w:r w:rsidR="004B4AA5">
        <w:t xml:space="preserve">mixture </w:t>
      </w:r>
      <w:r>
        <w:t xml:space="preserve">being </w:t>
      </w:r>
      <w:r w:rsidR="001217AF">
        <w:t xml:space="preserve">a </w:t>
      </w:r>
      <w:r>
        <w:t xml:space="preserve">relatively insensitive material, the explosive train will require a </w:t>
      </w:r>
      <w:r w:rsidR="00E933E7">
        <w:t xml:space="preserve">detonator and booster in order to detonate the main charge. The subsections detailed below will explore the </w:t>
      </w:r>
      <w:r w:rsidR="00E95240">
        <w:t>diverse options</w:t>
      </w:r>
      <w:r w:rsidR="00E933E7">
        <w:t xml:space="preserve"> </w:t>
      </w:r>
      <w:r w:rsidR="004B4AA5">
        <w:t xml:space="preserve">that could be used in order to achieve detonation. </w:t>
      </w:r>
    </w:p>
    <w:p w14:paraId="525A80DD" w14:textId="731EC8B5" w:rsidR="00EE220B" w:rsidRDefault="00B452F8" w:rsidP="00EE220B">
      <w:pPr>
        <w:pStyle w:val="Heading2"/>
      </w:pPr>
      <w:bookmarkStart w:id="15" w:name="_Toc203033563"/>
      <w:r>
        <w:t>Detonator</w:t>
      </w:r>
      <w:bookmarkEnd w:id="15"/>
    </w:p>
    <w:p w14:paraId="4912B5B7" w14:textId="36F05189" w:rsidR="0030746B" w:rsidRDefault="00383AAD" w:rsidP="00383AAD">
      <w:r>
        <w:t xml:space="preserve">A detonator is a device containing a detonating charge that </w:t>
      </w:r>
      <w:r w:rsidR="00D13C09">
        <w:t xml:space="preserve">is used to initiate an explosive </w:t>
      </w:r>
      <w:r w:rsidR="00346BEB">
        <w:t xml:space="preserve">at a desired time reliably. There are three </w:t>
      </w:r>
      <w:r w:rsidR="00E95240">
        <w:t>distinct types</w:t>
      </w:r>
      <w:r w:rsidR="00346BEB">
        <w:t xml:space="preserve"> of </w:t>
      </w:r>
      <w:r w:rsidR="00D26B35">
        <w:t>detonators</w:t>
      </w:r>
      <w:r w:rsidR="00346BEB">
        <w:t xml:space="preserve"> commonly used which are </w:t>
      </w:r>
      <w:r w:rsidR="007A4CF4">
        <w:t>non-electric</w:t>
      </w:r>
      <w:r w:rsidR="00346BEB">
        <w:t xml:space="preserve"> </w:t>
      </w:r>
      <w:r w:rsidR="001E0BE2">
        <w:t xml:space="preserve">which </w:t>
      </w:r>
      <w:r w:rsidR="0090047D">
        <w:t>do not</w:t>
      </w:r>
      <w:r w:rsidR="001E0BE2">
        <w:t xml:space="preserve"> have an electrical input and require </w:t>
      </w:r>
      <w:r w:rsidR="00A41B64">
        <w:t xml:space="preserve">other means of initiation such as detonating cord or shock-tube systems. </w:t>
      </w:r>
      <w:r w:rsidR="00AF19D2">
        <w:t xml:space="preserve">Another different type of detonator is </w:t>
      </w:r>
      <w:r w:rsidR="00D26B35">
        <w:t>an</w:t>
      </w:r>
      <w:r w:rsidR="00AF19D2">
        <w:t xml:space="preserve"> electric detonator such as </w:t>
      </w:r>
      <w:r w:rsidR="00D072A1">
        <w:t xml:space="preserve">exploding bridge wire (EBW) these contain a </w:t>
      </w:r>
      <w:r w:rsidR="00561128">
        <w:t xml:space="preserve">wire that once current is passed through it creates enough energy to </w:t>
      </w:r>
      <w:r w:rsidR="00374B4E">
        <w:t xml:space="preserve">initiate the first primary composition. The final type of detonator is the electronic detonator </w:t>
      </w:r>
      <w:r w:rsidR="00F82937">
        <w:t xml:space="preserve">which uses electronic </w:t>
      </w:r>
      <w:r w:rsidR="004D017F">
        <w:t xml:space="preserve">components to transmit a firing signal [10]. </w:t>
      </w:r>
      <w:r w:rsidR="0005490D">
        <w:t xml:space="preserve">Detonators </w:t>
      </w:r>
      <w:r w:rsidR="004A2EDB">
        <w:t>contain</w:t>
      </w:r>
      <w:r w:rsidR="00F017BB">
        <w:t xml:space="preserve"> primary explosives such as lead azide, lead styphnate, tetryl or DDNP</w:t>
      </w:r>
      <w:r w:rsidR="002C472A">
        <w:t xml:space="preserve"> (Diazodinitrophenol) however</w:t>
      </w:r>
      <w:r w:rsidR="00823DEC">
        <w:t xml:space="preserve"> </w:t>
      </w:r>
      <w:proofErr w:type="gramStart"/>
      <w:r w:rsidR="00823DEC">
        <w:t>some</w:t>
      </w:r>
      <w:proofErr w:type="gramEnd"/>
      <w:r w:rsidR="00823DEC">
        <w:t xml:space="preserve"> detonators also contain secondary explosives such as PETN, RDX, HMX or TNT in order to</w:t>
      </w:r>
      <w:r w:rsidR="0025682E">
        <w:t xml:space="preserve"> produce a larger shock wave. </w:t>
      </w:r>
    </w:p>
    <w:p w14:paraId="7A009613" w14:textId="6CFD7A9F" w:rsidR="00383AAD" w:rsidRDefault="00697877" w:rsidP="00383AAD">
      <w:r>
        <w:rPr>
          <w:noProof/>
        </w:rPr>
        <w:drawing>
          <wp:anchor distT="0" distB="0" distL="114300" distR="114300" simplePos="0" relativeHeight="251658240" behindDoc="1" locked="0" layoutInCell="1" allowOverlap="1" wp14:anchorId="2A413CCE" wp14:editId="3AE0CD28">
            <wp:simplePos x="0" y="0"/>
            <wp:positionH relativeFrom="margin">
              <wp:align>left</wp:align>
            </wp:positionH>
            <wp:positionV relativeFrom="paragraph">
              <wp:posOffset>1324610</wp:posOffset>
            </wp:positionV>
            <wp:extent cx="2647315" cy="1985645"/>
            <wp:effectExtent l="0" t="0" r="635" b="0"/>
            <wp:wrapTight wrapText="bothSides">
              <wp:wrapPolygon edited="0">
                <wp:start x="0" y="0"/>
                <wp:lineTo x="0" y="21344"/>
                <wp:lineTo x="21450" y="21344"/>
                <wp:lineTo x="21450" y="0"/>
                <wp:lineTo x="0"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7315" cy="1985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472A">
        <w:t xml:space="preserve">For this explosive </w:t>
      </w:r>
      <w:r w:rsidR="00D17D17">
        <w:t>train,</w:t>
      </w:r>
      <w:r w:rsidR="002C472A">
        <w:t xml:space="preserve"> the options have been considered </w:t>
      </w:r>
      <w:r w:rsidR="0030746B">
        <w:t xml:space="preserve">and </w:t>
      </w:r>
      <w:r w:rsidR="002C472A">
        <w:t xml:space="preserve">due to the reliability of the electric detonator it will be used for this specific explosive train. </w:t>
      </w:r>
      <w:r w:rsidR="00C21A49">
        <w:t xml:space="preserve">Some commonly used </w:t>
      </w:r>
      <w:r w:rsidR="00997227">
        <w:t>electric detonators are EBW and Slapper detonators</w:t>
      </w:r>
      <w:r w:rsidR="0047608E">
        <w:t xml:space="preserve"> which use a small capacitor to burst a thin copper bridge to accelerate dielectric flyer plates to a high enough velocity to initiate the secondary explosive</w:t>
      </w:r>
      <w:r w:rsidR="004A07F5">
        <w:t xml:space="preserve"> [11]</w:t>
      </w:r>
      <w:r w:rsidR="0047608E">
        <w:t xml:space="preserve">. </w:t>
      </w:r>
      <w:r w:rsidR="00BF6445">
        <w:t xml:space="preserve">Some examples of </w:t>
      </w:r>
      <w:r w:rsidR="00C0671C">
        <w:t>commercially used detonators are RP-1 dets for high precision</w:t>
      </w:r>
      <w:r w:rsidR="007B4F6B">
        <w:t>, RP-83 for general purpos</w:t>
      </w:r>
      <w:r w:rsidR="00057268">
        <w:t xml:space="preserve">e and RP-501 for economy. </w:t>
      </w:r>
      <w:r w:rsidR="00C45DF2">
        <w:t xml:space="preserve">For this explosive </w:t>
      </w:r>
      <w:r w:rsidR="00D17D17">
        <w:t>train,</w:t>
      </w:r>
      <w:r w:rsidR="00C45DF2">
        <w:t xml:space="preserve"> the RP-83 </w:t>
      </w:r>
      <w:r w:rsidR="00E778C3">
        <w:t>will be used</w:t>
      </w:r>
      <w:r w:rsidR="00A555F6">
        <w:t xml:space="preserve"> in a shock to detonation explosive train</w:t>
      </w:r>
      <w:r w:rsidR="00E778C3">
        <w:t xml:space="preserve">. </w:t>
      </w:r>
    </w:p>
    <w:p w14:paraId="581E235F" w14:textId="3DF36428" w:rsidR="00697877" w:rsidRDefault="00697877" w:rsidP="00383AAD"/>
    <w:p w14:paraId="1DFC65AE" w14:textId="77777777" w:rsidR="00697877" w:rsidRDefault="00697877" w:rsidP="00383AAD"/>
    <w:p w14:paraId="62D1B406" w14:textId="77777777" w:rsidR="00697877" w:rsidRDefault="00697877" w:rsidP="00383AAD"/>
    <w:p w14:paraId="61303867" w14:textId="73D4281C" w:rsidR="00697877" w:rsidRDefault="00697877" w:rsidP="00383AAD"/>
    <w:p w14:paraId="49104683" w14:textId="2D13BEF2" w:rsidR="00697877" w:rsidRDefault="00A555F6" w:rsidP="00383AAD">
      <w:r>
        <w:rPr>
          <w:noProof/>
        </w:rPr>
        <mc:AlternateContent>
          <mc:Choice Requires="wps">
            <w:drawing>
              <wp:anchor distT="0" distB="0" distL="114300" distR="114300" simplePos="0" relativeHeight="251660288" behindDoc="1" locked="0" layoutInCell="1" allowOverlap="1" wp14:anchorId="060F5EB1" wp14:editId="3AABDD8F">
                <wp:simplePos x="0" y="0"/>
                <wp:positionH relativeFrom="margin">
                  <wp:posOffset>2543175</wp:posOffset>
                </wp:positionH>
                <wp:positionV relativeFrom="paragraph">
                  <wp:posOffset>223520</wp:posOffset>
                </wp:positionV>
                <wp:extent cx="990600" cy="635"/>
                <wp:effectExtent l="0" t="0" r="0" b="6985"/>
                <wp:wrapSquare wrapText="bothSides"/>
                <wp:docPr id="1089508043" name="Text Box 1"/>
                <wp:cNvGraphicFramePr/>
                <a:graphic xmlns:a="http://schemas.openxmlformats.org/drawingml/2006/main">
                  <a:graphicData uri="http://schemas.microsoft.com/office/word/2010/wordprocessingShape">
                    <wps:wsp>
                      <wps:cNvSpPr txBox="1"/>
                      <wps:spPr>
                        <a:xfrm>
                          <a:off x="0" y="0"/>
                          <a:ext cx="990600" cy="635"/>
                        </a:xfrm>
                        <a:prstGeom prst="rect">
                          <a:avLst/>
                        </a:prstGeom>
                        <a:solidFill>
                          <a:prstClr val="white"/>
                        </a:solidFill>
                        <a:ln>
                          <a:noFill/>
                        </a:ln>
                      </wps:spPr>
                      <wps:txbx>
                        <w:txbxContent>
                          <w:p w14:paraId="08A4FA95" w14:textId="4519D3D7" w:rsidR="00697877" w:rsidRPr="006926A8" w:rsidRDefault="00697877" w:rsidP="00697877">
                            <w:pPr>
                              <w:pStyle w:val="Caption"/>
                              <w:rPr>
                                <w:noProof/>
                                <w:sz w:val="22"/>
                                <w:szCs w:val="22"/>
                              </w:rPr>
                            </w:pPr>
                            <w:bookmarkStart w:id="16" w:name="_Toc203033572"/>
                            <w:r>
                              <w:t xml:space="preserve">Figure </w:t>
                            </w:r>
                            <w:r>
                              <w:fldChar w:fldCharType="begin"/>
                            </w:r>
                            <w:r>
                              <w:instrText xml:space="preserve"> SEQ Figure \* ARABIC </w:instrText>
                            </w:r>
                            <w:r>
                              <w:fldChar w:fldCharType="separate"/>
                            </w:r>
                            <w:r>
                              <w:rPr>
                                <w:noProof/>
                              </w:rPr>
                              <w:t>4</w:t>
                            </w:r>
                            <w:r>
                              <w:fldChar w:fldCharType="end"/>
                            </w:r>
                            <w:r>
                              <w:t>- detailed breakdown of RP-83 detonator.</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60F5EB1" id="_x0000_t202" coordsize="21600,21600" o:spt="202" path="m,l,21600r21600,l21600,xe">
                <v:stroke joinstyle="miter"/>
                <v:path gradientshapeok="t" o:connecttype="rect"/>
              </v:shapetype>
              <v:shape id="Text Box 1" o:spid="_x0000_s1026" type="#_x0000_t202" style="position:absolute;margin-left:200.25pt;margin-top:17.6pt;width:78pt;height:.05pt;z-index:-2516561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" stroked="f">
                <v:textbox style="mso-fit-shape-to-text:t" inset="0,0,0,0">
                  <w:txbxContent>
                    <w:p w14:paraId="08A4FA95" w14:textId="4519D3D7" w:rsidR="00697877" w:rsidRPr="006926A8" w:rsidRDefault="00697877" w:rsidP="00697877">
                      <w:pPr>
                        <w:pStyle w:val="Caption"/>
                        <w:rPr>
                          <w:noProof/>
                          <w:sz w:val="22"/>
                          <w:szCs w:val="22"/>
                        </w:rPr>
                      </w:pPr>
                      <w:bookmarkStart w:id="17" w:name="_Toc203033572"/>
                      <w:r>
                        <w:t xml:space="preserve">Figure </w:t>
                      </w:r>
                      <w:r>
                        <w:fldChar w:fldCharType="begin"/>
                      </w:r>
                      <w:r>
                        <w:instrText xml:space="preserve"> SEQ Figure \* ARABIC </w:instrText>
                      </w:r>
                      <w:r>
                        <w:fldChar w:fldCharType="separate"/>
                      </w:r>
                      <w:r>
                        <w:rPr>
                          <w:noProof/>
                        </w:rPr>
                        <w:t>4</w:t>
                      </w:r>
                      <w:r>
                        <w:fldChar w:fldCharType="end"/>
                      </w:r>
                      <w:r>
                        <w:t>- detailed breakdown of RP-83 detonator.</w:t>
                      </w:r>
                      <w:bookmarkEnd w:id="17"/>
                    </w:p>
                  </w:txbxContent>
                </v:textbox>
                <w10:wrap type="square" anchorx="margin"/>
              </v:shape>
            </w:pict>
          </mc:Fallback>
        </mc:AlternateContent>
      </w:r>
    </w:p>
    <w:p w14:paraId="2DF04BB7" w14:textId="24936E41" w:rsidR="00697877" w:rsidRDefault="00697877" w:rsidP="00383AAD"/>
    <w:p w14:paraId="1399494A" w14:textId="42D81D95" w:rsidR="00697877" w:rsidRDefault="00697877" w:rsidP="00383AAD"/>
    <w:tbl>
      <w:tblPr>
        <w:tblStyle w:val="TableGrid"/>
        <w:tblW w:w="0" w:type="auto"/>
        <w:tblLook w:val="04A0" w:firstRow="1" w:lastRow="0" w:firstColumn="1" w:lastColumn="0" w:noHBand="0" w:noVBand="1"/>
      </w:tblPr>
      <w:tblGrid>
        <w:gridCol w:w="3005"/>
        <w:gridCol w:w="3005"/>
        <w:gridCol w:w="3006"/>
      </w:tblGrid>
      <w:tr w:rsidR="00A54307" w14:paraId="46BDBFA5" w14:textId="77777777" w:rsidTr="00A54307">
        <w:tc>
          <w:tcPr>
            <w:tcW w:w="3005" w:type="dxa"/>
          </w:tcPr>
          <w:p w14:paraId="61050DB2" w14:textId="77777777" w:rsidR="00A54307" w:rsidRPr="006A2FAE" w:rsidRDefault="00A54307" w:rsidP="00926BC1">
            <w:pPr>
              <w:pStyle w:val="Caption"/>
              <w:jc w:val="center"/>
              <w:rPr>
                <w:rFonts w:cstheme="minorHAnsi"/>
                <w:i w:val="0"/>
                <w:iCs w:val="0"/>
                <w:color w:val="auto"/>
                <w:sz w:val="22"/>
                <w:szCs w:val="22"/>
              </w:rPr>
            </w:pPr>
          </w:p>
        </w:tc>
        <w:tc>
          <w:tcPr>
            <w:tcW w:w="3005" w:type="dxa"/>
          </w:tcPr>
          <w:p w14:paraId="19EB621F" w14:textId="6855CA15" w:rsidR="00A54307" w:rsidRPr="006A2FAE" w:rsidRDefault="00926BC1" w:rsidP="00926BC1">
            <w:pPr>
              <w:pStyle w:val="Caption"/>
              <w:jc w:val="center"/>
              <w:rPr>
                <w:rFonts w:cstheme="minorHAnsi"/>
                <w:i w:val="0"/>
                <w:iCs w:val="0"/>
                <w:color w:val="auto"/>
                <w:sz w:val="22"/>
                <w:szCs w:val="22"/>
              </w:rPr>
            </w:pPr>
            <w:r w:rsidRPr="006A2FAE">
              <w:rPr>
                <w:rFonts w:cstheme="minorHAnsi"/>
                <w:i w:val="0"/>
                <w:iCs w:val="0"/>
                <w:color w:val="auto"/>
                <w:sz w:val="22"/>
                <w:szCs w:val="22"/>
              </w:rPr>
              <w:t>PETN</w:t>
            </w:r>
          </w:p>
        </w:tc>
        <w:tc>
          <w:tcPr>
            <w:tcW w:w="3006" w:type="dxa"/>
          </w:tcPr>
          <w:p w14:paraId="76200DC9" w14:textId="0BAA0EE8" w:rsidR="00A54307" w:rsidRPr="006A2FAE" w:rsidRDefault="00926BC1" w:rsidP="00926BC1">
            <w:pPr>
              <w:pStyle w:val="Caption"/>
              <w:jc w:val="center"/>
              <w:rPr>
                <w:rFonts w:cstheme="minorHAnsi"/>
                <w:i w:val="0"/>
                <w:iCs w:val="0"/>
                <w:color w:val="auto"/>
                <w:sz w:val="22"/>
                <w:szCs w:val="22"/>
              </w:rPr>
            </w:pPr>
            <w:r w:rsidRPr="006A2FAE">
              <w:rPr>
                <w:rFonts w:cstheme="minorHAnsi"/>
                <w:i w:val="0"/>
                <w:iCs w:val="0"/>
                <w:color w:val="auto"/>
                <w:sz w:val="22"/>
                <w:szCs w:val="22"/>
              </w:rPr>
              <w:t>HMX</w:t>
            </w:r>
          </w:p>
        </w:tc>
      </w:tr>
      <w:tr w:rsidR="00A54307" w14:paraId="442EE326" w14:textId="77777777" w:rsidTr="00A54307">
        <w:tc>
          <w:tcPr>
            <w:tcW w:w="3005" w:type="dxa"/>
          </w:tcPr>
          <w:p w14:paraId="786DFEDF" w14:textId="2ED7AC0F" w:rsidR="00A54307" w:rsidRPr="006A2FAE" w:rsidRDefault="00926BC1" w:rsidP="00926BC1">
            <w:pPr>
              <w:pStyle w:val="Caption"/>
              <w:jc w:val="center"/>
              <w:rPr>
                <w:rFonts w:cstheme="minorHAnsi"/>
                <w:i w:val="0"/>
                <w:iCs w:val="0"/>
                <w:color w:val="auto"/>
                <w:sz w:val="22"/>
                <w:szCs w:val="22"/>
              </w:rPr>
            </w:pPr>
            <w:r w:rsidRPr="006A2FAE">
              <w:rPr>
                <w:rFonts w:cstheme="minorHAnsi"/>
                <w:i w:val="0"/>
                <w:iCs w:val="0"/>
                <w:color w:val="auto"/>
                <w:sz w:val="22"/>
                <w:szCs w:val="22"/>
              </w:rPr>
              <w:t>Density</w:t>
            </w:r>
          </w:p>
        </w:tc>
        <w:tc>
          <w:tcPr>
            <w:tcW w:w="3005" w:type="dxa"/>
          </w:tcPr>
          <w:p w14:paraId="2ED79A5D" w14:textId="1C98D00D" w:rsidR="00A54307" w:rsidRPr="006A2FAE" w:rsidRDefault="003D45B7" w:rsidP="00926BC1">
            <w:pPr>
              <w:pStyle w:val="Caption"/>
              <w:jc w:val="center"/>
              <w:rPr>
                <w:rFonts w:cstheme="minorHAnsi"/>
                <w:i w:val="0"/>
                <w:iCs w:val="0"/>
                <w:color w:val="auto"/>
                <w:sz w:val="22"/>
                <w:szCs w:val="22"/>
              </w:rPr>
            </w:pPr>
            <w:r w:rsidRPr="006A2FAE">
              <w:rPr>
                <w:rFonts w:cstheme="minorHAnsi"/>
                <w:i w:val="0"/>
                <w:iCs w:val="0"/>
                <w:color w:val="auto"/>
                <w:sz w:val="22"/>
                <w:szCs w:val="22"/>
              </w:rPr>
              <w:t>1.</w:t>
            </w:r>
            <w:r w:rsidR="007561D2" w:rsidRPr="006A2FAE">
              <w:rPr>
                <w:rFonts w:cstheme="minorHAnsi"/>
                <w:i w:val="0"/>
                <w:iCs w:val="0"/>
                <w:color w:val="auto"/>
                <w:sz w:val="22"/>
                <w:szCs w:val="22"/>
              </w:rPr>
              <w:t>77</w:t>
            </w:r>
            <w:r w:rsidR="004B457C" w:rsidRPr="006A2FAE">
              <w:rPr>
                <w:rFonts w:cstheme="minorHAnsi"/>
                <w:i w:val="0"/>
                <w:iCs w:val="0"/>
                <w:color w:val="auto"/>
                <w:sz w:val="22"/>
                <w:szCs w:val="22"/>
              </w:rPr>
              <w:t xml:space="preserve"> g</w:t>
            </w:r>
            <w:r w:rsidR="00B45723" w:rsidRPr="006A2FAE">
              <w:rPr>
                <w:rFonts w:cstheme="minorHAnsi"/>
                <w:i w:val="0"/>
                <w:iCs w:val="0"/>
                <w:color w:val="auto"/>
                <w:sz w:val="22"/>
                <w:szCs w:val="22"/>
              </w:rPr>
              <w:t>/</w:t>
            </w:r>
            <w:r w:rsidR="007242EF" w:rsidRPr="006A2FAE">
              <w:rPr>
                <w:i w:val="0"/>
                <w:iCs w:val="0"/>
                <w:color w:val="auto"/>
                <w:sz w:val="22"/>
                <w:szCs w:val="22"/>
              </w:rPr>
              <w:t>cm</w:t>
            </w:r>
            <w:r w:rsidR="007242EF" w:rsidRPr="006A2FAE">
              <w:rPr>
                <w:color w:val="auto"/>
                <w:vertAlign w:val="superscript"/>
              </w:rPr>
              <w:t>3</w:t>
            </w:r>
          </w:p>
        </w:tc>
        <w:tc>
          <w:tcPr>
            <w:tcW w:w="3006" w:type="dxa"/>
          </w:tcPr>
          <w:p w14:paraId="2049A440" w14:textId="3ED054EB" w:rsidR="00A54307" w:rsidRPr="006A2FAE" w:rsidRDefault="00B45723" w:rsidP="00926BC1">
            <w:pPr>
              <w:pStyle w:val="Caption"/>
              <w:jc w:val="center"/>
              <w:rPr>
                <w:rFonts w:cstheme="minorHAnsi"/>
                <w:i w:val="0"/>
                <w:iCs w:val="0"/>
                <w:color w:val="auto"/>
                <w:sz w:val="22"/>
                <w:szCs w:val="22"/>
              </w:rPr>
            </w:pPr>
            <w:r w:rsidRPr="006A2FAE">
              <w:rPr>
                <w:rFonts w:cstheme="minorHAnsi"/>
                <w:i w:val="0"/>
                <w:iCs w:val="0"/>
                <w:color w:val="auto"/>
                <w:sz w:val="22"/>
                <w:szCs w:val="22"/>
              </w:rPr>
              <w:t>1.91 g/</w:t>
            </w:r>
            <w:r w:rsidRPr="006A2FAE">
              <w:rPr>
                <w:i w:val="0"/>
                <w:iCs w:val="0"/>
                <w:color w:val="auto"/>
                <w:sz w:val="22"/>
                <w:szCs w:val="22"/>
              </w:rPr>
              <w:t>cm</w:t>
            </w:r>
            <w:r w:rsidRPr="006A2FAE">
              <w:rPr>
                <w:color w:val="auto"/>
                <w:vertAlign w:val="superscript"/>
              </w:rPr>
              <w:t>3</w:t>
            </w:r>
          </w:p>
        </w:tc>
      </w:tr>
      <w:tr w:rsidR="00A54307" w14:paraId="51869D52" w14:textId="77777777" w:rsidTr="00A54307">
        <w:tc>
          <w:tcPr>
            <w:tcW w:w="3005" w:type="dxa"/>
          </w:tcPr>
          <w:p w14:paraId="55CCEF9C" w14:textId="655120BC" w:rsidR="00A54307" w:rsidRPr="006A2FAE" w:rsidRDefault="001F5D10" w:rsidP="00926BC1">
            <w:pPr>
              <w:pStyle w:val="Caption"/>
              <w:jc w:val="center"/>
              <w:rPr>
                <w:rFonts w:cstheme="minorHAnsi"/>
                <w:i w:val="0"/>
                <w:iCs w:val="0"/>
                <w:color w:val="auto"/>
                <w:sz w:val="22"/>
                <w:szCs w:val="22"/>
              </w:rPr>
            </w:pPr>
            <w:r w:rsidRPr="006A2FAE">
              <w:rPr>
                <w:rFonts w:cstheme="minorHAnsi"/>
                <w:i w:val="0"/>
                <w:iCs w:val="0"/>
                <w:color w:val="auto"/>
                <w:sz w:val="22"/>
                <w:szCs w:val="22"/>
              </w:rPr>
              <w:t xml:space="preserve">Run </w:t>
            </w:r>
            <w:r w:rsidR="00926BC1" w:rsidRPr="006A2FAE">
              <w:rPr>
                <w:rFonts w:cstheme="minorHAnsi"/>
                <w:i w:val="0"/>
                <w:iCs w:val="0"/>
                <w:color w:val="auto"/>
                <w:sz w:val="22"/>
                <w:szCs w:val="22"/>
              </w:rPr>
              <w:t>Length</w:t>
            </w:r>
          </w:p>
        </w:tc>
        <w:tc>
          <w:tcPr>
            <w:tcW w:w="3005" w:type="dxa"/>
          </w:tcPr>
          <w:p w14:paraId="32112677" w14:textId="2ED6CA5E" w:rsidR="00A54307" w:rsidRPr="006A2FAE" w:rsidRDefault="00C60DF7" w:rsidP="00926BC1">
            <w:pPr>
              <w:pStyle w:val="Caption"/>
              <w:jc w:val="center"/>
              <w:rPr>
                <w:rFonts w:cstheme="minorHAnsi"/>
                <w:i w:val="0"/>
                <w:iCs w:val="0"/>
                <w:color w:val="auto"/>
                <w:sz w:val="22"/>
                <w:szCs w:val="22"/>
              </w:rPr>
            </w:pPr>
            <w:r w:rsidRPr="006A2FAE">
              <w:rPr>
                <w:rFonts w:cstheme="minorHAnsi"/>
                <w:i w:val="0"/>
                <w:iCs w:val="0"/>
                <w:color w:val="auto"/>
                <w:sz w:val="22"/>
                <w:szCs w:val="22"/>
              </w:rPr>
              <w:t xml:space="preserve">150 mm </w:t>
            </w:r>
            <w:r w:rsidR="00DC48FF" w:rsidRPr="006A2FAE">
              <w:rPr>
                <w:rFonts w:cstheme="minorHAnsi"/>
                <w:i w:val="0"/>
                <w:iCs w:val="0"/>
                <w:color w:val="auto"/>
                <w:sz w:val="22"/>
                <w:szCs w:val="22"/>
              </w:rPr>
              <w:t xml:space="preserve">for DDT (Deflagration to detonation) </w:t>
            </w:r>
          </w:p>
        </w:tc>
        <w:tc>
          <w:tcPr>
            <w:tcW w:w="3006" w:type="dxa"/>
          </w:tcPr>
          <w:p w14:paraId="56FD6132" w14:textId="5CD0BE2A" w:rsidR="00A54307" w:rsidRPr="006A2FAE" w:rsidRDefault="0011002F" w:rsidP="00926BC1">
            <w:pPr>
              <w:pStyle w:val="Caption"/>
              <w:jc w:val="center"/>
              <w:rPr>
                <w:rFonts w:cstheme="minorHAnsi"/>
                <w:i w:val="0"/>
                <w:iCs w:val="0"/>
                <w:color w:val="auto"/>
                <w:sz w:val="22"/>
                <w:szCs w:val="22"/>
              </w:rPr>
            </w:pPr>
            <w:r w:rsidRPr="006A2FAE">
              <w:rPr>
                <w:rFonts w:cstheme="minorHAnsi"/>
                <w:i w:val="0"/>
                <w:iCs w:val="0"/>
                <w:color w:val="auto"/>
                <w:sz w:val="22"/>
                <w:szCs w:val="22"/>
              </w:rPr>
              <w:t>6 mm RDD (</w:t>
            </w:r>
            <w:r w:rsidR="00F42532" w:rsidRPr="006A2FAE">
              <w:rPr>
                <w:rFonts w:cstheme="minorHAnsi"/>
                <w:i w:val="0"/>
                <w:iCs w:val="0"/>
                <w:color w:val="auto"/>
                <w:sz w:val="22"/>
                <w:szCs w:val="22"/>
              </w:rPr>
              <w:t xml:space="preserve">run distance to detonation) </w:t>
            </w:r>
          </w:p>
        </w:tc>
      </w:tr>
      <w:tr w:rsidR="00A54307" w14:paraId="6D84BD78" w14:textId="77777777" w:rsidTr="00A54307">
        <w:tc>
          <w:tcPr>
            <w:tcW w:w="3005" w:type="dxa"/>
          </w:tcPr>
          <w:p w14:paraId="344E2AAE" w14:textId="42392EB1" w:rsidR="00A54307" w:rsidRPr="006A2FAE" w:rsidRDefault="00926BC1" w:rsidP="00926BC1">
            <w:pPr>
              <w:pStyle w:val="Caption"/>
              <w:jc w:val="center"/>
              <w:rPr>
                <w:rFonts w:cstheme="minorHAnsi"/>
                <w:i w:val="0"/>
                <w:iCs w:val="0"/>
                <w:color w:val="auto"/>
                <w:sz w:val="22"/>
                <w:szCs w:val="22"/>
              </w:rPr>
            </w:pPr>
            <w:r w:rsidRPr="006A2FAE">
              <w:rPr>
                <w:rFonts w:cstheme="minorHAnsi"/>
                <w:i w:val="0"/>
                <w:iCs w:val="0"/>
                <w:color w:val="auto"/>
                <w:sz w:val="22"/>
                <w:szCs w:val="22"/>
              </w:rPr>
              <w:t>Critical diameter</w:t>
            </w:r>
          </w:p>
        </w:tc>
        <w:tc>
          <w:tcPr>
            <w:tcW w:w="3005" w:type="dxa"/>
          </w:tcPr>
          <w:p w14:paraId="35C83186" w14:textId="188049B6" w:rsidR="00A54307" w:rsidRPr="006A2FAE" w:rsidRDefault="001F5D10" w:rsidP="00926BC1">
            <w:pPr>
              <w:pStyle w:val="Caption"/>
              <w:jc w:val="center"/>
              <w:rPr>
                <w:rFonts w:cstheme="minorHAnsi"/>
                <w:i w:val="0"/>
                <w:iCs w:val="0"/>
                <w:color w:val="auto"/>
                <w:sz w:val="22"/>
                <w:szCs w:val="22"/>
              </w:rPr>
            </w:pPr>
            <w:r w:rsidRPr="006A2FAE">
              <w:rPr>
                <w:rFonts w:cstheme="minorHAnsi"/>
                <w:i w:val="0"/>
                <w:iCs w:val="0"/>
                <w:color w:val="auto"/>
                <w:sz w:val="22"/>
                <w:szCs w:val="22"/>
              </w:rPr>
              <w:t>0.9 to 1.5mm</w:t>
            </w:r>
          </w:p>
        </w:tc>
        <w:tc>
          <w:tcPr>
            <w:tcW w:w="3006" w:type="dxa"/>
          </w:tcPr>
          <w:p w14:paraId="5C20B320" w14:textId="1E8D97AE" w:rsidR="00A54307" w:rsidRPr="006A2FAE" w:rsidRDefault="00F42532" w:rsidP="00926BC1">
            <w:pPr>
              <w:pStyle w:val="Caption"/>
              <w:jc w:val="center"/>
              <w:rPr>
                <w:rFonts w:cstheme="minorHAnsi"/>
                <w:i w:val="0"/>
                <w:iCs w:val="0"/>
                <w:color w:val="auto"/>
                <w:sz w:val="22"/>
                <w:szCs w:val="22"/>
              </w:rPr>
            </w:pPr>
            <w:r w:rsidRPr="006A2FAE">
              <w:rPr>
                <w:rFonts w:cstheme="minorHAnsi"/>
                <w:i w:val="0"/>
                <w:iCs w:val="0"/>
                <w:color w:val="auto"/>
                <w:sz w:val="22"/>
                <w:szCs w:val="22"/>
              </w:rPr>
              <w:t xml:space="preserve">2 to 10mm </w:t>
            </w:r>
          </w:p>
        </w:tc>
      </w:tr>
    </w:tbl>
    <w:p w14:paraId="1BCE3670" w14:textId="461BBD8B" w:rsidR="0011333E" w:rsidRDefault="008A27CF" w:rsidP="008A27CF">
      <w:pPr>
        <w:pStyle w:val="Caption"/>
      </w:pPr>
      <w:bookmarkStart w:id="18" w:name="_Toc203033575"/>
      <w:r>
        <w:t xml:space="preserve">Table </w:t>
      </w:r>
      <w:r>
        <w:fldChar w:fldCharType="begin"/>
      </w:r>
      <w:r>
        <w:instrText xml:space="preserve"> SEQ Table \* ARABIC </w:instrText>
      </w:r>
      <w:r>
        <w:fldChar w:fldCharType="separate"/>
      </w:r>
      <w:r w:rsidR="0000404B">
        <w:rPr>
          <w:noProof/>
        </w:rPr>
        <w:t>3</w:t>
      </w:r>
      <w:r>
        <w:fldChar w:fldCharType="end"/>
      </w:r>
      <w:r>
        <w:t xml:space="preserve">- </w:t>
      </w:r>
      <w:r w:rsidR="00B0526B">
        <w:t>Explosive properties of RP-83</w:t>
      </w:r>
      <w:bookmarkEnd w:id="18"/>
    </w:p>
    <w:p w14:paraId="6DE1428C" w14:textId="55370025" w:rsidR="0011333E" w:rsidRDefault="00A173A5" w:rsidP="00B1105D">
      <w:pPr>
        <w:pStyle w:val="Heading2"/>
      </w:pPr>
      <w:bookmarkStart w:id="19" w:name="_Toc203033564"/>
      <w:r>
        <w:t>Explosive b</w:t>
      </w:r>
      <w:r w:rsidR="00B1105D">
        <w:t>ooster</w:t>
      </w:r>
      <w:bookmarkEnd w:id="19"/>
    </w:p>
    <w:p w14:paraId="4395EC9A" w14:textId="08FB69A9" w:rsidR="00BE170A" w:rsidRPr="00B1105D" w:rsidRDefault="00785574" w:rsidP="00B1105D">
      <w:r>
        <w:t xml:space="preserve">An explosive booster is a sensitive </w:t>
      </w:r>
      <w:r w:rsidR="00791A91">
        <w:t xml:space="preserve">charge that acts as a bridge between a smaller weak detonator and a low sensitivity </w:t>
      </w:r>
      <w:r w:rsidR="00B93F08">
        <w:t>high explosive</w:t>
      </w:r>
      <w:r w:rsidR="00BA1B97">
        <w:t>. Due to the detonator not providing the main charge with sufficient energy a booster must be used</w:t>
      </w:r>
      <w:r w:rsidR="000E42AB">
        <w:t xml:space="preserve"> [13]. </w:t>
      </w:r>
      <w:r w:rsidR="0092478D">
        <w:t xml:space="preserve">Examples of commonly used boosters are </w:t>
      </w:r>
      <w:r w:rsidR="00165409">
        <w:t xml:space="preserve">RDX, PETN and tetryl in the forms of </w:t>
      </w:r>
      <w:r w:rsidR="000936E1">
        <w:t>plastic explosives such as PE8, PE4, C4</w:t>
      </w:r>
      <w:r w:rsidR="00165409">
        <w:t xml:space="preserve"> and </w:t>
      </w:r>
      <w:r w:rsidR="000936E1">
        <w:t>Semtex</w:t>
      </w:r>
      <w:r w:rsidR="0090047D">
        <w:t xml:space="preserve">. </w:t>
      </w:r>
      <w:r w:rsidR="007B62DA">
        <w:t xml:space="preserve">For this specific explosive </w:t>
      </w:r>
      <w:r w:rsidR="00D26B35">
        <w:t>train,</w:t>
      </w:r>
      <w:r w:rsidR="007B62DA">
        <w:t xml:space="preserve"> the booster will be PE8</w:t>
      </w:r>
      <w:r w:rsidR="00D22301">
        <w:t xml:space="preserve"> which has a RDX content of 86.5% by weight</w:t>
      </w:r>
      <w:r w:rsidR="00ED3D3B">
        <w:t>, contains plasticisers and binders at 12.5% by weight and a DMNB taggant</w:t>
      </w:r>
      <w:r w:rsidR="00032AAB">
        <w:t xml:space="preserve"> at 1% by weight which is used </w:t>
      </w:r>
      <w:r w:rsidR="00791DAB">
        <w:t>during manufacturing to allow for the detection by specialised instruments</w:t>
      </w:r>
      <w:r w:rsidR="00BE170A">
        <w:t xml:space="preserve"> [14]</w:t>
      </w:r>
      <w:r w:rsidR="00791DAB">
        <w:t xml:space="preserve">. </w:t>
      </w:r>
      <w:r w:rsidR="008C1F5C">
        <w:t xml:space="preserve">The information in the table below identifies the following properties for PE4 due to PE8 being a relatively new </w:t>
      </w:r>
      <w:r w:rsidR="00550DF3">
        <w:t>explosive type</w:t>
      </w:r>
      <w:proofErr w:type="gramStart"/>
      <w:r w:rsidR="00550DF3">
        <w:t xml:space="preserve">. </w:t>
      </w:r>
      <w:r w:rsidR="00ED3D3B">
        <w:t xml:space="preserve"> </w:t>
      </w:r>
      <w:proofErr w:type="gramEnd"/>
    </w:p>
    <w:tbl>
      <w:tblPr>
        <w:tblStyle w:val="TableGrid"/>
        <w:tblW w:w="0" w:type="auto"/>
        <w:tblLook w:val="04A0" w:firstRow="1" w:lastRow="0" w:firstColumn="1" w:lastColumn="0" w:noHBand="0" w:noVBand="1"/>
      </w:tblPr>
      <w:tblGrid>
        <w:gridCol w:w="2547"/>
        <w:gridCol w:w="2551"/>
      </w:tblGrid>
      <w:tr w:rsidR="00BE170A" w14:paraId="2FAD754D" w14:textId="77777777" w:rsidTr="00BE170A">
        <w:tc>
          <w:tcPr>
            <w:tcW w:w="2547" w:type="dxa"/>
          </w:tcPr>
          <w:p w14:paraId="604EE148" w14:textId="77777777" w:rsidR="00BE170A" w:rsidRDefault="00BE170A" w:rsidP="00BE170A">
            <w:pPr>
              <w:jc w:val="center"/>
            </w:pPr>
          </w:p>
        </w:tc>
        <w:tc>
          <w:tcPr>
            <w:tcW w:w="2551" w:type="dxa"/>
          </w:tcPr>
          <w:p w14:paraId="4D256C02" w14:textId="2B17F5FF" w:rsidR="00BE170A" w:rsidRDefault="00BE170A" w:rsidP="00BE170A">
            <w:pPr>
              <w:jc w:val="center"/>
            </w:pPr>
            <w:r>
              <w:t>PE</w:t>
            </w:r>
            <w:r w:rsidR="008C1F5C">
              <w:t>8</w:t>
            </w:r>
            <w:r>
              <w:t xml:space="preserve"> (RDX based) </w:t>
            </w:r>
          </w:p>
        </w:tc>
      </w:tr>
      <w:tr w:rsidR="00BE170A" w14:paraId="7B9AC31F" w14:textId="77777777" w:rsidTr="00BE170A">
        <w:tc>
          <w:tcPr>
            <w:tcW w:w="2547" w:type="dxa"/>
          </w:tcPr>
          <w:p w14:paraId="2C79C605" w14:textId="473DBD0D" w:rsidR="00BE170A" w:rsidRDefault="00BE170A" w:rsidP="00BE170A">
            <w:pPr>
              <w:jc w:val="center"/>
            </w:pPr>
            <w:r>
              <w:t xml:space="preserve">Density </w:t>
            </w:r>
          </w:p>
        </w:tc>
        <w:tc>
          <w:tcPr>
            <w:tcW w:w="2551" w:type="dxa"/>
          </w:tcPr>
          <w:p w14:paraId="56AE6663" w14:textId="45A57FCB" w:rsidR="00BE170A" w:rsidRDefault="00D5417F" w:rsidP="00BE170A">
            <w:pPr>
              <w:jc w:val="center"/>
            </w:pPr>
            <w:r>
              <w:t xml:space="preserve">1.57 </w:t>
            </w:r>
            <w:r w:rsidRPr="006A2FAE">
              <w:rPr>
                <w:rFonts w:cstheme="minorHAnsi"/>
                <w:i/>
                <w:iCs/>
              </w:rPr>
              <w:t>g/</w:t>
            </w:r>
            <w:r w:rsidRPr="006A2FAE">
              <w:rPr>
                <w:i/>
                <w:iCs/>
              </w:rPr>
              <w:t>cm</w:t>
            </w:r>
            <w:r w:rsidRPr="006A2FAE">
              <w:rPr>
                <w:vertAlign w:val="superscript"/>
              </w:rPr>
              <w:t>3</w:t>
            </w:r>
          </w:p>
        </w:tc>
      </w:tr>
      <w:tr w:rsidR="00BE170A" w14:paraId="2772FEF8" w14:textId="77777777" w:rsidTr="00BE170A">
        <w:tc>
          <w:tcPr>
            <w:tcW w:w="2547" w:type="dxa"/>
          </w:tcPr>
          <w:p w14:paraId="7B3C7053" w14:textId="3AA65C9E" w:rsidR="00BE170A" w:rsidRDefault="00BE170A" w:rsidP="00BE170A">
            <w:pPr>
              <w:jc w:val="center"/>
            </w:pPr>
            <w:r>
              <w:t>Run length</w:t>
            </w:r>
          </w:p>
        </w:tc>
        <w:tc>
          <w:tcPr>
            <w:tcW w:w="2551" w:type="dxa"/>
          </w:tcPr>
          <w:p w14:paraId="58AE07ED" w14:textId="3F1D9D7B" w:rsidR="00BE170A" w:rsidRDefault="001B781F" w:rsidP="00BE170A">
            <w:pPr>
              <w:jc w:val="center"/>
            </w:pPr>
            <w:r>
              <w:t xml:space="preserve">Undefined </w:t>
            </w:r>
          </w:p>
        </w:tc>
      </w:tr>
      <w:tr w:rsidR="00BE170A" w14:paraId="678E801D" w14:textId="77777777" w:rsidTr="00BE170A">
        <w:tc>
          <w:tcPr>
            <w:tcW w:w="2547" w:type="dxa"/>
          </w:tcPr>
          <w:p w14:paraId="497C37FA" w14:textId="23533F32" w:rsidR="00BE170A" w:rsidRDefault="00BE170A" w:rsidP="00BE170A">
            <w:pPr>
              <w:jc w:val="center"/>
            </w:pPr>
            <w:r>
              <w:t>Critical diameter</w:t>
            </w:r>
          </w:p>
        </w:tc>
        <w:tc>
          <w:tcPr>
            <w:tcW w:w="2551" w:type="dxa"/>
          </w:tcPr>
          <w:p w14:paraId="3D7C607D" w14:textId="161A6F6F" w:rsidR="00BE170A" w:rsidRDefault="001B781F" w:rsidP="00057A3F">
            <w:pPr>
              <w:keepNext/>
              <w:jc w:val="center"/>
            </w:pPr>
            <w:r>
              <w:t>3.81 mm to 5.08 mm</w:t>
            </w:r>
          </w:p>
        </w:tc>
      </w:tr>
    </w:tbl>
    <w:p w14:paraId="418F9884" w14:textId="06FDA1FB" w:rsidR="0011333E" w:rsidRDefault="00057A3F" w:rsidP="00057A3F">
      <w:pPr>
        <w:pStyle w:val="Caption"/>
      </w:pPr>
      <w:bookmarkStart w:id="20" w:name="_Toc203033576"/>
      <w:r>
        <w:t xml:space="preserve">Table </w:t>
      </w:r>
      <w:r>
        <w:fldChar w:fldCharType="begin"/>
      </w:r>
      <w:r>
        <w:instrText xml:space="preserve"> SEQ Table \* ARABIC </w:instrText>
      </w:r>
      <w:r>
        <w:fldChar w:fldCharType="separate"/>
      </w:r>
      <w:r w:rsidR="0000404B">
        <w:rPr>
          <w:noProof/>
        </w:rPr>
        <w:t>4</w:t>
      </w:r>
      <w:r>
        <w:fldChar w:fldCharType="end"/>
      </w:r>
      <w:r>
        <w:t>- Explosive properties for plastic explosive booster</w:t>
      </w:r>
      <w:bookmarkEnd w:id="20"/>
    </w:p>
    <w:p w14:paraId="524D4126" w14:textId="4BF92C55" w:rsidR="0011333E" w:rsidRDefault="002A147A" w:rsidP="002A147A">
      <w:pPr>
        <w:pStyle w:val="Heading2"/>
      </w:pPr>
      <w:bookmarkStart w:id="21" w:name="_Toc203033565"/>
      <w:r>
        <w:t>Final explosive train design</w:t>
      </w:r>
      <w:bookmarkEnd w:id="21"/>
    </w:p>
    <w:p w14:paraId="608488FE" w14:textId="7EFB1742" w:rsidR="00ED39F9" w:rsidRDefault="0000404B" w:rsidP="002A147A">
      <w:r>
        <w:rPr>
          <w:noProof/>
        </w:rPr>
        <mc:AlternateContent>
          <mc:Choice Requires="wps">
            <w:drawing>
              <wp:anchor distT="0" distB="0" distL="114300" distR="114300" simplePos="0" relativeHeight="251663360" behindDoc="1" locked="0" layoutInCell="1" allowOverlap="1" wp14:anchorId="0E43D5F6" wp14:editId="62903F6B">
                <wp:simplePos x="0" y="0"/>
                <wp:positionH relativeFrom="column">
                  <wp:posOffset>741680</wp:posOffset>
                </wp:positionH>
                <wp:positionV relativeFrom="paragraph">
                  <wp:posOffset>3478530</wp:posOffset>
                </wp:positionV>
                <wp:extent cx="4238625" cy="635"/>
                <wp:effectExtent l="0" t="0" r="0" b="0"/>
                <wp:wrapTight wrapText="bothSides">
                  <wp:wrapPolygon edited="0">
                    <wp:start x="0" y="0"/>
                    <wp:lineTo x="0" y="21600"/>
                    <wp:lineTo x="21600" y="21600"/>
                    <wp:lineTo x="21600" y="0"/>
                  </wp:wrapPolygon>
                </wp:wrapTight>
                <wp:docPr id="1469002594" name="Text Box 1"/>
                <wp:cNvGraphicFramePr/>
                <a:graphic xmlns:a="http://schemas.openxmlformats.org/drawingml/2006/main">
                  <a:graphicData uri="http://schemas.microsoft.com/office/word/2010/wordprocessingShape">
                    <wps:wsp>
                      <wps:cNvSpPr txBox="1"/>
                      <wps:spPr>
                        <a:xfrm>
                          <a:off x="0" y="0"/>
                          <a:ext cx="4238625" cy="635"/>
                        </a:xfrm>
                        <a:prstGeom prst="rect">
                          <a:avLst/>
                        </a:prstGeom>
                        <a:solidFill>
                          <a:prstClr val="white"/>
                        </a:solidFill>
                        <a:ln>
                          <a:noFill/>
                        </a:ln>
                      </wps:spPr>
                      <wps:txbx>
                        <w:txbxContent>
                          <w:p w14:paraId="02B2E7EE" w14:textId="7C882036" w:rsidR="0000404B" w:rsidRPr="00CC6B87" w:rsidRDefault="0000404B" w:rsidP="0000404B">
                            <w:pPr>
                              <w:pStyle w:val="Caption"/>
                              <w:rPr>
                                <w:noProof/>
                                <w:sz w:val="22"/>
                                <w:szCs w:val="22"/>
                              </w:rPr>
                            </w:pPr>
                            <w:bookmarkStart w:id="22" w:name="_Toc203033577"/>
                            <w:r>
                              <w:t xml:space="preserve">Table </w:t>
                            </w:r>
                            <w:r>
                              <w:fldChar w:fldCharType="begin"/>
                            </w:r>
                            <w:r>
                              <w:instrText xml:space="preserve"> SEQ Table \* ARABIC </w:instrText>
                            </w:r>
                            <w:r>
                              <w:fldChar w:fldCharType="separate"/>
                            </w:r>
                            <w:r>
                              <w:rPr>
                                <w:noProof/>
                              </w:rPr>
                              <w:t>5</w:t>
                            </w:r>
                            <w:r>
                              <w:fldChar w:fldCharType="end"/>
                            </w:r>
                            <w:r>
                              <w:t>- Final explosive train.</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43D5F6" id="_x0000_s1027" type="#_x0000_t202" style="position:absolute;margin-left:58.4pt;margin-top:273.9pt;width:333.7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" stroked="f">
                <v:textbox style="mso-fit-shape-to-text:t" inset="0,0,0,0">
                  <w:txbxContent>
                    <w:p w14:paraId="02B2E7EE" w14:textId="7C882036" w:rsidR="0000404B" w:rsidRPr="00CC6B87" w:rsidRDefault="0000404B" w:rsidP="0000404B">
                      <w:pPr>
                        <w:pStyle w:val="Caption"/>
                        <w:rPr>
                          <w:noProof/>
                          <w:sz w:val="22"/>
                          <w:szCs w:val="22"/>
                        </w:rPr>
                      </w:pPr>
                      <w:bookmarkStart w:id="23" w:name="_Toc203033577"/>
                      <w:r>
                        <w:t xml:space="preserve">Table </w:t>
                      </w:r>
                      <w:r>
                        <w:fldChar w:fldCharType="begin"/>
                      </w:r>
                      <w:r>
                        <w:instrText xml:space="preserve"> SEQ Table \* ARABIC </w:instrText>
                      </w:r>
                      <w:r>
                        <w:fldChar w:fldCharType="separate"/>
                      </w:r>
                      <w:r>
                        <w:rPr>
                          <w:noProof/>
                        </w:rPr>
                        <w:t>5</w:t>
                      </w:r>
                      <w:r>
                        <w:fldChar w:fldCharType="end"/>
                      </w:r>
                      <w:r>
                        <w:t>- Final explosive train.</w:t>
                      </w:r>
                      <w:bookmarkEnd w:id="23"/>
                    </w:p>
                  </w:txbxContent>
                </v:textbox>
                <w10:wrap type="tight"/>
              </v:shape>
            </w:pict>
          </mc:Fallback>
        </mc:AlternateContent>
      </w:r>
      <w:r w:rsidR="0098140C">
        <w:rPr>
          <w:noProof/>
        </w:rPr>
        <w:drawing>
          <wp:anchor distT="0" distB="0" distL="114300" distR="114300" simplePos="0" relativeHeight="251661312" behindDoc="1" locked="0" layoutInCell="1" allowOverlap="1" wp14:anchorId="38253D81" wp14:editId="74FB2C0D">
            <wp:simplePos x="0" y="0"/>
            <wp:positionH relativeFrom="margin">
              <wp:align>center</wp:align>
            </wp:positionH>
            <wp:positionV relativeFrom="paragraph">
              <wp:posOffset>987425</wp:posOffset>
            </wp:positionV>
            <wp:extent cx="4238625" cy="2433955"/>
            <wp:effectExtent l="0" t="0" r="9525" b="4445"/>
            <wp:wrapTight wrapText="bothSides">
              <wp:wrapPolygon edited="0">
                <wp:start x="0" y="0"/>
                <wp:lineTo x="0" y="21470"/>
                <wp:lineTo x="21551" y="21470"/>
                <wp:lineTo x="21551" y="0"/>
                <wp:lineTo x="0" y="0"/>
              </wp:wrapPolygon>
            </wp:wrapTight>
            <wp:docPr id="5802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2737" name=""/>
                    <pic:cNvPicPr/>
                  </pic:nvPicPr>
                  <pic:blipFill rotWithShape="1">
                    <a:blip r:embed="rId11" cstate="print">
                      <a:extLst>
                        <a:ext uri="{28A0092B-C50C-407E-A947-70E740481C1C}">
                          <a14:useLocalDpi xmlns:a14="http://schemas.microsoft.com/office/drawing/2010/main" val="0"/>
                        </a:ext>
                      </a:extLst>
                    </a:blip>
                    <a:srcRect l="10802" t="20977" r="32196" b="20819"/>
                    <a:stretch/>
                  </pic:blipFill>
                  <pic:spPr bwMode="auto">
                    <a:xfrm>
                      <a:off x="0" y="0"/>
                      <a:ext cx="4238625" cy="2433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E136F">
        <w:t xml:space="preserve">After reviewing the various different areas of the explosive </w:t>
      </w:r>
      <w:r w:rsidR="00D26B35">
        <w:t>train,</w:t>
      </w:r>
      <w:r w:rsidR="004E136F">
        <w:t xml:space="preserve"> it was decided to use a shock to detonation explosive train using an RP-83 EBW detonator into a </w:t>
      </w:r>
      <w:r w:rsidR="00E67370">
        <w:t xml:space="preserve">PE8 booster which will then provide the </w:t>
      </w:r>
      <w:r w:rsidR="00461ACE">
        <w:t xml:space="preserve">60% RDX and 40% TNT mixture with the sufficient energy to complete detonation. </w:t>
      </w:r>
      <w:r w:rsidR="00007694">
        <w:t xml:space="preserve">Due to the author having worked with RP-83 </w:t>
      </w:r>
      <w:r w:rsidR="00D26B35">
        <w:t>into</w:t>
      </w:r>
      <w:r w:rsidR="00007694">
        <w:t xml:space="preserve"> PE8 </w:t>
      </w:r>
      <w:r w:rsidR="007A4CF4">
        <w:t>into</w:t>
      </w:r>
      <w:r w:rsidR="00007694">
        <w:t xml:space="preserve"> main charge </w:t>
      </w:r>
      <w:r w:rsidR="00D21580">
        <w:t xml:space="preserve">regularly it can be confirmed that this will be a successful detonation of the material. </w:t>
      </w:r>
    </w:p>
    <w:p w14:paraId="1584BB35" w14:textId="77777777" w:rsidR="0098140C" w:rsidRDefault="0098140C" w:rsidP="002A147A"/>
    <w:p w14:paraId="05F57C06" w14:textId="0EC58286" w:rsidR="0098140C" w:rsidRDefault="004E136F" w:rsidP="002A147A">
      <w:pPr>
        <w:rPr>
          <w:noProof/>
        </w:rPr>
      </w:pPr>
      <w:r>
        <w:t xml:space="preserve"> </w:t>
      </w:r>
    </w:p>
    <w:p w14:paraId="3224B401" w14:textId="4FD2B4F2" w:rsidR="002A147A" w:rsidRPr="002A147A" w:rsidRDefault="002A147A" w:rsidP="002A147A"/>
    <w:p w14:paraId="2AF39F0E" w14:textId="77777777" w:rsidR="0011333E" w:rsidRDefault="0011333E" w:rsidP="00383AAD"/>
    <w:p w14:paraId="4E5A01D3" w14:textId="77777777" w:rsidR="0098140C" w:rsidRDefault="0098140C" w:rsidP="00383AAD"/>
    <w:p w14:paraId="4CF4981F" w14:textId="77777777" w:rsidR="0098140C" w:rsidRDefault="0098140C" w:rsidP="00383AAD"/>
    <w:p w14:paraId="7B9C5A9D" w14:textId="77777777" w:rsidR="0098140C" w:rsidRDefault="0098140C" w:rsidP="00383AAD"/>
    <w:p w14:paraId="2E1255E1" w14:textId="77777777" w:rsidR="0098140C" w:rsidRDefault="0098140C" w:rsidP="00383AAD"/>
    <w:p w14:paraId="04526F8C" w14:textId="77777777" w:rsidR="0098140C" w:rsidRDefault="0098140C" w:rsidP="00383AAD"/>
    <w:p w14:paraId="1FD22EE8" w14:textId="77777777" w:rsidR="0098140C" w:rsidRPr="00383AAD" w:rsidRDefault="0098140C" w:rsidP="00383AAD"/>
    <w:p w14:paraId="6C56097E" w14:textId="3D2FE41B" w:rsidR="001E0404" w:rsidRDefault="001E0404" w:rsidP="001E0404">
      <w:pPr>
        <w:pStyle w:val="Heading1"/>
      </w:pPr>
      <w:bookmarkStart w:id="24" w:name="_Toc203033566"/>
      <w:r>
        <w:lastRenderedPageBreak/>
        <w:t xml:space="preserve">Section Four </w:t>
      </w:r>
      <w:r w:rsidR="00F01CC6">
        <w:t>–</w:t>
      </w:r>
      <w:r w:rsidR="000B34E5">
        <w:t xml:space="preserve"> </w:t>
      </w:r>
      <w:r w:rsidR="00C70E2B">
        <w:t xml:space="preserve">Improving the explosive mixture for </w:t>
      </w:r>
      <w:r w:rsidR="00FD2F09">
        <w:t>performance underwater</w:t>
      </w:r>
      <w:bookmarkEnd w:id="24"/>
      <w:r w:rsidR="00FD2F09">
        <w:t xml:space="preserve"> </w:t>
      </w:r>
    </w:p>
    <w:p w14:paraId="760971E5" w14:textId="4D10C4D5" w:rsidR="00FD2F09" w:rsidRDefault="009237BC" w:rsidP="00FD2F09">
      <w:r>
        <w:t xml:space="preserve">This section will take an in depth look at the difference in performance of above ground explosive performance in comparison to underwater explosive performance. </w:t>
      </w:r>
      <w:r w:rsidR="00D365EE">
        <w:t xml:space="preserve">It will then look further in depth as to how the explosive mixture can be adapted to increase efficiency </w:t>
      </w:r>
      <w:r w:rsidR="005310F6">
        <w:t xml:space="preserve">through researching current underwater explosive types. </w:t>
      </w:r>
    </w:p>
    <w:p w14:paraId="43C45AFA" w14:textId="24A72253" w:rsidR="001B2CFC" w:rsidRDefault="00212C59" w:rsidP="00FD2F09">
      <w:r>
        <w:t xml:space="preserve">Underwater explosives </w:t>
      </w:r>
      <w:r w:rsidR="00214980">
        <w:t xml:space="preserve">are significantly different compared to above surface explosives. This is due to </w:t>
      </w:r>
      <w:r w:rsidR="00F66B73">
        <w:t xml:space="preserve">the initial shock wave and the following gas bubbles that occur. </w:t>
      </w:r>
      <w:r w:rsidR="00E96D4A">
        <w:t xml:space="preserve">Approximately half of an explosions total energy </w:t>
      </w:r>
      <w:r w:rsidR="009E4721">
        <w:t xml:space="preserve">releases the shock wave, with the rest of the energy </w:t>
      </w:r>
      <w:r w:rsidR="00344F79">
        <w:t>feeding into the gas bubbles internal pressure temperature and kinetic energy</w:t>
      </w:r>
      <w:r w:rsidR="00BB6395">
        <w:t xml:space="preserve"> </w:t>
      </w:r>
      <w:r w:rsidR="008734A3">
        <w:t>[15]</w:t>
      </w:r>
      <w:r w:rsidR="00344F79">
        <w:t>.</w:t>
      </w:r>
      <w:r w:rsidR="008734A3">
        <w:t xml:space="preserve"> When explosives are detonated above ground the initial </w:t>
      </w:r>
      <w:r w:rsidR="00B71504">
        <w:t xml:space="preserve">shock wave moves outwards </w:t>
      </w:r>
      <w:r w:rsidR="00850946">
        <w:t xml:space="preserve">as the gaseous products are released whereas underwater the shock wave is </w:t>
      </w:r>
      <w:r w:rsidR="0083645C">
        <w:t xml:space="preserve">accompanied by a highly compressed bubble which expands and contracts causing </w:t>
      </w:r>
      <w:r w:rsidR="00D17D17">
        <w:t>enormous amounts</w:t>
      </w:r>
      <w:r w:rsidR="0083645C">
        <w:t xml:space="preserve"> of pressure. </w:t>
      </w:r>
    </w:p>
    <w:p w14:paraId="7719C0D9" w14:textId="143A4BDF" w:rsidR="00510BF7" w:rsidRPr="00F50E8F" w:rsidRDefault="001B2CFC" w:rsidP="00510BF7">
      <w:r>
        <w:t xml:space="preserve">RDX and TNT are commonly used within underwater mines, this is due to </w:t>
      </w:r>
      <w:r w:rsidR="00C932A5">
        <w:t xml:space="preserve">TNT and RDX being relatively safe to </w:t>
      </w:r>
      <w:proofErr w:type="gramStart"/>
      <w:r w:rsidR="00C932A5">
        <w:t>handle</w:t>
      </w:r>
      <w:proofErr w:type="gramEnd"/>
      <w:r w:rsidR="00C932A5">
        <w:t xml:space="preserve"> and produce</w:t>
      </w:r>
      <w:r w:rsidR="00C94773">
        <w:t xml:space="preserve"> and the high chemical stability</w:t>
      </w:r>
      <w:r w:rsidR="00C932A5">
        <w:t xml:space="preserve"> however </w:t>
      </w:r>
      <w:r w:rsidR="00C94773">
        <w:t xml:space="preserve">still </w:t>
      </w:r>
      <w:r w:rsidR="00C932A5">
        <w:t xml:space="preserve">yielding a high velocity of detonation </w:t>
      </w:r>
      <w:r w:rsidR="00330E45">
        <w:t xml:space="preserve">and detonation pressure which is key in order to create maximum structural damage. </w:t>
      </w:r>
      <w:r w:rsidR="00344F79">
        <w:t xml:space="preserve"> </w:t>
      </w:r>
      <w:r w:rsidR="00AF7341">
        <w:t xml:space="preserve">During detonation of an explosive a large amount of </w:t>
      </w:r>
      <w:r w:rsidR="00DE0554">
        <w:t xml:space="preserve">the explosive effects are transferred to the air resulting in the loss of power. </w:t>
      </w:r>
      <w:r w:rsidR="0086640A">
        <w:t xml:space="preserve">An example of how to improve the 60% RDX and 40% TNT mixture could be by adding </w:t>
      </w:r>
      <w:r w:rsidR="00834CEE">
        <w:t xml:space="preserve">aluminium powder which is commonly used within Torpex </w:t>
      </w:r>
      <w:r w:rsidR="00495DB7">
        <w:t xml:space="preserve">a </w:t>
      </w:r>
      <w:r w:rsidR="005618B8">
        <w:t>deep-sea</w:t>
      </w:r>
      <w:r w:rsidR="00495DB7">
        <w:t xml:space="preserve"> </w:t>
      </w:r>
      <w:r w:rsidR="005A274D">
        <w:t>bomb and torpedo filler</w:t>
      </w:r>
      <w:r w:rsidR="0026664A">
        <w:t xml:space="preserve"> </w:t>
      </w:r>
      <w:r w:rsidR="003C4906">
        <w:t>[1</w:t>
      </w:r>
      <w:r w:rsidR="00BE67D5">
        <w:t>7</w:t>
      </w:r>
      <w:r w:rsidR="003C4906">
        <w:t>].</w:t>
      </w:r>
      <w:r w:rsidR="00DB2567">
        <w:t xml:space="preserve"> The </w:t>
      </w:r>
      <w:r w:rsidR="00BB0D94">
        <w:t>aluminium</w:t>
      </w:r>
      <w:r w:rsidR="00DB2567">
        <w:t xml:space="preserve"> is most effective due to its endothermic properties </w:t>
      </w:r>
      <w:r w:rsidR="00BB0D94">
        <w:t>which allow for the absorption of heat during detonation reacting with this to create a quicker and more effective release of energy</w:t>
      </w:r>
      <w:r w:rsidR="00625C93">
        <w:t xml:space="preserve">, increasing the velocity of </w:t>
      </w:r>
      <w:r w:rsidR="0090047D">
        <w:t>detonation,</w:t>
      </w:r>
      <w:r w:rsidR="00625C93">
        <w:t xml:space="preserve"> and increasing the </w:t>
      </w:r>
      <w:r w:rsidR="0026664A">
        <w:t xml:space="preserve">detonation pressure </w:t>
      </w:r>
      <w:r w:rsidR="007C5B5E">
        <w:t>[1</w:t>
      </w:r>
      <w:r w:rsidR="00BE67D5">
        <w:t>6</w:t>
      </w:r>
      <w:r w:rsidR="007C5B5E">
        <w:t>]</w:t>
      </w:r>
      <w:r w:rsidR="00BB0D94">
        <w:t>.</w:t>
      </w:r>
      <w:r w:rsidR="00510BF7">
        <w:t xml:space="preserve"> Table 6 shows the various different ratios of RDX/TNT/Aluminium powder and the different density and velocity of detonation values. </w:t>
      </w:r>
    </w:p>
    <w:tbl>
      <w:tblPr>
        <w:tblStyle w:val="TableGrid"/>
        <w:tblW w:w="0" w:type="auto"/>
        <w:tblLook w:val="04A0" w:firstRow="1" w:lastRow="0" w:firstColumn="1" w:lastColumn="0" w:noHBand="0" w:noVBand="1"/>
      </w:tblPr>
      <w:tblGrid>
        <w:gridCol w:w="2254"/>
        <w:gridCol w:w="2254"/>
        <w:gridCol w:w="2254"/>
        <w:gridCol w:w="2254"/>
      </w:tblGrid>
      <w:tr w:rsidR="00510BF7" w14:paraId="09D2248F" w14:textId="77777777" w:rsidTr="00756C34">
        <w:tc>
          <w:tcPr>
            <w:tcW w:w="2254" w:type="dxa"/>
          </w:tcPr>
          <w:p w14:paraId="32083E84" w14:textId="77777777" w:rsidR="00510BF7" w:rsidRPr="009502B6" w:rsidRDefault="00510BF7" w:rsidP="00756C34">
            <w:pPr>
              <w:rPr>
                <w:sz w:val="20"/>
                <w:szCs w:val="20"/>
              </w:rPr>
            </w:pPr>
            <w:r w:rsidRPr="009502B6">
              <w:rPr>
                <w:sz w:val="20"/>
                <w:szCs w:val="20"/>
              </w:rPr>
              <w:t>Explosive</w:t>
            </w:r>
          </w:p>
        </w:tc>
        <w:tc>
          <w:tcPr>
            <w:tcW w:w="2254" w:type="dxa"/>
          </w:tcPr>
          <w:p w14:paraId="01532732" w14:textId="77777777" w:rsidR="00510BF7" w:rsidRPr="009502B6" w:rsidRDefault="00510BF7" w:rsidP="00756C34">
            <w:pPr>
              <w:rPr>
                <w:sz w:val="20"/>
                <w:szCs w:val="20"/>
              </w:rPr>
            </w:pPr>
            <w:r w:rsidRPr="009502B6">
              <w:rPr>
                <w:sz w:val="20"/>
                <w:szCs w:val="20"/>
              </w:rPr>
              <w:t>Formulation</w:t>
            </w:r>
          </w:p>
        </w:tc>
        <w:tc>
          <w:tcPr>
            <w:tcW w:w="2254" w:type="dxa"/>
          </w:tcPr>
          <w:p w14:paraId="6E136973" w14:textId="77777777" w:rsidR="00510BF7" w:rsidRPr="009502B6" w:rsidRDefault="00510BF7" w:rsidP="00756C34">
            <w:pPr>
              <w:rPr>
                <w:sz w:val="20"/>
                <w:szCs w:val="20"/>
              </w:rPr>
            </w:pPr>
            <w:r w:rsidRPr="009502B6">
              <w:rPr>
                <w:sz w:val="20"/>
                <w:szCs w:val="20"/>
              </w:rPr>
              <w:t>Density/ g cm-3</w:t>
            </w:r>
          </w:p>
        </w:tc>
        <w:tc>
          <w:tcPr>
            <w:tcW w:w="2254" w:type="dxa"/>
          </w:tcPr>
          <w:p w14:paraId="79C15B22" w14:textId="77777777" w:rsidR="00510BF7" w:rsidRPr="009502B6" w:rsidRDefault="00510BF7" w:rsidP="00756C34">
            <w:pPr>
              <w:rPr>
                <w:sz w:val="20"/>
                <w:szCs w:val="20"/>
              </w:rPr>
            </w:pPr>
            <w:r w:rsidRPr="009502B6">
              <w:rPr>
                <w:sz w:val="20"/>
                <w:szCs w:val="20"/>
              </w:rPr>
              <w:t>Velocity of Detonation / m s -1</w:t>
            </w:r>
          </w:p>
        </w:tc>
      </w:tr>
      <w:tr w:rsidR="00510BF7" w14:paraId="236A81D8" w14:textId="77777777" w:rsidTr="00756C34">
        <w:tc>
          <w:tcPr>
            <w:tcW w:w="2254" w:type="dxa"/>
          </w:tcPr>
          <w:p w14:paraId="5DD14981" w14:textId="77777777" w:rsidR="00510BF7" w:rsidRPr="009502B6" w:rsidRDefault="00510BF7" w:rsidP="00756C34">
            <w:pPr>
              <w:rPr>
                <w:sz w:val="20"/>
                <w:szCs w:val="20"/>
              </w:rPr>
            </w:pPr>
            <w:r w:rsidRPr="009502B6">
              <w:rPr>
                <w:sz w:val="20"/>
                <w:szCs w:val="20"/>
              </w:rPr>
              <w:t>Torpex 1</w:t>
            </w:r>
          </w:p>
        </w:tc>
        <w:tc>
          <w:tcPr>
            <w:tcW w:w="2254" w:type="dxa"/>
          </w:tcPr>
          <w:p w14:paraId="40FDC59C" w14:textId="77777777" w:rsidR="00510BF7" w:rsidRPr="009502B6" w:rsidRDefault="00510BF7" w:rsidP="00756C34">
            <w:pPr>
              <w:rPr>
                <w:sz w:val="20"/>
                <w:szCs w:val="20"/>
              </w:rPr>
            </w:pPr>
            <w:r w:rsidRPr="009502B6">
              <w:rPr>
                <w:sz w:val="20"/>
                <w:szCs w:val="20"/>
              </w:rPr>
              <w:t>RDX/TNT/Al</w:t>
            </w:r>
          </w:p>
          <w:p w14:paraId="6292D327" w14:textId="77777777" w:rsidR="00510BF7" w:rsidRPr="009502B6" w:rsidRDefault="00510BF7" w:rsidP="00756C34">
            <w:pPr>
              <w:rPr>
                <w:sz w:val="20"/>
                <w:szCs w:val="20"/>
              </w:rPr>
            </w:pPr>
            <w:r w:rsidRPr="009502B6">
              <w:rPr>
                <w:sz w:val="20"/>
                <w:szCs w:val="20"/>
              </w:rPr>
              <w:t>45/37/18</w:t>
            </w:r>
          </w:p>
        </w:tc>
        <w:tc>
          <w:tcPr>
            <w:tcW w:w="2254" w:type="dxa"/>
          </w:tcPr>
          <w:p w14:paraId="35BB6512" w14:textId="77777777" w:rsidR="00510BF7" w:rsidRPr="009502B6" w:rsidRDefault="00510BF7" w:rsidP="00756C34">
            <w:pPr>
              <w:rPr>
                <w:sz w:val="20"/>
                <w:szCs w:val="20"/>
              </w:rPr>
            </w:pPr>
            <w:r w:rsidRPr="009502B6">
              <w:rPr>
                <w:sz w:val="20"/>
                <w:szCs w:val="20"/>
              </w:rPr>
              <w:t>1.78</w:t>
            </w:r>
          </w:p>
        </w:tc>
        <w:tc>
          <w:tcPr>
            <w:tcW w:w="2254" w:type="dxa"/>
          </w:tcPr>
          <w:p w14:paraId="71213E93" w14:textId="77777777" w:rsidR="00510BF7" w:rsidRPr="009502B6" w:rsidRDefault="00510BF7" w:rsidP="00756C34">
            <w:pPr>
              <w:rPr>
                <w:sz w:val="20"/>
                <w:szCs w:val="20"/>
              </w:rPr>
            </w:pPr>
            <w:r w:rsidRPr="009502B6">
              <w:rPr>
                <w:sz w:val="20"/>
                <w:szCs w:val="20"/>
              </w:rPr>
              <w:t>7440</w:t>
            </w:r>
          </w:p>
        </w:tc>
      </w:tr>
      <w:tr w:rsidR="00510BF7" w14:paraId="5EE279F2" w14:textId="77777777" w:rsidTr="00756C34">
        <w:tc>
          <w:tcPr>
            <w:tcW w:w="2254" w:type="dxa"/>
          </w:tcPr>
          <w:p w14:paraId="4803F96F" w14:textId="77777777" w:rsidR="00510BF7" w:rsidRPr="009502B6" w:rsidRDefault="00510BF7" w:rsidP="00756C34">
            <w:pPr>
              <w:rPr>
                <w:sz w:val="20"/>
                <w:szCs w:val="20"/>
              </w:rPr>
            </w:pPr>
            <w:r w:rsidRPr="009502B6">
              <w:rPr>
                <w:sz w:val="20"/>
                <w:szCs w:val="20"/>
              </w:rPr>
              <w:t>Torpex 2</w:t>
            </w:r>
          </w:p>
        </w:tc>
        <w:tc>
          <w:tcPr>
            <w:tcW w:w="2254" w:type="dxa"/>
          </w:tcPr>
          <w:p w14:paraId="5B84F97B" w14:textId="77777777" w:rsidR="00510BF7" w:rsidRPr="009502B6" w:rsidRDefault="00510BF7" w:rsidP="00756C34">
            <w:pPr>
              <w:rPr>
                <w:sz w:val="20"/>
                <w:szCs w:val="20"/>
              </w:rPr>
            </w:pPr>
            <w:r w:rsidRPr="009502B6">
              <w:rPr>
                <w:sz w:val="20"/>
                <w:szCs w:val="20"/>
              </w:rPr>
              <w:t>RDX/TNT/Al</w:t>
            </w:r>
          </w:p>
          <w:p w14:paraId="1763BB94" w14:textId="77777777" w:rsidR="00510BF7" w:rsidRPr="009502B6" w:rsidRDefault="00510BF7" w:rsidP="00756C34">
            <w:pPr>
              <w:rPr>
                <w:sz w:val="20"/>
                <w:szCs w:val="20"/>
              </w:rPr>
            </w:pPr>
            <w:r w:rsidRPr="009502B6">
              <w:rPr>
                <w:sz w:val="20"/>
                <w:szCs w:val="20"/>
              </w:rPr>
              <w:t>42/40/18</w:t>
            </w:r>
          </w:p>
        </w:tc>
        <w:tc>
          <w:tcPr>
            <w:tcW w:w="2254" w:type="dxa"/>
          </w:tcPr>
          <w:p w14:paraId="681FD2B6" w14:textId="77777777" w:rsidR="00510BF7" w:rsidRPr="009502B6" w:rsidRDefault="00510BF7" w:rsidP="00756C34">
            <w:pPr>
              <w:rPr>
                <w:sz w:val="20"/>
                <w:szCs w:val="20"/>
              </w:rPr>
            </w:pPr>
            <w:r w:rsidRPr="009502B6">
              <w:rPr>
                <w:sz w:val="20"/>
                <w:szCs w:val="20"/>
              </w:rPr>
              <w:t>1.85</w:t>
            </w:r>
          </w:p>
        </w:tc>
        <w:tc>
          <w:tcPr>
            <w:tcW w:w="2254" w:type="dxa"/>
          </w:tcPr>
          <w:p w14:paraId="27E387EE" w14:textId="77777777" w:rsidR="00510BF7" w:rsidRPr="009502B6" w:rsidRDefault="00510BF7" w:rsidP="00756C34">
            <w:pPr>
              <w:rPr>
                <w:sz w:val="20"/>
                <w:szCs w:val="20"/>
              </w:rPr>
            </w:pPr>
            <w:r w:rsidRPr="009502B6">
              <w:rPr>
                <w:sz w:val="20"/>
                <w:szCs w:val="20"/>
              </w:rPr>
              <w:t>7360</w:t>
            </w:r>
          </w:p>
        </w:tc>
      </w:tr>
      <w:tr w:rsidR="00510BF7" w14:paraId="4D48AABF" w14:textId="77777777" w:rsidTr="00756C34">
        <w:tc>
          <w:tcPr>
            <w:tcW w:w="2254" w:type="dxa"/>
          </w:tcPr>
          <w:p w14:paraId="316D1381" w14:textId="77777777" w:rsidR="00510BF7" w:rsidRPr="009502B6" w:rsidRDefault="00510BF7" w:rsidP="00756C34">
            <w:pPr>
              <w:rPr>
                <w:sz w:val="20"/>
                <w:szCs w:val="20"/>
              </w:rPr>
            </w:pPr>
            <w:r w:rsidRPr="009502B6">
              <w:rPr>
                <w:sz w:val="20"/>
                <w:szCs w:val="20"/>
              </w:rPr>
              <w:t>Torpex 2B</w:t>
            </w:r>
          </w:p>
        </w:tc>
        <w:tc>
          <w:tcPr>
            <w:tcW w:w="2254" w:type="dxa"/>
          </w:tcPr>
          <w:p w14:paraId="4092067E" w14:textId="77777777" w:rsidR="00510BF7" w:rsidRPr="009502B6" w:rsidRDefault="00510BF7" w:rsidP="00756C34">
            <w:pPr>
              <w:rPr>
                <w:sz w:val="20"/>
                <w:szCs w:val="20"/>
              </w:rPr>
            </w:pPr>
            <w:r w:rsidRPr="009502B6">
              <w:rPr>
                <w:sz w:val="20"/>
                <w:szCs w:val="20"/>
              </w:rPr>
              <w:t>RDX/TNT/Al</w:t>
            </w:r>
          </w:p>
          <w:p w14:paraId="3D0FE651" w14:textId="77777777" w:rsidR="00510BF7" w:rsidRPr="009502B6" w:rsidRDefault="00510BF7" w:rsidP="00756C34">
            <w:pPr>
              <w:rPr>
                <w:sz w:val="20"/>
                <w:szCs w:val="20"/>
              </w:rPr>
            </w:pPr>
            <w:r w:rsidRPr="009502B6">
              <w:rPr>
                <w:sz w:val="20"/>
                <w:szCs w:val="20"/>
              </w:rPr>
              <w:t>42/40/18 +5.5% de-sensitiser</w:t>
            </w:r>
          </w:p>
        </w:tc>
        <w:tc>
          <w:tcPr>
            <w:tcW w:w="2254" w:type="dxa"/>
          </w:tcPr>
          <w:p w14:paraId="26038366" w14:textId="77777777" w:rsidR="00510BF7" w:rsidRPr="009502B6" w:rsidRDefault="00510BF7" w:rsidP="00756C34">
            <w:pPr>
              <w:rPr>
                <w:sz w:val="20"/>
                <w:szCs w:val="20"/>
              </w:rPr>
            </w:pPr>
            <w:r w:rsidRPr="009502B6">
              <w:rPr>
                <w:sz w:val="20"/>
                <w:szCs w:val="20"/>
              </w:rPr>
              <w:t>1.77</w:t>
            </w:r>
          </w:p>
        </w:tc>
        <w:tc>
          <w:tcPr>
            <w:tcW w:w="2254" w:type="dxa"/>
          </w:tcPr>
          <w:p w14:paraId="6FD4AEF4" w14:textId="77777777" w:rsidR="00510BF7" w:rsidRPr="009502B6" w:rsidRDefault="00510BF7" w:rsidP="00756C34">
            <w:pPr>
              <w:rPr>
                <w:sz w:val="20"/>
                <w:szCs w:val="20"/>
              </w:rPr>
            </w:pPr>
            <w:r w:rsidRPr="009502B6">
              <w:rPr>
                <w:sz w:val="20"/>
                <w:szCs w:val="20"/>
              </w:rPr>
              <w:t>-</w:t>
            </w:r>
          </w:p>
        </w:tc>
      </w:tr>
      <w:tr w:rsidR="00510BF7" w14:paraId="02E919D4" w14:textId="77777777" w:rsidTr="00756C34">
        <w:tc>
          <w:tcPr>
            <w:tcW w:w="2254" w:type="dxa"/>
          </w:tcPr>
          <w:p w14:paraId="77CB2EA2" w14:textId="77777777" w:rsidR="00510BF7" w:rsidRPr="009502B6" w:rsidRDefault="00510BF7" w:rsidP="00756C34">
            <w:pPr>
              <w:rPr>
                <w:sz w:val="20"/>
                <w:szCs w:val="20"/>
              </w:rPr>
            </w:pPr>
            <w:r w:rsidRPr="009502B6">
              <w:rPr>
                <w:sz w:val="20"/>
                <w:szCs w:val="20"/>
              </w:rPr>
              <w:t>Torpex 5</w:t>
            </w:r>
          </w:p>
        </w:tc>
        <w:tc>
          <w:tcPr>
            <w:tcW w:w="2254" w:type="dxa"/>
          </w:tcPr>
          <w:p w14:paraId="48C90778" w14:textId="77777777" w:rsidR="00510BF7" w:rsidRPr="009502B6" w:rsidRDefault="00510BF7" w:rsidP="00756C34">
            <w:pPr>
              <w:rPr>
                <w:sz w:val="20"/>
                <w:szCs w:val="20"/>
              </w:rPr>
            </w:pPr>
            <w:r w:rsidRPr="009502B6">
              <w:rPr>
                <w:sz w:val="20"/>
                <w:szCs w:val="20"/>
              </w:rPr>
              <w:t>RDX/TNT/Al</w:t>
            </w:r>
          </w:p>
          <w:p w14:paraId="633061EE" w14:textId="77777777" w:rsidR="00510BF7" w:rsidRPr="009502B6" w:rsidRDefault="00510BF7" w:rsidP="00756C34">
            <w:pPr>
              <w:rPr>
                <w:sz w:val="20"/>
                <w:szCs w:val="20"/>
              </w:rPr>
            </w:pPr>
            <w:r w:rsidRPr="009502B6">
              <w:rPr>
                <w:sz w:val="20"/>
                <w:szCs w:val="20"/>
              </w:rPr>
              <w:t>30/50/20 +2% C black</w:t>
            </w:r>
          </w:p>
        </w:tc>
        <w:tc>
          <w:tcPr>
            <w:tcW w:w="2254" w:type="dxa"/>
          </w:tcPr>
          <w:p w14:paraId="5229D169" w14:textId="77777777" w:rsidR="00510BF7" w:rsidRPr="009502B6" w:rsidRDefault="00510BF7" w:rsidP="00756C34">
            <w:pPr>
              <w:rPr>
                <w:sz w:val="20"/>
                <w:szCs w:val="20"/>
              </w:rPr>
            </w:pPr>
            <w:r w:rsidRPr="009502B6">
              <w:rPr>
                <w:sz w:val="20"/>
                <w:szCs w:val="20"/>
              </w:rPr>
              <w:t>1.78</w:t>
            </w:r>
          </w:p>
        </w:tc>
        <w:tc>
          <w:tcPr>
            <w:tcW w:w="2254" w:type="dxa"/>
          </w:tcPr>
          <w:p w14:paraId="29537CD7" w14:textId="77777777" w:rsidR="00510BF7" w:rsidRPr="009502B6" w:rsidRDefault="00510BF7" w:rsidP="00756C34">
            <w:pPr>
              <w:keepNext/>
              <w:rPr>
                <w:sz w:val="20"/>
                <w:szCs w:val="20"/>
              </w:rPr>
            </w:pPr>
            <w:r w:rsidRPr="009502B6">
              <w:rPr>
                <w:sz w:val="20"/>
                <w:szCs w:val="20"/>
              </w:rPr>
              <w:t>6990</w:t>
            </w:r>
          </w:p>
        </w:tc>
      </w:tr>
    </w:tbl>
    <w:p w14:paraId="6FCF2C54" w14:textId="48BC34C0" w:rsidR="00510BF7" w:rsidRDefault="00510BF7" w:rsidP="00BE67D5">
      <w:pPr>
        <w:pStyle w:val="Caption"/>
      </w:pPr>
      <w:bookmarkStart w:id="25" w:name="_Toc203033578"/>
      <w:r>
        <w:t xml:space="preserve">Table </w:t>
      </w:r>
      <w:r>
        <w:fldChar w:fldCharType="begin"/>
      </w:r>
      <w:r>
        <w:instrText xml:space="preserve"> SEQ Table \* ARABIC </w:instrText>
      </w:r>
      <w:r>
        <w:fldChar w:fldCharType="separate"/>
      </w:r>
      <w:r>
        <w:rPr>
          <w:noProof/>
        </w:rPr>
        <w:t>6</w:t>
      </w:r>
      <w:r>
        <w:fldChar w:fldCharType="end"/>
      </w:r>
      <w:r>
        <w:t>- Explosive properties of Torpex [</w:t>
      </w:r>
      <w:r w:rsidR="00DD2972">
        <w:t>17</w:t>
      </w:r>
      <w:r>
        <w:t>]</w:t>
      </w:r>
      <w:bookmarkEnd w:id="25"/>
    </w:p>
    <w:p w14:paraId="5812C471" w14:textId="3B97EF73" w:rsidR="00F50E8F" w:rsidRDefault="00620B75" w:rsidP="00F01CC6">
      <w:r>
        <w:t xml:space="preserve">Another area that could be improved is the addition of binders that are </w:t>
      </w:r>
      <w:r w:rsidR="00A76AF9">
        <w:t xml:space="preserve">hydrophobic. </w:t>
      </w:r>
      <w:r w:rsidR="009579F0">
        <w:t xml:space="preserve">This is </w:t>
      </w:r>
      <w:r w:rsidR="00D17D17">
        <w:t>a key area</w:t>
      </w:r>
      <w:r w:rsidR="009579F0">
        <w:t xml:space="preserve"> as sea mines are required to be long lasting and due to the water surrounding the mine </w:t>
      </w:r>
      <w:r w:rsidR="00D754A9">
        <w:t xml:space="preserve">and </w:t>
      </w:r>
      <w:r w:rsidR="009579F0">
        <w:t xml:space="preserve">as the casing deteriorates the water can leak into the mixture. </w:t>
      </w:r>
      <w:r w:rsidR="00F70BC5">
        <w:t xml:space="preserve">An example of a binder that could </w:t>
      </w:r>
      <w:proofErr w:type="gramStart"/>
      <w:r w:rsidR="00F70BC5">
        <w:t>be used</w:t>
      </w:r>
      <w:proofErr w:type="gramEnd"/>
      <w:r w:rsidR="00F70BC5">
        <w:t xml:space="preserve"> within this mixture could be a </w:t>
      </w:r>
      <w:r w:rsidR="009F5D60">
        <w:t>simple polymer which is used to create PBX</w:t>
      </w:r>
      <w:r w:rsidR="00D67A4E">
        <w:t>’s (polymer-bonded explosives)</w:t>
      </w:r>
      <w:r w:rsidR="00BA468E">
        <w:t xml:space="preserve"> not only is it good for protecting the mixture from the </w:t>
      </w:r>
      <w:r w:rsidR="00932191">
        <w:t xml:space="preserve">sea it is also an effective way of desensitising the material </w:t>
      </w:r>
      <w:r w:rsidR="00360DB7">
        <w:t xml:space="preserve">further. </w:t>
      </w:r>
    </w:p>
    <w:p w14:paraId="774D56FF" w14:textId="6F38ACB3" w:rsidR="00F01CC6" w:rsidRPr="00F01CC6" w:rsidRDefault="00F01CC6" w:rsidP="00F01CC6">
      <w:pPr>
        <w:pStyle w:val="Heading1"/>
      </w:pPr>
      <w:bookmarkStart w:id="26" w:name="_Toc203033567"/>
      <w:r>
        <w:t xml:space="preserve">Section Five </w:t>
      </w:r>
      <w:r w:rsidR="00B059A2">
        <w:t>–</w:t>
      </w:r>
      <w:r>
        <w:t xml:space="preserve"> </w:t>
      </w:r>
      <w:r w:rsidR="001D2031">
        <w:t>Conclusion</w:t>
      </w:r>
      <w:bookmarkEnd w:id="26"/>
      <w:r w:rsidR="001D2031">
        <w:t xml:space="preserve"> </w:t>
      </w:r>
    </w:p>
    <w:p w14:paraId="0AFA206E" w14:textId="1452BA88" w:rsidR="00D91219" w:rsidRDefault="00D91219" w:rsidP="00D91219">
      <w:pPr>
        <w:keepNext/>
      </w:pPr>
      <w:r>
        <w:t xml:space="preserve">This report has shown how a detailed analysis on an explosive mixture can allow for the oxygen balance and detonation products to </w:t>
      </w:r>
      <w:proofErr w:type="gramStart"/>
      <w:r>
        <w:t>be calculated</w:t>
      </w:r>
      <w:proofErr w:type="gramEnd"/>
      <w:r>
        <w:t xml:space="preserve"> using various mathematical and scientific </w:t>
      </w:r>
      <w:r>
        <w:lastRenderedPageBreak/>
        <w:t xml:space="preserve">calculations. This allowed for an explosive train to </w:t>
      </w:r>
      <w:proofErr w:type="gramStart"/>
      <w:r>
        <w:t>be designed</w:t>
      </w:r>
      <w:proofErr w:type="gramEnd"/>
      <w:r>
        <w:t xml:space="preserve"> that is suitable to achieve full detonation of this mixture</w:t>
      </w:r>
      <w:r w:rsidR="00533A56">
        <w:t xml:space="preserve"> through detailed research </w:t>
      </w:r>
      <w:r w:rsidR="00A602AF">
        <w:t>of currently used detonators and boosters</w:t>
      </w:r>
      <w:r>
        <w:t xml:space="preserve">. The report has also detailed ways in which the material can be adapted in order to make it suitable for an underwater mine with the capability of large structural damage using various techniques that </w:t>
      </w:r>
      <w:proofErr w:type="gramStart"/>
      <w:r>
        <w:t>are currently used</w:t>
      </w:r>
      <w:proofErr w:type="gramEnd"/>
      <w:r>
        <w:t xml:space="preserve"> within the OME field. </w:t>
      </w:r>
    </w:p>
    <w:p w14:paraId="0487EB27" w14:textId="622D0FBF" w:rsidR="002D6421" w:rsidRPr="00DE7F24" w:rsidRDefault="002D6421" w:rsidP="001D2031">
      <w:pPr>
        <w:keepNext/>
      </w:pPr>
    </w:p>
    <w:p w14:paraId="1C8F4599" w14:textId="24D05DEE" w:rsidR="003063BA" w:rsidRPr="005B0C7B" w:rsidRDefault="00B059A2" w:rsidP="005B0C7B">
      <w:pPr>
        <w:pStyle w:val="Heading1"/>
      </w:pPr>
      <w:bookmarkStart w:id="27" w:name="_Toc203033568"/>
      <w:r>
        <w:t>References</w:t>
      </w:r>
      <w:bookmarkEnd w:id="27"/>
      <w:r>
        <w:t xml:space="preserve"> </w:t>
      </w:r>
    </w:p>
    <w:p w14:paraId="1208AD66" w14:textId="079D669E" w:rsidR="002D6421" w:rsidRPr="002D6421" w:rsidRDefault="002D6421" w:rsidP="002D6421">
      <w:pPr>
        <w:spacing w:after="0" w:line="240" w:lineRule="auto"/>
        <w:rPr>
          <w:rFonts w:ascii="Calibri" w:eastAsia="Times New Roman" w:hAnsi="Calibri" w:cs="Calibri"/>
          <w:color w:val="000000"/>
          <w:sz w:val="27"/>
          <w:szCs w:val="27"/>
          <w:lang w:eastAsia="en-GB"/>
        </w:rPr>
      </w:pPr>
      <w:r w:rsidRPr="002D6421">
        <w:rPr>
          <w:rFonts w:ascii="Calibri" w:eastAsia="Times New Roman" w:hAnsi="Calibri" w:cs="Calibri"/>
          <w:color w:val="000000"/>
          <w:sz w:val="27"/>
          <w:szCs w:val="27"/>
          <w:lang w:eastAsia="en-GB"/>
        </w:rPr>
        <w:t>[1]</w:t>
      </w:r>
      <w:r>
        <w:rPr>
          <w:rFonts w:ascii="Calibri" w:eastAsia="Times New Roman" w:hAnsi="Calibri" w:cs="Calibri"/>
          <w:color w:val="000000"/>
          <w:sz w:val="27"/>
          <w:szCs w:val="27"/>
          <w:lang w:eastAsia="en-GB"/>
        </w:rPr>
        <w:t xml:space="preserve"> </w:t>
      </w:r>
      <w:r w:rsidRPr="002D6421">
        <w:rPr>
          <w:rFonts w:ascii="Calibri" w:eastAsia="Times New Roman" w:hAnsi="Calibri" w:cs="Calibri"/>
          <w:color w:val="000000"/>
          <w:sz w:val="27"/>
          <w:szCs w:val="27"/>
          <w:lang w:eastAsia="en-GB"/>
        </w:rPr>
        <w:t>“OXYGEN BALANCE | GlobalSpec,” </w:t>
      </w:r>
      <w:r w:rsidRPr="002D6421">
        <w:rPr>
          <w:rFonts w:ascii="Calibri" w:eastAsia="Times New Roman" w:hAnsi="Calibri" w:cs="Calibri"/>
          <w:i/>
          <w:iCs/>
          <w:color w:val="000000"/>
          <w:sz w:val="27"/>
          <w:szCs w:val="27"/>
          <w:lang w:eastAsia="en-GB"/>
        </w:rPr>
        <w:t>Globalspec.com</w:t>
      </w:r>
      <w:r w:rsidRPr="002D6421">
        <w:rPr>
          <w:rFonts w:ascii="Calibri" w:eastAsia="Times New Roman" w:hAnsi="Calibri" w:cs="Calibri"/>
          <w:color w:val="000000"/>
          <w:sz w:val="27"/>
          <w:szCs w:val="27"/>
          <w:lang w:eastAsia="en-GB"/>
        </w:rPr>
        <w:t xml:space="preserve">, 2025. </w:t>
      </w:r>
      <w:hyperlink r:id="rId12" w:history="1">
        <w:r w:rsidRPr="002D6421">
          <w:rPr>
            <w:rStyle w:val="Hyperlink"/>
            <w:rFonts w:ascii="Calibri" w:eastAsia="Times New Roman" w:hAnsi="Calibri" w:cs="Calibri"/>
            <w:sz w:val="27"/>
            <w:szCs w:val="27"/>
            <w:lang w:eastAsia="en-GB"/>
          </w:rPr>
          <w:t>https://www.globalspec.com/reference/55649/203279/oxygen-balance</w:t>
        </w:r>
      </w:hyperlink>
      <w:r>
        <w:rPr>
          <w:rFonts w:ascii="Calibri" w:eastAsia="Times New Roman" w:hAnsi="Calibri" w:cs="Calibri"/>
          <w:color w:val="000000"/>
          <w:sz w:val="27"/>
          <w:szCs w:val="27"/>
          <w:lang w:eastAsia="en-GB"/>
        </w:rPr>
        <w:t xml:space="preserve"> </w:t>
      </w:r>
      <w:r w:rsidR="0031334A">
        <w:rPr>
          <w:rFonts w:ascii="Calibri" w:eastAsia="Times New Roman" w:hAnsi="Calibri" w:cs="Calibri"/>
          <w:color w:val="000000"/>
          <w:sz w:val="27"/>
          <w:szCs w:val="27"/>
          <w:lang w:eastAsia="en-GB"/>
        </w:rPr>
        <w:t xml:space="preserve">(Accessed Jul. 7, 2025) </w:t>
      </w:r>
    </w:p>
    <w:p w14:paraId="656EDF56" w14:textId="3DA3F6CE" w:rsidR="00A21723" w:rsidRPr="00A21723" w:rsidRDefault="00D26B35" w:rsidP="00A21723">
      <w:pPr>
        <w:spacing w:before="100" w:beforeAutospacing="1" w:after="100" w:afterAutospacing="1" w:line="240" w:lineRule="auto"/>
        <w:rPr>
          <w:rFonts w:ascii="Calibri" w:eastAsia="Times New Roman" w:hAnsi="Calibri" w:cs="Calibri"/>
          <w:color w:val="000000"/>
          <w:sz w:val="27"/>
          <w:szCs w:val="27"/>
          <w:lang w:eastAsia="en-GB"/>
        </w:rPr>
      </w:pPr>
      <w:r w:rsidRPr="002D6421">
        <w:rPr>
          <w:rFonts w:ascii="Calibri" w:eastAsia="Times New Roman" w:hAnsi="Calibri" w:cs="Calibri"/>
          <w:color w:val="000000"/>
          <w:sz w:val="27"/>
          <w:szCs w:val="27"/>
          <w:lang w:eastAsia="en-GB"/>
        </w:rPr>
        <w:t>‌</w:t>
      </w:r>
      <w:r w:rsidRPr="00A21723">
        <w:rPr>
          <w:rFonts w:ascii="Calibri" w:eastAsia="Times New Roman" w:hAnsi="Calibri" w:cs="Calibri"/>
          <w:color w:val="000000"/>
          <w:sz w:val="27"/>
          <w:szCs w:val="27"/>
          <w:lang w:eastAsia="en-GB"/>
        </w:rPr>
        <w:t xml:space="preserve"> [</w:t>
      </w:r>
      <w:r w:rsidR="00A21723">
        <w:rPr>
          <w:rFonts w:ascii="Calibri" w:eastAsia="Times New Roman" w:hAnsi="Calibri" w:cs="Calibri"/>
          <w:color w:val="000000"/>
          <w:sz w:val="27"/>
          <w:szCs w:val="27"/>
          <w:lang w:eastAsia="en-GB"/>
        </w:rPr>
        <w:t>2</w:t>
      </w:r>
      <w:r w:rsidR="00A21723" w:rsidRPr="00A21723">
        <w:rPr>
          <w:rFonts w:ascii="Calibri" w:eastAsia="Times New Roman" w:hAnsi="Calibri" w:cs="Calibri"/>
          <w:color w:val="000000"/>
          <w:sz w:val="27"/>
          <w:szCs w:val="27"/>
          <w:lang w:eastAsia="en-GB"/>
        </w:rPr>
        <w:t>]</w:t>
      </w:r>
      <w:r w:rsidR="00A21723">
        <w:rPr>
          <w:rFonts w:ascii="Calibri" w:eastAsia="Times New Roman" w:hAnsi="Calibri" w:cs="Calibri"/>
          <w:color w:val="000000"/>
          <w:sz w:val="27"/>
          <w:szCs w:val="27"/>
          <w:lang w:eastAsia="en-GB"/>
        </w:rPr>
        <w:t xml:space="preserve"> </w:t>
      </w:r>
      <w:r w:rsidR="00A21723" w:rsidRPr="00A21723">
        <w:rPr>
          <w:rFonts w:ascii="Calibri" w:eastAsia="Times New Roman" w:hAnsi="Calibri" w:cs="Calibri"/>
          <w:color w:val="000000"/>
          <w:sz w:val="27"/>
          <w:szCs w:val="27"/>
          <w:lang w:eastAsia="en-GB"/>
        </w:rPr>
        <w:t>Wikipedia Contributors, “Detonation velocity,” </w:t>
      </w:r>
      <w:r w:rsidR="00A21723" w:rsidRPr="00A21723">
        <w:rPr>
          <w:rFonts w:ascii="Calibri" w:eastAsia="Times New Roman" w:hAnsi="Calibri" w:cs="Calibri"/>
          <w:i/>
          <w:iCs/>
          <w:color w:val="000000"/>
          <w:sz w:val="27"/>
          <w:szCs w:val="27"/>
          <w:lang w:eastAsia="en-GB"/>
        </w:rPr>
        <w:t>Wikipedia</w:t>
      </w:r>
      <w:r w:rsidR="00A21723" w:rsidRPr="00A21723">
        <w:rPr>
          <w:rFonts w:ascii="Calibri" w:eastAsia="Times New Roman" w:hAnsi="Calibri" w:cs="Calibri"/>
          <w:color w:val="000000"/>
          <w:sz w:val="27"/>
          <w:szCs w:val="27"/>
          <w:lang w:eastAsia="en-GB"/>
        </w:rPr>
        <w:t xml:space="preserve">, </w:t>
      </w:r>
      <w:r w:rsidR="00D70FE7">
        <w:rPr>
          <w:rFonts w:ascii="Calibri" w:eastAsia="Times New Roman" w:hAnsi="Calibri" w:cs="Calibri"/>
          <w:color w:val="000000"/>
          <w:sz w:val="27"/>
          <w:szCs w:val="27"/>
          <w:lang w:eastAsia="en-GB"/>
        </w:rPr>
        <w:t xml:space="preserve">(Accessed </w:t>
      </w:r>
      <w:r w:rsidR="00A21723" w:rsidRPr="00A21723">
        <w:rPr>
          <w:rFonts w:ascii="Calibri" w:eastAsia="Times New Roman" w:hAnsi="Calibri" w:cs="Calibri"/>
          <w:color w:val="000000"/>
          <w:sz w:val="27"/>
          <w:szCs w:val="27"/>
          <w:lang w:eastAsia="en-GB"/>
        </w:rPr>
        <w:t>Jan. 14, 2025</w:t>
      </w:r>
      <w:r w:rsidR="00D70FE7">
        <w:rPr>
          <w:rFonts w:ascii="Calibri" w:eastAsia="Times New Roman" w:hAnsi="Calibri" w:cs="Calibri"/>
          <w:color w:val="000000"/>
          <w:sz w:val="27"/>
          <w:szCs w:val="27"/>
          <w:lang w:eastAsia="en-GB"/>
        </w:rPr>
        <w:t xml:space="preserve">) </w:t>
      </w:r>
    </w:p>
    <w:p w14:paraId="3A970447" w14:textId="16580DB3" w:rsidR="0026136E" w:rsidRPr="0026136E" w:rsidRDefault="0026136E" w:rsidP="0026136E">
      <w:pPr>
        <w:spacing w:before="100" w:beforeAutospacing="1" w:after="100" w:afterAutospacing="1" w:line="240" w:lineRule="auto"/>
        <w:rPr>
          <w:rFonts w:ascii="Calibri" w:eastAsia="Times New Roman" w:hAnsi="Calibri" w:cs="Calibri"/>
          <w:color w:val="000000"/>
          <w:sz w:val="27"/>
          <w:szCs w:val="27"/>
          <w:lang w:eastAsia="en-GB"/>
        </w:rPr>
      </w:pPr>
      <w:r w:rsidRPr="0026136E">
        <w:rPr>
          <w:rFonts w:ascii="Calibri" w:eastAsia="Times New Roman" w:hAnsi="Calibri" w:cs="Calibri"/>
          <w:color w:val="000000"/>
          <w:sz w:val="27"/>
          <w:szCs w:val="27"/>
          <w:lang w:eastAsia="en-GB"/>
        </w:rPr>
        <w:t>[</w:t>
      </w:r>
      <w:r>
        <w:rPr>
          <w:rFonts w:ascii="Calibri" w:eastAsia="Times New Roman" w:hAnsi="Calibri" w:cs="Calibri"/>
          <w:color w:val="000000"/>
          <w:sz w:val="27"/>
          <w:szCs w:val="27"/>
          <w:lang w:eastAsia="en-GB"/>
        </w:rPr>
        <w:t>3</w:t>
      </w:r>
      <w:r w:rsidRPr="0026136E">
        <w:rPr>
          <w:rFonts w:ascii="Calibri" w:eastAsia="Times New Roman" w:hAnsi="Calibri" w:cs="Calibri"/>
          <w:color w:val="000000"/>
          <w:sz w:val="27"/>
          <w:szCs w:val="27"/>
          <w:lang w:eastAsia="en-GB"/>
        </w:rPr>
        <w:t>]</w:t>
      </w:r>
      <w:r>
        <w:rPr>
          <w:rFonts w:ascii="Calibri" w:eastAsia="Times New Roman" w:hAnsi="Calibri" w:cs="Calibri"/>
          <w:color w:val="000000"/>
          <w:sz w:val="27"/>
          <w:szCs w:val="27"/>
          <w:lang w:eastAsia="en-GB"/>
        </w:rPr>
        <w:t xml:space="preserve"> </w:t>
      </w:r>
      <w:r w:rsidRPr="0026136E">
        <w:rPr>
          <w:rFonts w:ascii="Calibri" w:eastAsia="Times New Roman" w:hAnsi="Calibri" w:cs="Calibri"/>
          <w:color w:val="000000"/>
          <w:sz w:val="27"/>
          <w:szCs w:val="27"/>
          <w:lang w:eastAsia="en-GB"/>
        </w:rPr>
        <w:t>“Brisance - Knowledge and References | Taylor &amp; Francis,” </w:t>
      </w:r>
      <w:r w:rsidRPr="0026136E">
        <w:rPr>
          <w:rFonts w:ascii="Calibri" w:eastAsia="Times New Roman" w:hAnsi="Calibri" w:cs="Calibri"/>
          <w:i/>
          <w:iCs/>
          <w:color w:val="000000"/>
          <w:sz w:val="27"/>
          <w:szCs w:val="27"/>
          <w:lang w:eastAsia="en-GB"/>
        </w:rPr>
        <w:t>Taylor &amp; Francis</w:t>
      </w:r>
      <w:r w:rsidRPr="0026136E">
        <w:rPr>
          <w:rFonts w:ascii="Calibri" w:eastAsia="Times New Roman" w:hAnsi="Calibri" w:cs="Calibri"/>
          <w:color w:val="000000"/>
          <w:sz w:val="27"/>
          <w:szCs w:val="27"/>
          <w:lang w:eastAsia="en-GB"/>
        </w:rPr>
        <w:t xml:space="preserve">, 2021. </w:t>
      </w:r>
      <w:hyperlink r:id="rId13" w:history="1">
        <w:r w:rsidRPr="0026136E">
          <w:rPr>
            <w:rStyle w:val="Hyperlink"/>
            <w:rFonts w:ascii="Calibri" w:eastAsia="Times New Roman" w:hAnsi="Calibri" w:cs="Calibri"/>
            <w:sz w:val="27"/>
            <w:szCs w:val="27"/>
            <w:lang w:eastAsia="en-GB"/>
          </w:rPr>
          <w:t>https://taylorandfrancis.com/knowledge/Engineering_and_technology/Chemical_engineering/Brisance/</w:t>
        </w:r>
      </w:hyperlink>
      <w:r>
        <w:rPr>
          <w:rFonts w:ascii="Calibri" w:eastAsia="Times New Roman" w:hAnsi="Calibri" w:cs="Calibri"/>
          <w:color w:val="000000"/>
          <w:sz w:val="27"/>
          <w:szCs w:val="27"/>
          <w:lang w:eastAsia="en-GB"/>
        </w:rPr>
        <w:t xml:space="preserve"> </w:t>
      </w:r>
      <w:r w:rsidRPr="0026136E">
        <w:rPr>
          <w:rFonts w:ascii="Calibri" w:eastAsia="Times New Roman" w:hAnsi="Calibri" w:cs="Calibri"/>
          <w:color w:val="000000"/>
          <w:sz w:val="27"/>
          <w:szCs w:val="27"/>
          <w:lang w:eastAsia="en-GB"/>
        </w:rPr>
        <w:t>(accessed Jul. 08, 2025).</w:t>
      </w:r>
    </w:p>
    <w:p w14:paraId="18DB3EF9" w14:textId="2CD70644" w:rsidR="009A689E" w:rsidRDefault="0026136E" w:rsidP="00EC7119">
      <w:pPr>
        <w:spacing w:before="100" w:beforeAutospacing="1" w:after="100" w:afterAutospacing="1" w:line="240" w:lineRule="auto"/>
        <w:rPr>
          <w:rFonts w:ascii="Calibri" w:eastAsia="Times New Roman" w:hAnsi="Calibri" w:cs="Calibri"/>
          <w:color w:val="000000"/>
          <w:sz w:val="27"/>
          <w:szCs w:val="27"/>
          <w:lang w:eastAsia="en-GB"/>
        </w:rPr>
      </w:pPr>
      <w:r w:rsidRPr="0026136E">
        <w:rPr>
          <w:rFonts w:ascii="Calibri" w:eastAsia="Times New Roman" w:hAnsi="Calibri" w:cs="Calibri"/>
          <w:color w:val="000000"/>
          <w:sz w:val="27"/>
          <w:szCs w:val="27"/>
          <w:lang w:eastAsia="en-GB"/>
        </w:rPr>
        <w:t>‌</w:t>
      </w:r>
      <w:r w:rsidR="00A86A49" w:rsidRPr="00A86A49">
        <w:rPr>
          <w:rFonts w:ascii="Calibri" w:eastAsia="Times New Roman" w:hAnsi="Calibri" w:cs="Calibri"/>
          <w:color w:val="000000"/>
          <w:sz w:val="27"/>
          <w:szCs w:val="27"/>
          <w:lang w:eastAsia="en-GB"/>
        </w:rPr>
        <w:t xml:space="preserve"> [</w:t>
      </w:r>
      <w:r w:rsidR="00B708DB">
        <w:rPr>
          <w:rFonts w:ascii="Calibri" w:eastAsia="Times New Roman" w:hAnsi="Calibri" w:cs="Calibri"/>
          <w:color w:val="000000"/>
          <w:sz w:val="27"/>
          <w:szCs w:val="27"/>
          <w:lang w:eastAsia="en-GB"/>
        </w:rPr>
        <w:t xml:space="preserve">4] </w:t>
      </w:r>
      <w:r w:rsidR="00A86A49" w:rsidRPr="00A86A49">
        <w:rPr>
          <w:rFonts w:ascii="Calibri" w:eastAsia="Times New Roman" w:hAnsi="Calibri" w:cs="Calibri"/>
          <w:color w:val="000000"/>
          <w:sz w:val="27"/>
          <w:szCs w:val="27"/>
          <w:lang w:eastAsia="en-GB"/>
        </w:rPr>
        <w:t>“Testing Explosives | Science Toys,” </w:t>
      </w:r>
      <w:r w:rsidR="00A86A49" w:rsidRPr="00A86A49">
        <w:rPr>
          <w:rFonts w:ascii="Calibri" w:eastAsia="Times New Roman" w:hAnsi="Calibri" w:cs="Calibri"/>
          <w:i/>
          <w:iCs/>
          <w:color w:val="000000"/>
          <w:sz w:val="27"/>
          <w:szCs w:val="27"/>
          <w:lang w:eastAsia="en-GB"/>
        </w:rPr>
        <w:t>Scitoys.com</w:t>
      </w:r>
      <w:r w:rsidR="00A86A49" w:rsidRPr="00A86A49">
        <w:rPr>
          <w:rFonts w:ascii="Calibri" w:eastAsia="Times New Roman" w:hAnsi="Calibri" w:cs="Calibri"/>
          <w:color w:val="000000"/>
          <w:sz w:val="27"/>
          <w:szCs w:val="27"/>
          <w:lang w:eastAsia="en-GB"/>
        </w:rPr>
        <w:t xml:space="preserve">, 2025. </w:t>
      </w:r>
      <w:hyperlink r:id="rId14" w:history="1">
        <w:r w:rsidR="00B708DB" w:rsidRPr="00A86A49">
          <w:rPr>
            <w:rStyle w:val="Hyperlink"/>
            <w:rFonts w:ascii="Calibri" w:eastAsia="Times New Roman" w:hAnsi="Calibri" w:cs="Calibri"/>
            <w:sz w:val="27"/>
            <w:szCs w:val="27"/>
            <w:lang w:eastAsia="en-GB"/>
          </w:rPr>
          <w:t>https://scitoys.com/testing_explo.html</w:t>
        </w:r>
      </w:hyperlink>
      <w:r w:rsidR="00B708DB">
        <w:rPr>
          <w:rFonts w:ascii="Calibri" w:eastAsia="Times New Roman" w:hAnsi="Calibri" w:cs="Calibri"/>
          <w:color w:val="000000"/>
          <w:sz w:val="27"/>
          <w:szCs w:val="27"/>
          <w:lang w:eastAsia="en-GB"/>
        </w:rPr>
        <w:t xml:space="preserve"> </w:t>
      </w:r>
      <w:r w:rsidR="00A86A49" w:rsidRPr="00A86A49">
        <w:rPr>
          <w:rFonts w:ascii="Calibri" w:eastAsia="Times New Roman" w:hAnsi="Calibri" w:cs="Calibri"/>
          <w:color w:val="000000"/>
          <w:sz w:val="27"/>
          <w:szCs w:val="27"/>
          <w:lang w:eastAsia="en-GB"/>
        </w:rPr>
        <w:t>(accessed Jul. 08, 2025).</w:t>
      </w:r>
    </w:p>
    <w:p w14:paraId="6BA57552" w14:textId="444BF052" w:rsidR="009A689E" w:rsidRDefault="009A689E" w:rsidP="009A689E">
      <w:pPr>
        <w:spacing w:after="0" w:line="240" w:lineRule="auto"/>
        <w:rPr>
          <w:rFonts w:ascii="Calibri" w:eastAsia="Times New Roman" w:hAnsi="Calibri" w:cs="Calibri"/>
          <w:color w:val="000000"/>
          <w:sz w:val="27"/>
          <w:szCs w:val="27"/>
          <w:lang w:eastAsia="en-GB"/>
        </w:rPr>
      </w:pPr>
      <w:r w:rsidRPr="009A689E">
        <w:rPr>
          <w:rFonts w:ascii="Calibri" w:eastAsia="Times New Roman" w:hAnsi="Calibri" w:cs="Calibri"/>
          <w:color w:val="000000"/>
          <w:sz w:val="27"/>
          <w:szCs w:val="27"/>
          <w:lang w:eastAsia="en-GB"/>
        </w:rPr>
        <w:t>[</w:t>
      </w:r>
      <w:r>
        <w:rPr>
          <w:rFonts w:ascii="Calibri" w:eastAsia="Times New Roman" w:hAnsi="Calibri" w:cs="Calibri"/>
          <w:color w:val="000000"/>
          <w:sz w:val="27"/>
          <w:szCs w:val="27"/>
          <w:lang w:eastAsia="en-GB"/>
        </w:rPr>
        <w:t>5</w:t>
      </w:r>
      <w:r w:rsidRPr="009A689E">
        <w:rPr>
          <w:rFonts w:ascii="Calibri" w:eastAsia="Times New Roman" w:hAnsi="Calibri" w:cs="Calibri"/>
          <w:color w:val="000000"/>
          <w:sz w:val="27"/>
          <w:szCs w:val="27"/>
          <w:lang w:eastAsia="en-GB"/>
        </w:rPr>
        <w:t>]</w:t>
      </w:r>
      <w:r>
        <w:rPr>
          <w:rFonts w:ascii="Calibri" w:eastAsia="Times New Roman" w:hAnsi="Calibri" w:cs="Calibri"/>
          <w:color w:val="000000"/>
          <w:sz w:val="27"/>
          <w:szCs w:val="27"/>
          <w:lang w:eastAsia="en-GB"/>
        </w:rPr>
        <w:t xml:space="preserve"> </w:t>
      </w:r>
      <w:r w:rsidRPr="009A689E">
        <w:rPr>
          <w:rFonts w:ascii="Calibri" w:eastAsia="Times New Roman" w:hAnsi="Calibri" w:cs="Calibri"/>
          <w:color w:val="000000"/>
          <w:sz w:val="27"/>
          <w:szCs w:val="27"/>
          <w:lang w:eastAsia="en-GB"/>
        </w:rPr>
        <w:t>“DECOMPOSITION REACTIONS | GlobalSpec,” </w:t>
      </w:r>
      <w:r w:rsidRPr="009A689E">
        <w:rPr>
          <w:rFonts w:ascii="Calibri" w:eastAsia="Times New Roman" w:hAnsi="Calibri" w:cs="Calibri"/>
          <w:i/>
          <w:iCs/>
          <w:color w:val="000000"/>
          <w:sz w:val="27"/>
          <w:szCs w:val="27"/>
          <w:lang w:eastAsia="en-GB"/>
        </w:rPr>
        <w:t>Globalspec.com</w:t>
      </w:r>
      <w:r w:rsidRPr="009A689E">
        <w:rPr>
          <w:rFonts w:ascii="Calibri" w:eastAsia="Times New Roman" w:hAnsi="Calibri" w:cs="Calibri"/>
          <w:color w:val="000000"/>
          <w:sz w:val="27"/>
          <w:szCs w:val="27"/>
          <w:lang w:eastAsia="en-GB"/>
        </w:rPr>
        <w:t xml:space="preserve">, 2025. </w:t>
      </w:r>
      <w:hyperlink r:id="rId15" w:history="1">
        <w:r w:rsidRPr="009A689E">
          <w:rPr>
            <w:rStyle w:val="Hyperlink"/>
            <w:rFonts w:ascii="Calibri" w:eastAsia="Times New Roman" w:hAnsi="Calibri" w:cs="Calibri"/>
            <w:sz w:val="27"/>
            <w:szCs w:val="27"/>
            <w:lang w:eastAsia="en-GB"/>
          </w:rPr>
          <w:t>https://www.globalspec.com/reference/55650/203279/decomposition-reactions</w:t>
        </w:r>
      </w:hyperlink>
      <w:r>
        <w:rPr>
          <w:rFonts w:ascii="Calibri" w:eastAsia="Times New Roman" w:hAnsi="Calibri" w:cs="Calibri"/>
          <w:color w:val="000000"/>
          <w:sz w:val="27"/>
          <w:szCs w:val="27"/>
          <w:lang w:eastAsia="en-GB"/>
        </w:rPr>
        <w:t xml:space="preserve"> </w:t>
      </w:r>
      <w:r w:rsidRPr="009A689E">
        <w:rPr>
          <w:rFonts w:ascii="Calibri" w:eastAsia="Times New Roman" w:hAnsi="Calibri" w:cs="Calibri"/>
          <w:color w:val="000000"/>
          <w:sz w:val="27"/>
          <w:szCs w:val="27"/>
          <w:lang w:eastAsia="en-GB"/>
        </w:rPr>
        <w:t xml:space="preserve"> (accessed Jul. 08, 2025).</w:t>
      </w:r>
    </w:p>
    <w:p w14:paraId="3F30A2CF" w14:textId="4F8E1576" w:rsidR="00EC7119" w:rsidRPr="00EC7119" w:rsidRDefault="00EC7119" w:rsidP="00EC7119">
      <w:pPr>
        <w:spacing w:before="100" w:beforeAutospacing="1" w:after="100" w:afterAutospacing="1" w:line="240" w:lineRule="auto"/>
        <w:rPr>
          <w:rFonts w:ascii="Calibri" w:eastAsia="Times New Roman" w:hAnsi="Calibri" w:cs="Calibri"/>
          <w:color w:val="000000"/>
          <w:sz w:val="27"/>
          <w:szCs w:val="27"/>
          <w:lang w:eastAsia="en-GB"/>
        </w:rPr>
      </w:pPr>
      <w:r w:rsidRPr="00EC7119">
        <w:rPr>
          <w:rFonts w:ascii="Calibri" w:eastAsia="Times New Roman" w:hAnsi="Calibri" w:cs="Calibri"/>
          <w:color w:val="000000"/>
          <w:sz w:val="27"/>
          <w:szCs w:val="27"/>
          <w:lang w:eastAsia="en-GB"/>
        </w:rPr>
        <w:t>[</w:t>
      </w:r>
      <w:r>
        <w:rPr>
          <w:rFonts w:ascii="Calibri" w:eastAsia="Times New Roman" w:hAnsi="Calibri" w:cs="Calibri"/>
          <w:color w:val="000000"/>
          <w:sz w:val="27"/>
          <w:szCs w:val="27"/>
          <w:lang w:eastAsia="en-GB"/>
        </w:rPr>
        <w:t>6</w:t>
      </w:r>
      <w:r w:rsidRPr="00EC7119">
        <w:rPr>
          <w:rFonts w:ascii="Calibri" w:eastAsia="Times New Roman" w:hAnsi="Calibri" w:cs="Calibri"/>
          <w:color w:val="000000"/>
          <w:sz w:val="27"/>
          <w:szCs w:val="27"/>
          <w:lang w:eastAsia="en-GB"/>
        </w:rPr>
        <w:t>]</w:t>
      </w:r>
      <w:r>
        <w:rPr>
          <w:rFonts w:ascii="Calibri" w:eastAsia="Times New Roman" w:hAnsi="Calibri" w:cs="Calibri"/>
          <w:color w:val="000000"/>
          <w:sz w:val="27"/>
          <w:szCs w:val="27"/>
          <w:lang w:eastAsia="en-GB"/>
        </w:rPr>
        <w:t xml:space="preserve"> </w:t>
      </w:r>
      <w:r w:rsidRPr="00EC7119">
        <w:rPr>
          <w:rFonts w:ascii="Calibri" w:eastAsia="Times New Roman" w:hAnsi="Calibri" w:cs="Calibri"/>
          <w:color w:val="000000"/>
          <w:sz w:val="27"/>
          <w:szCs w:val="27"/>
          <w:lang w:eastAsia="en-GB"/>
        </w:rPr>
        <w:t>“A Calculated Bang,” </w:t>
      </w:r>
      <w:r w:rsidRPr="00EC7119">
        <w:rPr>
          <w:rFonts w:ascii="Calibri" w:eastAsia="Times New Roman" w:hAnsi="Calibri" w:cs="Calibri"/>
          <w:i/>
          <w:iCs/>
          <w:color w:val="000000"/>
          <w:sz w:val="27"/>
          <w:szCs w:val="27"/>
          <w:lang w:eastAsia="en-GB"/>
        </w:rPr>
        <w:t>Nsta.org</w:t>
      </w:r>
      <w:r w:rsidRPr="00EC7119">
        <w:rPr>
          <w:rFonts w:ascii="Calibri" w:eastAsia="Times New Roman" w:hAnsi="Calibri" w:cs="Calibri"/>
          <w:color w:val="000000"/>
          <w:sz w:val="27"/>
          <w:szCs w:val="27"/>
          <w:lang w:eastAsia="en-GB"/>
        </w:rPr>
        <w:t>, 2020. https://www.nsta.org/ncss-case-study/calculated-bang (accessed Jul. 09, 2025).</w:t>
      </w:r>
    </w:p>
    <w:p w14:paraId="38D45A67" w14:textId="7FB537D1" w:rsidR="00476A4B" w:rsidRPr="00476A4B" w:rsidRDefault="00D26B35" w:rsidP="00476A4B">
      <w:pPr>
        <w:spacing w:before="100" w:beforeAutospacing="1" w:after="100" w:afterAutospacing="1" w:line="240" w:lineRule="auto"/>
        <w:rPr>
          <w:rFonts w:ascii="Calibri" w:eastAsia="Times New Roman" w:hAnsi="Calibri" w:cs="Calibri"/>
          <w:color w:val="000000"/>
          <w:sz w:val="27"/>
          <w:szCs w:val="27"/>
          <w:lang w:eastAsia="en-GB"/>
        </w:rPr>
      </w:pPr>
      <w:r w:rsidRPr="00EC7119">
        <w:rPr>
          <w:rFonts w:ascii="Calibri" w:eastAsia="Times New Roman" w:hAnsi="Calibri" w:cs="Calibri"/>
          <w:color w:val="000000"/>
          <w:sz w:val="27"/>
          <w:szCs w:val="27"/>
          <w:lang w:eastAsia="en-GB"/>
        </w:rPr>
        <w:t>‌</w:t>
      </w:r>
      <w:r w:rsidRPr="00476A4B">
        <w:rPr>
          <w:sz w:val="27"/>
          <w:szCs w:val="27"/>
        </w:rPr>
        <w:t xml:space="preserve"> [</w:t>
      </w:r>
      <w:r w:rsidR="00EC7119">
        <w:rPr>
          <w:sz w:val="27"/>
          <w:szCs w:val="27"/>
        </w:rPr>
        <w:t>7</w:t>
      </w:r>
      <w:r w:rsidR="00476A4B" w:rsidRPr="00476A4B">
        <w:rPr>
          <w:sz w:val="27"/>
          <w:szCs w:val="27"/>
        </w:rPr>
        <w:t>]</w:t>
      </w:r>
      <w:r w:rsidR="00476A4B">
        <w:rPr>
          <w:sz w:val="27"/>
          <w:szCs w:val="27"/>
        </w:rPr>
        <w:t xml:space="preserve"> </w:t>
      </w:r>
      <w:r w:rsidR="00476A4B" w:rsidRPr="00476A4B">
        <w:rPr>
          <w:sz w:val="27"/>
          <w:szCs w:val="27"/>
        </w:rPr>
        <w:t>PubChem, “2,3,6-Trinitrotoluene,” </w:t>
      </w:r>
      <w:r w:rsidR="00476A4B" w:rsidRPr="00476A4B">
        <w:rPr>
          <w:i/>
          <w:iCs/>
          <w:sz w:val="27"/>
          <w:szCs w:val="27"/>
        </w:rPr>
        <w:t>Nih.gov</w:t>
      </w:r>
      <w:r w:rsidR="00476A4B" w:rsidRPr="00476A4B">
        <w:rPr>
          <w:sz w:val="27"/>
          <w:szCs w:val="27"/>
        </w:rPr>
        <w:t xml:space="preserve">, 2025. </w:t>
      </w:r>
      <w:hyperlink r:id="rId16" w:history="1">
        <w:r w:rsidR="00476A4B" w:rsidRPr="00476A4B">
          <w:rPr>
            <w:rStyle w:val="Hyperlink"/>
            <w:sz w:val="27"/>
            <w:szCs w:val="27"/>
          </w:rPr>
          <w:t>https://pubchem.ncbi.nlm.nih.gov/compound/2_3_6-Trinitrotoluene</w:t>
        </w:r>
      </w:hyperlink>
      <w:r w:rsidR="00476A4B">
        <w:rPr>
          <w:sz w:val="27"/>
          <w:szCs w:val="27"/>
        </w:rPr>
        <w:t xml:space="preserve"> (a</w:t>
      </w:r>
      <w:r w:rsidR="00F044F8">
        <w:rPr>
          <w:sz w:val="27"/>
          <w:szCs w:val="27"/>
        </w:rPr>
        <w:t xml:space="preserve">ccessed Jul. 08, 2025) </w:t>
      </w:r>
    </w:p>
    <w:p w14:paraId="0D22E88E" w14:textId="166118F9" w:rsidR="00BE6011" w:rsidRPr="00BE6011" w:rsidRDefault="00D26B35" w:rsidP="00BE6011">
      <w:pPr>
        <w:spacing w:before="100" w:beforeAutospacing="1" w:after="100" w:afterAutospacing="1" w:line="240" w:lineRule="auto"/>
        <w:rPr>
          <w:rFonts w:cstheme="minorHAnsi"/>
          <w:sz w:val="27"/>
          <w:szCs w:val="27"/>
        </w:rPr>
      </w:pPr>
      <w:r w:rsidRPr="00476A4B">
        <w:rPr>
          <w:rFonts w:cstheme="minorHAnsi"/>
          <w:sz w:val="27"/>
          <w:szCs w:val="27"/>
        </w:rPr>
        <w:t>‌</w:t>
      </w:r>
      <w:r w:rsidRPr="00BE6011">
        <w:rPr>
          <w:rFonts w:cstheme="minorHAnsi"/>
          <w:sz w:val="27"/>
          <w:szCs w:val="27"/>
        </w:rPr>
        <w:t xml:space="preserve"> [</w:t>
      </w:r>
      <w:r w:rsidR="00EC7119">
        <w:rPr>
          <w:rFonts w:cstheme="minorHAnsi"/>
          <w:sz w:val="27"/>
          <w:szCs w:val="27"/>
        </w:rPr>
        <w:t>8</w:t>
      </w:r>
      <w:r w:rsidR="00BE6011" w:rsidRPr="00BE6011">
        <w:rPr>
          <w:rFonts w:cstheme="minorHAnsi"/>
          <w:sz w:val="27"/>
          <w:szCs w:val="27"/>
        </w:rPr>
        <w:t>]</w:t>
      </w:r>
      <w:r w:rsidR="00BE6011">
        <w:rPr>
          <w:rFonts w:cstheme="minorHAnsi"/>
          <w:sz w:val="27"/>
          <w:szCs w:val="27"/>
        </w:rPr>
        <w:t xml:space="preserve"> </w:t>
      </w:r>
      <w:r w:rsidR="00BE6011" w:rsidRPr="00BE6011">
        <w:rPr>
          <w:rFonts w:cstheme="minorHAnsi"/>
          <w:sz w:val="27"/>
          <w:szCs w:val="27"/>
        </w:rPr>
        <w:t>PubChem, “Cyclonite,” </w:t>
      </w:r>
      <w:r w:rsidR="00BE6011" w:rsidRPr="00BE6011">
        <w:rPr>
          <w:rFonts w:cstheme="minorHAnsi"/>
          <w:i/>
          <w:iCs/>
          <w:sz w:val="27"/>
          <w:szCs w:val="27"/>
        </w:rPr>
        <w:t>Nih.gov</w:t>
      </w:r>
      <w:r w:rsidR="00BE6011" w:rsidRPr="00BE6011">
        <w:rPr>
          <w:rFonts w:cstheme="minorHAnsi"/>
          <w:sz w:val="27"/>
          <w:szCs w:val="27"/>
        </w:rPr>
        <w:t xml:space="preserve">, 2024. </w:t>
      </w:r>
      <w:hyperlink r:id="rId17" w:history="1">
        <w:r w:rsidR="00BE6011" w:rsidRPr="00BE6011">
          <w:rPr>
            <w:rStyle w:val="Hyperlink"/>
            <w:rFonts w:cstheme="minorHAnsi"/>
            <w:sz w:val="27"/>
            <w:szCs w:val="27"/>
          </w:rPr>
          <w:t>https://pubchem.ncbi.nlm.nih.gov/compound/RDX</w:t>
        </w:r>
      </w:hyperlink>
      <w:r w:rsidR="00BE6011">
        <w:rPr>
          <w:rFonts w:cstheme="minorHAnsi"/>
          <w:sz w:val="27"/>
          <w:szCs w:val="27"/>
        </w:rPr>
        <w:t xml:space="preserve"> (accessed Jul. 08, 2025</w:t>
      </w:r>
      <w:r w:rsidR="00875108">
        <w:rPr>
          <w:rFonts w:cstheme="minorHAnsi"/>
          <w:sz w:val="27"/>
          <w:szCs w:val="27"/>
        </w:rPr>
        <w:t xml:space="preserve">) </w:t>
      </w:r>
    </w:p>
    <w:p w14:paraId="132A7500" w14:textId="6A7119A5" w:rsidR="00386F82" w:rsidRPr="00386F82" w:rsidRDefault="00D26B35" w:rsidP="00386F82">
      <w:pPr>
        <w:spacing w:before="100" w:beforeAutospacing="1" w:after="100" w:afterAutospacing="1" w:line="240" w:lineRule="auto"/>
        <w:rPr>
          <w:sz w:val="27"/>
          <w:szCs w:val="27"/>
        </w:rPr>
      </w:pPr>
      <w:r w:rsidRPr="00BE6011">
        <w:rPr>
          <w:sz w:val="27"/>
          <w:szCs w:val="27"/>
        </w:rPr>
        <w:t>‌</w:t>
      </w:r>
      <w:r w:rsidRPr="00386F82">
        <w:rPr>
          <w:sz w:val="27"/>
          <w:szCs w:val="27"/>
        </w:rPr>
        <w:t xml:space="preserve"> [</w:t>
      </w:r>
      <w:r w:rsidR="00386F82">
        <w:rPr>
          <w:sz w:val="27"/>
          <w:szCs w:val="27"/>
        </w:rPr>
        <w:t>9</w:t>
      </w:r>
      <w:r w:rsidR="00386F82" w:rsidRPr="00386F82">
        <w:rPr>
          <w:sz w:val="27"/>
          <w:szCs w:val="27"/>
        </w:rPr>
        <w:t>] Wikipedia Contributors, “Explosive train,” </w:t>
      </w:r>
      <w:r w:rsidR="00386F82" w:rsidRPr="00386F82">
        <w:rPr>
          <w:i/>
          <w:iCs/>
          <w:sz w:val="27"/>
          <w:szCs w:val="27"/>
        </w:rPr>
        <w:t>Wikipedia</w:t>
      </w:r>
      <w:r w:rsidR="00386F82">
        <w:rPr>
          <w:sz w:val="27"/>
          <w:szCs w:val="27"/>
        </w:rPr>
        <w:t xml:space="preserve">, </w:t>
      </w:r>
      <w:r w:rsidR="00386F82" w:rsidRPr="00386F82">
        <w:rPr>
          <w:sz w:val="27"/>
          <w:szCs w:val="27"/>
        </w:rPr>
        <w:t>Apr. 26, 2023.</w:t>
      </w:r>
      <w:r w:rsidR="00FE4292">
        <w:rPr>
          <w:sz w:val="27"/>
          <w:szCs w:val="27"/>
        </w:rPr>
        <w:t xml:space="preserve"> (accessed Jul. 09, 2025) </w:t>
      </w:r>
    </w:p>
    <w:p w14:paraId="49A62422" w14:textId="61DD85F0" w:rsidR="0010228D" w:rsidRPr="0010228D" w:rsidRDefault="00D26B35" w:rsidP="0010228D">
      <w:pPr>
        <w:spacing w:before="100" w:beforeAutospacing="1" w:after="100" w:afterAutospacing="1" w:line="240" w:lineRule="auto"/>
      </w:pPr>
      <w:r w:rsidRPr="00386F82">
        <w:t>‌</w:t>
      </w:r>
      <w:r w:rsidRPr="0010228D">
        <w:rPr>
          <w:sz w:val="27"/>
          <w:szCs w:val="27"/>
        </w:rPr>
        <w:t xml:space="preserve"> [</w:t>
      </w:r>
      <w:r w:rsidR="0010228D" w:rsidRPr="0010228D">
        <w:rPr>
          <w:sz w:val="27"/>
          <w:szCs w:val="27"/>
        </w:rPr>
        <w:t>10] “Electronic Detonators,” </w:t>
      </w:r>
      <w:r w:rsidR="0010228D" w:rsidRPr="0010228D">
        <w:rPr>
          <w:i/>
          <w:iCs/>
          <w:sz w:val="27"/>
          <w:szCs w:val="27"/>
        </w:rPr>
        <w:t>Federal Register</w:t>
      </w:r>
      <w:r w:rsidR="0010228D" w:rsidRPr="0010228D">
        <w:rPr>
          <w:sz w:val="27"/>
          <w:szCs w:val="27"/>
        </w:rPr>
        <w:t xml:space="preserve">, Jan. 14, 2020. </w:t>
      </w:r>
      <w:hyperlink r:id="rId18" w:history="1">
        <w:r w:rsidR="0010228D" w:rsidRPr="0010228D">
          <w:rPr>
            <w:rStyle w:val="Hyperlink"/>
            <w:sz w:val="27"/>
            <w:szCs w:val="27"/>
          </w:rPr>
          <w:t>https://www.federalregister.gov/documents/2020/01/14/2019-28447/electronic-detonators</w:t>
        </w:r>
      </w:hyperlink>
      <w:r w:rsidR="0010228D">
        <w:rPr>
          <w:sz w:val="27"/>
          <w:szCs w:val="27"/>
        </w:rPr>
        <w:t xml:space="preserve"> </w:t>
      </w:r>
      <w:r w:rsidR="0010228D" w:rsidRPr="0010228D">
        <w:rPr>
          <w:sz w:val="27"/>
          <w:szCs w:val="27"/>
        </w:rPr>
        <w:t xml:space="preserve"> (accessed Jul. 09, 2025).</w:t>
      </w:r>
    </w:p>
    <w:p w14:paraId="55A44781" w14:textId="4CDE6D34" w:rsidR="00836BFE" w:rsidRPr="00836BFE" w:rsidRDefault="00D26B35" w:rsidP="00836BFE">
      <w:pPr>
        <w:spacing w:before="100" w:beforeAutospacing="1" w:after="100" w:afterAutospacing="1" w:line="240" w:lineRule="auto"/>
      </w:pPr>
      <w:r w:rsidRPr="0010228D">
        <w:lastRenderedPageBreak/>
        <w:t>‌</w:t>
      </w:r>
      <w:r w:rsidRPr="00836BFE">
        <w:t xml:space="preserve"> [</w:t>
      </w:r>
      <w:r w:rsidR="00836BFE" w:rsidRPr="00C52B4C">
        <w:rPr>
          <w:sz w:val="27"/>
          <w:szCs w:val="27"/>
        </w:rPr>
        <w:t xml:space="preserve">11] </w:t>
      </w:r>
      <w:r w:rsidR="00836BFE" w:rsidRPr="00836BFE">
        <w:rPr>
          <w:sz w:val="27"/>
          <w:szCs w:val="27"/>
        </w:rPr>
        <w:t>R. Mendes, J. Ribeiro, J. Campos, and I. Plaksin, “Micro Slapper Initiators,” </w:t>
      </w:r>
      <w:r w:rsidR="00836BFE" w:rsidRPr="00836BFE">
        <w:rPr>
          <w:i/>
          <w:iCs/>
          <w:sz w:val="27"/>
          <w:szCs w:val="27"/>
        </w:rPr>
        <w:t>Springer eBooks</w:t>
      </w:r>
      <w:r w:rsidR="00836BFE" w:rsidRPr="00836BFE">
        <w:rPr>
          <w:sz w:val="27"/>
          <w:szCs w:val="27"/>
        </w:rPr>
        <w:t xml:space="preserve">, pp. 83–93, Oct. 2007, doi: </w:t>
      </w:r>
      <w:hyperlink r:id="rId19" w:history="1">
        <w:r w:rsidR="00836BFE" w:rsidRPr="00836BFE">
          <w:rPr>
            <w:rStyle w:val="Hyperlink"/>
            <w:sz w:val="27"/>
            <w:szCs w:val="27"/>
          </w:rPr>
          <w:t>https://doi.org/10.1007/978-1-4020-2795-6_6</w:t>
        </w:r>
      </w:hyperlink>
      <w:r w:rsidR="00836BFE" w:rsidRPr="00836BFE">
        <w:rPr>
          <w:sz w:val="27"/>
          <w:szCs w:val="27"/>
        </w:rPr>
        <w:t>.</w:t>
      </w:r>
      <w:r w:rsidR="00836BFE" w:rsidRPr="00C52B4C">
        <w:rPr>
          <w:sz w:val="27"/>
          <w:szCs w:val="27"/>
        </w:rPr>
        <w:t xml:space="preserve"> </w:t>
      </w:r>
      <w:r w:rsidR="00C52B4C" w:rsidRPr="00C52B4C">
        <w:rPr>
          <w:sz w:val="27"/>
          <w:szCs w:val="27"/>
        </w:rPr>
        <w:t>(accessed Jul. 09, 2025)</w:t>
      </w:r>
      <w:r w:rsidR="00C52B4C">
        <w:t xml:space="preserve"> </w:t>
      </w:r>
    </w:p>
    <w:p w14:paraId="45C94CEB" w14:textId="76E8FB93" w:rsidR="00700740" w:rsidRDefault="00D26B35" w:rsidP="00700740">
      <w:pPr>
        <w:spacing w:before="100" w:beforeAutospacing="1" w:after="100" w:afterAutospacing="1" w:line="240" w:lineRule="auto"/>
        <w:rPr>
          <w:sz w:val="27"/>
          <w:szCs w:val="27"/>
        </w:rPr>
      </w:pPr>
      <w:r w:rsidRPr="00836BFE">
        <w:t>‌</w:t>
      </w:r>
      <w:r w:rsidRPr="00700740">
        <w:rPr>
          <w:sz w:val="27"/>
          <w:szCs w:val="27"/>
        </w:rPr>
        <w:t xml:space="preserve"> [</w:t>
      </w:r>
      <w:r w:rsidR="007A4CF4" w:rsidRPr="00700740">
        <w:rPr>
          <w:sz w:val="27"/>
          <w:szCs w:val="27"/>
        </w:rPr>
        <w:t>12] “</w:t>
      </w:r>
      <w:r w:rsidR="00700740" w:rsidRPr="00700740">
        <w:rPr>
          <w:sz w:val="27"/>
          <w:szCs w:val="27"/>
        </w:rPr>
        <w:t>EBW Detonators,” </w:t>
      </w:r>
      <w:r w:rsidR="00700740" w:rsidRPr="00700740">
        <w:rPr>
          <w:i/>
          <w:iCs/>
          <w:sz w:val="27"/>
          <w:szCs w:val="27"/>
        </w:rPr>
        <w:t>Teledynedefenseelectronics.com</w:t>
      </w:r>
      <w:r w:rsidR="00700740" w:rsidRPr="00700740">
        <w:rPr>
          <w:sz w:val="27"/>
          <w:szCs w:val="27"/>
        </w:rPr>
        <w:t xml:space="preserve">, 2019. </w:t>
      </w:r>
      <w:hyperlink r:id="rId20" w:history="1">
        <w:r w:rsidR="00700740" w:rsidRPr="00700740">
          <w:rPr>
            <w:rStyle w:val="Hyperlink"/>
            <w:sz w:val="27"/>
            <w:szCs w:val="27"/>
          </w:rPr>
          <w:t>https://www.teledynedefenseelectronics.com/what-we-do/energetics/initiation-components-systems-us</w:t>
        </w:r>
      </w:hyperlink>
      <w:r w:rsidR="00700740">
        <w:rPr>
          <w:sz w:val="27"/>
          <w:szCs w:val="27"/>
        </w:rPr>
        <w:t xml:space="preserve"> </w:t>
      </w:r>
      <w:r w:rsidR="00700740" w:rsidRPr="00700740">
        <w:rPr>
          <w:sz w:val="27"/>
          <w:szCs w:val="27"/>
        </w:rPr>
        <w:t>(accessed Jul. 09, 2025).</w:t>
      </w:r>
    </w:p>
    <w:p w14:paraId="5803391D" w14:textId="7A3D638A" w:rsidR="000D6F09" w:rsidRPr="000D6F09" w:rsidRDefault="000D6F09" w:rsidP="000D6F09">
      <w:pPr>
        <w:spacing w:before="100" w:beforeAutospacing="1" w:after="100" w:afterAutospacing="1" w:line="240" w:lineRule="auto"/>
        <w:rPr>
          <w:sz w:val="27"/>
          <w:szCs w:val="27"/>
        </w:rPr>
      </w:pPr>
      <w:r w:rsidRPr="000D6F09">
        <w:rPr>
          <w:sz w:val="27"/>
          <w:szCs w:val="27"/>
        </w:rPr>
        <w:t>[13] Wikipedia Contributors, “Explosive booster,” </w:t>
      </w:r>
      <w:r w:rsidRPr="000D6F09">
        <w:rPr>
          <w:i/>
          <w:iCs/>
          <w:sz w:val="27"/>
          <w:szCs w:val="27"/>
        </w:rPr>
        <w:t>Wikipedia</w:t>
      </w:r>
      <w:r w:rsidRPr="000D6F09">
        <w:rPr>
          <w:sz w:val="27"/>
          <w:szCs w:val="27"/>
        </w:rPr>
        <w:t>, Dec. 21, 2024.</w:t>
      </w:r>
      <w:r>
        <w:rPr>
          <w:sz w:val="27"/>
          <w:szCs w:val="27"/>
        </w:rPr>
        <w:t xml:space="preserve"> (</w:t>
      </w:r>
      <w:r w:rsidR="006D6C5C">
        <w:rPr>
          <w:sz w:val="27"/>
          <w:szCs w:val="27"/>
        </w:rPr>
        <w:t xml:space="preserve">accessed Jul. 09, 2025) </w:t>
      </w:r>
    </w:p>
    <w:p w14:paraId="611C5AAD" w14:textId="36B27FD1" w:rsidR="00A22054" w:rsidRPr="00A22054" w:rsidRDefault="00D26B35" w:rsidP="00A22054">
      <w:pPr>
        <w:spacing w:before="100" w:beforeAutospacing="1" w:after="100" w:afterAutospacing="1" w:line="240" w:lineRule="auto"/>
      </w:pPr>
      <w:r w:rsidRPr="000D6F09">
        <w:t>‌</w:t>
      </w:r>
      <w:r w:rsidRPr="00A22054">
        <w:rPr>
          <w:sz w:val="27"/>
          <w:szCs w:val="27"/>
        </w:rPr>
        <w:t xml:space="preserve"> [</w:t>
      </w:r>
      <w:r w:rsidR="00A22054" w:rsidRPr="00A22054">
        <w:rPr>
          <w:sz w:val="27"/>
          <w:szCs w:val="27"/>
        </w:rPr>
        <w:t xml:space="preserve">14] “PE8 Plastic Explosive Specifications RDX Content 86.5% by weight (max) Plasticisers/ Binders 12.5% by weight (nominal) DMNB Taggant: 1% by weight (minimum).” Accessed: Jul. 09, 2025. [Online]. Available: </w:t>
      </w:r>
      <w:hyperlink r:id="rId21" w:history="1">
        <w:r w:rsidR="00A22054" w:rsidRPr="00A22054">
          <w:rPr>
            <w:rStyle w:val="Hyperlink"/>
            <w:sz w:val="27"/>
            <w:szCs w:val="27"/>
          </w:rPr>
          <w:t>https://www.chemring.com/~/media/Files/C/Chemring-V3/documents/energetics/PE8%20Plastic%20Explosive%20Iss%2013%20Nov%2020.pdf</w:t>
        </w:r>
      </w:hyperlink>
      <w:r w:rsidR="00A22054">
        <w:rPr>
          <w:sz w:val="27"/>
          <w:szCs w:val="27"/>
        </w:rPr>
        <w:t xml:space="preserve"> (accessed Jul. 09, 2025) </w:t>
      </w:r>
    </w:p>
    <w:p w14:paraId="67FB2F06" w14:textId="69B38BCE" w:rsidR="00891A82" w:rsidRPr="00891A82" w:rsidRDefault="00D26B35" w:rsidP="00891A82">
      <w:pPr>
        <w:spacing w:before="100" w:beforeAutospacing="1" w:after="100" w:afterAutospacing="1" w:line="240" w:lineRule="auto"/>
      </w:pPr>
      <w:r w:rsidRPr="00A22054">
        <w:t>‌</w:t>
      </w:r>
      <w:r w:rsidRPr="00891A82">
        <w:rPr>
          <w:sz w:val="27"/>
          <w:szCs w:val="27"/>
        </w:rPr>
        <w:t xml:space="preserve"> [</w:t>
      </w:r>
      <w:r w:rsidR="00891A82" w:rsidRPr="00891A82">
        <w:rPr>
          <w:sz w:val="27"/>
          <w:szCs w:val="27"/>
        </w:rPr>
        <w:t>15] H. Matos, M. Galuska, C. Javier, S. Kishore, J. LeBlanc, and A. Shukla, “A review of underwater shock and fluid–structure interactions,” </w:t>
      </w:r>
      <w:r w:rsidR="00891A82" w:rsidRPr="00891A82">
        <w:rPr>
          <w:i/>
          <w:iCs/>
          <w:sz w:val="27"/>
          <w:szCs w:val="27"/>
        </w:rPr>
        <w:t>Flow</w:t>
      </w:r>
      <w:r w:rsidR="00891A82" w:rsidRPr="00891A82">
        <w:rPr>
          <w:sz w:val="27"/>
          <w:szCs w:val="27"/>
        </w:rPr>
        <w:t xml:space="preserve">, vol. 4, Jan. 2024, doi: </w:t>
      </w:r>
      <w:hyperlink r:id="rId22" w:history="1">
        <w:r w:rsidR="00891A82" w:rsidRPr="00891A82">
          <w:rPr>
            <w:rStyle w:val="Hyperlink"/>
            <w:sz w:val="27"/>
            <w:szCs w:val="27"/>
          </w:rPr>
          <w:t>https://doi.org/10.1017/flo.2024.8</w:t>
        </w:r>
      </w:hyperlink>
      <w:r w:rsidR="00891A82" w:rsidRPr="00891A82">
        <w:rPr>
          <w:sz w:val="27"/>
          <w:szCs w:val="27"/>
        </w:rPr>
        <w:t>.</w:t>
      </w:r>
      <w:r w:rsidR="00891A82">
        <w:rPr>
          <w:sz w:val="27"/>
          <w:szCs w:val="27"/>
        </w:rPr>
        <w:t xml:space="preserve"> (accessed Jul. 09, 2025) </w:t>
      </w:r>
    </w:p>
    <w:p w14:paraId="2C1C5F77" w14:textId="78AD5CDA" w:rsidR="00F50D39" w:rsidRPr="00766F0E" w:rsidRDefault="00D26B35" w:rsidP="00F50D39">
      <w:pPr>
        <w:spacing w:after="0" w:line="240" w:lineRule="auto"/>
        <w:rPr>
          <w:rFonts w:ascii="Calibri" w:eastAsia="Times New Roman" w:hAnsi="Calibri" w:cs="Calibri"/>
          <w:color w:val="000000"/>
          <w:sz w:val="27"/>
          <w:szCs w:val="27"/>
          <w:lang w:eastAsia="en-GB"/>
        </w:rPr>
      </w:pPr>
      <w:r w:rsidRPr="00891A82">
        <w:t>‌</w:t>
      </w:r>
      <w:r>
        <w:rPr>
          <w:rFonts w:ascii="Calibri" w:eastAsia="Times New Roman" w:hAnsi="Calibri" w:cs="Calibri"/>
          <w:color w:val="000000"/>
          <w:sz w:val="27"/>
          <w:szCs w:val="27"/>
          <w:lang w:eastAsia="en-GB"/>
        </w:rPr>
        <w:t xml:space="preserve"> [</w:t>
      </w:r>
      <w:r w:rsidR="00F50D39">
        <w:rPr>
          <w:rFonts w:ascii="Calibri" w:eastAsia="Times New Roman" w:hAnsi="Calibri" w:cs="Calibri"/>
          <w:color w:val="000000"/>
          <w:sz w:val="27"/>
          <w:szCs w:val="27"/>
          <w:lang w:eastAsia="en-GB"/>
        </w:rPr>
        <w:t xml:space="preserve">16] </w:t>
      </w:r>
      <w:r w:rsidR="00F50D39" w:rsidRPr="00766F0E">
        <w:rPr>
          <w:rFonts w:ascii="Calibri" w:eastAsia="Times New Roman" w:hAnsi="Calibri" w:cs="Calibri"/>
          <w:color w:val="000000"/>
          <w:sz w:val="27"/>
          <w:szCs w:val="27"/>
          <w:lang w:eastAsia="en-GB"/>
        </w:rPr>
        <w:t>J. Dong </w:t>
      </w:r>
      <w:r w:rsidR="00F50D39" w:rsidRPr="00766F0E">
        <w:rPr>
          <w:rFonts w:ascii="Calibri" w:eastAsia="Times New Roman" w:hAnsi="Calibri" w:cs="Calibri"/>
          <w:i/>
          <w:iCs/>
          <w:color w:val="000000"/>
          <w:sz w:val="27"/>
          <w:szCs w:val="27"/>
          <w:lang w:eastAsia="en-GB"/>
        </w:rPr>
        <w:t>et al.</w:t>
      </w:r>
      <w:r w:rsidR="00F50D39" w:rsidRPr="00766F0E">
        <w:rPr>
          <w:rFonts w:ascii="Calibri" w:eastAsia="Times New Roman" w:hAnsi="Calibri" w:cs="Calibri"/>
          <w:color w:val="000000"/>
          <w:sz w:val="27"/>
          <w:szCs w:val="27"/>
          <w:lang w:eastAsia="en-GB"/>
        </w:rPr>
        <w:t>, “Effects of Nano Aluminum Powder on the Mechanical Sensitivity of RDX-Based Explosives,” </w:t>
      </w:r>
      <w:r w:rsidR="00F50D39" w:rsidRPr="00766F0E">
        <w:rPr>
          <w:rFonts w:ascii="Calibri" w:eastAsia="Times New Roman" w:hAnsi="Calibri" w:cs="Calibri"/>
          <w:i/>
          <w:iCs/>
          <w:color w:val="000000"/>
          <w:sz w:val="27"/>
          <w:szCs w:val="27"/>
          <w:lang w:eastAsia="en-GB"/>
        </w:rPr>
        <w:t>Nanomaterials</w:t>
      </w:r>
      <w:r w:rsidR="00F50D39" w:rsidRPr="00766F0E">
        <w:rPr>
          <w:rFonts w:ascii="Calibri" w:eastAsia="Times New Roman" w:hAnsi="Calibri" w:cs="Calibri"/>
          <w:color w:val="000000"/>
          <w:sz w:val="27"/>
          <w:szCs w:val="27"/>
          <w:lang w:eastAsia="en-GB"/>
        </w:rPr>
        <w:t xml:space="preserve">, vol. 11, no. 9, p. 2182, Aug. 2021, doi: </w:t>
      </w:r>
      <w:hyperlink r:id="rId23" w:history="1">
        <w:r w:rsidR="00F50D39" w:rsidRPr="004B7CB6">
          <w:rPr>
            <w:rStyle w:val="Hyperlink"/>
            <w:rFonts w:ascii="Calibri" w:eastAsia="Times New Roman" w:hAnsi="Calibri" w:cs="Calibri"/>
            <w:sz w:val="27"/>
            <w:szCs w:val="27"/>
            <w:lang w:eastAsia="en-GB"/>
          </w:rPr>
          <w:t>https://doi.org/10.3390/nano11092182</w:t>
        </w:r>
      </w:hyperlink>
      <w:r w:rsidR="00F50D39" w:rsidRPr="00766F0E">
        <w:rPr>
          <w:rFonts w:ascii="Calibri" w:eastAsia="Times New Roman" w:hAnsi="Calibri" w:cs="Calibri"/>
          <w:color w:val="000000"/>
          <w:sz w:val="27"/>
          <w:szCs w:val="27"/>
          <w:lang w:eastAsia="en-GB"/>
        </w:rPr>
        <w:t>.</w:t>
      </w:r>
      <w:r w:rsidR="00F50D39">
        <w:rPr>
          <w:rFonts w:ascii="Calibri" w:eastAsia="Times New Roman" w:hAnsi="Calibri" w:cs="Calibri"/>
          <w:color w:val="000000"/>
          <w:sz w:val="27"/>
          <w:szCs w:val="27"/>
          <w:lang w:eastAsia="en-GB"/>
        </w:rPr>
        <w:t xml:space="preserve"> (accessed Jul. 09, 2025) </w:t>
      </w:r>
    </w:p>
    <w:p w14:paraId="41A66A59" w14:textId="77777777" w:rsidR="009056C1" w:rsidRDefault="009056C1" w:rsidP="009056C1">
      <w:pPr>
        <w:spacing w:after="0" w:line="240" w:lineRule="auto"/>
        <w:rPr>
          <w:rFonts w:ascii="Calibri" w:eastAsia="Times New Roman" w:hAnsi="Calibri" w:cs="Calibri"/>
          <w:color w:val="000000"/>
          <w:sz w:val="27"/>
          <w:szCs w:val="27"/>
          <w:lang w:eastAsia="en-GB"/>
        </w:rPr>
      </w:pPr>
    </w:p>
    <w:p w14:paraId="55D27BD8" w14:textId="77777777" w:rsidR="000018AA" w:rsidRDefault="009056C1" w:rsidP="000018AA">
      <w:pPr>
        <w:spacing w:after="0" w:line="240" w:lineRule="auto"/>
        <w:rPr>
          <w:rFonts w:ascii="Calibri" w:eastAsia="Times New Roman" w:hAnsi="Calibri" w:cs="Calibri"/>
          <w:color w:val="000000"/>
          <w:sz w:val="27"/>
          <w:szCs w:val="27"/>
          <w:lang w:eastAsia="en-GB"/>
        </w:rPr>
      </w:pPr>
      <w:r>
        <w:rPr>
          <w:rFonts w:ascii="Calibri" w:eastAsia="Times New Roman" w:hAnsi="Calibri" w:cs="Calibri"/>
          <w:color w:val="000000"/>
          <w:sz w:val="27"/>
          <w:szCs w:val="27"/>
          <w:lang w:eastAsia="en-GB"/>
        </w:rPr>
        <w:t xml:space="preserve">[17] </w:t>
      </w:r>
      <w:r w:rsidRPr="002D6E79">
        <w:rPr>
          <w:rFonts w:ascii="Calibri" w:eastAsia="Times New Roman" w:hAnsi="Calibri" w:cs="Calibri"/>
          <w:color w:val="000000"/>
          <w:sz w:val="27"/>
          <w:szCs w:val="27"/>
          <w:lang w:eastAsia="en-GB"/>
        </w:rPr>
        <w:t>Jai Prakash Agrawal and J. Wiley, </w:t>
      </w:r>
      <w:r w:rsidRPr="002D6E79">
        <w:rPr>
          <w:rFonts w:ascii="Calibri" w:eastAsia="Times New Roman" w:hAnsi="Calibri" w:cs="Calibri"/>
          <w:i/>
          <w:iCs/>
          <w:color w:val="000000"/>
          <w:sz w:val="27"/>
          <w:szCs w:val="27"/>
          <w:lang w:eastAsia="en-GB"/>
        </w:rPr>
        <w:t>High energy materials : propellants, explosives and pyrotechnics</w:t>
      </w:r>
      <w:r w:rsidRPr="002D6E79">
        <w:rPr>
          <w:rFonts w:ascii="Calibri" w:eastAsia="Times New Roman" w:hAnsi="Calibri" w:cs="Calibri"/>
          <w:color w:val="000000"/>
          <w:sz w:val="27"/>
          <w:szCs w:val="27"/>
          <w:lang w:eastAsia="en-GB"/>
        </w:rPr>
        <w:t xml:space="preserve">. Weinheim: Wiley-Vch, 2012. Available: </w:t>
      </w:r>
      <w:hyperlink r:id="rId24" w:history="1">
        <w:r w:rsidRPr="004B7CB6">
          <w:rPr>
            <w:rStyle w:val="Hyperlink"/>
            <w:rFonts w:ascii="Calibri" w:eastAsia="Times New Roman" w:hAnsi="Calibri" w:cs="Calibri"/>
            <w:sz w:val="27"/>
            <w:szCs w:val="27"/>
            <w:lang w:eastAsia="en-GB"/>
          </w:rPr>
          <w:t>https://www.wiley.com/en-us/High+Energy+Materials%3A+Propellants%2C+Explosives+and+Pyrotechnics-p-9783527326105</w:t>
        </w:r>
      </w:hyperlink>
      <w:r>
        <w:rPr>
          <w:rFonts w:ascii="Calibri" w:eastAsia="Times New Roman" w:hAnsi="Calibri" w:cs="Calibri"/>
          <w:color w:val="000000"/>
          <w:sz w:val="27"/>
          <w:szCs w:val="27"/>
          <w:lang w:eastAsia="en-GB"/>
        </w:rPr>
        <w:t xml:space="preserve"> </w:t>
      </w:r>
      <w:r w:rsidR="004C1E5A">
        <w:rPr>
          <w:rFonts w:ascii="Calibri" w:eastAsia="Times New Roman" w:hAnsi="Calibri" w:cs="Calibri"/>
          <w:color w:val="000000"/>
          <w:sz w:val="27"/>
          <w:szCs w:val="27"/>
          <w:lang w:eastAsia="en-GB"/>
        </w:rPr>
        <w:t xml:space="preserve">(accessed Jul. 09, 2025) </w:t>
      </w:r>
    </w:p>
    <w:p w14:paraId="3C88CEA4" w14:textId="77777777" w:rsidR="000018AA" w:rsidRDefault="000018AA" w:rsidP="000018AA">
      <w:pPr>
        <w:spacing w:after="0" w:line="240" w:lineRule="auto"/>
        <w:rPr>
          <w:rFonts w:ascii="Calibri" w:eastAsia="Times New Roman" w:hAnsi="Calibri" w:cs="Calibri"/>
          <w:color w:val="000000"/>
          <w:sz w:val="27"/>
          <w:szCs w:val="27"/>
          <w:lang w:eastAsia="en-GB"/>
        </w:rPr>
      </w:pPr>
    </w:p>
    <w:p w14:paraId="7F26464D" w14:textId="676C4ECE" w:rsidR="000018AA" w:rsidRPr="000018AA" w:rsidRDefault="000018AA" w:rsidP="000018AA">
      <w:pPr>
        <w:spacing w:after="0" w:line="240" w:lineRule="auto"/>
        <w:rPr>
          <w:rFonts w:ascii="Calibri" w:eastAsia="Times New Roman" w:hAnsi="Calibri" w:cs="Calibri"/>
          <w:color w:val="000000"/>
          <w:sz w:val="27"/>
          <w:szCs w:val="27"/>
          <w:lang w:eastAsia="en-GB"/>
        </w:rPr>
      </w:pPr>
      <w:r w:rsidRPr="000018AA">
        <w:rPr>
          <w:sz w:val="27"/>
          <w:szCs w:val="27"/>
        </w:rPr>
        <w:t>[1</w:t>
      </w:r>
      <w:r>
        <w:rPr>
          <w:sz w:val="27"/>
          <w:szCs w:val="27"/>
        </w:rPr>
        <w:t>8</w:t>
      </w:r>
      <w:r w:rsidRPr="000018AA">
        <w:rPr>
          <w:sz w:val="27"/>
          <w:szCs w:val="27"/>
        </w:rPr>
        <w:t>] Wikipedia Contributors, “Polymer-bonded explosive,” </w:t>
      </w:r>
      <w:r w:rsidRPr="000018AA">
        <w:rPr>
          <w:i/>
          <w:iCs/>
          <w:sz w:val="27"/>
          <w:szCs w:val="27"/>
        </w:rPr>
        <w:t>Wikipedia</w:t>
      </w:r>
      <w:r w:rsidRPr="000018AA">
        <w:rPr>
          <w:sz w:val="27"/>
          <w:szCs w:val="27"/>
        </w:rPr>
        <w:t>, Jun. 09, 2025.</w:t>
      </w:r>
    </w:p>
    <w:p w14:paraId="7A63F134" w14:textId="77777777" w:rsidR="000018AA" w:rsidRPr="000018AA" w:rsidRDefault="000018AA" w:rsidP="000018AA">
      <w:pPr>
        <w:spacing w:before="100" w:beforeAutospacing="1" w:after="100" w:afterAutospacing="1" w:line="240" w:lineRule="auto"/>
      </w:pPr>
      <w:r w:rsidRPr="000018AA">
        <w:t>‌</w:t>
      </w:r>
    </w:p>
    <w:p w14:paraId="2A47DD6F" w14:textId="57872B40" w:rsidR="00891A82" w:rsidRPr="00891A82" w:rsidRDefault="00891A82" w:rsidP="00891A82">
      <w:pPr>
        <w:spacing w:before="100" w:beforeAutospacing="1" w:after="100" w:afterAutospacing="1" w:line="240" w:lineRule="auto"/>
      </w:pPr>
    </w:p>
    <w:p w14:paraId="17CF90F7" w14:textId="2206C684" w:rsidR="00A22054" w:rsidRPr="00A22054" w:rsidRDefault="00A22054" w:rsidP="00A22054">
      <w:pPr>
        <w:spacing w:before="100" w:beforeAutospacing="1" w:after="100" w:afterAutospacing="1" w:line="240" w:lineRule="auto"/>
      </w:pPr>
    </w:p>
    <w:p w14:paraId="0EB2F8B0" w14:textId="10F91FB6" w:rsidR="000D6F09" w:rsidRPr="000D6F09" w:rsidRDefault="000D6F09" w:rsidP="000D6F09">
      <w:pPr>
        <w:spacing w:before="100" w:beforeAutospacing="1" w:after="100" w:afterAutospacing="1" w:line="240" w:lineRule="auto"/>
      </w:pPr>
    </w:p>
    <w:p w14:paraId="34FE8F88" w14:textId="77777777" w:rsidR="000D6F09" w:rsidRPr="00700740" w:rsidRDefault="000D6F09" w:rsidP="00700740">
      <w:pPr>
        <w:spacing w:before="100" w:beforeAutospacing="1" w:after="100" w:afterAutospacing="1" w:line="240" w:lineRule="auto"/>
      </w:pPr>
    </w:p>
    <w:p w14:paraId="56989FA6" w14:textId="77777777" w:rsidR="00700740" w:rsidRPr="00700740" w:rsidRDefault="00700740" w:rsidP="00700740">
      <w:pPr>
        <w:spacing w:before="100" w:beforeAutospacing="1" w:after="100" w:afterAutospacing="1" w:line="240" w:lineRule="auto"/>
      </w:pPr>
      <w:r w:rsidRPr="00700740">
        <w:lastRenderedPageBreak/>
        <w:t>‌</w:t>
      </w:r>
    </w:p>
    <w:p w14:paraId="1A5802B2" w14:textId="383179B3" w:rsidR="00836BFE" w:rsidRPr="00836BFE" w:rsidRDefault="00836BFE" w:rsidP="00836BFE">
      <w:pPr>
        <w:spacing w:before="100" w:beforeAutospacing="1" w:after="100" w:afterAutospacing="1" w:line="240" w:lineRule="auto"/>
      </w:pPr>
    </w:p>
    <w:p w14:paraId="05C4FA22" w14:textId="3D6C308B" w:rsidR="0010228D" w:rsidRPr="0010228D" w:rsidRDefault="0010228D" w:rsidP="0010228D">
      <w:pPr>
        <w:spacing w:before="100" w:beforeAutospacing="1" w:after="100" w:afterAutospacing="1" w:line="240" w:lineRule="auto"/>
      </w:pPr>
    </w:p>
    <w:p w14:paraId="5ED72EC8" w14:textId="70BC8C4B" w:rsidR="00386F82" w:rsidRPr="00386F82" w:rsidRDefault="00386F82" w:rsidP="00386F82">
      <w:pPr>
        <w:spacing w:before="100" w:beforeAutospacing="1" w:after="100" w:afterAutospacing="1" w:line="240" w:lineRule="auto"/>
      </w:pPr>
    </w:p>
    <w:p w14:paraId="0F404E14" w14:textId="002A87D3" w:rsidR="00BE6011" w:rsidRPr="00BE6011" w:rsidRDefault="00BE6011" w:rsidP="00BE6011">
      <w:pPr>
        <w:spacing w:before="100" w:beforeAutospacing="1" w:after="100" w:afterAutospacing="1" w:line="240" w:lineRule="auto"/>
      </w:pPr>
    </w:p>
    <w:p w14:paraId="459CF410" w14:textId="31001B7A" w:rsidR="00476A4B" w:rsidRPr="00476A4B" w:rsidRDefault="00476A4B" w:rsidP="00476A4B">
      <w:pPr>
        <w:spacing w:before="100" w:beforeAutospacing="1" w:after="100" w:afterAutospacing="1" w:line="240" w:lineRule="auto"/>
      </w:pPr>
    </w:p>
    <w:p w14:paraId="3EBB097D" w14:textId="314BF111" w:rsidR="00A86A49" w:rsidRPr="00A86A49" w:rsidRDefault="00A86A49" w:rsidP="00A86A49">
      <w:pPr>
        <w:spacing w:before="100" w:beforeAutospacing="1" w:after="100" w:afterAutospacing="1" w:line="240" w:lineRule="auto"/>
        <w:rPr>
          <w:rFonts w:ascii="Calibri" w:eastAsia="Times New Roman" w:hAnsi="Calibri" w:cs="Calibri"/>
          <w:color w:val="000000"/>
          <w:sz w:val="27"/>
          <w:szCs w:val="27"/>
          <w:lang w:eastAsia="en-GB"/>
        </w:rPr>
      </w:pPr>
    </w:p>
    <w:p w14:paraId="4E8BE68B" w14:textId="2867D010" w:rsidR="0026136E" w:rsidRPr="0026136E" w:rsidRDefault="0026136E" w:rsidP="0026136E">
      <w:pPr>
        <w:spacing w:before="100" w:beforeAutospacing="1" w:after="100" w:afterAutospacing="1" w:line="240" w:lineRule="auto"/>
        <w:rPr>
          <w:rFonts w:ascii="Calibri" w:eastAsia="Times New Roman" w:hAnsi="Calibri" w:cs="Calibri"/>
          <w:color w:val="000000"/>
          <w:sz w:val="27"/>
          <w:szCs w:val="27"/>
          <w:lang w:eastAsia="en-GB"/>
        </w:rPr>
      </w:pPr>
    </w:p>
    <w:p w14:paraId="71F0E2B7" w14:textId="697AE0D3" w:rsidR="002D6421" w:rsidRPr="002D6421" w:rsidRDefault="002D6421" w:rsidP="002D6421">
      <w:pPr>
        <w:spacing w:before="100" w:beforeAutospacing="1" w:after="100" w:afterAutospacing="1" w:line="240" w:lineRule="auto"/>
        <w:rPr>
          <w:rFonts w:ascii="Calibri" w:eastAsia="Times New Roman" w:hAnsi="Calibri" w:cs="Calibri"/>
          <w:color w:val="000000"/>
          <w:sz w:val="27"/>
          <w:szCs w:val="27"/>
          <w:lang w:eastAsia="en-GB"/>
        </w:rPr>
      </w:pPr>
    </w:p>
    <w:p w14:paraId="1E454828" w14:textId="77777777" w:rsidR="002D6421" w:rsidRDefault="002D6421" w:rsidP="002C6B7C">
      <w:pPr>
        <w:spacing w:after="0" w:line="240" w:lineRule="auto"/>
        <w:rPr>
          <w:rFonts w:ascii="Calibri" w:eastAsia="Times New Roman" w:hAnsi="Calibri" w:cs="Calibri"/>
          <w:color w:val="000000"/>
          <w:sz w:val="27"/>
          <w:szCs w:val="27"/>
          <w:lang w:eastAsia="en-GB"/>
        </w:rPr>
      </w:pPr>
    </w:p>
    <w:p w14:paraId="5DBC8343" w14:textId="77777777" w:rsidR="002D6421" w:rsidRDefault="002D6421" w:rsidP="002C6B7C">
      <w:pPr>
        <w:spacing w:after="0" w:line="240" w:lineRule="auto"/>
        <w:rPr>
          <w:rFonts w:ascii="Calibri" w:eastAsia="Times New Roman" w:hAnsi="Calibri" w:cs="Calibri"/>
          <w:color w:val="000000"/>
          <w:sz w:val="27"/>
          <w:szCs w:val="27"/>
          <w:lang w:eastAsia="en-GB"/>
        </w:rPr>
      </w:pPr>
    </w:p>
    <w:p w14:paraId="5DD36467" w14:textId="77777777" w:rsidR="002D6421" w:rsidRDefault="002D6421" w:rsidP="002C6B7C">
      <w:pPr>
        <w:spacing w:after="0" w:line="240" w:lineRule="auto"/>
        <w:rPr>
          <w:rFonts w:ascii="Calibri" w:eastAsia="Times New Roman" w:hAnsi="Calibri" w:cs="Calibri"/>
          <w:color w:val="000000"/>
          <w:sz w:val="27"/>
          <w:szCs w:val="27"/>
          <w:lang w:eastAsia="en-GB"/>
        </w:rPr>
      </w:pPr>
    </w:p>
    <w:p w14:paraId="026D7735" w14:textId="77777777" w:rsidR="002D6421" w:rsidRDefault="002D6421" w:rsidP="002C6B7C">
      <w:pPr>
        <w:spacing w:after="0" w:line="240" w:lineRule="auto"/>
        <w:rPr>
          <w:rFonts w:ascii="Calibri" w:eastAsia="Times New Roman" w:hAnsi="Calibri" w:cs="Calibri"/>
          <w:color w:val="000000"/>
          <w:sz w:val="27"/>
          <w:szCs w:val="27"/>
          <w:lang w:eastAsia="en-GB"/>
        </w:rPr>
      </w:pPr>
    </w:p>
    <w:p w14:paraId="05186BBD" w14:textId="77777777" w:rsidR="002D6421" w:rsidRDefault="002D6421" w:rsidP="002C6B7C">
      <w:pPr>
        <w:spacing w:after="0" w:line="240" w:lineRule="auto"/>
        <w:rPr>
          <w:rFonts w:ascii="Calibri" w:eastAsia="Times New Roman" w:hAnsi="Calibri" w:cs="Calibri"/>
          <w:color w:val="000000"/>
          <w:sz w:val="27"/>
          <w:szCs w:val="27"/>
          <w:lang w:eastAsia="en-GB"/>
        </w:rPr>
      </w:pPr>
    </w:p>
    <w:p w14:paraId="6D6131DD" w14:textId="77777777" w:rsidR="002D6421" w:rsidRDefault="002D6421" w:rsidP="002C6B7C">
      <w:pPr>
        <w:spacing w:after="0" w:line="240" w:lineRule="auto"/>
        <w:rPr>
          <w:rFonts w:ascii="Calibri" w:eastAsia="Times New Roman" w:hAnsi="Calibri" w:cs="Calibri"/>
          <w:color w:val="000000"/>
          <w:sz w:val="27"/>
          <w:szCs w:val="27"/>
          <w:lang w:eastAsia="en-GB"/>
        </w:rPr>
      </w:pPr>
    </w:p>
    <w:p w14:paraId="507B4A41" w14:textId="093BA36E" w:rsidR="00C824CA" w:rsidRPr="00C824CA" w:rsidRDefault="00C824CA" w:rsidP="00C824CA">
      <w:pPr>
        <w:spacing w:before="100" w:beforeAutospacing="1" w:after="100" w:afterAutospacing="1" w:line="240" w:lineRule="auto"/>
        <w:rPr>
          <w:rFonts w:ascii="Calibri" w:eastAsia="Times New Roman" w:hAnsi="Calibri" w:cs="Calibri"/>
          <w:color w:val="000000"/>
          <w:sz w:val="27"/>
          <w:szCs w:val="27"/>
          <w:lang w:eastAsia="en-GB"/>
        </w:rPr>
      </w:pPr>
    </w:p>
    <w:p w14:paraId="4E3AE246" w14:textId="4303EA01" w:rsidR="002D6E79" w:rsidRPr="002D6E79" w:rsidRDefault="002D6E79" w:rsidP="002D6E79">
      <w:pPr>
        <w:spacing w:before="100" w:beforeAutospacing="1" w:after="100" w:afterAutospacing="1" w:line="240" w:lineRule="auto"/>
        <w:rPr>
          <w:rFonts w:ascii="Calibri" w:eastAsia="Times New Roman" w:hAnsi="Calibri" w:cs="Calibri"/>
          <w:color w:val="000000"/>
          <w:sz w:val="27"/>
          <w:szCs w:val="27"/>
          <w:lang w:eastAsia="en-GB"/>
        </w:rPr>
      </w:pPr>
    </w:p>
    <w:p w14:paraId="2E8022B8" w14:textId="52AA8FB0" w:rsidR="00A21384" w:rsidRPr="00A21384" w:rsidRDefault="00A21384" w:rsidP="007A4390"/>
    <w:sectPr w:rsidR="00A21384" w:rsidRPr="00A2138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E0D23" w14:textId="77777777" w:rsidR="00FC4AC3" w:rsidRDefault="00FC4AC3" w:rsidP="00B26345">
      <w:pPr>
        <w:spacing w:after="0" w:line="240" w:lineRule="auto"/>
      </w:pPr>
      <w:r>
        <w:separator/>
      </w:r>
    </w:p>
  </w:endnote>
  <w:endnote w:type="continuationSeparator" w:id="0">
    <w:p w14:paraId="47466487" w14:textId="77777777" w:rsidR="00FC4AC3" w:rsidRDefault="00FC4AC3" w:rsidP="00B26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5210165"/>
      <w:docPartObj>
        <w:docPartGallery w:val="Page Numbers (Bottom of Page)"/>
        <w:docPartUnique/>
      </w:docPartObj>
    </w:sdtPr>
    <w:sdtEndPr/>
    <w:sdtContent>
      <w:sdt>
        <w:sdtPr>
          <w:id w:val="-1769616900"/>
          <w:docPartObj>
            <w:docPartGallery w:val="Page Numbers (Top of Page)"/>
            <w:docPartUnique/>
          </w:docPartObj>
        </w:sdtPr>
        <w:sdtEndPr/>
        <w:sdtContent>
          <w:p w14:paraId="30555018" w14:textId="010F9CBB" w:rsidR="00B26345" w:rsidRDefault="00B2634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8500048" w14:textId="77777777" w:rsidR="00B26345" w:rsidRDefault="00B26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870C9" w14:textId="77777777" w:rsidR="00FC4AC3" w:rsidRDefault="00FC4AC3" w:rsidP="00B26345">
      <w:pPr>
        <w:spacing w:after="0" w:line="240" w:lineRule="auto"/>
      </w:pPr>
      <w:r>
        <w:separator/>
      </w:r>
    </w:p>
  </w:footnote>
  <w:footnote w:type="continuationSeparator" w:id="0">
    <w:p w14:paraId="1A2E62AB" w14:textId="77777777" w:rsidR="00FC4AC3" w:rsidRDefault="00FC4AC3" w:rsidP="00B263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951ED"/>
    <w:multiLevelType w:val="hybridMultilevel"/>
    <w:tmpl w:val="845094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BD13A2"/>
    <w:multiLevelType w:val="multilevel"/>
    <w:tmpl w:val="D82236D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48D31A1C"/>
    <w:multiLevelType w:val="hybridMultilevel"/>
    <w:tmpl w:val="A58C8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73A67"/>
    <w:multiLevelType w:val="hybridMultilevel"/>
    <w:tmpl w:val="181AEF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F7668A"/>
    <w:multiLevelType w:val="multilevel"/>
    <w:tmpl w:val="08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7A8346C0"/>
    <w:multiLevelType w:val="hybridMultilevel"/>
    <w:tmpl w:val="DD44FB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0947121">
    <w:abstractNumId w:val="1"/>
  </w:num>
  <w:num w:numId="2" w16cid:durableId="427968162">
    <w:abstractNumId w:val="4"/>
  </w:num>
  <w:num w:numId="3" w16cid:durableId="6345243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6128789">
    <w:abstractNumId w:val="2"/>
  </w:num>
  <w:num w:numId="5" w16cid:durableId="99839937">
    <w:abstractNumId w:val="3"/>
  </w:num>
  <w:num w:numId="6" w16cid:durableId="779422671">
    <w:abstractNumId w:val="0"/>
  </w:num>
  <w:num w:numId="7" w16cid:durableId="5855758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D04"/>
    <w:rsid w:val="000018AA"/>
    <w:rsid w:val="0000404B"/>
    <w:rsid w:val="00007694"/>
    <w:rsid w:val="00007EE8"/>
    <w:rsid w:val="00011684"/>
    <w:rsid w:val="00011CD6"/>
    <w:rsid w:val="00012499"/>
    <w:rsid w:val="00012AF6"/>
    <w:rsid w:val="00012DF8"/>
    <w:rsid w:val="000155CE"/>
    <w:rsid w:val="00020F5A"/>
    <w:rsid w:val="00025B75"/>
    <w:rsid w:val="0002720A"/>
    <w:rsid w:val="00031086"/>
    <w:rsid w:val="00032AAB"/>
    <w:rsid w:val="00033AEE"/>
    <w:rsid w:val="00034092"/>
    <w:rsid w:val="000373D9"/>
    <w:rsid w:val="00041C24"/>
    <w:rsid w:val="0004323B"/>
    <w:rsid w:val="00045FE0"/>
    <w:rsid w:val="00046C66"/>
    <w:rsid w:val="00050533"/>
    <w:rsid w:val="00052F94"/>
    <w:rsid w:val="00054414"/>
    <w:rsid w:val="0005490D"/>
    <w:rsid w:val="00057268"/>
    <w:rsid w:val="00057A3F"/>
    <w:rsid w:val="00070681"/>
    <w:rsid w:val="00072FF1"/>
    <w:rsid w:val="0007408D"/>
    <w:rsid w:val="0008315D"/>
    <w:rsid w:val="00087113"/>
    <w:rsid w:val="00087B15"/>
    <w:rsid w:val="0009232C"/>
    <w:rsid w:val="000936E1"/>
    <w:rsid w:val="00093ED9"/>
    <w:rsid w:val="0009557D"/>
    <w:rsid w:val="00096014"/>
    <w:rsid w:val="00097140"/>
    <w:rsid w:val="000A27F5"/>
    <w:rsid w:val="000A2EE0"/>
    <w:rsid w:val="000A7061"/>
    <w:rsid w:val="000B05B6"/>
    <w:rsid w:val="000B21D0"/>
    <w:rsid w:val="000B34E5"/>
    <w:rsid w:val="000B361C"/>
    <w:rsid w:val="000B4FC4"/>
    <w:rsid w:val="000C0900"/>
    <w:rsid w:val="000C17AF"/>
    <w:rsid w:val="000C1AC5"/>
    <w:rsid w:val="000C24B0"/>
    <w:rsid w:val="000C3E17"/>
    <w:rsid w:val="000D0A82"/>
    <w:rsid w:val="000D4AA1"/>
    <w:rsid w:val="000D6001"/>
    <w:rsid w:val="000D6F09"/>
    <w:rsid w:val="000E42AB"/>
    <w:rsid w:val="000E58BE"/>
    <w:rsid w:val="000F5C29"/>
    <w:rsid w:val="0010228D"/>
    <w:rsid w:val="0011002F"/>
    <w:rsid w:val="00110412"/>
    <w:rsid w:val="00110E09"/>
    <w:rsid w:val="0011333E"/>
    <w:rsid w:val="00113886"/>
    <w:rsid w:val="00114B7F"/>
    <w:rsid w:val="00114BBD"/>
    <w:rsid w:val="00115E4F"/>
    <w:rsid w:val="00116D76"/>
    <w:rsid w:val="001205F2"/>
    <w:rsid w:val="0012070B"/>
    <w:rsid w:val="001217AF"/>
    <w:rsid w:val="00121A57"/>
    <w:rsid w:val="0013132F"/>
    <w:rsid w:val="00134991"/>
    <w:rsid w:val="001354F3"/>
    <w:rsid w:val="00144F16"/>
    <w:rsid w:val="0014721D"/>
    <w:rsid w:val="00151C5D"/>
    <w:rsid w:val="00152092"/>
    <w:rsid w:val="001612B9"/>
    <w:rsid w:val="00165409"/>
    <w:rsid w:val="00167CA1"/>
    <w:rsid w:val="00172EF6"/>
    <w:rsid w:val="0017446F"/>
    <w:rsid w:val="001811AF"/>
    <w:rsid w:val="00181E84"/>
    <w:rsid w:val="00182B1D"/>
    <w:rsid w:val="00187045"/>
    <w:rsid w:val="00187797"/>
    <w:rsid w:val="001A02C8"/>
    <w:rsid w:val="001A1C2A"/>
    <w:rsid w:val="001A4668"/>
    <w:rsid w:val="001A47CF"/>
    <w:rsid w:val="001A4A14"/>
    <w:rsid w:val="001A787B"/>
    <w:rsid w:val="001B2CFC"/>
    <w:rsid w:val="001B566C"/>
    <w:rsid w:val="001B781F"/>
    <w:rsid w:val="001C1C6C"/>
    <w:rsid w:val="001C39A8"/>
    <w:rsid w:val="001C6F73"/>
    <w:rsid w:val="001C7034"/>
    <w:rsid w:val="001C75D1"/>
    <w:rsid w:val="001D110F"/>
    <w:rsid w:val="001D2031"/>
    <w:rsid w:val="001D419E"/>
    <w:rsid w:val="001D4CBB"/>
    <w:rsid w:val="001D7BDE"/>
    <w:rsid w:val="001E0404"/>
    <w:rsid w:val="001E0B64"/>
    <w:rsid w:val="001E0BE2"/>
    <w:rsid w:val="001E6232"/>
    <w:rsid w:val="001F3A4E"/>
    <w:rsid w:val="001F4F4A"/>
    <w:rsid w:val="001F5D10"/>
    <w:rsid w:val="001F6AA3"/>
    <w:rsid w:val="001F7CE7"/>
    <w:rsid w:val="00203531"/>
    <w:rsid w:val="00205D75"/>
    <w:rsid w:val="00212C59"/>
    <w:rsid w:val="00214980"/>
    <w:rsid w:val="0022118D"/>
    <w:rsid w:val="0022135C"/>
    <w:rsid w:val="0022311A"/>
    <w:rsid w:val="00225B0F"/>
    <w:rsid w:val="002344BA"/>
    <w:rsid w:val="00241581"/>
    <w:rsid w:val="00246C6B"/>
    <w:rsid w:val="00247817"/>
    <w:rsid w:val="0025362F"/>
    <w:rsid w:val="00256488"/>
    <w:rsid w:val="0025682E"/>
    <w:rsid w:val="00257DB1"/>
    <w:rsid w:val="0026136E"/>
    <w:rsid w:val="002644A9"/>
    <w:rsid w:val="00264E63"/>
    <w:rsid w:val="0026664A"/>
    <w:rsid w:val="002703FF"/>
    <w:rsid w:val="00272991"/>
    <w:rsid w:val="00273EDE"/>
    <w:rsid w:val="00273F2B"/>
    <w:rsid w:val="00275BE4"/>
    <w:rsid w:val="00281B31"/>
    <w:rsid w:val="00282C16"/>
    <w:rsid w:val="00284123"/>
    <w:rsid w:val="002901D1"/>
    <w:rsid w:val="00290B13"/>
    <w:rsid w:val="002A147A"/>
    <w:rsid w:val="002A3879"/>
    <w:rsid w:val="002A52F3"/>
    <w:rsid w:val="002A7295"/>
    <w:rsid w:val="002B48E0"/>
    <w:rsid w:val="002C1750"/>
    <w:rsid w:val="002C3988"/>
    <w:rsid w:val="002C472A"/>
    <w:rsid w:val="002C6B7C"/>
    <w:rsid w:val="002D0CA4"/>
    <w:rsid w:val="002D2A62"/>
    <w:rsid w:val="002D6421"/>
    <w:rsid w:val="002D6696"/>
    <w:rsid w:val="002D6E79"/>
    <w:rsid w:val="002E2CBF"/>
    <w:rsid w:val="002E4357"/>
    <w:rsid w:val="002E5B63"/>
    <w:rsid w:val="002E6466"/>
    <w:rsid w:val="002F050E"/>
    <w:rsid w:val="00303317"/>
    <w:rsid w:val="00303D3B"/>
    <w:rsid w:val="00304859"/>
    <w:rsid w:val="00304F98"/>
    <w:rsid w:val="003050A0"/>
    <w:rsid w:val="003063BA"/>
    <w:rsid w:val="0030746B"/>
    <w:rsid w:val="0031213F"/>
    <w:rsid w:val="0031334A"/>
    <w:rsid w:val="00317BD7"/>
    <w:rsid w:val="0032098E"/>
    <w:rsid w:val="003213A1"/>
    <w:rsid w:val="00323662"/>
    <w:rsid w:val="00325F74"/>
    <w:rsid w:val="00330E45"/>
    <w:rsid w:val="00332960"/>
    <w:rsid w:val="0034097A"/>
    <w:rsid w:val="00344F79"/>
    <w:rsid w:val="003459BE"/>
    <w:rsid w:val="00345F4D"/>
    <w:rsid w:val="00346BEB"/>
    <w:rsid w:val="00350502"/>
    <w:rsid w:val="0035273A"/>
    <w:rsid w:val="0035390D"/>
    <w:rsid w:val="00353913"/>
    <w:rsid w:val="00360DB7"/>
    <w:rsid w:val="00361657"/>
    <w:rsid w:val="003624F0"/>
    <w:rsid w:val="00367991"/>
    <w:rsid w:val="003710B6"/>
    <w:rsid w:val="0037355D"/>
    <w:rsid w:val="00374358"/>
    <w:rsid w:val="00374B4E"/>
    <w:rsid w:val="00375C82"/>
    <w:rsid w:val="00380332"/>
    <w:rsid w:val="0038205E"/>
    <w:rsid w:val="00383AAD"/>
    <w:rsid w:val="00383EAA"/>
    <w:rsid w:val="00386F82"/>
    <w:rsid w:val="0038775A"/>
    <w:rsid w:val="00387858"/>
    <w:rsid w:val="00394790"/>
    <w:rsid w:val="003A1A71"/>
    <w:rsid w:val="003A46EC"/>
    <w:rsid w:val="003A6EE7"/>
    <w:rsid w:val="003B0112"/>
    <w:rsid w:val="003B123A"/>
    <w:rsid w:val="003B1273"/>
    <w:rsid w:val="003B5FFF"/>
    <w:rsid w:val="003C0B7F"/>
    <w:rsid w:val="003C476E"/>
    <w:rsid w:val="003C4906"/>
    <w:rsid w:val="003D00C1"/>
    <w:rsid w:val="003D0444"/>
    <w:rsid w:val="003D1E4F"/>
    <w:rsid w:val="003D45B7"/>
    <w:rsid w:val="003E2164"/>
    <w:rsid w:val="003E3344"/>
    <w:rsid w:val="003E7CC9"/>
    <w:rsid w:val="003F1D85"/>
    <w:rsid w:val="003F1E34"/>
    <w:rsid w:val="003F78C1"/>
    <w:rsid w:val="00400D03"/>
    <w:rsid w:val="00401592"/>
    <w:rsid w:val="004019B8"/>
    <w:rsid w:val="004024E3"/>
    <w:rsid w:val="00402795"/>
    <w:rsid w:val="004034F0"/>
    <w:rsid w:val="00403C0B"/>
    <w:rsid w:val="004109F1"/>
    <w:rsid w:val="00414EF8"/>
    <w:rsid w:val="00415E7C"/>
    <w:rsid w:val="00420097"/>
    <w:rsid w:val="004217F2"/>
    <w:rsid w:val="004302EF"/>
    <w:rsid w:val="00431135"/>
    <w:rsid w:val="0043389B"/>
    <w:rsid w:val="00433C2E"/>
    <w:rsid w:val="00435C3F"/>
    <w:rsid w:val="0043603C"/>
    <w:rsid w:val="0043690B"/>
    <w:rsid w:val="00440FF2"/>
    <w:rsid w:val="00442B0C"/>
    <w:rsid w:val="0044474A"/>
    <w:rsid w:val="0044573B"/>
    <w:rsid w:val="00445CA3"/>
    <w:rsid w:val="00447372"/>
    <w:rsid w:val="00451A7D"/>
    <w:rsid w:val="0045281D"/>
    <w:rsid w:val="004539D9"/>
    <w:rsid w:val="00457CCE"/>
    <w:rsid w:val="00461A1D"/>
    <w:rsid w:val="00461ACE"/>
    <w:rsid w:val="00461FD8"/>
    <w:rsid w:val="00462100"/>
    <w:rsid w:val="0047608E"/>
    <w:rsid w:val="00476A4B"/>
    <w:rsid w:val="004823D6"/>
    <w:rsid w:val="00491072"/>
    <w:rsid w:val="00494DBF"/>
    <w:rsid w:val="00494F2B"/>
    <w:rsid w:val="00495DB7"/>
    <w:rsid w:val="00495FCE"/>
    <w:rsid w:val="004960CD"/>
    <w:rsid w:val="00496BA4"/>
    <w:rsid w:val="004A07F5"/>
    <w:rsid w:val="004A1026"/>
    <w:rsid w:val="004A2EDB"/>
    <w:rsid w:val="004A446E"/>
    <w:rsid w:val="004B0C7E"/>
    <w:rsid w:val="004B457C"/>
    <w:rsid w:val="004B4AA5"/>
    <w:rsid w:val="004C0E0B"/>
    <w:rsid w:val="004C1E5A"/>
    <w:rsid w:val="004D017F"/>
    <w:rsid w:val="004D46B7"/>
    <w:rsid w:val="004D6675"/>
    <w:rsid w:val="004E136F"/>
    <w:rsid w:val="004F22E0"/>
    <w:rsid w:val="004F3E56"/>
    <w:rsid w:val="0050228F"/>
    <w:rsid w:val="0050377F"/>
    <w:rsid w:val="005058B2"/>
    <w:rsid w:val="005075CA"/>
    <w:rsid w:val="005102B0"/>
    <w:rsid w:val="00510BF7"/>
    <w:rsid w:val="00512FF8"/>
    <w:rsid w:val="005151AF"/>
    <w:rsid w:val="0051526E"/>
    <w:rsid w:val="00517BFF"/>
    <w:rsid w:val="005227DD"/>
    <w:rsid w:val="005310F6"/>
    <w:rsid w:val="00532CC8"/>
    <w:rsid w:val="00533A56"/>
    <w:rsid w:val="00535574"/>
    <w:rsid w:val="005407B9"/>
    <w:rsid w:val="00540C16"/>
    <w:rsid w:val="005439FB"/>
    <w:rsid w:val="00544FFD"/>
    <w:rsid w:val="00550DF3"/>
    <w:rsid w:val="00555DCE"/>
    <w:rsid w:val="00556549"/>
    <w:rsid w:val="00561128"/>
    <w:rsid w:val="005618B8"/>
    <w:rsid w:val="00563908"/>
    <w:rsid w:val="0057208B"/>
    <w:rsid w:val="00572961"/>
    <w:rsid w:val="00576FD3"/>
    <w:rsid w:val="0058435E"/>
    <w:rsid w:val="00584E59"/>
    <w:rsid w:val="00586809"/>
    <w:rsid w:val="005875D5"/>
    <w:rsid w:val="005969A9"/>
    <w:rsid w:val="00596D99"/>
    <w:rsid w:val="005A274D"/>
    <w:rsid w:val="005A3BD7"/>
    <w:rsid w:val="005A4BC4"/>
    <w:rsid w:val="005B0C7B"/>
    <w:rsid w:val="005B42C5"/>
    <w:rsid w:val="005B56DD"/>
    <w:rsid w:val="005B7646"/>
    <w:rsid w:val="005C289A"/>
    <w:rsid w:val="005C4969"/>
    <w:rsid w:val="005D30FB"/>
    <w:rsid w:val="005D7852"/>
    <w:rsid w:val="005E11ED"/>
    <w:rsid w:val="005E36F1"/>
    <w:rsid w:val="005E51AA"/>
    <w:rsid w:val="005E53E0"/>
    <w:rsid w:val="005E7522"/>
    <w:rsid w:val="005E7A23"/>
    <w:rsid w:val="005F347C"/>
    <w:rsid w:val="005F4A52"/>
    <w:rsid w:val="00601ABA"/>
    <w:rsid w:val="00602C3D"/>
    <w:rsid w:val="00607B20"/>
    <w:rsid w:val="00611384"/>
    <w:rsid w:val="00613768"/>
    <w:rsid w:val="00614973"/>
    <w:rsid w:val="00615840"/>
    <w:rsid w:val="00616ED5"/>
    <w:rsid w:val="00620B75"/>
    <w:rsid w:val="006225A8"/>
    <w:rsid w:val="0062428F"/>
    <w:rsid w:val="00625C93"/>
    <w:rsid w:val="00635C33"/>
    <w:rsid w:val="006401F2"/>
    <w:rsid w:val="006405D1"/>
    <w:rsid w:val="00640682"/>
    <w:rsid w:val="00640D5D"/>
    <w:rsid w:val="00645ED0"/>
    <w:rsid w:val="00646805"/>
    <w:rsid w:val="006559F8"/>
    <w:rsid w:val="0067326C"/>
    <w:rsid w:val="00677818"/>
    <w:rsid w:val="00681ACF"/>
    <w:rsid w:val="00681EBE"/>
    <w:rsid w:val="006824D9"/>
    <w:rsid w:val="00684017"/>
    <w:rsid w:val="00684268"/>
    <w:rsid w:val="00684EB5"/>
    <w:rsid w:val="006854C1"/>
    <w:rsid w:val="0069134F"/>
    <w:rsid w:val="00691BE6"/>
    <w:rsid w:val="00695128"/>
    <w:rsid w:val="00697877"/>
    <w:rsid w:val="006A0850"/>
    <w:rsid w:val="006A2B42"/>
    <w:rsid w:val="006A2DA7"/>
    <w:rsid w:val="006A2FAE"/>
    <w:rsid w:val="006A607E"/>
    <w:rsid w:val="006C6357"/>
    <w:rsid w:val="006C7CB6"/>
    <w:rsid w:val="006D5EA3"/>
    <w:rsid w:val="006D6C5C"/>
    <w:rsid w:val="006D6C95"/>
    <w:rsid w:val="006D7D1F"/>
    <w:rsid w:val="006E133C"/>
    <w:rsid w:val="006E6EA7"/>
    <w:rsid w:val="006E7C56"/>
    <w:rsid w:val="006F1CE9"/>
    <w:rsid w:val="006F3F6F"/>
    <w:rsid w:val="006F49AC"/>
    <w:rsid w:val="00700740"/>
    <w:rsid w:val="00700BE2"/>
    <w:rsid w:val="00701680"/>
    <w:rsid w:val="007067F6"/>
    <w:rsid w:val="00707B78"/>
    <w:rsid w:val="00710DEB"/>
    <w:rsid w:val="007131A4"/>
    <w:rsid w:val="007134EC"/>
    <w:rsid w:val="00715A85"/>
    <w:rsid w:val="00716094"/>
    <w:rsid w:val="0072071F"/>
    <w:rsid w:val="00720D99"/>
    <w:rsid w:val="00720F7C"/>
    <w:rsid w:val="007242EF"/>
    <w:rsid w:val="0072756F"/>
    <w:rsid w:val="00734F99"/>
    <w:rsid w:val="00742F79"/>
    <w:rsid w:val="00744DFE"/>
    <w:rsid w:val="007473AE"/>
    <w:rsid w:val="0075019F"/>
    <w:rsid w:val="00751A27"/>
    <w:rsid w:val="007561D2"/>
    <w:rsid w:val="00756A90"/>
    <w:rsid w:val="00761470"/>
    <w:rsid w:val="00762DC9"/>
    <w:rsid w:val="00766F0E"/>
    <w:rsid w:val="00775B40"/>
    <w:rsid w:val="0077668B"/>
    <w:rsid w:val="007815E0"/>
    <w:rsid w:val="00784BF2"/>
    <w:rsid w:val="00785574"/>
    <w:rsid w:val="00785BEA"/>
    <w:rsid w:val="0078750A"/>
    <w:rsid w:val="00791A91"/>
    <w:rsid w:val="00791DAB"/>
    <w:rsid w:val="00794DB4"/>
    <w:rsid w:val="007A01D2"/>
    <w:rsid w:val="007A080F"/>
    <w:rsid w:val="007A0C89"/>
    <w:rsid w:val="007A4390"/>
    <w:rsid w:val="007A43DD"/>
    <w:rsid w:val="007A4CF4"/>
    <w:rsid w:val="007A53D7"/>
    <w:rsid w:val="007A7EBC"/>
    <w:rsid w:val="007B3CC0"/>
    <w:rsid w:val="007B4D06"/>
    <w:rsid w:val="007B4F6B"/>
    <w:rsid w:val="007B62DA"/>
    <w:rsid w:val="007C02C1"/>
    <w:rsid w:val="007C2FDD"/>
    <w:rsid w:val="007C5B5E"/>
    <w:rsid w:val="007C7707"/>
    <w:rsid w:val="007D3D84"/>
    <w:rsid w:val="007D4480"/>
    <w:rsid w:val="007D74F4"/>
    <w:rsid w:val="007D7985"/>
    <w:rsid w:val="007E1BB1"/>
    <w:rsid w:val="007E56E3"/>
    <w:rsid w:val="007F2299"/>
    <w:rsid w:val="007F4BD5"/>
    <w:rsid w:val="007F5961"/>
    <w:rsid w:val="008003DF"/>
    <w:rsid w:val="00800550"/>
    <w:rsid w:val="00813B54"/>
    <w:rsid w:val="008157C4"/>
    <w:rsid w:val="008157FB"/>
    <w:rsid w:val="0082238A"/>
    <w:rsid w:val="008239E8"/>
    <w:rsid w:val="00823DEC"/>
    <w:rsid w:val="00830885"/>
    <w:rsid w:val="008321C2"/>
    <w:rsid w:val="00834CEE"/>
    <w:rsid w:val="00835C27"/>
    <w:rsid w:val="0083645C"/>
    <w:rsid w:val="00836BFE"/>
    <w:rsid w:val="00837E53"/>
    <w:rsid w:val="00842793"/>
    <w:rsid w:val="0084564E"/>
    <w:rsid w:val="00847982"/>
    <w:rsid w:val="00850946"/>
    <w:rsid w:val="008518CF"/>
    <w:rsid w:val="00852747"/>
    <w:rsid w:val="00852784"/>
    <w:rsid w:val="00853C40"/>
    <w:rsid w:val="00854232"/>
    <w:rsid w:val="00854C9D"/>
    <w:rsid w:val="008553EA"/>
    <w:rsid w:val="00856D22"/>
    <w:rsid w:val="008636D6"/>
    <w:rsid w:val="00864882"/>
    <w:rsid w:val="0086640A"/>
    <w:rsid w:val="00866E54"/>
    <w:rsid w:val="008734A3"/>
    <w:rsid w:val="00875108"/>
    <w:rsid w:val="0087575C"/>
    <w:rsid w:val="00876E78"/>
    <w:rsid w:val="00877152"/>
    <w:rsid w:val="00877535"/>
    <w:rsid w:val="00891886"/>
    <w:rsid w:val="00891A82"/>
    <w:rsid w:val="00892684"/>
    <w:rsid w:val="00894461"/>
    <w:rsid w:val="008A05FC"/>
    <w:rsid w:val="008A0719"/>
    <w:rsid w:val="008A0E0D"/>
    <w:rsid w:val="008A12AF"/>
    <w:rsid w:val="008A2397"/>
    <w:rsid w:val="008A27CF"/>
    <w:rsid w:val="008A287F"/>
    <w:rsid w:val="008A76BD"/>
    <w:rsid w:val="008B0C90"/>
    <w:rsid w:val="008B17FE"/>
    <w:rsid w:val="008B3C56"/>
    <w:rsid w:val="008C1013"/>
    <w:rsid w:val="008C1F5C"/>
    <w:rsid w:val="008C29E3"/>
    <w:rsid w:val="008C62A0"/>
    <w:rsid w:val="008C6B8F"/>
    <w:rsid w:val="008C7BE4"/>
    <w:rsid w:val="008D2D35"/>
    <w:rsid w:val="008D41D8"/>
    <w:rsid w:val="008D7D5B"/>
    <w:rsid w:val="008E1D06"/>
    <w:rsid w:val="008E3691"/>
    <w:rsid w:val="008E4B25"/>
    <w:rsid w:val="008F198A"/>
    <w:rsid w:val="008F52D9"/>
    <w:rsid w:val="0090047D"/>
    <w:rsid w:val="00900E2B"/>
    <w:rsid w:val="009056C1"/>
    <w:rsid w:val="0091185C"/>
    <w:rsid w:val="00915AAA"/>
    <w:rsid w:val="009237BC"/>
    <w:rsid w:val="00923991"/>
    <w:rsid w:val="0092478D"/>
    <w:rsid w:val="00925F7A"/>
    <w:rsid w:val="00926BC1"/>
    <w:rsid w:val="009306C3"/>
    <w:rsid w:val="00930926"/>
    <w:rsid w:val="0093191E"/>
    <w:rsid w:val="00932191"/>
    <w:rsid w:val="0093465D"/>
    <w:rsid w:val="009364DF"/>
    <w:rsid w:val="009410A2"/>
    <w:rsid w:val="009415A7"/>
    <w:rsid w:val="009502B6"/>
    <w:rsid w:val="00951BFE"/>
    <w:rsid w:val="00952E03"/>
    <w:rsid w:val="00957986"/>
    <w:rsid w:val="009579F0"/>
    <w:rsid w:val="00957BDD"/>
    <w:rsid w:val="00960BE2"/>
    <w:rsid w:val="00965171"/>
    <w:rsid w:val="009715EB"/>
    <w:rsid w:val="00971860"/>
    <w:rsid w:val="00972E8A"/>
    <w:rsid w:val="00974F95"/>
    <w:rsid w:val="00975AA2"/>
    <w:rsid w:val="00980DDA"/>
    <w:rsid w:val="0098140C"/>
    <w:rsid w:val="00990EFC"/>
    <w:rsid w:val="009943CE"/>
    <w:rsid w:val="00997227"/>
    <w:rsid w:val="00997AE5"/>
    <w:rsid w:val="009A398A"/>
    <w:rsid w:val="009A4D69"/>
    <w:rsid w:val="009A689E"/>
    <w:rsid w:val="009B6C5C"/>
    <w:rsid w:val="009C0B64"/>
    <w:rsid w:val="009C3964"/>
    <w:rsid w:val="009C76F0"/>
    <w:rsid w:val="009D0730"/>
    <w:rsid w:val="009D10C6"/>
    <w:rsid w:val="009D27E6"/>
    <w:rsid w:val="009D50EA"/>
    <w:rsid w:val="009D5C6F"/>
    <w:rsid w:val="009E3ECB"/>
    <w:rsid w:val="009E4721"/>
    <w:rsid w:val="009F14AD"/>
    <w:rsid w:val="009F23A4"/>
    <w:rsid w:val="009F2804"/>
    <w:rsid w:val="009F5D60"/>
    <w:rsid w:val="00A01E6C"/>
    <w:rsid w:val="00A04FDB"/>
    <w:rsid w:val="00A0579C"/>
    <w:rsid w:val="00A06751"/>
    <w:rsid w:val="00A12A37"/>
    <w:rsid w:val="00A147AF"/>
    <w:rsid w:val="00A16F5E"/>
    <w:rsid w:val="00A171A3"/>
    <w:rsid w:val="00A173A5"/>
    <w:rsid w:val="00A20765"/>
    <w:rsid w:val="00A21384"/>
    <w:rsid w:val="00A21723"/>
    <w:rsid w:val="00A22054"/>
    <w:rsid w:val="00A23849"/>
    <w:rsid w:val="00A245F4"/>
    <w:rsid w:val="00A35123"/>
    <w:rsid w:val="00A3590B"/>
    <w:rsid w:val="00A35A82"/>
    <w:rsid w:val="00A4132C"/>
    <w:rsid w:val="00A41B64"/>
    <w:rsid w:val="00A53A79"/>
    <w:rsid w:val="00A54307"/>
    <w:rsid w:val="00A555F6"/>
    <w:rsid w:val="00A56B9F"/>
    <w:rsid w:val="00A6020B"/>
    <w:rsid w:val="00A602AF"/>
    <w:rsid w:val="00A667AE"/>
    <w:rsid w:val="00A66B3C"/>
    <w:rsid w:val="00A76AF9"/>
    <w:rsid w:val="00A77178"/>
    <w:rsid w:val="00A77C30"/>
    <w:rsid w:val="00A868EC"/>
    <w:rsid w:val="00A86A49"/>
    <w:rsid w:val="00A87AE7"/>
    <w:rsid w:val="00A904C7"/>
    <w:rsid w:val="00A94A74"/>
    <w:rsid w:val="00A95152"/>
    <w:rsid w:val="00A95335"/>
    <w:rsid w:val="00A96C9F"/>
    <w:rsid w:val="00AB01B6"/>
    <w:rsid w:val="00AB0830"/>
    <w:rsid w:val="00AB1D87"/>
    <w:rsid w:val="00AB3D66"/>
    <w:rsid w:val="00AD0055"/>
    <w:rsid w:val="00AD58E8"/>
    <w:rsid w:val="00AE297A"/>
    <w:rsid w:val="00AE7801"/>
    <w:rsid w:val="00AE799B"/>
    <w:rsid w:val="00AF05EC"/>
    <w:rsid w:val="00AF19D2"/>
    <w:rsid w:val="00AF21D7"/>
    <w:rsid w:val="00AF4DCF"/>
    <w:rsid w:val="00AF6682"/>
    <w:rsid w:val="00AF7341"/>
    <w:rsid w:val="00B016CA"/>
    <w:rsid w:val="00B021A4"/>
    <w:rsid w:val="00B05104"/>
    <w:rsid w:val="00B0526B"/>
    <w:rsid w:val="00B059A2"/>
    <w:rsid w:val="00B1105D"/>
    <w:rsid w:val="00B1586D"/>
    <w:rsid w:val="00B164E9"/>
    <w:rsid w:val="00B203B1"/>
    <w:rsid w:val="00B238A3"/>
    <w:rsid w:val="00B24056"/>
    <w:rsid w:val="00B26345"/>
    <w:rsid w:val="00B31736"/>
    <w:rsid w:val="00B319F2"/>
    <w:rsid w:val="00B3303F"/>
    <w:rsid w:val="00B354CB"/>
    <w:rsid w:val="00B369E4"/>
    <w:rsid w:val="00B41209"/>
    <w:rsid w:val="00B44FB4"/>
    <w:rsid w:val="00B452F8"/>
    <w:rsid w:val="00B45723"/>
    <w:rsid w:val="00B47E15"/>
    <w:rsid w:val="00B53DF6"/>
    <w:rsid w:val="00B54379"/>
    <w:rsid w:val="00B553FA"/>
    <w:rsid w:val="00B558C9"/>
    <w:rsid w:val="00B62E3E"/>
    <w:rsid w:val="00B63726"/>
    <w:rsid w:val="00B64D9B"/>
    <w:rsid w:val="00B66C05"/>
    <w:rsid w:val="00B7074F"/>
    <w:rsid w:val="00B708DB"/>
    <w:rsid w:val="00B71504"/>
    <w:rsid w:val="00B71E98"/>
    <w:rsid w:val="00B725D1"/>
    <w:rsid w:val="00B7336B"/>
    <w:rsid w:val="00B752D1"/>
    <w:rsid w:val="00B810CC"/>
    <w:rsid w:val="00B81F61"/>
    <w:rsid w:val="00B83102"/>
    <w:rsid w:val="00B83AFA"/>
    <w:rsid w:val="00B84DD4"/>
    <w:rsid w:val="00B87318"/>
    <w:rsid w:val="00B917C2"/>
    <w:rsid w:val="00B9361C"/>
    <w:rsid w:val="00B93C16"/>
    <w:rsid w:val="00B93F08"/>
    <w:rsid w:val="00BA1B97"/>
    <w:rsid w:val="00BA468E"/>
    <w:rsid w:val="00BA7E5E"/>
    <w:rsid w:val="00BB0D94"/>
    <w:rsid w:val="00BB3E31"/>
    <w:rsid w:val="00BB4D5B"/>
    <w:rsid w:val="00BB60DC"/>
    <w:rsid w:val="00BB6395"/>
    <w:rsid w:val="00BC0B38"/>
    <w:rsid w:val="00BC7BCB"/>
    <w:rsid w:val="00BE0538"/>
    <w:rsid w:val="00BE170A"/>
    <w:rsid w:val="00BE6011"/>
    <w:rsid w:val="00BE67D5"/>
    <w:rsid w:val="00BF04F1"/>
    <w:rsid w:val="00BF3B2C"/>
    <w:rsid w:val="00BF6445"/>
    <w:rsid w:val="00C062C7"/>
    <w:rsid w:val="00C0671C"/>
    <w:rsid w:val="00C1046F"/>
    <w:rsid w:val="00C14503"/>
    <w:rsid w:val="00C21554"/>
    <w:rsid w:val="00C21A49"/>
    <w:rsid w:val="00C2399B"/>
    <w:rsid w:val="00C23CDE"/>
    <w:rsid w:val="00C24F3A"/>
    <w:rsid w:val="00C26BAF"/>
    <w:rsid w:val="00C30113"/>
    <w:rsid w:val="00C30CC8"/>
    <w:rsid w:val="00C32038"/>
    <w:rsid w:val="00C3215D"/>
    <w:rsid w:val="00C32E1F"/>
    <w:rsid w:val="00C331B9"/>
    <w:rsid w:val="00C45DF2"/>
    <w:rsid w:val="00C46012"/>
    <w:rsid w:val="00C46138"/>
    <w:rsid w:val="00C51A5A"/>
    <w:rsid w:val="00C51CA2"/>
    <w:rsid w:val="00C52B4C"/>
    <w:rsid w:val="00C5592F"/>
    <w:rsid w:val="00C60DF7"/>
    <w:rsid w:val="00C624DE"/>
    <w:rsid w:val="00C70E2B"/>
    <w:rsid w:val="00C76EF4"/>
    <w:rsid w:val="00C7768A"/>
    <w:rsid w:val="00C824CA"/>
    <w:rsid w:val="00C84B9C"/>
    <w:rsid w:val="00C85C4C"/>
    <w:rsid w:val="00C932A5"/>
    <w:rsid w:val="00C94773"/>
    <w:rsid w:val="00C975F2"/>
    <w:rsid w:val="00CA53AF"/>
    <w:rsid w:val="00CA58CB"/>
    <w:rsid w:val="00CB64F6"/>
    <w:rsid w:val="00CB6D59"/>
    <w:rsid w:val="00CC1773"/>
    <w:rsid w:val="00CC65A9"/>
    <w:rsid w:val="00CC753D"/>
    <w:rsid w:val="00CD1051"/>
    <w:rsid w:val="00CD13D2"/>
    <w:rsid w:val="00CD2CB6"/>
    <w:rsid w:val="00CE1A6D"/>
    <w:rsid w:val="00CE484C"/>
    <w:rsid w:val="00CF2B0B"/>
    <w:rsid w:val="00CF31E9"/>
    <w:rsid w:val="00CF4A25"/>
    <w:rsid w:val="00CF6BBE"/>
    <w:rsid w:val="00D0273E"/>
    <w:rsid w:val="00D03086"/>
    <w:rsid w:val="00D034C6"/>
    <w:rsid w:val="00D03F74"/>
    <w:rsid w:val="00D05926"/>
    <w:rsid w:val="00D05BCC"/>
    <w:rsid w:val="00D072A1"/>
    <w:rsid w:val="00D1294D"/>
    <w:rsid w:val="00D13C09"/>
    <w:rsid w:val="00D1546E"/>
    <w:rsid w:val="00D1676F"/>
    <w:rsid w:val="00D17848"/>
    <w:rsid w:val="00D17D17"/>
    <w:rsid w:val="00D21580"/>
    <w:rsid w:val="00D219F0"/>
    <w:rsid w:val="00D21D09"/>
    <w:rsid w:val="00D22301"/>
    <w:rsid w:val="00D24267"/>
    <w:rsid w:val="00D26B35"/>
    <w:rsid w:val="00D27D5E"/>
    <w:rsid w:val="00D365EE"/>
    <w:rsid w:val="00D508BC"/>
    <w:rsid w:val="00D51978"/>
    <w:rsid w:val="00D53996"/>
    <w:rsid w:val="00D54020"/>
    <w:rsid w:val="00D5417F"/>
    <w:rsid w:val="00D62E42"/>
    <w:rsid w:val="00D64DDF"/>
    <w:rsid w:val="00D664BE"/>
    <w:rsid w:val="00D67198"/>
    <w:rsid w:val="00D67A4E"/>
    <w:rsid w:val="00D70F0F"/>
    <w:rsid w:val="00D70FE7"/>
    <w:rsid w:val="00D71B7F"/>
    <w:rsid w:val="00D73A10"/>
    <w:rsid w:val="00D754A9"/>
    <w:rsid w:val="00D759DB"/>
    <w:rsid w:val="00D762CD"/>
    <w:rsid w:val="00D84610"/>
    <w:rsid w:val="00D86460"/>
    <w:rsid w:val="00D91219"/>
    <w:rsid w:val="00D92367"/>
    <w:rsid w:val="00D94E2D"/>
    <w:rsid w:val="00DA0DC4"/>
    <w:rsid w:val="00DA4E77"/>
    <w:rsid w:val="00DB0A10"/>
    <w:rsid w:val="00DB2567"/>
    <w:rsid w:val="00DB5E0B"/>
    <w:rsid w:val="00DB6845"/>
    <w:rsid w:val="00DC0C66"/>
    <w:rsid w:val="00DC48FF"/>
    <w:rsid w:val="00DC6292"/>
    <w:rsid w:val="00DD2972"/>
    <w:rsid w:val="00DD2EB9"/>
    <w:rsid w:val="00DD4222"/>
    <w:rsid w:val="00DE02FE"/>
    <w:rsid w:val="00DE0554"/>
    <w:rsid w:val="00DE18E2"/>
    <w:rsid w:val="00DE2E4A"/>
    <w:rsid w:val="00DE3B94"/>
    <w:rsid w:val="00DE7F24"/>
    <w:rsid w:val="00DF2191"/>
    <w:rsid w:val="00DF39C9"/>
    <w:rsid w:val="00DF5EDE"/>
    <w:rsid w:val="00DF654D"/>
    <w:rsid w:val="00E036EA"/>
    <w:rsid w:val="00E10D5F"/>
    <w:rsid w:val="00E225ED"/>
    <w:rsid w:val="00E23538"/>
    <w:rsid w:val="00E25D04"/>
    <w:rsid w:val="00E26DFC"/>
    <w:rsid w:val="00E3088A"/>
    <w:rsid w:val="00E33F96"/>
    <w:rsid w:val="00E375DA"/>
    <w:rsid w:val="00E37D60"/>
    <w:rsid w:val="00E40A42"/>
    <w:rsid w:val="00E4456E"/>
    <w:rsid w:val="00E45667"/>
    <w:rsid w:val="00E45DA2"/>
    <w:rsid w:val="00E5149F"/>
    <w:rsid w:val="00E53023"/>
    <w:rsid w:val="00E534ED"/>
    <w:rsid w:val="00E60A88"/>
    <w:rsid w:val="00E61A0A"/>
    <w:rsid w:val="00E67370"/>
    <w:rsid w:val="00E72F50"/>
    <w:rsid w:val="00E7327E"/>
    <w:rsid w:val="00E75AA4"/>
    <w:rsid w:val="00E778C3"/>
    <w:rsid w:val="00E817C8"/>
    <w:rsid w:val="00E81AC3"/>
    <w:rsid w:val="00E91DC4"/>
    <w:rsid w:val="00E92BE6"/>
    <w:rsid w:val="00E933E7"/>
    <w:rsid w:val="00E95240"/>
    <w:rsid w:val="00E963AE"/>
    <w:rsid w:val="00E96D4A"/>
    <w:rsid w:val="00E97EDF"/>
    <w:rsid w:val="00EA1B14"/>
    <w:rsid w:val="00EA2790"/>
    <w:rsid w:val="00EA4F9F"/>
    <w:rsid w:val="00EA7DBD"/>
    <w:rsid w:val="00EB680B"/>
    <w:rsid w:val="00EB7E28"/>
    <w:rsid w:val="00EC2E9E"/>
    <w:rsid w:val="00EC38DD"/>
    <w:rsid w:val="00EC519A"/>
    <w:rsid w:val="00EC7119"/>
    <w:rsid w:val="00ED1A20"/>
    <w:rsid w:val="00ED39F9"/>
    <w:rsid w:val="00ED3D3B"/>
    <w:rsid w:val="00ED7AE9"/>
    <w:rsid w:val="00EE069B"/>
    <w:rsid w:val="00EE220B"/>
    <w:rsid w:val="00EE3B49"/>
    <w:rsid w:val="00EE5051"/>
    <w:rsid w:val="00EE6F5F"/>
    <w:rsid w:val="00EE7C4F"/>
    <w:rsid w:val="00EE7E92"/>
    <w:rsid w:val="00EF6ED0"/>
    <w:rsid w:val="00EF746E"/>
    <w:rsid w:val="00F017BB"/>
    <w:rsid w:val="00F01CC6"/>
    <w:rsid w:val="00F044F8"/>
    <w:rsid w:val="00F17574"/>
    <w:rsid w:val="00F20900"/>
    <w:rsid w:val="00F25279"/>
    <w:rsid w:val="00F254B4"/>
    <w:rsid w:val="00F25F2C"/>
    <w:rsid w:val="00F42532"/>
    <w:rsid w:val="00F503D9"/>
    <w:rsid w:val="00F50D39"/>
    <w:rsid w:val="00F50E8F"/>
    <w:rsid w:val="00F572B8"/>
    <w:rsid w:val="00F57640"/>
    <w:rsid w:val="00F5775B"/>
    <w:rsid w:val="00F60B1F"/>
    <w:rsid w:val="00F6214E"/>
    <w:rsid w:val="00F62813"/>
    <w:rsid w:val="00F63111"/>
    <w:rsid w:val="00F63779"/>
    <w:rsid w:val="00F66B73"/>
    <w:rsid w:val="00F67DAB"/>
    <w:rsid w:val="00F70BC5"/>
    <w:rsid w:val="00F7441C"/>
    <w:rsid w:val="00F751A2"/>
    <w:rsid w:val="00F75681"/>
    <w:rsid w:val="00F761B9"/>
    <w:rsid w:val="00F80DA7"/>
    <w:rsid w:val="00F82937"/>
    <w:rsid w:val="00F844A7"/>
    <w:rsid w:val="00F84F3C"/>
    <w:rsid w:val="00F85AB3"/>
    <w:rsid w:val="00F86C56"/>
    <w:rsid w:val="00F915B1"/>
    <w:rsid w:val="00F91CEB"/>
    <w:rsid w:val="00F91EB7"/>
    <w:rsid w:val="00F93C41"/>
    <w:rsid w:val="00F9767F"/>
    <w:rsid w:val="00FA4280"/>
    <w:rsid w:val="00FA48A8"/>
    <w:rsid w:val="00FA582E"/>
    <w:rsid w:val="00FA6392"/>
    <w:rsid w:val="00FB0335"/>
    <w:rsid w:val="00FB38E9"/>
    <w:rsid w:val="00FB5C34"/>
    <w:rsid w:val="00FC21CD"/>
    <w:rsid w:val="00FC4AC3"/>
    <w:rsid w:val="00FC756E"/>
    <w:rsid w:val="00FC76F6"/>
    <w:rsid w:val="00FC7E50"/>
    <w:rsid w:val="00FD2F09"/>
    <w:rsid w:val="00FD3839"/>
    <w:rsid w:val="00FD4A68"/>
    <w:rsid w:val="00FD6B6E"/>
    <w:rsid w:val="00FD7153"/>
    <w:rsid w:val="00FE1185"/>
    <w:rsid w:val="00FE4292"/>
    <w:rsid w:val="00FE552C"/>
    <w:rsid w:val="00FE6452"/>
    <w:rsid w:val="00FF1300"/>
    <w:rsid w:val="00FF1F71"/>
    <w:rsid w:val="00FF3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DF26A"/>
  <w15:chartTrackingRefBased/>
  <w15:docId w15:val="{CE5E54CB-0FC5-4F2D-A152-D5A772F42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5D04"/>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5D04"/>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25D04"/>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25D04"/>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25D04"/>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25D04"/>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25D04"/>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25D04"/>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25D04"/>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25D0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D0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25D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25D0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25D0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25D0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25D0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25D0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25D0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25D0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25D04"/>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E25D04"/>
    <w:pPr>
      <w:numPr>
        <w:numId w:val="0"/>
      </w:numPr>
      <w:outlineLvl w:val="9"/>
    </w:pPr>
    <w:rPr>
      <w:lang w:val="en-US"/>
    </w:rPr>
  </w:style>
  <w:style w:type="paragraph" w:styleId="TOC1">
    <w:name w:val="toc 1"/>
    <w:basedOn w:val="Normal"/>
    <w:next w:val="Normal"/>
    <w:autoRedefine/>
    <w:uiPriority w:val="39"/>
    <w:unhideWhenUsed/>
    <w:rsid w:val="00E25D04"/>
    <w:pPr>
      <w:spacing w:after="100"/>
    </w:pPr>
  </w:style>
  <w:style w:type="paragraph" w:styleId="TOC2">
    <w:name w:val="toc 2"/>
    <w:basedOn w:val="Normal"/>
    <w:next w:val="Normal"/>
    <w:autoRedefine/>
    <w:uiPriority w:val="39"/>
    <w:unhideWhenUsed/>
    <w:rsid w:val="00E25D04"/>
    <w:pPr>
      <w:spacing w:after="100"/>
      <w:ind w:left="220"/>
    </w:pPr>
  </w:style>
  <w:style w:type="character" w:styleId="Hyperlink">
    <w:name w:val="Hyperlink"/>
    <w:basedOn w:val="DefaultParagraphFont"/>
    <w:uiPriority w:val="99"/>
    <w:unhideWhenUsed/>
    <w:rsid w:val="00E25D04"/>
    <w:rPr>
      <w:color w:val="0563C1" w:themeColor="hyperlink"/>
      <w:u w:val="single"/>
    </w:rPr>
  </w:style>
  <w:style w:type="paragraph" w:styleId="TOC3">
    <w:name w:val="toc 3"/>
    <w:basedOn w:val="Normal"/>
    <w:next w:val="Normal"/>
    <w:autoRedefine/>
    <w:uiPriority w:val="39"/>
    <w:unhideWhenUsed/>
    <w:rsid w:val="00E25D04"/>
    <w:pPr>
      <w:spacing w:after="100"/>
      <w:ind w:left="440"/>
    </w:pPr>
  </w:style>
  <w:style w:type="paragraph" w:styleId="Caption">
    <w:name w:val="caption"/>
    <w:basedOn w:val="Normal"/>
    <w:next w:val="Normal"/>
    <w:uiPriority w:val="35"/>
    <w:unhideWhenUsed/>
    <w:qFormat/>
    <w:rsid w:val="00E25D0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25D04"/>
    <w:pPr>
      <w:spacing w:after="0"/>
    </w:pPr>
  </w:style>
  <w:style w:type="table" w:styleId="TableGrid">
    <w:name w:val="Table Grid"/>
    <w:basedOn w:val="TableNormal"/>
    <w:uiPriority w:val="39"/>
    <w:rsid w:val="00E25D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5D04"/>
    <w:pPr>
      <w:ind w:left="720"/>
      <w:contextualSpacing/>
    </w:pPr>
  </w:style>
  <w:style w:type="paragraph" w:styleId="Header">
    <w:name w:val="header"/>
    <w:basedOn w:val="Normal"/>
    <w:link w:val="HeaderChar"/>
    <w:uiPriority w:val="99"/>
    <w:unhideWhenUsed/>
    <w:rsid w:val="00B263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345"/>
  </w:style>
  <w:style w:type="paragraph" w:styleId="Footer">
    <w:name w:val="footer"/>
    <w:basedOn w:val="Normal"/>
    <w:link w:val="FooterChar"/>
    <w:uiPriority w:val="99"/>
    <w:unhideWhenUsed/>
    <w:rsid w:val="00B263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345"/>
  </w:style>
  <w:style w:type="paragraph" w:styleId="NormalWeb">
    <w:name w:val="Normal (Web)"/>
    <w:basedOn w:val="Normal"/>
    <w:uiPriority w:val="99"/>
    <w:semiHidden/>
    <w:unhideWhenUsed/>
    <w:rsid w:val="004C0E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81B31"/>
    <w:rPr>
      <w:color w:val="605E5C"/>
      <w:shd w:val="clear" w:color="auto" w:fill="E1DFDD"/>
    </w:rPr>
  </w:style>
  <w:style w:type="character" w:styleId="FollowedHyperlink">
    <w:name w:val="FollowedHyperlink"/>
    <w:basedOn w:val="DefaultParagraphFont"/>
    <w:uiPriority w:val="99"/>
    <w:semiHidden/>
    <w:unhideWhenUsed/>
    <w:rsid w:val="00F50D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86503">
      <w:bodyDiv w:val="1"/>
      <w:marLeft w:val="0"/>
      <w:marRight w:val="0"/>
      <w:marTop w:val="0"/>
      <w:marBottom w:val="0"/>
      <w:divBdr>
        <w:top w:val="none" w:sz="0" w:space="0" w:color="auto"/>
        <w:left w:val="none" w:sz="0" w:space="0" w:color="auto"/>
        <w:bottom w:val="none" w:sz="0" w:space="0" w:color="auto"/>
        <w:right w:val="none" w:sz="0" w:space="0" w:color="auto"/>
      </w:divBdr>
      <w:divsChild>
        <w:div w:id="750271705">
          <w:marLeft w:val="0"/>
          <w:marRight w:val="720"/>
          <w:marTop w:val="0"/>
          <w:marBottom w:val="0"/>
          <w:divBdr>
            <w:top w:val="none" w:sz="0" w:space="0" w:color="auto"/>
            <w:left w:val="none" w:sz="0" w:space="0" w:color="auto"/>
            <w:bottom w:val="none" w:sz="0" w:space="0" w:color="auto"/>
            <w:right w:val="none" w:sz="0" w:space="0" w:color="auto"/>
          </w:divBdr>
        </w:div>
        <w:div w:id="1567448588">
          <w:marLeft w:val="0"/>
          <w:marRight w:val="0"/>
          <w:marTop w:val="0"/>
          <w:marBottom w:val="0"/>
          <w:divBdr>
            <w:top w:val="none" w:sz="0" w:space="0" w:color="auto"/>
            <w:left w:val="none" w:sz="0" w:space="0" w:color="auto"/>
            <w:bottom w:val="none" w:sz="0" w:space="0" w:color="auto"/>
            <w:right w:val="none" w:sz="0" w:space="0" w:color="auto"/>
          </w:divBdr>
        </w:div>
      </w:divsChild>
    </w:div>
    <w:div w:id="205723390">
      <w:bodyDiv w:val="1"/>
      <w:marLeft w:val="0"/>
      <w:marRight w:val="0"/>
      <w:marTop w:val="0"/>
      <w:marBottom w:val="0"/>
      <w:divBdr>
        <w:top w:val="none" w:sz="0" w:space="0" w:color="auto"/>
        <w:left w:val="none" w:sz="0" w:space="0" w:color="auto"/>
        <w:bottom w:val="none" w:sz="0" w:space="0" w:color="auto"/>
        <w:right w:val="none" w:sz="0" w:space="0" w:color="auto"/>
      </w:divBdr>
      <w:divsChild>
        <w:div w:id="1231966353">
          <w:marLeft w:val="0"/>
          <w:marRight w:val="720"/>
          <w:marTop w:val="0"/>
          <w:marBottom w:val="0"/>
          <w:divBdr>
            <w:top w:val="none" w:sz="0" w:space="0" w:color="auto"/>
            <w:left w:val="none" w:sz="0" w:space="0" w:color="auto"/>
            <w:bottom w:val="none" w:sz="0" w:space="0" w:color="auto"/>
            <w:right w:val="none" w:sz="0" w:space="0" w:color="auto"/>
          </w:divBdr>
        </w:div>
        <w:div w:id="1955558925">
          <w:marLeft w:val="0"/>
          <w:marRight w:val="0"/>
          <w:marTop w:val="0"/>
          <w:marBottom w:val="0"/>
          <w:divBdr>
            <w:top w:val="none" w:sz="0" w:space="0" w:color="auto"/>
            <w:left w:val="none" w:sz="0" w:space="0" w:color="auto"/>
            <w:bottom w:val="none" w:sz="0" w:space="0" w:color="auto"/>
            <w:right w:val="none" w:sz="0" w:space="0" w:color="auto"/>
          </w:divBdr>
        </w:div>
      </w:divsChild>
    </w:div>
    <w:div w:id="222370551">
      <w:bodyDiv w:val="1"/>
      <w:marLeft w:val="0"/>
      <w:marRight w:val="0"/>
      <w:marTop w:val="0"/>
      <w:marBottom w:val="0"/>
      <w:divBdr>
        <w:top w:val="none" w:sz="0" w:space="0" w:color="auto"/>
        <w:left w:val="none" w:sz="0" w:space="0" w:color="auto"/>
        <w:bottom w:val="none" w:sz="0" w:space="0" w:color="auto"/>
        <w:right w:val="none" w:sz="0" w:space="0" w:color="auto"/>
      </w:divBdr>
      <w:divsChild>
        <w:div w:id="2106804532">
          <w:marLeft w:val="0"/>
          <w:marRight w:val="720"/>
          <w:marTop w:val="0"/>
          <w:marBottom w:val="0"/>
          <w:divBdr>
            <w:top w:val="none" w:sz="0" w:space="0" w:color="auto"/>
            <w:left w:val="none" w:sz="0" w:space="0" w:color="auto"/>
            <w:bottom w:val="none" w:sz="0" w:space="0" w:color="auto"/>
            <w:right w:val="none" w:sz="0" w:space="0" w:color="auto"/>
          </w:divBdr>
        </w:div>
        <w:div w:id="1600140465">
          <w:marLeft w:val="0"/>
          <w:marRight w:val="0"/>
          <w:marTop w:val="0"/>
          <w:marBottom w:val="0"/>
          <w:divBdr>
            <w:top w:val="none" w:sz="0" w:space="0" w:color="auto"/>
            <w:left w:val="none" w:sz="0" w:space="0" w:color="auto"/>
            <w:bottom w:val="none" w:sz="0" w:space="0" w:color="auto"/>
            <w:right w:val="none" w:sz="0" w:space="0" w:color="auto"/>
          </w:divBdr>
        </w:div>
      </w:divsChild>
    </w:div>
    <w:div w:id="225846961">
      <w:bodyDiv w:val="1"/>
      <w:marLeft w:val="0"/>
      <w:marRight w:val="0"/>
      <w:marTop w:val="0"/>
      <w:marBottom w:val="0"/>
      <w:divBdr>
        <w:top w:val="none" w:sz="0" w:space="0" w:color="auto"/>
        <w:left w:val="none" w:sz="0" w:space="0" w:color="auto"/>
        <w:bottom w:val="none" w:sz="0" w:space="0" w:color="auto"/>
        <w:right w:val="none" w:sz="0" w:space="0" w:color="auto"/>
      </w:divBdr>
      <w:divsChild>
        <w:div w:id="104934824">
          <w:marLeft w:val="0"/>
          <w:marRight w:val="720"/>
          <w:marTop w:val="0"/>
          <w:marBottom w:val="0"/>
          <w:divBdr>
            <w:top w:val="none" w:sz="0" w:space="0" w:color="auto"/>
            <w:left w:val="none" w:sz="0" w:space="0" w:color="auto"/>
            <w:bottom w:val="none" w:sz="0" w:space="0" w:color="auto"/>
            <w:right w:val="none" w:sz="0" w:space="0" w:color="auto"/>
          </w:divBdr>
        </w:div>
        <w:div w:id="512577775">
          <w:marLeft w:val="0"/>
          <w:marRight w:val="0"/>
          <w:marTop w:val="0"/>
          <w:marBottom w:val="0"/>
          <w:divBdr>
            <w:top w:val="none" w:sz="0" w:space="0" w:color="auto"/>
            <w:left w:val="none" w:sz="0" w:space="0" w:color="auto"/>
            <w:bottom w:val="none" w:sz="0" w:space="0" w:color="auto"/>
            <w:right w:val="none" w:sz="0" w:space="0" w:color="auto"/>
          </w:divBdr>
        </w:div>
      </w:divsChild>
    </w:div>
    <w:div w:id="276790526">
      <w:bodyDiv w:val="1"/>
      <w:marLeft w:val="0"/>
      <w:marRight w:val="0"/>
      <w:marTop w:val="0"/>
      <w:marBottom w:val="0"/>
      <w:divBdr>
        <w:top w:val="none" w:sz="0" w:space="0" w:color="auto"/>
        <w:left w:val="none" w:sz="0" w:space="0" w:color="auto"/>
        <w:bottom w:val="none" w:sz="0" w:space="0" w:color="auto"/>
        <w:right w:val="none" w:sz="0" w:space="0" w:color="auto"/>
      </w:divBdr>
      <w:divsChild>
        <w:div w:id="914128037">
          <w:marLeft w:val="0"/>
          <w:marRight w:val="720"/>
          <w:marTop w:val="0"/>
          <w:marBottom w:val="0"/>
          <w:divBdr>
            <w:top w:val="none" w:sz="0" w:space="0" w:color="auto"/>
            <w:left w:val="none" w:sz="0" w:space="0" w:color="auto"/>
            <w:bottom w:val="none" w:sz="0" w:space="0" w:color="auto"/>
            <w:right w:val="none" w:sz="0" w:space="0" w:color="auto"/>
          </w:divBdr>
        </w:div>
        <w:div w:id="7953932">
          <w:marLeft w:val="0"/>
          <w:marRight w:val="0"/>
          <w:marTop w:val="0"/>
          <w:marBottom w:val="0"/>
          <w:divBdr>
            <w:top w:val="none" w:sz="0" w:space="0" w:color="auto"/>
            <w:left w:val="none" w:sz="0" w:space="0" w:color="auto"/>
            <w:bottom w:val="none" w:sz="0" w:space="0" w:color="auto"/>
            <w:right w:val="none" w:sz="0" w:space="0" w:color="auto"/>
          </w:divBdr>
        </w:div>
      </w:divsChild>
    </w:div>
    <w:div w:id="316230182">
      <w:bodyDiv w:val="1"/>
      <w:marLeft w:val="0"/>
      <w:marRight w:val="0"/>
      <w:marTop w:val="0"/>
      <w:marBottom w:val="0"/>
      <w:divBdr>
        <w:top w:val="none" w:sz="0" w:space="0" w:color="auto"/>
        <w:left w:val="none" w:sz="0" w:space="0" w:color="auto"/>
        <w:bottom w:val="none" w:sz="0" w:space="0" w:color="auto"/>
        <w:right w:val="none" w:sz="0" w:space="0" w:color="auto"/>
      </w:divBdr>
      <w:divsChild>
        <w:div w:id="54596598">
          <w:marLeft w:val="0"/>
          <w:marRight w:val="720"/>
          <w:marTop w:val="0"/>
          <w:marBottom w:val="0"/>
          <w:divBdr>
            <w:top w:val="none" w:sz="0" w:space="0" w:color="auto"/>
            <w:left w:val="none" w:sz="0" w:space="0" w:color="auto"/>
            <w:bottom w:val="none" w:sz="0" w:space="0" w:color="auto"/>
            <w:right w:val="none" w:sz="0" w:space="0" w:color="auto"/>
          </w:divBdr>
        </w:div>
        <w:div w:id="1306937029">
          <w:marLeft w:val="0"/>
          <w:marRight w:val="0"/>
          <w:marTop w:val="0"/>
          <w:marBottom w:val="0"/>
          <w:divBdr>
            <w:top w:val="none" w:sz="0" w:space="0" w:color="auto"/>
            <w:left w:val="none" w:sz="0" w:space="0" w:color="auto"/>
            <w:bottom w:val="none" w:sz="0" w:space="0" w:color="auto"/>
            <w:right w:val="none" w:sz="0" w:space="0" w:color="auto"/>
          </w:divBdr>
        </w:div>
      </w:divsChild>
    </w:div>
    <w:div w:id="452361908">
      <w:bodyDiv w:val="1"/>
      <w:marLeft w:val="0"/>
      <w:marRight w:val="0"/>
      <w:marTop w:val="0"/>
      <w:marBottom w:val="0"/>
      <w:divBdr>
        <w:top w:val="none" w:sz="0" w:space="0" w:color="auto"/>
        <w:left w:val="none" w:sz="0" w:space="0" w:color="auto"/>
        <w:bottom w:val="none" w:sz="0" w:space="0" w:color="auto"/>
        <w:right w:val="none" w:sz="0" w:space="0" w:color="auto"/>
      </w:divBdr>
      <w:divsChild>
        <w:div w:id="1248226505">
          <w:marLeft w:val="0"/>
          <w:marRight w:val="720"/>
          <w:marTop w:val="0"/>
          <w:marBottom w:val="0"/>
          <w:divBdr>
            <w:top w:val="none" w:sz="0" w:space="0" w:color="auto"/>
            <w:left w:val="none" w:sz="0" w:space="0" w:color="auto"/>
            <w:bottom w:val="none" w:sz="0" w:space="0" w:color="auto"/>
            <w:right w:val="none" w:sz="0" w:space="0" w:color="auto"/>
          </w:divBdr>
        </w:div>
        <w:div w:id="213129292">
          <w:marLeft w:val="0"/>
          <w:marRight w:val="0"/>
          <w:marTop w:val="0"/>
          <w:marBottom w:val="0"/>
          <w:divBdr>
            <w:top w:val="none" w:sz="0" w:space="0" w:color="auto"/>
            <w:left w:val="none" w:sz="0" w:space="0" w:color="auto"/>
            <w:bottom w:val="none" w:sz="0" w:space="0" w:color="auto"/>
            <w:right w:val="none" w:sz="0" w:space="0" w:color="auto"/>
          </w:divBdr>
        </w:div>
      </w:divsChild>
    </w:div>
    <w:div w:id="488441516">
      <w:bodyDiv w:val="1"/>
      <w:marLeft w:val="0"/>
      <w:marRight w:val="0"/>
      <w:marTop w:val="0"/>
      <w:marBottom w:val="0"/>
      <w:divBdr>
        <w:top w:val="none" w:sz="0" w:space="0" w:color="auto"/>
        <w:left w:val="none" w:sz="0" w:space="0" w:color="auto"/>
        <w:bottom w:val="none" w:sz="0" w:space="0" w:color="auto"/>
        <w:right w:val="none" w:sz="0" w:space="0" w:color="auto"/>
      </w:divBdr>
      <w:divsChild>
        <w:div w:id="324014113">
          <w:marLeft w:val="0"/>
          <w:marRight w:val="720"/>
          <w:marTop w:val="0"/>
          <w:marBottom w:val="0"/>
          <w:divBdr>
            <w:top w:val="none" w:sz="0" w:space="0" w:color="auto"/>
            <w:left w:val="none" w:sz="0" w:space="0" w:color="auto"/>
            <w:bottom w:val="none" w:sz="0" w:space="0" w:color="auto"/>
            <w:right w:val="none" w:sz="0" w:space="0" w:color="auto"/>
          </w:divBdr>
        </w:div>
        <w:div w:id="1402174810">
          <w:marLeft w:val="0"/>
          <w:marRight w:val="0"/>
          <w:marTop w:val="0"/>
          <w:marBottom w:val="0"/>
          <w:divBdr>
            <w:top w:val="none" w:sz="0" w:space="0" w:color="auto"/>
            <w:left w:val="none" w:sz="0" w:space="0" w:color="auto"/>
            <w:bottom w:val="none" w:sz="0" w:space="0" w:color="auto"/>
            <w:right w:val="none" w:sz="0" w:space="0" w:color="auto"/>
          </w:divBdr>
        </w:div>
      </w:divsChild>
    </w:div>
    <w:div w:id="495077552">
      <w:bodyDiv w:val="1"/>
      <w:marLeft w:val="0"/>
      <w:marRight w:val="0"/>
      <w:marTop w:val="0"/>
      <w:marBottom w:val="0"/>
      <w:divBdr>
        <w:top w:val="none" w:sz="0" w:space="0" w:color="auto"/>
        <w:left w:val="none" w:sz="0" w:space="0" w:color="auto"/>
        <w:bottom w:val="none" w:sz="0" w:space="0" w:color="auto"/>
        <w:right w:val="none" w:sz="0" w:space="0" w:color="auto"/>
      </w:divBdr>
      <w:divsChild>
        <w:div w:id="1946381960">
          <w:marLeft w:val="0"/>
          <w:marRight w:val="720"/>
          <w:marTop w:val="0"/>
          <w:marBottom w:val="0"/>
          <w:divBdr>
            <w:top w:val="none" w:sz="0" w:space="0" w:color="auto"/>
            <w:left w:val="none" w:sz="0" w:space="0" w:color="auto"/>
            <w:bottom w:val="none" w:sz="0" w:space="0" w:color="auto"/>
            <w:right w:val="none" w:sz="0" w:space="0" w:color="auto"/>
          </w:divBdr>
        </w:div>
        <w:div w:id="2130279133">
          <w:marLeft w:val="0"/>
          <w:marRight w:val="0"/>
          <w:marTop w:val="0"/>
          <w:marBottom w:val="0"/>
          <w:divBdr>
            <w:top w:val="none" w:sz="0" w:space="0" w:color="auto"/>
            <w:left w:val="none" w:sz="0" w:space="0" w:color="auto"/>
            <w:bottom w:val="none" w:sz="0" w:space="0" w:color="auto"/>
            <w:right w:val="none" w:sz="0" w:space="0" w:color="auto"/>
          </w:divBdr>
        </w:div>
      </w:divsChild>
    </w:div>
    <w:div w:id="537134071">
      <w:bodyDiv w:val="1"/>
      <w:marLeft w:val="0"/>
      <w:marRight w:val="0"/>
      <w:marTop w:val="0"/>
      <w:marBottom w:val="0"/>
      <w:divBdr>
        <w:top w:val="none" w:sz="0" w:space="0" w:color="auto"/>
        <w:left w:val="none" w:sz="0" w:space="0" w:color="auto"/>
        <w:bottom w:val="none" w:sz="0" w:space="0" w:color="auto"/>
        <w:right w:val="none" w:sz="0" w:space="0" w:color="auto"/>
      </w:divBdr>
      <w:divsChild>
        <w:div w:id="144468170">
          <w:marLeft w:val="0"/>
          <w:marRight w:val="720"/>
          <w:marTop w:val="0"/>
          <w:marBottom w:val="0"/>
          <w:divBdr>
            <w:top w:val="none" w:sz="0" w:space="0" w:color="auto"/>
            <w:left w:val="none" w:sz="0" w:space="0" w:color="auto"/>
            <w:bottom w:val="none" w:sz="0" w:space="0" w:color="auto"/>
            <w:right w:val="none" w:sz="0" w:space="0" w:color="auto"/>
          </w:divBdr>
        </w:div>
        <w:div w:id="949236937">
          <w:marLeft w:val="0"/>
          <w:marRight w:val="0"/>
          <w:marTop w:val="0"/>
          <w:marBottom w:val="0"/>
          <w:divBdr>
            <w:top w:val="none" w:sz="0" w:space="0" w:color="auto"/>
            <w:left w:val="none" w:sz="0" w:space="0" w:color="auto"/>
            <w:bottom w:val="none" w:sz="0" w:space="0" w:color="auto"/>
            <w:right w:val="none" w:sz="0" w:space="0" w:color="auto"/>
          </w:divBdr>
        </w:div>
      </w:divsChild>
    </w:div>
    <w:div w:id="579293087">
      <w:bodyDiv w:val="1"/>
      <w:marLeft w:val="0"/>
      <w:marRight w:val="0"/>
      <w:marTop w:val="0"/>
      <w:marBottom w:val="0"/>
      <w:divBdr>
        <w:top w:val="none" w:sz="0" w:space="0" w:color="auto"/>
        <w:left w:val="none" w:sz="0" w:space="0" w:color="auto"/>
        <w:bottom w:val="none" w:sz="0" w:space="0" w:color="auto"/>
        <w:right w:val="none" w:sz="0" w:space="0" w:color="auto"/>
      </w:divBdr>
      <w:divsChild>
        <w:div w:id="1559440506">
          <w:marLeft w:val="0"/>
          <w:marRight w:val="720"/>
          <w:marTop w:val="0"/>
          <w:marBottom w:val="0"/>
          <w:divBdr>
            <w:top w:val="none" w:sz="0" w:space="0" w:color="auto"/>
            <w:left w:val="none" w:sz="0" w:space="0" w:color="auto"/>
            <w:bottom w:val="none" w:sz="0" w:space="0" w:color="auto"/>
            <w:right w:val="none" w:sz="0" w:space="0" w:color="auto"/>
          </w:divBdr>
        </w:div>
        <w:div w:id="1547453062">
          <w:marLeft w:val="0"/>
          <w:marRight w:val="0"/>
          <w:marTop w:val="0"/>
          <w:marBottom w:val="0"/>
          <w:divBdr>
            <w:top w:val="none" w:sz="0" w:space="0" w:color="auto"/>
            <w:left w:val="none" w:sz="0" w:space="0" w:color="auto"/>
            <w:bottom w:val="none" w:sz="0" w:space="0" w:color="auto"/>
            <w:right w:val="none" w:sz="0" w:space="0" w:color="auto"/>
          </w:divBdr>
        </w:div>
      </w:divsChild>
    </w:div>
    <w:div w:id="580258985">
      <w:bodyDiv w:val="1"/>
      <w:marLeft w:val="0"/>
      <w:marRight w:val="0"/>
      <w:marTop w:val="0"/>
      <w:marBottom w:val="0"/>
      <w:divBdr>
        <w:top w:val="none" w:sz="0" w:space="0" w:color="auto"/>
        <w:left w:val="none" w:sz="0" w:space="0" w:color="auto"/>
        <w:bottom w:val="none" w:sz="0" w:space="0" w:color="auto"/>
        <w:right w:val="none" w:sz="0" w:space="0" w:color="auto"/>
      </w:divBdr>
      <w:divsChild>
        <w:div w:id="905532081">
          <w:marLeft w:val="0"/>
          <w:marRight w:val="720"/>
          <w:marTop w:val="0"/>
          <w:marBottom w:val="0"/>
          <w:divBdr>
            <w:top w:val="none" w:sz="0" w:space="0" w:color="auto"/>
            <w:left w:val="none" w:sz="0" w:space="0" w:color="auto"/>
            <w:bottom w:val="none" w:sz="0" w:space="0" w:color="auto"/>
            <w:right w:val="none" w:sz="0" w:space="0" w:color="auto"/>
          </w:divBdr>
        </w:div>
        <w:div w:id="1847205180">
          <w:marLeft w:val="0"/>
          <w:marRight w:val="0"/>
          <w:marTop w:val="0"/>
          <w:marBottom w:val="0"/>
          <w:divBdr>
            <w:top w:val="none" w:sz="0" w:space="0" w:color="auto"/>
            <w:left w:val="none" w:sz="0" w:space="0" w:color="auto"/>
            <w:bottom w:val="none" w:sz="0" w:space="0" w:color="auto"/>
            <w:right w:val="none" w:sz="0" w:space="0" w:color="auto"/>
          </w:divBdr>
        </w:div>
      </w:divsChild>
    </w:div>
    <w:div w:id="647828835">
      <w:bodyDiv w:val="1"/>
      <w:marLeft w:val="0"/>
      <w:marRight w:val="0"/>
      <w:marTop w:val="0"/>
      <w:marBottom w:val="0"/>
      <w:divBdr>
        <w:top w:val="none" w:sz="0" w:space="0" w:color="auto"/>
        <w:left w:val="none" w:sz="0" w:space="0" w:color="auto"/>
        <w:bottom w:val="none" w:sz="0" w:space="0" w:color="auto"/>
        <w:right w:val="none" w:sz="0" w:space="0" w:color="auto"/>
      </w:divBdr>
      <w:divsChild>
        <w:div w:id="995189352">
          <w:marLeft w:val="0"/>
          <w:marRight w:val="720"/>
          <w:marTop w:val="0"/>
          <w:marBottom w:val="0"/>
          <w:divBdr>
            <w:top w:val="none" w:sz="0" w:space="0" w:color="auto"/>
            <w:left w:val="none" w:sz="0" w:space="0" w:color="auto"/>
            <w:bottom w:val="none" w:sz="0" w:space="0" w:color="auto"/>
            <w:right w:val="none" w:sz="0" w:space="0" w:color="auto"/>
          </w:divBdr>
        </w:div>
        <w:div w:id="1741055174">
          <w:marLeft w:val="0"/>
          <w:marRight w:val="0"/>
          <w:marTop w:val="0"/>
          <w:marBottom w:val="0"/>
          <w:divBdr>
            <w:top w:val="none" w:sz="0" w:space="0" w:color="auto"/>
            <w:left w:val="none" w:sz="0" w:space="0" w:color="auto"/>
            <w:bottom w:val="none" w:sz="0" w:space="0" w:color="auto"/>
            <w:right w:val="none" w:sz="0" w:space="0" w:color="auto"/>
          </w:divBdr>
        </w:div>
      </w:divsChild>
    </w:div>
    <w:div w:id="756950425">
      <w:bodyDiv w:val="1"/>
      <w:marLeft w:val="0"/>
      <w:marRight w:val="0"/>
      <w:marTop w:val="0"/>
      <w:marBottom w:val="0"/>
      <w:divBdr>
        <w:top w:val="none" w:sz="0" w:space="0" w:color="auto"/>
        <w:left w:val="none" w:sz="0" w:space="0" w:color="auto"/>
        <w:bottom w:val="none" w:sz="0" w:space="0" w:color="auto"/>
        <w:right w:val="none" w:sz="0" w:space="0" w:color="auto"/>
      </w:divBdr>
      <w:divsChild>
        <w:div w:id="1902866001">
          <w:marLeft w:val="0"/>
          <w:marRight w:val="720"/>
          <w:marTop w:val="0"/>
          <w:marBottom w:val="0"/>
          <w:divBdr>
            <w:top w:val="none" w:sz="0" w:space="0" w:color="auto"/>
            <w:left w:val="none" w:sz="0" w:space="0" w:color="auto"/>
            <w:bottom w:val="none" w:sz="0" w:space="0" w:color="auto"/>
            <w:right w:val="none" w:sz="0" w:space="0" w:color="auto"/>
          </w:divBdr>
        </w:div>
        <w:div w:id="1099256769">
          <w:marLeft w:val="0"/>
          <w:marRight w:val="0"/>
          <w:marTop w:val="0"/>
          <w:marBottom w:val="0"/>
          <w:divBdr>
            <w:top w:val="none" w:sz="0" w:space="0" w:color="auto"/>
            <w:left w:val="none" w:sz="0" w:space="0" w:color="auto"/>
            <w:bottom w:val="none" w:sz="0" w:space="0" w:color="auto"/>
            <w:right w:val="none" w:sz="0" w:space="0" w:color="auto"/>
          </w:divBdr>
        </w:div>
      </w:divsChild>
    </w:div>
    <w:div w:id="765923322">
      <w:bodyDiv w:val="1"/>
      <w:marLeft w:val="0"/>
      <w:marRight w:val="0"/>
      <w:marTop w:val="0"/>
      <w:marBottom w:val="0"/>
      <w:divBdr>
        <w:top w:val="none" w:sz="0" w:space="0" w:color="auto"/>
        <w:left w:val="none" w:sz="0" w:space="0" w:color="auto"/>
        <w:bottom w:val="none" w:sz="0" w:space="0" w:color="auto"/>
        <w:right w:val="none" w:sz="0" w:space="0" w:color="auto"/>
      </w:divBdr>
      <w:divsChild>
        <w:div w:id="1898861191">
          <w:marLeft w:val="0"/>
          <w:marRight w:val="720"/>
          <w:marTop w:val="0"/>
          <w:marBottom w:val="0"/>
          <w:divBdr>
            <w:top w:val="none" w:sz="0" w:space="0" w:color="auto"/>
            <w:left w:val="none" w:sz="0" w:space="0" w:color="auto"/>
            <w:bottom w:val="none" w:sz="0" w:space="0" w:color="auto"/>
            <w:right w:val="none" w:sz="0" w:space="0" w:color="auto"/>
          </w:divBdr>
        </w:div>
        <w:div w:id="650981694">
          <w:marLeft w:val="0"/>
          <w:marRight w:val="0"/>
          <w:marTop w:val="0"/>
          <w:marBottom w:val="0"/>
          <w:divBdr>
            <w:top w:val="none" w:sz="0" w:space="0" w:color="auto"/>
            <w:left w:val="none" w:sz="0" w:space="0" w:color="auto"/>
            <w:bottom w:val="none" w:sz="0" w:space="0" w:color="auto"/>
            <w:right w:val="none" w:sz="0" w:space="0" w:color="auto"/>
          </w:divBdr>
        </w:div>
      </w:divsChild>
    </w:div>
    <w:div w:id="799349142">
      <w:bodyDiv w:val="1"/>
      <w:marLeft w:val="0"/>
      <w:marRight w:val="0"/>
      <w:marTop w:val="0"/>
      <w:marBottom w:val="0"/>
      <w:divBdr>
        <w:top w:val="none" w:sz="0" w:space="0" w:color="auto"/>
        <w:left w:val="none" w:sz="0" w:space="0" w:color="auto"/>
        <w:bottom w:val="none" w:sz="0" w:space="0" w:color="auto"/>
        <w:right w:val="none" w:sz="0" w:space="0" w:color="auto"/>
      </w:divBdr>
      <w:divsChild>
        <w:div w:id="1083650533">
          <w:marLeft w:val="0"/>
          <w:marRight w:val="720"/>
          <w:marTop w:val="0"/>
          <w:marBottom w:val="0"/>
          <w:divBdr>
            <w:top w:val="none" w:sz="0" w:space="0" w:color="auto"/>
            <w:left w:val="none" w:sz="0" w:space="0" w:color="auto"/>
            <w:bottom w:val="none" w:sz="0" w:space="0" w:color="auto"/>
            <w:right w:val="none" w:sz="0" w:space="0" w:color="auto"/>
          </w:divBdr>
        </w:div>
        <w:div w:id="751852828">
          <w:marLeft w:val="0"/>
          <w:marRight w:val="0"/>
          <w:marTop w:val="0"/>
          <w:marBottom w:val="0"/>
          <w:divBdr>
            <w:top w:val="none" w:sz="0" w:space="0" w:color="auto"/>
            <w:left w:val="none" w:sz="0" w:space="0" w:color="auto"/>
            <w:bottom w:val="none" w:sz="0" w:space="0" w:color="auto"/>
            <w:right w:val="none" w:sz="0" w:space="0" w:color="auto"/>
          </w:divBdr>
        </w:div>
      </w:divsChild>
    </w:div>
    <w:div w:id="924844794">
      <w:bodyDiv w:val="1"/>
      <w:marLeft w:val="0"/>
      <w:marRight w:val="0"/>
      <w:marTop w:val="0"/>
      <w:marBottom w:val="0"/>
      <w:divBdr>
        <w:top w:val="none" w:sz="0" w:space="0" w:color="auto"/>
        <w:left w:val="none" w:sz="0" w:space="0" w:color="auto"/>
        <w:bottom w:val="none" w:sz="0" w:space="0" w:color="auto"/>
        <w:right w:val="none" w:sz="0" w:space="0" w:color="auto"/>
      </w:divBdr>
    </w:div>
    <w:div w:id="993949231">
      <w:bodyDiv w:val="1"/>
      <w:marLeft w:val="0"/>
      <w:marRight w:val="0"/>
      <w:marTop w:val="0"/>
      <w:marBottom w:val="0"/>
      <w:divBdr>
        <w:top w:val="none" w:sz="0" w:space="0" w:color="auto"/>
        <w:left w:val="none" w:sz="0" w:space="0" w:color="auto"/>
        <w:bottom w:val="none" w:sz="0" w:space="0" w:color="auto"/>
        <w:right w:val="none" w:sz="0" w:space="0" w:color="auto"/>
      </w:divBdr>
      <w:divsChild>
        <w:div w:id="2101633032">
          <w:marLeft w:val="0"/>
          <w:marRight w:val="720"/>
          <w:marTop w:val="0"/>
          <w:marBottom w:val="0"/>
          <w:divBdr>
            <w:top w:val="none" w:sz="0" w:space="0" w:color="auto"/>
            <w:left w:val="none" w:sz="0" w:space="0" w:color="auto"/>
            <w:bottom w:val="none" w:sz="0" w:space="0" w:color="auto"/>
            <w:right w:val="none" w:sz="0" w:space="0" w:color="auto"/>
          </w:divBdr>
        </w:div>
        <w:div w:id="742416058">
          <w:marLeft w:val="0"/>
          <w:marRight w:val="0"/>
          <w:marTop w:val="0"/>
          <w:marBottom w:val="0"/>
          <w:divBdr>
            <w:top w:val="none" w:sz="0" w:space="0" w:color="auto"/>
            <w:left w:val="none" w:sz="0" w:space="0" w:color="auto"/>
            <w:bottom w:val="none" w:sz="0" w:space="0" w:color="auto"/>
            <w:right w:val="none" w:sz="0" w:space="0" w:color="auto"/>
          </w:divBdr>
        </w:div>
      </w:divsChild>
    </w:div>
    <w:div w:id="1036660046">
      <w:bodyDiv w:val="1"/>
      <w:marLeft w:val="0"/>
      <w:marRight w:val="0"/>
      <w:marTop w:val="0"/>
      <w:marBottom w:val="0"/>
      <w:divBdr>
        <w:top w:val="none" w:sz="0" w:space="0" w:color="auto"/>
        <w:left w:val="none" w:sz="0" w:space="0" w:color="auto"/>
        <w:bottom w:val="none" w:sz="0" w:space="0" w:color="auto"/>
        <w:right w:val="none" w:sz="0" w:space="0" w:color="auto"/>
      </w:divBdr>
      <w:divsChild>
        <w:div w:id="1611627310">
          <w:marLeft w:val="0"/>
          <w:marRight w:val="720"/>
          <w:marTop w:val="0"/>
          <w:marBottom w:val="0"/>
          <w:divBdr>
            <w:top w:val="none" w:sz="0" w:space="0" w:color="auto"/>
            <w:left w:val="none" w:sz="0" w:space="0" w:color="auto"/>
            <w:bottom w:val="none" w:sz="0" w:space="0" w:color="auto"/>
            <w:right w:val="none" w:sz="0" w:space="0" w:color="auto"/>
          </w:divBdr>
        </w:div>
        <w:div w:id="799223833">
          <w:marLeft w:val="0"/>
          <w:marRight w:val="0"/>
          <w:marTop w:val="0"/>
          <w:marBottom w:val="0"/>
          <w:divBdr>
            <w:top w:val="none" w:sz="0" w:space="0" w:color="auto"/>
            <w:left w:val="none" w:sz="0" w:space="0" w:color="auto"/>
            <w:bottom w:val="none" w:sz="0" w:space="0" w:color="auto"/>
            <w:right w:val="none" w:sz="0" w:space="0" w:color="auto"/>
          </w:divBdr>
        </w:div>
      </w:divsChild>
    </w:div>
    <w:div w:id="1049451763">
      <w:bodyDiv w:val="1"/>
      <w:marLeft w:val="0"/>
      <w:marRight w:val="0"/>
      <w:marTop w:val="0"/>
      <w:marBottom w:val="0"/>
      <w:divBdr>
        <w:top w:val="none" w:sz="0" w:space="0" w:color="auto"/>
        <w:left w:val="none" w:sz="0" w:space="0" w:color="auto"/>
        <w:bottom w:val="none" w:sz="0" w:space="0" w:color="auto"/>
        <w:right w:val="none" w:sz="0" w:space="0" w:color="auto"/>
      </w:divBdr>
      <w:divsChild>
        <w:div w:id="1297756654">
          <w:marLeft w:val="0"/>
          <w:marRight w:val="720"/>
          <w:marTop w:val="0"/>
          <w:marBottom w:val="0"/>
          <w:divBdr>
            <w:top w:val="none" w:sz="0" w:space="0" w:color="auto"/>
            <w:left w:val="none" w:sz="0" w:space="0" w:color="auto"/>
            <w:bottom w:val="none" w:sz="0" w:space="0" w:color="auto"/>
            <w:right w:val="none" w:sz="0" w:space="0" w:color="auto"/>
          </w:divBdr>
        </w:div>
        <w:div w:id="531042924">
          <w:marLeft w:val="0"/>
          <w:marRight w:val="0"/>
          <w:marTop w:val="0"/>
          <w:marBottom w:val="0"/>
          <w:divBdr>
            <w:top w:val="none" w:sz="0" w:space="0" w:color="auto"/>
            <w:left w:val="none" w:sz="0" w:space="0" w:color="auto"/>
            <w:bottom w:val="none" w:sz="0" w:space="0" w:color="auto"/>
            <w:right w:val="none" w:sz="0" w:space="0" w:color="auto"/>
          </w:divBdr>
        </w:div>
      </w:divsChild>
    </w:div>
    <w:div w:id="1180437114">
      <w:bodyDiv w:val="1"/>
      <w:marLeft w:val="0"/>
      <w:marRight w:val="0"/>
      <w:marTop w:val="0"/>
      <w:marBottom w:val="0"/>
      <w:divBdr>
        <w:top w:val="none" w:sz="0" w:space="0" w:color="auto"/>
        <w:left w:val="none" w:sz="0" w:space="0" w:color="auto"/>
        <w:bottom w:val="none" w:sz="0" w:space="0" w:color="auto"/>
        <w:right w:val="none" w:sz="0" w:space="0" w:color="auto"/>
      </w:divBdr>
      <w:divsChild>
        <w:div w:id="2046635827">
          <w:marLeft w:val="0"/>
          <w:marRight w:val="720"/>
          <w:marTop w:val="0"/>
          <w:marBottom w:val="0"/>
          <w:divBdr>
            <w:top w:val="none" w:sz="0" w:space="0" w:color="auto"/>
            <w:left w:val="none" w:sz="0" w:space="0" w:color="auto"/>
            <w:bottom w:val="none" w:sz="0" w:space="0" w:color="auto"/>
            <w:right w:val="none" w:sz="0" w:space="0" w:color="auto"/>
          </w:divBdr>
        </w:div>
        <w:div w:id="1315376874">
          <w:marLeft w:val="0"/>
          <w:marRight w:val="0"/>
          <w:marTop w:val="0"/>
          <w:marBottom w:val="0"/>
          <w:divBdr>
            <w:top w:val="none" w:sz="0" w:space="0" w:color="auto"/>
            <w:left w:val="none" w:sz="0" w:space="0" w:color="auto"/>
            <w:bottom w:val="none" w:sz="0" w:space="0" w:color="auto"/>
            <w:right w:val="none" w:sz="0" w:space="0" w:color="auto"/>
          </w:divBdr>
        </w:div>
      </w:divsChild>
    </w:div>
    <w:div w:id="1181243399">
      <w:bodyDiv w:val="1"/>
      <w:marLeft w:val="0"/>
      <w:marRight w:val="0"/>
      <w:marTop w:val="0"/>
      <w:marBottom w:val="0"/>
      <w:divBdr>
        <w:top w:val="none" w:sz="0" w:space="0" w:color="auto"/>
        <w:left w:val="none" w:sz="0" w:space="0" w:color="auto"/>
        <w:bottom w:val="none" w:sz="0" w:space="0" w:color="auto"/>
        <w:right w:val="none" w:sz="0" w:space="0" w:color="auto"/>
      </w:divBdr>
      <w:divsChild>
        <w:div w:id="776291633">
          <w:marLeft w:val="0"/>
          <w:marRight w:val="720"/>
          <w:marTop w:val="0"/>
          <w:marBottom w:val="0"/>
          <w:divBdr>
            <w:top w:val="none" w:sz="0" w:space="0" w:color="auto"/>
            <w:left w:val="none" w:sz="0" w:space="0" w:color="auto"/>
            <w:bottom w:val="none" w:sz="0" w:space="0" w:color="auto"/>
            <w:right w:val="none" w:sz="0" w:space="0" w:color="auto"/>
          </w:divBdr>
        </w:div>
        <w:div w:id="277303217">
          <w:marLeft w:val="0"/>
          <w:marRight w:val="0"/>
          <w:marTop w:val="0"/>
          <w:marBottom w:val="0"/>
          <w:divBdr>
            <w:top w:val="none" w:sz="0" w:space="0" w:color="auto"/>
            <w:left w:val="none" w:sz="0" w:space="0" w:color="auto"/>
            <w:bottom w:val="none" w:sz="0" w:space="0" w:color="auto"/>
            <w:right w:val="none" w:sz="0" w:space="0" w:color="auto"/>
          </w:divBdr>
        </w:div>
      </w:divsChild>
    </w:div>
    <w:div w:id="1192840828">
      <w:bodyDiv w:val="1"/>
      <w:marLeft w:val="0"/>
      <w:marRight w:val="0"/>
      <w:marTop w:val="0"/>
      <w:marBottom w:val="0"/>
      <w:divBdr>
        <w:top w:val="none" w:sz="0" w:space="0" w:color="auto"/>
        <w:left w:val="none" w:sz="0" w:space="0" w:color="auto"/>
        <w:bottom w:val="none" w:sz="0" w:space="0" w:color="auto"/>
        <w:right w:val="none" w:sz="0" w:space="0" w:color="auto"/>
      </w:divBdr>
    </w:div>
    <w:div w:id="1252546610">
      <w:bodyDiv w:val="1"/>
      <w:marLeft w:val="0"/>
      <w:marRight w:val="0"/>
      <w:marTop w:val="0"/>
      <w:marBottom w:val="0"/>
      <w:divBdr>
        <w:top w:val="none" w:sz="0" w:space="0" w:color="auto"/>
        <w:left w:val="none" w:sz="0" w:space="0" w:color="auto"/>
        <w:bottom w:val="none" w:sz="0" w:space="0" w:color="auto"/>
        <w:right w:val="none" w:sz="0" w:space="0" w:color="auto"/>
      </w:divBdr>
      <w:divsChild>
        <w:div w:id="409012308">
          <w:marLeft w:val="0"/>
          <w:marRight w:val="720"/>
          <w:marTop w:val="0"/>
          <w:marBottom w:val="0"/>
          <w:divBdr>
            <w:top w:val="none" w:sz="0" w:space="0" w:color="auto"/>
            <w:left w:val="none" w:sz="0" w:space="0" w:color="auto"/>
            <w:bottom w:val="none" w:sz="0" w:space="0" w:color="auto"/>
            <w:right w:val="none" w:sz="0" w:space="0" w:color="auto"/>
          </w:divBdr>
        </w:div>
        <w:div w:id="341712747">
          <w:marLeft w:val="0"/>
          <w:marRight w:val="0"/>
          <w:marTop w:val="0"/>
          <w:marBottom w:val="0"/>
          <w:divBdr>
            <w:top w:val="none" w:sz="0" w:space="0" w:color="auto"/>
            <w:left w:val="none" w:sz="0" w:space="0" w:color="auto"/>
            <w:bottom w:val="none" w:sz="0" w:space="0" w:color="auto"/>
            <w:right w:val="none" w:sz="0" w:space="0" w:color="auto"/>
          </w:divBdr>
        </w:div>
      </w:divsChild>
    </w:div>
    <w:div w:id="1286079800">
      <w:bodyDiv w:val="1"/>
      <w:marLeft w:val="0"/>
      <w:marRight w:val="0"/>
      <w:marTop w:val="0"/>
      <w:marBottom w:val="0"/>
      <w:divBdr>
        <w:top w:val="none" w:sz="0" w:space="0" w:color="auto"/>
        <w:left w:val="none" w:sz="0" w:space="0" w:color="auto"/>
        <w:bottom w:val="none" w:sz="0" w:space="0" w:color="auto"/>
        <w:right w:val="none" w:sz="0" w:space="0" w:color="auto"/>
      </w:divBdr>
      <w:divsChild>
        <w:div w:id="471874541">
          <w:marLeft w:val="0"/>
          <w:marRight w:val="720"/>
          <w:marTop w:val="0"/>
          <w:marBottom w:val="0"/>
          <w:divBdr>
            <w:top w:val="none" w:sz="0" w:space="0" w:color="auto"/>
            <w:left w:val="none" w:sz="0" w:space="0" w:color="auto"/>
            <w:bottom w:val="none" w:sz="0" w:space="0" w:color="auto"/>
            <w:right w:val="none" w:sz="0" w:space="0" w:color="auto"/>
          </w:divBdr>
        </w:div>
        <w:div w:id="172888044">
          <w:marLeft w:val="0"/>
          <w:marRight w:val="0"/>
          <w:marTop w:val="0"/>
          <w:marBottom w:val="0"/>
          <w:divBdr>
            <w:top w:val="none" w:sz="0" w:space="0" w:color="auto"/>
            <w:left w:val="none" w:sz="0" w:space="0" w:color="auto"/>
            <w:bottom w:val="none" w:sz="0" w:space="0" w:color="auto"/>
            <w:right w:val="none" w:sz="0" w:space="0" w:color="auto"/>
          </w:divBdr>
        </w:div>
      </w:divsChild>
    </w:div>
    <w:div w:id="1325013383">
      <w:bodyDiv w:val="1"/>
      <w:marLeft w:val="0"/>
      <w:marRight w:val="0"/>
      <w:marTop w:val="0"/>
      <w:marBottom w:val="0"/>
      <w:divBdr>
        <w:top w:val="none" w:sz="0" w:space="0" w:color="auto"/>
        <w:left w:val="none" w:sz="0" w:space="0" w:color="auto"/>
        <w:bottom w:val="none" w:sz="0" w:space="0" w:color="auto"/>
        <w:right w:val="none" w:sz="0" w:space="0" w:color="auto"/>
      </w:divBdr>
      <w:divsChild>
        <w:div w:id="514803732">
          <w:marLeft w:val="0"/>
          <w:marRight w:val="720"/>
          <w:marTop w:val="0"/>
          <w:marBottom w:val="0"/>
          <w:divBdr>
            <w:top w:val="none" w:sz="0" w:space="0" w:color="auto"/>
            <w:left w:val="none" w:sz="0" w:space="0" w:color="auto"/>
            <w:bottom w:val="none" w:sz="0" w:space="0" w:color="auto"/>
            <w:right w:val="none" w:sz="0" w:space="0" w:color="auto"/>
          </w:divBdr>
        </w:div>
        <w:div w:id="916668559">
          <w:marLeft w:val="0"/>
          <w:marRight w:val="0"/>
          <w:marTop w:val="0"/>
          <w:marBottom w:val="0"/>
          <w:divBdr>
            <w:top w:val="none" w:sz="0" w:space="0" w:color="auto"/>
            <w:left w:val="none" w:sz="0" w:space="0" w:color="auto"/>
            <w:bottom w:val="none" w:sz="0" w:space="0" w:color="auto"/>
            <w:right w:val="none" w:sz="0" w:space="0" w:color="auto"/>
          </w:divBdr>
        </w:div>
      </w:divsChild>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378433910">
      <w:bodyDiv w:val="1"/>
      <w:marLeft w:val="0"/>
      <w:marRight w:val="0"/>
      <w:marTop w:val="0"/>
      <w:marBottom w:val="0"/>
      <w:divBdr>
        <w:top w:val="none" w:sz="0" w:space="0" w:color="auto"/>
        <w:left w:val="none" w:sz="0" w:space="0" w:color="auto"/>
        <w:bottom w:val="none" w:sz="0" w:space="0" w:color="auto"/>
        <w:right w:val="none" w:sz="0" w:space="0" w:color="auto"/>
      </w:divBdr>
      <w:divsChild>
        <w:div w:id="2126729472">
          <w:marLeft w:val="0"/>
          <w:marRight w:val="720"/>
          <w:marTop w:val="0"/>
          <w:marBottom w:val="0"/>
          <w:divBdr>
            <w:top w:val="none" w:sz="0" w:space="0" w:color="auto"/>
            <w:left w:val="none" w:sz="0" w:space="0" w:color="auto"/>
            <w:bottom w:val="none" w:sz="0" w:space="0" w:color="auto"/>
            <w:right w:val="none" w:sz="0" w:space="0" w:color="auto"/>
          </w:divBdr>
        </w:div>
        <w:div w:id="2079397191">
          <w:marLeft w:val="0"/>
          <w:marRight w:val="0"/>
          <w:marTop w:val="0"/>
          <w:marBottom w:val="0"/>
          <w:divBdr>
            <w:top w:val="none" w:sz="0" w:space="0" w:color="auto"/>
            <w:left w:val="none" w:sz="0" w:space="0" w:color="auto"/>
            <w:bottom w:val="none" w:sz="0" w:space="0" w:color="auto"/>
            <w:right w:val="none" w:sz="0" w:space="0" w:color="auto"/>
          </w:divBdr>
        </w:div>
      </w:divsChild>
    </w:div>
    <w:div w:id="1383868154">
      <w:bodyDiv w:val="1"/>
      <w:marLeft w:val="0"/>
      <w:marRight w:val="0"/>
      <w:marTop w:val="0"/>
      <w:marBottom w:val="0"/>
      <w:divBdr>
        <w:top w:val="none" w:sz="0" w:space="0" w:color="auto"/>
        <w:left w:val="none" w:sz="0" w:space="0" w:color="auto"/>
        <w:bottom w:val="none" w:sz="0" w:space="0" w:color="auto"/>
        <w:right w:val="none" w:sz="0" w:space="0" w:color="auto"/>
      </w:divBdr>
      <w:divsChild>
        <w:div w:id="421727504">
          <w:marLeft w:val="0"/>
          <w:marRight w:val="720"/>
          <w:marTop w:val="0"/>
          <w:marBottom w:val="0"/>
          <w:divBdr>
            <w:top w:val="none" w:sz="0" w:space="0" w:color="auto"/>
            <w:left w:val="none" w:sz="0" w:space="0" w:color="auto"/>
            <w:bottom w:val="none" w:sz="0" w:space="0" w:color="auto"/>
            <w:right w:val="none" w:sz="0" w:space="0" w:color="auto"/>
          </w:divBdr>
        </w:div>
        <w:div w:id="938442506">
          <w:marLeft w:val="0"/>
          <w:marRight w:val="0"/>
          <w:marTop w:val="0"/>
          <w:marBottom w:val="0"/>
          <w:divBdr>
            <w:top w:val="none" w:sz="0" w:space="0" w:color="auto"/>
            <w:left w:val="none" w:sz="0" w:space="0" w:color="auto"/>
            <w:bottom w:val="none" w:sz="0" w:space="0" w:color="auto"/>
            <w:right w:val="none" w:sz="0" w:space="0" w:color="auto"/>
          </w:divBdr>
        </w:div>
      </w:divsChild>
    </w:div>
    <w:div w:id="1399134190">
      <w:bodyDiv w:val="1"/>
      <w:marLeft w:val="0"/>
      <w:marRight w:val="0"/>
      <w:marTop w:val="0"/>
      <w:marBottom w:val="0"/>
      <w:divBdr>
        <w:top w:val="none" w:sz="0" w:space="0" w:color="auto"/>
        <w:left w:val="none" w:sz="0" w:space="0" w:color="auto"/>
        <w:bottom w:val="none" w:sz="0" w:space="0" w:color="auto"/>
        <w:right w:val="none" w:sz="0" w:space="0" w:color="auto"/>
      </w:divBdr>
      <w:divsChild>
        <w:div w:id="1855991463">
          <w:marLeft w:val="0"/>
          <w:marRight w:val="720"/>
          <w:marTop w:val="0"/>
          <w:marBottom w:val="0"/>
          <w:divBdr>
            <w:top w:val="none" w:sz="0" w:space="0" w:color="auto"/>
            <w:left w:val="none" w:sz="0" w:space="0" w:color="auto"/>
            <w:bottom w:val="none" w:sz="0" w:space="0" w:color="auto"/>
            <w:right w:val="none" w:sz="0" w:space="0" w:color="auto"/>
          </w:divBdr>
        </w:div>
        <w:div w:id="1655527132">
          <w:marLeft w:val="0"/>
          <w:marRight w:val="0"/>
          <w:marTop w:val="0"/>
          <w:marBottom w:val="0"/>
          <w:divBdr>
            <w:top w:val="none" w:sz="0" w:space="0" w:color="auto"/>
            <w:left w:val="none" w:sz="0" w:space="0" w:color="auto"/>
            <w:bottom w:val="none" w:sz="0" w:space="0" w:color="auto"/>
            <w:right w:val="none" w:sz="0" w:space="0" w:color="auto"/>
          </w:divBdr>
        </w:div>
      </w:divsChild>
    </w:div>
    <w:div w:id="1455245944">
      <w:bodyDiv w:val="1"/>
      <w:marLeft w:val="0"/>
      <w:marRight w:val="0"/>
      <w:marTop w:val="0"/>
      <w:marBottom w:val="0"/>
      <w:divBdr>
        <w:top w:val="none" w:sz="0" w:space="0" w:color="auto"/>
        <w:left w:val="none" w:sz="0" w:space="0" w:color="auto"/>
        <w:bottom w:val="none" w:sz="0" w:space="0" w:color="auto"/>
        <w:right w:val="none" w:sz="0" w:space="0" w:color="auto"/>
      </w:divBdr>
    </w:div>
    <w:div w:id="1502116715">
      <w:bodyDiv w:val="1"/>
      <w:marLeft w:val="0"/>
      <w:marRight w:val="0"/>
      <w:marTop w:val="0"/>
      <w:marBottom w:val="0"/>
      <w:divBdr>
        <w:top w:val="none" w:sz="0" w:space="0" w:color="auto"/>
        <w:left w:val="none" w:sz="0" w:space="0" w:color="auto"/>
        <w:bottom w:val="none" w:sz="0" w:space="0" w:color="auto"/>
        <w:right w:val="none" w:sz="0" w:space="0" w:color="auto"/>
      </w:divBdr>
      <w:divsChild>
        <w:div w:id="342439864">
          <w:marLeft w:val="0"/>
          <w:marRight w:val="720"/>
          <w:marTop w:val="0"/>
          <w:marBottom w:val="0"/>
          <w:divBdr>
            <w:top w:val="none" w:sz="0" w:space="0" w:color="auto"/>
            <w:left w:val="none" w:sz="0" w:space="0" w:color="auto"/>
            <w:bottom w:val="none" w:sz="0" w:space="0" w:color="auto"/>
            <w:right w:val="none" w:sz="0" w:space="0" w:color="auto"/>
          </w:divBdr>
        </w:div>
        <w:div w:id="329481407">
          <w:marLeft w:val="0"/>
          <w:marRight w:val="0"/>
          <w:marTop w:val="0"/>
          <w:marBottom w:val="0"/>
          <w:divBdr>
            <w:top w:val="none" w:sz="0" w:space="0" w:color="auto"/>
            <w:left w:val="none" w:sz="0" w:space="0" w:color="auto"/>
            <w:bottom w:val="none" w:sz="0" w:space="0" w:color="auto"/>
            <w:right w:val="none" w:sz="0" w:space="0" w:color="auto"/>
          </w:divBdr>
        </w:div>
      </w:divsChild>
    </w:div>
    <w:div w:id="1590504792">
      <w:bodyDiv w:val="1"/>
      <w:marLeft w:val="0"/>
      <w:marRight w:val="0"/>
      <w:marTop w:val="0"/>
      <w:marBottom w:val="0"/>
      <w:divBdr>
        <w:top w:val="none" w:sz="0" w:space="0" w:color="auto"/>
        <w:left w:val="none" w:sz="0" w:space="0" w:color="auto"/>
        <w:bottom w:val="none" w:sz="0" w:space="0" w:color="auto"/>
        <w:right w:val="none" w:sz="0" w:space="0" w:color="auto"/>
      </w:divBdr>
      <w:divsChild>
        <w:div w:id="670060559">
          <w:marLeft w:val="0"/>
          <w:marRight w:val="720"/>
          <w:marTop w:val="0"/>
          <w:marBottom w:val="0"/>
          <w:divBdr>
            <w:top w:val="none" w:sz="0" w:space="0" w:color="auto"/>
            <w:left w:val="none" w:sz="0" w:space="0" w:color="auto"/>
            <w:bottom w:val="none" w:sz="0" w:space="0" w:color="auto"/>
            <w:right w:val="none" w:sz="0" w:space="0" w:color="auto"/>
          </w:divBdr>
        </w:div>
        <w:div w:id="1800683457">
          <w:marLeft w:val="0"/>
          <w:marRight w:val="0"/>
          <w:marTop w:val="0"/>
          <w:marBottom w:val="0"/>
          <w:divBdr>
            <w:top w:val="none" w:sz="0" w:space="0" w:color="auto"/>
            <w:left w:val="none" w:sz="0" w:space="0" w:color="auto"/>
            <w:bottom w:val="none" w:sz="0" w:space="0" w:color="auto"/>
            <w:right w:val="none" w:sz="0" w:space="0" w:color="auto"/>
          </w:divBdr>
        </w:div>
      </w:divsChild>
    </w:div>
    <w:div w:id="1591234012">
      <w:bodyDiv w:val="1"/>
      <w:marLeft w:val="0"/>
      <w:marRight w:val="0"/>
      <w:marTop w:val="0"/>
      <w:marBottom w:val="0"/>
      <w:divBdr>
        <w:top w:val="none" w:sz="0" w:space="0" w:color="auto"/>
        <w:left w:val="none" w:sz="0" w:space="0" w:color="auto"/>
        <w:bottom w:val="none" w:sz="0" w:space="0" w:color="auto"/>
        <w:right w:val="none" w:sz="0" w:space="0" w:color="auto"/>
      </w:divBdr>
      <w:divsChild>
        <w:div w:id="778259547">
          <w:marLeft w:val="0"/>
          <w:marRight w:val="720"/>
          <w:marTop w:val="0"/>
          <w:marBottom w:val="0"/>
          <w:divBdr>
            <w:top w:val="none" w:sz="0" w:space="0" w:color="auto"/>
            <w:left w:val="none" w:sz="0" w:space="0" w:color="auto"/>
            <w:bottom w:val="none" w:sz="0" w:space="0" w:color="auto"/>
            <w:right w:val="none" w:sz="0" w:space="0" w:color="auto"/>
          </w:divBdr>
        </w:div>
        <w:div w:id="1373649112">
          <w:marLeft w:val="0"/>
          <w:marRight w:val="0"/>
          <w:marTop w:val="0"/>
          <w:marBottom w:val="0"/>
          <w:divBdr>
            <w:top w:val="none" w:sz="0" w:space="0" w:color="auto"/>
            <w:left w:val="none" w:sz="0" w:space="0" w:color="auto"/>
            <w:bottom w:val="none" w:sz="0" w:space="0" w:color="auto"/>
            <w:right w:val="none" w:sz="0" w:space="0" w:color="auto"/>
          </w:divBdr>
        </w:div>
      </w:divsChild>
    </w:div>
    <w:div w:id="1613856363">
      <w:bodyDiv w:val="1"/>
      <w:marLeft w:val="0"/>
      <w:marRight w:val="0"/>
      <w:marTop w:val="0"/>
      <w:marBottom w:val="0"/>
      <w:divBdr>
        <w:top w:val="none" w:sz="0" w:space="0" w:color="auto"/>
        <w:left w:val="none" w:sz="0" w:space="0" w:color="auto"/>
        <w:bottom w:val="none" w:sz="0" w:space="0" w:color="auto"/>
        <w:right w:val="none" w:sz="0" w:space="0" w:color="auto"/>
      </w:divBdr>
      <w:divsChild>
        <w:div w:id="510603002">
          <w:marLeft w:val="0"/>
          <w:marRight w:val="720"/>
          <w:marTop w:val="0"/>
          <w:marBottom w:val="0"/>
          <w:divBdr>
            <w:top w:val="none" w:sz="0" w:space="0" w:color="auto"/>
            <w:left w:val="none" w:sz="0" w:space="0" w:color="auto"/>
            <w:bottom w:val="none" w:sz="0" w:space="0" w:color="auto"/>
            <w:right w:val="none" w:sz="0" w:space="0" w:color="auto"/>
          </w:divBdr>
        </w:div>
        <w:div w:id="1126194959">
          <w:marLeft w:val="0"/>
          <w:marRight w:val="0"/>
          <w:marTop w:val="0"/>
          <w:marBottom w:val="0"/>
          <w:divBdr>
            <w:top w:val="none" w:sz="0" w:space="0" w:color="auto"/>
            <w:left w:val="none" w:sz="0" w:space="0" w:color="auto"/>
            <w:bottom w:val="none" w:sz="0" w:space="0" w:color="auto"/>
            <w:right w:val="none" w:sz="0" w:space="0" w:color="auto"/>
          </w:divBdr>
        </w:div>
      </w:divsChild>
    </w:div>
    <w:div w:id="1618442018">
      <w:bodyDiv w:val="1"/>
      <w:marLeft w:val="0"/>
      <w:marRight w:val="0"/>
      <w:marTop w:val="0"/>
      <w:marBottom w:val="0"/>
      <w:divBdr>
        <w:top w:val="none" w:sz="0" w:space="0" w:color="auto"/>
        <w:left w:val="none" w:sz="0" w:space="0" w:color="auto"/>
        <w:bottom w:val="none" w:sz="0" w:space="0" w:color="auto"/>
        <w:right w:val="none" w:sz="0" w:space="0" w:color="auto"/>
      </w:divBdr>
      <w:divsChild>
        <w:div w:id="2069499020">
          <w:marLeft w:val="0"/>
          <w:marRight w:val="720"/>
          <w:marTop w:val="0"/>
          <w:marBottom w:val="0"/>
          <w:divBdr>
            <w:top w:val="none" w:sz="0" w:space="0" w:color="auto"/>
            <w:left w:val="none" w:sz="0" w:space="0" w:color="auto"/>
            <w:bottom w:val="none" w:sz="0" w:space="0" w:color="auto"/>
            <w:right w:val="none" w:sz="0" w:space="0" w:color="auto"/>
          </w:divBdr>
        </w:div>
        <w:div w:id="1929147369">
          <w:marLeft w:val="0"/>
          <w:marRight w:val="0"/>
          <w:marTop w:val="0"/>
          <w:marBottom w:val="0"/>
          <w:divBdr>
            <w:top w:val="none" w:sz="0" w:space="0" w:color="auto"/>
            <w:left w:val="none" w:sz="0" w:space="0" w:color="auto"/>
            <w:bottom w:val="none" w:sz="0" w:space="0" w:color="auto"/>
            <w:right w:val="none" w:sz="0" w:space="0" w:color="auto"/>
          </w:divBdr>
        </w:div>
      </w:divsChild>
    </w:div>
    <w:div w:id="1751779907">
      <w:bodyDiv w:val="1"/>
      <w:marLeft w:val="0"/>
      <w:marRight w:val="0"/>
      <w:marTop w:val="0"/>
      <w:marBottom w:val="0"/>
      <w:divBdr>
        <w:top w:val="none" w:sz="0" w:space="0" w:color="auto"/>
        <w:left w:val="none" w:sz="0" w:space="0" w:color="auto"/>
        <w:bottom w:val="none" w:sz="0" w:space="0" w:color="auto"/>
        <w:right w:val="none" w:sz="0" w:space="0" w:color="auto"/>
      </w:divBdr>
      <w:divsChild>
        <w:div w:id="574168851">
          <w:marLeft w:val="0"/>
          <w:marRight w:val="720"/>
          <w:marTop w:val="0"/>
          <w:marBottom w:val="0"/>
          <w:divBdr>
            <w:top w:val="none" w:sz="0" w:space="0" w:color="auto"/>
            <w:left w:val="none" w:sz="0" w:space="0" w:color="auto"/>
            <w:bottom w:val="none" w:sz="0" w:space="0" w:color="auto"/>
            <w:right w:val="none" w:sz="0" w:space="0" w:color="auto"/>
          </w:divBdr>
        </w:div>
        <w:div w:id="757213486">
          <w:marLeft w:val="0"/>
          <w:marRight w:val="0"/>
          <w:marTop w:val="0"/>
          <w:marBottom w:val="0"/>
          <w:divBdr>
            <w:top w:val="none" w:sz="0" w:space="0" w:color="auto"/>
            <w:left w:val="none" w:sz="0" w:space="0" w:color="auto"/>
            <w:bottom w:val="none" w:sz="0" w:space="0" w:color="auto"/>
            <w:right w:val="none" w:sz="0" w:space="0" w:color="auto"/>
          </w:divBdr>
        </w:div>
      </w:divsChild>
    </w:div>
    <w:div w:id="1754547398">
      <w:bodyDiv w:val="1"/>
      <w:marLeft w:val="0"/>
      <w:marRight w:val="0"/>
      <w:marTop w:val="0"/>
      <w:marBottom w:val="0"/>
      <w:divBdr>
        <w:top w:val="none" w:sz="0" w:space="0" w:color="auto"/>
        <w:left w:val="none" w:sz="0" w:space="0" w:color="auto"/>
        <w:bottom w:val="none" w:sz="0" w:space="0" w:color="auto"/>
        <w:right w:val="none" w:sz="0" w:space="0" w:color="auto"/>
      </w:divBdr>
      <w:divsChild>
        <w:div w:id="1592007194">
          <w:marLeft w:val="0"/>
          <w:marRight w:val="720"/>
          <w:marTop w:val="0"/>
          <w:marBottom w:val="0"/>
          <w:divBdr>
            <w:top w:val="none" w:sz="0" w:space="0" w:color="auto"/>
            <w:left w:val="none" w:sz="0" w:space="0" w:color="auto"/>
            <w:bottom w:val="none" w:sz="0" w:space="0" w:color="auto"/>
            <w:right w:val="none" w:sz="0" w:space="0" w:color="auto"/>
          </w:divBdr>
        </w:div>
        <w:div w:id="1621456567">
          <w:marLeft w:val="0"/>
          <w:marRight w:val="0"/>
          <w:marTop w:val="0"/>
          <w:marBottom w:val="0"/>
          <w:divBdr>
            <w:top w:val="none" w:sz="0" w:space="0" w:color="auto"/>
            <w:left w:val="none" w:sz="0" w:space="0" w:color="auto"/>
            <w:bottom w:val="none" w:sz="0" w:space="0" w:color="auto"/>
            <w:right w:val="none" w:sz="0" w:space="0" w:color="auto"/>
          </w:divBdr>
        </w:div>
      </w:divsChild>
    </w:div>
    <w:div w:id="1949508424">
      <w:bodyDiv w:val="1"/>
      <w:marLeft w:val="0"/>
      <w:marRight w:val="0"/>
      <w:marTop w:val="0"/>
      <w:marBottom w:val="0"/>
      <w:divBdr>
        <w:top w:val="none" w:sz="0" w:space="0" w:color="auto"/>
        <w:left w:val="none" w:sz="0" w:space="0" w:color="auto"/>
        <w:bottom w:val="none" w:sz="0" w:space="0" w:color="auto"/>
        <w:right w:val="none" w:sz="0" w:space="0" w:color="auto"/>
      </w:divBdr>
      <w:divsChild>
        <w:div w:id="1348365383">
          <w:marLeft w:val="0"/>
          <w:marRight w:val="720"/>
          <w:marTop w:val="0"/>
          <w:marBottom w:val="0"/>
          <w:divBdr>
            <w:top w:val="none" w:sz="0" w:space="0" w:color="auto"/>
            <w:left w:val="none" w:sz="0" w:space="0" w:color="auto"/>
            <w:bottom w:val="none" w:sz="0" w:space="0" w:color="auto"/>
            <w:right w:val="none" w:sz="0" w:space="0" w:color="auto"/>
          </w:divBdr>
        </w:div>
        <w:div w:id="327556968">
          <w:marLeft w:val="0"/>
          <w:marRight w:val="0"/>
          <w:marTop w:val="0"/>
          <w:marBottom w:val="0"/>
          <w:divBdr>
            <w:top w:val="none" w:sz="0" w:space="0" w:color="auto"/>
            <w:left w:val="none" w:sz="0" w:space="0" w:color="auto"/>
            <w:bottom w:val="none" w:sz="0" w:space="0" w:color="auto"/>
            <w:right w:val="none" w:sz="0" w:space="0" w:color="auto"/>
          </w:divBdr>
        </w:div>
      </w:divsChild>
    </w:div>
    <w:div w:id="1962033766">
      <w:bodyDiv w:val="1"/>
      <w:marLeft w:val="0"/>
      <w:marRight w:val="0"/>
      <w:marTop w:val="0"/>
      <w:marBottom w:val="0"/>
      <w:divBdr>
        <w:top w:val="none" w:sz="0" w:space="0" w:color="auto"/>
        <w:left w:val="none" w:sz="0" w:space="0" w:color="auto"/>
        <w:bottom w:val="none" w:sz="0" w:space="0" w:color="auto"/>
        <w:right w:val="none" w:sz="0" w:space="0" w:color="auto"/>
      </w:divBdr>
      <w:divsChild>
        <w:div w:id="1148666958">
          <w:marLeft w:val="0"/>
          <w:marRight w:val="720"/>
          <w:marTop w:val="0"/>
          <w:marBottom w:val="0"/>
          <w:divBdr>
            <w:top w:val="none" w:sz="0" w:space="0" w:color="auto"/>
            <w:left w:val="none" w:sz="0" w:space="0" w:color="auto"/>
            <w:bottom w:val="none" w:sz="0" w:space="0" w:color="auto"/>
            <w:right w:val="none" w:sz="0" w:space="0" w:color="auto"/>
          </w:divBdr>
        </w:div>
        <w:div w:id="89931630">
          <w:marLeft w:val="0"/>
          <w:marRight w:val="0"/>
          <w:marTop w:val="0"/>
          <w:marBottom w:val="0"/>
          <w:divBdr>
            <w:top w:val="none" w:sz="0" w:space="0" w:color="auto"/>
            <w:left w:val="none" w:sz="0" w:space="0" w:color="auto"/>
            <w:bottom w:val="none" w:sz="0" w:space="0" w:color="auto"/>
            <w:right w:val="none" w:sz="0" w:space="0" w:color="auto"/>
          </w:divBdr>
        </w:div>
      </w:divsChild>
    </w:div>
    <w:div w:id="2012372773">
      <w:bodyDiv w:val="1"/>
      <w:marLeft w:val="0"/>
      <w:marRight w:val="0"/>
      <w:marTop w:val="0"/>
      <w:marBottom w:val="0"/>
      <w:divBdr>
        <w:top w:val="none" w:sz="0" w:space="0" w:color="auto"/>
        <w:left w:val="none" w:sz="0" w:space="0" w:color="auto"/>
        <w:bottom w:val="none" w:sz="0" w:space="0" w:color="auto"/>
        <w:right w:val="none" w:sz="0" w:space="0" w:color="auto"/>
      </w:divBdr>
      <w:divsChild>
        <w:div w:id="1733694134">
          <w:marLeft w:val="0"/>
          <w:marRight w:val="720"/>
          <w:marTop w:val="0"/>
          <w:marBottom w:val="0"/>
          <w:divBdr>
            <w:top w:val="none" w:sz="0" w:space="0" w:color="auto"/>
            <w:left w:val="none" w:sz="0" w:space="0" w:color="auto"/>
            <w:bottom w:val="none" w:sz="0" w:space="0" w:color="auto"/>
            <w:right w:val="none" w:sz="0" w:space="0" w:color="auto"/>
          </w:divBdr>
        </w:div>
        <w:div w:id="1840535905">
          <w:marLeft w:val="0"/>
          <w:marRight w:val="0"/>
          <w:marTop w:val="0"/>
          <w:marBottom w:val="0"/>
          <w:divBdr>
            <w:top w:val="none" w:sz="0" w:space="0" w:color="auto"/>
            <w:left w:val="none" w:sz="0" w:space="0" w:color="auto"/>
            <w:bottom w:val="none" w:sz="0" w:space="0" w:color="auto"/>
            <w:right w:val="none" w:sz="0" w:space="0" w:color="auto"/>
          </w:divBdr>
        </w:div>
      </w:divsChild>
    </w:div>
    <w:div w:id="2025856865">
      <w:bodyDiv w:val="1"/>
      <w:marLeft w:val="0"/>
      <w:marRight w:val="0"/>
      <w:marTop w:val="0"/>
      <w:marBottom w:val="0"/>
      <w:divBdr>
        <w:top w:val="none" w:sz="0" w:space="0" w:color="auto"/>
        <w:left w:val="none" w:sz="0" w:space="0" w:color="auto"/>
        <w:bottom w:val="none" w:sz="0" w:space="0" w:color="auto"/>
        <w:right w:val="none" w:sz="0" w:space="0" w:color="auto"/>
      </w:divBdr>
      <w:divsChild>
        <w:div w:id="236789407">
          <w:marLeft w:val="0"/>
          <w:marRight w:val="720"/>
          <w:marTop w:val="0"/>
          <w:marBottom w:val="0"/>
          <w:divBdr>
            <w:top w:val="none" w:sz="0" w:space="0" w:color="auto"/>
            <w:left w:val="none" w:sz="0" w:space="0" w:color="auto"/>
            <w:bottom w:val="none" w:sz="0" w:space="0" w:color="auto"/>
            <w:right w:val="none" w:sz="0" w:space="0" w:color="auto"/>
          </w:divBdr>
        </w:div>
        <w:div w:id="1174884554">
          <w:marLeft w:val="0"/>
          <w:marRight w:val="0"/>
          <w:marTop w:val="0"/>
          <w:marBottom w:val="0"/>
          <w:divBdr>
            <w:top w:val="none" w:sz="0" w:space="0" w:color="auto"/>
            <w:left w:val="none" w:sz="0" w:space="0" w:color="auto"/>
            <w:bottom w:val="none" w:sz="0" w:space="0" w:color="auto"/>
            <w:right w:val="none" w:sz="0" w:space="0" w:color="auto"/>
          </w:divBdr>
        </w:div>
      </w:divsChild>
    </w:div>
    <w:div w:id="2078671509">
      <w:bodyDiv w:val="1"/>
      <w:marLeft w:val="0"/>
      <w:marRight w:val="0"/>
      <w:marTop w:val="0"/>
      <w:marBottom w:val="0"/>
      <w:divBdr>
        <w:top w:val="none" w:sz="0" w:space="0" w:color="auto"/>
        <w:left w:val="none" w:sz="0" w:space="0" w:color="auto"/>
        <w:bottom w:val="none" w:sz="0" w:space="0" w:color="auto"/>
        <w:right w:val="none" w:sz="0" w:space="0" w:color="auto"/>
      </w:divBdr>
    </w:div>
    <w:div w:id="2091342968">
      <w:bodyDiv w:val="1"/>
      <w:marLeft w:val="0"/>
      <w:marRight w:val="0"/>
      <w:marTop w:val="0"/>
      <w:marBottom w:val="0"/>
      <w:divBdr>
        <w:top w:val="none" w:sz="0" w:space="0" w:color="auto"/>
        <w:left w:val="none" w:sz="0" w:space="0" w:color="auto"/>
        <w:bottom w:val="none" w:sz="0" w:space="0" w:color="auto"/>
        <w:right w:val="none" w:sz="0" w:space="0" w:color="auto"/>
      </w:divBdr>
    </w:div>
    <w:div w:id="2102681237">
      <w:bodyDiv w:val="1"/>
      <w:marLeft w:val="0"/>
      <w:marRight w:val="0"/>
      <w:marTop w:val="0"/>
      <w:marBottom w:val="0"/>
      <w:divBdr>
        <w:top w:val="none" w:sz="0" w:space="0" w:color="auto"/>
        <w:left w:val="none" w:sz="0" w:space="0" w:color="auto"/>
        <w:bottom w:val="none" w:sz="0" w:space="0" w:color="auto"/>
        <w:right w:val="none" w:sz="0" w:space="0" w:color="auto"/>
      </w:divBdr>
      <w:divsChild>
        <w:div w:id="1363288107">
          <w:marLeft w:val="0"/>
          <w:marRight w:val="720"/>
          <w:marTop w:val="0"/>
          <w:marBottom w:val="0"/>
          <w:divBdr>
            <w:top w:val="none" w:sz="0" w:space="0" w:color="auto"/>
            <w:left w:val="none" w:sz="0" w:space="0" w:color="auto"/>
            <w:bottom w:val="none" w:sz="0" w:space="0" w:color="auto"/>
            <w:right w:val="none" w:sz="0" w:space="0" w:color="auto"/>
          </w:divBdr>
        </w:div>
        <w:div w:id="5967128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aylorandfrancis.com/knowledge/Engineering_and_technology/Chemical_engineering/Brisance/" TargetMode="External"/><Relationship Id="rId18" Type="http://schemas.openxmlformats.org/officeDocument/2006/relationships/hyperlink" Target="https://www.federalregister.gov/documents/2020/01/14/2019-28447/electronic-detonator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chemring.com/~/media/Files/C/Chemring-V3/documents/energetics/PE8%20Plastic%20Explosive%20Iss%2013%20Nov%2020.pdf" TargetMode="External"/><Relationship Id="rId7" Type="http://schemas.openxmlformats.org/officeDocument/2006/relationships/endnotes" Target="endnotes.xml"/><Relationship Id="rId12" Type="http://schemas.openxmlformats.org/officeDocument/2006/relationships/hyperlink" Target="https://www.globalspec.com/reference/55649/203279/oxygen-balance" TargetMode="External"/><Relationship Id="rId17" Type="http://schemas.openxmlformats.org/officeDocument/2006/relationships/hyperlink" Target="https://pubchem.ncbi.nlm.nih.gov/compound/RDX"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ubchem.ncbi.nlm.nih.gov/compound/2_3_6-Trinitrotoluene" TargetMode="External"/><Relationship Id="rId20" Type="http://schemas.openxmlformats.org/officeDocument/2006/relationships/hyperlink" Target="https://www.teledynedefenseelectronics.com/what-we-do/energetics/initiation-components-systems-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wiley.com/en-us/High+Energy+Materials%3A+Propellants%2C+Explosives+and+Pyrotechnics-p-9783527326105" TargetMode="External"/><Relationship Id="rId5" Type="http://schemas.openxmlformats.org/officeDocument/2006/relationships/webSettings" Target="webSettings.xml"/><Relationship Id="rId15" Type="http://schemas.openxmlformats.org/officeDocument/2006/relationships/hyperlink" Target="https://www.globalspec.com/reference/55650/203279/decomposition-reactions" TargetMode="External"/><Relationship Id="rId23" Type="http://schemas.openxmlformats.org/officeDocument/2006/relationships/hyperlink" Target="https://doi.org/10.3390/nano11092182" TargetMode="External"/><Relationship Id="rId10" Type="http://schemas.openxmlformats.org/officeDocument/2006/relationships/image" Target="media/image3.png"/><Relationship Id="rId19" Type="http://schemas.openxmlformats.org/officeDocument/2006/relationships/hyperlink" Target="https://doi.org/10.1007/978-1-4020-2795-6_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citoys.com/testing_explo.html" TargetMode="External"/><Relationship Id="rId22" Type="http://schemas.openxmlformats.org/officeDocument/2006/relationships/hyperlink" Target="https://doi.org/10.1017/flo.2024.8"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5ED253F-311D-4E89-82B2-F6F7F183D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12</Pages>
  <Words>3568</Words>
  <Characters>20344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Cowen Dan AWE</dc:creator>
  <cp:keywords/>
  <dc:description/>
  <cp:lastModifiedBy>Cowen Dan AWE</cp:lastModifiedBy>
  <cp:revision>25</cp:revision>
  <dcterms:created xsi:type="dcterms:W3CDTF">2025-07-09T13:51:00Z</dcterms:created>
  <dcterms:modified xsi:type="dcterms:W3CDTF">2025-07-10T08:52:00Z</dcterms:modified>
</cp:coreProperties>
</file>