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7E1AAD" w14:textId="77777777" w:rsidR="00B24997" w:rsidRPr="00B24997" w:rsidRDefault="00B24997" w:rsidP="00B24997">
      <w:pPr>
        <w:suppressAutoHyphens/>
        <w:spacing w:after="0" w:line="360" w:lineRule="auto"/>
        <w:jc w:val="center"/>
        <w:rPr>
          <w:rFonts w:ascii="Arial" w:eastAsia="Droid Sans" w:hAnsi="Arial" w:cs="Arial"/>
          <w:b/>
          <w:i/>
          <w:color w:val="000000"/>
          <w:sz w:val="96"/>
          <w:szCs w:val="96"/>
          <w:u w:val="single"/>
          <w:lang w:eastAsia="hi-IN" w:bidi="hi-IN"/>
        </w:rPr>
      </w:pPr>
      <w:r w:rsidRPr="00B24997">
        <w:rPr>
          <w:rFonts w:ascii="Arial" w:eastAsia="Droid Sans" w:hAnsi="Arial" w:cs="Arial"/>
          <w:b/>
          <w:noProof/>
          <w:sz w:val="28"/>
          <w:szCs w:val="28"/>
          <w:lang w:eastAsia="hi-IN" w:bidi="hi-IN"/>
        </w:rPr>
        <w:drawing>
          <wp:inline distT="0" distB="0" distL="0" distR="0" wp14:anchorId="5A6F4B05" wp14:editId="7A9DE889">
            <wp:extent cx="2994660" cy="1676400"/>
            <wp:effectExtent l="0" t="0" r="0" b="0"/>
            <wp:docPr id="5" name="Picture 2"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lose-up of a logo&#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4660" cy="1676400"/>
                    </a:xfrm>
                    <a:prstGeom prst="rect">
                      <a:avLst/>
                    </a:prstGeom>
                    <a:noFill/>
                    <a:ln>
                      <a:noFill/>
                    </a:ln>
                  </pic:spPr>
                </pic:pic>
              </a:graphicData>
            </a:graphic>
          </wp:inline>
        </w:drawing>
      </w:r>
    </w:p>
    <w:p w14:paraId="1CD2347E" w14:textId="77777777" w:rsidR="00B24997" w:rsidRPr="00B24997" w:rsidRDefault="00B24997" w:rsidP="00B24997">
      <w:pPr>
        <w:suppressAutoHyphens/>
        <w:spacing w:after="0" w:line="360" w:lineRule="auto"/>
        <w:jc w:val="center"/>
        <w:rPr>
          <w:rFonts w:ascii="Arial" w:eastAsia="Droid Sans" w:hAnsi="Arial" w:cs="Arial"/>
          <w:b/>
          <w:bCs/>
          <w:color w:val="000000"/>
          <w:sz w:val="40"/>
          <w:szCs w:val="40"/>
          <w:lang w:eastAsia="hi-IN" w:bidi="hi-IN"/>
        </w:rPr>
      </w:pPr>
      <w:r w:rsidRPr="00B24997">
        <w:rPr>
          <w:rFonts w:ascii="Arial" w:eastAsia="Droid Sans" w:hAnsi="Arial" w:cs="Arial"/>
          <w:b/>
          <w:bCs/>
          <w:color w:val="000000"/>
          <w:sz w:val="40"/>
          <w:szCs w:val="40"/>
          <w:lang w:eastAsia="hi-IN" w:bidi="hi-IN"/>
        </w:rPr>
        <w:t>BA Business Management</w:t>
      </w:r>
    </w:p>
    <w:p w14:paraId="43318D57" w14:textId="77777777" w:rsidR="00B24997" w:rsidRDefault="00B24997" w:rsidP="00B24997">
      <w:pPr>
        <w:suppressAutoHyphens/>
        <w:spacing w:after="0" w:line="360" w:lineRule="auto"/>
        <w:jc w:val="center"/>
        <w:rPr>
          <w:rFonts w:ascii="Arial" w:eastAsia="Droid Sans" w:hAnsi="Arial" w:cs="Arial"/>
          <w:b/>
          <w:bCs/>
          <w:color w:val="000000"/>
          <w:sz w:val="40"/>
          <w:szCs w:val="40"/>
          <w:lang w:eastAsia="hi-IN" w:bidi="hi-IN"/>
        </w:rPr>
      </w:pPr>
      <w:r w:rsidRPr="00B24997">
        <w:rPr>
          <w:rFonts w:ascii="Arial" w:eastAsia="Droid Sans" w:hAnsi="Arial" w:cs="Arial"/>
          <w:b/>
          <w:bCs/>
          <w:color w:val="000000"/>
          <w:sz w:val="40"/>
          <w:szCs w:val="40"/>
          <w:lang w:eastAsia="hi-IN" w:bidi="hi-IN"/>
        </w:rPr>
        <w:t>Global Business Environment</w:t>
      </w:r>
      <w:r w:rsidRPr="00B24997">
        <w:rPr>
          <w:rFonts w:ascii="Arial" w:eastAsia="Droid Sans" w:hAnsi="Arial" w:cs="Arial"/>
          <w:b/>
          <w:bCs/>
          <w:color w:val="000000"/>
          <w:sz w:val="40"/>
          <w:szCs w:val="40"/>
          <w:lang w:eastAsia="hi-IN" w:bidi="hi-IN"/>
        </w:rPr>
        <w:t xml:space="preserve"> </w:t>
      </w:r>
    </w:p>
    <w:p w14:paraId="6A9CBC4C" w14:textId="05FBC718" w:rsidR="00B24997" w:rsidRPr="00B24997" w:rsidRDefault="00B24997" w:rsidP="00B24997">
      <w:pPr>
        <w:suppressAutoHyphens/>
        <w:spacing w:after="0" w:line="360" w:lineRule="auto"/>
        <w:jc w:val="center"/>
        <w:rPr>
          <w:rFonts w:ascii="Arial" w:eastAsia="Droid Sans" w:hAnsi="Arial" w:cs="Arial"/>
          <w:b/>
          <w:bCs/>
          <w:color w:val="000000"/>
          <w:sz w:val="40"/>
          <w:szCs w:val="40"/>
          <w:lang w:eastAsia="hi-IN" w:bidi="hi-IN"/>
        </w:rPr>
      </w:pPr>
      <w:r w:rsidRPr="00B24997">
        <w:rPr>
          <w:rFonts w:ascii="Arial" w:eastAsia="Droid Sans" w:hAnsi="Arial" w:cs="Arial"/>
          <w:b/>
          <w:bCs/>
          <w:color w:val="000000"/>
          <w:sz w:val="40"/>
          <w:szCs w:val="40"/>
          <w:lang w:eastAsia="hi-IN" w:bidi="hi-IN"/>
        </w:rPr>
        <w:t>Component 1: Coursework:</w:t>
      </w:r>
    </w:p>
    <w:p w14:paraId="4F44303F" w14:textId="77777777" w:rsidR="00B24997" w:rsidRDefault="00B24997" w:rsidP="00B24997">
      <w:pPr>
        <w:suppressAutoHyphens/>
        <w:spacing w:after="0" w:line="360" w:lineRule="auto"/>
        <w:jc w:val="center"/>
        <w:rPr>
          <w:rFonts w:ascii="Arial" w:eastAsia="Droid Sans" w:hAnsi="Arial" w:cs="Arial"/>
          <w:b/>
          <w:bCs/>
          <w:noProof/>
          <w:color w:val="000000"/>
          <w:sz w:val="40"/>
          <w:szCs w:val="40"/>
          <w:lang w:eastAsia="hi-IN" w:bidi="hi-IN"/>
        </w:rPr>
      </w:pPr>
      <w:r w:rsidRPr="00B24997">
        <w:rPr>
          <w:rFonts w:ascii="Arial" w:eastAsia="Droid Sans" w:hAnsi="Arial" w:cs="Arial"/>
          <w:b/>
          <w:bCs/>
          <w:color w:val="000000"/>
          <w:sz w:val="40"/>
          <w:szCs w:val="40"/>
          <w:lang w:eastAsia="hi-IN" w:bidi="hi-IN"/>
        </w:rPr>
        <w:t>Essay</w:t>
      </w:r>
      <w:r w:rsidRPr="00B24997">
        <w:rPr>
          <w:rFonts w:ascii="Arial" w:eastAsia="Droid Sans" w:hAnsi="Arial" w:cs="Arial"/>
          <w:b/>
          <w:bCs/>
          <w:noProof/>
          <w:color w:val="000000"/>
          <w:sz w:val="40"/>
          <w:szCs w:val="40"/>
          <w:lang w:eastAsia="hi-IN" w:bidi="hi-IN"/>
        </w:rPr>
        <w:t xml:space="preserve"> </w:t>
      </w:r>
    </w:p>
    <w:p w14:paraId="62F04BAE" w14:textId="0AD95951" w:rsidR="00B24997" w:rsidRPr="00B24997" w:rsidRDefault="00B24997" w:rsidP="00B24997">
      <w:pPr>
        <w:suppressAutoHyphens/>
        <w:spacing w:after="0" w:line="360" w:lineRule="auto"/>
        <w:jc w:val="center"/>
        <w:rPr>
          <w:rFonts w:ascii="Arial" w:eastAsia="Droid Sans" w:hAnsi="Arial" w:cs="Arial"/>
          <w:b/>
          <w:bCs/>
          <w:color w:val="000000"/>
          <w:sz w:val="40"/>
          <w:szCs w:val="40"/>
          <w:lang w:eastAsia="hi-IN" w:bidi="hi-IN"/>
        </w:rPr>
      </w:pPr>
      <w:r w:rsidRPr="00B24997">
        <w:rPr>
          <w:rFonts w:ascii="Arial" w:eastAsia="Droid Sans" w:hAnsi="Arial" w:cs="Arial"/>
          <w:b/>
          <w:noProof/>
          <w:color w:val="000000"/>
          <w:sz w:val="40"/>
          <w:szCs w:val="40"/>
          <w:lang w:eastAsia="hi-IN" w:bidi="hi-IN"/>
        </w:rPr>
        <w:drawing>
          <wp:inline distT="0" distB="0" distL="0" distR="0" wp14:anchorId="16EEDB4A" wp14:editId="645F61C0">
            <wp:extent cx="1836420" cy="1036320"/>
            <wp:effectExtent l="0" t="0" r="0" b="0"/>
            <wp:docPr id="6" name="Picture 1" descr="A drawing of two hea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rawing of two head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36420" cy="1036320"/>
                    </a:xfrm>
                    <a:prstGeom prst="rect">
                      <a:avLst/>
                    </a:prstGeom>
                    <a:noFill/>
                    <a:ln>
                      <a:noFill/>
                    </a:ln>
                  </pic:spPr>
                </pic:pic>
              </a:graphicData>
            </a:graphic>
          </wp:inline>
        </w:drawing>
      </w:r>
    </w:p>
    <w:p w14:paraId="379449B9" w14:textId="77777777" w:rsidR="00B24997" w:rsidRPr="00B24997" w:rsidRDefault="00B24997" w:rsidP="00B24997">
      <w:pPr>
        <w:widowControl w:val="0"/>
        <w:suppressAutoHyphens/>
        <w:spacing w:after="0" w:line="240" w:lineRule="auto"/>
        <w:rPr>
          <w:rFonts w:ascii="Arial" w:eastAsia="DejaVu Sans Mono" w:hAnsi="Arial" w:cs="Arial"/>
          <w:b/>
          <w:bCs/>
          <w:sz w:val="32"/>
          <w:szCs w:val="32"/>
          <w:lang w:eastAsia="hi-IN" w:bidi="hi-IN"/>
        </w:rPr>
      </w:pPr>
    </w:p>
    <w:p w14:paraId="4EDD0D2E" w14:textId="77777777" w:rsidR="00B24997" w:rsidRPr="00B24997" w:rsidRDefault="00B24997" w:rsidP="00B24997">
      <w:pPr>
        <w:widowControl w:val="0"/>
        <w:suppressAutoHyphens/>
        <w:spacing w:after="0" w:line="240" w:lineRule="auto"/>
        <w:rPr>
          <w:rFonts w:ascii="Arial" w:eastAsia="DejaVu Sans Mono" w:hAnsi="Arial" w:cs="Arial"/>
          <w:sz w:val="28"/>
          <w:szCs w:val="28"/>
          <w:lang w:eastAsia="hi-IN" w:bidi="hi-IN"/>
        </w:rPr>
      </w:pPr>
    </w:p>
    <w:p w14:paraId="114F88C9" w14:textId="77777777" w:rsidR="00B24997" w:rsidRPr="00B24997" w:rsidRDefault="00B24997" w:rsidP="00B24997">
      <w:pPr>
        <w:widowControl w:val="0"/>
        <w:suppressAutoHyphens/>
        <w:spacing w:after="0" w:line="240" w:lineRule="auto"/>
        <w:rPr>
          <w:rFonts w:ascii="Arial" w:eastAsia="DejaVu Sans Mono" w:hAnsi="Arial" w:cs="Arial"/>
          <w:sz w:val="28"/>
          <w:szCs w:val="28"/>
          <w:lang w:eastAsia="hi-IN" w:bidi="hi-IN"/>
        </w:rPr>
      </w:pPr>
      <w:r w:rsidRPr="00B24997">
        <w:rPr>
          <w:rFonts w:ascii="Arial" w:eastAsia="DejaVu Sans Mono" w:hAnsi="Arial" w:cs="Arial"/>
          <w:sz w:val="28"/>
          <w:szCs w:val="28"/>
          <w:lang w:eastAsia="hi-IN" w:bidi="hi-IN"/>
        </w:rPr>
        <w:t>Student Name and ID: Andreea Alina Balan, 2213951</w:t>
      </w:r>
    </w:p>
    <w:p w14:paraId="333F5027" w14:textId="34E3666F" w:rsidR="00B24997" w:rsidRPr="00B24997" w:rsidRDefault="00B24997" w:rsidP="00B24997">
      <w:pPr>
        <w:widowControl w:val="0"/>
        <w:suppressAutoHyphens/>
        <w:spacing w:after="0" w:line="240" w:lineRule="auto"/>
        <w:rPr>
          <w:rFonts w:ascii="Arial" w:eastAsia="DejaVu Sans Mono" w:hAnsi="Arial" w:cs="Arial"/>
          <w:sz w:val="28"/>
          <w:szCs w:val="28"/>
          <w:lang w:eastAsia="hi-IN" w:bidi="hi-IN"/>
        </w:rPr>
      </w:pPr>
      <w:r w:rsidRPr="00B24997">
        <w:rPr>
          <w:rFonts w:ascii="Arial" w:eastAsia="DejaVu Sans Mono" w:hAnsi="Arial" w:cs="Arial"/>
          <w:sz w:val="28"/>
          <w:szCs w:val="28"/>
          <w:lang w:eastAsia="hi-IN" w:bidi="hi-IN"/>
        </w:rPr>
        <w:t>Lecturer Name: Rita Ukachi-Lois</w:t>
      </w:r>
    </w:p>
    <w:p w14:paraId="1EF2A670" w14:textId="77777777" w:rsidR="00B24997" w:rsidRPr="00B24997" w:rsidRDefault="00B24997" w:rsidP="00B24997">
      <w:pPr>
        <w:widowControl w:val="0"/>
        <w:suppressAutoHyphens/>
        <w:spacing w:after="0" w:line="240" w:lineRule="auto"/>
        <w:rPr>
          <w:rFonts w:ascii="Arial" w:eastAsia="DejaVu Sans Mono" w:hAnsi="Arial" w:cs="Arial"/>
          <w:sz w:val="28"/>
          <w:szCs w:val="28"/>
          <w:lang w:eastAsia="hi-IN" w:bidi="hi-IN"/>
        </w:rPr>
      </w:pPr>
      <w:r w:rsidRPr="00B24997">
        <w:rPr>
          <w:rFonts w:ascii="Arial" w:eastAsia="DejaVu Sans Mono" w:hAnsi="Arial" w:cs="Arial"/>
          <w:sz w:val="28"/>
          <w:szCs w:val="28"/>
          <w:lang w:eastAsia="hi-IN" w:bidi="hi-IN"/>
        </w:rPr>
        <w:t xml:space="preserve">Assessment 1- Individual Report </w:t>
      </w:r>
    </w:p>
    <w:p w14:paraId="5DE7C7FD" w14:textId="3B72400B" w:rsidR="00B24997" w:rsidRPr="00B24997" w:rsidRDefault="00B24997" w:rsidP="00B24997">
      <w:pPr>
        <w:widowControl w:val="0"/>
        <w:suppressAutoHyphens/>
        <w:spacing w:after="0" w:line="240" w:lineRule="auto"/>
        <w:rPr>
          <w:rFonts w:ascii="Arial" w:eastAsia="DejaVu Sans Mono" w:hAnsi="Arial" w:cs="Arial"/>
          <w:sz w:val="28"/>
          <w:szCs w:val="28"/>
          <w:lang w:eastAsia="hi-IN" w:bidi="hi-IN"/>
        </w:rPr>
      </w:pPr>
      <w:r w:rsidRPr="00B24997">
        <w:rPr>
          <w:rFonts w:ascii="Arial" w:eastAsia="DejaVu Sans Mono" w:hAnsi="Arial" w:cs="Arial"/>
          <w:sz w:val="28"/>
          <w:szCs w:val="28"/>
          <w:lang w:eastAsia="hi-IN" w:bidi="hi-IN"/>
        </w:rPr>
        <w:t xml:space="preserve">Submission Deadline: </w:t>
      </w:r>
      <w:r>
        <w:rPr>
          <w:rFonts w:ascii="Arial" w:eastAsia="DejaVu Sans Mono" w:hAnsi="Arial" w:cs="Arial"/>
          <w:sz w:val="28"/>
          <w:szCs w:val="28"/>
          <w:lang w:eastAsia="hi-IN" w:bidi="hi-IN"/>
        </w:rPr>
        <w:t>23/</w:t>
      </w:r>
      <w:r w:rsidRPr="00B24997">
        <w:rPr>
          <w:rFonts w:ascii="Arial" w:eastAsia="DejaVu Sans Mono" w:hAnsi="Arial" w:cs="Arial"/>
          <w:sz w:val="28"/>
          <w:szCs w:val="28"/>
          <w:lang w:eastAsia="hi-IN" w:bidi="hi-IN"/>
        </w:rPr>
        <w:t>08/2024</w:t>
      </w:r>
    </w:p>
    <w:p w14:paraId="1FF022AF" w14:textId="6B3CE03C" w:rsidR="00B24997" w:rsidRPr="00B24997" w:rsidRDefault="00B24997" w:rsidP="00B24997">
      <w:pPr>
        <w:widowControl w:val="0"/>
        <w:suppressAutoHyphens/>
        <w:spacing w:after="0" w:line="240" w:lineRule="auto"/>
        <w:rPr>
          <w:rFonts w:ascii="Arial" w:eastAsia="DejaVu Sans Mono" w:hAnsi="Arial" w:cs="Arial"/>
          <w:sz w:val="28"/>
          <w:szCs w:val="28"/>
          <w:lang w:eastAsia="hi-IN" w:bidi="hi-IN"/>
        </w:rPr>
      </w:pPr>
      <w:r w:rsidRPr="00B24997">
        <w:rPr>
          <w:rFonts w:ascii="Arial" w:eastAsia="DejaVu Sans Mono" w:hAnsi="Arial" w:cs="Arial"/>
          <w:sz w:val="28"/>
          <w:szCs w:val="28"/>
          <w:lang w:eastAsia="hi-IN" w:bidi="hi-IN"/>
        </w:rPr>
        <w:t xml:space="preserve">Word Count: </w:t>
      </w:r>
      <w:r>
        <w:rPr>
          <w:rFonts w:ascii="Arial" w:eastAsia="DejaVu Sans Mono" w:hAnsi="Arial" w:cs="Arial"/>
          <w:sz w:val="28"/>
          <w:szCs w:val="28"/>
          <w:lang w:eastAsia="hi-IN" w:bidi="hi-IN"/>
        </w:rPr>
        <w:t>15</w:t>
      </w:r>
      <w:r w:rsidRPr="00B24997">
        <w:rPr>
          <w:rFonts w:ascii="Arial" w:eastAsia="DejaVu Sans Mono" w:hAnsi="Arial" w:cs="Arial"/>
          <w:sz w:val="28"/>
          <w:szCs w:val="28"/>
          <w:lang w:eastAsia="hi-IN" w:bidi="hi-IN"/>
        </w:rPr>
        <w:t xml:space="preserve">00 words </w:t>
      </w:r>
    </w:p>
    <w:p w14:paraId="24247DC6" w14:textId="77777777" w:rsidR="00C43883" w:rsidRPr="00B24997" w:rsidRDefault="00C43883" w:rsidP="00B24997">
      <w:pPr>
        <w:spacing w:line="360" w:lineRule="auto"/>
        <w:rPr>
          <w:rFonts w:ascii="Arial" w:hAnsi="Arial" w:cs="Arial"/>
          <w:b/>
          <w:bCs/>
          <w:lang w:val="en-US"/>
        </w:rPr>
      </w:pPr>
      <w:r w:rsidRPr="00B24997">
        <w:rPr>
          <w:rFonts w:ascii="Arial" w:hAnsi="Arial" w:cs="Arial"/>
          <w:b/>
          <w:bCs/>
          <w:lang w:val="en-US"/>
        </w:rPr>
        <w:br w:type="page"/>
      </w:r>
    </w:p>
    <w:p w14:paraId="26F9ECD3" w14:textId="77777777" w:rsidR="00431110" w:rsidRPr="00B24997" w:rsidRDefault="00EF7701" w:rsidP="00B24997">
      <w:pPr>
        <w:pStyle w:val="Heading1"/>
        <w:spacing w:line="360" w:lineRule="auto"/>
        <w:rPr>
          <w:rFonts w:ascii="Arial" w:hAnsi="Arial" w:cs="Arial"/>
          <w:lang w:val="en-US"/>
        </w:rPr>
      </w:pPr>
      <w:bookmarkStart w:id="0" w:name="_Toc174715007"/>
      <w:r w:rsidRPr="00B24997">
        <w:rPr>
          <w:rFonts w:ascii="Arial" w:hAnsi="Arial" w:cs="Arial"/>
          <w:lang w:val="en-US"/>
        </w:rPr>
        <w:lastRenderedPageBreak/>
        <w:t>Introduction</w:t>
      </w:r>
      <w:bookmarkEnd w:id="0"/>
      <w:r w:rsidRPr="00B24997">
        <w:rPr>
          <w:rFonts w:ascii="Arial" w:hAnsi="Arial" w:cs="Arial"/>
          <w:lang w:val="en-US"/>
        </w:rPr>
        <w:t xml:space="preserve"> </w:t>
      </w:r>
    </w:p>
    <w:p w14:paraId="5CFF1099" w14:textId="77777777" w:rsidR="00A560E8" w:rsidRPr="00B24997" w:rsidRDefault="00A560E8" w:rsidP="00B24997">
      <w:pPr>
        <w:spacing w:line="360" w:lineRule="auto"/>
        <w:ind w:firstLine="720"/>
        <w:jc w:val="both"/>
        <w:rPr>
          <w:rFonts w:ascii="Arial" w:hAnsi="Arial" w:cs="Arial"/>
          <w:lang w:val="en-US"/>
        </w:rPr>
      </w:pPr>
      <w:r w:rsidRPr="00B24997">
        <w:rPr>
          <w:rFonts w:ascii="Arial" w:hAnsi="Arial" w:cs="Arial"/>
          <w:lang w:val="en-US"/>
        </w:rPr>
        <w:t>PESTLE analysis is an organizational strategic tool which focuses on external operating environment factors. PESTLE is made up of Political, Economic, Social, Technological, Legal and Environmental factors that relate to governmental, market, cultural, technological, legal and environmental systems that have an impact on business activities</w:t>
      </w:r>
      <w:r w:rsidR="0002648E" w:rsidRPr="00B24997">
        <w:rPr>
          <w:rFonts w:ascii="Arial" w:hAnsi="Arial" w:cs="Arial"/>
          <w:lang w:val="en-US"/>
        </w:rPr>
        <w:t xml:space="preserve"> (Eierle et al., 2022)</w:t>
      </w:r>
      <w:r w:rsidRPr="00B24997">
        <w:rPr>
          <w:rFonts w:ascii="Arial" w:hAnsi="Arial" w:cs="Arial"/>
          <w:lang w:val="en-US"/>
        </w:rPr>
        <w:t>. It is therefore the aim of this essay to identify the various variables that are associated with each of the PESTLE factors and later demonstrate the effects thereof with examples pertinent to business. The following evaluation will assist in establishing how external environment influences business on the activity, whether it is through the alteration of business laws, transformations in customer preferences and trends among other variables.</w:t>
      </w:r>
    </w:p>
    <w:p w14:paraId="402CB565" w14:textId="77777777" w:rsidR="00F1021A" w:rsidRPr="00B24997" w:rsidRDefault="00F1021A" w:rsidP="00B24997">
      <w:pPr>
        <w:pStyle w:val="Heading1"/>
        <w:spacing w:line="360" w:lineRule="auto"/>
        <w:rPr>
          <w:rFonts w:ascii="Arial" w:hAnsi="Arial" w:cs="Arial"/>
          <w:lang w:val="en-US"/>
        </w:rPr>
      </w:pPr>
      <w:bookmarkStart w:id="1" w:name="_Toc174715008"/>
      <w:r w:rsidRPr="00B24997">
        <w:rPr>
          <w:rFonts w:ascii="Arial" w:hAnsi="Arial" w:cs="Arial"/>
          <w:lang w:val="en-US"/>
        </w:rPr>
        <w:t>Discussions</w:t>
      </w:r>
      <w:bookmarkEnd w:id="1"/>
    </w:p>
    <w:p w14:paraId="0E37A82E" w14:textId="77777777" w:rsidR="00431110" w:rsidRPr="00B24997" w:rsidRDefault="00A560E8" w:rsidP="00B24997">
      <w:pPr>
        <w:spacing w:line="360" w:lineRule="auto"/>
        <w:ind w:firstLine="720"/>
        <w:jc w:val="both"/>
        <w:rPr>
          <w:rFonts w:ascii="Arial" w:hAnsi="Arial" w:cs="Arial"/>
          <w:lang w:val="en-US"/>
        </w:rPr>
      </w:pPr>
      <w:r w:rsidRPr="00B24997">
        <w:rPr>
          <w:rFonts w:ascii="Arial" w:hAnsi="Arial" w:cs="Arial"/>
          <w:lang w:val="en-US"/>
        </w:rPr>
        <w:t>The political environment comprises of the features of governance, being policies, stabilities, taxations, restrictions on trade and tariffs that impact operations. Legal structures inclusive of governances and political measures encompass the control of business exercises inside of a nation. A stable political environment helps the creation of a stable business environment while an unstable political environment works as a hindrance to investment</w:t>
      </w:r>
      <w:r w:rsidR="0002648E" w:rsidRPr="00B24997">
        <w:rPr>
          <w:rFonts w:ascii="Arial" w:hAnsi="Arial" w:cs="Arial"/>
          <w:lang w:val="en-US"/>
        </w:rPr>
        <w:t xml:space="preserve"> (Jänicke and Jörgens, 2020)</w:t>
      </w:r>
      <w:r w:rsidRPr="00B24997">
        <w:rPr>
          <w:rFonts w:ascii="Arial" w:hAnsi="Arial" w:cs="Arial"/>
          <w:lang w:val="en-US"/>
        </w:rPr>
        <w:t>. Taxes and the corporate tax structures also affect profitability and hence decisions such as expansion and investment</w:t>
      </w:r>
      <w:r w:rsidR="006F1131" w:rsidRPr="00B24997">
        <w:rPr>
          <w:rFonts w:ascii="Arial" w:hAnsi="Arial" w:cs="Arial"/>
          <w:lang w:val="en-US"/>
        </w:rPr>
        <w:t xml:space="preserve"> (</w:t>
      </w:r>
      <w:r w:rsidR="006F1131" w:rsidRPr="00B24997">
        <w:rPr>
          <w:rFonts w:ascii="Arial" w:hAnsi="Arial" w:cs="Arial"/>
        </w:rPr>
        <w:t>Morrison, 2023</w:t>
      </w:r>
      <w:r w:rsidR="006F1131" w:rsidRPr="00B24997">
        <w:rPr>
          <w:rFonts w:ascii="Arial" w:hAnsi="Arial" w:cs="Arial"/>
          <w:lang w:val="en-US"/>
        </w:rPr>
        <w:t>)</w:t>
      </w:r>
      <w:r w:rsidRPr="00B24997">
        <w:rPr>
          <w:rFonts w:ascii="Arial" w:hAnsi="Arial" w:cs="Arial"/>
          <w:lang w:val="en-US"/>
        </w:rPr>
        <w:t>. An example is what has befallen the UK businesses following Brexit. For instance, the automobile industry and especially such manufacturing companies as Nissan and Ford endured significant difficulties caused by the new trade barriers and tariffs between the United Kingdom and the European Union. Nissan was forced to reconsider its manufacturing approach or at least its plant in Sunderland with reference to tariffs on automobile shipped to the EU. Like GM, Ford revealed that it faced extra $1 billion in charges and expenses due to Brexit tariffs, and on the disturbances of the supply chain, which had a negative impact on its revenues and performance. These cases depict how political choices will impact on commercial actions, thus raising cost and compromising strategy.</w:t>
      </w:r>
    </w:p>
    <w:p w14:paraId="083BA0F1" w14:textId="089552C8" w:rsidR="00F1021A" w:rsidRPr="00B24997" w:rsidRDefault="00A560E8" w:rsidP="00B24997">
      <w:pPr>
        <w:spacing w:line="360" w:lineRule="auto"/>
        <w:ind w:firstLine="720"/>
        <w:jc w:val="both"/>
        <w:rPr>
          <w:rFonts w:ascii="Arial" w:hAnsi="Arial" w:cs="Arial"/>
          <w:lang w:val="en-US"/>
        </w:rPr>
      </w:pPr>
      <w:r w:rsidRPr="00B24997">
        <w:rPr>
          <w:rFonts w:ascii="Arial" w:hAnsi="Arial" w:cs="Arial"/>
          <w:lang w:val="en-US"/>
        </w:rPr>
        <w:t>The macro environment includes the factors such as inflation, interest rates, exchange rates and economic growth which define the economic environment and essential for the formulation of business strategies and assessing the latter. For instance, pace making erodes purchasing power through increasing the price of consumables in the market. Hiking prices may be the most efficient way to cover additional expenses, a factor that reduces consumers’ spending power, and more so for nondurable goods that people deem nonessential. Credit cost is affected by interest rates; high interest can reduce investment since capital is bulky and costly</w:t>
      </w:r>
      <w:r w:rsidR="0002648E" w:rsidRPr="00B24997">
        <w:rPr>
          <w:rFonts w:ascii="Arial" w:hAnsi="Arial" w:cs="Arial"/>
          <w:lang w:val="en-US"/>
        </w:rPr>
        <w:t xml:space="preserve"> (Ismoilova et al., 2020)</w:t>
      </w:r>
      <w:r w:rsidRPr="00B24997">
        <w:rPr>
          <w:rFonts w:ascii="Arial" w:hAnsi="Arial" w:cs="Arial"/>
          <w:lang w:val="en-US"/>
        </w:rPr>
        <w:t>. Exchange rates tend to have an impact on business that operates in the international market sellers because it changes the capability of the product being sold in a foreign economy. Consumption and demand are influenced by economic growth and in turn drive the plans to expand businesses.</w:t>
      </w:r>
      <w:r w:rsidR="00F1021A" w:rsidRPr="00B24997">
        <w:rPr>
          <w:rFonts w:ascii="Arial" w:hAnsi="Arial" w:cs="Arial"/>
          <w:lang w:val="en-US"/>
        </w:rPr>
        <w:t xml:space="preserve"> </w:t>
      </w:r>
      <w:r w:rsidRPr="00B24997">
        <w:rPr>
          <w:rFonts w:ascii="Arial" w:hAnsi="Arial" w:cs="Arial"/>
          <w:lang w:val="en-US"/>
        </w:rPr>
        <w:t xml:space="preserve">An example is how inflation affected the retail industry and the various companies and firms such as Tesco. Generally, during high inflation, a UK firm such as Tesco, which is a leading grocery retailing company experienced great costs in products and supply chain. Because of this pressure, Tesco had to raise the prices of many of its products, in order to sustain the </w:t>
      </w:r>
      <w:r w:rsidR="00D64CAE" w:rsidRPr="00B24997">
        <w:rPr>
          <w:rFonts w:ascii="Arial" w:hAnsi="Arial" w:cs="Arial"/>
          <w:lang w:val="en-US"/>
        </w:rPr>
        <w:t>much-needed</w:t>
      </w:r>
      <w:r w:rsidRPr="00B24997">
        <w:rPr>
          <w:rFonts w:ascii="Arial" w:hAnsi="Arial" w:cs="Arial"/>
          <w:lang w:val="en-US"/>
        </w:rPr>
        <w:t xml:space="preserve"> profit margins. This paved way to less purchase incidences by the consumers since they focused on the budget price control store that includes Aldi and Lidl. The intensification of competition together with the decline in demand negatively impacted Tesco that in order to cut its costs announced store closings and staff layoffs. </w:t>
      </w:r>
    </w:p>
    <w:p w14:paraId="7299E1D0" w14:textId="777D2C8C" w:rsidR="00F1021A" w:rsidRPr="00B24997" w:rsidRDefault="00A560E8" w:rsidP="00B24997">
      <w:pPr>
        <w:spacing w:line="360" w:lineRule="auto"/>
        <w:ind w:firstLine="720"/>
        <w:jc w:val="both"/>
        <w:rPr>
          <w:rFonts w:ascii="Arial" w:hAnsi="Arial" w:cs="Arial"/>
          <w:lang w:val="en-US"/>
        </w:rPr>
      </w:pPr>
      <w:r w:rsidRPr="00B24997">
        <w:rPr>
          <w:rFonts w:ascii="Arial" w:hAnsi="Arial" w:cs="Arial"/>
          <w:lang w:val="en-US"/>
        </w:rPr>
        <w:t>Demographics, culture, health orientation, and the consumer psyche, form the social environment that influences business and products profoundly</w:t>
      </w:r>
      <w:r w:rsidR="0002648E" w:rsidRPr="00B24997">
        <w:rPr>
          <w:rFonts w:ascii="Arial" w:hAnsi="Arial" w:cs="Arial"/>
          <w:lang w:val="en-US"/>
        </w:rPr>
        <w:t xml:space="preserve"> (Cleveland et al., 2022)</w:t>
      </w:r>
      <w:r w:rsidRPr="00B24997">
        <w:rPr>
          <w:rFonts w:ascii="Arial" w:hAnsi="Arial" w:cs="Arial"/>
          <w:lang w:val="en-US"/>
        </w:rPr>
        <w:t xml:space="preserve">. These demographics include for example the aging population effect or the effect of more people living in the urban areas and can in turn affect the type of goods and services required in the market. It is concerned with how consumers think, act and make decisions in the context of their culture and other factors such as increasing health consciousness that guarantees demand for better and healthier products. Consumer attitude, </w:t>
      </w:r>
      <w:r w:rsidR="00A9369E" w:rsidRPr="00B24997">
        <w:rPr>
          <w:rFonts w:ascii="Arial" w:hAnsi="Arial" w:cs="Arial"/>
          <w:lang w:val="en-US"/>
        </w:rPr>
        <w:t>both positive and</w:t>
      </w:r>
      <w:r w:rsidRPr="00B24997">
        <w:rPr>
          <w:rFonts w:ascii="Arial" w:hAnsi="Arial" w:cs="Arial"/>
          <w:lang w:val="en-US"/>
        </w:rPr>
        <w:t xml:space="preserve"> negative, due to social factors affects the marketability or otherwise of products.</w:t>
      </w:r>
      <w:r w:rsidR="00F1021A" w:rsidRPr="00B24997">
        <w:rPr>
          <w:rFonts w:ascii="Arial" w:hAnsi="Arial" w:cs="Arial"/>
          <w:lang w:val="en-US"/>
        </w:rPr>
        <w:t xml:space="preserve"> </w:t>
      </w:r>
      <w:r w:rsidRPr="00B24997">
        <w:rPr>
          <w:rFonts w:ascii="Arial" w:hAnsi="Arial" w:cs="Arial"/>
          <w:lang w:val="en-US"/>
        </w:rPr>
        <w:t xml:space="preserve">An example for this is that new demographical characteristics or a shift in social paradigms have an impact on the product range of Nestlé. As a result of the changing consumers’ preferences towards the organic, Nestle has seen it fitting to introduce the organic baby foods, </w:t>
      </w:r>
      <w:r w:rsidR="00D64CAE" w:rsidRPr="00B24997">
        <w:rPr>
          <w:rFonts w:ascii="Arial" w:hAnsi="Arial" w:cs="Arial"/>
          <w:lang w:val="en-US"/>
        </w:rPr>
        <w:t>plant-based</w:t>
      </w:r>
      <w:r w:rsidRPr="00B24997">
        <w:rPr>
          <w:rFonts w:ascii="Arial" w:hAnsi="Arial" w:cs="Arial"/>
          <w:lang w:val="en-US"/>
        </w:rPr>
        <w:t xml:space="preserve"> protein and foods with less sugar. The awareness today among consumers mainly to do with health issues and the emphasis on sustainability and ethical sourcing of materials have led Nestlé to continue to change existing production lines and create more product lines that </w:t>
      </w:r>
      <w:r w:rsidR="00F1021A" w:rsidRPr="00B24997">
        <w:rPr>
          <w:rFonts w:ascii="Arial" w:hAnsi="Arial" w:cs="Arial"/>
          <w:lang w:val="en-US"/>
        </w:rPr>
        <w:t>fall under these social shifts.</w:t>
      </w:r>
    </w:p>
    <w:p w14:paraId="1478E579" w14:textId="0EFA2352" w:rsidR="00F1021A" w:rsidRPr="00B24997" w:rsidRDefault="0002648E" w:rsidP="00B24997">
      <w:pPr>
        <w:spacing w:line="360" w:lineRule="auto"/>
        <w:ind w:firstLine="720"/>
        <w:jc w:val="both"/>
        <w:rPr>
          <w:rFonts w:ascii="Arial" w:hAnsi="Arial" w:cs="Arial"/>
          <w:lang w:val="en-US"/>
        </w:rPr>
      </w:pPr>
      <w:r w:rsidRPr="00B24997">
        <w:rPr>
          <w:rFonts w:ascii="Arial" w:hAnsi="Arial" w:cs="Arial"/>
          <w:lang w:val="en-US"/>
        </w:rPr>
        <w:t xml:space="preserve">Technological operation environment subsumes the concepts of technological innovations, </w:t>
      </w:r>
      <w:r w:rsidR="00A560E8" w:rsidRPr="00B24997">
        <w:rPr>
          <w:rFonts w:ascii="Arial" w:hAnsi="Arial" w:cs="Arial"/>
          <w:lang w:val="en-US"/>
        </w:rPr>
        <w:t xml:space="preserve">integration and predominance of technology, human oriented automation and technological research and development activities as well as technological literacy. Technology can bolster creativity by pushing a firm to become more </w:t>
      </w:r>
      <w:r w:rsidR="00D64CAE" w:rsidRPr="00B24997">
        <w:rPr>
          <w:rFonts w:ascii="Arial" w:hAnsi="Arial" w:cs="Arial"/>
          <w:lang w:val="en-US"/>
        </w:rPr>
        <w:t>efficient and</w:t>
      </w:r>
      <w:r w:rsidR="00A560E8" w:rsidRPr="00B24997">
        <w:rPr>
          <w:rFonts w:ascii="Arial" w:hAnsi="Arial" w:cs="Arial"/>
          <w:lang w:val="en-US"/>
        </w:rPr>
        <w:t xml:space="preserve"> trying to squeeze costs out or developing new products and services. It thus implies increased efficiency in the running of business by reducing errors that are likely to be made by human beings</w:t>
      </w:r>
      <w:r w:rsidRPr="00B24997">
        <w:rPr>
          <w:rFonts w:ascii="Arial" w:hAnsi="Arial" w:cs="Arial"/>
          <w:lang w:val="en-US"/>
        </w:rPr>
        <w:t xml:space="preserve"> (Yuan et al., 2020)</w:t>
      </w:r>
      <w:r w:rsidR="00A560E8" w:rsidRPr="00B24997">
        <w:rPr>
          <w:rFonts w:ascii="Arial" w:hAnsi="Arial" w:cs="Arial"/>
          <w:lang w:val="en-US"/>
        </w:rPr>
        <w:t xml:space="preserve">. These organizations undertook significant R &amp; D activities that are essential for sustaining competitiveness by introducing new products or enhancing on the existing stock. One good example that must have been precipitated by the functionality of technology that has embraced business is the e-commerce platform at Amazon. Amazon has transformed the way retailing is done in the present society through the use of advanced technology. By using its advanced technological selling environment, Amazon enables target consumers to be recommended, made to easily purchase their preferred products through one-click orders, and the delivery of the products be done affectionately. The company has adopted automation for example in the fulfillment centers and where robots are used in sorting and packing goods. Further, Amazon has spent richly on R &amp; D and some of the products developed have become source of incomes; for instance, AWS has grown out of Amazon to become a source of substantial income. </w:t>
      </w:r>
    </w:p>
    <w:p w14:paraId="7D07FEA3" w14:textId="7FD38C90" w:rsidR="00F1021A" w:rsidRPr="00B24997" w:rsidRDefault="00A560E8" w:rsidP="00B24997">
      <w:pPr>
        <w:spacing w:line="360" w:lineRule="auto"/>
        <w:ind w:firstLine="720"/>
        <w:jc w:val="both"/>
        <w:rPr>
          <w:rFonts w:ascii="Arial" w:hAnsi="Arial" w:cs="Arial"/>
          <w:lang w:val="en-US"/>
        </w:rPr>
      </w:pPr>
      <w:r w:rsidRPr="00B24997">
        <w:rPr>
          <w:rFonts w:ascii="Arial" w:hAnsi="Arial" w:cs="Arial"/>
          <w:lang w:val="en-US"/>
        </w:rPr>
        <w:t xml:space="preserve">Legal factors can be described as those having to do with the rights and duties of the trading partners and laws and rules according to which business is conducted. Employment laws that define </w:t>
      </w:r>
      <w:r w:rsidR="00A9369E" w:rsidRPr="00B24997">
        <w:rPr>
          <w:rFonts w:ascii="Arial" w:hAnsi="Arial" w:cs="Arial"/>
          <w:lang w:val="en-US"/>
        </w:rPr>
        <w:t>labor</w:t>
      </w:r>
      <w:r w:rsidRPr="00B24997">
        <w:rPr>
          <w:rFonts w:ascii="Arial" w:hAnsi="Arial" w:cs="Arial"/>
          <w:lang w:val="en-US"/>
        </w:rPr>
        <w:t xml:space="preserve"> relations, wages, and remuneration, consumer laws that protect the consumer from unfair practices, health and safety laws that require safe working conditions, and the </w:t>
      </w:r>
      <w:r w:rsidR="00A9369E" w:rsidRPr="00B24997">
        <w:rPr>
          <w:rFonts w:ascii="Arial" w:hAnsi="Arial" w:cs="Arial"/>
          <w:lang w:val="en-US"/>
        </w:rPr>
        <w:t>antitrust</w:t>
      </w:r>
      <w:r w:rsidRPr="00B24997">
        <w:rPr>
          <w:rFonts w:ascii="Arial" w:hAnsi="Arial" w:cs="Arial"/>
          <w:lang w:val="en-US"/>
        </w:rPr>
        <w:t xml:space="preserve"> laws that prevent monopolistic practices among other business laws fall under this category</w:t>
      </w:r>
      <w:r w:rsidR="0002648E" w:rsidRPr="00B24997">
        <w:rPr>
          <w:rFonts w:ascii="Arial" w:hAnsi="Arial" w:cs="Arial"/>
          <w:lang w:val="en-US"/>
        </w:rPr>
        <w:t xml:space="preserve"> (Boyle, 2020)</w:t>
      </w:r>
      <w:r w:rsidRPr="00B24997">
        <w:rPr>
          <w:rFonts w:ascii="Arial" w:hAnsi="Arial" w:cs="Arial"/>
          <w:lang w:val="en-US"/>
        </w:rPr>
        <w:t>. Observance to these laws is important of paramount importance to businesses in order to escape or help them avert legal repercussions, shield their image and operate effectively.</w:t>
      </w:r>
      <w:r w:rsidR="00F1021A" w:rsidRPr="00B24997">
        <w:rPr>
          <w:rFonts w:ascii="Arial" w:hAnsi="Arial" w:cs="Arial"/>
          <w:lang w:val="en-US"/>
        </w:rPr>
        <w:t xml:space="preserve"> </w:t>
      </w:r>
      <w:r w:rsidRPr="00B24997">
        <w:rPr>
          <w:rFonts w:ascii="Arial" w:hAnsi="Arial" w:cs="Arial"/>
          <w:lang w:val="en-US"/>
        </w:rPr>
        <w:t xml:space="preserve">An example is the McDonald firm, which learned to change various aspects of work practices because of shift in labor laws within many of its nations. For instance, the call to increase the minimum wage in the United States compelled McDonalds to reconsider the amount it spends of personnel and operations. In order to manage the </w:t>
      </w:r>
      <w:r w:rsidR="00D64CAE" w:rsidRPr="00B24997">
        <w:rPr>
          <w:rFonts w:ascii="Arial" w:hAnsi="Arial" w:cs="Arial"/>
          <w:lang w:val="en-US"/>
        </w:rPr>
        <w:t>change,</w:t>
      </w:r>
      <w:r w:rsidRPr="00B24997">
        <w:rPr>
          <w:rFonts w:ascii="Arial" w:hAnsi="Arial" w:cs="Arial"/>
          <w:lang w:val="en-US"/>
        </w:rPr>
        <w:t xml:space="preserve"> the company began to introduce technology self-service places for eating in many of the restaurants in effort to cut on labor expenses without compromising on efficiency. Also, there has been increased health and safety practice requirements, which the company had to include in its employee training initiatives for the organization’s workers especially after the emergence of the coronavirus. They affected the </w:t>
      </w:r>
      <w:r w:rsidR="00A9369E" w:rsidRPr="00B24997">
        <w:rPr>
          <w:rFonts w:ascii="Arial" w:hAnsi="Arial" w:cs="Arial"/>
          <w:lang w:val="en-US"/>
        </w:rPr>
        <w:t>labor</w:t>
      </w:r>
      <w:r w:rsidRPr="00B24997">
        <w:rPr>
          <w:rFonts w:ascii="Arial" w:hAnsi="Arial" w:cs="Arial"/>
          <w:lang w:val="en-US"/>
        </w:rPr>
        <w:t xml:space="preserve"> management in the company and caused organizational innovations and changes in staffing in accordance with the current legislation. </w:t>
      </w:r>
    </w:p>
    <w:p w14:paraId="36C0AF72" w14:textId="77777777" w:rsidR="00431110" w:rsidRPr="00B24997" w:rsidRDefault="00A560E8" w:rsidP="00B24997">
      <w:pPr>
        <w:spacing w:line="360" w:lineRule="auto"/>
        <w:ind w:firstLine="720"/>
        <w:jc w:val="both"/>
        <w:rPr>
          <w:rFonts w:ascii="Arial" w:hAnsi="Arial" w:cs="Arial"/>
          <w:lang w:val="en-US"/>
        </w:rPr>
      </w:pPr>
      <w:r w:rsidRPr="00B24997">
        <w:rPr>
          <w:rFonts w:ascii="Arial" w:hAnsi="Arial" w:cs="Arial"/>
          <w:lang w:val="en-US"/>
        </w:rPr>
        <w:t>Environmental parameters in PESTLE analysis include matters, such as environmental restrictions, environmental friendliness, climate change, and disposal within organizations that are also gradually gaining important roles in the management of businesses</w:t>
      </w:r>
      <w:r w:rsidR="0002648E" w:rsidRPr="00B24997">
        <w:rPr>
          <w:rFonts w:ascii="Arial" w:hAnsi="Arial" w:cs="Arial"/>
          <w:lang w:val="en-US"/>
        </w:rPr>
        <w:t xml:space="preserve"> (Eierle et al., 2022)</w:t>
      </w:r>
      <w:r w:rsidRPr="00B24997">
        <w:rPr>
          <w:rFonts w:ascii="Arial" w:hAnsi="Arial" w:cs="Arial"/>
          <w:lang w:val="en-US"/>
        </w:rPr>
        <w:t>. Legal constraints like limitations of emission and standards on pollution set responsibilities upon the business organizations in concern of their impacts to the immediate environment. Sustainability projects make firms use certain practices that help to conserve resources as well as promote a balance on the natural environment. Global warming is forcing companies to adapt because they experience loss by extreme weather conditions and regulate the emission of carbon dioxide. Another area is waste handling where the company is forced to reduce, reuse or recycle wastes in an effort to reduce on the impact on environment</w:t>
      </w:r>
      <w:r w:rsidR="0002648E" w:rsidRPr="00B24997">
        <w:rPr>
          <w:rFonts w:ascii="Arial" w:hAnsi="Arial" w:cs="Arial"/>
          <w:lang w:val="en-US"/>
        </w:rPr>
        <w:t xml:space="preserve"> (Costa et al., 2021)</w:t>
      </w:r>
      <w:r w:rsidRPr="00B24997">
        <w:rPr>
          <w:rFonts w:ascii="Arial" w:hAnsi="Arial" w:cs="Arial"/>
          <w:lang w:val="en-US"/>
        </w:rPr>
        <w:t>.</w:t>
      </w:r>
      <w:r w:rsidR="00F1021A" w:rsidRPr="00B24997">
        <w:rPr>
          <w:rFonts w:ascii="Arial" w:hAnsi="Arial" w:cs="Arial"/>
          <w:lang w:val="en-US"/>
        </w:rPr>
        <w:t xml:space="preserve"> </w:t>
      </w:r>
      <w:r w:rsidRPr="00B24997">
        <w:rPr>
          <w:rFonts w:ascii="Arial" w:hAnsi="Arial" w:cs="Arial"/>
          <w:lang w:val="en-US"/>
        </w:rPr>
        <w:t>A relative example is the automotive industry whereby fluctuations in emissions standards have triggered change. The automotive giants like Volkswagen and Ford have had to spend a lot of money on the research and the development of the electric vehicles in order to meet the regulatory requirements in terms of emissions from government across the world. These changes have also forced these firms to look for new solutions in areas like battery technology as well as sourcing of renewable energy for operations. Also, the call for energy conservation and fighting carbon emissions, the circular economy used when products are utilized, and recycled, has always been encouraged enhancing use of products that have a lesser impact on the environment</w:t>
      </w:r>
      <w:r w:rsidR="006F1131" w:rsidRPr="00B24997">
        <w:rPr>
          <w:rFonts w:ascii="Arial" w:hAnsi="Arial" w:cs="Arial"/>
          <w:lang w:val="en-US"/>
        </w:rPr>
        <w:t xml:space="preserve"> (</w:t>
      </w:r>
      <w:r w:rsidR="006F1131" w:rsidRPr="00B24997">
        <w:rPr>
          <w:rFonts w:ascii="Arial" w:hAnsi="Arial" w:cs="Arial"/>
        </w:rPr>
        <w:t>Whittington et al., 2020</w:t>
      </w:r>
      <w:r w:rsidR="006F1131" w:rsidRPr="00B24997">
        <w:rPr>
          <w:rFonts w:ascii="Arial" w:hAnsi="Arial" w:cs="Arial"/>
          <w:lang w:val="en-US"/>
        </w:rPr>
        <w:t>)</w:t>
      </w:r>
      <w:r w:rsidRPr="00B24997">
        <w:rPr>
          <w:rFonts w:ascii="Arial" w:hAnsi="Arial" w:cs="Arial"/>
          <w:lang w:val="en-US"/>
        </w:rPr>
        <w:t xml:space="preserve">. </w:t>
      </w:r>
    </w:p>
    <w:p w14:paraId="1917888D" w14:textId="77777777" w:rsidR="00431110" w:rsidRPr="00B24997" w:rsidRDefault="00EF7701" w:rsidP="00B24997">
      <w:pPr>
        <w:pStyle w:val="Heading1"/>
        <w:spacing w:line="360" w:lineRule="auto"/>
        <w:rPr>
          <w:rFonts w:ascii="Arial" w:hAnsi="Arial" w:cs="Arial"/>
          <w:lang w:val="en-US"/>
        </w:rPr>
      </w:pPr>
      <w:bookmarkStart w:id="2" w:name="_Toc174715009"/>
      <w:r w:rsidRPr="00B24997">
        <w:rPr>
          <w:rFonts w:ascii="Arial" w:hAnsi="Arial" w:cs="Arial"/>
          <w:lang w:val="en-US"/>
        </w:rPr>
        <w:t>Conclusion</w:t>
      </w:r>
      <w:bookmarkEnd w:id="2"/>
      <w:r w:rsidRPr="00B24997">
        <w:rPr>
          <w:rFonts w:ascii="Arial" w:hAnsi="Arial" w:cs="Arial"/>
          <w:lang w:val="en-US"/>
        </w:rPr>
        <w:t xml:space="preserve"> </w:t>
      </w:r>
    </w:p>
    <w:p w14:paraId="36DE3E6C" w14:textId="5A529EE4" w:rsidR="0097521E" w:rsidRPr="00B24997" w:rsidRDefault="00431110" w:rsidP="00B24997">
      <w:pPr>
        <w:spacing w:line="360" w:lineRule="auto"/>
        <w:ind w:firstLine="720"/>
        <w:jc w:val="both"/>
        <w:rPr>
          <w:rFonts w:ascii="Arial" w:hAnsi="Arial" w:cs="Arial"/>
          <w:lang w:val="en-US"/>
        </w:rPr>
      </w:pPr>
      <w:r w:rsidRPr="00B24997">
        <w:rPr>
          <w:rFonts w:ascii="Arial" w:hAnsi="Arial" w:cs="Arial"/>
          <w:lang w:val="en-US"/>
        </w:rPr>
        <w:t xml:space="preserve">In </w:t>
      </w:r>
      <w:r w:rsidR="00A560E8" w:rsidRPr="00B24997">
        <w:rPr>
          <w:rFonts w:ascii="Arial" w:hAnsi="Arial" w:cs="Arial"/>
          <w:lang w:val="en-US"/>
        </w:rPr>
        <w:t>conclusion</w:t>
      </w:r>
      <w:r w:rsidRPr="00B24997">
        <w:rPr>
          <w:rFonts w:ascii="Arial" w:hAnsi="Arial" w:cs="Arial"/>
          <w:lang w:val="en-US"/>
        </w:rPr>
        <w:t xml:space="preserve">, </w:t>
      </w:r>
      <w:r w:rsidR="00A560E8" w:rsidRPr="00B24997">
        <w:rPr>
          <w:rFonts w:ascii="Arial" w:hAnsi="Arial" w:cs="Arial"/>
          <w:lang w:val="en-US"/>
        </w:rPr>
        <w:t xml:space="preserve">when encapsulating the PESTLE </w:t>
      </w:r>
      <w:r w:rsidR="00D64CAE" w:rsidRPr="00B24997">
        <w:rPr>
          <w:rFonts w:ascii="Arial" w:hAnsi="Arial" w:cs="Arial"/>
          <w:lang w:val="en-US"/>
        </w:rPr>
        <w:t>analysis,</w:t>
      </w:r>
      <w:r w:rsidR="00A560E8" w:rsidRPr="00B24997">
        <w:rPr>
          <w:rFonts w:ascii="Arial" w:hAnsi="Arial" w:cs="Arial"/>
          <w:lang w:val="en-US"/>
        </w:rPr>
        <w:t xml:space="preserve"> it is evident that these are the significant external forces that a business ought not to disregard in order to prevail. All of the factors are not without their problems and potential that can greatly affect a company’s business and plans for the future. These is true because it lays emphasis on the external forces which require businesses to understand and be in harmony with so as to succeed in the present and future global economic environment. </w:t>
      </w:r>
    </w:p>
    <w:p w14:paraId="070D8DBA" w14:textId="77777777" w:rsidR="00F1021A" w:rsidRPr="00B24997" w:rsidRDefault="00F1021A" w:rsidP="00B24997">
      <w:pPr>
        <w:spacing w:line="360" w:lineRule="auto"/>
        <w:rPr>
          <w:rFonts w:ascii="Arial" w:hAnsi="Arial" w:cs="Arial"/>
          <w:lang w:val="en-US"/>
        </w:rPr>
      </w:pPr>
      <w:r w:rsidRPr="00B24997">
        <w:rPr>
          <w:rFonts w:ascii="Arial" w:hAnsi="Arial" w:cs="Arial"/>
          <w:lang w:val="en-US"/>
        </w:rPr>
        <w:br w:type="page"/>
      </w:r>
    </w:p>
    <w:p w14:paraId="2E02DFE7" w14:textId="77777777" w:rsidR="00F1021A" w:rsidRPr="00B24997" w:rsidRDefault="00F1021A" w:rsidP="00B24997">
      <w:pPr>
        <w:pStyle w:val="Heading1"/>
        <w:spacing w:line="360" w:lineRule="auto"/>
        <w:rPr>
          <w:rFonts w:ascii="Arial" w:hAnsi="Arial" w:cs="Arial"/>
        </w:rPr>
      </w:pPr>
      <w:bookmarkStart w:id="3" w:name="_Toc174715010"/>
      <w:r w:rsidRPr="00B24997">
        <w:rPr>
          <w:rFonts w:ascii="Arial" w:hAnsi="Arial" w:cs="Arial"/>
        </w:rPr>
        <w:t>References</w:t>
      </w:r>
      <w:bookmarkEnd w:id="3"/>
    </w:p>
    <w:p w14:paraId="3F5477C3" w14:textId="77777777" w:rsidR="007A62F8" w:rsidRPr="00B24997" w:rsidRDefault="007A62F8" w:rsidP="00B24997">
      <w:pPr>
        <w:spacing w:line="360" w:lineRule="auto"/>
        <w:ind w:left="720" w:hanging="720"/>
        <w:jc w:val="both"/>
        <w:rPr>
          <w:rFonts w:ascii="Arial" w:hAnsi="Arial" w:cs="Arial"/>
        </w:rPr>
      </w:pPr>
      <w:r w:rsidRPr="00B24997">
        <w:rPr>
          <w:rFonts w:ascii="Arial" w:hAnsi="Arial" w:cs="Arial"/>
        </w:rPr>
        <w:t>Boyle, J., 2020. A theory of law and information: Copyright, spleens, blackmail, and insider trading. In Freedom of Information (pp. 123-250). Routledge.</w:t>
      </w:r>
    </w:p>
    <w:p w14:paraId="26833B53" w14:textId="77777777" w:rsidR="007A62F8" w:rsidRPr="00B24997" w:rsidRDefault="007A62F8" w:rsidP="00B24997">
      <w:pPr>
        <w:spacing w:line="360" w:lineRule="auto"/>
        <w:ind w:left="720" w:hanging="720"/>
        <w:jc w:val="both"/>
        <w:rPr>
          <w:rFonts w:ascii="Arial" w:hAnsi="Arial" w:cs="Arial"/>
        </w:rPr>
      </w:pPr>
      <w:r w:rsidRPr="00B24997">
        <w:rPr>
          <w:rFonts w:ascii="Arial" w:hAnsi="Arial" w:cs="Arial"/>
        </w:rPr>
        <w:t>Cleveland, M., Papadopoulos, N. and Laroche, M., 2022. Global consumer culture and national identity as drivers of materialism: an international study of convergence and divergence. International Marketing Review, 39(2), pp.207-241.</w:t>
      </w:r>
    </w:p>
    <w:p w14:paraId="13879D92" w14:textId="77777777" w:rsidR="007A62F8" w:rsidRPr="00B24997" w:rsidRDefault="007A62F8" w:rsidP="00B24997">
      <w:pPr>
        <w:spacing w:line="360" w:lineRule="auto"/>
        <w:ind w:left="720" w:hanging="720"/>
        <w:jc w:val="both"/>
        <w:rPr>
          <w:rFonts w:ascii="Arial" w:hAnsi="Arial" w:cs="Arial"/>
        </w:rPr>
      </w:pPr>
      <w:r w:rsidRPr="00B24997">
        <w:rPr>
          <w:rFonts w:ascii="Arial" w:hAnsi="Arial" w:cs="Arial"/>
        </w:rPr>
        <w:t>Costa, C.M., Barbosa, J.C., Castro, H., Gonçalves, R. and Lanceros-Méndez, S., 2021. Electric vehicles: To what extent are environmentally friendly and cost effective?–Comparative study by european countries. Renewable and Sustainable Energy Reviews, 151, p.111548.</w:t>
      </w:r>
    </w:p>
    <w:p w14:paraId="54B4A947" w14:textId="77777777" w:rsidR="007A62F8" w:rsidRPr="00B24997" w:rsidRDefault="007A62F8" w:rsidP="00B24997">
      <w:pPr>
        <w:spacing w:line="360" w:lineRule="auto"/>
        <w:ind w:left="720" w:hanging="720"/>
        <w:jc w:val="both"/>
        <w:rPr>
          <w:rFonts w:ascii="Arial" w:hAnsi="Arial" w:cs="Arial"/>
        </w:rPr>
      </w:pPr>
      <w:r w:rsidRPr="00B24997">
        <w:rPr>
          <w:rFonts w:ascii="Arial" w:hAnsi="Arial" w:cs="Arial"/>
        </w:rPr>
        <w:t>Eierle, B., Hartlieb, S., Hay, D.C., Niemi, L. and Ojala, H., 2022. External factors and the pricing of audit services: A systematic review of the archival literature using a PESTLE analysis. Auditing: A Journal of Practice &amp; Theory, 41(3), pp.95-119.</w:t>
      </w:r>
    </w:p>
    <w:p w14:paraId="31CEEE52" w14:textId="77777777" w:rsidR="007A62F8" w:rsidRPr="00B24997" w:rsidRDefault="007A62F8" w:rsidP="00B24997">
      <w:pPr>
        <w:spacing w:line="360" w:lineRule="auto"/>
        <w:ind w:left="720" w:hanging="720"/>
        <w:jc w:val="both"/>
        <w:rPr>
          <w:rFonts w:ascii="Arial" w:hAnsi="Arial" w:cs="Arial"/>
        </w:rPr>
      </w:pPr>
      <w:r w:rsidRPr="00B24997">
        <w:rPr>
          <w:rFonts w:ascii="Arial" w:hAnsi="Arial" w:cs="Arial"/>
        </w:rPr>
        <w:t>Eierle, B., Hartlieb, S., Hay, D.C., Niemi, L. and Ojala, H., 2022. External factors and the pricing of audit services: A systematic review of the archival literature using a PESTLE analysis. Auditing: A Journal of Practice &amp; Theory, 41(3), pp.95-119.</w:t>
      </w:r>
    </w:p>
    <w:p w14:paraId="6A999E59" w14:textId="77777777" w:rsidR="007A62F8" w:rsidRPr="00B24997" w:rsidRDefault="007A62F8" w:rsidP="00B24997">
      <w:pPr>
        <w:spacing w:line="360" w:lineRule="auto"/>
        <w:ind w:left="720" w:hanging="720"/>
        <w:jc w:val="both"/>
        <w:rPr>
          <w:rFonts w:ascii="Arial" w:hAnsi="Arial" w:cs="Arial"/>
        </w:rPr>
      </w:pPr>
      <w:r w:rsidRPr="00B24997">
        <w:rPr>
          <w:rFonts w:ascii="Arial" w:hAnsi="Arial" w:cs="Arial"/>
        </w:rPr>
        <w:t>Ismoilova, G., Nabieva, F., Umarova, G. and Rahmatullaev, M., 2020. Macroeconomic development and factors affecting on it. International Journal of Scientific and Technology Research, 9(3), pp.3542-3545.</w:t>
      </w:r>
    </w:p>
    <w:p w14:paraId="225C9F04" w14:textId="77777777" w:rsidR="007A62F8" w:rsidRPr="00B24997" w:rsidRDefault="007A62F8" w:rsidP="00B24997">
      <w:pPr>
        <w:spacing w:line="360" w:lineRule="auto"/>
        <w:ind w:left="720" w:hanging="720"/>
        <w:jc w:val="both"/>
        <w:rPr>
          <w:rFonts w:ascii="Arial" w:hAnsi="Arial" w:cs="Arial"/>
        </w:rPr>
      </w:pPr>
      <w:r w:rsidRPr="00B24997">
        <w:rPr>
          <w:rFonts w:ascii="Arial" w:hAnsi="Arial" w:cs="Arial"/>
        </w:rPr>
        <w:t>Jänicke, M. and Jörgens, H., 2020. New approaches to environmental governance. In The ecological modernisation reader (pp. 156-189). Routledge.</w:t>
      </w:r>
    </w:p>
    <w:p w14:paraId="564D1865" w14:textId="77777777" w:rsidR="007A62F8" w:rsidRPr="00B24997" w:rsidRDefault="007A62F8" w:rsidP="00B24997">
      <w:pPr>
        <w:spacing w:line="360" w:lineRule="auto"/>
        <w:ind w:left="720" w:hanging="720"/>
        <w:jc w:val="both"/>
        <w:rPr>
          <w:rFonts w:ascii="Arial" w:hAnsi="Arial" w:cs="Arial"/>
        </w:rPr>
      </w:pPr>
      <w:r w:rsidRPr="00B24997">
        <w:rPr>
          <w:rFonts w:ascii="Arial" w:hAnsi="Arial" w:cs="Arial"/>
        </w:rPr>
        <w:t xml:space="preserve">Morrison, J. 2023. </w:t>
      </w:r>
      <w:r w:rsidRPr="00B24997">
        <w:rPr>
          <w:rFonts w:ascii="Arial" w:hAnsi="Arial" w:cs="Arial"/>
          <w:i/>
        </w:rPr>
        <w:t>The Global Business Environment</w:t>
      </w:r>
      <w:r w:rsidRPr="00B24997">
        <w:rPr>
          <w:rFonts w:ascii="Arial" w:hAnsi="Arial" w:cs="Arial"/>
        </w:rPr>
        <w:t>. ThriftBooks.</w:t>
      </w:r>
    </w:p>
    <w:p w14:paraId="66ADC084" w14:textId="77777777" w:rsidR="007A62F8" w:rsidRPr="00B24997" w:rsidRDefault="007A62F8" w:rsidP="00B24997">
      <w:pPr>
        <w:spacing w:line="360" w:lineRule="auto"/>
        <w:ind w:left="720" w:hanging="720"/>
        <w:jc w:val="both"/>
        <w:rPr>
          <w:rFonts w:ascii="Arial" w:hAnsi="Arial" w:cs="Arial"/>
        </w:rPr>
      </w:pPr>
      <w:r w:rsidRPr="00B24997">
        <w:rPr>
          <w:rFonts w:ascii="Arial" w:hAnsi="Arial" w:cs="Arial"/>
        </w:rPr>
        <w:t xml:space="preserve">Whittington, Regnér, Angwin, Johnson and Scholes 2020. </w:t>
      </w:r>
      <w:r w:rsidRPr="00B24997">
        <w:rPr>
          <w:rFonts w:ascii="Arial" w:hAnsi="Arial" w:cs="Arial"/>
          <w:i/>
        </w:rPr>
        <w:t>Exploring Strategy</w:t>
      </w:r>
      <w:r w:rsidRPr="00B24997">
        <w:rPr>
          <w:rFonts w:ascii="Arial" w:hAnsi="Arial" w:cs="Arial"/>
        </w:rPr>
        <w:t>. Google Books.</w:t>
      </w:r>
    </w:p>
    <w:p w14:paraId="32BF8263" w14:textId="25C3B722" w:rsidR="007A62F8" w:rsidRPr="00B24997" w:rsidRDefault="007A62F8" w:rsidP="00B24997">
      <w:pPr>
        <w:spacing w:line="360" w:lineRule="auto"/>
        <w:ind w:left="720" w:hanging="720"/>
        <w:jc w:val="both"/>
        <w:rPr>
          <w:rFonts w:ascii="Arial" w:hAnsi="Arial" w:cs="Arial"/>
        </w:rPr>
      </w:pPr>
      <w:r w:rsidRPr="00B24997">
        <w:rPr>
          <w:rFonts w:ascii="Arial" w:hAnsi="Arial" w:cs="Arial"/>
        </w:rPr>
        <w:t xml:space="preserve">Yuan, B. and Zhang, Y., 2020. Flexible environmental policy, technological </w:t>
      </w:r>
      <w:r w:rsidR="00D64CAE" w:rsidRPr="00B24997">
        <w:rPr>
          <w:rFonts w:ascii="Arial" w:hAnsi="Arial" w:cs="Arial"/>
        </w:rPr>
        <w:t>innovation,</w:t>
      </w:r>
      <w:r w:rsidRPr="00B24997">
        <w:rPr>
          <w:rFonts w:ascii="Arial" w:hAnsi="Arial" w:cs="Arial"/>
        </w:rPr>
        <w:t xml:space="preserve"> and sustainable development of China’s industry: The moderating effect of environment regulatory enforcement. Journal of Cleaner Production, 243, p.118543.</w:t>
      </w:r>
    </w:p>
    <w:p w14:paraId="77F9E228" w14:textId="77777777" w:rsidR="006F1131" w:rsidRPr="00B24997" w:rsidRDefault="006F1131" w:rsidP="00B24997">
      <w:pPr>
        <w:spacing w:line="360" w:lineRule="auto"/>
        <w:ind w:left="720" w:hanging="720"/>
        <w:jc w:val="both"/>
        <w:rPr>
          <w:rFonts w:ascii="Arial" w:hAnsi="Arial" w:cs="Arial"/>
        </w:rPr>
      </w:pPr>
    </w:p>
    <w:sectPr w:rsidR="006F1131" w:rsidRPr="00B24997" w:rsidSect="00B24997">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405C57" w14:textId="77777777" w:rsidR="00217AC7" w:rsidRDefault="00217AC7" w:rsidP="00C43883">
      <w:pPr>
        <w:spacing w:after="0" w:line="240" w:lineRule="auto"/>
      </w:pPr>
      <w:r>
        <w:separator/>
      </w:r>
    </w:p>
  </w:endnote>
  <w:endnote w:type="continuationSeparator" w:id="0">
    <w:p w14:paraId="328CD510" w14:textId="77777777" w:rsidR="00217AC7" w:rsidRDefault="00217AC7" w:rsidP="00C438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00"/>
    <w:family w:val="auto"/>
    <w:pitch w:val="variable"/>
  </w:font>
  <w:font w:name="DejaVu Sans Mono">
    <w:altName w:val="Yu Gothic"/>
    <w:charset w:val="80"/>
    <w:family w:val="moder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76034962"/>
      <w:docPartObj>
        <w:docPartGallery w:val="Page Numbers (Bottom of Page)"/>
        <w:docPartUnique/>
      </w:docPartObj>
    </w:sdtPr>
    <w:sdtEndPr>
      <w:rPr>
        <w:color w:val="7F7F7F" w:themeColor="background1" w:themeShade="7F"/>
        <w:spacing w:val="60"/>
      </w:rPr>
    </w:sdtEndPr>
    <w:sdtContent>
      <w:p w14:paraId="5838BE78" w14:textId="7617E818" w:rsidR="00B24997" w:rsidRDefault="00B24997">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2CC624D3" w14:textId="77777777" w:rsidR="00C43883" w:rsidRDefault="00C438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613B9A" w14:textId="77777777" w:rsidR="00217AC7" w:rsidRDefault="00217AC7" w:rsidP="00C43883">
      <w:pPr>
        <w:spacing w:after="0" w:line="240" w:lineRule="auto"/>
      </w:pPr>
      <w:r>
        <w:separator/>
      </w:r>
    </w:p>
  </w:footnote>
  <w:footnote w:type="continuationSeparator" w:id="0">
    <w:p w14:paraId="1778544E" w14:textId="77777777" w:rsidR="00217AC7" w:rsidRDefault="00217AC7" w:rsidP="00C4388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zAyMzG1MLY0MjYxMDBU0lEKTi0uzszPAykwrAUALU8eOCwAAAA="/>
  </w:docVars>
  <w:rsids>
    <w:rsidRoot w:val="00431110"/>
    <w:rsid w:val="0002648E"/>
    <w:rsid w:val="0015049E"/>
    <w:rsid w:val="00217AC7"/>
    <w:rsid w:val="00431110"/>
    <w:rsid w:val="006951F7"/>
    <w:rsid w:val="006A60F7"/>
    <w:rsid w:val="006F1131"/>
    <w:rsid w:val="00735C2D"/>
    <w:rsid w:val="007934D7"/>
    <w:rsid w:val="007A62F8"/>
    <w:rsid w:val="00947EF9"/>
    <w:rsid w:val="0097521E"/>
    <w:rsid w:val="00A560E8"/>
    <w:rsid w:val="00A9369E"/>
    <w:rsid w:val="00B21D71"/>
    <w:rsid w:val="00B24997"/>
    <w:rsid w:val="00BC1ECC"/>
    <w:rsid w:val="00BD64A1"/>
    <w:rsid w:val="00C43883"/>
    <w:rsid w:val="00D64CAE"/>
    <w:rsid w:val="00D93619"/>
    <w:rsid w:val="00EA5E69"/>
    <w:rsid w:val="00EF7701"/>
    <w:rsid w:val="00F1021A"/>
    <w:rsid w:val="00F219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F9AA7"/>
  <w15:chartTrackingRefBased/>
  <w15:docId w15:val="{D45FC5B0-FD5A-44A7-BBDC-9F3883BB07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60F7"/>
    <w:rPr>
      <w:rFonts w:ascii="Times New Roman" w:hAnsi="Times New Roman"/>
      <w:sz w:val="24"/>
      <w:lang w:val="en-GB"/>
    </w:rPr>
  </w:style>
  <w:style w:type="paragraph" w:styleId="Heading1">
    <w:name w:val="heading 1"/>
    <w:basedOn w:val="Normal"/>
    <w:next w:val="Normal"/>
    <w:link w:val="Heading1Char"/>
    <w:uiPriority w:val="9"/>
    <w:qFormat/>
    <w:rsid w:val="00EA5E69"/>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semiHidden/>
    <w:unhideWhenUsed/>
    <w:qFormat/>
    <w:rsid w:val="00EA5E69"/>
    <w:pPr>
      <w:keepNext/>
      <w:keepLines/>
      <w:spacing w:before="40" w:after="0"/>
      <w:outlineLvl w:val="1"/>
    </w:pPr>
    <w:rPr>
      <w:rFonts w:eastAsiaTheme="majorEastAsia" w:cstheme="majorBidi"/>
      <w:color w:val="2E74B5" w:themeColor="accent1" w:themeShade="BF"/>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5E69"/>
    <w:rPr>
      <w:rFonts w:ascii="Times New Roman" w:eastAsiaTheme="majorEastAsia" w:hAnsi="Times New Roman" w:cstheme="majorBidi"/>
      <w:b/>
      <w:color w:val="2E74B5" w:themeColor="accent1" w:themeShade="BF"/>
      <w:sz w:val="28"/>
      <w:szCs w:val="32"/>
      <w:lang w:val="en-GB"/>
    </w:rPr>
  </w:style>
  <w:style w:type="character" w:customStyle="1" w:styleId="Heading2Char">
    <w:name w:val="Heading 2 Char"/>
    <w:basedOn w:val="DefaultParagraphFont"/>
    <w:link w:val="Heading2"/>
    <w:uiPriority w:val="9"/>
    <w:semiHidden/>
    <w:rsid w:val="00EA5E69"/>
    <w:rPr>
      <w:rFonts w:ascii="Times New Roman" w:eastAsiaTheme="majorEastAsia" w:hAnsi="Times New Roman" w:cstheme="majorBidi"/>
      <w:color w:val="2E74B5" w:themeColor="accent1" w:themeShade="BF"/>
      <w:sz w:val="24"/>
      <w:szCs w:val="26"/>
      <w:lang w:val="en-GB"/>
    </w:rPr>
  </w:style>
  <w:style w:type="paragraph" w:styleId="TOCHeading">
    <w:name w:val="TOC Heading"/>
    <w:basedOn w:val="Heading1"/>
    <w:next w:val="Normal"/>
    <w:uiPriority w:val="39"/>
    <w:unhideWhenUsed/>
    <w:qFormat/>
    <w:rsid w:val="00C43883"/>
    <w:pPr>
      <w:outlineLvl w:val="9"/>
    </w:pPr>
    <w:rPr>
      <w:rFonts w:asciiTheme="majorHAnsi" w:hAnsiTheme="majorHAnsi"/>
      <w:b w:val="0"/>
      <w:sz w:val="32"/>
      <w:lang w:val="en-US"/>
    </w:rPr>
  </w:style>
  <w:style w:type="paragraph" w:styleId="TOC1">
    <w:name w:val="toc 1"/>
    <w:basedOn w:val="Normal"/>
    <w:next w:val="Normal"/>
    <w:autoRedefine/>
    <w:uiPriority w:val="39"/>
    <w:unhideWhenUsed/>
    <w:rsid w:val="00C43883"/>
    <w:pPr>
      <w:spacing w:after="100"/>
    </w:pPr>
  </w:style>
  <w:style w:type="character" w:styleId="Hyperlink">
    <w:name w:val="Hyperlink"/>
    <w:basedOn w:val="DefaultParagraphFont"/>
    <w:uiPriority w:val="99"/>
    <w:unhideWhenUsed/>
    <w:rsid w:val="00C43883"/>
    <w:rPr>
      <w:color w:val="0563C1" w:themeColor="hyperlink"/>
      <w:u w:val="single"/>
    </w:rPr>
  </w:style>
  <w:style w:type="paragraph" w:styleId="Header">
    <w:name w:val="header"/>
    <w:basedOn w:val="Normal"/>
    <w:link w:val="HeaderChar"/>
    <w:uiPriority w:val="99"/>
    <w:unhideWhenUsed/>
    <w:rsid w:val="00C438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3883"/>
    <w:rPr>
      <w:rFonts w:ascii="Times New Roman" w:hAnsi="Times New Roman"/>
      <w:sz w:val="24"/>
      <w:lang w:val="en-GB"/>
    </w:rPr>
  </w:style>
  <w:style w:type="paragraph" w:styleId="Footer">
    <w:name w:val="footer"/>
    <w:basedOn w:val="Normal"/>
    <w:link w:val="FooterChar"/>
    <w:uiPriority w:val="99"/>
    <w:unhideWhenUsed/>
    <w:rsid w:val="00C438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3883"/>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728789">
      <w:bodyDiv w:val="1"/>
      <w:marLeft w:val="0"/>
      <w:marRight w:val="0"/>
      <w:marTop w:val="0"/>
      <w:marBottom w:val="0"/>
      <w:divBdr>
        <w:top w:val="none" w:sz="0" w:space="0" w:color="auto"/>
        <w:left w:val="none" w:sz="0" w:space="0" w:color="auto"/>
        <w:bottom w:val="none" w:sz="0" w:space="0" w:color="auto"/>
        <w:right w:val="none" w:sz="0" w:space="0" w:color="auto"/>
      </w:divBdr>
    </w:div>
    <w:div w:id="644899246">
      <w:bodyDiv w:val="1"/>
      <w:marLeft w:val="0"/>
      <w:marRight w:val="0"/>
      <w:marTop w:val="0"/>
      <w:marBottom w:val="0"/>
      <w:divBdr>
        <w:top w:val="none" w:sz="0" w:space="0" w:color="auto"/>
        <w:left w:val="none" w:sz="0" w:space="0" w:color="auto"/>
        <w:bottom w:val="none" w:sz="0" w:space="0" w:color="auto"/>
        <w:right w:val="none" w:sz="0" w:space="0" w:color="auto"/>
      </w:divBdr>
    </w:div>
    <w:div w:id="860431520">
      <w:bodyDiv w:val="1"/>
      <w:marLeft w:val="0"/>
      <w:marRight w:val="0"/>
      <w:marTop w:val="0"/>
      <w:marBottom w:val="0"/>
      <w:divBdr>
        <w:top w:val="none" w:sz="0" w:space="0" w:color="auto"/>
        <w:left w:val="none" w:sz="0" w:space="0" w:color="auto"/>
        <w:bottom w:val="none" w:sz="0" w:space="0" w:color="auto"/>
        <w:right w:val="none" w:sz="0" w:space="0" w:color="auto"/>
      </w:divBdr>
    </w:div>
    <w:div w:id="1212186031">
      <w:bodyDiv w:val="1"/>
      <w:marLeft w:val="0"/>
      <w:marRight w:val="0"/>
      <w:marTop w:val="0"/>
      <w:marBottom w:val="0"/>
      <w:divBdr>
        <w:top w:val="none" w:sz="0" w:space="0" w:color="auto"/>
        <w:left w:val="none" w:sz="0" w:space="0" w:color="auto"/>
        <w:bottom w:val="none" w:sz="0" w:space="0" w:color="auto"/>
        <w:right w:val="none" w:sz="0" w:space="0" w:color="auto"/>
      </w:divBdr>
    </w:div>
    <w:div w:id="1602444482">
      <w:bodyDiv w:val="1"/>
      <w:marLeft w:val="0"/>
      <w:marRight w:val="0"/>
      <w:marTop w:val="0"/>
      <w:marBottom w:val="0"/>
      <w:divBdr>
        <w:top w:val="none" w:sz="0" w:space="0" w:color="auto"/>
        <w:left w:val="none" w:sz="0" w:space="0" w:color="auto"/>
        <w:bottom w:val="none" w:sz="0" w:space="0" w:color="auto"/>
        <w:right w:val="none" w:sz="0" w:space="0" w:color="auto"/>
      </w:divBdr>
    </w:div>
    <w:div w:id="1667708410">
      <w:bodyDiv w:val="1"/>
      <w:marLeft w:val="0"/>
      <w:marRight w:val="0"/>
      <w:marTop w:val="0"/>
      <w:marBottom w:val="0"/>
      <w:divBdr>
        <w:top w:val="none" w:sz="0" w:space="0" w:color="auto"/>
        <w:left w:val="none" w:sz="0" w:space="0" w:color="auto"/>
        <w:bottom w:val="none" w:sz="0" w:space="0" w:color="auto"/>
        <w:right w:val="none" w:sz="0" w:space="0" w:color="auto"/>
      </w:divBdr>
    </w:div>
    <w:div w:id="1870531081">
      <w:bodyDiv w:val="1"/>
      <w:marLeft w:val="0"/>
      <w:marRight w:val="0"/>
      <w:marTop w:val="0"/>
      <w:marBottom w:val="0"/>
      <w:divBdr>
        <w:top w:val="none" w:sz="0" w:space="0" w:color="auto"/>
        <w:left w:val="none" w:sz="0" w:space="0" w:color="auto"/>
        <w:bottom w:val="none" w:sz="0" w:space="0" w:color="auto"/>
        <w:right w:val="none" w:sz="0" w:space="0" w:color="auto"/>
      </w:divBdr>
    </w:div>
    <w:div w:id="1889411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CA6564-9974-4CB7-B851-54B49E5062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1895</Words>
  <Characters>10807</Characters>
  <Application>Microsoft Office Word</Application>
  <DocSecurity>0</DocSecurity>
  <Lines>90</Lines>
  <Paragraphs>25</Paragraphs>
  <ScaleCrop>false</ScaleCrop>
  <Company/>
  <LinksUpToDate>false</LinksUpToDate>
  <CharactersWithSpaces>12677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Alina Balan</dc:creator>
  <cp:keywords/>
  <dc:description/>
  <cp:lastModifiedBy>Guest User</cp:lastModifiedBy>
  <cp:revision>4</cp:revision>
  <dcterms:created xsi:type="dcterms:W3CDTF">2024-08-17T06:25:00Z</dcterms:created>
  <dcterms:modified xsi:type="dcterms:W3CDTF">2024-08-17T06:26:00Z</dcterms:modified>
</cp:coreProperties>
</file>