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14414" w:rsidRDefault="00814414">
      <w:pPr>
        <w:pStyle w:val="Body"/>
      </w:pPr>
      <w:bookmarkStart w:id="0" w:name="_GoBack"/>
      <w:bookmarkEnd w:id="0"/>
    </w:p>
    <w:p w:rsidR="00814414" w:rsidRDefault="00814414">
      <w:pPr>
        <w:pStyle w:val="Body"/>
      </w:pPr>
    </w:p>
    <w:p w:rsidR="00814414" w:rsidRDefault="00814414">
      <w:pPr>
        <w:pStyle w:val="Body"/>
      </w:pPr>
    </w:p>
    <w:p w:rsidR="00814414" w:rsidRDefault="00814414">
      <w:pPr>
        <w:pStyle w:val="Body"/>
      </w:pPr>
    </w:p>
    <w:p w:rsidR="00814414" w:rsidRDefault="002763D0">
      <w:pPr>
        <w:pStyle w:val="Body"/>
        <w:jc w:val="center"/>
      </w:pPr>
      <w:r>
        <w:rPr>
          <w:lang w:val="en-US"/>
        </w:rPr>
        <w:t xml:space="preserve">Impact of Virtual Learning Environment (VLE) </w:t>
      </w:r>
      <w:r>
        <w:rPr>
          <w:rFonts w:hAnsi="Times New Roman"/>
        </w:rPr>
        <w:t xml:space="preserve">– </w:t>
      </w:r>
      <w:r>
        <w:t>Moodle</w:t>
      </w:r>
    </w:p>
    <w:p w:rsidR="00814414" w:rsidRDefault="002763D0">
      <w:pPr>
        <w:pStyle w:val="Body"/>
        <w:jc w:val="center"/>
      </w:pPr>
      <w:r>
        <w:rPr>
          <w:lang w:val="en-US"/>
        </w:rPr>
        <w:t>on students</w:t>
      </w:r>
      <w:r>
        <w:rPr>
          <w:rFonts w:hAnsi="Times New Roman"/>
          <w:lang w:val="fr-FR"/>
        </w:rPr>
        <w:t xml:space="preserve">’ </w:t>
      </w:r>
      <w:r>
        <w:rPr>
          <w:lang w:val="en-US"/>
        </w:rPr>
        <w:t>learning experience in the University of Wales Trinity Saint David London</w:t>
      </w:r>
    </w:p>
    <w:p w:rsidR="00814414" w:rsidRDefault="002763D0">
      <w:pPr>
        <w:pStyle w:val="Body"/>
        <w:jc w:val="center"/>
      </w:pPr>
      <w:r>
        <w:t>Campus.</w:t>
      </w:r>
    </w:p>
    <w:p w:rsidR="00814414" w:rsidRDefault="00814414">
      <w:pPr>
        <w:pStyle w:val="Body"/>
      </w:pPr>
    </w:p>
    <w:p w:rsidR="00814414" w:rsidRDefault="00814414">
      <w:pPr>
        <w:pStyle w:val="Body"/>
      </w:pPr>
    </w:p>
    <w:p w:rsidR="00814414" w:rsidRDefault="00814414">
      <w:pPr>
        <w:pStyle w:val="Body"/>
      </w:pPr>
    </w:p>
    <w:p w:rsidR="00814414" w:rsidRDefault="00814414">
      <w:pPr>
        <w:pStyle w:val="Body"/>
      </w:pPr>
    </w:p>
    <w:p w:rsidR="00814414" w:rsidRDefault="00814414">
      <w:pPr>
        <w:pStyle w:val="Body"/>
      </w:pPr>
    </w:p>
    <w:p w:rsidR="00814414" w:rsidRDefault="00814414">
      <w:pPr>
        <w:pStyle w:val="Body"/>
      </w:pPr>
    </w:p>
    <w:p w:rsidR="00814414" w:rsidRDefault="00814414">
      <w:pPr>
        <w:pStyle w:val="Body"/>
      </w:pPr>
    </w:p>
    <w:p w:rsidR="00814414" w:rsidRDefault="00814414">
      <w:pPr>
        <w:pStyle w:val="Body"/>
      </w:pPr>
    </w:p>
    <w:p w:rsidR="00814414" w:rsidRDefault="00814414">
      <w:pPr>
        <w:pStyle w:val="Body"/>
      </w:pPr>
    </w:p>
    <w:p w:rsidR="00814414" w:rsidRDefault="00814414">
      <w:pPr>
        <w:pStyle w:val="Body"/>
      </w:pPr>
    </w:p>
    <w:p w:rsidR="00814414" w:rsidRDefault="00814414">
      <w:pPr>
        <w:pStyle w:val="Body"/>
      </w:pPr>
    </w:p>
    <w:p w:rsidR="00814414" w:rsidRDefault="00814414">
      <w:pPr>
        <w:pStyle w:val="Body"/>
      </w:pPr>
    </w:p>
    <w:p w:rsidR="00814414" w:rsidRDefault="00814414">
      <w:pPr>
        <w:pStyle w:val="Body"/>
      </w:pPr>
    </w:p>
    <w:p w:rsidR="00814414" w:rsidRDefault="00814414">
      <w:pPr>
        <w:pStyle w:val="Body"/>
      </w:pPr>
    </w:p>
    <w:p w:rsidR="00814414" w:rsidRDefault="00814414">
      <w:pPr>
        <w:pStyle w:val="Body"/>
      </w:pPr>
    </w:p>
    <w:p w:rsidR="00814414" w:rsidRDefault="00814414">
      <w:pPr>
        <w:pStyle w:val="Body"/>
      </w:pPr>
    </w:p>
    <w:p w:rsidR="00814414" w:rsidRDefault="00814414">
      <w:pPr>
        <w:pStyle w:val="Body"/>
      </w:pPr>
    </w:p>
    <w:p w:rsidR="00814414" w:rsidRDefault="00814414">
      <w:pPr>
        <w:pStyle w:val="Body"/>
      </w:pPr>
    </w:p>
    <w:p w:rsidR="00814414" w:rsidRDefault="00814414">
      <w:pPr>
        <w:pStyle w:val="Body"/>
      </w:pPr>
    </w:p>
    <w:p w:rsidR="00814414" w:rsidRDefault="00814414">
      <w:pPr>
        <w:pStyle w:val="Body"/>
      </w:pPr>
    </w:p>
    <w:p w:rsidR="00814414" w:rsidRDefault="002763D0">
      <w:pPr>
        <w:pStyle w:val="TOCHeading"/>
      </w:pPr>
      <w:r>
        <w:t>Table of Contents</w:t>
      </w:r>
    </w:p>
    <w:p w:rsidR="00814414" w:rsidRDefault="002763D0">
      <w:pPr>
        <w:pStyle w:val="Body"/>
      </w:pPr>
      <w:r>
        <w:fldChar w:fldCharType="begin"/>
      </w:r>
      <w:r>
        <w:instrText xml:space="preserve"> TOC \t "Heading, 1"</w:instrText>
      </w:r>
      <w:r>
        <w:fldChar w:fldCharType="separate"/>
      </w:r>
    </w:p>
    <w:p w:rsidR="00814414" w:rsidRDefault="002763D0">
      <w:pPr>
        <w:pStyle w:val="TOC1"/>
      </w:pPr>
      <w:r>
        <w:rPr>
          <w:rFonts w:eastAsia="Arial Unicode MS" w:hAnsi="Arial Unicode MS" w:cs="Arial Unicode MS"/>
        </w:rPr>
        <w:t xml:space="preserve">Research rationale </w:t>
      </w:r>
      <w:r>
        <w:rPr>
          <w:rFonts w:eastAsia="Arial Unicode MS" w:hAnsi="Arial Unicode MS" w:cs="Arial Unicode MS"/>
        </w:rPr>
        <w:tab/>
      </w:r>
      <w:r>
        <w:fldChar w:fldCharType="begin"/>
      </w:r>
      <w:r>
        <w:instrText xml:space="preserve"> PAGEREF _Toc \h </w:instrText>
      </w:r>
      <w:r>
        <w:fldChar w:fldCharType="separate"/>
      </w:r>
      <w:r>
        <w:rPr>
          <w:rFonts w:eastAsia="Arial Unicode MS" w:hAnsi="Arial Unicode MS" w:cs="Arial Unicode MS"/>
        </w:rPr>
        <w:t>3</w:t>
      </w:r>
      <w:r>
        <w:fldChar w:fldCharType="end"/>
      </w:r>
    </w:p>
    <w:p w:rsidR="00814414" w:rsidRDefault="002763D0">
      <w:pPr>
        <w:pStyle w:val="TOC1"/>
      </w:pPr>
      <w:r>
        <w:rPr>
          <w:rFonts w:eastAsia="Arial Unicode MS" w:hAnsi="Arial Unicode MS" w:cs="Arial Unicode MS"/>
        </w:rPr>
        <w:t xml:space="preserve">Objectives </w:t>
      </w:r>
      <w:r>
        <w:rPr>
          <w:rFonts w:eastAsia="Arial Unicode MS" w:hAnsi="Arial Unicode MS" w:cs="Arial Unicode MS"/>
        </w:rPr>
        <w:tab/>
      </w:r>
      <w:r>
        <w:fldChar w:fldCharType="begin"/>
      </w:r>
      <w:r>
        <w:instrText xml:space="preserve"> PAGEREF _Toc1 \h </w:instrText>
      </w:r>
      <w:r>
        <w:fldChar w:fldCharType="separate"/>
      </w:r>
      <w:r>
        <w:rPr>
          <w:rFonts w:eastAsia="Arial Unicode MS" w:hAnsi="Arial Unicode MS" w:cs="Arial Unicode MS"/>
        </w:rPr>
        <w:t>3</w:t>
      </w:r>
      <w:r>
        <w:fldChar w:fldCharType="end"/>
      </w:r>
    </w:p>
    <w:p w:rsidR="00814414" w:rsidRDefault="002763D0">
      <w:pPr>
        <w:pStyle w:val="TOC1"/>
      </w:pPr>
      <w:r>
        <w:rPr>
          <w:rFonts w:eastAsia="Arial Unicode MS" w:hAnsi="Arial Unicode MS" w:cs="Arial Unicode MS"/>
        </w:rPr>
        <w:t xml:space="preserve">Methodology </w:t>
      </w:r>
      <w:r>
        <w:rPr>
          <w:rFonts w:eastAsia="Arial Unicode MS" w:hAnsi="Arial Unicode MS" w:cs="Arial Unicode MS"/>
        </w:rPr>
        <w:tab/>
      </w:r>
      <w:r>
        <w:fldChar w:fldCharType="begin"/>
      </w:r>
      <w:r>
        <w:instrText xml:space="preserve"> PAGEREF _Toc2 \h </w:instrText>
      </w:r>
      <w:r>
        <w:fldChar w:fldCharType="separate"/>
      </w:r>
      <w:r>
        <w:rPr>
          <w:rFonts w:eastAsia="Arial Unicode MS" w:hAnsi="Arial Unicode MS" w:cs="Arial Unicode MS"/>
        </w:rPr>
        <w:t>4</w:t>
      </w:r>
      <w:r>
        <w:fldChar w:fldCharType="end"/>
      </w:r>
    </w:p>
    <w:p w:rsidR="00814414" w:rsidRDefault="002763D0">
      <w:pPr>
        <w:pStyle w:val="TOC1"/>
      </w:pPr>
      <w:r>
        <w:rPr>
          <w:rFonts w:eastAsia="Arial Unicode MS" w:hAnsi="Arial Unicode MS" w:cs="Arial Unicode MS"/>
        </w:rPr>
        <w:t xml:space="preserve">Primary data analysis </w:t>
      </w:r>
      <w:r>
        <w:rPr>
          <w:rFonts w:eastAsia="Arial Unicode MS" w:hAnsi="Arial Unicode MS" w:cs="Arial Unicode MS"/>
        </w:rPr>
        <w:tab/>
      </w:r>
      <w:r>
        <w:fldChar w:fldCharType="begin"/>
      </w:r>
      <w:r>
        <w:instrText xml:space="preserve"> PAGEREF _Toc3 \h </w:instrText>
      </w:r>
      <w:r>
        <w:fldChar w:fldCharType="separate"/>
      </w:r>
      <w:r>
        <w:rPr>
          <w:rFonts w:eastAsia="Arial Unicode MS" w:hAnsi="Arial Unicode MS" w:cs="Arial Unicode MS"/>
        </w:rPr>
        <w:t>4</w:t>
      </w:r>
      <w:r>
        <w:fldChar w:fldCharType="end"/>
      </w:r>
    </w:p>
    <w:p w:rsidR="00814414" w:rsidRDefault="002763D0">
      <w:pPr>
        <w:pStyle w:val="TOC1"/>
      </w:pPr>
      <w:r>
        <w:rPr>
          <w:rFonts w:eastAsia="Arial Unicode MS" w:hAnsi="Arial Unicode MS" w:cs="Arial Unicode MS"/>
        </w:rPr>
        <w:t xml:space="preserve">Secondary data analysis </w:t>
      </w:r>
      <w:r>
        <w:rPr>
          <w:rFonts w:eastAsia="Arial Unicode MS" w:hAnsi="Arial Unicode MS" w:cs="Arial Unicode MS"/>
        </w:rPr>
        <w:tab/>
      </w:r>
      <w:r>
        <w:fldChar w:fldCharType="begin"/>
      </w:r>
      <w:r>
        <w:instrText xml:space="preserve"> PAGEREF _Toc4 \h </w:instrText>
      </w:r>
      <w:r>
        <w:fldChar w:fldCharType="separate"/>
      </w:r>
      <w:r>
        <w:rPr>
          <w:rFonts w:eastAsia="Arial Unicode MS" w:hAnsi="Arial Unicode MS" w:cs="Arial Unicode MS"/>
        </w:rPr>
        <w:t>12</w:t>
      </w:r>
      <w:r>
        <w:fldChar w:fldCharType="end"/>
      </w:r>
    </w:p>
    <w:p w:rsidR="00814414" w:rsidRDefault="002763D0">
      <w:pPr>
        <w:pStyle w:val="TOC1"/>
      </w:pPr>
      <w:r>
        <w:rPr>
          <w:rFonts w:eastAsia="Arial Unicode MS" w:hAnsi="Arial Unicode MS" w:cs="Arial Unicode MS"/>
        </w:rPr>
        <w:t xml:space="preserve">Conclusion </w:t>
      </w:r>
      <w:r>
        <w:rPr>
          <w:rFonts w:eastAsia="Arial Unicode MS" w:hAnsi="Arial Unicode MS" w:cs="Arial Unicode MS"/>
        </w:rPr>
        <w:tab/>
      </w:r>
      <w:r>
        <w:fldChar w:fldCharType="begin"/>
      </w:r>
      <w:r>
        <w:instrText xml:space="preserve"> PAGEREF _Toc5 \h </w:instrText>
      </w:r>
      <w:r>
        <w:fldChar w:fldCharType="separate"/>
      </w:r>
      <w:r>
        <w:rPr>
          <w:rFonts w:eastAsia="Arial Unicode MS" w:hAnsi="Arial Unicode MS" w:cs="Arial Unicode MS"/>
        </w:rPr>
        <w:t>13</w:t>
      </w:r>
      <w:r>
        <w:fldChar w:fldCharType="end"/>
      </w:r>
    </w:p>
    <w:p w:rsidR="00814414" w:rsidRDefault="002763D0">
      <w:pPr>
        <w:pStyle w:val="TOC1"/>
      </w:pPr>
      <w:r>
        <w:rPr>
          <w:rFonts w:eastAsia="Arial Unicode MS" w:hAnsi="Arial Unicode MS" w:cs="Arial Unicode MS"/>
        </w:rPr>
        <w:t xml:space="preserve">Recommendations </w:t>
      </w:r>
      <w:r>
        <w:rPr>
          <w:rFonts w:eastAsia="Arial Unicode MS" w:hAnsi="Arial Unicode MS" w:cs="Arial Unicode MS"/>
        </w:rPr>
        <w:tab/>
      </w:r>
      <w:r>
        <w:fldChar w:fldCharType="begin"/>
      </w:r>
      <w:r>
        <w:instrText xml:space="preserve"> PAGEREF _Toc6 \h </w:instrText>
      </w:r>
      <w:r>
        <w:fldChar w:fldCharType="separate"/>
      </w:r>
      <w:r>
        <w:rPr>
          <w:rFonts w:eastAsia="Arial Unicode MS" w:hAnsi="Arial Unicode MS" w:cs="Arial Unicode MS"/>
        </w:rPr>
        <w:t>13</w:t>
      </w:r>
      <w:r>
        <w:fldChar w:fldCharType="end"/>
      </w:r>
    </w:p>
    <w:p w:rsidR="00814414" w:rsidRDefault="002763D0">
      <w:pPr>
        <w:pStyle w:val="TOC1"/>
      </w:pPr>
      <w:r>
        <w:rPr>
          <w:rFonts w:eastAsia="Arial Unicode MS" w:hAnsi="Arial Unicode MS" w:cs="Arial Unicode MS"/>
        </w:rPr>
        <w:t xml:space="preserve">References </w:t>
      </w:r>
      <w:r>
        <w:rPr>
          <w:rFonts w:eastAsia="Arial Unicode MS" w:hAnsi="Arial Unicode MS" w:cs="Arial Unicode MS"/>
        </w:rPr>
        <w:tab/>
      </w:r>
      <w:r>
        <w:fldChar w:fldCharType="begin"/>
      </w:r>
      <w:r>
        <w:instrText xml:space="preserve"> PAGEREF _Toc7 \h </w:instrText>
      </w:r>
      <w:r>
        <w:fldChar w:fldCharType="separate"/>
      </w:r>
      <w:r>
        <w:rPr>
          <w:rFonts w:eastAsia="Arial Unicode MS" w:hAnsi="Arial Unicode MS" w:cs="Arial Unicode MS"/>
        </w:rPr>
        <w:t>14</w:t>
      </w:r>
      <w:r>
        <w:fldChar w:fldCharType="end"/>
      </w:r>
    </w:p>
    <w:p w:rsidR="00814414" w:rsidRDefault="002763D0">
      <w:pPr>
        <w:pStyle w:val="Body"/>
      </w:pPr>
      <w:r>
        <w:fldChar w:fldCharType="end"/>
      </w:r>
    </w:p>
    <w:p w:rsidR="00814414" w:rsidRDefault="00814414">
      <w:pPr>
        <w:pStyle w:val="Body"/>
      </w:pPr>
    </w:p>
    <w:p w:rsidR="00814414" w:rsidRDefault="00814414">
      <w:pPr>
        <w:pStyle w:val="Body"/>
      </w:pPr>
    </w:p>
    <w:p w:rsidR="00814414" w:rsidRDefault="00814414">
      <w:pPr>
        <w:pStyle w:val="Body"/>
      </w:pPr>
    </w:p>
    <w:p w:rsidR="00814414" w:rsidRDefault="00814414">
      <w:pPr>
        <w:pStyle w:val="Body"/>
      </w:pPr>
    </w:p>
    <w:p w:rsidR="00814414" w:rsidRDefault="00814414">
      <w:pPr>
        <w:pStyle w:val="Body"/>
      </w:pPr>
    </w:p>
    <w:p w:rsidR="00814414" w:rsidRDefault="00814414">
      <w:pPr>
        <w:pStyle w:val="Body"/>
      </w:pPr>
    </w:p>
    <w:p w:rsidR="00814414" w:rsidRDefault="00814414">
      <w:pPr>
        <w:pStyle w:val="Body"/>
      </w:pPr>
    </w:p>
    <w:p w:rsidR="00814414" w:rsidRDefault="00814414">
      <w:pPr>
        <w:pStyle w:val="Body"/>
      </w:pPr>
    </w:p>
    <w:p w:rsidR="00814414" w:rsidRDefault="00814414">
      <w:pPr>
        <w:pStyle w:val="Body"/>
      </w:pPr>
    </w:p>
    <w:p w:rsidR="00814414" w:rsidRDefault="00814414">
      <w:pPr>
        <w:pStyle w:val="Body"/>
      </w:pPr>
    </w:p>
    <w:p w:rsidR="00814414" w:rsidRDefault="00814414">
      <w:pPr>
        <w:pStyle w:val="Body"/>
      </w:pPr>
    </w:p>
    <w:p w:rsidR="00814414" w:rsidRDefault="00814414">
      <w:pPr>
        <w:pStyle w:val="Body"/>
      </w:pPr>
    </w:p>
    <w:p w:rsidR="00814414" w:rsidRDefault="00814414">
      <w:pPr>
        <w:pStyle w:val="Body"/>
      </w:pPr>
    </w:p>
    <w:p w:rsidR="00814414" w:rsidRDefault="00814414">
      <w:pPr>
        <w:pStyle w:val="Body"/>
      </w:pPr>
    </w:p>
    <w:p w:rsidR="00814414" w:rsidRDefault="002763D0">
      <w:pPr>
        <w:pStyle w:val="Heading"/>
        <w:spacing w:line="360" w:lineRule="auto"/>
      </w:pPr>
      <w:bookmarkStart w:id="1" w:name="_Toc"/>
      <w:r>
        <w:rPr>
          <w:lang w:val="en-US"/>
        </w:rPr>
        <w:lastRenderedPageBreak/>
        <w:t xml:space="preserve">Research rationale </w:t>
      </w:r>
      <w:bookmarkEnd w:id="1"/>
    </w:p>
    <w:p w:rsidR="00814414" w:rsidRDefault="002763D0">
      <w:pPr>
        <w:pStyle w:val="Body"/>
        <w:spacing w:line="360" w:lineRule="auto"/>
      </w:pPr>
      <w:r>
        <w:rPr>
          <w:lang w:val="en-US"/>
        </w:rPr>
        <w:t>Virtual Learning Environment (VLE) is a website based platform where students can access different resources relative to their respective courses. It is an educational technology which assists students in learning m</w:t>
      </w:r>
      <w:r>
        <w:rPr>
          <w:lang w:val="en-US"/>
        </w:rPr>
        <w:t>ore about their course works, upcoming assessments, case studies etc. The present research report is based on Moodle which is a popular VLE and students are often observed to use this platform for understanding the assignments, accessing the lecture slides</w:t>
      </w:r>
      <w:r>
        <w:rPr>
          <w:lang w:val="en-US"/>
        </w:rPr>
        <w:t xml:space="preserve">, uploading their assignments etc (Rienties </w:t>
      </w:r>
      <w:r>
        <w:rPr>
          <w:i/>
          <w:iCs/>
          <w:lang w:val="nl-NL"/>
        </w:rPr>
        <w:t>et al.</w:t>
      </w:r>
      <w:r>
        <w:rPr>
          <w:lang w:val="en-US"/>
        </w:rPr>
        <w:t xml:space="preserve"> 2016). Even though numerous research studies have investigated about VLE, very few of them have actually tried to analyze the impacts of such VLEs like Moodle on the learning experience of the students. Fu</w:t>
      </w:r>
      <w:r>
        <w:rPr>
          <w:lang w:val="en-US"/>
        </w:rPr>
        <w:t>rthermore, no such research studies have been performed in the past which have tried to analyze the impacts of VLE on the learning experiences of the students studying in University of Wales Trinity Saint David London Campus. The present research study wil</w:t>
      </w:r>
      <w:r>
        <w:rPr>
          <w:lang w:val="en-US"/>
        </w:rPr>
        <w:t xml:space="preserve">l try to find out the impact of VLE on learning experiences of the students with focus on the students of University of Wales Trinity Saint David London Campus (Xu </w:t>
      </w:r>
      <w:r>
        <w:rPr>
          <w:i/>
          <w:iCs/>
          <w:lang w:val="nl-NL"/>
        </w:rPr>
        <w:t>et al.</w:t>
      </w:r>
      <w:r>
        <w:rPr>
          <w:lang w:val="en-US"/>
        </w:rPr>
        <w:t xml:space="preserve"> 2014). The researcher will also provide proper recommendations based on the findings.</w:t>
      </w:r>
      <w:r>
        <w:rPr>
          <w:lang w:val="en-US"/>
        </w:rPr>
        <w:t xml:space="preserve"> </w:t>
      </w:r>
    </w:p>
    <w:p w:rsidR="00814414" w:rsidRDefault="002763D0">
      <w:pPr>
        <w:pStyle w:val="Heading"/>
        <w:spacing w:line="360" w:lineRule="auto"/>
      </w:pPr>
      <w:bookmarkStart w:id="2" w:name="_Toc1"/>
      <w:r>
        <w:rPr>
          <w:lang w:val="en-US"/>
        </w:rPr>
        <w:t xml:space="preserve">Objectives </w:t>
      </w:r>
      <w:bookmarkEnd w:id="2"/>
    </w:p>
    <w:p w:rsidR="00814414" w:rsidRDefault="002763D0">
      <w:pPr>
        <w:pStyle w:val="Body"/>
        <w:spacing w:line="360" w:lineRule="auto"/>
      </w:pPr>
      <w:r>
        <w:rPr>
          <w:lang w:val="en-US"/>
        </w:rPr>
        <w:t xml:space="preserve">The objectives of the research study are as follows; </w:t>
      </w:r>
    </w:p>
    <w:p w:rsidR="00814414" w:rsidRDefault="002763D0">
      <w:pPr>
        <w:pStyle w:val="ListParagraph"/>
        <w:numPr>
          <w:ilvl w:val="0"/>
          <w:numId w:val="3"/>
        </w:numPr>
        <w:tabs>
          <w:tab w:val="num" w:pos="720"/>
        </w:tabs>
        <w:spacing w:line="360" w:lineRule="auto"/>
        <w:ind w:hanging="360"/>
      </w:pPr>
      <w:r>
        <w:t>To identify the impact of VLE on the learning experiences of the students studying in University of Wales Trinity Saint David London Campus</w:t>
      </w:r>
    </w:p>
    <w:p w:rsidR="00814414" w:rsidRDefault="002763D0">
      <w:pPr>
        <w:pStyle w:val="ListParagraph"/>
        <w:numPr>
          <w:ilvl w:val="0"/>
          <w:numId w:val="4"/>
        </w:numPr>
        <w:tabs>
          <w:tab w:val="num" w:pos="720"/>
        </w:tabs>
        <w:spacing w:line="360" w:lineRule="auto"/>
        <w:ind w:hanging="360"/>
      </w:pPr>
      <w:r>
        <w:t xml:space="preserve">To identify the latest VLE platforms which can be helpful for boosting the experiences of the students </w:t>
      </w:r>
    </w:p>
    <w:p w:rsidR="00814414" w:rsidRDefault="002763D0">
      <w:pPr>
        <w:pStyle w:val="ListParagraph"/>
        <w:numPr>
          <w:ilvl w:val="0"/>
          <w:numId w:val="5"/>
        </w:numPr>
        <w:tabs>
          <w:tab w:val="num" w:pos="720"/>
        </w:tabs>
        <w:spacing w:line="360" w:lineRule="auto"/>
        <w:ind w:hanging="360"/>
      </w:pPr>
      <w:r>
        <w:t>To be able to recommend the students of University of Wales Trinity Saint David London Campus on the advantages and disadvantages of VLE as a learning p</w:t>
      </w:r>
      <w:r>
        <w:t xml:space="preserve">latform </w:t>
      </w:r>
    </w:p>
    <w:p w:rsidR="00814414" w:rsidRDefault="002763D0">
      <w:pPr>
        <w:pStyle w:val="Heading"/>
        <w:spacing w:line="360" w:lineRule="auto"/>
      </w:pPr>
      <w:bookmarkStart w:id="3" w:name="_Toc2"/>
      <w:r>
        <w:rPr>
          <w:lang w:val="en-US"/>
        </w:rPr>
        <w:t xml:space="preserve">Methodology </w:t>
      </w:r>
      <w:bookmarkEnd w:id="3"/>
    </w:p>
    <w:p w:rsidR="00814414" w:rsidRDefault="002763D0">
      <w:pPr>
        <w:pStyle w:val="Body"/>
        <w:spacing w:line="360" w:lineRule="auto"/>
      </w:pPr>
      <w:r>
        <w:rPr>
          <w:lang w:val="en-US"/>
        </w:rPr>
        <w:t>The present research study will be performed in two ways i.e. primary and secondary research methods. In case of primary research method, it is required to collect datasets from primary sources. The researcher has selected the student</w:t>
      </w:r>
      <w:r>
        <w:rPr>
          <w:lang w:val="en-US"/>
        </w:rPr>
        <w:t xml:space="preserve">s of different departments of University of Wales Trinity Saint David London Campus for this type of research (Mackey and Gass, 2015). 50 students have been selected as the respondents of this research and the sampling technique has </w:t>
      </w:r>
      <w:r>
        <w:rPr>
          <w:lang w:val="en-US"/>
        </w:rPr>
        <w:lastRenderedPageBreak/>
        <w:t>been random sampling. T</w:t>
      </w:r>
      <w:r>
        <w:rPr>
          <w:lang w:val="en-US"/>
        </w:rPr>
        <w:t>he researcher has prepared a questionnaire containing 8 close ended questions and the questionnaire has been distributed among the respondents to collect quantitative datasets (Mackey and Gass, 2015). The collected datasets have been analyzed with the help</w:t>
      </w:r>
      <w:r>
        <w:rPr>
          <w:lang w:val="en-US"/>
        </w:rPr>
        <w:t xml:space="preserve"> of charts and have been presented in tabular format for the convenience of the students. For the purpose of secondary research, the researcher primarily relied upon research journals where research was performed on the similar area. The researcher has exp</w:t>
      </w:r>
      <w:r>
        <w:rPr>
          <w:lang w:val="en-US"/>
        </w:rPr>
        <w:t xml:space="preserve">lored many such journals which have addressed the role of VLE in the context of improving learning experiences of the students (Mackey and Gass, 2015). </w:t>
      </w:r>
    </w:p>
    <w:p w:rsidR="00814414" w:rsidRDefault="002763D0">
      <w:pPr>
        <w:pStyle w:val="Heading"/>
        <w:spacing w:line="360" w:lineRule="auto"/>
      </w:pPr>
      <w:bookmarkStart w:id="4" w:name="_Toc3"/>
      <w:r>
        <w:rPr>
          <w:lang w:val="en-US"/>
        </w:rPr>
        <w:t xml:space="preserve">Primary data analysis </w:t>
      </w:r>
      <w:bookmarkEnd w:id="4"/>
    </w:p>
    <w:p w:rsidR="00814414" w:rsidRDefault="002763D0">
      <w:pPr>
        <w:pStyle w:val="Body"/>
        <w:spacing w:line="360" w:lineRule="auto"/>
      </w:pPr>
      <w:r>
        <w:rPr>
          <w:lang w:val="en-US"/>
        </w:rPr>
        <w:t>As mentioned in the methodology part, the respondents of the primary data analys</w:t>
      </w:r>
      <w:r>
        <w:rPr>
          <w:lang w:val="en-US"/>
        </w:rPr>
        <w:t>is were the students of University of Wales Trinity Saint David London Campus. A questionnaire containing 8 eight close ended questions relevant to the selected topic has been distributed among the 50 students to collect necessary datasets. The research fi</w:t>
      </w:r>
      <w:r>
        <w:rPr>
          <w:lang w:val="en-US"/>
        </w:rPr>
        <w:t xml:space="preserve">ndings are as follows; </w:t>
      </w:r>
    </w:p>
    <w:p w:rsidR="00814414" w:rsidRDefault="002763D0">
      <w:pPr>
        <w:pStyle w:val="ListParagraph"/>
        <w:widowControl w:val="0"/>
        <w:numPr>
          <w:ilvl w:val="0"/>
          <w:numId w:val="8"/>
        </w:numPr>
        <w:tabs>
          <w:tab w:val="num" w:pos="720"/>
        </w:tabs>
        <w:spacing w:line="360" w:lineRule="auto"/>
        <w:ind w:hanging="360"/>
      </w:pPr>
      <w:r>
        <w:t xml:space="preserve">Do you think Moodle is helpful for your education? </w:t>
      </w:r>
    </w:p>
    <w:tbl>
      <w:tblPr>
        <w:tblW w:w="8856"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2940"/>
        <w:gridCol w:w="2951"/>
        <w:gridCol w:w="2965"/>
      </w:tblGrid>
      <w:tr w:rsidR="00814414">
        <w:trPr>
          <w:trHeight w:val="300"/>
        </w:trPr>
        <w:tc>
          <w:tcPr>
            <w:tcW w:w="2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line="360" w:lineRule="auto"/>
              <w:ind w:left="0"/>
            </w:pPr>
            <w:r>
              <w:t xml:space="preserve">Choices </w:t>
            </w:r>
          </w:p>
        </w:tc>
        <w:tc>
          <w:tcPr>
            <w:tcW w:w="295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 xml:space="preserve">Number of responses </w:t>
            </w:r>
          </w:p>
        </w:tc>
        <w:tc>
          <w:tcPr>
            <w:tcW w:w="29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Percentage (%)</w:t>
            </w:r>
          </w:p>
        </w:tc>
      </w:tr>
      <w:tr w:rsidR="00814414">
        <w:trPr>
          <w:trHeight w:val="300"/>
        </w:trPr>
        <w:tc>
          <w:tcPr>
            <w:tcW w:w="2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 xml:space="preserve">Strongly agree </w:t>
            </w:r>
          </w:p>
        </w:tc>
        <w:tc>
          <w:tcPr>
            <w:tcW w:w="295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13</w:t>
            </w:r>
          </w:p>
        </w:tc>
        <w:tc>
          <w:tcPr>
            <w:tcW w:w="29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26</w:t>
            </w:r>
          </w:p>
        </w:tc>
      </w:tr>
      <w:tr w:rsidR="00814414">
        <w:trPr>
          <w:trHeight w:val="300"/>
        </w:trPr>
        <w:tc>
          <w:tcPr>
            <w:tcW w:w="2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 xml:space="preserve">Agree </w:t>
            </w:r>
          </w:p>
        </w:tc>
        <w:tc>
          <w:tcPr>
            <w:tcW w:w="295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20</w:t>
            </w:r>
          </w:p>
        </w:tc>
        <w:tc>
          <w:tcPr>
            <w:tcW w:w="29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40</w:t>
            </w:r>
          </w:p>
        </w:tc>
      </w:tr>
      <w:tr w:rsidR="00814414">
        <w:trPr>
          <w:trHeight w:val="300"/>
        </w:trPr>
        <w:tc>
          <w:tcPr>
            <w:tcW w:w="2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 xml:space="preserve">Neutral </w:t>
            </w:r>
          </w:p>
        </w:tc>
        <w:tc>
          <w:tcPr>
            <w:tcW w:w="295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7</w:t>
            </w:r>
          </w:p>
        </w:tc>
        <w:tc>
          <w:tcPr>
            <w:tcW w:w="29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14</w:t>
            </w:r>
          </w:p>
        </w:tc>
      </w:tr>
      <w:tr w:rsidR="00814414">
        <w:trPr>
          <w:trHeight w:val="300"/>
        </w:trPr>
        <w:tc>
          <w:tcPr>
            <w:tcW w:w="2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 xml:space="preserve">Disagree </w:t>
            </w:r>
          </w:p>
        </w:tc>
        <w:tc>
          <w:tcPr>
            <w:tcW w:w="295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8</w:t>
            </w:r>
          </w:p>
        </w:tc>
        <w:tc>
          <w:tcPr>
            <w:tcW w:w="29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16</w:t>
            </w:r>
          </w:p>
        </w:tc>
      </w:tr>
      <w:tr w:rsidR="00814414">
        <w:trPr>
          <w:trHeight w:val="300"/>
        </w:trPr>
        <w:tc>
          <w:tcPr>
            <w:tcW w:w="2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 xml:space="preserve">Strongly disagree </w:t>
            </w:r>
          </w:p>
        </w:tc>
        <w:tc>
          <w:tcPr>
            <w:tcW w:w="295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2</w:t>
            </w:r>
          </w:p>
        </w:tc>
        <w:tc>
          <w:tcPr>
            <w:tcW w:w="29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4</w:t>
            </w:r>
          </w:p>
        </w:tc>
      </w:tr>
    </w:tbl>
    <w:p w:rsidR="00814414" w:rsidRDefault="00814414">
      <w:pPr>
        <w:pStyle w:val="ListParagraph"/>
        <w:widowControl w:val="0"/>
        <w:numPr>
          <w:ilvl w:val="0"/>
          <w:numId w:val="9"/>
        </w:numPr>
        <w:tabs>
          <w:tab w:val="num" w:pos="720"/>
        </w:tabs>
        <w:spacing w:line="240" w:lineRule="auto"/>
        <w:ind w:hanging="360"/>
      </w:pPr>
    </w:p>
    <w:p w:rsidR="00814414" w:rsidRDefault="00814414">
      <w:pPr>
        <w:pStyle w:val="ListParagraph"/>
        <w:spacing w:line="360" w:lineRule="auto"/>
      </w:pPr>
    </w:p>
    <w:p w:rsidR="00814414" w:rsidRDefault="002763D0">
      <w:pPr>
        <w:pStyle w:val="ListParagraph"/>
        <w:spacing w:line="360" w:lineRule="auto"/>
        <w:jc w:val="center"/>
      </w:pPr>
      <w:r>
        <w:rPr>
          <w:noProof/>
        </w:rPr>
        <w:drawing>
          <wp:inline distT="0" distB="0" distL="0" distR="0">
            <wp:extent cx="5040998" cy="2400241"/>
            <wp:effectExtent l="0" t="0" r="0" b="0"/>
            <wp:docPr id="1073741825" name="officeArt object"/>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814414" w:rsidRDefault="002763D0">
      <w:pPr>
        <w:pStyle w:val="Body"/>
        <w:spacing w:line="360" w:lineRule="auto"/>
      </w:pPr>
      <w:r>
        <w:rPr>
          <w:lang w:val="en-US"/>
        </w:rPr>
        <w:t>The first question was directly related to the research objective. The objective of this question was to understand the extent to which the students of University of Wales Trinity Saint David London Campus are being helped by</w:t>
      </w:r>
      <w:r>
        <w:rPr>
          <w:lang w:val="en-US"/>
        </w:rPr>
        <w:t xml:space="preserve"> Moodle. The responses show that 40% students have agreed that Moodle is indeed a major source of assistance for the students of the university. Similarly, 26% students have strongly agreed to this fact. Hence, from these results, it can be interpreted tha</w:t>
      </w:r>
      <w:r>
        <w:rPr>
          <w:lang w:val="en-US"/>
        </w:rPr>
        <w:t xml:space="preserve">t the students find this VLE platform largely helpful. </w:t>
      </w:r>
    </w:p>
    <w:p w:rsidR="00814414" w:rsidRDefault="00814414">
      <w:pPr>
        <w:pStyle w:val="ListParagraph"/>
        <w:spacing w:line="360" w:lineRule="auto"/>
      </w:pPr>
    </w:p>
    <w:p w:rsidR="00814414" w:rsidRDefault="002763D0">
      <w:pPr>
        <w:pStyle w:val="ListParagraph"/>
        <w:widowControl w:val="0"/>
        <w:numPr>
          <w:ilvl w:val="0"/>
          <w:numId w:val="10"/>
        </w:numPr>
        <w:tabs>
          <w:tab w:val="num" w:pos="720"/>
        </w:tabs>
        <w:spacing w:line="360" w:lineRule="auto"/>
        <w:ind w:hanging="360"/>
      </w:pPr>
      <w:r>
        <w:t xml:space="preserve">What according to you is the best feature of a VLE? </w:t>
      </w:r>
    </w:p>
    <w:tbl>
      <w:tblPr>
        <w:tblW w:w="9360"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3167"/>
        <w:gridCol w:w="3088"/>
        <w:gridCol w:w="3105"/>
      </w:tblGrid>
      <w:tr w:rsidR="00814414">
        <w:trPr>
          <w:trHeight w:val="300"/>
        </w:trPr>
        <w:tc>
          <w:tcPr>
            <w:tcW w:w="31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line="360" w:lineRule="auto"/>
              <w:ind w:left="0"/>
            </w:pPr>
            <w:r>
              <w:t xml:space="preserve">Choices </w:t>
            </w:r>
          </w:p>
        </w:tc>
        <w:tc>
          <w:tcPr>
            <w:tcW w:w="30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 xml:space="preserve">Number of responses </w:t>
            </w:r>
          </w:p>
        </w:tc>
        <w:tc>
          <w:tcPr>
            <w:tcW w:w="31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Percentage (%)</w:t>
            </w:r>
          </w:p>
        </w:tc>
      </w:tr>
      <w:tr w:rsidR="00814414">
        <w:trPr>
          <w:trHeight w:val="300"/>
        </w:trPr>
        <w:tc>
          <w:tcPr>
            <w:tcW w:w="31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 xml:space="preserve">Electronic communication  </w:t>
            </w:r>
          </w:p>
        </w:tc>
        <w:tc>
          <w:tcPr>
            <w:tcW w:w="30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15</w:t>
            </w:r>
          </w:p>
        </w:tc>
        <w:tc>
          <w:tcPr>
            <w:tcW w:w="31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30</w:t>
            </w:r>
          </w:p>
        </w:tc>
      </w:tr>
      <w:tr w:rsidR="00814414">
        <w:trPr>
          <w:trHeight w:val="300"/>
        </w:trPr>
        <w:tc>
          <w:tcPr>
            <w:tcW w:w="31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 xml:space="preserve">24x7 online support </w:t>
            </w:r>
          </w:p>
        </w:tc>
        <w:tc>
          <w:tcPr>
            <w:tcW w:w="30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15</w:t>
            </w:r>
          </w:p>
        </w:tc>
        <w:tc>
          <w:tcPr>
            <w:tcW w:w="31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30</w:t>
            </w:r>
          </w:p>
        </w:tc>
      </w:tr>
      <w:tr w:rsidR="00814414">
        <w:trPr>
          <w:trHeight w:val="745"/>
        </w:trPr>
        <w:tc>
          <w:tcPr>
            <w:tcW w:w="31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 xml:space="preserve">Accessibility to lectures and </w:t>
            </w:r>
            <w:r>
              <w:t>resources</w:t>
            </w:r>
          </w:p>
        </w:tc>
        <w:tc>
          <w:tcPr>
            <w:tcW w:w="30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20</w:t>
            </w:r>
          </w:p>
        </w:tc>
        <w:tc>
          <w:tcPr>
            <w:tcW w:w="31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40</w:t>
            </w:r>
          </w:p>
        </w:tc>
      </w:tr>
    </w:tbl>
    <w:p w:rsidR="00814414" w:rsidRDefault="00814414">
      <w:pPr>
        <w:pStyle w:val="ListParagraph"/>
        <w:widowControl w:val="0"/>
        <w:numPr>
          <w:ilvl w:val="0"/>
          <w:numId w:val="11"/>
        </w:numPr>
        <w:tabs>
          <w:tab w:val="num" w:pos="720"/>
        </w:tabs>
        <w:spacing w:line="240" w:lineRule="auto"/>
        <w:ind w:hanging="360"/>
      </w:pPr>
    </w:p>
    <w:p w:rsidR="00814414" w:rsidRDefault="00814414">
      <w:pPr>
        <w:pStyle w:val="ListParagraph"/>
        <w:spacing w:line="360" w:lineRule="auto"/>
      </w:pPr>
    </w:p>
    <w:p w:rsidR="00814414" w:rsidRDefault="002763D0">
      <w:pPr>
        <w:pStyle w:val="ListParagraph"/>
        <w:spacing w:line="360" w:lineRule="auto"/>
      </w:pPr>
      <w:r>
        <w:rPr>
          <w:noProof/>
        </w:rPr>
        <w:drawing>
          <wp:inline distT="0" distB="0" distL="0" distR="0">
            <wp:extent cx="6234798" cy="2400241"/>
            <wp:effectExtent l="0" t="0" r="0" b="0"/>
            <wp:docPr id="1073741826" name="officeArt object"/>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t xml:space="preserve"> </w:t>
      </w:r>
    </w:p>
    <w:p w:rsidR="00814414" w:rsidRDefault="002763D0">
      <w:pPr>
        <w:pStyle w:val="Body"/>
        <w:spacing w:line="360" w:lineRule="auto"/>
      </w:pPr>
      <w:r>
        <w:rPr>
          <w:lang w:val="en-US"/>
        </w:rPr>
        <w:t>This question was asked to the students of University of Wales Trinity Saint David London Campus for understanding why they prefer VLE platforms. The responses have shown that 40% students prefer the fact that lectures and other learning resources can be e</w:t>
      </w:r>
      <w:r>
        <w:rPr>
          <w:lang w:val="en-US"/>
        </w:rPr>
        <w:t>asily accessed by them without any complexities. On the other hand, similar percentages of students feel that VLE platforms are helpful for their 24x7 online support and also because of their ability to build electronic communication between teachers and s</w:t>
      </w:r>
      <w:r>
        <w:rPr>
          <w:lang w:val="en-US"/>
        </w:rPr>
        <w:t xml:space="preserve">tudents whenever required. This gives an indication that the features of VLE platforms are adopted smoothly by the students of the university. </w:t>
      </w:r>
    </w:p>
    <w:p w:rsidR="00814414" w:rsidRDefault="00814414">
      <w:pPr>
        <w:pStyle w:val="ListParagraph"/>
        <w:spacing w:line="360" w:lineRule="auto"/>
      </w:pPr>
    </w:p>
    <w:p w:rsidR="00814414" w:rsidRDefault="002763D0">
      <w:pPr>
        <w:pStyle w:val="ListParagraph"/>
        <w:widowControl w:val="0"/>
        <w:numPr>
          <w:ilvl w:val="0"/>
          <w:numId w:val="12"/>
        </w:numPr>
        <w:tabs>
          <w:tab w:val="num" w:pos="720"/>
        </w:tabs>
        <w:spacing w:line="360" w:lineRule="auto"/>
        <w:ind w:hanging="360"/>
      </w:pPr>
      <w:r>
        <w:t xml:space="preserve">Have you ever faced any issues while using a VLE platform? </w:t>
      </w:r>
    </w:p>
    <w:tbl>
      <w:tblPr>
        <w:tblW w:w="8856"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2940"/>
        <w:gridCol w:w="2951"/>
        <w:gridCol w:w="2965"/>
      </w:tblGrid>
      <w:tr w:rsidR="00814414">
        <w:trPr>
          <w:trHeight w:val="300"/>
        </w:trPr>
        <w:tc>
          <w:tcPr>
            <w:tcW w:w="2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line="360" w:lineRule="auto"/>
              <w:ind w:left="0"/>
            </w:pPr>
            <w:r>
              <w:t xml:space="preserve">Choices </w:t>
            </w:r>
          </w:p>
        </w:tc>
        <w:tc>
          <w:tcPr>
            <w:tcW w:w="295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 xml:space="preserve">Number of responses </w:t>
            </w:r>
          </w:p>
        </w:tc>
        <w:tc>
          <w:tcPr>
            <w:tcW w:w="29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Percentage (%)</w:t>
            </w:r>
          </w:p>
        </w:tc>
      </w:tr>
      <w:tr w:rsidR="00814414">
        <w:trPr>
          <w:trHeight w:val="300"/>
        </w:trPr>
        <w:tc>
          <w:tcPr>
            <w:tcW w:w="2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 xml:space="preserve">Yes </w:t>
            </w:r>
          </w:p>
        </w:tc>
        <w:tc>
          <w:tcPr>
            <w:tcW w:w="295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23</w:t>
            </w:r>
          </w:p>
        </w:tc>
        <w:tc>
          <w:tcPr>
            <w:tcW w:w="29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46</w:t>
            </w:r>
          </w:p>
        </w:tc>
      </w:tr>
      <w:tr w:rsidR="00814414">
        <w:trPr>
          <w:trHeight w:val="300"/>
        </w:trPr>
        <w:tc>
          <w:tcPr>
            <w:tcW w:w="2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No</w:t>
            </w:r>
          </w:p>
        </w:tc>
        <w:tc>
          <w:tcPr>
            <w:tcW w:w="295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27</w:t>
            </w:r>
          </w:p>
        </w:tc>
        <w:tc>
          <w:tcPr>
            <w:tcW w:w="29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54</w:t>
            </w:r>
          </w:p>
        </w:tc>
      </w:tr>
    </w:tbl>
    <w:p w:rsidR="00814414" w:rsidRDefault="00814414">
      <w:pPr>
        <w:pStyle w:val="ListParagraph"/>
        <w:widowControl w:val="0"/>
        <w:numPr>
          <w:ilvl w:val="0"/>
          <w:numId w:val="13"/>
        </w:numPr>
        <w:tabs>
          <w:tab w:val="num" w:pos="720"/>
        </w:tabs>
        <w:spacing w:line="240" w:lineRule="auto"/>
        <w:ind w:hanging="360"/>
      </w:pPr>
    </w:p>
    <w:p w:rsidR="00814414" w:rsidRDefault="00814414">
      <w:pPr>
        <w:pStyle w:val="ListParagraph"/>
        <w:spacing w:line="360" w:lineRule="auto"/>
      </w:pPr>
    </w:p>
    <w:p w:rsidR="00814414" w:rsidRDefault="002763D0">
      <w:pPr>
        <w:pStyle w:val="ListParagraph"/>
        <w:spacing w:line="360" w:lineRule="auto"/>
      </w:pPr>
      <w:r>
        <w:rPr>
          <w:noProof/>
        </w:rPr>
        <w:drawing>
          <wp:inline distT="0" distB="0" distL="0" distR="0">
            <wp:extent cx="4815486" cy="2561851"/>
            <wp:effectExtent l="0" t="0" r="0" b="0"/>
            <wp:docPr id="1073741827" name="officeArt object"/>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t xml:space="preserve"> </w:t>
      </w:r>
    </w:p>
    <w:p w:rsidR="00814414" w:rsidRDefault="002763D0">
      <w:pPr>
        <w:pStyle w:val="Body"/>
        <w:spacing w:line="360" w:lineRule="auto"/>
      </w:pPr>
      <w:r>
        <w:rPr>
          <w:lang w:val="en-US"/>
        </w:rPr>
        <w:t>It is a common complaint of some students that they are facing technical issues while using VLE platforms like Moodle. This question was asked to gain a better overview in this regard. It is observed that 46% students of University of Wales Trinity Saint D</w:t>
      </w:r>
      <w:r>
        <w:rPr>
          <w:lang w:val="en-US"/>
        </w:rPr>
        <w:t>avid London Campus have admitted that they have faced issues while using VLE platforms like Moodle. This is a very common factor as technical issues can be felt by the students. To resolve these issues, the students may require a detailed training on how V</w:t>
      </w:r>
      <w:r>
        <w:rPr>
          <w:lang w:val="en-US"/>
        </w:rPr>
        <w:t xml:space="preserve">LE platforms should be used. </w:t>
      </w:r>
    </w:p>
    <w:p w:rsidR="00814414" w:rsidRDefault="00814414">
      <w:pPr>
        <w:pStyle w:val="ListParagraph"/>
        <w:spacing w:line="360" w:lineRule="auto"/>
      </w:pPr>
    </w:p>
    <w:p w:rsidR="00814414" w:rsidRDefault="002763D0">
      <w:pPr>
        <w:pStyle w:val="ListParagraph"/>
        <w:widowControl w:val="0"/>
        <w:numPr>
          <w:ilvl w:val="0"/>
          <w:numId w:val="14"/>
        </w:numPr>
        <w:tabs>
          <w:tab w:val="num" w:pos="720"/>
        </w:tabs>
        <w:spacing w:line="360" w:lineRule="auto"/>
        <w:ind w:hanging="360"/>
      </w:pPr>
      <w:r>
        <w:t xml:space="preserve">Which of the following features of Moodle is most useful for you?  </w:t>
      </w:r>
    </w:p>
    <w:tbl>
      <w:tblPr>
        <w:tblW w:w="8856"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2980"/>
        <w:gridCol w:w="2930"/>
        <w:gridCol w:w="2946"/>
      </w:tblGrid>
      <w:tr w:rsidR="00814414">
        <w:trPr>
          <w:trHeight w:val="300"/>
        </w:trPr>
        <w:tc>
          <w:tcPr>
            <w:tcW w:w="298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line="360" w:lineRule="auto"/>
              <w:ind w:left="0"/>
            </w:pPr>
            <w:r>
              <w:t xml:space="preserve">Choices </w:t>
            </w:r>
          </w:p>
        </w:tc>
        <w:tc>
          <w:tcPr>
            <w:tcW w:w="29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 xml:space="preserve">Number of responses </w:t>
            </w:r>
          </w:p>
        </w:tc>
        <w:tc>
          <w:tcPr>
            <w:tcW w:w="294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Percentage (%)</w:t>
            </w:r>
          </w:p>
        </w:tc>
      </w:tr>
      <w:tr w:rsidR="00814414">
        <w:trPr>
          <w:trHeight w:val="300"/>
        </w:trPr>
        <w:tc>
          <w:tcPr>
            <w:tcW w:w="298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 xml:space="preserve">A combined calendar  </w:t>
            </w:r>
          </w:p>
        </w:tc>
        <w:tc>
          <w:tcPr>
            <w:tcW w:w="29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8</w:t>
            </w:r>
          </w:p>
        </w:tc>
        <w:tc>
          <w:tcPr>
            <w:tcW w:w="294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16</w:t>
            </w:r>
          </w:p>
        </w:tc>
      </w:tr>
      <w:tr w:rsidR="00814414">
        <w:trPr>
          <w:trHeight w:val="745"/>
        </w:trPr>
        <w:tc>
          <w:tcPr>
            <w:tcW w:w="298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 xml:space="preserve">Presence of collaborative tools </w:t>
            </w:r>
          </w:p>
        </w:tc>
        <w:tc>
          <w:tcPr>
            <w:tcW w:w="29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12</w:t>
            </w:r>
          </w:p>
        </w:tc>
        <w:tc>
          <w:tcPr>
            <w:tcW w:w="294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24</w:t>
            </w:r>
          </w:p>
        </w:tc>
      </w:tr>
      <w:tr w:rsidR="00814414">
        <w:trPr>
          <w:trHeight w:val="300"/>
        </w:trPr>
        <w:tc>
          <w:tcPr>
            <w:tcW w:w="298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 xml:space="preserve">Easy back-up </w:t>
            </w:r>
          </w:p>
        </w:tc>
        <w:tc>
          <w:tcPr>
            <w:tcW w:w="29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10</w:t>
            </w:r>
          </w:p>
        </w:tc>
        <w:tc>
          <w:tcPr>
            <w:tcW w:w="294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20</w:t>
            </w:r>
          </w:p>
        </w:tc>
      </w:tr>
      <w:tr w:rsidR="00814414">
        <w:trPr>
          <w:trHeight w:val="300"/>
        </w:trPr>
        <w:tc>
          <w:tcPr>
            <w:tcW w:w="298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 xml:space="preserve">Easy file management  </w:t>
            </w:r>
          </w:p>
        </w:tc>
        <w:tc>
          <w:tcPr>
            <w:tcW w:w="29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15</w:t>
            </w:r>
          </w:p>
        </w:tc>
        <w:tc>
          <w:tcPr>
            <w:tcW w:w="294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30</w:t>
            </w:r>
          </w:p>
        </w:tc>
      </w:tr>
      <w:tr w:rsidR="00814414">
        <w:trPr>
          <w:trHeight w:val="300"/>
        </w:trPr>
        <w:tc>
          <w:tcPr>
            <w:tcW w:w="298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Customizable layout</w:t>
            </w:r>
          </w:p>
        </w:tc>
        <w:tc>
          <w:tcPr>
            <w:tcW w:w="29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5</w:t>
            </w:r>
          </w:p>
        </w:tc>
        <w:tc>
          <w:tcPr>
            <w:tcW w:w="294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10</w:t>
            </w:r>
          </w:p>
        </w:tc>
      </w:tr>
    </w:tbl>
    <w:p w:rsidR="00814414" w:rsidRDefault="00814414">
      <w:pPr>
        <w:pStyle w:val="ListParagraph"/>
        <w:widowControl w:val="0"/>
        <w:numPr>
          <w:ilvl w:val="0"/>
          <w:numId w:val="15"/>
        </w:numPr>
        <w:tabs>
          <w:tab w:val="num" w:pos="720"/>
        </w:tabs>
        <w:spacing w:line="240" w:lineRule="auto"/>
        <w:ind w:hanging="360"/>
      </w:pPr>
    </w:p>
    <w:p w:rsidR="00814414" w:rsidRDefault="00814414">
      <w:pPr>
        <w:pStyle w:val="ListParagraph"/>
        <w:spacing w:line="360" w:lineRule="auto"/>
      </w:pPr>
    </w:p>
    <w:p w:rsidR="00814414" w:rsidRDefault="002763D0">
      <w:pPr>
        <w:pStyle w:val="ListParagraph"/>
        <w:spacing w:line="360" w:lineRule="auto"/>
      </w:pPr>
      <w:r>
        <w:rPr>
          <w:noProof/>
        </w:rPr>
        <w:drawing>
          <wp:inline distT="0" distB="0" distL="0" distR="0">
            <wp:extent cx="5815698" cy="2400241"/>
            <wp:effectExtent l="0" t="0" r="0" b="0"/>
            <wp:docPr id="1073741828" name="officeArt object"/>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t xml:space="preserve"> </w:t>
      </w:r>
    </w:p>
    <w:p w:rsidR="00814414" w:rsidRDefault="002763D0">
      <w:pPr>
        <w:pStyle w:val="Body"/>
        <w:spacing w:line="360" w:lineRule="auto"/>
      </w:pPr>
      <w:r>
        <w:rPr>
          <w:lang w:val="en-US"/>
        </w:rPr>
        <w:t>In this question, the objective of the researcher was to gain a specific understanding of the features which are most appreciated by the students regarding Moodle. The responses clarify that easy file management feature of Moodle is appreciated by 30% of t</w:t>
      </w:r>
      <w:r>
        <w:rPr>
          <w:lang w:val="en-US"/>
        </w:rPr>
        <w:t xml:space="preserve">he students. The second most popular feature of Moodle is the presence of collaborative tools. The least popular feature of Moodle has been identified by the students of University of Wales Trinity Saint David London Campus as the combined calendar. </w:t>
      </w:r>
    </w:p>
    <w:p w:rsidR="00814414" w:rsidRDefault="002763D0">
      <w:pPr>
        <w:pStyle w:val="ListParagraph"/>
        <w:widowControl w:val="0"/>
        <w:numPr>
          <w:ilvl w:val="0"/>
          <w:numId w:val="16"/>
        </w:numPr>
        <w:tabs>
          <w:tab w:val="num" w:pos="720"/>
        </w:tabs>
        <w:spacing w:line="360" w:lineRule="auto"/>
        <w:ind w:hanging="360"/>
      </w:pPr>
      <w:r>
        <w:t>Would</w:t>
      </w:r>
      <w:r>
        <w:t xml:space="preserve"> you like to make any changes to the current VLE platform which is being used by the university? </w:t>
      </w:r>
    </w:p>
    <w:tbl>
      <w:tblPr>
        <w:tblW w:w="8856"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2940"/>
        <w:gridCol w:w="2951"/>
        <w:gridCol w:w="2965"/>
      </w:tblGrid>
      <w:tr w:rsidR="00814414">
        <w:trPr>
          <w:trHeight w:val="300"/>
        </w:trPr>
        <w:tc>
          <w:tcPr>
            <w:tcW w:w="2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line="360" w:lineRule="auto"/>
              <w:ind w:left="0"/>
            </w:pPr>
            <w:r>
              <w:t xml:space="preserve">Choices </w:t>
            </w:r>
          </w:p>
        </w:tc>
        <w:tc>
          <w:tcPr>
            <w:tcW w:w="295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 xml:space="preserve">Number of responses </w:t>
            </w:r>
          </w:p>
        </w:tc>
        <w:tc>
          <w:tcPr>
            <w:tcW w:w="29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Percentage (%)</w:t>
            </w:r>
          </w:p>
        </w:tc>
      </w:tr>
      <w:tr w:rsidR="00814414">
        <w:trPr>
          <w:trHeight w:val="300"/>
        </w:trPr>
        <w:tc>
          <w:tcPr>
            <w:tcW w:w="2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 xml:space="preserve">Yes  </w:t>
            </w:r>
          </w:p>
        </w:tc>
        <w:tc>
          <w:tcPr>
            <w:tcW w:w="295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20</w:t>
            </w:r>
          </w:p>
        </w:tc>
        <w:tc>
          <w:tcPr>
            <w:tcW w:w="29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40</w:t>
            </w:r>
          </w:p>
        </w:tc>
      </w:tr>
      <w:tr w:rsidR="00814414">
        <w:trPr>
          <w:trHeight w:val="300"/>
        </w:trPr>
        <w:tc>
          <w:tcPr>
            <w:tcW w:w="2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 xml:space="preserve">No </w:t>
            </w:r>
          </w:p>
        </w:tc>
        <w:tc>
          <w:tcPr>
            <w:tcW w:w="295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30</w:t>
            </w:r>
          </w:p>
        </w:tc>
        <w:tc>
          <w:tcPr>
            <w:tcW w:w="29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60</w:t>
            </w:r>
          </w:p>
        </w:tc>
      </w:tr>
    </w:tbl>
    <w:p w:rsidR="00814414" w:rsidRDefault="00814414">
      <w:pPr>
        <w:pStyle w:val="ListParagraph"/>
        <w:widowControl w:val="0"/>
        <w:numPr>
          <w:ilvl w:val="0"/>
          <w:numId w:val="17"/>
        </w:numPr>
        <w:tabs>
          <w:tab w:val="num" w:pos="720"/>
        </w:tabs>
        <w:spacing w:line="240" w:lineRule="auto"/>
        <w:ind w:hanging="360"/>
      </w:pPr>
    </w:p>
    <w:p w:rsidR="00814414" w:rsidRDefault="00814414">
      <w:pPr>
        <w:pStyle w:val="ListParagraph"/>
        <w:spacing w:line="360" w:lineRule="auto"/>
      </w:pPr>
    </w:p>
    <w:p w:rsidR="00814414" w:rsidRDefault="002763D0">
      <w:pPr>
        <w:pStyle w:val="ListParagraph"/>
        <w:spacing w:line="360" w:lineRule="auto"/>
      </w:pPr>
      <w:r>
        <w:rPr>
          <w:noProof/>
        </w:rPr>
        <w:drawing>
          <wp:inline distT="0" distB="0" distL="0" distR="0">
            <wp:extent cx="4339317" cy="2874434"/>
            <wp:effectExtent l="0" t="0" r="0" b="0"/>
            <wp:docPr id="1073741829" name="officeArt object"/>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t xml:space="preserve"> </w:t>
      </w:r>
    </w:p>
    <w:p w:rsidR="00814414" w:rsidRDefault="002763D0">
      <w:pPr>
        <w:pStyle w:val="Body"/>
        <w:spacing w:line="360" w:lineRule="auto"/>
      </w:pPr>
      <w:r>
        <w:rPr>
          <w:lang w:val="en-US"/>
        </w:rPr>
        <w:t>It is a positive indication for the University of Wales Trinity Saint David London Campus that majority of students are satisfied with the current VLE platform and they are not willing to make any changes. However, 40% students are planning to change certa</w:t>
      </w:r>
      <w:r>
        <w:rPr>
          <w:lang w:val="en-US"/>
        </w:rPr>
        <w:t xml:space="preserve">in features of the current VLE and it is preferable to ask the students about the changes they are willing to make. </w:t>
      </w:r>
    </w:p>
    <w:p w:rsidR="00814414" w:rsidRDefault="00814414">
      <w:pPr>
        <w:pStyle w:val="ListParagraph"/>
        <w:spacing w:line="360" w:lineRule="auto"/>
      </w:pPr>
    </w:p>
    <w:p w:rsidR="00814414" w:rsidRDefault="002763D0">
      <w:pPr>
        <w:pStyle w:val="ListParagraph"/>
        <w:widowControl w:val="0"/>
        <w:numPr>
          <w:ilvl w:val="0"/>
          <w:numId w:val="18"/>
        </w:numPr>
        <w:tabs>
          <w:tab w:val="num" w:pos="720"/>
        </w:tabs>
        <w:spacing w:line="360" w:lineRule="auto"/>
        <w:ind w:hanging="360"/>
      </w:pPr>
      <w:r>
        <w:t xml:space="preserve">Do you prefer manual method of learning over VLE? </w:t>
      </w:r>
    </w:p>
    <w:tbl>
      <w:tblPr>
        <w:tblW w:w="8856"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2940"/>
        <w:gridCol w:w="2951"/>
        <w:gridCol w:w="2965"/>
      </w:tblGrid>
      <w:tr w:rsidR="00814414">
        <w:trPr>
          <w:trHeight w:val="300"/>
        </w:trPr>
        <w:tc>
          <w:tcPr>
            <w:tcW w:w="2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line="360" w:lineRule="auto"/>
              <w:ind w:left="0"/>
            </w:pPr>
            <w:r>
              <w:t xml:space="preserve">Choices </w:t>
            </w:r>
          </w:p>
        </w:tc>
        <w:tc>
          <w:tcPr>
            <w:tcW w:w="295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 xml:space="preserve">Number of responses </w:t>
            </w:r>
          </w:p>
        </w:tc>
        <w:tc>
          <w:tcPr>
            <w:tcW w:w="29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Percentage (%)</w:t>
            </w:r>
          </w:p>
        </w:tc>
      </w:tr>
      <w:tr w:rsidR="00814414">
        <w:trPr>
          <w:trHeight w:val="300"/>
        </w:trPr>
        <w:tc>
          <w:tcPr>
            <w:tcW w:w="2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 xml:space="preserve">Yes  </w:t>
            </w:r>
          </w:p>
        </w:tc>
        <w:tc>
          <w:tcPr>
            <w:tcW w:w="295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18</w:t>
            </w:r>
          </w:p>
        </w:tc>
        <w:tc>
          <w:tcPr>
            <w:tcW w:w="29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36</w:t>
            </w:r>
          </w:p>
        </w:tc>
      </w:tr>
      <w:tr w:rsidR="00814414">
        <w:trPr>
          <w:trHeight w:val="300"/>
        </w:trPr>
        <w:tc>
          <w:tcPr>
            <w:tcW w:w="2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 xml:space="preserve">No </w:t>
            </w:r>
          </w:p>
        </w:tc>
        <w:tc>
          <w:tcPr>
            <w:tcW w:w="295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32</w:t>
            </w:r>
          </w:p>
        </w:tc>
        <w:tc>
          <w:tcPr>
            <w:tcW w:w="29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64</w:t>
            </w:r>
          </w:p>
        </w:tc>
      </w:tr>
    </w:tbl>
    <w:p w:rsidR="00814414" w:rsidRDefault="00814414">
      <w:pPr>
        <w:pStyle w:val="ListParagraph"/>
        <w:widowControl w:val="0"/>
        <w:numPr>
          <w:ilvl w:val="0"/>
          <w:numId w:val="19"/>
        </w:numPr>
        <w:tabs>
          <w:tab w:val="num" w:pos="720"/>
        </w:tabs>
        <w:spacing w:line="240" w:lineRule="auto"/>
        <w:ind w:hanging="360"/>
      </w:pPr>
    </w:p>
    <w:p w:rsidR="00814414" w:rsidRDefault="00814414">
      <w:pPr>
        <w:pStyle w:val="ListParagraph"/>
        <w:spacing w:line="360" w:lineRule="auto"/>
      </w:pPr>
    </w:p>
    <w:p w:rsidR="00814414" w:rsidRDefault="002763D0">
      <w:pPr>
        <w:pStyle w:val="ListParagraph"/>
        <w:spacing w:line="360" w:lineRule="auto"/>
      </w:pPr>
      <w:r>
        <w:rPr>
          <w:noProof/>
        </w:rPr>
        <w:drawing>
          <wp:inline distT="0" distB="0" distL="0" distR="0">
            <wp:extent cx="4339317" cy="2874434"/>
            <wp:effectExtent l="0" t="0" r="0" b="0"/>
            <wp:docPr id="1073741830" name="officeArt object"/>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t xml:space="preserve"> </w:t>
      </w:r>
    </w:p>
    <w:p w:rsidR="00814414" w:rsidRDefault="002763D0">
      <w:pPr>
        <w:pStyle w:val="Body"/>
        <w:spacing w:line="360" w:lineRule="auto"/>
      </w:pPr>
      <w:r>
        <w:rPr>
          <w:lang w:val="en-US"/>
        </w:rPr>
        <w:t xml:space="preserve">The responses to this question are clear. Majority of the students studying in University of Wales Trinity Saint David London Campus prefer the digital platform over manual platform. This means, the students are comfortable </w:t>
      </w:r>
      <w:r>
        <w:rPr>
          <w:lang w:val="en-US"/>
        </w:rPr>
        <w:t xml:space="preserve">with Moodle and they appreciate the online assistance offered by this platform all the time. </w:t>
      </w:r>
    </w:p>
    <w:p w:rsidR="00814414" w:rsidRDefault="00814414">
      <w:pPr>
        <w:pStyle w:val="ListParagraph"/>
        <w:spacing w:line="360" w:lineRule="auto"/>
      </w:pPr>
    </w:p>
    <w:p w:rsidR="00814414" w:rsidRDefault="002763D0">
      <w:pPr>
        <w:pStyle w:val="ListParagraph"/>
        <w:widowControl w:val="0"/>
        <w:numPr>
          <w:ilvl w:val="0"/>
          <w:numId w:val="20"/>
        </w:numPr>
        <w:tabs>
          <w:tab w:val="num" w:pos="720"/>
        </w:tabs>
        <w:spacing w:line="360" w:lineRule="auto"/>
        <w:ind w:hanging="360"/>
      </w:pPr>
      <w:r>
        <w:t xml:space="preserve">Do you think Moodle helps you in accessing resources properly? </w:t>
      </w:r>
    </w:p>
    <w:tbl>
      <w:tblPr>
        <w:tblW w:w="8856"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2940"/>
        <w:gridCol w:w="2951"/>
        <w:gridCol w:w="2965"/>
      </w:tblGrid>
      <w:tr w:rsidR="00814414">
        <w:trPr>
          <w:trHeight w:val="300"/>
        </w:trPr>
        <w:tc>
          <w:tcPr>
            <w:tcW w:w="2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line="360" w:lineRule="auto"/>
              <w:ind w:left="0"/>
            </w:pPr>
            <w:r>
              <w:t xml:space="preserve">Choices </w:t>
            </w:r>
          </w:p>
        </w:tc>
        <w:tc>
          <w:tcPr>
            <w:tcW w:w="295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 xml:space="preserve">Number of responses </w:t>
            </w:r>
          </w:p>
        </w:tc>
        <w:tc>
          <w:tcPr>
            <w:tcW w:w="29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Percentage (%)</w:t>
            </w:r>
          </w:p>
        </w:tc>
      </w:tr>
      <w:tr w:rsidR="00814414">
        <w:trPr>
          <w:trHeight w:val="300"/>
        </w:trPr>
        <w:tc>
          <w:tcPr>
            <w:tcW w:w="2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 xml:space="preserve">Strongly agree </w:t>
            </w:r>
          </w:p>
        </w:tc>
        <w:tc>
          <w:tcPr>
            <w:tcW w:w="295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5</w:t>
            </w:r>
          </w:p>
        </w:tc>
        <w:tc>
          <w:tcPr>
            <w:tcW w:w="29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10</w:t>
            </w:r>
          </w:p>
        </w:tc>
      </w:tr>
      <w:tr w:rsidR="00814414">
        <w:trPr>
          <w:trHeight w:val="300"/>
        </w:trPr>
        <w:tc>
          <w:tcPr>
            <w:tcW w:w="2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 xml:space="preserve">Agree </w:t>
            </w:r>
          </w:p>
        </w:tc>
        <w:tc>
          <w:tcPr>
            <w:tcW w:w="295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30</w:t>
            </w:r>
          </w:p>
        </w:tc>
        <w:tc>
          <w:tcPr>
            <w:tcW w:w="29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60</w:t>
            </w:r>
          </w:p>
        </w:tc>
      </w:tr>
      <w:tr w:rsidR="00814414">
        <w:trPr>
          <w:trHeight w:val="300"/>
        </w:trPr>
        <w:tc>
          <w:tcPr>
            <w:tcW w:w="2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 xml:space="preserve">Neutral </w:t>
            </w:r>
          </w:p>
        </w:tc>
        <w:tc>
          <w:tcPr>
            <w:tcW w:w="295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3</w:t>
            </w:r>
          </w:p>
        </w:tc>
        <w:tc>
          <w:tcPr>
            <w:tcW w:w="29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6</w:t>
            </w:r>
          </w:p>
        </w:tc>
      </w:tr>
      <w:tr w:rsidR="00814414">
        <w:trPr>
          <w:trHeight w:val="300"/>
        </w:trPr>
        <w:tc>
          <w:tcPr>
            <w:tcW w:w="2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 xml:space="preserve">Disagree </w:t>
            </w:r>
          </w:p>
        </w:tc>
        <w:tc>
          <w:tcPr>
            <w:tcW w:w="295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10</w:t>
            </w:r>
          </w:p>
        </w:tc>
        <w:tc>
          <w:tcPr>
            <w:tcW w:w="29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20</w:t>
            </w:r>
          </w:p>
        </w:tc>
      </w:tr>
      <w:tr w:rsidR="00814414">
        <w:trPr>
          <w:trHeight w:val="300"/>
        </w:trPr>
        <w:tc>
          <w:tcPr>
            <w:tcW w:w="2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 xml:space="preserve">Strongly disagree </w:t>
            </w:r>
          </w:p>
        </w:tc>
        <w:tc>
          <w:tcPr>
            <w:tcW w:w="295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2</w:t>
            </w:r>
          </w:p>
        </w:tc>
        <w:tc>
          <w:tcPr>
            <w:tcW w:w="29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4</w:t>
            </w:r>
          </w:p>
        </w:tc>
      </w:tr>
    </w:tbl>
    <w:p w:rsidR="00814414" w:rsidRDefault="00814414">
      <w:pPr>
        <w:pStyle w:val="ListParagraph"/>
        <w:widowControl w:val="0"/>
        <w:numPr>
          <w:ilvl w:val="0"/>
          <w:numId w:val="21"/>
        </w:numPr>
        <w:tabs>
          <w:tab w:val="num" w:pos="720"/>
        </w:tabs>
        <w:spacing w:line="240" w:lineRule="auto"/>
        <w:ind w:hanging="360"/>
      </w:pPr>
    </w:p>
    <w:p w:rsidR="00814414" w:rsidRDefault="002763D0">
      <w:pPr>
        <w:pStyle w:val="ListParagraph"/>
        <w:spacing w:line="360" w:lineRule="auto"/>
      </w:pPr>
      <w:r>
        <w:t xml:space="preserve"> </w:t>
      </w:r>
    </w:p>
    <w:p w:rsidR="00814414" w:rsidRDefault="002763D0">
      <w:pPr>
        <w:pStyle w:val="ListParagraph"/>
        <w:spacing w:line="360" w:lineRule="auto"/>
      </w:pPr>
      <w:r>
        <w:rPr>
          <w:noProof/>
        </w:rPr>
        <w:drawing>
          <wp:inline distT="0" distB="0" distL="0" distR="0">
            <wp:extent cx="5040998" cy="2400241"/>
            <wp:effectExtent l="0" t="0" r="0" b="0"/>
            <wp:docPr id="1073741831" name="officeArt object"/>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814414" w:rsidRDefault="002763D0">
      <w:pPr>
        <w:pStyle w:val="Body"/>
        <w:spacing w:line="360" w:lineRule="auto"/>
      </w:pPr>
      <w:r>
        <w:rPr>
          <w:lang w:val="en-US"/>
        </w:rPr>
        <w:t>It is one of the most essential questions relevant to this research as it tries to analyze the level of flexibility of Moodle to access online resources. The responses of the students point out that they agree to the fact as 60% of the students have consid</w:t>
      </w:r>
      <w:r>
        <w:rPr>
          <w:lang w:val="en-US"/>
        </w:rPr>
        <w:t xml:space="preserve">ered Moodle as a flexible source for accessing online resources. </w:t>
      </w:r>
    </w:p>
    <w:p w:rsidR="00814414" w:rsidRDefault="002763D0">
      <w:pPr>
        <w:pStyle w:val="ListParagraph"/>
        <w:widowControl w:val="0"/>
        <w:numPr>
          <w:ilvl w:val="0"/>
          <w:numId w:val="22"/>
        </w:numPr>
        <w:tabs>
          <w:tab w:val="num" w:pos="720"/>
        </w:tabs>
        <w:spacing w:line="360" w:lineRule="auto"/>
        <w:ind w:hanging="360"/>
      </w:pPr>
      <w:r>
        <w:t xml:space="preserve">Would you recommend learning through VLE to your friends? </w:t>
      </w:r>
    </w:p>
    <w:tbl>
      <w:tblPr>
        <w:tblW w:w="8856"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2940"/>
        <w:gridCol w:w="2951"/>
        <w:gridCol w:w="2965"/>
      </w:tblGrid>
      <w:tr w:rsidR="00814414">
        <w:trPr>
          <w:trHeight w:val="300"/>
        </w:trPr>
        <w:tc>
          <w:tcPr>
            <w:tcW w:w="2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line="360" w:lineRule="auto"/>
              <w:ind w:left="0"/>
            </w:pPr>
            <w:r>
              <w:t xml:space="preserve">Choices </w:t>
            </w:r>
          </w:p>
        </w:tc>
        <w:tc>
          <w:tcPr>
            <w:tcW w:w="295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 xml:space="preserve">Number of responses </w:t>
            </w:r>
          </w:p>
        </w:tc>
        <w:tc>
          <w:tcPr>
            <w:tcW w:w="29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Percentage (%)</w:t>
            </w:r>
          </w:p>
        </w:tc>
      </w:tr>
      <w:tr w:rsidR="00814414">
        <w:trPr>
          <w:trHeight w:val="300"/>
        </w:trPr>
        <w:tc>
          <w:tcPr>
            <w:tcW w:w="2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 xml:space="preserve">Yes </w:t>
            </w:r>
          </w:p>
        </w:tc>
        <w:tc>
          <w:tcPr>
            <w:tcW w:w="295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40</w:t>
            </w:r>
          </w:p>
        </w:tc>
        <w:tc>
          <w:tcPr>
            <w:tcW w:w="29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80</w:t>
            </w:r>
          </w:p>
        </w:tc>
      </w:tr>
      <w:tr w:rsidR="00814414">
        <w:trPr>
          <w:trHeight w:val="300"/>
        </w:trPr>
        <w:tc>
          <w:tcPr>
            <w:tcW w:w="2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No</w:t>
            </w:r>
          </w:p>
        </w:tc>
        <w:tc>
          <w:tcPr>
            <w:tcW w:w="295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10</w:t>
            </w:r>
          </w:p>
        </w:tc>
        <w:tc>
          <w:tcPr>
            <w:tcW w:w="29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14414" w:rsidRDefault="002763D0">
            <w:pPr>
              <w:pStyle w:val="ListParagraph"/>
              <w:spacing w:after="0" w:line="360" w:lineRule="auto"/>
              <w:ind w:left="0"/>
            </w:pPr>
            <w:r>
              <w:t>20</w:t>
            </w:r>
          </w:p>
        </w:tc>
      </w:tr>
    </w:tbl>
    <w:p w:rsidR="00814414" w:rsidRDefault="00814414">
      <w:pPr>
        <w:pStyle w:val="ListParagraph"/>
        <w:widowControl w:val="0"/>
        <w:numPr>
          <w:ilvl w:val="0"/>
          <w:numId w:val="23"/>
        </w:numPr>
        <w:tabs>
          <w:tab w:val="num" w:pos="720"/>
        </w:tabs>
        <w:spacing w:line="240" w:lineRule="auto"/>
        <w:ind w:hanging="360"/>
      </w:pPr>
    </w:p>
    <w:p w:rsidR="00814414" w:rsidRDefault="00814414">
      <w:pPr>
        <w:pStyle w:val="Body"/>
        <w:spacing w:line="360" w:lineRule="auto"/>
      </w:pPr>
    </w:p>
    <w:p w:rsidR="00814414" w:rsidRDefault="002763D0">
      <w:pPr>
        <w:pStyle w:val="Body"/>
        <w:spacing w:line="360" w:lineRule="auto"/>
      </w:pPr>
      <w:r>
        <w:rPr>
          <w:lang w:val="en-US"/>
        </w:rPr>
        <w:t>The final question related to this research was about understanding if the students are willing to recommend about the VLE to their friends. This question will be helpful in understanding if the students are satisfied with Moodle and if they will help othe</w:t>
      </w:r>
      <w:r>
        <w:rPr>
          <w:lang w:val="en-US"/>
        </w:rPr>
        <w:t>rs to use this VLE platform. The responses have shown that 80% of the students which is a great majority, are willing to recommend their friends about the current VLE platform. This establishes that majority of the students of University of Wales Trinity S</w:t>
      </w:r>
      <w:r>
        <w:rPr>
          <w:lang w:val="en-US"/>
        </w:rPr>
        <w:t xml:space="preserve">aint David London Campus are comfortable with Moodle. </w:t>
      </w:r>
    </w:p>
    <w:p w:rsidR="00814414" w:rsidRDefault="002763D0">
      <w:pPr>
        <w:pStyle w:val="ListParagraph"/>
        <w:spacing w:line="360" w:lineRule="auto"/>
      </w:pPr>
      <w:r>
        <w:rPr>
          <w:noProof/>
        </w:rPr>
        <w:drawing>
          <wp:inline distT="0" distB="0" distL="0" distR="0">
            <wp:extent cx="4339317" cy="2874434"/>
            <wp:effectExtent l="0" t="0" r="0" b="0"/>
            <wp:docPr id="1073741832" name="officeArt object"/>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814414" w:rsidRDefault="002763D0">
      <w:pPr>
        <w:pStyle w:val="Heading"/>
        <w:spacing w:line="360" w:lineRule="auto"/>
      </w:pPr>
      <w:bookmarkStart w:id="5" w:name="_Toc4"/>
      <w:r>
        <w:rPr>
          <w:lang w:val="en-US"/>
        </w:rPr>
        <w:t xml:space="preserve">Secondary data analysis </w:t>
      </w:r>
      <w:bookmarkEnd w:id="5"/>
    </w:p>
    <w:p w:rsidR="00814414" w:rsidRDefault="002763D0">
      <w:pPr>
        <w:pStyle w:val="Body"/>
        <w:spacing w:line="360" w:lineRule="auto"/>
      </w:pPr>
      <w:r>
        <w:rPr>
          <w:lang w:val="en-US"/>
        </w:rPr>
        <w:t>The secondary data analysis has been performed typically on the basis of existing data sources and academic journals. The findings of this analys</w:t>
      </w:r>
      <w:r>
        <w:rPr>
          <w:lang w:val="en-US"/>
        </w:rPr>
        <w:t xml:space="preserve">is have established that VLE is able to leave a positive impact on the learning experiences of students of any institution (Phungsuk </w:t>
      </w:r>
      <w:r>
        <w:rPr>
          <w:i/>
          <w:iCs/>
          <w:lang w:val="nl-NL"/>
        </w:rPr>
        <w:t>et al</w:t>
      </w:r>
      <w:r>
        <w:rPr>
          <w:lang w:val="en-US"/>
        </w:rPr>
        <w:t>. 2017). Firstly, when students are enrolled within a coursework, they are required to study different subjects. Accor</w:t>
      </w:r>
      <w:r>
        <w:rPr>
          <w:lang w:val="en-US"/>
        </w:rPr>
        <w:t>dingly, there are multiple assignments which are handled by the students. Hence, it is very common for them to misplace assignments and to forget the dates when the assignments are due (Chen, 2016). Therefore, they can face troubles. VLE platforms are desi</w:t>
      </w:r>
      <w:r>
        <w:rPr>
          <w:lang w:val="en-US"/>
        </w:rPr>
        <w:t>gned in such a way that each student would have their independent user IDs and passwords and they will be able to differentiate different files and resources depending on different subjects. Hence, they don</w:t>
      </w:r>
      <w:r>
        <w:rPr>
          <w:rFonts w:hAnsi="Times New Roman"/>
          <w:lang w:val="fr-FR"/>
        </w:rPr>
        <w:t>’</w:t>
      </w:r>
      <w:r>
        <w:rPr>
          <w:lang w:val="en-US"/>
        </w:rPr>
        <w:t>t miss dates of submission and can develop an org</w:t>
      </w:r>
      <w:r>
        <w:rPr>
          <w:lang w:val="en-US"/>
        </w:rPr>
        <w:t xml:space="preserve">anized approach to their educational life. Therefore, it is good for their overall learning experience. Secondly, these VLE platforms offer a lot of flexibility to the students. They can communicate with their tutors during any time of the day and can ask </w:t>
      </w:r>
      <w:r>
        <w:rPr>
          <w:lang w:val="en-US"/>
        </w:rPr>
        <w:t xml:space="preserve">their queries. The interrelationship between teachers and students also improve due to VLE platforms and this is also the reason why learning experiences of the students can be improved (Cassidy, 2016). </w:t>
      </w:r>
    </w:p>
    <w:p w:rsidR="00814414" w:rsidRDefault="002763D0">
      <w:pPr>
        <w:pStyle w:val="Body"/>
        <w:spacing w:line="360" w:lineRule="auto"/>
      </w:pPr>
      <w:r>
        <w:rPr>
          <w:lang w:val="en-US"/>
        </w:rPr>
        <w:t>However, by analyzing different existing sources, it</w:t>
      </w:r>
      <w:r>
        <w:rPr>
          <w:lang w:val="en-US"/>
        </w:rPr>
        <w:t xml:space="preserve"> can also be understood that there are some challenges associated with the VLE platforms and which are affecting the learning experiences of the students. It is stated by many researchers that due to VLE, the students are getting lost in their </w:t>
      </w:r>
      <w:r>
        <w:rPr>
          <w:lang w:val="en-US"/>
        </w:rPr>
        <w:lastRenderedPageBreak/>
        <w:t>study materi</w:t>
      </w:r>
      <w:r>
        <w:rPr>
          <w:lang w:val="en-US"/>
        </w:rPr>
        <w:t xml:space="preserve">als and their thinking capability is declining as they are receiving everything beforehand (Heemskerk, </w:t>
      </w:r>
      <w:r>
        <w:rPr>
          <w:i/>
          <w:iCs/>
          <w:lang w:val="nl-NL"/>
        </w:rPr>
        <w:t>et al.</w:t>
      </w:r>
      <w:r>
        <w:rPr>
          <w:lang w:val="en-US"/>
        </w:rPr>
        <w:t xml:space="preserve"> 2014). Additionally, it is also a fact that all students are not comfortable with this type of learning. Some may require more personal interactio</w:t>
      </w:r>
      <w:r>
        <w:rPr>
          <w:lang w:val="en-US"/>
        </w:rPr>
        <w:t>n with the lecturers where they can understand different concepts personally. Due to the presence of VLE, this scope is declining. Furthermore, the students who are not comfortable with technology are often negatively affected as they are unable to compete</w:t>
      </w:r>
      <w:r>
        <w:rPr>
          <w:lang w:val="en-US"/>
        </w:rPr>
        <w:t xml:space="preserve"> with the fellow students due to their technological backwardness (Li </w:t>
      </w:r>
      <w:r>
        <w:rPr>
          <w:i/>
          <w:iCs/>
          <w:lang w:val="nl-NL"/>
        </w:rPr>
        <w:t>et al.</w:t>
      </w:r>
      <w:r>
        <w:t xml:space="preserve"> 2017). </w:t>
      </w:r>
    </w:p>
    <w:p w:rsidR="00814414" w:rsidRDefault="002763D0">
      <w:pPr>
        <w:pStyle w:val="Heading"/>
        <w:spacing w:line="360" w:lineRule="auto"/>
      </w:pPr>
      <w:bookmarkStart w:id="6" w:name="_Toc5"/>
      <w:r>
        <w:rPr>
          <w:lang w:val="en-US"/>
        </w:rPr>
        <w:t xml:space="preserve">Conclusion </w:t>
      </w:r>
      <w:bookmarkEnd w:id="6"/>
    </w:p>
    <w:p w:rsidR="00814414" w:rsidRDefault="002763D0">
      <w:pPr>
        <w:pStyle w:val="Body"/>
        <w:spacing w:line="360" w:lineRule="auto"/>
      </w:pPr>
      <w:r>
        <w:rPr>
          <w:lang w:val="en-US"/>
        </w:rPr>
        <w:t>The objective of this research study was to identify the role of various VLE platforms in improving the learning experiences of the students. The primary resea</w:t>
      </w:r>
      <w:r>
        <w:rPr>
          <w:lang w:val="en-US"/>
        </w:rPr>
        <w:t>rch findings have concluded that majority of the students of University of Wales Trinity Saint David London Campus are comfortable of VLE platforms like Moodle due to easy accessibility of resources and high level of file management. Majority of the studen</w:t>
      </w:r>
      <w:r>
        <w:rPr>
          <w:lang w:val="en-US"/>
        </w:rPr>
        <w:t>ts have also stated that they are not willing to make any changes to the existing VLE and they will recommend about it to others. The findings of secondary research have also shown that VLEs play a major role in improving the learning experiences of studen</w:t>
      </w:r>
      <w:r>
        <w:rPr>
          <w:lang w:val="en-US"/>
        </w:rPr>
        <w:t xml:space="preserve">ts. However, it has also been found from secondary research that some students might have to struggle due to their technological backwardness. Additionally, the learning style associated with VLE might also not match will all students of an institution. </w:t>
      </w:r>
    </w:p>
    <w:p w:rsidR="00814414" w:rsidRDefault="002763D0">
      <w:pPr>
        <w:pStyle w:val="Heading"/>
        <w:spacing w:line="360" w:lineRule="auto"/>
      </w:pPr>
      <w:bookmarkStart w:id="7" w:name="_Toc6"/>
      <w:r>
        <w:rPr>
          <w:lang w:val="fr-FR"/>
        </w:rPr>
        <w:t xml:space="preserve">Recommendations </w:t>
      </w:r>
      <w:bookmarkEnd w:id="7"/>
    </w:p>
    <w:p w:rsidR="00814414" w:rsidRDefault="002763D0">
      <w:pPr>
        <w:pStyle w:val="Body"/>
        <w:spacing w:line="360" w:lineRule="auto"/>
      </w:pPr>
      <w:r>
        <w:rPr>
          <w:lang w:val="en-US"/>
        </w:rPr>
        <w:t>On the basis of the research findings, it is recommended to the University of Wales Trinity Saint David London Campus, that along with VLE, they should also keep the scope of personal interaction between teachers and students open. Further</w:t>
      </w:r>
      <w:r>
        <w:rPr>
          <w:lang w:val="en-US"/>
        </w:rPr>
        <w:t xml:space="preserve">more, those students of the university should be identified who are not technologically advanced and they should be given trainings to learn more about the VLE platforms. </w:t>
      </w:r>
    </w:p>
    <w:p w:rsidR="00814414" w:rsidRDefault="002763D0">
      <w:pPr>
        <w:pStyle w:val="Heading"/>
        <w:spacing w:line="360" w:lineRule="auto"/>
      </w:pPr>
      <w:bookmarkStart w:id="8" w:name="_Toc7"/>
      <w:r>
        <w:rPr>
          <w:lang w:val="en-US"/>
        </w:rPr>
        <w:t xml:space="preserve">References </w:t>
      </w:r>
      <w:bookmarkEnd w:id="8"/>
    </w:p>
    <w:p w:rsidR="00814414" w:rsidRDefault="002763D0">
      <w:pPr>
        <w:pStyle w:val="Body"/>
        <w:spacing w:line="360" w:lineRule="auto"/>
      </w:pPr>
      <w:r>
        <w:rPr>
          <w:lang w:val="en-US"/>
        </w:rPr>
        <w:t>Cassidy, S., 2016. Virtual Learning Environments as Mediating Factors in</w:t>
      </w:r>
      <w:r>
        <w:rPr>
          <w:lang w:val="en-US"/>
        </w:rPr>
        <w:t xml:space="preserve"> Student Satisfaction with Teaching and Learning in Higher Education.</w:t>
      </w:r>
      <w:r>
        <w:rPr>
          <w:rFonts w:hAnsi="Times New Roman"/>
        </w:rPr>
        <w:t> </w:t>
      </w:r>
      <w:r>
        <w:rPr>
          <w:i/>
          <w:iCs/>
          <w:lang w:val="en-US"/>
        </w:rPr>
        <w:t>Journal of Curriculum and Teaching</w:t>
      </w:r>
      <w:r>
        <w:t>,</w:t>
      </w:r>
      <w:r>
        <w:rPr>
          <w:rFonts w:hAnsi="Times New Roman"/>
        </w:rPr>
        <w:t> </w:t>
      </w:r>
      <w:r>
        <w:rPr>
          <w:i/>
          <w:iCs/>
        </w:rPr>
        <w:t>5</w:t>
      </w:r>
      <w:r>
        <w:t xml:space="preserve">(1), pp.113-123. </w:t>
      </w:r>
    </w:p>
    <w:p w:rsidR="00814414" w:rsidRDefault="002763D0">
      <w:pPr>
        <w:pStyle w:val="Body"/>
        <w:spacing w:line="360" w:lineRule="auto"/>
      </w:pPr>
      <w:r>
        <w:rPr>
          <w:lang w:val="en-US"/>
        </w:rPr>
        <w:lastRenderedPageBreak/>
        <w:t>Chen, Y.L., 2016. The effects of virtual reality learning environment on student cognitive and linguistic development.</w:t>
      </w:r>
      <w:r>
        <w:rPr>
          <w:rFonts w:hAnsi="Times New Roman"/>
        </w:rPr>
        <w:t> </w:t>
      </w:r>
      <w:r>
        <w:rPr>
          <w:i/>
          <w:iCs/>
          <w:lang w:val="en-US"/>
        </w:rPr>
        <w:t>The Asia-Pac</w:t>
      </w:r>
      <w:r>
        <w:rPr>
          <w:i/>
          <w:iCs/>
          <w:lang w:val="en-US"/>
        </w:rPr>
        <w:t>ific Education Researcher</w:t>
      </w:r>
      <w:r>
        <w:t>,</w:t>
      </w:r>
      <w:r>
        <w:rPr>
          <w:rFonts w:hAnsi="Times New Roman"/>
        </w:rPr>
        <w:t> </w:t>
      </w:r>
      <w:r>
        <w:rPr>
          <w:i/>
          <w:iCs/>
        </w:rPr>
        <w:t>25</w:t>
      </w:r>
      <w:r>
        <w:t xml:space="preserve">(4), pp.637-646. </w:t>
      </w:r>
    </w:p>
    <w:p w:rsidR="00814414" w:rsidRDefault="002763D0">
      <w:pPr>
        <w:pStyle w:val="Body"/>
        <w:spacing w:line="360" w:lineRule="auto"/>
      </w:pPr>
      <w:r>
        <w:rPr>
          <w:lang w:val="en-US"/>
        </w:rPr>
        <w:t>Heemskerk, I., Kuiper, E. and Meijer, J., 2014. Interactive whiteboard and virtual learning environment combined: effects on mathematics education.</w:t>
      </w:r>
      <w:r>
        <w:rPr>
          <w:rFonts w:hAnsi="Times New Roman"/>
        </w:rPr>
        <w:t> </w:t>
      </w:r>
      <w:r>
        <w:rPr>
          <w:i/>
          <w:iCs/>
          <w:lang w:val="en-US"/>
        </w:rPr>
        <w:t>Journal of Computer Assisted Learning</w:t>
      </w:r>
      <w:r>
        <w:t>,</w:t>
      </w:r>
      <w:r>
        <w:rPr>
          <w:rFonts w:hAnsi="Times New Roman"/>
        </w:rPr>
        <w:t> </w:t>
      </w:r>
      <w:r>
        <w:rPr>
          <w:i/>
          <w:iCs/>
        </w:rPr>
        <w:t>30</w:t>
      </w:r>
      <w:r>
        <w:t xml:space="preserve">(5), pp.465-478. </w:t>
      </w:r>
    </w:p>
    <w:p w:rsidR="00814414" w:rsidRDefault="002763D0">
      <w:pPr>
        <w:pStyle w:val="Body"/>
        <w:spacing w:line="360" w:lineRule="auto"/>
      </w:pPr>
      <w:r>
        <w:rPr>
          <w:lang w:val="en-US"/>
        </w:rPr>
        <w:t>Li</w:t>
      </w:r>
      <w:r>
        <w:rPr>
          <w:lang w:val="en-US"/>
        </w:rPr>
        <w:t>, N., Marsh, V., Rienties, B. and Whitelock, D., 2017. Online learning experiences of new versus continuing learners: a large-scale replication study.</w:t>
      </w:r>
      <w:r>
        <w:rPr>
          <w:rFonts w:hAnsi="Times New Roman"/>
        </w:rPr>
        <w:t> </w:t>
      </w:r>
      <w:r>
        <w:rPr>
          <w:i/>
          <w:iCs/>
          <w:lang w:val="en-US"/>
        </w:rPr>
        <w:t>Assessment &amp; Evaluation in Higher Education</w:t>
      </w:r>
      <w:r>
        <w:t>,</w:t>
      </w:r>
      <w:r>
        <w:rPr>
          <w:rFonts w:hAnsi="Times New Roman"/>
        </w:rPr>
        <w:t> </w:t>
      </w:r>
      <w:r>
        <w:rPr>
          <w:i/>
          <w:iCs/>
        </w:rPr>
        <w:t>42</w:t>
      </w:r>
      <w:r>
        <w:t xml:space="preserve">(4), pp.657-672. </w:t>
      </w:r>
    </w:p>
    <w:p w:rsidR="00814414" w:rsidRDefault="002763D0">
      <w:pPr>
        <w:pStyle w:val="Body"/>
        <w:spacing w:line="360" w:lineRule="auto"/>
      </w:pPr>
      <w:r>
        <w:rPr>
          <w:lang w:val="en-US"/>
        </w:rPr>
        <w:t>Mackey, A. and Gass, S.M., 2015.</w:t>
      </w:r>
      <w:r>
        <w:rPr>
          <w:rFonts w:hAnsi="Times New Roman"/>
        </w:rPr>
        <w:t> </w:t>
      </w:r>
      <w:r>
        <w:rPr>
          <w:i/>
          <w:iCs/>
          <w:lang w:val="en-US"/>
        </w:rPr>
        <w:t xml:space="preserve">Second </w:t>
      </w:r>
      <w:r>
        <w:rPr>
          <w:i/>
          <w:iCs/>
          <w:lang w:val="en-US"/>
        </w:rPr>
        <w:t>language research: Methodology and design</w:t>
      </w:r>
      <w:r>
        <w:t>. Routledge.</w:t>
      </w:r>
    </w:p>
    <w:p w:rsidR="00814414" w:rsidRDefault="002763D0">
      <w:pPr>
        <w:pStyle w:val="Body"/>
        <w:spacing w:line="360" w:lineRule="auto"/>
      </w:pPr>
      <w:r>
        <w:rPr>
          <w:lang w:val="en-US"/>
        </w:rPr>
        <w:t>Phungsuk, R., Viriyavejakul, C. and Ratanaolarn, T., 2017. Development of a problem-based learning model via a virtual learning environment.</w:t>
      </w:r>
      <w:r>
        <w:rPr>
          <w:rFonts w:hAnsi="Times New Roman"/>
        </w:rPr>
        <w:t> </w:t>
      </w:r>
      <w:r>
        <w:rPr>
          <w:i/>
          <w:iCs/>
          <w:lang w:val="en-US"/>
        </w:rPr>
        <w:t>Kasetsart Journal of Social Sciences</w:t>
      </w:r>
      <w:r>
        <w:t>,</w:t>
      </w:r>
      <w:r>
        <w:rPr>
          <w:rFonts w:hAnsi="Times New Roman"/>
        </w:rPr>
        <w:t> </w:t>
      </w:r>
      <w:r>
        <w:rPr>
          <w:i/>
          <w:iCs/>
        </w:rPr>
        <w:t>38</w:t>
      </w:r>
      <w:r>
        <w:t xml:space="preserve">(3), pp.297-306. </w:t>
      </w:r>
    </w:p>
    <w:p w:rsidR="00814414" w:rsidRDefault="002763D0">
      <w:pPr>
        <w:pStyle w:val="Body"/>
        <w:spacing w:line="360" w:lineRule="auto"/>
      </w:pPr>
      <w:r>
        <w:rPr>
          <w:lang w:val="en-US"/>
        </w:rPr>
        <w:t>Rie</w:t>
      </w:r>
      <w:r>
        <w:rPr>
          <w:lang w:val="en-US"/>
        </w:rPr>
        <w:t>nties, B., Giesbers, B., Lygo-Baker, S., Ma, H.W.S. and Rees, R., 2016. Why some teachers easily learn to use a new virtual learning environment: a technology acceptance perspective.</w:t>
      </w:r>
      <w:r>
        <w:rPr>
          <w:rFonts w:hAnsi="Times New Roman"/>
        </w:rPr>
        <w:t> </w:t>
      </w:r>
      <w:r>
        <w:rPr>
          <w:i/>
          <w:iCs/>
          <w:lang w:val="en-US"/>
        </w:rPr>
        <w:t>Interactive Learning Environments</w:t>
      </w:r>
      <w:r>
        <w:t>,</w:t>
      </w:r>
      <w:r>
        <w:rPr>
          <w:rFonts w:hAnsi="Times New Roman"/>
        </w:rPr>
        <w:t> </w:t>
      </w:r>
      <w:r>
        <w:rPr>
          <w:i/>
          <w:iCs/>
        </w:rPr>
        <w:t>24</w:t>
      </w:r>
      <w:r>
        <w:t xml:space="preserve">(3), pp.539-552. </w:t>
      </w:r>
    </w:p>
    <w:p w:rsidR="00814414" w:rsidRDefault="002763D0">
      <w:pPr>
        <w:pStyle w:val="Body"/>
        <w:spacing w:line="360" w:lineRule="auto"/>
      </w:pPr>
      <w:r>
        <w:rPr>
          <w:lang w:val="en-US"/>
        </w:rPr>
        <w:t>Xu, D., Huang, W.W</w:t>
      </w:r>
      <w:r>
        <w:rPr>
          <w:lang w:val="en-US"/>
        </w:rPr>
        <w:t>., Wang, H. and Heales, J., 2014. Enhancing e-learning effectiveness using an intelligent agent-supported personalized virtual learning environment: An empirical investigation.</w:t>
      </w:r>
      <w:r>
        <w:rPr>
          <w:rFonts w:hAnsi="Times New Roman"/>
        </w:rPr>
        <w:t> </w:t>
      </w:r>
      <w:r>
        <w:rPr>
          <w:i/>
          <w:iCs/>
          <w:lang w:val="fr-FR"/>
        </w:rPr>
        <w:t>Information &amp; Management</w:t>
      </w:r>
      <w:r>
        <w:t>,</w:t>
      </w:r>
      <w:r>
        <w:rPr>
          <w:rFonts w:hAnsi="Times New Roman"/>
        </w:rPr>
        <w:t> </w:t>
      </w:r>
      <w:r>
        <w:rPr>
          <w:i/>
          <w:iCs/>
        </w:rPr>
        <w:t>51</w:t>
      </w:r>
      <w:r>
        <w:t xml:space="preserve">(4), pp.430-440. </w:t>
      </w:r>
    </w:p>
    <w:sectPr w:rsidR="00814414">
      <w:headerReference w:type="default" r:id="rId15"/>
      <w:footerReference w:type="default" r:id="rId16"/>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0000" w:rsidRDefault="002763D0">
      <w:r>
        <w:separator/>
      </w:r>
    </w:p>
  </w:endnote>
  <w:endnote w:type="continuationSeparator" w:id="0">
    <w:p w:rsidR="00000000" w:rsidRDefault="002763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w:altName w:val="Arial"/>
    <w:panose1 w:val="020B0504020202020204"/>
    <w:charset w:val="00"/>
    <w:family w:val="roman"/>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14414" w:rsidRDefault="00814414">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0000" w:rsidRDefault="002763D0">
      <w:r>
        <w:separator/>
      </w:r>
    </w:p>
  </w:footnote>
  <w:footnote w:type="continuationSeparator" w:id="0">
    <w:p w:rsidR="00000000" w:rsidRDefault="002763D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14414" w:rsidRDefault="00814414">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063963"/>
    <w:multiLevelType w:val="multilevel"/>
    <w:tmpl w:val="FFFFFFFF"/>
    <w:lvl w:ilvl="0">
      <w:start w:val="5"/>
      <w:numFmt w:val="decimal"/>
      <w:lvlText w:val="%1."/>
      <w:lvlJc w:val="left"/>
      <w:rPr>
        <w:position w:val="0"/>
        <w:rtl w:val="0"/>
      </w:rPr>
    </w:lvl>
    <w:lvl w:ilvl="1">
      <w:start w:val="1"/>
      <w:numFmt w:val="lowerLetter"/>
      <w:lvlText w:val="%2."/>
      <w:lvlJc w:val="left"/>
      <w:rPr>
        <w:position w:val="0"/>
        <w:rtl w:val="0"/>
      </w:rPr>
    </w:lvl>
    <w:lvl w:ilvl="2">
      <w:start w:val="1"/>
      <w:numFmt w:val="lowerRoman"/>
      <w:lvlText w:val="%3."/>
      <w:lvlJc w:val="left"/>
      <w:rPr>
        <w:position w:val="0"/>
        <w:rtl w:val="0"/>
      </w:rPr>
    </w:lvl>
    <w:lvl w:ilvl="3">
      <w:start w:val="1"/>
      <w:numFmt w:val="decimal"/>
      <w:lvlText w:val="%4."/>
      <w:lvlJc w:val="left"/>
      <w:rPr>
        <w:position w:val="0"/>
        <w:rtl w:val="0"/>
      </w:rPr>
    </w:lvl>
    <w:lvl w:ilvl="4">
      <w:start w:val="1"/>
      <w:numFmt w:val="lowerLetter"/>
      <w:lvlText w:val="%5."/>
      <w:lvlJc w:val="left"/>
      <w:rPr>
        <w:position w:val="0"/>
        <w:rtl w:val="0"/>
      </w:rPr>
    </w:lvl>
    <w:lvl w:ilvl="5">
      <w:start w:val="1"/>
      <w:numFmt w:val="lowerRoman"/>
      <w:lvlText w:val="%6."/>
      <w:lvlJc w:val="left"/>
      <w:rPr>
        <w:position w:val="0"/>
        <w:rtl w:val="0"/>
      </w:rPr>
    </w:lvl>
    <w:lvl w:ilvl="6">
      <w:start w:val="1"/>
      <w:numFmt w:val="decimal"/>
      <w:lvlText w:val="%7."/>
      <w:lvlJc w:val="left"/>
      <w:rPr>
        <w:position w:val="0"/>
        <w:rtl w:val="0"/>
      </w:rPr>
    </w:lvl>
    <w:lvl w:ilvl="7">
      <w:start w:val="1"/>
      <w:numFmt w:val="lowerLetter"/>
      <w:lvlText w:val="%8."/>
      <w:lvlJc w:val="left"/>
      <w:rPr>
        <w:position w:val="0"/>
        <w:rtl w:val="0"/>
      </w:rPr>
    </w:lvl>
    <w:lvl w:ilvl="8">
      <w:start w:val="1"/>
      <w:numFmt w:val="lowerRoman"/>
      <w:lvlText w:val="%9."/>
      <w:lvlJc w:val="left"/>
      <w:rPr>
        <w:position w:val="0"/>
        <w:rtl w:val="0"/>
      </w:rPr>
    </w:lvl>
  </w:abstractNum>
  <w:abstractNum w:abstractNumId="1" w15:restartNumberingAfterBreak="0">
    <w:nsid w:val="14F36C29"/>
    <w:multiLevelType w:val="multilevel"/>
    <w:tmpl w:val="FFFFFFFF"/>
    <w:lvl w:ilvl="0">
      <w:start w:val="1"/>
      <w:numFmt w:val="decimal"/>
      <w:lvlText w:val="%1."/>
      <w:lvlJc w:val="left"/>
      <w:rPr>
        <w:position w:val="0"/>
        <w:rtl w:val="0"/>
      </w:rPr>
    </w:lvl>
    <w:lvl w:ilvl="1">
      <w:start w:val="1"/>
      <w:numFmt w:val="lowerLetter"/>
      <w:lvlText w:val="%2."/>
      <w:lvlJc w:val="left"/>
      <w:rPr>
        <w:position w:val="0"/>
        <w:rtl w:val="0"/>
      </w:rPr>
    </w:lvl>
    <w:lvl w:ilvl="2">
      <w:start w:val="1"/>
      <w:numFmt w:val="lowerRoman"/>
      <w:lvlText w:val="%3."/>
      <w:lvlJc w:val="left"/>
      <w:rPr>
        <w:position w:val="0"/>
        <w:rtl w:val="0"/>
      </w:rPr>
    </w:lvl>
    <w:lvl w:ilvl="3">
      <w:start w:val="1"/>
      <w:numFmt w:val="decimal"/>
      <w:lvlText w:val="%4."/>
      <w:lvlJc w:val="left"/>
      <w:rPr>
        <w:position w:val="0"/>
        <w:rtl w:val="0"/>
      </w:rPr>
    </w:lvl>
    <w:lvl w:ilvl="4">
      <w:start w:val="1"/>
      <w:numFmt w:val="lowerLetter"/>
      <w:lvlText w:val="%5."/>
      <w:lvlJc w:val="left"/>
      <w:rPr>
        <w:position w:val="0"/>
        <w:rtl w:val="0"/>
      </w:rPr>
    </w:lvl>
    <w:lvl w:ilvl="5">
      <w:start w:val="1"/>
      <w:numFmt w:val="lowerRoman"/>
      <w:lvlText w:val="%6."/>
      <w:lvlJc w:val="left"/>
      <w:rPr>
        <w:position w:val="0"/>
        <w:rtl w:val="0"/>
      </w:rPr>
    </w:lvl>
    <w:lvl w:ilvl="6">
      <w:start w:val="1"/>
      <w:numFmt w:val="decimal"/>
      <w:lvlText w:val="%7."/>
      <w:lvlJc w:val="left"/>
      <w:rPr>
        <w:position w:val="0"/>
        <w:rtl w:val="0"/>
      </w:rPr>
    </w:lvl>
    <w:lvl w:ilvl="7">
      <w:start w:val="1"/>
      <w:numFmt w:val="lowerLetter"/>
      <w:lvlText w:val="%8."/>
      <w:lvlJc w:val="left"/>
      <w:rPr>
        <w:position w:val="0"/>
        <w:rtl w:val="0"/>
      </w:rPr>
    </w:lvl>
    <w:lvl w:ilvl="8">
      <w:start w:val="1"/>
      <w:numFmt w:val="lowerRoman"/>
      <w:lvlText w:val="%9."/>
      <w:lvlJc w:val="left"/>
      <w:rPr>
        <w:position w:val="0"/>
        <w:rtl w:val="0"/>
      </w:rPr>
    </w:lvl>
  </w:abstractNum>
  <w:abstractNum w:abstractNumId="2" w15:restartNumberingAfterBreak="0">
    <w:nsid w:val="19087DCF"/>
    <w:multiLevelType w:val="multilevel"/>
    <w:tmpl w:val="FFFFFFFF"/>
    <w:lvl w:ilvl="0">
      <w:numFmt w:val="decimal"/>
      <w:lvlText w:val="%1."/>
      <w:lvlJc w:val="left"/>
      <w:rPr>
        <w:position w:val="0"/>
        <w:rtl w:val="0"/>
      </w:rPr>
    </w:lvl>
    <w:lvl w:ilvl="1">
      <w:start w:val="1"/>
      <w:numFmt w:val="lowerLetter"/>
      <w:lvlText w:val="%2."/>
      <w:lvlJc w:val="left"/>
      <w:rPr>
        <w:position w:val="0"/>
        <w:rtl w:val="0"/>
      </w:rPr>
    </w:lvl>
    <w:lvl w:ilvl="2">
      <w:start w:val="1"/>
      <w:numFmt w:val="lowerRoman"/>
      <w:lvlText w:val="%3."/>
      <w:lvlJc w:val="left"/>
      <w:rPr>
        <w:position w:val="0"/>
        <w:rtl w:val="0"/>
      </w:rPr>
    </w:lvl>
    <w:lvl w:ilvl="3">
      <w:start w:val="1"/>
      <w:numFmt w:val="decimal"/>
      <w:lvlText w:val="%4."/>
      <w:lvlJc w:val="left"/>
      <w:rPr>
        <w:position w:val="0"/>
        <w:rtl w:val="0"/>
      </w:rPr>
    </w:lvl>
    <w:lvl w:ilvl="4">
      <w:start w:val="1"/>
      <w:numFmt w:val="lowerLetter"/>
      <w:lvlText w:val="%5."/>
      <w:lvlJc w:val="left"/>
      <w:rPr>
        <w:position w:val="0"/>
        <w:rtl w:val="0"/>
      </w:rPr>
    </w:lvl>
    <w:lvl w:ilvl="5">
      <w:start w:val="1"/>
      <w:numFmt w:val="lowerRoman"/>
      <w:lvlText w:val="%6."/>
      <w:lvlJc w:val="left"/>
      <w:rPr>
        <w:position w:val="0"/>
        <w:rtl w:val="0"/>
      </w:rPr>
    </w:lvl>
    <w:lvl w:ilvl="6">
      <w:start w:val="1"/>
      <w:numFmt w:val="decimal"/>
      <w:lvlText w:val="%7."/>
      <w:lvlJc w:val="left"/>
      <w:rPr>
        <w:position w:val="0"/>
        <w:rtl w:val="0"/>
      </w:rPr>
    </w:lvl>
    <w:lvl w:ilvl="7">
      <w:start w:val="1"/>
      <w:numFmt w:val="lowerLetter"/>
      <w:lvlText w:val="%8."/>
      <w:lvlJc w:val="left"/>
      <w:rPr>
        <w:position w:val="0"/>
        <w:rtl w:val="0"/>
      </w:rPr>
    </w:lvl>
    <w:lvl w:ilvl="8">
      <w:start w:val="1"/>
      <w:numFmt w:val="lowerRoman"/>
      <w:lvlText w:val="%9."/>
      <w:lvlJc w:val="left"/>
      <w:rPr>
        <w:position w:val="0"/>
        <w:rtl w:val="0"/>
      </w:rPr>
    </w:lvl>
  </w:abstractNum>
  <w:abstractNum w:abstractNumId="3" w15:restartNumberingAfterBreak="0">
    <w:nsid w:val="1BDE43AF"/>
    <w:multiLevelType w:val="multilevel"/>
    <w:tmpl w:val="FFFFFFFF"/>
    <w:lvl w:ilvl="0">
      <w:start w:val="1"/>
      <w:numFmt w:val="bullet"/>
      <w:lvlText w:val="•"/>
      <w:lvlJc w:val="left"/>
      <w:rPr>
        <w:position w:val="0"/>
      </w:rPr>
    </w:lvl>
    <w:lvl w:ilvl="1">
      <w:start w:val="1"/>
      <w:numFmt w:val="bullet"/>
      <w:lvlText w:val="o"/>
      <w:lvlJc w:val="left"/>
      <w:rPr>
        <w:position w:val="0"/>
      </w:rPr>
    </w:lvl>
    <w:lvl w:ilvl="2">
      <w:start w:val="1"/>
      <w:numFmt w:val="bullet"/>
      <w:lvlText w:val="▪"/>
      <w:lvlJc w:val="left"/>
      <w:rPr>
        <w:position w:val="0"/>
      </w:rPr>
    </w:lvl>
    <w:lvl w:ilvl="3">
      <w:start w:val="1"/>
      <w:numFmt w:val="bullet"/>
      <w:lvlText w:val="•"/>
      <w:lvlJc w:val="left"/>
      <w:rPr>
        <w:position w:val="0"/>
      </w:rPr>
    </w:lvl>
    <w:lvl w:ilvl="4">
      <w:start w:val="1"/>
      <w:numFmt w:val="bullet"/>
      <w:lvlText w:val="o"/>
      <w:lvlJc w:val="left"/>
      <w:rPr>
        <w:position w:val="0"/>
      </w:rPr>
    </w:lvl>
    <w:lvl w:ilvl="5">
      <w:start w:val="1"/>
      <w:numFmt w:val="bullet"/>
      <w:lvlText w:val="▪"/>
      <w:lvlJc w:val="left"/>
      <w:rPr>
        <w:position w:val="0"/>
      </w:rPr>
    </w:lvl>
    <w:lvl w:ilvl="6">
      <w:start w:val="1"/>
      <w:numFmt w:val="bullet"/>
      <w:lvlText w:val="•"/>
      <w:lvlJc w:val="left"/>
      <w:rPr>
        <w:position w:val="0"/>
      </w:rPr>
    </w:lvl>
    <w:lvl w:ilvl="7">
      <w:start w:val="1"/>
      <w:numFmt w:val="bullet"/>
      <w:lvlText w:val="o"/>
      <w:lvlJc w:val="left"/>
      <w:rPr>
        <w:position w:val="0"/>
      </w:rPr>
    </w:lvl>
    <w:lvl w:ilvl="8">
      <w:start w:val="1"/>
      <w:numFmt w:val="bullet"/>
      <w:lvlText w:val="▪"/>
      <w:lvlJc w:val="left"/>
      <w:rPr>
        <w:position w:val="0"/>
      </w:rPr>
    </w:lvl>
  </w:abstractNum>
  <w:abstractNum w:abstractNumId="4" w15:restartNumberingAfterBreak="0">
    <w:nsid w:val="1F1D4172"/>
    <w:multiLevelType w:val="multilevel"/>
    <w:tmpl w:val="FFFFFFFF"/>
    <w:lvl w:ilvl="0">
      <w:numFmt w:val="bullet"/>
      <w:lvlText w:val="•"/>
      <w:lvlJc w:val="left"/>
      <w:rPr>
        <w:position w:val="0"/>
        <w:rtl w:val="0"/>
      </w:rPr>
    </w:lvl>
    <w:lvl w:ilvl="1">
      <w:start w:val="1"/>
      <w:numFmt w:val="bullet"/>
      <w:lvlText w:val="o"/>
      <w:lvlJc w:val="left"/>
      <w:rPr>
        <w:position w:val="0"/>
        <w:rtl w:val="0"/>
      </w:rPr>
    </w:lvl>
    <w:lvl w:ilvl="2">
      <w:start w:val="1"/>
      <w:numFmt w:val="bullet"/>
      <w:lvlText w:val="▪"/>
      <w:lvlJc w:val="left"/>
      <w:rPr>
        <w:position w:val="0"/>
        <w:rtl w:val="0"/>
      </w:rPr>
    </w:lvl>
    <w:lvl w:ilvl="3">
      <w:start w:val="1"/>
      <w:numFmt w:val="bullet"/>
      <w:lvlText w:val="•"/>
      <w:lvlJc w:val="left"/>
      <w:rPr>
        <w:position w:val="0"/>
        <w:rtl w:val="0"/>
      </w:rPr>
    </w:lvl>
    <w:lvl w:ilvl="4">
      <w:start w:val="1"/>
      <w:numFmt w:val="bullet"/>
      <w:lvlText w:val="o"/>
      <w:lvlJc w:val="left"/>
      <w:rPr>
        <w:position w:val="0"/>
        <w:rtl w:val="0"/>
      </w:rPr>
    </w:lvl>
    <w:lvl w:ilvl="5">
      <w:start w:val="1"/>
      <w:numFmt w:val="bullet"/>
      <w:lvlText w:val="▪"/>
      <w:lvlJc w:val="left"/>
      <w:rPr>
        <w:position w:val="0"/>
        <w:rtl w:val="0"/>
      </w:rPr>
    </w:lvl>
    <w:lvl w:ilvl="6">
      <w:start w:val="1"/>
      <w:numFmt w:val="bullet"/>
      <w:lvlText w:val="•"/>
      <w:lvlJc w:val="left"/>
      <w:rPr>
        <w:position w:val="0"/>
        <w:rtl w:val="0"/>
      </w:rPr>
    </w:lvl>
    <w:lvl w:ilvl="7">
      <w:start w:val="1"/>
      <w:numFmt w:val="bullet"/>
      <w:lvlText w:val="o"/>
      <w:lvlJc w:val="left"/>
      <w:rPr>
        <w:position w:val="0"/>
        <w:rtl w:val="0"/>
      </w:rPr>
    </w:lvl>
    <w:lvl w:ilvl="8">
      <w:start w:val="1"/>
      <w:numFmt w:val="bullet"/>
      <w:lvlText w:val="▪"/>
      <w:lvlJc w:val="left"/>
      <w:rPr>
        <w:position w:val="0"/>
        <w:rtl w:val="0"/>
      </w:rPr>
    </w:lvl>
  </w:abstractNum>
  <w:abstractNum w:abstractNumId="5" w15:restartNumberingAfterBreak="0">
    <w:nsid w:val="27470532"/>
    <w:multiLevelType w:val="multilevel"/>
    <w:tmpl w:val="FFFFFFFF"/>
    <w:lvl w:ilvl="0">
      <w:numFmt w:val="decimal"/>
      <w:lvlText w:val="%1."/>
      <w:lvlJc w:val="left"/>
      <w:rPr>
        <w:position w:val="0"/>
        <w:rtl w:val="0"/>
      </w:rPr>
    </w:lvl>
    <w:lvl w:ilvl="1">
      <w:start w:val="1"/>
      <w:numFmt w:val="lowerLetter"/>
      <w:lvlText w:val="%2."/>
      <w:lvlJc w:val="left"/>
      <w:rPr>
        <w:position w:val="0"/>
        <w:rtl w:val="0"/>
      </w:rPr>
    </w:lvl>
    <w:lvl w:ilvl="2">
      <w:start w:val="1"/>
      <w:numFmt w:val="lowerRoman"/>
      <w:lvlText w:val="%3."/>
      <w:lvlJc w:val="left"/>
      <w:rPr>
        <w:position w:val="0"/>
        <w:rtl w:val="0"/>
      </w:rPr>
    </w:lvl>
    <w:lvl w:ilvl="3">
      <w:start w:val="1"/>
      <w:numFmt w:val="decimal"/>
      <w:lvlText w:val="%4."/>
      <w:lvlJc w:val="left"/>
      <w:rPr>
        <w:position w:val="0"/>
        <w:rtl w:val="0"/>
      </w:rPr>
    </w:lvl>
    <w:lvl w:ilvl="4">
      <w:start w:val="1"/>
      <w:numFmt w:val="lowerLetter"/>
      <w:lvlText w:val="%5."/>
      <w:lvlJc w:val="left"/>
      <w:rPr>
        <w:position w:val="0"/>
        <w:rtl w:val="0"/>
      </w:rPr>
    </w:lvl>
    <w:lvl w:ilvl="5">
      <w:start w:val="1"/>
      <w:numFmt w:val="lowerRoman"/>
      <w:lvlText w:val="%6."/>
      <w:lvlJc w:val="left"/>
      <w:rPr>
        <w:position w:val="0"/>
        <w:rtl w:val="0"/>
      </w:rPr>
    </w:lvl>
    <w:lvl w:ilvl="6">
      <w:start w:val="1"/>
      <w:numFmt w:val="decimal"/>
      <w:lvlText w:val="%7."/>
      <w:lvlJc w:val="left"/>
      <w:rPr>
        <w:position w:val="0"/>
        <w:rtl w:val="0"/>
      </w:rPr>
    </w:lvl>
    <w:lvl w:ilvl="7">
      <w:start w:val="1"/>
      <w:numFmt w:val="lowerLetter"/>
      <w:lvlText w:val="%8."/>
      <w:lvlJc w:val="left"/>
      <w:rPr>
        <w:position w:val="0"/>
        <w:rtl w:val="0"/>
      </w:rPr>
    </w:lvl>
    <w:lvl w:ilvl="8">
      <w:start w:val="1"/>
      <w:numFmt w:val="lowerRoman"/>
      <w:lvlText w:val="%9."/>
      <w:lvlJc w:val="left"/>
      <w:rPr>
        <w:position w:val="0"/>
        <w:rtl w:val="0"/>
      </w:rPr>
    </w:lvl>
  </w:abstractNum>
  <w:abstractNum w:abstractNumId="6" w15:restartNumberingAfterBreak="0">
    <w:nsid w:val="379F7B94"/>
    <w:multiLevelType w:val="multilevel"/>
    <w:tmpl w:val="FFFFFFFF"/>
    <w:lvl w:ilvl="0">
      <w:start w:val="8"/>
      <w:numFmt w:val="decimal"/>
      <w:lvlText w:val="%1."/>
      <w:lvlJc w:val="left"/>
      <w:rPr>
        <w:position w:val="0"/>
        <w:rtl w:val="0"/>
      </w:rPr>
    </w:lvl>
    <w:lvl w:ilvl="1">
      <w:start w:val="1"/>
      <w:numFmt w:val="lowerLetter"/>
      <w:lvlText w:val="%2."/>
      <w:lvlJc w:val="left"/>
      <w:rPr>
        <w:position w:val="0"/>
        <w:rtl w:val="0"/>
      </w:rPr>
    </w:lvl>
    <w:lvl w:ilvl="2">
      <w:start w:val="1"/>
      <w:numFmt w:val="lowerRoman"/>
      <w:lvlText w:val="%3."/>
      <w:lvlJc w:val="left"/>
      <w:rPr>
        <w:position w:val="0"/>
        <w:rtl w:val="0"/>
      </w:rPr>
    </w:lvl>
    <w:lvl w:ilvl="3">
      <w:start w:val="1"/>
      <w:numFmt w:val="decimal"/>
      <w:lvlText w:val="%4."/>
      <w:lvlJc w:val="left"/>
      <w:rPr>
        <w:position w:val="0"/>
        <w:rtl w:val="0"/>
      </w:rPr>
    </w:lvl>
    <w:lvl w:ilvl="4">
      <w:start w:val="1"/>
      <w:numFmt w:val="lowerLetter"/>
      <w:lvlText w:val="%5."/>
      <w:lvlJc w:val="left"/>
      <w:rPr>
        <w:position w:val="0"/>
        <w:rtl w:val="0"/>
      </w:rPr>
    </w:lvl>
    <w:lvl w:ilvl="5">
      <w:start w:val="1"/>
      <w:numFmt w:val="lowerRoman"/>
      <w:lvlText w:val="%6."/>
      <w:lvlJc w:val="left"/>
      <w:rPr>
        <w:position w:val="0"/>
        <w:rtl w:val="0"/>
      </w:rPr>
    </w:lvl>
    <w:lvl w:ilvl="6">
      <w:start w:val="1"/>
      <w:numFmt w:val="decimal"/>
      <w:lvlText w:val="%7."/>
      <w:lvlJc w:val="left"/>
      <w:rPr>
        <w:position w:val="0"/>
        <w:rtl w:val="0"/>
      </w:rPr>
    </w:lvl>
    <w:lvl w:ilvl="7">
      <w:start w:val="1"/>
      <w:numFmt w:val="lowerLetter"/>
      <w:lvlText w:val="%8."/>
      <w:lvlJc w:val="left"/>
      <w:rPr>
        <w:position w:val="0"/>
        <w:rtl w:val="0"/>
      </w:rPr>
    </w:lvl>
    <w:lvl w:ilvl="8">
      <w:start w:val="1"/>
      <w:numFmt w:val="lowerRoman"/>
      <w:lvlText w:val="%9."/>
      <w:lvlJc w:val="left"/>
      <w:rPr>
        <w:position w:val="0"/>
        <w:rtl w:val="0"/>
      </w:rPr>
    </w:lvl>
  </w:abstractNum>
  <w:abstractNum w:abstractNumId="7" w15:restartNumberingAfterBreak="0">
    <w:nsid w:val="37D8123C"/>
    <w:multiLevelType w:val="multilevel"/>
    <w:tmpl w:val="FFFFFFFF"/>
    <w:lvl w:ilvl="0">
      <w:start w:val="4"/>
      <w:numFmt w:val="decimal"/>
      <w:lvlText w:val="%1."/>
      <w:lvlJc w:val="left"/>
      <w:rPr>
        <w:position w:val="0"/>
        <w:rtl w:val="0"/>
      </w:rPr>
    </w:lvl>
    <w:lvl w:ilvl="1">
      <w:start w:val="1"/>
      <w:numFmt w:val="lowerLetter"/>
      <w:lvlText w:val="%2."/>
      <w:lvlJc w:val="left"/>
      <w:rPr>
        <w:position w:val="0"/>
        <w:rtl w:val="0"/>
      </w:rPr>
    </w:lvl>
    <w:lvl w:ilvl="2">
      <w:start w:val="1"/>
      <w:numFmt w:val="lowerRoman"/>
      <w:lvlText w:val="%3."/>
      <w:lvlJc w:val="left"/>
      <w:rPr>
        <w:position w:val="0"/>
        <w:rtl w:val="0"/>
      </w:rPr>
    </w:lvl>
    <w:lvl w:ilvl="3">
      <w:start w:val="1"/>
      <w:numFmt w:val="decimal"/>
      <w:lvlText w:val="%4."/>
      <w:lvlJc w:val="left"/>
      <w:rPr>
        <w:position w:val="0"/>
        <w:rtl w:val="0"/>
      </w:rPr>
    </w:lvl>
    <w:lvl w:ilvl="4">
      <w:start w:val="1"/>
      <w:numFmt w:val="lowerLetter"/>
      <w:lvlText w:val="%5."/>
      <w:lvlJc w:val="left"/>
      <w:rPr>
        <w:position w:val="0"/>
        <w:rtl w:val="0"/>
      </w:rPr>
    </w:lvl>
    <w:lvl w:ilvl="5">
      <w:start w:val="1"/>
      <w:numFmt w:val="lowerRoman"/>
      <w:lvlText w:val="%6."/>
      <w:lvlJc w:val="left"/>
      <w:rPr>
        <w:position w:val="0"/>
        <w:rtl w:val="0"/>
      </w:rPr>
    </w:lvl>
    <w:lvl w:ilvl="6">
      <w:start w:val="1"/>
      <w:numFmt w:val="decimal"/>
      <w:lvlText w:val="%7."/>
      <w:lvlJc w:val="left"/>
      <w:rPr>
        <w:position w:val="0"/>
        <w:rtl w:val="0"/>
      </w:rPr>
    </w:lvl>
    <w:lvl w:ilvl="7">
      <w:start w:val="1"/>
      <w:numFmt w:val="lowerLetter"/>
      <w:lvlText w:val="%8."/>
      <w:lvlJc w:val="left"/>
      <w:rPr>
        <w:position w:val="0"/>
        <w:rtl w:val="0"/>
      </w:rPr>
    </w:lvl>
    <w:lvl w:ilvl="8">
      <w:start w:val="1"/>
      <w:numFmt w:val="lowerRoman"/>
      <w:lvlText w:val="%9."/>
      <w:lvlJc w:val="left"/>
      <w:rPr>
        <w:position w:val="0"/>
        <w:rtl w:val="0"/>
      </w:rPr>
    </w:lvl>
  </w:abstractNum>
  <w:abstractNum w:abstractNumId="8" w15:restartNumberingAfterBreak="0">
    <w:nsid w:val="3B6A074F"/>
    <w:multiLevelType w:val="multilevel"/>
    <w:tmpl w:val="FFFFFFFF"/>
    <w:lvl w:ilvl="0">
      <w:start w:val="1"/>
      <w:numFmt w:val="decimal"/>
      <w:lvlText w:val="%1."/>
      <w:lvlJc w:val="left"/>
      <w:rPr>
        <w:position w:val="0"/>
      </w:rPr>
    </w:lvl>
    <w:lvl w:ilvl="1">
      <w:start w:val="1"/>
      <w:numFmt w:val="lowerLetter"/>
      <w:lvlText w:val="%2."/>
      <w:lvlJc w:val="left"/>
      <w:rPr>
        <w:position w:val="0"/>
      </w:rPr>
    </w:lvl>
    <w:lvl w:ilvl="2">
      <w:start w:val="1"/>
      <w:numFmt w:val="lowerRoman"/>
      <w:lvlText w:val="%3."/>
      <w:lvlJc w:val="left"/>
      <w:rPr>
        <w:position w:val="0"/>
      </w:rPr>
    </w:lvl>
    <w:lvl w:ilvl="3">
      <w:start w:val="1"/>
      <w:numFmt w:val="decimal"/>
      <w:lvlText w:val="%4."/>
      <w:lvlJc w:val="left"/>
      <w:rPr>
        <w:position w:val="0"/>
      </w:rPr>
    </w:lvl>
    <w:lvl w:ilvl="4">
      <w:start w:val="1"/>
      <w:numFmt w:val="lowerLetter"/>
      <w:lvlText w:val="%5."/>
      <w:lvlJc w:val="left"/>
      <w:rPr>
        <w:position w:val="0"/>
      </w:rPr>
    </w:lvl>
    <w:lvl w:ilvl="5">
      <w:start w:val="1"/>
      <w:numFmt w:val="lowerRoman"/>
      <w:lvlText w:val="%6."/>
      <w:lvlJc w:val="left"/>
      <w:rPr>
        <w:position w:val="0"/>
      </w:rPr>
    </w:lvl>
    <w:lvl w:ilvl="6">
      <w:start w:val="1"/>
      <w:numFmt w:val="decimal"/>
      <w:lvlText w:val="%7."/>
      <w:lvlJc w:val="left"/>
      <w:rPr>
        <w:position w:val="0"/>
      </w:rPr>
    </w:lvl>
    <w:lvl w:ilvl="7">
      <w:start w:val="1"/>
      <w:numFmt w:val="lowerLetter"/>
      <w:lvlText w:val="%8."/>
      <w:lvlJc w:val="left"/>
      <w:rPr>
        <w:position w:val="0"/>
      </w:rPr>
    </w:lvl>
    <w:lvl w:ilvl="8">
      <w:start w:val="1"/>
      <w:numFmt w:val="lowerRoman"/>
      <w:lvlText w:val="%9."/>
      <w:lvlJc w:val="left"/>
      <w:rPr>
        <w:position w:val="0"/>
      </w:rPr>
    </w:lvl>
  </w:abstractNum>
  <w:abstractNum w:abstractNumId="9" w15:restartNumberingAfterBreak="0">
    <w:nsid w:val="42613C95"/>
    <w:multiLevelType w:val="multilevel"/>
    <w:tmpl w:val="FFFFFFFF"/>
    <w:lvl w:ilvl="0">
      <w:numFmt w:val="decimal"/>
      <w:lvlText w:val="%1."/>
      <w:lvlJc w:val="left"/>
      <w:rPr>
        <w:position w:val="0"/>
        <w:rtl w:val="0"/>
      </w:rPr>
    </w:lvl>
    <w:lvl w:ilvl="1">
      <w:start w:val="1"/>
      <w:numFmt w:val="lowerLetter"/>
      <w:lvlText w:val="%2."/>
      <w:lvlJc w:val="left"/>
      <w:rPr>
        <w:position w:val="0"/>
        <w:rtl w:val="0"/>
      </w:rPr>
    </w:lvl>
    <w:lvl w:ilvl="2">
      <w:start w:val="1"/>
      <w:numFmt w:val="lowerRoman"/>
      <w:lvlText w:val="%3."/>
      <w:lvlJc w:val="left"/>
      <w:rPr>
        <w:position w:val="0"/>
        <w:rtl w:val="0"/>
      </w:rPr>
    </w:lvl>
    <w:lvl w:ilvl="3">
      <w:start w:val="1"/>
      <w:numFmt w:val="decimal"/>
      <w:lvlText w:val="%4."/>
      <w:lvlJc w:val="left"/>
      <w:rPr>
        <w:position w:val="0"/>
        <w:rtl w:val="0"/>
      </w:rPr>
    </w:lvl>
    <w:lvl w:ilvl="4">
      <w:start w:val="1"/>
      <w:numFmt w:val="lowerLetter"/>
      <w:lvlText w:val="%5."/>
      <w:lvlJc w:val="left"/>
      <w:rPr>
        <w:position w:val="0"/>
        <w:rtl w:val="0"/>
      </w:rPr>
    </w:lvl>
    <w:lvl w:ilvl="5">
      <w:start w:val="1"/>
      <w:numFmt w:val="lowerRoman"/>
      <w:lvlText w:val="%6."/>
      <w:lvlJc w:val="left"/>
      <w:rPr>
        <w:position w:val="0"/>
        <w:rtl w:val="0"/>
      </w:rPr>
    </w:lvl>
    <w:lvl w:ilvl="6">
      <w:start w:val="1"/>
      <w:numFmt w:val="decimal"/>
      <w:lvlText w:val="%7."/>
      <w:lvlJc w:val="left"/>
      <w:rPr>
        <w:position w:val="0"/>
        <w:rtl w:val="0"/>
      </w:rPr>
    </w:lvl>
    <w:lvl w:ilvl="7">
      <w:start w:val="1"/>
      <w:numFmt w:val="lowerLetter"/>
      <w:lvlText w:val="%8."/>
      <w:lvlJc w:val="left"/>
      <w:rPr>
        <w:position w:val="0"/>
        <w:rtl w:val="0"/>
      </w:rPr>
    </w:lvl>
    <w:lvl w:ilvl="8">
      <w:start w:val="1"/>
      <w:numFmt w:val="lowerRoman"/>
      <w:lvlText w:val="%9."/>
      <w:lvlJc w:val="left"/>
      <w:rPr>
        <w:position w:val="0"/>
        <w:rtl w:val="0"/>
      </w:rPr>
    </w:lvl>
  </w:abstractNum>
  <w:abstractNum w:abstractNumId="10" w15:restartNumberingAfterBreak="0">
    <w:nsid w:val="427F4582"/>
    <w:multiLevelType w:val="multilevel"/>
    <w:tmpl w:val="FFFFFFFF"/>
    <w:styleLink w:val="List1"/>
    <w:lvl w:ilvl="0">
      <w:numFmt w:val="decimal"/>
      <w:lvlText w:val="%1."/>
      <w:lvlJc w:val="left"/>
      <w:rPr>
        <w:position w:val="0"/>
        <w:rtl w:val="0"/>
      </w:rPr>
    </w:lvl>
    <w:lvl w:ilvl="1">
      <w:start w:val="1"/>
      <w:numFmt w:val="lowerLetter"/>
      <w:lvlText w:val="%2."/>
      <w:lvlJc w:val="left"/>
      <w:rPr>
        <w:position w:val="0"/>
        <w:rtl w:val="0"/>
      </w:rPr>
    </w:lvl>
    <w:lvl w:ilvl="2">
      <w:start w:val="1"/>
      <w:numFmt w:val="lowerRoman"/>
      <w:lvlText w:val="%3."/>
      <w:lvlJc w:val="left"/>
      <w:rPr>
        <w:position w:val="0"/>
        <w:rtl w:val="0"/>
      </w:rPr>
    </w:lvl>
    <w:lvl w:ilvl="3">
      <w:start w:val="1"/>
      <w:numFmt w:val="decimal"/>
      <w:lvlText w:val="%4."/>
      <w:lvlJc w:val="left"/>
      <w:rPr>
        <w:position w:val="0"/>
        <w:rtl w:val="0"/>
      </w:rPr>
    </w:lvl>
    <w:lvl w:ilvl="4">
      <w:start w:val="1"/>
      <w:numFmt w:val="lowerLetter"/>
      <w:lvlText w:val="%5."/>
      <w:lvlJc w:val="left"/>
      <w:rPr>
        <w:position w:val="0"/>
        <w:rtl w:val="0"/>
      </w:rPr>
    </w:lvl>
    <w:lvl w:ilvl="5">
      <w:start w:val="1"/>
      <w:numFmt w:val="lowerRoman"/>
      <w:lvlText w:val="%6."/>
      <w:lvlJc w:val="left"/>
      <w:rPr>
        <w:position w:val="0"/>
        <w:rtl w:val="0"/>
      </w:rPr>
    </w:lvl>
    <w:lvl w:ilvl="6">
      <w:start w:val="1"/>
      <w:numFmt w:val="decimal"/>
      <w:lvlText w:val="%7."/>
      <w:lvlJc w:val="left"/>
      <w:rPr>
        <w:position w:val="0"/>
        <w:rtl w:val="0"/>
      </w:rPr>
    </w:lvl>
    <w:lvl w:ilvl="7">
      <w:start w:val="1"/>
      <w:numFmt w:val="lowerLetter"/>
      <w:lvlText w:val="%8."/>
      <w:lvlJc w:val="left"/>
      <w:rPr>
        <w:position w:val="0"/>
        <w:rtl w:val="0"/>
      </w:rPr>
    </w:lvl>
    <w:lvl w:ilvl="8">
      <w:start w:val="1"/>
      <w:numFmt w:val="lowerRoman"/>
      <w:lvlText w:val="%9."/>
      <w:lvlJc w:val="left"/>
      <w:rPr>
        <w:position w:val="0"/>
        <w:rtl w:val="0"/>
      </w:rPr>
    </w:lvl>
  </w:abstractNum>
  <w:abstractNum w:abstractNumId="11" w15:restartNumberingAfterBreak="0">
    <w:nsid w:val="48645D32"/>
    <w:multiLevelType w:val="multilevel"/>
    <w:tmpl w:val="FFFFFFFF"/>
    <w:lvl w:ilvl="0">
      <w:numFmt w:val="decimal"/>
      <w:lvlText w:val="%1."/>
      <w:lvlJc w:val="left"/>
      <w:rPr>
        <w:position w:val="0"/>
        <w:rtl w:val="0"/>
      </w:rPr>
    </w:lvl>
    <w:lvl w:ilvl="1">
      <w:start w:val="1"/>
      <w:numFmt w:val="lowerLetter"/>
      <w:lvlText w:val="%2."/>
      <w:lvlJc w:val="left"/>
      <w:rPr>
        <w:position w:val="0"/>
        <w:rtl w:val="0"/>
      </w:rPr>
    </w:lvl>
    <w:lvl w:ilvl="2">
      <w:start w:val="1"/>
      <w:numFmt w:val="lowerRoman"/>
      <w:lvlText w:val="%3."/>
      <w:lvlJc w:val="left"/>
      <w:rPr>
        <w:position w:val="0"/>
        <w:rtl w:val="0"/>
      </w:rPr>
    </w:lvl>
    <w:lvl w:ilvl="3">
      <w:start w:val="1"/>
      <w:numFmt w:val="decimal"/>
      <w:lvlText w:val="%4."/>
      <w:lvlJc w:val="left"/>
      <w:rPr>
        <w:position w:val="0"/>
        <w:rtl w:val="0"/>
      </w:rPr>
    </w:lvl>
    <w:lvl w:ilvl="4">
      <w:start w:val="1"/>
      <w:numFmt w:val="lowerLetter"/>
      <w:lvlText w:val="%5."/>
      <w:lvlJc w:val="left"/>
      <w:rPr>
        <w:position w:val="0"/>
        <w:rtl w:val="0"/>
      </w:rPr>
    </w:lvl>
    <w:lvl w:ilvl="5">
      <w:start w:val="1"/>
      <w:numFmt w:val="lowerRoman"/>
      <w:lvlText w:val="%6."/>
      <w:lvlJc w:val="left"/>
      <w:rPr>
        <w:position w:val="0"/>
        <w:rtl w:val="0"/>
      </w:rPr>
    </w:lvl>
    <w:lvl w:ilvl="6">
      <w:start w:val="1"/>
      <w:numFmt w:val="decimal"/>
      <w:lvlText w:val="%7."/>
      <w:lvlJc w:val="left"/>
      <w:rPr>
        <w:position w:val="0"/>
        <w:rtl w:val="0"/>
      </w:rPr>
    </w:lvl>
    <w:lvl w:ilvl="7">
      <w:start w:val="1"/>
      <w:numFmt w:val="lowerLetter"/>
      <w:lvlText w:val="%8."/>
      <w:lvlJc w:val="left"/>
      <w:rPr>
        <w:position w:val="0"/>
        <w:rtl w:val="0"/>
      </w:rPr>
    </w:lvl>
    <w:lvl w:ilvl="8">
      <w:start w:val="1"/>
      <w:numFmt w:val="lowerRoman"/>
      <w:lvlText w:val="%9."/>
      <w:lvlJc w:val="left"/>
      <w:rPr>
        <w:position w:val="0"/>
        <w:rtl w:val="0"/>
      </w:rPr>
    </w:lvl>
  </w:abstractNum>
  <w:abstractNum w:abstractNumId="12" w15:restartNumberingAfterBreak="0">
    <w:nsid w:val="4B194990"/>
    <w:multiLevelType w:val="multilevel"/>
    <w:tmpl w:val="FFFFFFFF"/>
    <w:lvl w:ilvl="0">
      <w:start w:val="7"/>
      <w:numFmt w:val="decimal"/>
      <w:lvlText w:val="%1."/>
      <w:lvlJc w:val="left"/>
      <w:rPr>
        <w:position w:val="0"/>
        <w:rtl w:val="0"/>
      </w:rPr>
    </w:lvl>
    <w:lvl w:ilvl="1">
      <w:start w:val="1"/>
      <w:numFmt w:val="lowerLetter"/>
      <w:lvlText w:val="%2."/>
      <w:lvlJc w:val="left"/>
      <w:rPr>
        <w:position w:val="0"/>
        <w:rtl w:val="0"/>
      </w:rPr>
    </w:lvl>
    <w:lvl w:ilvl="2">
      <w:start w:val="1"/>
      <w:numFmt w:val="lowerRoman"/>
      <w:lvlText w:val="%3."/>
      <w:lvlJc w:val="left"/>
      <w:rPr>
        <w:position w:val="0"/>
        <w:rtl w:val="0"/>
      </w:rPr>
    </w:lvl>
    <w:lvl w:ilvl="3">
      <w:start w:val="1"/>
      <w:numFmt w:val="decimal"/>
      <w:lvlText w:val="%4."/>
      <w:lvlJc w:val="left"/>
      <w:rPr>
        <w:position w:val="0"/>
        <w:rtl w:val="0"/>
      </w:rPr>
    </w:lvl>
    <w:lvl w:ilvl="4">
      <w:start w:val="1"/>
      <w:numFmt w:val="lowerLetter"/>
      <w:lvlText w:val="%5."/>
      <w:lvlJc w:val="left"/>
      <w:rPr>
        <w:position w:val="0"/>
        <w:rtl w:val="0"/>
      </w:rPr>
    </w:lvl>
    <w:lvl w:ilvl="5">
      <w:start w:val="1"/>
      <w:numFmt w:val="lowerRoman"/>
      <w:lvlText w:val="%6."/>
      <w:lvlJc w:val="left"/>
      <w:rPr>
        <w:position w:val="0"/>
        <w:rtl w:val="0"/>
      </w:rPr>
    </w:lvl>
    <w:lvl w:ilvl="6">
      <w:start w:val="1"/>
      <w:numFmt w:val="decimal"/>
      <w:lvlText w:val="%7."/>
      <w:lvlJc w:val="left"/>
      <w:rPr>
        <w:position w:val="0"/>
        <w:rtl w:val="0"/>
      </w:rPr>
    </w:lvl>
    <w:lvl w:ilvl="7">
      <w:start w:val="1"/>
      <w:numFmt w:val="lowerLetter"/>
      <w:lvlText w:val="%8."/>
      <w:lvlJc w:val="left"/>
      <w:rPr>
        <w:position w:val="0"/>
        <w:rtl w:val="0"/>
      </w:rPr>
    </w:lvl>
    <w:lvl w:ilvl="8">
      <w:start w:val="1"/>
      <w:numFmt w:val="lowerRoman"/>
      <w:lvlText w:val="%9."/>
      <w:lvlJc w:val="left"/>
      <w:rPr>
        <w:position w:val="0"/>
        <w:rtl w:val="0"/>
      </w:rPr>
    </w:lvl>
  </w:abstractNum>
  <w:abstractNum w:abstractNumId="13" w15:restartNumberingAfterBreak="0">
    <w:nsid w:val="4E525DAA"/>
    <w:multiLevelType w:val="multilevel"/>
    <w:tmpl w:val="FFFFFFFF"/>
    <w:lvl w:ilvl="0">
      <w:start w:val="3"/>
      <w:numFmt w:val="decimal"/>
      <w:lvlText w:val="%1."/>
      <w:lvlJc w:val="left"/>
      <w:rPr>
        <w:position w:val="0"/>
        <w:rtl w:val="0"/>
      </w:rPr>
    </w:lvl>
    <w:lvl w:ilvl="1">
      <w:start w:val="1"/>
      <w:numFmt w:val="lowerLetter"/>
      <w:lvlText w:val="%2."/>
      <w:lvlJc w:val="left"/>
      <w:rPr>
        <w:position w:val="0"/>
        <w:rtl w:val="0"/>
      </w:rPr>
    </w:lvl>
    <w:lvl w:ilvl="2">
      <w:start w:val="1"/>
      <w:numFmt w:val="lowerRoman"/>
      <w:lvlText w:val="%3."/>
      <w:lvlJc w:val="left"/>
      <w:rPr>
        <w:position w:val="0"/>
        <w:rtl w:val="0"/>
      </w:rPr>
    </w:lvl>
    <w:lvl w:ilvl="3">
      <w:start w:val="1"/>
      <w:numFmt w:val="decimal"/>
      <w:lvlText w:val="%4."/>
      <w:lvlJc w:val="left"/>
      <w:rPr>
        <w:position w:val="0"/>
        <w:rtl w:val="0"/>
      </w:rPr>
    </w:lvl>
    <w:lvl w:ilvl="4">
      <w:start w:val="1"/>
      <w:numFmt w:val="lowerLetter"/>
      <w:lvlText w:val="%5."/>
      <w:lvlJc w:val="left"/>
      <w:rPr>
        <w:position w:val="0"/>
        <w:rtl w:val="0"/>
      </w:rPr>
    </w:lvl>
    <w:lvl w:ilvl="5">
      <w:start w:val="1"/>
      <w:numFmt w:val="lowerRoman"/>
      <w:lvlText w:val="%6."/>
      <w:lvlJc w:val="left"/>
      <w:rPr>
        <w:position w:val="0"/>
        <w:rtl w:val="0"/>
      </w:rPr>
    </w:lvl>
    <w:lvl w:ilvl="6">
      <w:start w:val="1"/>
      <w:numFmt w:val="decimal"/>
      <w:lvlText w:val="%7."/>
      <w:lvlJc w:val="left"/>
      <w:rPr>
        <w:position w:val="0"/>
        <w:rtl w:val="0"/>
      </w:rPr>
    </w:lvl>
    <w:lvl w:ilvl="7">
      <w:start w:val="1"/>
      <w:numFmt w:val="lowerLetter"/>
      <w:lvlText w:val="%8."/>
      <w:lvlJc w:val="left"/>
      <w:rPr>
        <w:position w:val="0"/>
        <w:rtl w:val="0"/>
      </w:rPr>
    </w:lvl>
    <w:lvl w:ilvl="8">
      <w:start w:val="1"/>
      <w:numFmt w:val="lowerRoman"/>
      <w:lvlText w:val="%9."/>
      <w:lvlJc w:val="left"/>
      <w:rPr>
        <w:position w:val="0"/>
        <w:rtl w:val="0"/>
      </w:rPr>
    </w:lvl>
  </w:abstractNum>
  <w:abstractNum w:abstractNumId="14" w15:restartNumberingAfterBreak="0">
    <w:nsid w:val="5A3C71C9"/>
    <w:multiLevelType w:val="multilevel"/>
    <w:tmpl w:val="FFFFFFFF"/>
    <w:lvl w:ilvl="0">
      <w:numFmt w:val="decimal"/>
      <w:lvlText w:val="%1."/>
      <w:lvlJc w:val="left"/>
      <w:rPr>
        <w:position w:val="0"/>
        <w:rtl w:val="0"/>
      </w:rPr>
    </w:lvl>
    <w:lvl w:ilvl="1">
      <w:start w:val="1"/>
      <w:numFmt w:val="lowerLetter"/>
      <w:lvlText w:val="%2."/>
      <w:lvlJc w:val="left"/>
      <w:rPr>
        <w:position w:val="0"/>
        <w:rtl w:val="0"/>
      </w:rPr>
    </w:lvl>
    <w:lvl w:ilvl="2">
      <w:start w:val="1"/>
      <w:numFmt w:val="lowerRoman"/>
      <w:lvlText w:val="%3."/>
      <w:lvlJc w:val="left"/>
      <w:rPr>
        <w:position w:val="0"/>
        <w:rtl w:val="0"/>
      </w:rPr>
    </w:lvl>
    <w:lvl w:ilvl="3">
      <w:start w:val="1"/>
      <w:numFmt w:val="decimal"/>
      <w:lvlText w:val="%4."/>
      <w:lvlJc w:val="left"/>
      <w:rPr>
        <w:position w:val="0"/>
        <w:rtl w:val="0"/>
      </w:rPr>
    </w:lvl>
    <w:lvl w:ilvl="4">
      <w:start w:val="1"/>
      <w:numFmt w:val="lowerLetter"/>
      <w:lvlText w:val="%5."/>
      <w:lvlJc w:val="left"/>
      <w:rPr>
        <w:position w:val="0"/>
        <w:rtl w:val="0"/>
      </w:rPr>
    </w:lvl>
    <w:lvl w:ilvl="5">
      <w:start w:val="1"/>
      <w:numFmt w:val="lowerRoman"/>
      <w:lvlText w:val="%6."/>
      <w:lvlJc w:val="left"/>
      <w:rPr>
        <w:position w:val="0"/>
        <w:rtl w:val="0"/>
      </w:rPr>
    </w:lvl>
    <w:lvl w:ilvl="6">
      <w:start w:val="1"/>
      <w:numFmt w:val="decimal"/>
      <w:lvlText w:val="%7."/>
      <w:lvlJc w:val="left"/>
      <w:rPr>
        <w:position w:val="0"/>
        <w:rtl w:val="0"/>
      </w:rPr>
    </w:lvl>
    <w:lvl w:ilvl="7">
      <w:start w:val="1"/>
      <w:numFmt w:val="lowerLetter"/>
      <w:lvlText w:val="%8."/>
      <w:lvlJc w:val="left"/>
      <w:rPr>
        <w:position w:val="0"/>
        <w:rtl w:val="0"/>
      </w:rPr>
    </w:lvl>
    <w:lvl w:ilvl="8">
      <w:start w:val="1"/>
      <w:numFmt w:val="lowerRoman"/>
      <w:lvlText w:val="%9."/>
      <w:lvlJc w:val="left"/>
      <w:rPr>
        <w:position w:val="0"/>
        <w:rtl w:val="0"/>
      </w:rPr>
    </w:lvl>
  </w:abstractNum>
  <w:abstractNum w:abstractNumId="15" w15:restartNumberingAfterBreak="0">
    <w:nsid w:val="5B25710F"/>
    <w:multiLevelType w:val="multilevel"/>
    <w:tmpl w:val="FFFFFFFF"/>
    <w:lvl w:ilvl="0">
      <w:numFmt w:val="bullet"/>
      <w:lvlText w:val="•"/>
      <w:lvlJc w:val="left"/>
      <w:rPr>
        <w:position w:val="0"/>
        <w:rtl w:val="0"/>
      </w:rPr>
    </w:lvl>
    <w:lvl w:ilvl="1">
      <w:start w:val="1"/>
      <w:numFmt w:val="bullet"/>
      <w:lvlText w:val="o"/>
      <w:lvlJc w:val="left"/>
      <w:rPr>
        <w:position w:val="0"/>
        <w:rtl w:val="0"/>
      </w:rPr>
    </w:lvl>
    <w:lvl w:ilvl="2">
      <w:start w:val="1"/>
      <w:numFmt w:val="bullet"/>
      <w:lvlText w:val="▪"/>
      <w:lvlJc w:val="left"/>
      <w:rPr>
        <w:position w:val="0"/>
        <w:rtl w:val="0"/>
      </w:rPr>
    </w:lvl>
    <w:lvl w:ilvl="3">
      <w:start w:val="1"/>
      <w:numFmt w:val="bullet"/>
      <w:lvlText w:val="•"/>
      <w:lvlJc w:val="left"/>
      <w:rPr>
        <w:position w:val="0"/>
        <w:rtl w:val="0"/>
      </w:rPr>
    </w:lvl>
    <w:lvl w:ilvl="4">
      <w:start w:val="1"/>
      <w:numFmt w:val="bullet"/>
      <w:lvlText w:val="o"/>
      <w:lvlJc w:val="left"/>
      <w:rPr>
        <w:position w:val="0"/>
        <w:rtl w:val="0"/>
      </w:rPr>
    </w:lvl>
    <w:lvl w:ilvl="5">
      <w:start w:val="1"/>
      <w:numFmt w:val="bullet"/>
      <w:lvlText w:val="▪"/>
      <w:lvlJc w:val="left"/>
      <w:rPr>
        <w:position w:val="0"/>
        <w:rtl w:val="0"/>
      </w:rPr>
    </w:lvl>
    <w:lvl w:ilvl="6">
      <w:start w:val="1"/>
      <w:numFmt w:val="bullet"/>
      <w:lvlText w:val="•"/>
      <w:lvlJc w:val="left"/>
      <w:rPr>
        <w:position w:val="0"/>
        <w:rtl w:val="0"/>
      </w:rPr>
    </w:lvl>
    <w:lvl w:ilvl="7">
      <w:start w:val="1"/>
      <w:numFmt w:val="bullet"/>
      <w:lvlText w:val="o"/>
      <w:lvlJc w:val="left"/>
      <w:rPr>
        <w:position w:val="0"/>
        <w:rtl w:val="0"/>
      </w:rPr>
    </w:lvl>
    <w:lvl w:ilvl="8">
      <w:start w:val="1"/>
      <w:numFmt w:val="bullet"/>
      <w:lvlText w:val="▪"/>
      <w:lvlJc w:val="left"/>
      <w:rPr>
        <w:position w:val="0"/>
        <w:rtl w:val="0"/>
      </w:rPr>
    </w:lvl>
  </w:abstractNum>
  <w:abstractNum w:abstractNumId="16" w15:restartNumberingAfterBreak="0">
    <w:nsid w:val="66157E08"/>
    <w:multiLevelType w:val="multilevel"/>
    <w:tmpl w:val="FFFFFFFF"/>
    <w:lvl w:ilvl="0">
      <w:start w:val="1"/>
      <w:numFmt w:val="decimal"/>
      <w:lvlText w:val="%1."/>
      <w:lvlJc w:val="left"/>
      <w:rPr>
        <w:position w:val="0"/>
        <w:rtl w:val="0"/>
      </w:rPr>
    </w:lvl>
    <w:lvl w:ilvl="1">
      <w:start w:val="1"/>
      <w:numFmt w:val="lowerLetter"/>
      <w:lvlText w:val="%2."/>
      <w:lvlJc w:val="left"/>
      <w:rPr>
        <w:position w:val="0"/>
        <w:rtl w:val="0"/>
      </w:rPr>
    </w:lvl>
    <w:lvl w:ilvl="2">
      <w:start w:val="1"/>
      <w:numFmt w:val="lowerRoman"/>
      <w:lvlText w:val="%3."/>
      <w:lvlJc w:val="left"/>
      <w:rPr>
        <w:position w:val="0"/>
        <w:rtl w:val="0"/>
      </w:rPr>
    </w:lvl>
    <w:lvl w:ilvl="3">
      <w:start w:val="1"/>
      <w:numFmt w:val="decimal"/>
      <w:lvlText w:val="%4."/>
      <w:lvlJc w:val="left"/>
      <w:rPr>
        <w:position w:val="0"/>
        <w:rtl w:val="0"/>
      </w:rPr>
    </w:lvl>
    <w:lvl w:ilvl="4">
      <w:start w:val="1"/>
      <w:numFmt w:val="lowerLetter"/>
      <w:lvlText w:val="%5."/>
      <w:lvlJc w:val="left"/>
      <w:rPr>
        <w:position w:val="0"/>
        <w:rtl w:val="0"/>
      </w:rPr>
    </w:lvl>
    <w:lvl w:ilvl="5">
      <w:start w:val="1"/>
      <w:numFmt w:val="lowerRoman"/>
      <w:lvlText w:val="%6."/>
      <w:lvlJc w:val="left"/>
      <w:rPr>
        <w:position w:val="0"/>
        <w:rtl w:val="0"/>
      </w:rPr>
    </w:lvl>
    <w:lvl w:ilvl="6">
      <w:start w:val="1"/>
      <w:numFmt w:val="decimal"/>
      <w:lvlText w:val="%7."/>
      <w:lvlJc w:val="left"/>
      <w:rPr>
        <w:position w:val="0"/>
        <w:rtl w:val="0"/>
      </w:rPr>
    </w:lvl>
    <w:lvl w:ilvl="7">
      <w:start w:val="1"/>
      <w:numFmt w:val="lowerLetter"/>
      <w:lvlText w:val="%8."/>
      <w:lvlJc w:val="left"/>
      <w:rPr>
        <w:position w:val="0"/>
        <w:rtl w:val="0"/>
      </w:rPr>
    </w:lvl>
    <w:lvl w:ilvl="8">
      <w:start w:val="1"/>
      <w:numFmt w:val="lowerRoman"/>
      <w:lvlText w:val="%9."/>
      <w:lvlJc w:val="left"/>
      <w:rPr>
        <w:position w:val="0"/>
        <w:rtl w:val="0"/>
      </w:rPr>
    </w:lvl>
  </w:abstractNum>
  <w:abstractNum w:abstractNumId="17" w15:restartNumberingAfterBreak="0">
    <w:nsid w:val="66F34DBA"/>
    <w:multiLevelType w:val="multilevel"/>
    <w:tmpl w:val="FFFFFFFF"/>
    <w:lvl w:ilvl="0">
      <w:start w:val="1"/>
      <w:numFmt w:val="bullet"/>
      <w:lvlText w:val="•"/>
      <w:lvlJc w:val="left"/>
      <w:rPr>
        <w:position w:val="0"/>
        <w:rtl w:val="0"/>
      </w:rPr>
    </w:lvl>
    <w:lvl w:ilvl="1">
      <w:start w:val="1"/>
      <w:numFmt w:val="bullet"/>
      <w:lvlText w:val="o"/>
      <w:lvlJc w:val="left"/>
      <w:rPr>
        <w:position w:val="0"/>
        <w:rtl w:val="0"/>
      </w:rPr>
    </w:lvl>
    <w:lvl w:ilvl="2">
      <w:start w:val="1"/>
      <w:numFmt w:val="bullet"/>
      <w:lvlText w:val="▪"/>
      <w:lvlJc w:val="left"/>
      <w:rPr>
        <w:position w:val="0"/>
        <w:rtl w:val="0"/>
      </w:rPr>
    </w:lvl>
    <w:lvl w:ilvl="3">
      <w:start w:val="1"/>
      <w:numFmt w:val="bullet"/>
      <w:lvlText w:val="•"/>
      <w:lvlJc w:val="left"/>
      <w:rPr>
        <w:position w:val="0"/>
        <w:rtl w:val="0"/>
      </w:rPr>
    </w:lvl>
    <w:lvl w:ilvl="4">
      <w:start w:val="1"/>
      <w:numFmt w:val="bullet"/>
      <w:lvlText w:val="o"/>
      <w:lvlJc w:val="left"/>
      <w:rPr>
        <w:position w:val="0"/>
        <w:rtl w:val="0"/>
      </w:rPr>
    </w:lvl>
    <w:lvl w:ilvl="5">
      <w:start w:val="1"/>
      <w:numFmt w:val="bullet"/>
      <w:lvlText w:val="▪"/>
      <w:lvlJc w:val="left"/>
      <w:rPr>
        <w:position w:val="0"/>
        <w:rtl w:val="0"/>
      </w:rPr>
    </w:lvl>
    <w:lvl w:ilvl="6">
      <w:start w:val="1"/>
      <w:numFmt w:val="bullet"/>
      <w:lvlText w:val="•"/>
      <w:lvlJc w:val="left"/>
      <w:rPr>
        <w:position w:val="0"/>
        <w:rtl w:val="0"/>
      </w:rPr>
    </w:lvl>
    <w:lvl w:ilvl="7">
      <w:start w:val="1"/>
      <w:numFmt w:val="bullet"/>
      <w:lvlText w:val="o"/>
      <w:lvlJc w:val="left"/>
      <w:rPr>
        <w:position w:val="0"/>
        <w:rtl w:val="0"/>
      </w:rPr>
    </w:lvl>
    <w:lvl w:ilvl="8">
      <w:start w:val="1"/>
      <w:numFmt w:val="bullet"/>
      <w:lvlText w:val="▪"/>
      <w:lvlJc w:val="left"/>
      <w:rPr>
        <w:position w:val="0"/>
        <w:rtl w:val="0"/>
      </w:rPr>
    </w:lvl>
  </w:abstractNum>
  <w:abstractNum w:abstractNumId="18" w15:restartNumberingAfterBreak="0">
    <w:nsid w:val="6FCF2042"/>
    <w:multiLevelType w:val="multilevel"/>
    <w:tmpl w:val="FFFFFFFF"/>
    <w:lvl w:ilvl="0">
      <w:numFmt w:val="decimal"/>
      <w:lvlText w:val="%1."/>
      <w:lvlJc w:val="left"/>
      <w:rPr>
        <w:position w:val="0"/>
        <w:rtl w:val="0"/>
      </w:rPr>
    </w:lvl>
    <w:lvl w:ilvl="1">
      <w:start w:val="1"/>
      <w:numFmt w:val="lowerLetter"/>
      <w:lvlText w:val="%2."/>
      <w:lvlJc w:val="left"/>
      <w:rPr>
        <w:position w:val="0"/>
        <w:rtl w:val="0"/>
      </w:rPr>
    </w:lvl>
    <w:lvl w:ilvl="2">
      <w:start w:val="1"/>
      <w:numFmt w:val="lowerRoman"/>
      <w:lvlText w:val="%3."/>
      <w:lvlJc w:val="left"/>
      <w:rPr>
        <w:position w:val="0"/>
        <w:rtl w:val="0"/>
      </w:rPr>
    </w:lvl>
    <w:lvl w:ilvl="3">
      <w:start w:val="1"/>
      <w:numFmt w:val="decimal"/>
      <w:lvlText w:val="%4."/>
      <w:lvlJc w:val="left"/>
      <w:rPr>
        <w:position w:val="0"/>
        <w:rtl w:val="0"/>
      </w:rPr>
    </w:lvl>
    <w:lvl w:ilvl="4">
      <w:start w:val="1"/>
      <w:numFmt w:val="lowerLetter"/>
      <w:lvlText w:val="%5."/>
      <w:lvlJc w:val="left"/>
      <w:rPr>
        <w:position w:val="0"/>
        <w:rtl w:val="0"/>
      </w:rPr>
    </w:lvl>
    <w:lvl w:ilvl="5">
      <w:start w:val="1"/>
      <w:numFmt w:val="lowerRoman"/>
      <w:lvlText w:val="%6."/>
      <w:lvlJc w:val="left"/>
      <w:rPr>
        <w:position w:val="0"/>
        <w:rtl w:val="0"/>
      </w:rPr>
    </w:lvl>
    <w:lvl w:ilvl="6">
      <w:start w:val="1"/>
      <w:numFmt w:val="decimal"/>
      <w:lvlText w:val="%7."/>
      <w:lvlJc w:val="left"/>
      <w:rPr>
        <w:position w:val="0"/>
        <w:rtl w:val="0"/>
      </w:rPr>
    </w:lvl>
    <w:lvl w:ilvl="7">
      <w:start w:val="1"/>
      <w:numFmt w:val="lowerLetter"/>
      <w:lvlText w:val="%8."/>
      <w:lvlJc w:val="left"/>
      <w:rPr>
        <w:position w:val="0"/>
        <w:rtl w:val="0"/>
      </w:rPr>
    </w:lvl>
    <w:lvl w:ilvl="8">
      <w:start w:val="1"/>
      <w:numFmt w:val="lowerRoman"/>
      <w:lvlText w:val="%9."/>
      <w:lvlJc w:val="left"/>
      <w:rPr>
        <w:position w:val="0"/>
        <w:rtl w:val="0"/>
      </w:rPr>
    </w:lvl>
  </w:abstractNum>
  <w:abstractNum w:abstractNumId="19" w15:restartNumberingAfterBreak="0">
    <w:nsid w:val="75627957"/>
    <w:multiLevelType w:val="multilevel"/>
    <w:tmpl w:val="FFFFFFFF"/>
    <w:lvl w:ilvl="0">
      <w:start w:val="2"/>
      <w:numFmt w:val="decimal"/>
      <w:lvlText w:val="%1."/>
      <w:lvlJc w:val="left"/>
      <w:rPr>
        <w:position w:val="0"/>
        <w:rtl w:val="0"/>
      </w:rPr>
    </w:lvl>
    <w:lvl w:ilvl="1">
      <w:start w:val="1"/>
      <w:numFmt w:val="lowerLetter"/>
      <w:lvlText w:val="%2."/>
      <w:lvlJc w:val="left"/>
      <w:rPr>
        <w:position w:val="0"/>
        <w:rtl w:val="0"/>
      </w:rPr>
    </w:lvl>
    <w:lvl w:ilvl="2">
      <w:start w:val="1"/>
      <w:numFmt w:val="lowerRoman"/>
      <w:lvlText w:val="%3."/>
      <w:lvlJc w:val="left"/>
      <w:rPr>
        <w:position w:val="0"/>
        <w:rtl w:val="0"/>
      </w:rPr>
    </w:lvl>
    <w:lvl w:ilvl="3">
      <w:start w:val="1"/>
      <w:numFmt w:val="decimal"/>
      <w:lvlText w:val="%4."/>
      <w:lvlJc w:val="left"/>
      <w:rPr>
        <w:position w:val="0"/>
        <w:rtl w:val="0"/>
      </w:rPr>
    </w:lvl>
    <w:lvl w:ilvl="4">
      <w:start w:val="1"/>
      <w:numFmt w:val="lowerLetter"/>
      <w:lvlText w:val="%5."/>
      <w:lvlJc w:val="left"/>
      <w:rPr>
        <w:position w:val="0"/>
        <w:rtl w:val="0"/>
      </w:rPr>
    </w:lvl>
    <w:lvl w:ilvl="5">
      <w:start w:val="1"/>
      <w:numFmt w:val="lowerRoman"/>
      <w:lvlText w:val="%6."/>
      <w:lvlJc w:val="left"/>
      <w:rPr>
        <w:position w:val="0"/>
        <w:rtl w:val="0"/>
      </w:rPr>
    </w:lvl>
    <w:lvl w:ilvl="6">
      <w:start w:val="1"/>
      <w:numFmt w:val="decimal"/>
      <w:lvlText w:val="%7."/>
      <w:lvlJc w:val="left"/>
      <w:rPr>
        <w:position w:val="0"/>
        <w:rtl w:val="0"/>
      </w:rPr>
    </w:lvl>
    <w:lvl w:ilvl="7">
      <w:start w:val="1"/>
      <w:numFmt w:val="lowerLetter"/>
      <w:lvlText w:val="%8."/>
      <w:lvlJc w:val="left"/>
      <w:rPr>
        <w:position w:val="0"/>
        <w:rtl w:val="0"/>
      </w:rPr>
    </w:lvl>
    <w:lvl w:ilvl="8">
      <w:start w:val="1"/>
      <w:numFmt w:val="lowerRoman"/>
      <w:lvlText w:val="%9."/>
      <w:lvlJc w:val="left"/>
      <w:rPr>
        <w:position w:val="0"/>
        <w:rtl w:val="0"/>
      </w:rPr>
    </w:lvl>
  </w:abstractNum>
  <w:abstractNum w:abstractNumId="20" w15:restartNumberingAfterBreak="0">
    <w:nsid w:val="78C627C2"/>
    <w:multiLevelType w:val="multilevel"/>
    <w:tmpl w:val="FFFFFFFF"/>
    <w:styleLink w:val="List0"/>
    <w:lvl w:ilvl="0">
      <w:numFmt w:val="bullet"/>
      <w:lvlText w:val="•"/>
      <w:lvlJc w:val="left"/>
      <w:rPr>
        <w:position w:val="0"/>
        <w:rtl w:val="0"/>
      </w:rPr>
    </w:lvl>
    <w:lvl w:ilvl="1">
      <w:start w:val="1"/>
      <w:numFmt w:val="bullet"/>
      <w:lvlText w:val="o"/>
      <w:lvlJc w:val="left"/>
      <w:rPr>
        <w:position w:val="0"/>
        <w:rtl w:val="0"/>
      </w:rPr>
    </w:lvl>
    <w:lvl w:ilvl="2">
      <w:start w:val="1"/>
      <w:numFmt w:val="bullet"/>
      <w:lvlText w:val="▪"/>
      <w:lvlJc w:val="left"/>
      <w:rPr>
        <w:position w:val="0"/>
        <w:rtl w:val="0"/>
      </w:rPr>
    </w:lvl>
    <w:lvl w:ilvl="3">
      <w:start w:val="1"/>
      <w:numFmt w:val="bullet"/>
      <w:lvlText w:val="•"/>
      <w:lvlJc w:val="left"/>
      <w:rPr>
        <w:position w:val="0"/>
        <w:rtl w:val="0"/>
      </w:rPr>
    </w:lvl>
    <w:lvl w:ilvl="4">
      <w:start w:val="1"/>
      <w:numFmt w:val="bullet"/>
      <w:lvlText w:val="o"/>
      <w:lvlJc w:val="left"/>
      <w:rPr>
        <w:position w:val="0"/>
        <w:rtl w:val="0"/>
      </w:rPr>
    </w:lvl>
    <w:lvl w:ilvl="5">
      <w:start w:val="1"/>
      <w:numFmt w:val="bullet"/>
      <w:lvlText w:val="▪"/>
      <w:lvlJc w:val="left"/>
      <w:rPr>
        <w:position w:val="0"/>
        <w:rtl w:val="0"/>
      </w:rPr>
    </w:lvl>
    <w:lvl w:ilvl="6">
      <w:start w:val="1"/>
      <w:numFmt w:val="bullet"/>
      <w:lvlText w:val="•"/>
      <w:lvlJc w:val="left"/>
      <w:rPr>
        <w:position w:val="0"/>
        <w:rtl w:val="0"/>
      </w:rPr>
    </w:lvl>
    <w:lvl w:ilvl="7">
      <w:start w:val="1"/>
      <w:numFmt w:val="bullet"/>
      <w:lvlText w:val="o"/>
      <w:lvlJc w:val="left"/>
      <w:rPr>
        <w:position w:val="0"/>
        <w:rtl w:val="0"/>
      </w:rPr>
    </w:lvl>
    <w:lvl w:ilvl="8">
      <w:start w:val="1"/>
      <w:numFmt w:val="bullet"/>
      <w:lvlText w:val="▪"/>
      <w:lvlJc w:val="left"/>
      <w:rPr>
        <w:position w:val="0"/>
        <w:rtl w:val="0"/>
      </w:rPr>
    </w:lvl>
  </w:abstractNum>
  <w:abstractNum w:abstractNumId="21" w15:restartNumberingAfterBreak="0">
    <w:nsid w:val="7C261567"/>
    <w:multiLevelType w:val="multilevel"/>
    <w:tmpl w:val="FFFFFFFF"/>
    <w:lvl w:ilvl="0">
      <w:numFmt w:val="decimal"/>
      <w:lvlText w:val="%1."/>
      <w:lvlJc w:val="left"/>
      <w:rPr>
        <w:position w:val="0"/>
        <w:rtl w:val="0"/>
      </w:rPr>
    </w:lvl>
    <w:lvl w:ilvl="1">
      <w:start w:val="1"/>
      <w:numFmt w:val="lowerLetter"/>
      <w:lvlText w:val="%2."/>
      <w:lvlJc w:val="left"/>
      <w:rPr>
        <w:position w:val="0"/>
        <w:rtl w:val="0"/>
      </w:rPr>
    </w:lvl>
    <w:lvl w:ilvl="2">
      <w:start w:val="1"/>
      <w:numFmt w:val="lowerRoman"/>
      <w:lvlText w:val="%3."/>
      <w:lvlJc w:val="left"/>
      <w:rPr>
        <w:position w:val="0"/>
        <w:rtl w:val="0"/>
      </w:rPr>
    </w:lvl>
    <w:lvl w:ilvl="3">
      <w:start w:val="1"/>
      <w:numFmt w:val="decimal"/>
      <w:lvlText w:val="%4."/>
      <w:lvlJc w:val="left"/>
      <w:rPr>
        <w:position w:val="0"/>
        <w:rtl w:val="0"/>
      </w:rPr>
    </w:lvl>
    <w:lvl w:ilvl="4">
      <w:start w:val="1"/>
      <w:numFmt w:val="lowerLetter"/>
      <w:lvlText w:val="%5."/>
      <w:lvlJc w:val="left"/>
      <w:rPr>
        <w:position w:val="0"/>
        <w:rtl w:val="0"/>
      </w:rPr>
    </w:lvl>
    <w:lvl w:ilvl="5">
      <w:start w:val="1"/>
      <w:numFmt w:val="lowerRoman"/>
      <w:lvlText w:val="%6."/>
      <w:lvlJc w:val="left"/>
      <w:rPr>
        <w:position w:val="0"/>
        <w:rtl w:val="0"/>
      </w:rPr>
    </w:lvl>
    <w:lvl w:ilvl="6">
      <w:start w:val="1"/>
      <w:numFmt w:val="decimal"/>
      <w:lvlText w:val="%7."/>
      <w:lvlJc w:val="left"/>
      <w:rPr>
        <w:position w:val="0"/>
        <w:rtl w:val="0"/>
      </w:rPr>
    </w:lvl>
    <w:lvl w:ilvl="7">
      <w:start w:val="1"/>
      <w:numFmt w:val="lowerLetter"/>
      <w:lvlText w:val="%8."/>
      <w:lvlJc w:val="left"/>
      <w:rPr>
        <w:position w:val="0"/>
        <w:rtl w:val="0"/>
      </w:rPr>
    </w:lvl>
    <w:lvl w:ilvl="8">
      <w:start w:val="1"/>
      <w:numFmt w:val="lowerRoman"/>
      <w:lvlText w:val="%9."/>
      <w:lvlJc w:val="left"/>
      <w:rPr>
        <w:position w:val="0"/>
        <w:rtl w:val="0"/>
      </w:rPr>
    </w:lvl>
  </w:abstractNum>
  <w:abstractNum w:abstractNumId="22" w15:restartNumberingAfterBreak="0">
    <w:nsid w:val="7F787BF7"/>
    <w:multiLevelType w:val="multilevel"/>
    <w:tmpl w:val="FFFFFFFF"/>
    <w:lvl w:ilvl="0">
      <w:start w:val="6"/>
      <w:numFmt w:val="decimal"/>
      <w:lvlText w:val="%1."/>
      <w:lvlJc w:val="left"/>
      <w:rPr>
        <w:position w:val="0"/>
        <w:rtl w:val="0"/>
      </w:rPr>
    </w:lvl>
    <w:lvl w:ilvl="1">
      <w:start w:val="1"/>
      <w:numFmt w:val="lowerLetter"/>
      <w:lvlText w:val="%2."/>
      <w:lvlJc w:val="left"/>
      <w:rPr>
        <w:position w:val="0"/>
        <w:rtl w:val="0"/>
      </w:rPr>
    </w:lvl>
    <w:lvl w:ilvl="2">
      <w:start w:val="1"/>
      <w:numFmt w:val="lowerRoman"/>
      <w:lvlText w:val="%3."/>
      <w:lvlJc w:val="left"/>
      <w:rPr>
        <w:position w:val="0"/>
        <w:rtl w:val="0"/>
      </w:rPr>
    </w:lvl>
    <w:lvl w:ilvl="3">
      <w:start w:val="1"/>
      <w:numFmt w:val="decimal"/>
      <w:lvlText w:val="%4."/>
      <w:lvlJc w:val="left"/>
      <w:rPr>
        <w:position w:val="0"/>
        <w:rtl w:val="0"/>
      </w:rPr>
    </w:lvl>
    <w:lvl w:ilvl="4">
      <w:start w:val="1"/>
      <w:numFmt w:val="lowerLetter"/>
      <w:lvlText w:val="%5."/>
      <w:lvlJc w:val="left"/>
      <w:rPr>
        <w:position w:val="0"/>
        <w:rtl w:val="0"/>
      </w:rPr>
    </w:lvl>
    <w:lvl w:ilvl="5">
      <w:start w:val="1"/>
      <w:numFmt w:val="lowerRoman"/>
      <w:lvlText w:val="%6."/>
      <w:lvlJc w:val="left"/>
      <w:rPr>
        <w:position w:val="0"/>
        <w:rtl w:val="0"/>
      </w:rPr>
    </w:lvl>
    <w:lvl w:ilvl="6">
      <w:start w:val="1"/>
      <w:numFmt w:val="decimal"/>
      <w:lvlText w:val="%7."/>
      <w:lvlJc w:val="left"/>
      <w:rPr>
        <w:position w:val="0"/>
        <w:rtl w:val="0"/>
      </w:rPr>
    </w:lvl>
    <w:lvl w:ilvl="7">
      <w:start w:val="1"/>
      <w:numFmt w:val="lowerLetter"/>
      <w:lvlText w:val="%8."/>
      <w:lvlJc w:val="left"/>
      <w:rPr>
        <w:position w:val="0"/>
        <w:rtl w:val="0"/>
      </w:rPr>
    </w:lvl>
    <w:lvl w:ilvl="8">
      <w:start w:val="1"/>
      <w:numFmt w:val="lowerRoman"/>
      <w:lvlText w:val="%9."/>
      <w:lvlJc w:val="left"/>
      <w:rPr>
        <w:position w:val="0"/>
        <w:rtl w:val="0"/>
      </w:rPr>
    </w:lvl>
  </w:abstractNum>
  <w:num w:numId="1">
    <w:abstractNumId w:val="17"/>
  </w:num>
  <w:num w:numId="2">
    <w:abstractNumId w:val="3"/>
  </w:num>
  <w:num w:numId="3">
    <w:abstractNumId w:val="15"/>
  </w:num>
  <w:num w:numId="4">
    <w:abstractNumId w:val="4"/>
  </w:num>
  <w:num w:numId="5">
    <w:abstractNumId w:val="20"/>
  </w:num>
  <w:num w:numId="6">
    <w:abstractNumId w:val="16"/>
  </w:num>
  <w:num w:numId="7">
    <w:abstractNumId w:val="8"/>
  </w:num>
  <w:num w:numId="8">
    <w:abstractNumId w:val="1"/>
  </w:num>
  <w:num w:numId="9">
    <w:abstractNumId w:val="5"/>
  </w:num>
  <w:num w:numId="10">
    <w:abstractNumId w:val="19"/>
  </w:num>
  <w:num w:numId="11">
    <w:abstractNumId w:val="9"/>
  </w:num>
  <w:num w:numId="12">
    <w:abstractNumId w:val="13"/>
  </w:num>
  <w:num w:numId="13">
    <w:abstractNumId w:val="2"/>
  </w:num>
  <w:num w:numId="14">
    <w:abstractNumId w:val="7"/>
  </w:num>
  <w:num w:numId="15">
    <w:abstractNumId w:val="11"/>
  </w:num>
  <w:num w:numId="16">
    <w:abstractNumId w:val="0"/>
  </w:num>
  <w:num w:numId="17">
    <w:abstractNumId w:val="14"/>
  </w:num>
  <w:num w:numId="18">
    <w:abstractNumId w:val="22"/>
  </w:num>
  <w:num w:numId="19">
    <w:abstractNumId w:val="21"/>
  </w:num>
  <w:num w:numId="20">
    <w:abstractNumId w:val="12"/>
  </w:num>
  <w:num w:numId="21">
    <w:abstractNumId w:val="18"/>
  </w:num>
  <w:num w:numId="22">
    <w:abstractNumId w:val="6"/>
  </w:num>
  <w:num w:numId="2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4414"/>
    <w:rsid w:val="002763D0"/>
    <w:rsid w:val="008144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ECF8D4E6-8A7D-C143-B6FD-D57ABB03E4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US"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w:hAnsi="Arial Unicode MS" w:cs="Arial Unicode MS"/>
      <w:color w:val="000000"/>
      <w:sz w:val="24"/>
      <w:szCs w:val="24"/>
    </w:rPr>
  </w:style>
  <w:style w:type="paragraph" w:customStyle="1" w:styleId="Body">
    <w:name w:val="Body"/>
    <w:pPr>
      <w:spacing w:after="200" w:line="276" w:lineRule="auto"/>
      <w:jc w:val="both"/>
    </w:pPr>
    <w:rPr>
      <w:rFonts w:hAnsi="Arial Unicode MS" w:cs="Arial Unicode MS"/>
      <w:color w:val="000000"/>
      <w:sz w:val="24"/>
      <w:szCs w:val="24"/>
      <w:u w:color="000000"/>
    </w:rPr>
  </w:style>
  <w:style w:type="paragraph" w:styleId="TOCHeading">
    <w:name w:val="TOC Heading"/>
    <w:next w:val="Body"/>
    <w:pPr>
      <w:keepNext/>
      <w:keepLines/>
      <w:spacing w:before="480" w:line="276" w:lineRule="auto"/>
    </w:pPr>
    <w:rPr>
      <w:rFonts w:ascii="Cambria" w:eastAsia="Cambria" w:hAnsi="Cambria" w:cs="Cambria"/>
      <w:b/>
      <w:bCs/>
      <w:color w:val="365F91"/>
      <w:sz w:val="28"/>
      <w:szCs w:val="28"/>
      <w:u w:color="365F91"/>
      <w:lang w:val="en-US"/>
    </w:rPr>
  </w:style>
  <w:style w:type="paragraph" w:styleId="TOC1">
    <w:name w:val="toc 1"/>
    <w:pPr>
      <w:tabs>
        <w:tab w:val="right" w:leader="dot" w:pos="9340"/>
      </w:tabs>
      <w:spacing w:after="100" w:line="276" w:lineRule="auto"/>
      <w:jc w:val="both"/>
    </w:pPr>
    <w:rPr>
      <w:rFonts w:eastAsia="Times New Roman"/>
      <w:color w:val="000000"/>
      <w:sz w:val="24"/>
      <w:szCs w:val="24"/>
      <w:u w:color="000000"/>
      <w:lang w:val="en-US"/>
    </w:rPr>
  </w:style>
  <w:style w:type="paragraph" w:customStyle="1" w:styleId="Heading">
    <w:name w:val="Heading"/>
    <w:next w:val="Body"/>
    <w:pPr>
      <w:keepNext/>
      <w:keepLines/>
      <w:spacing w:before="480" w:line="276" w:lineRule="auto"/>
      <w:jc w:val="both"/>
      <w:outlineLvl w:val="0"/>
    </w:pPr>
    <w:rPr>
      <w:rFonts w:eastAsia="Times New Roman"/>
      <w:b/>
      <w:bCs/>
      <w:color w:val="000000"/>
      <w:sz w:val="28"/>
      <w:szCs w:val="28"/>
      <w:u w:color="000000"/>
    </w:rPr>
  </w:style>
  <w:style w:type="paragraph" w:styleId="ListParagraph">
    <w:name w:val="List Paragraph"/>
    <w:pPr>
      <w:spacing w:after="200" w:line="276" w:lineRule="auto"/>
      <w:ind w:left="720"/>
      <w:jc w:val="both"/>
    </w:pPr>
    <w:rPr>
      <w:rFonts w:hAnsi="Arial Unicode MS" w:cs="Arial Unicode MS"/>
      <w:color w:val="000000"/>
      <w:sz w:val="24"/>
      <w:szCs w:val="24"/>
      <w:u w:color="000000"/>
      <w:lang w:val="en-US"/>
    </w:rPr>
  </w:style>
  <w:style w:type="numbering" w:customStyle="1" w:styleId="List0">
    <w:name w:val="List 0"/>
    <w:basedOn w:val="ImportedStyle1"/>
    <w:pPr>
      <w:numPr>
        <w:numId w:val="5"/>
      </w:numPr>
    </w:pPr>
  </w:style>
  <w:style w:type="numbering" w:customStyle="1" w:styleId="ImportedStyle1">
    <w:name w:val="Imported Style 1"/>
  </w:style>
  <w:style w:type="numbering" w:customStyle="1" w:styleId="List1">
    <w:name w:val="List 1"/>
    <w:basedOn w:val="ImportedStyle2"/>
    <w:pPr>
      <w:numPr>
        <w:numId w:val="23"/>
      </w:numPr>
    </w:pPr>
  </w:style>
  <w:style w:type="numbering" w:customStyle="1" w:styleId="ImportedStyle2">
    <w:name w:val="Imported Style 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chart" Target="charts/chart2.xml" /><Relationship Id="rId13" Type="http://schemas.openxmlformats.org/officeDocument/2006/relationships/chart" Target="charts/chart7.xml" /><Relationship Id="rId1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chart" Target="charts/chart1.xml" /><Relationship Id="rId12" Type="http://schemas.openxmlformats.org/officeDocument/2006/relationships/chart" Target="charts/chart6.xml" /><Relationship Id="rId17"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footer" Target="footer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chart" Target="charts/chart5.xml" /><Relationship Id="rId5" Type="http://schemas.openxmlformats.org/officeDocument/2006/relationships/footnotes" Target="footnotes.xml" /><Relationship Id="rId15" Type="http://schemas.openxmlformats.org/officeDocument/2006/relationships/header" Target="header1.xml" /><Relationship Id="rId10" Type="http://schemas.openxmlformats.org/officeDocument/2006/relationships/chart" Target="charts/chart4.xml" /><Relationship Id="rId4" Type="http://schemas.openxmlformats.org/officeDocument/2006/relationships/webSettings" Target="webSettings.xml" /><Relationship Id="rId9" Type="http://schemas.openxmlformats.org/officeDocument/2006/relationships/chart" Target="charts/chart3.xml" /><Relationship Id="rId14" Type="http://schemas.openxmlformats.org/officeDocument/2006/relationships/chart" Target="charts/chart8.xml" /></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Sheet1.xlsx" /></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Sheet2.xlsx" /></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Sheet3.xlsx" /></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Sheet4.xlsx" /></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Sheet5.xlsx" /></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Sheet6.xlsx" /></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Sheet7.xlsx" /></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Sheet8.xlsx"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rot="0"/>
          <a:lstStyle/>
          <a:p>
            <a:pPr lvl="0"/>
            <a:endParaRPr lang="en-GB"/>
          </a:p>
        </c:rich>
      </c:tx>
      <c:overlay val="1"/>
    </c:title>
    <c:autoTitleDeleted val="0"/>
    <c:view3D>
      <c:rotX val="50"/>
      <c:hPercent val="50"/>
      <c:rotY val="0"/>
      <c:depthPercent val="100"/>
      <c:rAngAx val="0"/>
    </c:view3D>
    <c:floor>
      <c:thickness val="0"/>
    </c:floor>
    <c:sideWall>
      <c:thickness val="0"/>
    </c:sideWall>
    <c:backWall>
      <c:thickness val="0"/>
    </c:backWall>
    <c:plotArea>
      <c:layout/>
      <c:pie3DChart>
        <c:varyColors val="0"/>
        <c:ser>
          <c:idx val="0"/>
          <c:order val="0"/>
          <c:tx>
            <c:strRef>
              <c:f>Sheet1!$A$2</c:f>
              <c:strCache>
                <c:ptCount val="1"/>
                <c:pt idx="0">
                  <c:v>Sales</c:v>
                </c:pt>
              </c:strCache>
            </c:strRef>
          </c:tx>
          <c:spPr>
            <a:solidFill>
              <a:srgbClr val="4F81BD"/>
            </a:solidFill>
            <a:ln w="12700" cap="flat">
              <a:noFill/>
              <a:miter lim="400000"/>
            </a:ln>
            <a:effectLst/>
          </c:spPr>
          <c:dPt>
            <c:idx val="0"/>
            <c:bubble3D val="0"/>
          </c:dPt>
          <c:dPt>
            <c:idx val="1"/>
            <c:bubble3D val="0"/>
            <c:spPr>
              <a:solidFill>
                <a:srgbClr val="C0504D"/>
              </a:solidFill>
              <a:ln w="12700" cap="flat">
                <a:noFill/>
                <a:miter lim="400000"/>
              </a:ln>
              <a:effectLst/>
            </c:spPr>
          </c:dPt>
          <c:dPt>
            <c:idx val="2"/>
            <c:bubble3D val="0"/>
            <c:spPr>
              <a:solidFill>
                <a:srgbClr val="9BBB59"/>
              </a:solidFill>
              <a:ln w="12700" cap="flat">
                <a:noFill/>
                <a:miter lim="400000"/>
              </a:ln>
              <a:effectLst/>
            </c:spPr>
          </c:dPt>
          <c:dPt>
            <c:idx val="3"/>
            <c:bubble3D val="0"/>
            <c:spPr>
              <a:solidFill>
                <a:srgbClr val="8064A2"/>
              </a:solidFill>
              <a:ln w="12700" cap="flat">
                <a:noFill/>
                <a:miter lim="400000"/>
              </a:ln>
              <a:effectLst/>
            </c:spPr>
          </c:dPt>
          <c:dPt>
            <c:idx val="4"/>
            <c:bubble3D val="0"/>
            <c:spPr>
              <a:solidFill>
                <a:srgbClr val="4BACC6"/>
              </a:solidFill>
              <a:ln w="12700" cap="flat">
                <a:noFill/>
                <a:miter lim="400000"/>
              </a:ln>
              <a:effectLst/>
            </c:spPr>
          </c:dPt>
          <c:dLbls>
            <c:dLbl>
              <c:idx val="0"/>
              <c:numFmt formatCode="0" sourceLinked="0"/>
              <c:spPr/>
              <c:txPr>
                <a:bodyPr/>
                <a:lstStyle/>
                <a:p>
                  <a:pPr lvl="0">
                    <a:defRPr sz="1000" b="0" i="0" u="none" strike="noStrike">
                      <a:solidFill>
                        <a:srgbClr val="000000"/>
                      </a:solidFill>
                      <a:effectLst/>
                      <a:latin typeface="Calibri"/>
                    </a:defRPr>
                  </a:pPr>
                  <a:endParaRPr lang="en-US"/>
                </a:p>
              </c:txPr>
              <c:dLblPos val="inEnd"/>
              <c:showLegendKey val="0"/>
              <c:showVal val="1"/>
              <c:showCatName val="0"/>
              <c:showSerName val="0"/>
              <c:showPercent val="0"/>
              <c:showBubbleSize val="0"/>
            </c:dLbl>
            <c:dLbl>
              <c:idx val="1"/>
              <c:numFmt formatCode="0" sourceLinked="0"/>
              <c:spPr/>
              <c:txPr>
                <a:bodyPr/>
                <a:lstStyle/>
                <a:p>
                  <a:pPr lvl="0">
                    <a:defRPr sz="1000" b="0" i="0" u="none" strike="noStrike">
                      <a:solidFill>
                        <a:srgbClr val="000000"/>
                      </a:solidFill>
                      <a:effectLst/>
                      <a:latin typeface="Calibri"/>
                    </a:defRPr>
                  </a:pPr>
                  <a:endParaRPr lang="en-US"/>
                </a:p>
              </c:txPr>
              <c:dLblPos val="inEnd"/>
              <c:showLegendKey val="0"/>
              <c:showVal val="1"/>
              <c:showCatName val="0"/>
              <c:showSerName val="0"/>
              <c:showPercent val="0"/>
              <c:showBubbleSize val="0"/>
            </c:dLbl>
            <c:dLbl>
              <c:idx val="2"/>
              <c:numFmt formatCode="0" sourceLinked="0"/>
              <c:spPr/>
              <c:txPr>
                <a:bodyPr/>
                <a:lstStyle/>
                <a:p>
                  <a:pPr lvl="0">
                    <a:defRPr sz="1000" b="0" i="0" u="none" strike="noStrike">
                      <a:solidFill>
                        <a:srgbClr val="000000"/>
                      </a:solidFill>
                      <a:effectLst/>
                      <a:latin typeface="Calibri"/>
                    </a:defRPr>
                  </a:pPr>
                  <a:endParaRPr lang="en-US"/>
                </a:p>
              </c:txPr>
              <c:dLblPos val="inEnd"/>
              <c:showLegendKey val="0"/>
              <c:showVal val="1"/>
              <c:showCatName val="0"/>
              <c:showSerName val="0"/>
              <c:showPercent val="0"/>
              <c:showBubbleSize val="0"/>
            </c:dLbl>
            <c:dLbl>
              <c:idx val="3"/>
              <c:numFmt formatCode="0" sourceLinked="0"/>
              <c:spPr/>
              <c:txPr>
                <a:bodyPr/>
                <a:lstStyle/>
                <a:p>
                  <a:pPr lvl="0">
                    <a:defRPr sz="1000" b="0" i="0" u="none" strike="noStrike">
                      <a:solidFill>
                        <a:srgbClr val="000000"/>
                      </a:solidFill>
                      <a:effectLst/>
                      <a:latin typeface="Calibri"/>
                    </a:defRPr>
                  </a:pPr>
                  <a:endParaRPr lang="en-US"/>
                </a:p>
              </c:txPr>
              <c:dLblPos val="inEnd"/>
              <c:showLegendKey val="0"/>
              <c:showVal val="1"/>
              <c:showCatName val="0"/>
              <c:showSerName val="0"/>
              <c:showPercent val="0"/>
              <c:showBubbleSize val="0"/>
            </c:dLbl>
            <c:dLbl>
              <c:idx val="4"/>
              <c:numFmt formatCode="0" sourceLinked="0"/>
              <c:spPr/>
              <c:txPr>
                <a:bodyPr/>
                <a:lstStyle/>
                <a:p>
                  <a:pPr lvl="0">
                    <a:defRPr sz="1000" b="0" i="0" u="none" strike="noStrike">
                      <a:solidFill>
                        <a:srgbClr val="000000"/>
                      </a:solidFill>
                      <a:effectLst/>
                      <a:latin typeface="Calibri"/>
                    </a:defRPr>
                  </a:pPr>
                  <a:endParaRPr lang="en-US"/>
                </a:p>
              </c:txPr>
              <c:dLblPos val="inEnd"/>
              <c:showLegendKey val="0"/>
              <c:showVal val="1"/>
              <c:showCatName val="0"/>
              <c:showSerName val="0"/>
              <c:showPercent val="0"/>
              <c:showBubbleSize val="0"/>
            </c:dLbl>
            <c:numFmt formatCode="0" sourceLinked="0"/>
            <c:spPr>
              <a:noFill/>
              <a:ln>
                <a:noFill/>
              </a:ln>
              <a:effectLst/>
            </c:spPr>
            <c:txPr>
              <a:bodyPr/>
              <a:lstStyle/>
              <a:p>
                <a:pPr lvl="0">
                  <a:defRPr sz="1000" b="0" i="0" u="none" strike="noStrike">
                    <a:solidFill>
                      <a:srgbClr val="000000"/>
                    </a:solidFill>
                    <a:effectLst/>
                    <a:latin typeface="Calibri"/>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extLst>
          </c:dLbls>
          <c:cat>
            <c:strRef>
              <c:f>Sheet1!$B$1:$F$1</c:f>
              <c:strCache>
                <c:ptCount val="5"/>
                <c:pt idx="0">
                  <c:v>Strongly agree</c:v>
                </c:pt>
                <c:pt idx="1">
                  <c:v>Agree</c:v>
                </c:pt>
                <c:pt idx="2">
                  <c:v>Neutral</c:v>
                </c:pt>
                <c:pt idx="3">
                  <c:v>Disagree</c:v>
                </c:pt>
                <c:pt idx="4">
                  <c:v>Strongly disagree</c:v>
                </c:pt>
              </c:strCache>
            </c:strRef>
          </c:cat>
          <c:val>
            <c:numRef>
              <c:f>Sheet1!$B$2:$F$2</c:f>
              <c:numCache>
                <c:formatCode>General</c:formatCode>
                <c:ptCount val="5"/>
                <c:pt idx="0">
                  <c:v>26</c:v>
                </c:pt>
                <c:pt idx="1">
                  <c:v>40</c:v>
                </c:pt>
                <c:pt idx="2">
                  <c:v>14</c:v>
                </c:pt>
                <c:pt idx="3">
                  <c:v>16</c:v>
                </c:pt>
                <c:pt idx="4">
                  <c:v>4</c:v>
                </c:pt>
              </c:numCache>
            </c:numRef>
          </c:val>
          <c:extLst>
            <c:ext xmlns:c16="http://schemas.microsoft.com/office/drawing/2014/chart" uri="{C3380CC4-5D6E-409C-BE32-E72D297353CC}">
              <c16:uniqueId val="{00000000-B2D7-2D44-9A24-B067F7341B05}"/>
            </c:ext>
          </c:extLst>
        </c:ser>
        <c:dLbls>
          <c:showLegendKey val="0"/>
          <c:showVal val="0"/>
          <c:showCatName val="0"/>
          <c:showSerName val="0"/>
          <c:showPercent val="0"/>
          <c:showBubbleSize val="0"/>
          <c:showLeaderLines val="0"/>
        </c:dLbls>
      </c:pie3DChart>
      <c:spPr>
        <a:solidFill>
          <a:srgbClr val="FFFFFF"/>
        </a:solidFill>
        <a:ln w="12700" cap="flat">
          <a:noFill/>
          <a:miter lim="400000"/>
        </a:ln>
        <a:effectLst/>
      </c:spPr>
    </c:plotArea>
    <c:legend>
      <c:legendPos val="r"/>
      <c:layout>
        <c:manualLayout>
          <c:xMode val="edge"/>
          <c:yMode val="edge"/>
          <c:x val="0.74050800000000006"/>
          <c:y val="0.27027800000000002"/>
          <c:w val="0.259492"/>
          <c:h val="0.30351299999999998"/>
        </c:manualLayout>
      </c:layout>
      <c:overlay val="1"/>
      <c:spPr>
        <a:noFill/>
        <a:ln w="12700" cap="flat">
          <a:noFill/>
          <a:miter lim="400000"/>
        </a:ln>
        <a:effectLst/>
      </c:spPr>
      <c:txPr>
        <a:bodyPr/>
        <a:lstStyle/>
        <a:p>
          <a:pPr lvl="0">
            <a:defRPr sz="1000" b="0" i="0" u="none" strike="noStrike">
              <a:solidFill>
                <a:srgbClr val="000000"/>
              </a:solidFill>
              <a:effectLst/>
              <a:latin typeface="Calibri"/>
            </a:defRPr>
          </a:pPr>
          <a:endParaRPr lang="en-US"/>
        </a:p>
      </c:txPr>
    </c:legend>
    <c:plotVisOnly val="1"/>
    <c:dispBlanksAs val="gap"/>
    <c:showDLblsOverMax val="1"/>
  </c:chart>
  <c:spPr>
    <a:solidFill>
      <a:srgbClr val="FFFFFF"/>
    </a:solidFill>
    <a:ln w="9525" cap="flat">
      <a:solidFill>
        <a:srgbClr val="888888"/>
      </a:solidFill>
      <a:prstDash val="solid"/>
      <a:bevel/>
    </a:ln>
    <a:effectLst/>
  </c:sp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rot="0"/>
          <a:lstStyle/>
          <a:p>
            <a:pPr lvl="0"/>
            <a:endParaRPr/>
          </a:p>
        </c:rich>
      </c:tx>
      <c:overlay val="1"/>
    </c:title>
    <c:autoTitleDeleted val="0"/>
    <c:view3D>
      <c:rotX val="50"/>
      <c:hPercent val="50"/>
      <c:rotY val="0"/>
      <c:depthPercent val="100"/>
      <c:rAngAx val="0"/>
    </c:view3D>
    <c:floor>
      <c:thickness val="0"/>
    </c:floor>
    <c:sideWall>
      <c:thickness val="0"/>
    </c:sideWall>
    <c:backWall>
      <c:thickness val="0"/>
    </c:backWall>
    <c:plotArea>
      <c:layout/>
      <c:pie3DChart>
        <c:varyColors val="0"/>
        <c:ser>
          <c:idx val="0"/>
          <c:order val="0"/>
          <c:tx>
            <c:strRef>
              <c:f>Sheet1!$A$2</c:f>
              <c:strCache>
                <c:ptCount val="1"/>
                <c:pt idx="0">
                  <c:v>Sales</c:v>
                </c:pt>
              </c:strCache>
            </c:strRef>
          </c:tx>
          <c:spPr>
            <a:solidFill>
              <a:srgbClr val="4F81BD"/>
            </a:solidFill>
            <a:ln w="12700" cap="flat">
              <a:noFill/>
              <a:miter lim="400000"/>
            </a:ln>
            <a:effectLst/>
          </c:spPr>
          <c:dPt>
            <c:idx val="0"/>
            <c:bubble3D val="0"/>
          </c:dPt>
          <c:dPt>
            <c:idx val="1"/>
            <c:bubble3D val="0"/>
            <c:spPr>
              <a:solidFill>
                <a:srgbClr val="C0504D"/>
              </a:solidFill>
              <a:ln w="12700" cap="flat">
                <a:noFill/>
                <a:miter lim="400000"/>
              </a:ln>
              <a:effectLst/>
            </c:spPr>
          </c:dPt>
          <c:dPt>
            <c:idx val="2"/>
            <c:bubble3D val="0"/>
            <c:spPr>
              <a:solidFill>
                <a:srgbClr val="9BBB59"/>
              </a:solidFill>
              <a:ln w="12700" cap="flat">
                <a:noFill/>
                <a:miter lim="400000"/>
              </a:ln>
              <a:effectLst/>
            </c:spPr>
          </c:dPt>
          <c:dLbls>
            <c:dLbl>
              <c:idx val="0"/>
              <c:numFmt formatCode="0" sourceLinked="0"/>
              <c:spPr/>
              <c:txPr>
                <a:bodyPr/>
                <a:lstStyle/>
                <a:p>
                  <a:pPr lvl="0">
                    <a:defRPr sz="1000" b="0" i="0" u="none" strike="noStrike">
                      <a:solidFill>
                        <a:srgbClr val="000000"/>
                      </a:solidFill>
                      <a:effectLst/>
                      <a:latin typeface="Calibri"/>
                    </a:defRPr>
                  </a:pPr>
                  <a:endParaRPr lang="en-US"/>
                </a:p>
              </c:txPr>
              <c:dLblPos val="inEnd"/>
              <c:showLegendKey val="0"/>
              <c:showVal val="1"/>
              <c:showCatName val="0"/>
              <c:showSerName val="0"/>
              <c:showPercent val="0"/>
              <c:showBubbleSize val="0"/>
            </c:dLbl>
            <c:dLbl>
              <c:idx val="1"/>
              <c:numFmt formatCode="0" sourceLinked="0"/>
              <c:spPr/>
              <c:txPr>
                <a:bodyPr/>
                <a:lstStyle/>
                <a:p>
                  <a:pPr lvl="0">
                    <a:defRPr sz="1000" b="0" i="0" u="none" strike="noStrike">
                      <a:solidFill>
                        <a:srgbClr val="000000"/>
                      </a:solidFill>
                      <a:effectLst/>
                      <a:latin typeface="Calibri"/>
                    </a:defRPr>
                  </a:pPr>
                  <a:endParaRPr lang="en-US"/>
                </a:p>
              </c:txPr>
              <c:dLblPos val="inEnd"/>
              <c:showLegendKey val="0"/>
              <c:showVal val="1"/>
              <c:showCatName val="0"/>
              <c:showSerName val="0"/>
              <c:showPercent val="0"/>
              <c:showBubbleSize val="0"/>
            </c:dLbl>
            <c:dLbl>
              <c:idx val="2"/>
              <c:numFmt formatCode="0" sourceLinked="0"/>
              <c:spPr/>
              <c:txPr>
                <a:bodyPr/>
                <a:lstStyle/>
                <a:p>
                  <a:pPr lvl="0">
                    <a:defRPr sz="1000" b="0" i="0" u="none" strike="noStrike">
                      <a:solidFill>
                        <a:srgbClr val="000000"/>
                      </a:solidFill>
                      <a:effectLst/>
                      <a:latin typeface="Calibri"/>
                    </a:defRPr>
                  </a:pPr>
                  <a:endParaRPr lang="en-US"/>
                </a:p>
              </c:txPr>
              <c:dLblPos val="inEnd"/>
              <c:showLegendKey val="0"/>
              <c:showVal val="1"/>
              <c:showCatName val="0"/>
              <c:showSerName val="0"/>
              <c:showPercent val="0"/>
              <c:showBubbleSize val="0"/>
            </c:dLbl>
            <c:numFmt formatCode="0" sourceLinked="0"/>
            <c:spPr>
              <a:noFill/>
              <a:ln>
                <a:noFill/>
              </a:ln>
              <a:effectLst/>
            </c:spPr>
            <c:txPr>
              <a:bodyPr/>
              <a:lstStyle/>
              <a:p>
                <a:pPr lvl="0">
                  <a:defRPr sz="1000" b="0" i="0" u="none" strike="noStrike">
                    <a:solidFill>
                      <a:srgbClr val="000000"/>
                    </a:solidFill>
                    <a:effectLst/>
                    <a:latin typeface="Calibri"/>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extLst>
          </c:dLbls>
          <c:cat>
            <c:strRef>
              <c:f>Sheet1!$B$1:$D$1</c:f>
              <c:strCache>
                <c:ptCount val="3"/>
                <c:pt idx="0">
                  <c:v>Electronic communication</c:v>
                </c:pt>
                <c:pt idx="1">
                  <c:v>24x7 Online support</c:v>
                </c:pt>
                <c:pt idx="2">
                  <c:v>Accessibility to lectures and resources</c:v>
                </c:pt>
              </c:strCache>
            </c:strRef>
          </c:cat>
          <c:val>
            <c:numRef>
              <c:f>Sheet1!$B$2:$D$2</c:f>
              <c:numCache>
                <c:formatCode>General</c:formatCode>
                <c:ptCount val="3"/>
                <c:pt idx="0">
                  <c:v>30</c:v>
                </c:pt>
                <c:pt idx="1">
                  <c:v>30</c:v>
                </c:pt>
                <c:pt idx="2">
                  <c:v>40</c:v>
                </c:pt>
              </c:numCache>
            </c:numRef>
          </c:val>
          <c:extLst>
            <c:ext xmlns:c16="http://schemas.microsoft.com/office/drawing/2014/chart" uri="{C3380CC4-5D6E-409C-BE32-E72D297353CC}">
              <c16:uniqueId val="{00000000-F193-F34C-BF73-0EBC0B0A6292}"/>
            </c:ext>
          </c:extLst>
        </c:ser>
        <c:dLbls>
          <c:showLegendKey val="0"/>
          <c:showVal val="0"/>
          <c:showCatName val="0"/>
          <c:showSerName val="0"/>
          <c:showPercent val="0"/>
          <c:showBubbleSize val="0"/>
          <c:showLeaderLines val="0"/>
        </c:dLbls>
      </c:pie3DChart>
      <c:spPr>
        <a:solidFill>
          <a:srgbClr val="FFFFFF"/>
        </a:solidFill>
        <a:ln w="12700" cap="flat">
          <a:noFill/>
          <a:miter lim="400000"/>
        </a:ln>
        <a:effectLst/>
      </c:spPr>
    </c:plotArea>
    <c:legend>
      <c:legendPos val="r"/>
      <c:layout>
        <c:manualLayout>
          <c:xMode val="edge"/>
          <c:yMode val="edge"/>
          <c:x val="0.59872000000000003"/>
          <c:y val="0.27027800000000002"/>
          <c:w val="0.40128000000000003"/>
          <c:h val="0.187108"/>
        </c:manualLayout>
      </c:layout>
      <c:overlay val="1"/>
      <c:spPr>
        <a:noFill/>
        <a:ln w="12700" cap="flat">
          <a:noFill/>
          <a:miter lim="400000"/>
        </a:ln>
        <a:effectLst/>
      </c:spPr>
      <c:txPr>
        <a:bodyPr/>
        <a:lstStyle/>
        <a:p>
          <a:pPr lvl="0">
            <a:defRPr sz="1000" b="0" i="0" u="none" strike="noStrike">
              <a:solidFill>
                <a:srgbClr val="000000"/>
              </a:solidFill>
              <a:effectLst/>
              <a:latin typeface="Calibri"/>
            </a:defRPr>
          </a:pPr>
          <a:endParaRPr lang="en-US"/>
        </a:p>
      </c:txPr>
    </c:legend>
    <c:plotVisOnly val="1"/>
    <c:dispBlanksAs val="gap"/>
    <c:showDLblsOverMax val="1"/>
  </c:chart>
  <c:spPr>
    <a:solidFill>
      <a:srgbClr val="FFFFFF"/>
    </a:solidFill>
    <a:ln w="9525" cap="flat">
      <a:solidFill>
        <a:srgbClr val="888888"/>
      </a:solidFill>
      <a:prstDash val="solid"/>
      <a:bevel/>
    </a:ln>
    <a:effectLst/>
  </c:sp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rot="0"/>
          <a:lstStyle/>
          <a:p>
            <a:pPr lvl="0"/>
            <a:endParaRPr lang="en-GB"/>
          </a:p>
        </c:rich>
      </c:tx>
      <c:overlay val="1"/>
    </c:title>
    <c:autoTitleDeleted val="0"/>
    <c:view3D>
      <c:rotX val="50"/>
      <c:hPercent val="50"/>
      <c:rotY val="0"/>
      <c:depthPercent val="100"/>
      <c:rAngAx val="0"/>
    </c:view3D>
    <c:floor>
      <c:thickness val="0"/>
    </c:floor>
    <c:sideWall>
      <c:thickness val="0"/>
    </c:sideWall>
    <c:backWall>
      <c:thickness val="0"/>
    </c:backWall>
    <c:plotArea>
      <c:layout/>
      <c:pie3DChart>
        <c:varyColors val="0"/>
        <c:ser>
          <c:idx val="0"/>
          <c:order val="0"/>
          <c:tx>
            <c:strRef>
              <c:f>Sheet1!$A$2</c:f>
              <c:strCache>
                <c:ptCount val="1"/>
                <c:pt idx="0">
                  <c:v>Sales</c:v>
                </c:pt>
              </c:strCache>
            </c:strRef>
          </c:tx>
          <c:spPr>
            <a:solidFill>
              <a:srgbClr val="4F81BD"/>
            </a:solidFill>
            <a:ln w="12700" cap="flat">
              <a:noFill/>
              <a:miter lim="400000"/>
            </a:ln>
            <a:effectLst/>
          </c:spPr>
          <c:explosion val="25"/>
          <c:dPt>
            <c:idx val="0"/>
            <c:bubble3D val="0"/>
          </c:dPt>
          <c:dPt>
            <c:idx val="1"/>
            <c:bubble3D val="0"/>
            <c:spPr>
              <a:solidFill>
                <a:srgbClr val="C0504D"/>
              </a:solidFill>
              <a:ln w="12700" cap="flat">
                <a:noFill/>
                <a:miter lim="400000"/>
              </a:ln>
              <a:effectLst/>
            </c:spPr>
          </c:dPt>
          <c:dLbls>
            <c:dLbl>
              <c:idx val="0"/>
              <c:numFmt formatCode="0" sourceLinked="0"/>
              <c:spPr/>
              <c:txPr>
                <a:bodyPr/>
                <a:lstStyle/>
                <a:p>
                  <a:pPr lvl="0">
                    <a:defRPr sz="1000" b="0" i="0" u="none" strike="noStrike">
                      <a:solidFill>
                        <a:srgbClr val="000000"/>
                      </a:solidFill>
                      <a:effectLst/>
                      <a:latin typeface="Calibri"/>
                    </a:defRPr>
                  </a:pPr>
                  <a:endParaRPr lang="en-US"/>
                </a:p>
              </c:txPr>
              <c:dLblPos val="inEnd"/>
              <c:showLegendKey val="0"/>
              <c:showVal val="1"/>
              <c:showCatName val="0"/>
              <c:showSerName val="0"/>
              <c:showPercent val="0"/>
              <c:showBubbleSize val="0"/>
            </c:dLbl>
            <c:dLbl>
              <c:idx val="1"/>
              <c:numFmt formatCode="0" sourceLinked="0"/>
              <c:spPr/>
              <c:txPr>
                <a:bodyPr/>
                <a:lstStyle/>
                <a:p>
                  <a:pPr lvl="0">
                    <a:defRPr sz="1000" b="0" i="0" u="none" strike="noStrike">
                      <a:solidFill>
                        <a:srgbClr val="000000"/>
                      </a:solidFill>
                      <a:effectLst/>
                      <a:latin typeface="Calibri"/>
                    </a:defRPr>
                  </a:pPr>
                  <a:endParaRPr lang="en-US"/>
                </a:p>
              </c:txPr>
              <c:dLblPos val="inEnd"/>
              <c:showLegendKey val="0"/>
              <c:showVal val="1"/>
              <c:showCatName val="0"/>
              <c:showSerName val="0"/>
              <c:showPercent val="0"/>
              <c:showBubbleSize val="0"/>
            </c:dLbl>
            <c:numFmt formatCode="0" sourceLinked="0"/>
            <c:spPr>
              <a:noFill/>
              <a:ln>
                <a:noFill/>
              </a:ln>
              <a:effectLst/>
            </c:spPr>
            <c:txPr>
              <a:bodyPr/>
              <a:lstStyle/>
              <a:p>
                <a:pPr lvl="0">
                  <a:defRPr sz="1000" b="0" i="0" u="none" strike="noStrike">
                    <a:solidFill>
                      <a:srgbClr val="000000"/>
                    </a:solidFill>
                    <a:effectLst/>
                    <a:latin typeface="Calibri"/>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extLst>
          </c:dLbls>
          <c:cat>
            <c:strRef>
              <c:f>Sheet1!$B$1:$C$1</c:f>
              <c:strCache>
                <c:ptCount val="2"/>
                <c:pt idx="0">
                  <c:v>Yes</c:v>
                </c:pt>
                <c:pt idx="1">
                  <c:v>No</c:v>
                </c:pt>
              </c:strCache>
            </c:strRef>
          </c:cat>
          <c:val>
            <c:numRef>
              <c:f>Sheet1!$B$2:$C$2</c:f>
              <c:numCache>
                <c:formatCode>General</c:formatCode>
                <c:ptCount val="2"/>
                <c:pt idx="0">
                  <c:v>46</c:v>
                </c:pt>
                <c:pt idx="1">
                  <c:v>54</c:v>
                </c:pt>
              </c:numCache>
            </c:numRef>
          </c:val>
          <c:extLst>
            <c:ext xmlns:c16="http://schemas.microsoft.com/office/drawing/2014/chart" uri="{C3380CC4-5D6E-409C-BE32-E72D297353CC}">
              <c16:uniqueId val="{00000000-8933-5C4B-BDB3-0EEBFEF1F809}"/>
            </c:ext>
          </c:extLst>
        </c:ser>
        <c:dLbls>
          <c:showLegendKey val="0"/>
          <c:showVal val="0"/>
          <c:showCatName val="0"/>
          <c:showSerName val="0"/>
          <c:showPercent val="0"/>
          <c:showBubbleSize val="0"/>
          <c:showLeaderLines val="0"/>
        </c:dLbls>
      </c:pie3DChart>
      <c:spPr>
        <a:solidFill>
          <a:srgbClr val="FFFFFF"/>
        </a:solidFill>
        <a:ln w="12700" cap="flat">
          <a:noFill/>
          <a:miter lim="400000"/>
        </a:ln>
        <a:effectLst/>
      </c:spPr>
    </c:plotArea>
    <c:legend>
      <c:legendPos val="r"/>
      <c:layout>
        <c:manualLayout>
          <c:xMode val="edge"/>
          <c:yMode val="edge"/>
          <c:x val="0.85188799999999998"/>
          <c:y val="0.26255699999999998"/>
          <c:w val="0.14811199999999999"/>
          <c:h val="0.121562"/>
        </c:manualLayout>
      </c:layout>
      <c:overlay val="1"/>
      <c:spPr>
        <a:noFill/>
        <a:ln w="12700" cap="flat">
          <a:noFill/>
          <a:miter lim="400000"/>
        </a:ln>
        <a:effectLst/>
      </c:spPr>
      <c:txPr>
        <a:bodyPr/>
        <a:lstStyle/>
        <a:p>
          <a:pPr lvl="0">
            <a:defRPr sz="1000" b="0" i="0" u="none" strike="noStrike">
              <a:solidFill>
                <a:srgbClr val="000000"/>
              </a:solidFill>
              <a:effectLst/>
              <a:latin typeface="Calibri"/>
            </a:defRPr>
          </a:pPr>
          <a:endParaRPr lang="en-US"/>
        </a:p>
      </c:txPr>
    </c:legend>
    <c:plotVisOnly val="1"/>
    <c:dispBlanksAs val="gap"/>
    <c:showDLblsOverMax val="1"/>
  </c:chart>
  <c:spPr>
    <a:solidFill>
      <a:srgbClr val="FFFFFF"/>
    </a:solidFill>
    <a:ln w="9525" cap="flat">
      <a:solidFill>
        <a:srgbClr val="888888"/>
      </a:solidFill>
      <a:prstDash val="solid"/>
      <a:bevel/>
    </a:ln>
    <a:effectLst/>
  </c:sp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rot="0"/>
          <a:lstStyle/>
          <a:p>
            <a:pPr lvl="0"/>
            <a:endParaRPr lang="en-GB"/>
          </a:p>
        </c:rich>
      </c:tx>
      <c:overlay val="1"/>
    </c:title>
    <c:autoTitleDeleted val="0"/>
    <c:view3D>
      <c:rotX val="50"/>
      <c:hPercent val="50"/>
      <c:rotY val="0"/>
      <c:depthPercent val="100"/>
      <c:rAngAx val="0"/>
    </c:view3D>
    <c:floor>
      <c:thickness val="0"/>
    </c:floor>
    <c:sideWall>
      <c:thickness val="0"/>
    </c:sideWall>
    <c:backWall>
      <c:thickness val="0"/>
    </c:backWall>
    <c:plotArea>
      <c:layout/>
      <c:pie3DChart>
        <c:varyColors val="0"/>
        <c:ser>
          <c:idx val="0"/>
          <c:order val="0"/>
          <c:tx>
            <c:strRef>
              <c:f>Sheet1!$A$2</c:f>
              <c:strCache>
                <c:ptCount val="1"/>
                <c:pt idx="0">
                  <c:v>Sales</c:v>
                </c:pt>
              </c:strCache>
            </c:strRef>
          </c:tx>
          <c:spPr>
            <a:solidFill>
              <a:srgbClr val="4F81BD"/>
            </a:solidFill>
            <a:ln w="12700" cap="flat">
              <a:noFill/>
              <a:miter lim="400000"/>
            </a:ln>
            <a:effectLst/>
          </c:spPr>
          <c:dPt>
            <c:idx val="0"/>
            <c:bubble3D val="0"/>
          </c:dPt>
          <c:dPt>
            <c:idx val="1"/>
            <c:bubble3D val="0"/>
            <c:spPr>
              <a:solidFill>
                <a:srgbClr val="C0504D"/>
              </a:solidFill>
              <a:ln w="12700" cap="flat">
                <a:noFill/>
                <a:miter lim="400000"/>
              </a:ln>
              <a:effectLst/>
            </c:spPr>
          </c:dPt>
          <c:dPt>
            <c:idx val="2"/>
            <c:bubble3D val="0"/>
            <c:spPr>
              <a:solidFill>
                <a:srgbClr val="9BBB59"/>
              </a:solidFill>
              <a:ln w="12700" cap="flat">
                <a:noFill/>
                <a:miter lim="400000"/>
              </a:ln>
              <a:effectLst/>
            </c:spPr>
          </c:dPt>
          <c:dPt>
            <c:idx val="3"/>
            <c:bubble3D val="0"/>
            <c:spPr>
              <a:solidFill>
                <a:srgbClr val="8064A2"/>
              </a:solidFill>
              <a:ln w="12700" cap="flat">
                <a:noFill/>
                <a:miter lim="400000"/>
              </a:ln>
              <a:effectLst/>
            </c:spPr>
          </c:dPt>
          <c:dPt>
            <c:idx val="4"/>
            <c:bubble3D val="0"/>
            <c:spPr>
              <a:solidFill>
                <a:srgbClr val="4BACC6"/>
              </a:solidFill>
              <a:ln w="12700" cap="flat">
                <a:noFill/>
                <a:miter lim="400000"/>
              </a:ln>
              <a:effectLst/>
            </c:spPr>
          </c:dPt>
          <c:dLbls>
            <c:dLbl>
              <c:idx val="0"/>
              <c:numFmt formatCode="0" sourceLinked="0"/>
              <c:spPr/>
              <c:txPr>
                <a:bodyPr/>
                <a:lstStyle/>
                <a:p>
                  <a:pPr lvl="0">
                    <a:defRPr sz="1000" b="0" i="0" u="none" strike="noStrike">
                      <a:solidFill>
                        <a:srgbClr val="000000"/>
                      </a:solidFill>
                      <a:effectLst/>
                      <a:latin typeface="Calibri"/>
                    </a:defRPr>
                  </a:pPr>
                  <a:endParaRPr lang="en-US"/>
                </a:p>
              </c:txPr>
              <c:dLblPos val="inEnd"/>
              <c:showLegendKey val="0"/>
              <c:showVal val="1"/>
              <c:showCatName val="0"/>
              <c:showSerName val="0"/>
              <c:showPercent val="0"/>
              <c:showBubbleSize val="0"/>
            </c:dLbl>
            <c:dLbl>
              <c:idx val="1"/>
              <c:numFmt formatCode="0" sourceLinked="0"/>
              <c:spPr/>
              <c:txPr>
                <a:bodyPr/>
                <a:lstStyle/>
                <a:p>
                  <a:pPr lvl="0">
                    <a:defRPr sz="1000" b="0" i="0" u="none" strike="noStrike">
                      <a:solidFill>
                        <a:srgbClr val="000000"/>
                      </a:solidFill>
                      <a:effectLst/>
                      <a:latin typeface="Calibri"/>
                    </a:defRPr>
                  </a:pPr>
                  <a:endParaRPr lang="en-US"/>
                </a:p>
              </c:txPr>
              <c:dLblPos val="inEnd"/>
              <c:showLegendKey val="0"/>
              <c:showVal val="1"/>
              <c:showCatName val="0"/>
              <c:showSerName val="0"/>
              <c:showPercent val="0"/>
              <c:showBubbleSize val="0"/>
            </c:dLbl>
            <c:dLbl>
              <c:idx val="2"/>
              <c:numFmt formatCode="0" sourceLinked="0"/>
              <c:spPr/>
              <c:txPr>
                <a:bodyPr/>
                <a:lstStyle/>
                <a:p>
                  <a:pPr lvl="0">
                    <a:defRPr sz="1000" b="0" i="0" u="none" strike="noStrike">
                      <a:solidFill>
                        <a:srgbClr val="000000"/>
                      </a:solidFill>
                      <a:effectLst/>
                      <a:latin typeface="Calibri"/>
                    </a:defRPr>
                  </a:pPr>
                  <a:endParaRPr lang="en-US"/>
                </a:p>
              </c:txPr>
              <c:dLblPos val="inEnd"/>
              <c:showLegendKey val="0"/>
              <c:showVal val="1"/>
              <c:showCatName val="0"/>
              <c:showSerName val="0"/>
              <c:showPercent val="0"/>
              <c:showBubbleSize val="0"/>
            </c:dLbl>
            <c:dLbl>
              <c:idx val="3"/>
              <c:numFmt formatCode="0" sourceLinked="0"/>
              <c:spPr/>
              <c:txPr>
                <a:bodyPr/>
                <a:lstStyle/>
                <a:p>
                  <a:pPr lvl="0">
                    <a:defRPr sz="1000" b="0" i="0" u="none" strike="noStrike">
                      <a:solidFill>
                        <a:srgbClr val="000000"/>
                      </a:solidFill>
                      <a:effectLst/>
                      <a:latin typeface="Calibri"/>
                    </a:defRPr>
                  </a:pPr>
                  <a:endParaRPr lang="en-US"/>
                </a:p>
              </c:txPr>
              <c:dLblPos val="inEnd"/>
              <c:showLegendKey val="0"/>
              <c:showVal val="1"/>
              <c:showCatName val="0"/>
              <c:showSerName val="0"/>
              <c:showPercent val="0"/>
              <c:showBubbleSize val="0"/>
            </c:dLbl>
            <c:dLbl>
              <c:idx val="4"/>
              <c:numFmt formatCode="0" sourceLinked="0"/>
              <c:spPr/>
              <c:txPr>
                <a:bodyPr/>
                <a:lstStyle/>
                <a:p>
                  <a:pPr lvl="0">
                    <a:defRPr sz="1000" b="0" i="0" u="none" strike="noStrike">
                      <a:solidFill>
                        <a:srgbClr val="000000"/>
                      </a:solidFill>
                      <a:effectLst/>
                      <a:latin typeface="Calibri"/>
                    </a:defRPr>
                  </a:pPr>
                  <a:endParaRPr lang="en-US"/>
                </a:p>
              </c:txPr>
              <c:dLblPos val="inEnd"/>
              <c:showLegendKey val="0"/>
              <c:showVal val="1"/>
              <c:showCatName val="0"/>
              <c:showSerName val="0"/>
              <c:showPercent val="0"/>
              <c:showBubbleSize val="0"/>
            </c:dLbl>
            <c:numFmt formatCode="0" sourceLinked="0"/>
            <c:spPr>
              <a:noFill/>
              <a:ln>
                <a:noFill/>
              </a:ln>
              <a:effectLst/>
            </c:spPr>
            <c:txPr>
              <a:bodyPr/>
              <a:lstStyle/>
              <a:p>
                <a:pPr lvl="0">
                  <a:defRPr sz="1000" b="0" i="0" u="none" strike="noStrike">
                    <a:solidFill>
                      <a:srgbClr val="000000"/>
                    </a:solidFill>
                    <a:effectLst/>
                    <a:latin typeface="Calibri"/>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extLst>
          </c:dLbls>
          <c:cat>
            <c:strRef>
              <c:f>Sheet1!$B$1:$F$1</c:f>
              <c:strCache>
                <c:ptCount val="5"/>
                <c:pt idx="0">
                  <c:v>A combined calendar  </c:v>
                </c:pt>
                <c:pt idx="1">
                  <c:v>Presence of collaborative tools</c:v>
                </c:pt>
                <c:pt idx="2">
                  <c:v>Easy back-up</c:v>
                </c:pt>
                <c:pt idx="3">
                  <c:v>Easy file management  </c:v>
                </c:pt>
                <c:pt idx="4">
                  <c:v>Customizable layout</c:v>
                </c:pt>
              </c:strCache>
            </c:strRef>
          </c:cat>
          <c:val>
            <c:numRef>
              <c:f>Sheet1!$B$2:$F$2</c:f>
              <c:numCache>
                <c:formatCode>General</c:formatCode>
                <c:ptCount val="5"/>
                <c:pt idx="0">
                  <c:v>16</c:v>
                </c:pt>
                <c:pt idx="1">
                  <c:v>24</c:v>
                </c:pt>
                <c:pt idx="2">
                  <c:v>20</c:v>
                </c:pt>
                <c:pt idx="3">
                  <c:v>30</c:v>
                </c:pt>
                <c:pt idx="4">
                  <c:v>10</c:v>
                </c:pt>
              </c:numCache>
            </c:numRef>
          </c:val>
          <c:extLst>
            <c:ext xmlns:c16="http://schemas.microsoft.com/office/drawing/2014/chart" uri="{C3380CC4-5D6E-409C-BE32-E72D297353CC}">
              <c16:uniqueId val="{00000000-55CF-0345-917A-5863967EA0D5}"/>
            </c:ext>
          </c:extLst>
        </c:ser>
        <c:dLbls>
          <c:showLegendKey val="0"/>
          <c:showVal val="0"/>
          <c:showCatName val="0"/>
          <c:showSerName val="0"/>
          <c:showPercent val="0"/>
          <c:showBubbleSize val="0"/>
          <c:showLeaderLines val="0"/>
        </c:dLbls>
      </c:pie3DChart>
      <c:spPr>
        <a:solidFill>
          <a:srgbClr val="FFFFFF"/>
        </a:solidFill>
        <a:ln w="12700" cap="flat">
          <a:noFill/>
          <a:miter lim="400000"/>
        </a:ln>
        <a:effectLst/>
      </c:spPr>
    </c:plotArea>
    <c:legend>
      <c:legendPos val="r"/>
      <c:layout>
        <c:manualLayout>
          <c:xMode val="edge"/>
          <c:yMode val="edge"/>
          <c:x val="0.64186600000000005"/>
          <c:y val="0.27027800000000002"/>
          <c:w val="0.35813400000000001"/>
          <c:h val="0.30351299999999998"/>
        </c:manualLayout>
      </c:layout>
      <c:overlay val="1"/>
      <c:spPr>
        <a:noFill/>
        <a:ln w="12700" cap="flat">
          <a:noFill/>
          <a:miter lim="400000"/>
        </a:ln>
        <a:effectLst/>
      </c:spPr>
      <c:txPr>
        <a:bodyPr/>
        <a:lstStyle/>
        <a:p>
          <a:pPr lvl="0">
            <a:defRPr sz="1000" b="0" i="0" u="none" strike="noStrike">
              <a:solidFill>
                <a:srgbClr val="000000"/>
              </a:solidFill>
              <a:effectLst/>
              <a:latin typeface="Calibri"/>
            </a:defRPr>
          </a:pPr>
          <a:endParaRPr lang="en-US"/>
        </a:p>
      </c:txPr>
    </c:legend>
    <c:plotVisOnly val="1"/>
    <c:dispBlanksAs val="gap"/>
    <c:showDLblsOverMax val="1"/>
  </c:chart>
  <c:spPr>
    <a:solidFill>
      <a:srgbClr val="FFFFFF"/>
    </a:solidFill>
    <a:ln w="9525" cap="flat">
      <a:solidFill>
        <a:srgbClr val="888888"/>
      </a:solidFill>
      <a:prstDash val="solid"/>
      <a:bevel/>
    </a:ln>
    <a:effectLst/>
  </c:sp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rot="0"/>
          <a:lstStyle/>
          <a:p>
            <a:pPr lvl="0"/>
            <a:endParaRPr lang="en-GB"/>
          </a:p>
        </c:rich>
      </c:tx>
      <c:overlay val="1"/>
    </c:title>
    <c:autoTitleDeleted val="0"/>
    <c:plotArea>
      <c:layout>
        <c:manualLayout>
          <c:layoutTarget val="inner"/>
          <c:xMode val="edge"/>
          <c:yMode val="edge"/>
          <c:x val="5.0000000000000001E-3"/>
          <c:y val="5.0000000000000001E-3"/>
          <c:w val="0.662416"/>
          <c:h val="1"/>
        </c:manualLayout>
      </c:layout>
      <c:pieChart>
        <c:varyColors val="0"/>
        <c:ser>
          <c:idx val="0"/>
          <c:order val="0"/>
          <c:tx>
            <c:strRef>
              <c:f>Sheet1!$A$2</c:f>
              <c:strCache>
                <c:ptCount val="1"/>
                <c:pt idx="0">
                  <c:v>Sales</c:v>
                </c:pt>
              </c:strCache>
            </c:strRef>
          </c:tx>
          <c:spPr>
            <a:solidFill>
              <a:srgbClr val="4F81BD"/>
            </a:solidFill>
            <a:ln w="12700" cap="flat">
              <a:noFill/>
              <a:miter lim="400000"/>
            </a:ln>
            <a:effectLst/>
          </c:spPr>
          <c:explosion val="25"/>
          <c:dPt>
            <c:idx val="0"/>
            <c:bubble3D val="0"/>
          </c:dPt>
          <c:dPt>
            <c:idx val="1"/>
            <c:bubble3D val="0"/>
            <c:spPr>
              <a:solidFill>
                <a:srgbClr val="C0504D"/>
              </a:solidFill>
              <a:ln w="12700" cap="flat">
                <a:noFill/>
                <a:miter lim="400000"/>
              </a:ln>
              <a:effectLst/>
            </c:spPr>
          </c:dPt>
          <c:dLbls>
            <c:dLbl>
              <c:idx val="0"/>
              <c:numFmt formatCode="0" sourceLinked="0"/>
              <c:spPr/>
              <c:txPr>
                <a:bodyPr/>
                <a:lstStyle/>
                <a:p>
                  <a:pPr lvl="0">
                    <a:defRPr sz="1000" b="0" i="0" u="none" strike="noStrike">
                      <a:solidFill>
                        <a:srgbClr val="000000"/>
                      </a:solidFill>
                      <a:effectLst/>
                      <a:latin typeface="Calibri"/>
                    </a:defRPr>
                  </a:pPr>
                  <a:endParaRPr lang="en-US"/>
                </a:p>
              </c:txPr>
              <c:dLblPos val="inEnd"/>
              <c:showLegendKey val="0"/>
              <c:showVal val="1"/>
              <c:showCatName val="0"/>
              <c:showSerName val="0"/>
              <c:showPercent val="0"/>
              <c:showBubbleSize val="0"/>
            </c:dLbl>
            <c:dLbl>
              <c:idx val="1"/>
              <c:numFmt formatCode="0" sourceLinked="0"/>
              <c:spPr/>
              <c:txPr>
                <a:bodyPr/>
                <a:lstStyle/>
                <a:p>
                  <a:pPr lvl="0">
                    <a:defRPr sz="1000" b="0" i="0" u="none" strike="noStrike">
                      <a:solidFill>
                        <a:srgbClr val="000000"/>
                      </a:solidFill>
                      <a:effectLst/>
                      <a:latin typeface="Calibri"/>
                    </a:defRPr>
                  </a:pPr>
                  <a:endParaRPr lang="en-US"/>
                </a:p>
              </c:txPr>
              <c:dLblPos val="inEnd"/>
              <c:showLegendKey val="0"/>
              <c:showVal val="1"/>
              <c:showCatName val="0"/>
              <c:showSerName val="0"/>
              <c:showPercent val="0"/>
              <c:showBubbleSize val="0"/>
            </c:dLbl>
            <c:numFmt formatCode="0" sourceLinked="0"/>
            <c:spPr>
              <a:noFill/>
              <a:ln>
                <a:noFill/>
              </a:ln>
              <a:effectLst/>
            </c:spPr>
            <c:txPr>
              <a:bodyPr/>
              <a:lstStyle/>
              <a:p>
                <a:pPr lvl="0">
                  <a:defRPr sz="1000" b="0" i="0" u="none" strike="noStrike">
                    <a:solidFill>
                      <a:srgbClr val="000000"/>
                    </a:solidFill>
                    <a:effectLst/>
                    <a:latin typeface="Calibri"/>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extLst>
          </c:dLbls>
          <c:cat>
            <c:strRef>
              <c:f>Sheet1!$B$1:$C$1</c:f>
              <c:strCache>
                <c:ptCount val="2"/>
                <c:pt idx="0">
                  <c:v>Yes</c:v>
                </c:pt>
                <c:pt idx="1">
                  <c:v>No</c:v>
                </c:pt>
              </c:strCache>
            </c:strRef>
          </c:cat>
          <c:val>
            <c:numRef>
              <c:f>Sheet1!$B$2:$C$2</c:f>
              <c:numCache>
                <c:formatCode>General</c:formatCode>
                <c:ptCount val="2"/>
                <c:pt idx="0">
                  <c:v>40</c:v>
                </c:pt>
                <c:pt idx="1">
                  <c:v>60</c:v>
                </c:pt>
              </c:numCache>
            </c:numRef>
          </c:val>
          <c:extLst>
            <c:ext xmlns:c16="http://schemas.microsoft.com/office/drawing/2014/chart" uri="{C3380CC4-5D6E-409C-BE32-E72D297353CC}">
              <c16:uniqueId val="{00000000-A039-E244-88C7-572FFC3774C2}"/>
            </c:ext>
          </c:extLst>
        </c:ser>
        <c:dLbls>
          <c:showLegendKey val="0"/>
          <c:showVal val="0"/>
          <c:showCatName val="0"/>
          <c:showSerName val="0"/>
          <c:showPercent val="0"/>
          <c:showBubbleSize val="0"/>
          <c:showLeaderLines val="0"/>
        </c:dLbls>
        <c:firstSliceAng val="0"/>
      </c:pieChart>
      <c:spPr>
        <a:solidFill>
          <a:srgbClr val="FFFFFF"/>
        </a:solidFill>
        <a:ln w="12700" cap="flat">
          <a:noFill/>
          <a:miter lim="400000"/>
        </a:ln>
        <a:effectLst/>
      </c:spPr>
    </c:plotArea>
    <c:legend>
      <c:legendPos val="r"/>
      <c:layout>
        <c:manualLayout>
          <c:xMode val="edge"/>
          <c:yMode val="edge"/>
          <c:x val="0.83563500000000002"/>
          <c:y val="0.366392"/>
          <c:w val="0.16436500000000001"/>
          <c:h val="0.10970199999999999"/>
        </c:manualLayout>
      </c:layout>
      <c:overlay val="1"/>
      <c:spPr>
        <a:noFill/>
        <a:ln w="12700" cap="flat">
          <a:noFill/>
          <a:miter lim="400000"/>
        </a:ln>
        <a:effectLst/>
      </c:spPr>
      <c:txPr>
        <a:bodyPr/>
        <a:lstStyle/>
        <a:p>
          <a:pPr lvl="0">
            <a:defRPr sz="1000" b="0" i="0" u="none" strike="noStrike">
              <a:solidFill>
                <a:srgbClr val="000000"/>
              </a:solidFill>
              <a:effectLst/>
              <a:latin typeface="Calibri"/>
            </a:defRPr>
          </a:pPr>
          <a:endParaRPr lang="en-US"/>
        </a:p>
      </c:txPr>
    </c:legend>
    <c:plotVisOnly val="1"/>
    <c:dispBlanksAs val="gap"/>
    <c:showDLblsOverMax val="1"/>
  </c:chart>
  <c:spPr>
    <a:solidFill>
      <a:srgbClr val="FFFFFF"/>
    </a:solidFill>
    <a:ln w="9525" cap="flat">
      <a:solidFill>
        <a:srgbClr val="888888"/>
      </a:solidFill>
      <a:prstDash val="solid"/>
      <a:bevel/>
    </a:ln>
    <a:effectLst/>
  </c:sp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rot="0"/>
          <a:lstStyle/>
          <a:p>
            <a:pPr lvl="0"/>
            <a:endParaRPr lang="en-GB"/>
          </a:p>
        </c:rich>
      </c:tx>
      <c:overlay val="1"/>
    </c:title>
    <c:autoTitleDeleted val="0"/>
    <c:plotArea>
      <c:layout>
        <c:manualLayout>
          <c:layoutTarget val="inner"/>
          <c:xMode val="edge"/>
          <c:yMode val="edge"/>
          <c:x val="5.0000000000000001E-3"/>
          <c:y val="5.0000000000000001E-3"/>
          <c:w val="0.662416"/>
          <c:h val="1"/>
        </c:manualLayout>
      </c:layout>
      <c:pieChart>
        <c:varyColors val="0"/>
        <c:ser>
          <c:idx val="0"/>
          <c:order val="0"/>
          <c:tx>
            <c:strRef>
              <c:f>Sheet1!$A$2</c:f>
              <c:strCache>
                <c:ptCount val="1"/>
                <c:pt idx="0">
                  <c:v>Sales</c:v>
                </c:pt>
              </c:strCache>
            </c:strRef>
          </c:tx>
          <c:spPr>
            <a:solidFill>
              <a:srgbClr val="4F81BD"/>
            </a:solidFill>
            <a:ln w="12700" cap="flat">
              <a:noFill/>
              <a:miter lim="400000"/>
            </a:ln>
            <a:effectLst/>
          </c:spPr>
          <c:explosion val="25"/>
          <c:dPt>
            <c:idx val="0"/>
            <c:bubble3D val="0"/>
          </c:dPt>
          <c:dPt>
            <c:idx val="1"/>
            <c:bubble3D val="0"/>
            <c:spPr>
              <a:solidFill>
                <a:srgbClr val="C0504D"/>
              </a:solidFill>
              <a:ln w="12700" cap="flat">
                <a:noFill/>
                <a:miter lim="400000"/>
              </a:ln>
              <a:effectLst/>
            </c:spPr>
          </c:dPt>
          <c:dLbls>
            <c:dLbl>
              <c:idx val="0"/>
              <c:numFmt formatCode="0" sourceLinked="0"/>
              <c:spPr/>
              <c:txPr>
                <a:bodyPr/>
                <a:lstStyle/>
                <a:p>
                  <a:pPr lvl="0">
                    <a:defRPr sz="1000" b="0" i="0" u="none" strike="noStrike">
                      <a:solidFill>
                        <a:srgbClr val="000000"/>
                      </a:solidFill>
                      <a:effectLst/>
                      <a:latin typeface="Calibri"/>
                    </a:defRPr>
                  </a:pPr>
                  <a:endParaRPr lang="en-US"/>
                </a:p>
              </c:txPr>
              <c:dLblPos val="inEnd"/>
              <c:showLegendKey val="0"/>
              <c:showVal val="1"/>
              <c:showCatName val="0"/>
              <c:showSerName val="0"/>
              <c:showPercent val="0"/>
              <c:showBubbleSize val="0"/>
            </c:dLbl>
            <c:dLbl>
              <c:idx val="1"/>
              <c:numFmt formatCode="0" sourceLinked="0"/>
              <c:spPr/>
              <c:txPr>
                <a:bodyPr/>
                <a:lstStyle/>
                <a:p>
                  <a:pPr lvl="0">
                    <a:defRPr sz="1000" b="0" i="0" u="none" strike="noStrike">
                      <a:solidFill>
                        <a:srgbClr val="000000"/>
                      </a:solidFill>
                      <a:effectLst/>
                      <a:latin typeface="Calibri"/>
                    </a:defRPr>
                  </a:pPr>
                  <a:endParaRPr lang="en-US"/>
                </a:p>
              </c:txPr>
              <c:dLblPos val="inEnd"/>
              <c:showLegendKey val="0"/>
              <c:showVal val="1"/>
              <c:showCatName val="0"/>
              <c:showSerName val="0"/>
              <c:showPercent val="0"/>
              <c:showBubbleSize val="0"/>
            </c:dLbl>
            <c:numFmt formatCode="0" sourceLinked="0"/>
            <c:spPr>
              <a:noFill/>
              <a:ln>
                <a:noFill/>
              </a:ln>
              <a:effectLst/>
            </c:spPr>
            <c:txPr>
              <a:bodyPr/>
              <a:lstStyle/>
              <a:p>
                <a:pPr lvl="0">
                  <a:defRPr sz="1000" b="0" i="0" u="none" strike="noStrike">
                    <a:solidFill>
                      <a:srgbClr val="000000"/>
                    </a:solidFill>
                    <a:effectLst/>
                    <a:latin typeface="Calibri"/>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extLst>
          </c:dLbls>
          <c:cat>
            <c:strRef>
              <c:f>Sheet1!$B$1:$C$1</c:f>
              <c:strCache>
                <c:ptCount val="2"/>
                <c:pt idx="0">
                  <c:v>Yes</c:v>
                </c:pt>
                <c:pt idx="1">
                  <c:v>No</c:v>
                </c:pt>
              </c:strCache>
            </c:strRef>
          </c:cat>
          <c:val>
            <c:numRef>
              <c:f>Sheet1!$B$2:$C$2</c:f>
              <c:numCache>
                <c:formatCode>General</c:formatCode>
                <c:ptCount val="2"/>
                <c:pt idx="0">
                  <c:v>36</c:v>
                </c:pt>
                <c:pt idx="1">
                  <c:v>64</c:v>
                </c:pt>
              </c:numCache>
            </c:numRef>
          </c:val>
          <c:extLst>
            <c:ext xmlns:c16="http://schemas.microsoft.com/office/drawing/2014/chart" uri="{C3380CC4-5D6E-409C-BE32-E72D297353CC}">
              <c16:uniqueId val="{00000000-8080-0A4C-B0D6-0FD4C1C06E49}"/>
            </c:ext>
          </c:extLst>
        </c:ser>
        <c:dLbls>
          <c:showLegendKey val="0"/>
          <c:showVal val="0"/>
          <c:showCatName val="0"/>
          <c:showSerName val="0"/>
          <c:showPercent val="0"/>
          <c:showBubbleSize val="0"/>
          <c:showLeaderLines val="0"/>
        </c:dLbls>
        <c:firstSliceAng val="0"/>
      </c:pieChart>
      <c:spPr>
        <a:solidFill>
          <a:srgbClr val="FFFFFF"/>
        </a:solidFill>
        <a:ln w="12700" cap="flat">
          <a:noFill/>
          <a:miter lim="400000"/>
        </a:ln>
        <a:effectLst/>
      </c:spPr>
    </c:plotArea>
    <c:legend>
      <c:legendPos val="r"/>
      <c:layout>
        <c:manualLayout>
          <c:xMode val="edge"/>
          <c:yMode val="edge"/>
          <c:x val="0.83563500000000002"/>
          <c:y val="0.366392"/>
          <c:w val="0.16436500000000001"/>
          <c:h val="0.10970199999999999"/>
        </c:manualLayout>
      </c:layout>
      <c:overlay val="1"/>
      <c:spPr>
        <a:noFill/>
        <a:ln w="12700" cap="flat">
          <a:noFill/>
          <a:miter lim="400000"/>
        </a:ln>
        <a:effectLst/>
      </c:spPr>
      <c:txPr>
        <a:bodyPr/>
        <a:lstStyle/>
        <a:p>
          <a:pPr lvl="0">
            <a:defRPr sz="1000" b="0" i="0" u="none" strike="noStrike">
              <a:solidFill>
                <a:srgbClr val="000000"/>
              </a:solidFill>
              <a:effectLst/>
              <a:latin typeface="Calibri"/>
            </a:defRPr>
          </a:pPr>
          <a:endParaRPr lang="en-US"/>
        </a:p>
      </c:txPr>
    </c:legend>
    <c:plotVisOnly val="1"/>
    <c:dispBlanksAs val="gap"/>
    <c:showDLblsOverMax val="1"/>
  </c:chart>
  <c:spPr>
    <a:solidFill>
      <a:srgbClr val="FFFFFF"/>
    </a:solidFill>
    <a:ln w="9525" cap="flat">
      <a:solidFill>
        <a:srgbClr val="888888"/>
      </a:solidFill>
      <a:prstDash val="solid"/>
      <a:bevel/>
    </a:ln>
    <a:effectLst/>
  </c:sp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rot="0"/>
          <a:lstStyle/>
          <a:p>
            <a:pPr lvl="0"/>
            <a:endParaRPr lang="en-GB"/>
          </a:p>
        </c:rich>
      </c:tx>
      <c:overlay val="1"/>
    </c:title>
    <c:autoTitleDeleted val="0"/>
    <c:view3D>
      <c:rotX val="50"/>
      <c:hPercent val="50"/>
      <c:rotY val="0"/>
      <c:depthPercent val="100"/>
      <c:rAngAx val="0"/>
    </c:view3D>
    <c:floor>
      <c:thickness val="0"/>
    </c:floor>
    <c:sideWall>
      <c:thickness val="0"/>
    </c:sideWall>
    <c:backWall>
      <c:thickness val="0"/>
    </c:backWall>
    <c:plotArea>
      <c:layout/>
      <c:pie3DChart>
        <c:varyColors val="0"/>
        <c:ser>
          <c:idx val="0"/>
          <c:order val="0"/>
          <c:tx>
            <c:strRef>
              <c:f>Sheet1!$A$2</c:f>
              <c:strCache>
                <c:ptCount val="1"/>
                <c:pt idx="0">
                  <c:v>Sales</c:v>
                </c:pt>
              </c:strCache>
            </c:strRef>
          </c:tx>
          <c:spPr>
            <a:solidFill>
              <a:srgbClr val="4F81BD"/>
            </a:solidFill>
            <a:ln w="12700" cap="flat">
              <a:noFill/>
              <a:miter lim="400000"/>
            </a:ln>
            <a:effectLst/>
          </c:spPr>
          <c:dPt>
            <c:idx val="0"/>
            <c:bubble3D val="0"/>
          </c:dPt>
          <c:dPt>
            <c:idx val="1"/>
            <c:bubble3D val="0"/>
            <c:spPr>
              <a:solidFill>
                <a:srgbClr val="C0504D"/>
              </a:solidFill>
              <a:ln w="12700" cap="flat">
                <a:noFill/>
                <a:miter lim="400000"/>
              </a:ln>
              <a:effectLst/>
            </c:spPr>
          </c:dPt>
          <c:dPt>
            <c:idx val="2"/>
            <c:bubble3D val="0"/>
            <c:spPr>
              <a:solidFill>
                <a:srgbClr val="9BBB59"/>
              </a:solidFill>
              <a:ln w="12700" cap="flat">
                <a:noFill/>
                <a:miter lim="400000"/>
              </a:ln>
              <a:effectLst/>
            </c:spPr>
          </c:dPt>
          <c:dPt>
            <c:idx val="3"/>
            <c:bubble3D val="0"/>
            <c:spPr>
              <a:solidFill>
                <a:srgbClr val="8064A2"/>
              </a:solidFill>
              <a:ln w="12700" cap="flat">
                <a:noFill/>
                <a:miter lim="400000"/>
              </a:ln>
              <a:effectLst/>
            </c:spPr>
          </c:dPt>
          <c:dPt>
            <c:idx val="4"/>
            <c:bubble3D val="0"/>
            <c:spPr>
              <a:solidFill>
                <a:srgbClr val="4BACC6"/>
              </a:solidFill>
              <a:ln w="12700" cap="flat">
                <a:noFill/>
                <a:miter lim="400000"/>
              </a:ln>
              <a:effectLst/>
            </c:spPr>
          </c:dPt>
          <c:dLbls>
            <c:dLbl>
              <c:idx val="0"/>
              <c:numFmt formatCode="0" sourceLinked="0"/>
              <c:spPr/>
              <c:txPr>
                <a:bodyPr/>
                <a:lstStyle/>
                <a:p>
                  <a:pPr lvl="0">
                    <a:defRPr sz="1000" b="0" i="0" u="none" strike="noStrike">
                      <a:solidFill>
                        <a:srgbClr val="000000"/>
                      </a:solidFill>
                      <a:effectLst/>
                      <a:latin typeface="Calibri"/>
                    </a:defRPr>
                  </a:pPr>
                  <a:endParaRPr lang="en-US"/>
                </a:p>
              </c:txPr>
              <c:dLblPos val="inEnd"/>
              <c:showLegendKey val="0"/>
              <c:showVal val="1"/>
              <c:showCatName val="0"/>
              <c:showSerName val="0"/>
              <c:showPercent val="0"/>
              <c:showBubbleSize val="0"/>
            </c:dLbl>
            <c:dLbl>
              <c:idx val="1"/>
              <c:numFmt formatCode="0" sourceLinked="0"/>
              <c:spPr/>
              <c:txPr>
                <a:bodyPr/>
                <a:lstStyle/>
                <a:p>
                  <a:pPr lvl="0">
                    <a:defRPr sz="1000" b="0" i="0" u="none" strike="noStrike">
                      <a:solidFill>
                        <a:srgbClr val="000000"/>
                      </a:solidFill>
                      <a:effectLst/>
                      <a:latin typeface="Calibri"/>
                    </a:defRPr>
                  </a:pPr>
                  <a:endParaRPr lang="en-US"/>
                </a:p>
              </c:txPr>
              <c:dLblPos val="inEnd"/>
              <c:showLegendKey val="0"/>
              <c:showVal val="1"/>
              <c:showCatName val="0"/>
              <c:showSerName val="0"/>
              <c:showPercent val="0"/>
              <c:showBubbleSize val="0"/>
            </c:dLbl>
            <c:dLbl>
              <c:idx val="2"/>
              <c:numFmt formatCode="0" sourceLinked="0"/>
              <c:spPr/>
              <c:txPr>
                <a:bodyPr/>
                <a:lstStyle/>
                <a:p>
                  <a:pPr lvl="0">
                    <a:defRPr sz="1000" b="0" i="0" u="none" strike="noStrike">
                      <a:solidFill>
                        <a:srgbClr val="000000"/>
                      </a:solidFill>
                      <a:effectLst/>
                      <a:latin typeface="Calibri"/>
                    </a:defRPr>
                  </a:pPr>
                  <a:endParaRPr lang="en-US"/>
                </a:p>
              </c:txPr>
              <c:dLblPos val="inEnd"/>
              <c:showLegendKey val="0"/>
              <c:showVal val="1"/>
              <c:showCatName val="0"/>
              <c:showSerName val="0"/>
              <c:showPercent val="0"/>
              <c:showBubbleSize val="0"/>
            </c:dLbl>
            <c:dLbl>
              <c:idx val="3"/>
              <c:numFmt formatCode="0" sourceLinked="0"/>
              <c:spPr/>
              <c:txPr>
                <a:bodyPr/>
                <a:lstStyle/>
                <a:p>
                  <a:pPr lvl="0">
                    <a:defRPr sz="1000" b="0" i="0" u="none" strike="noStrike">
                      <a:solidFill>
                        <a:srgbClr val="000000"/>
                      </a:solidFill>
                      <a:effectLst/>
                      <a:latin typeface="Calibri"/>
                    </a:defRPr>
                  </a:pPr>
                  <a:endParaRPr lang="en-US"/>
                </a:p>
              </c:txPr>
              <c:dLblPos val="inEnd"/>
              <c:showLegendKey val="0"/>
              <c:showVal val="1"/>
              <c:showCatName val="0"/>
              <c:showSerName val="0"/>
              <c:showPercent val="0"/>
              <c:showBubbleSize val="0"/>
            </c:dLbl>
            <c:dLbl>
              <c:idx val="4"/>
              <c:numFmt formatCode="0" sourceLinked="0"/>
              <c:spPr/>
              <c:txPr>
                <a:bodyPr/>
                <a:lstStyle/>
                <a:p>
                  <a:pPr lvl="0">
                    <a:defRPr sz="1000" b="0" i="0" u="none" strike="noStrike">
                      <a:solidFill>
                        <a:srgbClr val="000000"/>
                      </a:solidFill>
                      <a:effectLst/>
                      <a:latin typeface="Calibri"/>
                    </a:defRPr>
                  </a:pPr>
                  <a:endParaRPr lang="en-US"/>
                </a:p>
              </c:txPr>
              <c:dLblPos val="inEnd"/>
              <c:showLegendKey val="0"/>
              <c:showVal val="1"/>
              <c:showCatName val="0"/>
              <c:showSerName val="0"/>
              <c:showPercent val="0"/>
              <c:showBubbleSize val="0"/>
            </c:dLbl>
            <c:numFmt formatCode="0" sourceLinked="0"/>
            <c:spPr>
              <a:noFill/>
              <a:ln>
                <a:noFill/>
              </a:ln>
              <a:effectLst/>
            </c:spPr>
            <c:txPr>
              <a:bodyPr/>
              <a:lstStyle/>
              <a:p>
                <a:pPr lvl="0">
                  <a:defRPr sz="1000" b="0" i="0" u="none" strike="noStrike">
                    <a:solidFill>
                      <a:srgbClr val="000000"/>
                    </a:solidFill>
                    <a:effectLst/>
                    <a:latin typeface="Calibri"/>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extLst>
          </c:dLbls>
          <c:cat>
            <c:strRef>
              <c:f>Sheet1!$B$1:$F$1</c:f>
              <c:strCache>
                <c:ptCount val="5"/>
                <c:pt idx="0">
                  <c:v>Strongly agree</c:v>
                </c:pt>
                <c:pt idx="1">
                  <c:v>Agree</c:v>
                </c:pt>
                <c:pt idx="2">
                  <c:v>Neutral</c:v>
                </c:pt>
                <c:pt idx="3">
                  <c:v>Disagree</c:v>
                </c:pt>
                <c:pt idx="4">
                  <c:v>Strongly disagree</c:v>
                </c:pt>
              </c:strCache>
            </c:strRef>
          </c:cat>
          <c:val>
            <c:numRef>
              <c:f>Sheet1!$B$2:$F$2</c:f>
              <c:numCache>
                <c:formatCode>General</c:formatCode>
                <c:ptCount val="5"/>
                <c:pt idx="0">
                  <c:v>10</c:v>
                </c:pt>
                <c:pt idx="1">
                  <c:v>60</c:v>
                </c:pt>
                <c:pt idx="2">
                  <c:v>6</c:v>
                </c:pt>
                <c:pt idx="3">
                  <c:v>20</c:v>
                </c:pt>
                <c:pt idx="4">
                  <c:v>4</c:v>
                </c:pt>
              </c:numCache>
            </c:numRef>
          </c:val>
          <c:extLst>
            <c:ext xmlns:c16="http://schemas.microsoft.com/office/drawing/2014/chart" uri="{C3380CC4-5D6E-409C-BE32-E72D297353CC}">
              <c16:uniqueId val="{00000000-7B0A-7B4E-A145-F99B03F1F916}"/>
            </c:ext>
          </c:extLst>
        </c:ser>
        <c:dLbls>
          <c:showLegendKey val="0"/>
          <c:showVal val="0"/>
          <c:showCatName val="0"/>
          <c:showSerName val="0"/>
          <c:showPercent val="0"/>
          <c:showBubbleSize val="0"/>
          <c:showLeaderLines val="0"/>
        </c:dLbls>
      </c:pie3DChart>
      <c:spPr>
        <a:solidFill>
          <a:srgbClr val="FFFFFF"/>
        </a:solidFill>
        <a:ln w="12700" cap="flat">
          <a:noFill/>
          <a:miter lim="400000"/>
        </a:ln>
        <a:effectLst/>
      </c:spPr>
    </c:plotArea>
    <c:legend>
      <c:legendPos val="r"/>
      <c:layout>
        <c:manualLayout>
          <c:xMode val="edge"/>
          <c:yMode val="edge"/>
          <c:x val="0.74050800000000006"/>
          <c:y val="0.27027800000000002"/>
          <c:w val="0.259492"/>
          <c:h val="0.30351299999999998"/>
        </c:manualLayout>
      </c:layout>
      <c:overlay val="1"/>
      <c:spPr>
        <a:noFill/>
        <a:ln w="12700" cap="flat">
          <a:noFill/>
          <a:miter lim="400000"/>
        </a:ln>
        <a:effectLst/>
      </c:spPr>
      <c:txPr>
        <a:bodyPr/>
        <a:lstStyle/>
        <a:p>
          <a:pPr lvl="0">
            <a:defRPr sz="1000" b="0" i="0" u="none" strike="noStrike">
              <a:solidFill>
                <a:srgbClr val="000000"/>
              </a:solidFill>
              <a:effectLst/>
              <a:latin typeface="Calibri"/>
            </a:defRPr>
          </a:pPr>
          <a:endParaRPr lang="en-US"/>
        </a:p>
      </c:txPr>
    </c:legend>
    <c:plotVisOnly val="1"/>
    <c:dispBlanksAs val="gap"/>
    <c:showDLblsOverMax val="1"/>
  </c:chart>
  <c:spPr>
    <a:solidFill>
      <a:srgbClr val="FFFFFF"/>
    </a:solidFill>
    <a:ln w="9525" cap="flat">
      <a:solidFill>
        <a:srgbClr val="888888"/>
      </a:solidFill>
      <a:prstDash val="solid"/>
      <a:bevel/>
    </a:ln>
    <a:effectLst/>
  </c:sp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rot="0"/>
          <a:lstStyle/>
          <a:p>
            <a:pPr lvl="0"/>
            <a:endParaRPr/>
          </a:p>
        </c:rich>
      </c:tx>
      <c:overlay val="1"/>
    </c:title>
    <c:autoTitleDeleted val="0"/>
    <c:plotArea>
      <c:layout>
        <c:manualLayout>
          <c:layoutTarget val="inner"/>
          <c:xMode val="edge"/>
          <c:yMode val="edge"/>
          <c:x val="5.0000000000000001E-3"/>
          <c:y val="5.0000000000000001E-3"/>
          <c:w val="0.662416"/>
          <c:h val="1"/>
        </c:manualLayout>
      </c:layout>
      <c:pieChart>
        <c:varyColors val="0"/>
        <c:ser>
          <c:idx val="0"/>
          <c:order val="0"/>
          <c:tx>
            <c:strRef>
              <c:f>Sheet1!$A$2</c:f>
              <c:strCache>
                <c:ptCount val="1"/>
                <c:pt idx="0">
                  <c:v>Sales</c:v>
                </c:pt>
              </c:strCache>
            </c:strRef>
          </c:tx>
          <c:spPr>
            <a:solidFill>
              <a:srgbClr val="4F81BD"/>
            </a:solidFill>
            <a:ln w="12700" cap="flat">
              <a:noFill/>
              <a:miter lim="400000"/>
            </a:ln>
            <a:effectLst/>
          </c:spPr>
          <c:explosion val="25"/>
          <c:dPt>
            <c:idx val="0"/>
            <c:bubble3D val="0"/>
          </c:dPt>
          <c:dPt>
            <c:idx val="1"/>
            <c:bubble3D val="0"/>
            <c:spPr>
              <a:solidFill>
                <a:srgbClr val="C0504D"/>
              </a:solidFill>
              <a:ln w="12700" cap="flat">
                <a:noFill/>
                <a:miter lim="400000"/>
              </a:ln>
              <a:effectLst/>
            </c:spPr>
          </c:dPt>
          <c:dLbls>
            <c:dLbl>
              <c:idx val="0"/>
              <c:numFmt formatCode="0" sourceLinked="0"/>
              <c:spPr/>
              <c:txPr>
                <a:bodyPr/>
                <a:lstStyle/>
                <a:p>
                  <a:pPr lvl="0">
                    <a:defRPr sz="1000" b="0" i="0" u="none" strike="noStrike">
                      <a:solidFill>
                        <a:srgbClr val="000000"/>
                      </a:solidFill>
                      <a:effectLst/>
                      <a:latin typeface="Calibri"/>
                    </a:defRPr>
                  </a:pPr>
                  <a:endParaRPr lang="en-US"/>
                </a:p>
              </c:txPr>
              <c:dLblPos val="inEnd"/>
              <c:showLegendKey val="0"/>
              <c:showVal val="1"/>
              <c:showCatName val="0"/>
              <c:showSerName val="0"/>
              <c:showPercent val="0"/>
              <c:showBubbleSize val="0"/>
            </c:dLbl>
            <c:dLbl>
              <c:idx val="1"/>
              <c:numFmt formatCode="0" sourceLinked="0"/>
              <c:spPr/>
              <c:txPr>
                <a:bodyPr/>
                <a:lstStyle/>
                <a:p>
                  <a:pPr lvl="0">
                    <a:defRPr sz="1000" b="0" i="0" u="none" strike="noStrike">
                      <a:solidFill>
                        <a:srgbClr val="000000"/>
                      </a:solidFill>
                      <a:effectLst/>
                      <a:latin typeface="Calibri"/>
                    </a:defRPr>
                  </a:pPr>
                  <a:endParaRPr lang="en-US"/>
                </a:p>
              </c:txPr>
              <c:dLblPos val="inEnd"/>
              <c:showLegendKey val="0"/>
              <c:showVal val="1"/>
              <c:showCatName val="0"/>
              <c:showSerName val="0"/>
              <c:showPercent val="0"/>
              <c:showBubbleSize val="0"/>
            </c:dLbl>
            <c:numFmt formatCode="0" sourceLinked="0"/>
            <c:spPr>
              <a:noFill/>
              <a:ln>
                <a:noFill/>
              </a:ln>
              <a:effectLst/>
            </c:spPr>
            <c:txPr>
              <a:bodyPr/>
              <a:lstStyle/>
              <a:p>
                <a:pPr lvl="0">
                  <a:defRPr sz="1000" b="0" i="0" u="none" strike="noStrike">
                    <a:solidFill>
                      <a:srgbClr val="000000"/>
                    </a:solidFill>
                    <a:effectLst/>
                    <a:latin typeface="Calibri"/>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extLst>
          </c:dLbls>
          <c:cat>
            <c:strRef>
              <c:f>Sheet1!$B$1:$C$1</c:f>
              <c:strCache>
                <c:ptCount val="2"/>
                <c:pt idx="0">
                  <c:v>Yes</c:v>
                </c:pt>
                <c:pt idx="1">
                  <c:v>No</c:v>
                </c:pt>
              </c:strCache>
            </c:strRef>
          </c:cat>
          <c:val>
            <c:numRef>
              <c:f>Sheet1!$B$2:$C$2</c:f>
              <c:numCache>
                <c:formatCode>General</c:formatCode>
                <c:ptCount val="2"/>
                <c:pt idx="0">
                  <c:v>80</c:v>
                </c:pt>
                <c:pt idx="1">
                  <c:v>20</c:v>
                </c:pt>
              </c:numCache>
            </c:numRef>
          </c:val>
          <c:extLst>
            <c:ext xmlns:c16="http://schemas.microsoft.com/office/drawing/2014/chart" uri="{C3380CC4-5D6E-409C-BE32-E72D297353CC}">
              <c16:uniqueId val="{00000000-2DF7-0640-85B2-074ADDBEB37A}"/>
            </c:ext>
          </c:extLst>
        </c:ser>
        <c:dLbls>
          <c:showLegendKey val="0"/>
          <c:showVal val="0"/>
          <c:showCatName val="0"/>
          <c:showSerName val="0"/>
          <c:showPercent val="0"/>
          <c:showBubbleSize val="0"/>
          <c:showLeaderLines val="0"/>
        </c:dLbls>
        <c:firstSliceAng val="0"/>
      </c:pieChart>
      <c:spPr>
        <a:solidFill>
          <a:srgbClr val="FFFFFF"/>
        </a:solidFill>
        <a:ln w="12700" cap="flat">
          <a:noFill/>
          <a:miter lim="400000"/>
        </a:ln>
        <a:effectLst/>
      </c:spPr>
    </c:plotArea>
    <c:legend>
      <c:legendPos val="r"/>
      <c:layout>
        <c:manualLayout>
          <c:xMode val="edge"/>
          <c:yMode val="edge"/>
          <c:x val="0.83563500000000002"/>
          <c:y val="0.366392"/>
          <c:w val="0.16436500000000001"/>
          <c:h val="0.10970199999999999"/>
        </c:manualLayout>
      </c:layout>
      <c:overlay val="1"/>
      <c:spPr>
        <a:noFill/>
        <a:ln w="12700" cap="flat">
          <a:noFill/>
          <a:miter lim="400000"/>
        </a:ln>
        <a:effectLst/>
      </c:spPr>
      <c:txPr>
        <a:bodyPr/>
        <a:lstStyle/>
        <a:p>
          <a:pPr lvl="0">
            <a:defRPr sz="1000" b="0" i="0" u="none" strike="noStrike">
              <a:solidFill>
                <a:srgbClr val="000000"/>
              </a:solidFill>
              <a:effectLst/>
              <a:latin typeface="Calibri"/>
            </a:defRPr>
          </a:pPr>
          <a:endParaRPr lang="en-US"/>
        </a:p>
      </c:txPr>
    </c:legend>
    <c:plotVisOnly val="1"/>
    <c:dispBlanksAs val="gap"/>
    <c:showDLblsOverMax val="1"/>
  </c:chart>
  <c:spPr>
    <a:solidFill>
      <a:srgbClr val="FFFFFF"/>
    </a:solidFill>
    <a:ln w="9525" cap="flat">
      <a:solidFill>
        <a:srgbClr val="888888"/>
      </a:solidFill>
      <a:prstDash val="solid"/>
      <a:bevel/>
    </a:ln>
    <a:effectLst/>
  </c:spPr>
  <c:externalData r:id="rId1">
    <c:autoUpdate val="0"/>
  </c:externalData>
</c:chartSpace>
</file>

<file path=word/theme/_rels/theme1.xml.rels><?xml version="1.0" encoding="UTF-8" standalone="yes"?>
<Relationships xmlns="http://schemas.openxmlformats.org/package/2006/relationships"><Relationship Id="rId1" Type="http://schemas.openxmlformats.org/officeDocument/2006/relationships/image" Target="../media/image1.png" /></Relationships>
</file>

<file path=word/theme/theme1.xml><?xml version="1.0" encoding="utf-8"?>
<a:theme xmlns:a="http://schemas.openxmlformats.org/drawingml/2006/main"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xmlns:r="http://schemas.openxmlformats.org/officeDocument/2006/relationships" r:embed="rId1"/>
          <a:srcRect/>
          <a:tile tx="0" ty="0" sx="100000" sy="100000" flip="none" algn="tl"/>
        </a:blipFill>
        <a:ln w="12700" cap="flat">
          <a:noFill/>
          <a:miter lim="400000"/>
        </a:ln>
        <a:effectLst>
          <a:outerShdw blurRad="38100" dist="25400" dir="5400000" rotWithShape="0">
            <a:srgbClr val="000000">
              <a:alpha val="50000"/>
            </a:srgbClr>
          </a:outerShdw>
        </a:effectLst>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1"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outerShdw blurRad="25400" dist="23998" dir="2700000" rotWithShape="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6350" cap="flat">
          <a:solidFill>
            <a:srgbClr val="000000"/>
          </a:solidFill>
          <a:prstDash val="solid"/>
          <a:miter lim="400000"/>
        </a:ln>
        <a:effectLst/>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Pr>
      <a:bodyPr rot="0" spcFirstLastPara="1" vertOverflow="overflow" horzOverflow="overflow" vert="horz" wrap="square" lIns="50800" tIns="50800" rIns="50800" bIns="50800" numCol="1" spcCol="38100" rtlCol="0" anchor="t">
        <a:spAutoFit/>
      </a:bodyPr>
      <a:lstStyle>
        <a:defPPr marL="0" marR="0" indent="0" algn="just" defTabSz="457200" rtl="0" fontAlgn="auto" latinLnBrk="1" hangingPunct="0">
          <a:lnSpc>
            <a:spcPct val="115000"/>
          </a:lnSpc>
          <a:spcBef>
            <a:spcPts val="1000"/>
          </a:spcBef>
          <a:spcAft>
            <a:spcPts val="0"/>
          </a:spcAft>
          <a:buClrTx/>
          <a:buSzTx/>
          <a:buFontTx/>
          <a:buNone/>
          <a:tabLst/>
          <a:defRPr kumimoji="0" sz="1200" b="0" i="0" u="none" strike="noStrike" cap="none" spc="0" normalizeH="0" baseline="0">
            <a:ln>
              <a:noFill/>
            </a:ln>
            <a:solidFill>
              <a:srgbClr val="000000"/>
            </a:solidFill>
            <a:effectLst/>
            <a:uFill>
              <a:solidFill>
                <a:srgbClr val="000000"/>
              </a:solidFill>
            </a:uFill>
            <a:latin typeface="Times New Roman"/>
            <a:ea typeface="Times New Roman"/>
            <a:cs typeface="Times New Roman"/>
            <a:sym typeface="Times New Roman"/>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2179</Words>
  <Characters>12423</Characters>
  <Application>Microsoft Office Word</Application>
  <DocSecurity>0</DocSecurity>
  <Lines>103</Lines>
  <Paragraphs>29</Paragraphs>
  <ScaleCrop>false</ScaleCrop>
  <Company/>
  <LinksUpToDate>false</LinksUpToDate>
  <CharactersWithSpaces>14573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Victor Lazarov (1818372)</cp:lastModifiedBy>
  <cp:revision>2</cp:revision>
  <dcterms:created xsi:type="dcterms:W3CDTF">2019-12-23T01:52:00Z</dcterms:created>
  <dcterms:modified xsi:type="dcterms:W3CDTF">2019-12-23T01:52:00Z</dcterms:modified>
</cp:coreProperties>
</file>