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FEF7C" w14:textId="124EDBC3" w:rsidR="006F274F" w:rsidRDefault="00DD0A91" w:rsidP="007231BB">
      <w:pPr>
        <w:spacing w:line="360" w:lineRule="auto"/>
        <w:jc w:val="both"/>
        <w:rPr>
          <w:rStyle w:val="Heading1Char"/>
        </w:rPr>
      </w:pPr>
      <w:r>
        <w:rPr>
          <w:rFonts w:eastAsiaTheme="majorEastAsia" w:cstheme="majorBidi"/>
          <w:b/>
          <w:noProof/>
          <w:color w:val="1F3864" w:themeColor="accent1" w:themeShade="80"/>
          <w:sz w:val="32"/>
          <w:szCs w:val="32"/>
        </w:rPr>
        <w:drawing>
          <wp:anchor distT="0" distB="0" distL="114300" distR="114300" simplePos="0" relativeHeight="251659264" behindDoc="0" locked="0" layoutInCell="1" allowOverlap="1" wp14:anchorId="7651958A" wp14:editId="24659CEE">
            <wp:simplePos x="0" y="0"/>
            <wp:positionH relativeFrom="column">
              <wp:posOffset>-588010</wp:posOffset>
            </wp:positionH>
            <wp:positionV relativeFrom="paragraph">
              <wp:posOffset>0</wp:posOffset>
            </wp:positionV>
            <wp:extent cx="2108200" cy="2108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108200" cy="2108200"/>
                    </a:xfrm>
                    <a:prstGeom prst="rect">
                      <a:avLst/>
                    </a:prstGeom>
                  </pic:spPr>
                </pic:pic>
              </a:graphicData>
            </a:graphic>
            <wp14:sizeRelV relativeFrom="margin">
              <wp14:pctHeight>0</wp14:pctHeight>
            </wp14:sizeRelV>
          </wp:anchor>
        </w:drawing>
      </w:r>
    </w:p>
    <w:p w14:paraId="1CACC7AA" w14:textId="77777777" w:rsidR="00567A4E" w:rsidRDefault="00DF727E" w:rsidP="007231BB">
      <w:pPr>
        <w:spacing w:line="360" w:lineRule="auto"/>
        <w:jc w:val="both"/>
        <w:rPr>
          <w:rStyle w:val="Heading1Char"/>
        </w:rPr>
      </w:pPr>
      <w:r>
        <w:rPr>
          <w:rStyle w:val="Heading1Char"/>
        </w:rPr>
        <w:t xml:space="preserve">Programme: </w:t>
      </w:r>
      <w:r w:rsidR="000A1406">
        <w:rPr>
          <w:rStyle w:val="Heading1Char"/>
        </w:rPr>
        <w:t>BA Business Management</w:t>
      </w:r>
    </w:p>
    <w:p w14:paraId="2B15A5E3" w14:textId="77777777" w:rsidR="00175CA4" w:rsidRDefault="00136C43" w:rsidP="007231BB">
      <w:pPr>
        <w:spacing w:line="360" w:lineRule="auto"/>
        <w:jc w:val="both"/>
        <w:rPr>
          <w:rStyle w:val="Heading1Char"/>
        </w:rPr>
      </w:pPr>
      <w:r>
        <w:rPr>
          <w:rStyle w:val="Heading1Char"/>
        </w:rPr>
        <w:t xml:space="preserve">Module: </w:t>
      </w:r>
      <w:r w:rsidR="00175CA4">
        <w:rPr>
          <w:rStyle w:val="Heading1Char"/>
        </w:rPr>
        <w:t>Community Engagement</w:t>
      </w:r>
    </w:p>
    <w:p w14:paraId="1D1AC9C7" w14:textId="77777777" w:rsidR="00F605BE" w:rsidRDefault="00CC3BB3" w:rsidP="007231BB">
      <w:pPr>
        <w:spacing w:line="360" w:lineRule="auto"/>
        <w:jc w:val="both"/>
        <w:rPr>
          <w:rStyle w:val="Heading1Char"/>
        </w:rPr>
      </w:pPr>
      <w:r>
        <w:rPr>
          <w:rStyle w:val="Heading1Char"/>
        </w:rPr>
        <w:t xml:space="preserve">Module code: </w:t>
      </w:r>
      <w:r w:rsidR="00F605BE">
        <w:rPr>
          <w:rStyle w:val="Heading1Char"/>
        </w:rPr>
        <w:t>LCBB4002</w:t>
      </w:r>
    </w:p>
    <w:p w14:paraId="65646804" w14:textId="77777777" w:rsidR="00F605BE" w:rsidRDefault="00F605BE" w:rsidP="007231BB">
      <w:pPr>
        <w:spacing w:line="360" w:lineRule="auto"/>
        <w:jc w:val="both"/>
        <w:rPr>
          <w:rStyle w:val="Heading1Char"/>
        </w:rPr>
      </w:pPr>
      <w:r>
        <w:rPr>
          <w:rStyle w:val="Heading1Char"/>
        </w:rPr>
        <w:t>Student name: Andzhelo Markov</w:t>
      </w:r>
    </w:p>
    <w:p w14:paraId="681B4B80" w14:textId="77777777" w:rsidR="004C1506" w:rsidRDefault="00F605BE" w:rsidP="007231BB">
      <w:pPr>
        <w:spacing w:line="360" w:lineRule="auto"/>
        <w:jc w:val="both"/>
        <w:rPr>
          <w:rStyle w:val="Heading1Char"/>
        </w:rPr>
      </w:pPr>
      <w:r>
        <w:rPr>
          <w:rStyle w:val="Heading1Char"/>
        </w:rPr>
        <w:t>Student ID: 2335333</w:t>
      </w:r>
    </w:p>
    <w:p w14:paraId="133A7DEE" w14:textId="77777777" w:rsidR="004C1506" w:rsidRDefault="004C1506" w:rsidP="007231BB">
      <w:pPr>
        <w:spacing w:line="360" w:lineRule="auto"/>
        <w:jc w:val="both"/>
        <w:rPr>
          <w:rStyle w:val="Heading1Char"/>
        </w:rPr>
      </w:pPr>
    </w:p>
    <w:p w14:paraId="1D6B6D15" w14:textId="2162321E" w:rsidR="005F00B3" w:rsidRPr="001D54A4" w:rsidRDefault="00A5126B" w:rsidP="00F87C83">
      <w:pPr>
        <w:spacing w:line="360" w:lineRule="auto"/>
        <w:ind w:left="1440"/>
        <w:jc w:val="both"/>
        <w:rPr>
          <w:rStyle w:val="Heading1Char"/>
        </w:rPr>
      </w:pPr>
      <w:r>
        <w:rPr>
          <w:rStyle w:val="Heading1Char"/>
        </w:rPr>
        <w:t>Reflective Evaluation (Report)</w:t>
      </w:r>
      <w:r w:rsidR="005F00B3">
        <w:rPr>
          <w:rStyle w:val="Heading1Char"/>
        </w:rPr>
        <w:br w:type="page"/>
      </w:r>
    </w:p>
    <w:sdt>
      <w:sdtPr>
        <w:rPr>
          <w:rFonts w:ascii="Times New Roman" w:eastAsiaTheme="minorHAnsi" w:hAnsi="Times New Roman" w:cs="Times New Roman"/>
          <w:color w:val="auto"/>
          <w:sz w:val="24"/>
          <w:szCs w:val="24"/>
        </w:rPr>
        <w:id w:val="-1388023451"/>
        <w:docPartObj>
          <w:docPartGallery w:val="Table of Contents"/>
          <w:docPartUnique/>
        </w:docPartObj>
      </w:sdtPr>
      <w:sdtEndPr>
        <w:rPr>
          <w:b/>
          <w:bCs/>
          <w:noProof/>
        </w:rPr>
      </w:sdtEndPr>
      <w:sdtContent>
        <w:p w14:paraId="4ACF4C61" w14:textId="55F4E9FF" w:rsidR="005F00B3" w:rsidRDefault="005F00B3" w:rsidP="007231BB">
          <w:pPr>
            <w:pStyle w:val="TOCHeading"/>
            <w:spacing w:line="360" w:lineRule="auto"/>
            <w:jc w:val="both"/>
          </w:pPr>
          <w:r>
            <w:t>Contents</w:t>
          </w:r>
        </w:p>
        <w:p w14:paraId="69F69A60" w14:textId="5AB6BAE0" w:rsidR="00395B95" w:rsidRDefault="005F00B3">
          <w:pPr>
            <w:pStyle w:val="TOC1"/>
            <w:tabs>
              <w:tab w:val="right" w:leader="dot" w:pos="935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43371072" w:history="1">
            <w:r w:rsidR="00395B95" w:rsidRPr="00095F97">
              <w:rPr>
                <w:rStyle w:val="Hyperlink"/>
                <w:noProof/>
              </w:rPr>
              <w:t>PART-B</w:t>
            </w:r>
            <w:r w:rsidR="00395B95">
              <w:rPr>
                <w:noProof/>
                <w:webHidden/>
              </w:rPr>
              <w:tab/>
            </w:r>
            <w:r w:rsidR="00395B95">
              <w:rPr>
                <w:noProof/>
                <w:webHidden/>
              </w:rPr>
              <w:fldChar w:fldCharType="begin"/>
            </w:r>
            <w:r w:rsidR="00395B95">
              <w:rPr>
                <w:noProof/>
                <w:webHidden/>
              </w:rPr>
              <w:instrText xml:space="preserve"> PAGEREF _Toc143371072 \h </w:instrText>
            </w:r>
            <w:r w:rsidR="00395B95">
              <w:rPr>
                <w:noProof/>
                <w:webHidden/>
              </w:rPr>
            </w:r>
            <w:r w:rsidR="00395B95">
              <w:rPr>
                <w:noProof/>
                <w:webHidden/>
              </w:rPr>
              <w:fldChar w:fldCharType="separate"/>
            </w:r>
            <w:r w:rsidR="00395B95">
              <w:rPr>
                <w:noProof/>
                <w:webHidden/>
              </w:rPr>
              <w:t>3</w:t>
            </w:r>
            <w:r w:rsidR="00395B95">
              <w:rPr>
                <w:noProof/>
                <w:webHidden/>
              </w:rPr>
              <w:fldChar w:fldCharType="end"/>
            </w:r>
          </w:hyperlink>
        </w:p>
        <w:p w14:paraId="348D3828" w14:textId="258B00B9" w:rsidR="00395B95" w:rsidRDefault="008E593B">
          <w:pPr>
            <w:pStyle w:val="TOC1"/>
            <w:tabs>
              <w:tab w:val="right" w:leader="dot" w:pos="9350"/>
            </w:tabs>
            <w:rPr>
              <w:rFonts w:asciiTheme="minorHAnsi" w:eastAsiaTheme="minorEastAsia" w:hAnsiTheme="minorHAnsi" w:cstheme="minorBidi"/>
              <w:noProof/>
              <w:sz w:val="22"/>
              <w:szCs w:val="22"/>
            </w:rPr>
          </w:pPr>
          <w:hyperlink w:anchor="_Toc143371073" w:history="1">
            <w:r w:rsidR="00395B95" w:rsidRPr="00095F97">
              <w:rPr>
                <w:rStyle w:val="Hyperlink"/>
                <w:noProof/>
              </w:rPr>
              <w:t>Introduction</w:t>
            </w:r>
            <w:r w:rsidR="00395B95">
              <w:rPr>
                <w:noProof/>
                <w:webHidden/>
              </w:rPr>
              <w:tab/>
            </w:r>
            <w:r w:rsidR="00395B95">
              <w:rPr>
                <w:noProof/>
                <w:webHidden/>
              </w:rPr>
              <w:fldChar w:fldCharType="begin"/>
            </w:r>
            <w:r w:rsidR="00395B95">
              <w:rPr>
                <w:noProof/>
                <w:webHidden/>
              </w:rPr>
              <w:instrText xml:space="preserve"> PAGEREF _Toc143371073 \h </w:instrText>
            </w:r>
            <w:r w:rsidR="00395B95">
              <w:rPr>
                <w:noProof/>
                <w:webHidden/>
              </w:rPr>
            </w:r>
            <w:r w:rsidR="00395B95">
              <w:rPr>
                <w:noProof/>
                <w:webHidden/>
              </w:rPr>
              <w:fldChar w:fldCharType="separate"/>
            </w:r>
            <w:r w:rsidR="00395B95">
              <w:rPr>
                <w:noProof/>
                <w:webHidden/>
              </w:rPr>
              <w:t>3</w:t>
            </w:r>
            <w:r w:rsidR="00395B95">
              <w:rPr>
                <w:noProof/>
                <w:webHidden/>
              </w:rPr>
              <w:fldChar w:fldCharType="end"/>
            </w:r>
          </w:hyperlink>
        </w:p>
        <w:p w14:paraId="28B023DC" w14:textId="2F531B0F" w:rsidR="00395B95" w:rsidRDefault="008E593B">
          <w:pPr>
            <w:pStyle w:val="TOC1"/>
            <w:tabs>
              <w:tab w:val="right" w:leader="dot" w:pos="9350"/>
            </w:tabs>
            <w:rPr>
              <w:rFonts w:asciiTheme="minorHAnsi" w:eastAsiaTheme="minorEastAsia" w:hAnsiTheme="minorHAnsi" w:cstheme="minorBidi"/>
              <w:noProof/>
              <w:sz w:val="22"/>
              <w:szCs w:val="22"/>
            </w:rPr>
          </w:pPr>
          <w:hyperlink w:anchor="_Toc143371074" w:history="1">
            <w:r w:rsidR="00395B95" w:rsidRPr="00095F97">
              <w:rPr>
                <w:rStyle w:val="Hyperlink"/>
                <w:noProof/>
              </w:rPr>
              <w:t>Community Engagement Analysis</w:t>
            </w:r>
            <w:r w:rsidR="00395B95">
              <w:rPr>
                <w:noProof/>
                <w:webHidden/>
              </w:rPr>
              <w:tab/>
            </w:r>
            <w:r w:rsidR="00395B95">
              <w:rPr>
                <w:noProof/>
                <w:webHidden/>
              </w:rPr>
              <w:fldChar w:fldCharType="begin"/>
            </w:r>
            <w:r w:rsidR="00395B95">
              <w:rPr>
                <w:noProof/>
                <w:webHidden/>
              </w:rPr>
              <w:instrText xml:space="preserve"> PAGEREF _Toc143371074 \h </w:instrText>
            </w:r>
            <w:r w:rsidR="00395B95">
              <w:rPr>
                <w:noProof/>
                <w:webHidden/>
              </w:rPr>
            </w:r>
            <w:r w:rsidR="00395B95">
              <w:rPr>
                <w:noProof/>
                <w:webHidden/>
              </w:rPr>
              <w:fldChar w:fldCharType="separate"/>
            </w:r>
            <w:r w:rsidR="00395B95">
              <w:rPr>
                <w:noProof/>
                <w:webHidden/>
              </w:rPr>
              <w:t>4</w:t>
            </w:r>
            <w:r w:rsidR="00395B95">
              <w:rPr>
                <w:noProof/>
                <w:webHidden/>
              </w:rPr>
              <w:fldChar w:fldCharType="end"/>
            </w:r>
          </w:hyperlink>
        </w:p>
        <w:p w14:paraId="085C73C9" w14:textId="086A05DC" w:rsidR="00395B95" w:rsidRDefault="008E593B">
          <w:pPr>
            <w:pStyle w:val="TOC2"/>
            <w:tabs>
              <w:tab w:val="right" w:leader="dot" w:pos="9350"/>
            </w:tabs>
            <w:rPr>
              <w:rFonts w:asciiTheme="minorHAnsi" w:eastAsiaTheme="minorEastAsia" w:hAnsiTheme="minorHAnsi" w:cstheme="minorBidi"/>
              <w:noProof/>
              <w:sz w:val="22"/>
              <w:szCs w:val="22"/>
            </w:rPr>
          </w:pPr>
          <w:hyperlink w:anchor="_Toc143371075" w:history="1">
            <w:r w:rsidR="00395B95" w:rsidRPr="00095F97">
              <w:rPr>
                <w:rStyle w:val="Hyperlink"/>
                <w:noProof/>
              </w:rPr>
              <w:t>Projects and Goals Justifications</w:t>
            </w:r>
            <w:r w:rsidR="00395B95">
              <w:rPr>
                <w:noProof/>
                <w:webHidden/>
              </w:rPr>
              <w:tab/>
            </w:r>
            <w:r w:rsidR="00395B95">
              <w:rPr>
                <w:noProof/>
                <w:webHidden/>
              </w:rPr>
              <w:fldChar w:fldCharType="begin"/>
            </w:r>
            <w:r w:rsidR="00395B95">
              <w:rPr>
                <w:noProof/>
                <w:webHidden/>
              </w:rPr>
              <w:instrText xml:space="preserve"> PAGEREF _Toc143371075 \h </w:instrText>
            </w:r>
            <w:r w:rsidR="00395B95">
              <w:rPr>
                <w:noProof/>
                <w:webHidden/>
              </w:rPr>
            </w:r>
            <w:r w:rsidR="00395B95">
              <w:rPr>
                <w:noProof/>
                <w:webHidden/>
              </w:rPr>
              <w:fldChar w:fldCharType="separate"/>
            </w:r>
            <w:r w:rsidR="00395B95">
              <w:rPr>
                <w:noProof/>
                <w:webHidden/>
              </w:rPr>
              <w:t>4</w:t>
            </w:r>
            <w:r w:rsidR="00395B95">
              <w:rPr>
                <w:noProof/>
                <w:webHidden/>
              </w:rPr>
              <w:fldChar w:fldCharType="end"/>
            </w:r>
          </w:hyperlink>
        </w:p>
        <w:p w14:paraId="5DD296B9" w14:textId="139E1DCE" w:rsidR="00395B95" w:rsidRDefault="008E593B">
          <w:pPr>
            <w:pStyle w:val="TOC2"/>
            <w:tabs>
              <w:tab w:val="right" w:leader="dot" w:pos="9350"/>
            </w:tabs>
            <w:rPr>
              <w:rFonts w:asciiTheme="minorHAnsi" w:eastAsiaTheme="minorEastAsia" w:hAnsiTheme="minorHAnsi" w:cstheme="minorBidi"/>
              <w:noProof/>
              <w:sz w:val="22"/>
              <w:szCs w:val="22"/>
            </w:rPr>
          </w:pPr>
          <w:hyperlink w:anchor="_Toc143371076" w:history="1">
            <w:r w:rsidR="00395B95" w:rsidRPr="00095F97">
              <w:rPr>
                <w:rStyle w:val="Hyperlink"/>
                <w:noProof/>
              </w:rPr>
              <w:t>Community Engagement Approaches and Best Practices</w:t>
            </w:r>
            <w:r w:rsidR="00395B95">
              <w:rPr>
                <w:noProof/>
                <w:webHidden/>
              </w:rPr>
              <w:tab/>
            </w:r>
            <w:r w:rsidR="00395B95">
              <w:rPr>
                <w:noProof/>
                <w:webHidden/>
              </w:rPr>
              <w:fldChar w:fldCharType="begin"/>
            </w:r>
            <w:r w:rsidR="00395B95">
              <w:rPr>
                <w:noProof/>
                <w:webHidden/>
              </w:rPr>
              <w:instrText xml:space="preserve"> PAGEREF _Toc143371076 \h </w:instrText>
            </w:r>
            <w:r w:rsidR="00395B95">
              <w:rPr>
                <w:noProof/>
                <w:webHidden/>
              </w:rPr>
            </w:r>
            <w:r w:rsidR="00395B95">
              <w:rPr>
                <w:noProof/>
                <w:webHidden/>
              </w:rPr>
              <w:fldChar w:fldCharType="separate"/>
            </w:r>
            <w:r w:rsidR="00395B95">
              <w:rPr>
                <w:noProof/>
                <w:webHidden/>
              </w:rPr>
              <w:t>4</w:t>
            </w:r>
            <w:r w:rsidR="00395B95">
              <w:rPr>
                <w:noProof/>
                <w:webHidden/>
              </w:rPr>
              <w:fldChar w:fldCharType="end"/>
            </w:r>
          </w:hyperlink>
        </w:p>
        <w:p w14:paraId="72ED1397" w14:textId="3EF4E8A9" w:rsidR="00395B95" w:rsidRDefault="008E593B">
          <w:pPr>
            <w:pStyle w:val="TOC2"/>
            <w:tabs>
              <w:tab w:val="right" w:leader="dot" w:pos="9350"/>
            </w:tabs>
            <w:rPr>
              <w:rFonts w:asciiTheme="minorHAnsi" w:eastAsiaTheme="minorEastAsia" w:hAnsiTheme="minorHAnsi" w:cstheme="minorBidi"/>
              <w:noProof/>
              <w:sz w:val="22"/>
              <w:szCs w:val="22"/>
            </w:rPr>
          </w:pPr>
          <w:hyperlink w:anchor="_Toc143371077" w:history="1">
            <w:r w:rsidR="00395B95" w:rsidRPr="00095F97">
              <w:rPr>
                <w:rStyle w:val="Hyperlink"/>
                <w:noProof/>
              </w:rPr>
              <w:t>Reflection on Alternative Approaches</w:t>
            </w:r>
            <w:r w:rsidR="00395B95">
              <w:rPr>
                <w:noProof/>
                <w:webHidden/>
              </w:rPr>
              <w:tab/>
            </w:r>
            <w:r w:rsidR="00395B95">
              <w:rPr>
                <w:noProof/>
                <w:webHidden/>
              </w:rPr>
              <w:fldChar w:fldCharType="begin"/>
            </w:r>
            <w:r w:rsidR="00395B95">
              <w:rPr>
                <w:noProof/>
                <w:webHidden/>
              </w:rPr>
              <w:instrText xml:space="preserve"> PAGEREF _Toc143371077 \h </w:instrText>
            </w:r>
            <w:r w:rsidR="00395B95">
              <w:rPr>
                <w:noProof/>
                <w:webHidden/>
              </w:rPr>
            </w:r>
            <w:r w:rsidR="00395B95">
              <w:rPr>
                <w:noProof/>
                <w:webHidden/>
              </w:rPr>
              <w:fldChar w:fldCharType="separate"/>
            </w:r>
            <w:r w:rsidR="00395B95">
              <w:rPr>
                <w:noProof/>
                <w:webHidden/>
              </w:rPr>
              <w:t>5</w:t>
            </w:r>
            <w:r w:rsidR="00395B95">
              <w:rPr>
                <w:noProof/>
                <w:webHidden/>
              </w:rPr>
              <w:fldChar w:fldCharType="end"/>
            </w:r>
          </w:hyperlink>
        </w:p>
        <w:p w14:paraId="0C1586A3" w14:textId="2B2AE468" w:rsidR="00395B95" w:rsidRDefault="008E593B">
          <w:pPr>
            <w:pStyle w:val="TOC2"/>
            <w:tabs>
              <w:tab w:val="right" w:leader="dot" w:pos="9350"/>
            </w:tabs>
            <w:rPr>
              <w:rFonts w:asciiTheme="minorHAnsi" w:eastAsiaTheme="minorEastAsia" w:hAnsiTheme="minorHAnsi" w:cstheme="minorBidi"/>
              <w:noProof/>
              <w:sz w:val="22"/>
              <w:szCs w:val="22"/>
            </w:rPr>
          </w:pPr>
          <w:hyperlink w:anchor="_Toc143371078" w:history="1">
            <w:r w:rsidR="00395B95" w:rsidRPr="00095F97">
              <w:rPr>
                <w:rStyle w:val="Hyperlink"/>
                <w:noProof/>
              </w:rPr>
              <w:t>Impact of Active Consultation, Communication, and Participation</w:t>
            </w:r>
            <w:r w:rsidR="00395B95">
              <w:rPr>
                <w:noProof/>
                <w:webHidden/>
              </w:rPr>
              <w:tab/>
            </w:r>
            <w:r w:rsidR="00395B95">
              <w:rPr>
                <w:noProof/>
                <w:webHidden/>
              </w:rPr>
              <w:fldChar w:fldCharType="begin"/>
            </w:r>
            <w:r w:rsidR="00395B95">
              <w:rPr>
                <w:noProof/>
                <w:webHidden/>
              </w:rPr>
              <w:instrText xml:space="preserve"> PAGEREF _Toc143371078 \h </w:instrText>
            </w:r>
            <w:r w:rsidR="00395B95">
              <w:rPr>
                <w:noProof/>
                <w:webHidden/>
              </w:rPr>
            </w:r>
            <w:r w:rsidR="00395B95">
              <w:rPr>
                <w:noProof/>
                <w:webHidden/>
              </w:rPr>
              <w:fldChar w:fldCharType="separate"/>
            </w:r>
            <w:r w:rsidR="00395B95">
              <w:rPr>
                <w:noProof/>
                <w:webHidden/>
              </w:rPr>
              <w:t>5</w:t>
            </w:r>
            <w:r w:rsidR="00395B95">
              <w:rPr>
                <w:noProof/>
                <w:webHidden/>
              </w:rPr>
              <w:fldChar w:fldCharType="end"/>
            </w:r>
          </w:hyperlink>
        </w:p>
        <w:p w14:paraId="30DADB94" w14:textId="7BAC3678" w:rsidR="00395B95" w:rsidRDefault="008E593B">
          <w:pPr>
            <w:pStyle w:val="TOC2"/>
            <w:tabs>
              <w:tab w:val="right" w:leader="dot" w:pos="9350"/>
            </w:tabs>
            <w:rPr>
              <w:rFonts w:asciiTheme="minorHAnsi" w:eastAsiaTheme="minorEastAsia" w:hAnsiTheme="minorHAnsi" w:cstheme="minorBidi"/>
              <w:noProof/>
              <w:sz w:val="22"/>
              <w:szCs w:val="22"/>
            </w:rPr>
          </w:pPr>
          <w:hyperlink w:anchor="_Toc143371079" w:history="1">
            <w:r w:rsidR="00395B95" w:rsidRPr="00095F97">
              <w:rPr>
                <w:rStyle w:val="Hyperlink"/>
                <w:noProof/>
              </w:rPr>
              <w:t>Diversity, inclusion, and multi-agency collaborations</w:t>
            </w:r>
            <w:r w:rsidR="00395B95">
              <w:rPr>
                <w:noProof/>
                <w:webHidden/>
              </w:rPr>
              <w:tab/>
            </w:r>
            <w:r w:rsidR="00395B95">
              <w:rPr>
                <w:noProof/>
                <w:webHidden/>
              </w:rPr>
              <w:fldChar w:fldCharType="begin"/>
            </w:r>
            <w:r w:rsidR="00395B95">
              <w:rPr>
                <w:noProof/>
                <w:webHidden/>
              </w:rPr>
              <w:instrText xml:space="preserve"> PAGEREF _Toc143371079 \h </w:instrText>
            </w:r>
            <w:r w:rsidR="00395B95">
              <w:rPr>
                <w:noProof/>
                <w:webHidden/>
              </w:rPr>
            </w:r>
            <w:r w:rsidR="00395B95">
              <w:rPr>
                <w:noProof/>
                <w:webHidden/>
              </w:rPr>
              <w:fldChar w:fldCharType="separate"/>
            </w:r>
            <w:r w:rsidR="00395B95">
              <w:rPr>
                <w:noProof/>
                <w:webHidden/>
              </w:rPr>
              <w:t>6</w:t>
            </w:r>
            <w:r w:rsidR="00395B95">
              <w:rPr>
                <w:noProof/>
                <w:webHidden/>
              </w:rPr>
              <w:fldChar w:fldCharType="end"/>
            </w:r>
          </w:hyperlink>
        </w:p>
        <w:p w14:paraId="572697BA" w14:textId="5B797DB7" w:rsidR="00395B95" w:rsidRDefault="008E593B">
          <w:pPr>
            <w:pStyle w:val="TOC2"/>
            <w:tabs>
              <w:tab w:val="right" w:leader="dot" w:pos="9350"/>
            </w:tabs>
            <w:rPr>
              <w:rFonts w:asciiTheme="minorHAnsi" w:eastAsiaTheme="minorEastAsia" w:hAnsiTheme="minorHAnsi" w:cstheme="minorBidi"/>
              <w:noProof/>
              <w:sz w:val="22"/>
              <w:szCs w:val="22"/>
            </w:rPr>
          </w:pPr>
          <w:hyperlink w:anchor="_Toc143371080" w:history="1">
            <w:r w:rsidR="00395B95" w:rsidRPr="00095F97">
              <w:rPr>
                <w:rStyle w:val="Hyperlink"/>
                <w:noProof/>
              </w:rPr>
              <w:t>Community Mapping and Social Media Engagement</w:t>
            </w:r>
            <w:r w:rsidR="00395B95">
              <w:rPr>
                <w:noProof/>
                <w:webHidden/>
              </w:rPr>
              <w:tab/>
            </w:r>
            <w:r w:rsidR="00395B95">
              <w:rPr>
                <w:noProof/>
                <w:webHidden/>
              </w:rPr>
              <w:fldChar w:fldCharType="begin"/>
            </w:r>
            <w:r w:rsidR="00395B95">
              <w:rPr>
                <w:noProof/>
                <w:webHidden/>
              </w:rPr>
              <w:instrText xml:space="preserve"> PAGEREF _Toc143371080 \h </w:instrText>
            </w:r>
            <w:r w:rsidR="00395B95">
              <w:rPr>
                <w:noProof/>
                <w:webHidden/>
              </w:rPr>
            </w:r>
            <w:r w:rsidR="00395B95">
              <w:rPr>
                <w:noProof/>
                <w:webHidden/>
              </w:rPr>
              <w:fldChar w:fldCharType="separate"/>
            </w:r>
            <w:r w:rsidR="00395B95">
              <w:rPr>
                <w:noProof/>
                <w:webHidden/>
              </w:rPr>
              <w:t>7</w:t>
            </w:r>
            <w:r w:rsidR="00395B95">
              <w:rPr>
                <w:noProof/>
                <w:webHidden/>
              </w:rPr>
              <w:fldChar w:fldCharType="end"/>
            </w:r>
          </w:hyperlink>
        </w:p>
        <w:p w14:paraId="7E97A809" w14:textId="5C55F23D" w:rsidR="00395B95" w:rsidRDefault="008E593B">
          <w:pPr>
            <w:pStyle w:val="TOC2"/>
            <w:tabs>
              <w:tab w:val="right" w:leader="dot" w:pos="9350"/>
            </w:tabs>
            <w:rPr>
              <w:rFonts w:asciiTheme="minorHAnsi" w:eastAsiaTheme="minorEastAsia" w:hAnsiTheme="minorHAnsi" w:cstheme="minorBidi"/>
              <w:noProof/>
              <w:sz w:val="22"/>
              <w:szCs w:val="22"/>
            </w:rPr>
          </w:pPr>
          <w:hyperlink w:anchor="_Toc143371081" w:history="1">
            <w:r w:rsidR="00395B95" w:rsidRPr="00095F97">
              <w:rPr>
                <w:rStyle w:val="Hyperlink"/>
                <w:noProof/>
              </w:rPr>
              <w:t>Impacts and Justification of Best Practises</w:t>
            </w:r>
            <w:r w:rsidR="00395B95">
              <w:rPr>
                <w:noProof/>
                <w:webHidden/>
              </w:rPr>
              <w:tab/>
            </w:r>
            <w:r w:rsidR="00395B95">
              <w:rPr>
                <w:noProof/>
                <w:webHidden/>
              </w:rPr>
              <w:fldChar w:fldCharType="begin"/>
            </w:r>
            <w:r w:rsidR="00395B95">
              <w:rPr>
                <w:noProof/>
                <w:webHidden/>
              </w:rPr>
              <w:instrText xml:space="preserve"> PAGEREF _Toc143371081 \h </w:instrText>
            </w:r>
            <w:r w:rsidR="00395B95">
              <w:rPr>
                <w:noProof/>
                <w:webHidden/>
              </w:rPr>
            </w:r>
            <w:r w:rsidR="00395B95">
              <w:rPr>
                <w:noProof/>
                <w:webHidden/>
              </w:rPr>
              <w:fldChar w:fldCharType="separate"/>
            </w:r>
            <w:r w:rsidR="00395B95">
              <w:rPr>
                <w:noProof/>
                <w:webHidden/>
              </w:rPr>
              <w:t>7</w:t>
            </w:r>
            <w:r w:rsidR="00395B95">
              <w:rPr>
                <w:noProof/>
                <w:webHidden/>
              </w:rPr>
              <w:fldChar w:fldCharType="end"/>
            </w:r>
          </w:hyperlink>
        </w:p>
        <w:p w14:paraId="1B166FF0" w14:textId="7C1AF53F" w:rsidR="00395B95" w:rsidRDefault="008E593B">
          <w:pPr>
            <w:pStyle w:val="TOC1"/>
            <w:tabs>
              <w:tab w:val="right" w:leader="dot" w:pos="9350"/>
            </w:tabs>
            <w:rPr>
              <w:rFonts w:asciiTheme="minorHAnsi" w:eastAsiaTheme="minorEastAsia" w:hAnsiTheme="minorHAnsi" w:cstheme="minorBidi"/>
              <w:noProof/>
              <w:sz w:val="22"/>
              <w:szCs w:val="22"/>
            </w:rPr>
          </w:pPr>
          <w:hyperlink w:anchor="_Toc143371082" w:history="1">
            <w:r w:rsidR="00395B95" w:rsidRPr="00095F97">
              <w:rPr>
                <w:rStyle w:val="Hyperlink"/>
                <w:noProof/>
              </w:rPr>
              <w:t>Conclusion</w:t>
            </w:r>
            <w:r w:rsidR="00395B95">
              <w:rPr>
                <w:noProof/>
                <w:webHidden/>
              </w:rPr>
              <w:tab/>
            </w:r>
            <w:r w:rsidR="00395B95">
              <w:rPr>
                <w:noProof/>
                <w:webHidden/>
              </w:rPr>
              <w:fldChar w:fldCharType="begin"/>
            </w:r>
            <w:r w:rsidR="00395B95">
              <w:rPr>
                <w:noProof/>
                <w:webHidden/>
              </w:rPr>
              <w:instrText xml:space="preserve"> PAGEREF _Toc143371082 \h </w:instrText>
            </w:r>
            <w:r w:rsidR="00395B95">
              <w:rPr>
                <w:noProof/>
                <w:webHidden/>
              </w:rPr>
            </w:r>
            <w:r w:rsidR="00395B95">
              <w:rPr>
                <w:noProof/>
                <w:webHidden/>
              </w:rPr>
              <w:fldChar w:fldCharType="separate"/>
            </w:r>
            <w:r w:rsidR="00395B95">
              <w:rPr>
                <w:noProof/>
                <w:webHidden/>
              </w:rPr>
              <w:t>9</w:t>
            </w:r>
            <w:r w:rsidR="00395B95">
              <w:rPr>
                <w:noProof/>
                <w:webHidden/>
              </w:rPr>
              <w:fldChar w:fldCharType="end"/>
            </w:r>
          </w:hyperlink>
        </w:p>
        <w:p w14:paraId="46D0F7AB" w14:textId="245C864E" w:rsidR="00395B95" w:rsidRDefault="008E593B">
          <w:pPr>
            <w:pStyle w:val="TOC1"/>
            <w:tabs>
              <w:tab w:val="right" w:leader="dot" w:pos="9350"/>
            </w:tabs>
            <w:rPr>
              <w:rFonts w:asciiTheme="minorHAnsi" w:eastAsiaTheme="minorEastAsia" w:hAnsiTheme="minorHAnsi" w:cstheme="minorBidi"/>
              <w:noProof/>
              <w:sz w:val="22"/>
              <w:szCs w:val="22"/>
            </w:rPr>
          </w:pPr>
          <w:hyperlink w:anchor="_Toc143371083" w:history="1">
            <w:r w:rsidR="00395B95" w:rsidRPr="00095F97">
              <w:rPr>
                <w:rStyle w:val="Hyperlink"/>
                <w:noProof/>
              </w:rPr>
              <w:t>Reference</w:t>
            </w:r>
            <w:r w:rsidR="00395B95">
              <w:rPr>
                <w:noProof/>
                <w:webHidden/>
              </w:rPr>
              <w:tab/>
            </w:r>
            <w:r w:rsidR="00395B95">
              <w:rPr>
                <w:noProof/>
                <w:webHidden/>
              </w:rPr>
              <w:fldChar w:fldCharType="begin"/>
            </w:r>
            <w:r w:rsidR="00395B95">
              <w:rPr>
                <w:noProof/>
                <w:webHidden/>
              </w:rPr>
              <w:instrText xml:space="preserve"> PAGEREF _Toc143371083 \h </w:instrText>
            </w:r>
            <w:r w:rsidR="00395B95">
              <w:rPr>
                <w:noProof/>
                <w:webHidden/>
              </w:rPr>
            </w:r>
            <w:r w:rsidR="00395B95">
              <w:rPr>
                <w:noProof/>
                <w:webHidden/>
              </w:rPr>
              <w:fldChar w:fldCharType="separate"/>
            </w:r>
            <w:r w:rsidR="00395B95">
              <w:rPr>
                <w:noProof/>
                <w:webHidden/>
              </w:rPr>
              <w:t>10</w:t>
            </w:r>
            <w:r w:rsidR="00395B95">
              <w:rPr>
                <w:noProof/>
                <w:webHidden/>
              </w:rPr>
              <w:fldChar w:fldCharType="end"/>
            </w:r>
          </w:hyperlink>
        </w:p>
        <w:p w14:paraId="0DB1FB09" w14:textId="3BD4B37D" w:rsidR="005F00B3" w:rsidRDefault="005F00B3" w:rsidP="007231BB">
          <w:pPr>
            <w:spacing w:line="360" w:lineRule="auto"/>
            <w:jc w:val="both"/>
          </w:pPr>
          <w:r>
            <w:rPr>
              <w:b/>
              <w:bCs/>
              <w:noProof/>
            </w:rPr>
            <w:fldChar w:fldCharType="end"/>
          </w:r>
        </w:p>
      </w:sdtContent>
    </w:sdt>
    <w:p w14:paraId="09BCDABD" w14:textId="77777777" w:rsidR="005F00B3" w:rsidRDefault="005F00B3" w:rsidP="007231BB">
      <w:pPr>
        <w:spacing w:line="360" w:lineRule="auto"/>
        <w:jc w:val="both"/>
        <w:rPr>
          <w:rStyle w:val="Heading1Char"/>
        </w:rPr>
      </w:pPr>
      <w:r>
        <w:rPr>
          <w:rStyle w:val="Heading1Char"/>
        </w:rPr>
        <w:br w:type="page"/>
      </w:r>
    </w:p>
    <w:p w14:paraId="09B55AF2" w14:textId="77777777" w:rsidR="00395B95" w:rsidRDefault="00395B95" w:rsidP="007231BB">
      <w:pPr>
        <w:spacing w:line="360" w:lineRule="auto"/>
        <w:jc w:val="both"/>
        <w:rPr>
          <w:rStyle w:val="Heading1Char"/>
        </w:rPr>
      </w:pPr>
      <w:bookmarkStart w:id="0" w:name="_Toc143371072"/>
      <w:r>
        <w:rPr>
          <w:rStyle w:val="Heading1Char"/>
        </w:rPr>
        <w:lastRenderedPageBreak/>
        <w:t>PART-B</w:t>
      </w:r>
      <w:bookmarkEnd w:id="0"/>
      <w:r>
        <w:rPr>
          <w:rStyle w:val="Heading1Char"/>
        </w:rPr>
        <w:t xml:space="preserve"> </w:t>
      </w:r>
    </w:p>
    <w:p w14:paraId="2C807151" w14:textId="72F059E3" w:rsidR="006F0B95" w:rsidRDefault="006F0B95" w:rsidP="007231BB">
      <w:pPr>
        <w:spacing w:line="360" w:lineRule="auto"/>
        <w:jc w:val="both"/>
      </w:pPr>
      <w:bookmarkStart w:id="1" w:name="_Toc143371073"/>
      <w:r w:rsidRPr="005F00B3">
        <w:rPr>
          <w:rStyle w:val="Heading1Char"/>
        </w:rPr>
        <w:t>Introduction</w:t>
      </w:r>
      <w:bookmarkEnd w:id="1"/>
      <w:r w:rsidRPr="005F00B3">
        <w:rPr>
          <w:rStyle w:val="Heading1Char"/>
        </w:rPr>
        <w:br/>
      </w:r>
      <w:r>
        <w:t xml:space="preserve">The Barnsley Metropolitan Borough Council's strategy efforts alter Barnsley, England. The council has launched Barnsley 2030, an ambitious plan to improve citizens' quality of life, amid the complex web of community growth. This project is a complex symphony that promotes fairness, sustainability, and inclusion. Community participation underpins the council's goals and ushers in a participatory government era. This perspective illuminates the transforming potential of consultation, communication, stakeholder cooperation, and social media integration in this engagement paradigm. We explore the diverse effects of community participation to uncover these layers. The story will show how Barnsley Metropolitan Borough Council matches its goals with the community's pulse. The reflection shows how their strategic focus on diversity and inclusion fosters an environment where every voice </w:t>
      </w:r>
      <w:r w:rsidR="005F00B3">
        <w:t>matter</w:t>
      </w:r>
      <w:r>
        <w:t xml:space="preserve">, promoting a feeling of ownership and shared destiny. It shows how working with many agencies boosts their answers to social inequality and environmental deterioration. The next sections will reveal the council's insightful mapping of the community's complex geography, allowing tailored actions to meet each corner's requirements. A variety of social media channels, from Facebook to TikTok, will provide a lively stage for two-way exchanges where the council may share updates and get real-time input. This study explores the council's best </w:t>
      </w:r>
      <w:r w:rsidR="007231BB">
        <w:t>practices</w:t>
      </w:r>
      <w:r>
        <w:t xml:space="preserve">, each thread carefully </w:t>
      </w:r>
      <w:r w:rsidR="007231BB">
        <w:t>woven</w:t>
      </w:r>
      <w:r>
        <w:t xml:space="preserve"> to promote trust, empowerment, and holistic advancement. It shows the transforming power of these practises on community development. We examine these </w:t>
      </w:r>
      <w:r w:rsidR="007231BB">
        <w:t>practices</w:t>
      </w:r>
      <w:r>
        <w:t>' effects in Barnsley's changing terrain to prove their relevance and rationale.</w:t>
      </w:r>
    </w:p>
    <w:p w14:paraId="07EB0310" w14:textId="77777777" w:rsidR="006F0B95" w:rsidRDefault="006F0B95" w:rsidP="007231BB">
      <w:pPr>
        <w:spacing w:line="360" w:lineRule="auto"/>
        <w:jc w:val="both"/>
      </w:pPr>
      <w:r>
        <w:br w:type="page"/>
      </w:r>
    </w:p>
    <w:p w14:paraId="4701C412" w14:textId="59C9A74E" w:rsidR="006F0B95" w:rsidRDefault="006F0B95" w:rsidP="007231BB">
      <w:pPr>
        <w:pStyle w:val="Heading1"/>
        <w:spacing w:line="360" w:lineRule="auto"/>
        <w:jc w:val="both"/>
      </w:pPr>
      <w:bookmarkStart w:id="2" w:name="_Toc143371074"/>
      <w:r>
        <w:lastRenderedPageBreak/>
        <w:t>Community Engagement Analysis</w:t>
      </w:r>
      <w:bookmarkEnd w:id="2"/>
    </w:p>
    <w:p w14:paraId="6A4AD252" w14:textId="53739603" w:rsidR="005F00B3" w:rsidRDefault="006F0B95" w:rsidP="007231BB">
      <w:pPr>
        <w:spacing w:line="360" w:lineRule="auto"/>
        <w:jc w:val="both"/>
      </w:pPr>
      <w:r>
        <w:t>This section discusses Barnsley Metropolitan Borough Council's Barnsley 2030 projects. After reviewing their goals and explanations, we'll analyse the council's community involvement strategies. We will also consider alternate techniques and the effects of active consultation, communication, stakeholder involvement, diversity and inclusion, and multi-agency cooperation.</w:t>
      </w:r>
    </w:p>
    <w:p w14:paraId="144EE575" w14:textId="77777777" w:rsidR="005F00B3" w:rsidRDefault="005F00B3" w:rsidP="007231BB">
      <w:pPr>
        <w:spacing w:line="360" w:lineRule="auto"/>
        <w:jc w:val="both"/>
      </w:pPr>
    </w:p>
    <w:p w14:paraId="13170049" w14:textId="1D15D9A2" w:rsidR="006F0B95" w:rsidRDefault="006F0B95" w:rsidP="00395B95">
      <w:pPr>
        <w:pStyle w:val="Heading2"/>
      </w:pPr>
      <w:bookmarkStart w:id="3" w:name="_Toc143371075"/>
      <w:r>
        <w:t>Projects and Goals Justifications</w:t>
      </w:r>
      <w:bookmarkEnd w:id="3"/>
    </w:p>
    <w:p w14:paraId="3E4B062E" w14:textId="673BE51D" w:rsidR="006F0B95" w:rsidRDefault="006F0B95" w:rsidP="007231BB">
      <w:pPr>
        <w:spacing w:line="360" w:lineRule="auto"/>
        <w:jc w:val="both"/>
      </w:pPr>
      <w:r>
        <w:t xml:space="preserve">The Barnsley 2030 </w:t>
      </w:r>
      <w:r w:rsidR="007231BB">
        <w:t>program</w:t>
      </w:r>
      <w:r>
        <w:t>, coordinated by the Barnsley Metropolitan Borough Council, aims to provide all residents fair access to top-tier local amenities, improving their quality of life</w:t>
      </w:r>
      <w:r w:rsidR="00371722">
        <w:t xml:space="preserve">. </w:t>
      </w:r>
      <w:r>
        <w:t>program's holistic strategy aims to create new jobs, reduce carbon emissions, and promote gender equality. These goals are supported by the need for sustainable economic growth, global environmental stewardship, and community social equity</w:t>
      </w:r>
      <w:r w:rsidR="008F4785">
        <w:t xml:space="preserve"> (</w:t>
      </w:r>
      <w:r w:rsidR="008F4785" w:rsidRPr="007231BB">
        <w:rPr>
          <w:color w:val="222222"/>
          <w:shd w:val="clear" w:color="auto" w:fill="FFFFFF"/>
        </w:rPr>
        <w:t>Boeri</w:t>
      </w:r>
      <w:r w:rsidR="008F4785">
        <w:rPr>
          <w:color w:val="222222"/>
          <w:shd w:val="clear" w:color="auto" w:fill="FFFFFF"/>
        </w:rPr>
        <w:t xml:space="preserve"> et al.,</w:t>
      </w:r>
      <w:r w:rsidR="008F4785" w:rsidRPr="007231BB">
        <w:rPr>
          <w:color w:val="222222"/>
          <w:shd w:val="clear" w:color="auto" w:fill="FFFFFF"/>
        </w:rPr>
        <w:t xml:space="preserve"> 2022</w:t>
      </w:r>
      <w:r w:rsidR="008F4785">
        <w:rPr>
          <w:color w:val="222222"/>
          <w:shd w:val="clear" w:color="auto" w:fill="FFFFFF"/>
        </w:rPr>
        <w:t>)</w:t>
      </w:r>
      <w:r>
        <w:t>. For instance, creating jobs boosts economic growth and community cohesion, while reducing carbon emissions supports global ecological preservation and long-term sustainability. These goals connect with the local environment, where a strong economy fosters resilience and prosperity</w:t>
      </w:r>
      <w:r w:rsidR="008F4785">
        <w:t xml:space="preserve"> (</w:t>
      </w:r>
      <w:r w:rsidR="008F4785" w:rsidRPr="007231BB">
        <w:rPr>
          <w:color w:val="222222"/>
          <w:shd w:val="clear" w:color="auto" w:fill="FFFFFF"/>
        </w:rPr>
        <w:t>Chambers</w:t>
      </w:r>
      <w:r w:rsidR="008F4785">
        <w:rPr>
          <w:color w:val="222222"/>
          <w:shd w:val="clear" w:color="auto" w:fill="FFFFFF"/>
        </w:rPr>
        <w:t xml:space="preserve"> et al., </w:t>
      </w:r>
      <w:r w:rsidR="008F4785" w:rsidRPr="007231BB">
        <w:rPr>
          <w:color w:val="222222"/>
          <w:shd w:val="clear" w:color="auto" w:fill="FFFFFF"/>
        </w:rPr>
        <w:t>2021</w:t>
      </w:r>
      <w:r w:rsidR="008F4785">
        <w:rPr>
          <w:color w:val="222222"/>
          <w:shd w:val="clear" w:color="auto" w:fill="FFFFFF"/>
        </w:rPr>
        <w:t>)</w:t>
      </w:r>
      <w:r>
        <w:t xml:space="preserve">. The council's dedication to gender equality shows its commitment to inclusion since a fair and varied society is the foundation of social peace. The Barnsley 2030 </w:t>
      </w:r>
      <w:r w:rsidR="007231BB">
        <w:t>program</w:t>
      </w:r>
      <w:r>
        <w:t xml:space="preserve"> is a dynamic, far-sighted roadmap for an inclusive, prospering, and environmentally concerned community, anchored in current realities.</w:t>
      </w:r>
    </w:p>
    <w:p w14:paraId="470DF449" w14:textId="77777777" w:rsidR="005F00B3" w:rsidRDefault="005F00B3" w:rsidP="007231BB">
      <w:pPr>
        <w:spacing w:line="360" w:lineRule="auto"/>
        <w:jc w:val="both"/>
      </w:pPr>
    </w:p>
    <w:p w14:paraId="32D42C90" w14:textId="10BE564C" w:rsidR="00395B95" w:rsidRDefault="00395B95" w:rsidP="00395B95">
      <w:pPr>
        <w:pStyle w:val="Heading2"/>
      </w:pPr>
      <w:bookmarkStart w:id="4" w:name="_Toc143371076"/>
      <w:r w:rsidRPr="00395B95">
        <w:t>Community Engagement Approaches and Best Practices</w:t>
      </w:r>
      <w:bookmarkEnd w:id="4"/>
    </w:p>
    <w:p w14:paraId="748DBDEC" w14:textId="39482117" w:rsidR="006F0B95" w:rsidRDefault="006F0B95" w:rsidP="007231BB">
      <w:pPr>
        <w:spacing w:line="360" w:lineRule="auto"/>
        <w:jc w:val="both"/>
      </w:pPr>
      <w:r>
        <w:t xml:space="preserve">The Barnsley 2030 </w:t>
      </w:r>
      <w:r w:rsidR="007231BB">
        <w:t>program</w:t>
      </w:r>
      <w:r>
        <w:t xml:space="preserve"> is central to the strategic vision of the Barnsley Metropolitan Borough Council and aims to provide universal and equitable access to premium local amenities, improving the quality of life for all community members</w:t>
      </w:r>
      <w:r w:rsidR="005F00B3">
        <w:t xml:space="preserve">. </w:t>
      </w:r>
      <w:r>
        <w:t xml:space="preserve">This </w:t>
      </w:r>
      <w:r w:rsidR="007231BB">
        <w:t>program</w:t>
      </w:r>
      <w:r>
        <w:t xml:space="preserve"> has several purposes, including creating new jobs, reducing carbon emissions, and promoting gender equality. A nexus of imperatives that promote sustainable economic dynamism, global environmental stewardship, and inclusion underpins these goals</w:t>
      </w:r>
      <w:r w:rsidR="008F4785">
        <w:t xml:space="preserve"> (</w:t>
      </w:r>
      <w:r w:rsidR="008F4785" w:rsidRPr="007231BB">
        <w:rPr>
          <w:color w:val="222222"/>
          <w:shd w:val="clear" w:color="auto" w:fill="FFFFFF"/>
        </w:rPr>
        <w:t>Cyril</w:t>
      </w:r>
      <w:r w:rsidR="008F4785">
        <w:rPr>
          <w:color w:val="222222"/>
          <w:shd w:val="clear" w:color="auto" w:fill="FFFFFF"/>
        </w:rPr>
        <w:t xml:space="preserve"> et al., </w:t>
      </w:r>
      <w:r w:rsidR="008F4785" w:rsidRPr="007231BB">
        <w:rPr>
          <w:color w:val="222222"/>
          <w:shd w:val="clear" w:color="auto" w:fill="FFFFFF"/>
        </w:rPr>
        <w:t>2015</w:t>
      </w:r>
      <w:r w:rsidR="008F4785">
        <w:rPr>
          <w:color w:val="222222"/>
          <w:shd w:val="clear" w:color="auto" w:fill="FFFFFF"/>
        </w:rPr>
        <w:t>)</w:t>
      </w:r>
      <w:r>
        <w:t xml:space="preserve">. Job creation boosts economic growth, social cohesiveness, and communal relationships. The program's commitment to reducing carbon emissions shows the council's awareness of its responsibility in protecting the planet's natural balance. This supports the worldwide effort to combat climate change, confirming the council's </w:t>
      </w:r>
      <w:r>
        <w:lastRenderedPageBreak/>
        <w:t xml:space="preserve">environmental concerns. The Barnsley 2030 </w:t>
      </w:r>
      <w:r w:rsidR="007231BB">
        <w:t>program</w:t>
      </w:r>
      <w:r>
        <w:t xml:space="preserve"> also shows the council's dedication to resolving communal imbalances. The council </w:t>
      </w:r>
      <w:r w:rsidR="007231BB">
        <w:t>recognizes</w:t>
      </w:r>
      <w:r>
        <w:t xml:space="preserve"> that a fair and inclusive society is essential to develop through promoting gender equality</w:t>
      </w:r>
      <w:r w:rsidR="008F4785">
        <w:t xml:space="preserve"> (</w:t>
      </w:r>
      <w:r w:rsidR="008F4785" w:rsidRPr="007231BB">
        <w:rPr>
          <w:color w:val="222222"/>
          <w:shd w:val="clear" w:color="auto" w:fill="FFFFFF"/>
        </w:rPr>
        <w:t>Chambers</w:t>
      </w:r>
      <w:r w:rsidR="008F4785">
        <w:rPr>
          <w:color w:val="222222"/>
          <w:shd w:val="clear" w:color="auto" w:fill="FFFFFF"/>
        </w:rPr>
        <w:t xml:space="preserve"> et al., </w:t>
      </w:r>
      <w:r w:rsidR="008F4785" w:rsidRPr="007231BB">
        <w:rPr>
          <w:color w:val="222222"/>
          <w:shd w:val="clear" w:color="auto" w:fill="FFFFFF"/>
        </w:rPr>
        <w:t>2021</w:t>
      </w:r>
      <w:r w:rsidR="008F4785">
        <w:rPr>
          <w:color w:val="222222"/>
          <w:shd w:val="clear" w:color="auto" w:fill="FFFFFF"/>
        </w:rPr>
        <w:t>)</w:t>
      </w:r>
      <w:r>
        <w:t xml:space="preserve">. This effort shows the council's response to citizens' changing needs and ambitions. The Barnsley 2030 </w:t>
      </w:r>
      <w:r w:rsidR="007231BB">
        <w:t>program</w:t>
      </w:r>
      <w:r>
        <w:t xml:space="preserve"> combines community needs with a long-term vision. It skillfully balances sustainable economic development, ecological awareness, and social equality, creating a comprehensive, long-term growth environment</w:t>
      </w:r>
      <w:r w:rsidR="008F4785">
        <w:t xml:space="preserve"> (</w:t>
      </w:r>
      <w:r w:rsidR="008F4785" w:rsidRPr="007231BB">
        <w:rPr>
          <w:color w:val="222222"/>
          <w:shd w:val="clear" w:color="auto" w:fill="FFFFFF"/>
        </w:rPr>
        <w:t>France-Harris</w:t>
      </w:r>
      <w:r w:rsidR="008F4785">
        <w:rPr>
          <w:color w:val="222222"/>
          <w:shd w:val="clear" w:color="auto" w:fill="FFFFFF"/>
        </w:rPr>
        <w:t xml:space="preserve"> et al., </w:t>
      </w:r>
      <w:r w:rsidR="008F4785" w:rsidRPr="007231BB">
        <w:rPr>
          <w:color w:val="222222"/>
          <w:shd w:val="clear" w:color="auto" w:fill="FFFFFF"/>
        </w:rPr>
        <w:t>2019</w:t>
      </w:r>
      <w:r w:rsidR="008F4785">
        <w:rPr>
          <w:color w:val="222222"/>
          <w:shd w:val="clear" w:color="auto" w:fill="FFFFFF"/>
        </w:rPr>
        <w:t>)</w:t>
      </w:r>
      <w:r>
        <w:t xml:space="preserve">. </w:t>
      </w:r>
    </w:p>
    <w:p w14:paraId="514AC3F2" w14:textId="77777777" w:rsidR="005F00B3" w:rsidRDefault="005F00B3" w:rsidP="007231BB">
      <w:pPr>
        <w:spacing w:line="360" w:lineRule="auto"/>
        <w:jc w:val="both"/>
      </w:pPr>
    </w:p>
    <w:p w14:paraId="207A352F" w14:textId="10406833" w:rsidR="006F0B95" w:rsidRDefault="006F0B95" w:rsidP="007231BB">
      <w:pPr>
        <w:pStyle w:val="Heading2"/>
        <w:spacing w:line="360" w:lineRule="auto"/>
        <w:jc w:val="both"/>
      </w:pPr>
      <w:bookmarkStart w:id="5" w:name="_Toc143371077"/>
      <w:r>
        <w:t>Reflection on Alternative Approaches</w:t>
      </w:r>
      <w:bookmarkEnd w:id="5"/>
    </w:p>
    <w:p w14:paraId="521E510F" w14:textId="0DD52CD4" w:rsidR="006F0B95" w:rsidRDefault="006F0B95" w:rsidP="007231BB">
      <w:pPr>
        <w:spacing w:line="360" w:lineRule="auto"/>
        <w:jc w:val="both"/>
      </w:pPr>
      <w:r>
        <w:t xml:space="preserve">While the council's present strategy has yielded some positive results, it would be wise to investigate whether or not other approaches may provide even better community involvement. While the use of social media </w:t>
      </w:r>
      <w:r w:rsidR="007231BB">
        <w:t>is</w:t>
      </w:r>
      <w:r>
        <w:t xml:space="preserve"> effective, combining it with town hall meetings in person may provide the process </w:t>
      </w:r>
      <w:r w:rsidR="007231BB">
        <w:t xml:space="preserve">with </w:t>
      </w:r>
      <w:r>
        <w:t>a more personal feel. In-person meetings have the distinct benefit of facilitating the instantaneous sharing of ideas, concerns, and feedback</w:t>
      </w:r>
      <w:r w:rsidR="008F4785">
        <w:t xml:space="preserve"> (</w:t>
      </w:r>
      <w:r w:rsidR="008F4785" w:rsidRPr="007231BB">
        <w:rPr>
          <w:color w:val="222222"/>
          <w:shd w:val="clear" w:color="auto" w:fill="FFFFFF"/>
        </w:rPr>
        <w:t>Cyril</w:t>
      </w:r>
      <w:r w:rsidR="008F4785">
        <w:rPr>
          <w:color w:val="222222"/>
          <w:shd w:val="clear" w:color="auto" w:fill="FFFFFF"/>
        </w:rPr>
        <w:t xml:space="preserve"> et al., </w:t>
      </w:r>
      <w:r w:rsidR="008F4785" w:rsidRPr="007231BB">
        <w:rPr>
          <w:color w:val="222222"/>
          <w:shd w:val="clear" w:color="auto" w:fill="FFFFFF"/>
        </w:rPr>
        <w:t>2015</w:t>
      </w:r>
      <w:r w:rsidR="008F4785">
        <w:rPr>
          <w:color w:val="222222"/>
          <w:shd w:val="clear" w:color="auto" w:fill="FFFFFF"/>
        </w:rPr>
        <w:t>)</w:t>
      </w:r>
      <w:r>
        <w:t>. This one-on-one interaction has the potential to forge bonds and provoke insights that can't be obtained via digital mediums alone</w:t>
      </w:r>
      <w:r w:rsidR="008F4785">
        <w:t xml:space="preserve"> (</w:t>
      </w:r>
      <w:r w:rsidR="008F4785" w:rsidRPr="008F4785">
        <w:rPr>
          <w:color w:val="222222"/>
          <w:shd w:val="clear" w:color="auto" w:fill="FFFFFF"/>
        </w:rPr>
        <w:t>Rhodes</w:t>
      </w:r>
      <w:r w:rsidR="008F4785">
        <w:rPr>
          <w:color w:val="222222"/>
          <w:shd w:val="clear" w:color="auto" w:fill="FFFFFF"/>
        </w:rPr>
        <w:t xml:space="preserve"> et al., </w:t>
      </w:r>
      <w:r w:rsidR="008F4785" w:rsidRPr="008F4785">
        <w:rPr>
          <w:color w:val="222222"/>
          <w:shd w:val="clear" w:color="auto" w:fill="FFFFFF"/>
        </w:rPr>
        <w:t>2021</w:t>
      </w:r>
      <w:r w:rsidR="008F4785">
        <w:rPr>
          <w:color w:val="222222"/>
          <w:shd w:val="clear" w:color="auto" w:fill="FFFFFF"/>
        </w:rPr>
        <w:t>)</w:t>
      </w:r>
      <w:r>
        <w:t xml:space="preserve">. While it's important to implement future-focused initiatives, it's also important to include a more thorough assessment of actual results. This requires a thoughtful look back at the results achieved by these tactics to determine their value to the community. By including this reflective stage </w:t>
      </w:r>
      <w:r w:rsidR="007231BB">
        <w:t>in</w:t>
      </w:r>
      <w:r>
        <w:t xml:space="preserve"> the procedure, the council can guarantee that its </w:t>
      </w:r>
      <w:r w:rsidR="007231BB">
        <w:t>programs</w:t>
      </w:r>
      <w:r>
        <w:t xml:space="preserve"> continue to adapt to the changing needs and goals of the community</w:t>
      </w:r>
      <w:r w:rsidR="008F4785">
        <w:t xml:space="preserve"> (</w:t>
      </w:r>
      <w:r w:rsidR="008F4785" w:rsidRPr="007231BB">
        <w:rPr>
          <w:color w:val="222222"/>
          <w:shd w:val="clear" w:color="auto" w:fill="FFFFFF"/>
        </w:rPr>
        <w:t>France-Harris</w:t>
      </w:r>
      <w:r w:rsidR="008F4785">
        <w:rPr>
          <w:color w:val="222222"/>
          <w:shd w:val="clear" w:color="auto" w:fill="FFFFFF"/>
        </w:rPr>
        <w:t xml:space="preserve"> et al., </w:t>
      </w:r>
      <w:r w:rsidR="008F4785" w:rsidRPr="007231BB">
        <w:rPr>
          <w:color w:val="222222"/>
          <w:shd w:val="clear" w:color="auto" w:fill="FFFFFF"/>
        </w:rPr>
        <w:t>2019</w:t>
      </w:r>
      <w:r w:rsidR="008F4785">
        <w:rPr>
          <w:color w:val="222222"/>
          <w:shd w:val="clear" w:color="auto" w:fill="FFFFFF"/>
        </w:rPr>
        <w:t>)</w:t>
      </w:r>
      <w:r>
        <w:t>. Such introspection protects against complacency, keeping the council's efforts fresh and responsive to the needs of its people even when those needs change over time</w:t>
      </w:r>
      <w:r w:rsidR="008F4785">
        <w:t xml:space="preserve"> (</w:t>
      </w:r>
      <w:r w:rsidR="008F4785" w:rsidRPr="007231BB">
        <w:rPr>
          <w:color w:val="222222"/>
          <w:shd w:val="clear" w:color="auto" w:fill="FFFFFF"/>
        </w:rPr>
        <w:t>Ebersöhn</w:t>
      </w:r>
      <w:r w:rsidR="008F4785">
        <w:rPr>
          <w:color w:val="222222"/>
          <w:shd w:val="clear" w:color="auto" w:fill="FFFFFF"/>
        </w:rPr>
        <w:t xml:space="preserve"> et al., </w:t>
      </w:r>
      <w:r w:rsidR="008F4785" w:rsidRPr="007231BB">
        <w:rPr>
          <w:color w:val="222222"/>
          <w:shd w:val="clear" w:color="auto" w:fill="FFFFFF"/>
        </w:rPr>
        <w:t>2015</w:t>
      </w:r>
      <w:r w:rsidR="008F4785">
        <w:rPr>
          <w:color w:val="222222"/>
          <w:shd w:val="clear" w:color="auto" w:fill="FFFFFF"/>
        </w:rPr>
        <w:t>)</w:t>
      </w:r>
      <w:r w:rsidR="00371722">
        <w:t xml:space="preserve">. </w:t>
      </w:r>
      <w:r>
        <w:t xml:space="preserve">In essence, the council's dedication to </w:t>
      </w:r>
      <w:r w:rsidR="007231BB">
        <w:t>optimizing</w:t>
      </w:r>
      <w:r>
        <w:t xml:space="preserve"> community involvement tactics is strengthened by exploring alternative paths and cultivating a reflective attitude, which guarantees that their efforts are always in tune with the community's shifting dynamics.</w:t>
      </w:r>
    </w:p>
    <w:p w14:paraId="4B46B2BD" w14:textId="77777777" w:rsidR="005F00B3" w:rsidRDefault="005F00B3" w:rsidP="007231BB">
      <w:pPr>
        <w:spacing w:line="360" w:lineRule="auto"/>
        <w:jc w:val="both"/>
      </w:pPr>
    </w:p>
    <w:p w14:paraId="17AFC89F" w14:textId="31E0CE92" w:rsidR="006F0B95" w:rsidRDefault="006F0B95" w:rsidP="007231BB">
      <w:pPr>
        <w:pStyle w:val="Heading2"/>
        <w:spacing w:line="360" w:lineRule="auto"/>
        <w:jc w:val="both"/>
      </w:pPr>
      <w:bookmarkStart w:id="6" w:name="_Toc143371078"/>
      <w:r>
        <w:t>Impact of Active Consultation, Communication, and Participation</w:t>
      </w:r>
      <w:bookmarkEnd w:id="6"/>
    </w:p>
    <w:p w14:paraId="08436342" w14:textId="0FFE9C83" w:rsidR="006F0B95" w:rsidRDefault="006F0B95" w:rsidP="007231BB">
      <w:pPr>
        <w:spacing w:line="360" w:lineRule="auto"/>
        <w:jc w:val="both"/>
      </w:pPr>
      <w:r>
        <w:t xml:space="preserve">Active dialogue, communication, and stakeholder involvement have shaped Barnsley 2030. Citizens' conscious participation in decision-making has shown the complex web of community </w:t>
      </w:r>
      <w:r>
        <w:lastRenderedPageBreak/>
        <w:t xml:space="preserve">needs and preferences. This participatory approach promotes community ownership and strengthens the council's ability to adapt activities to these ambitions. Public trust was strengthened by this participation. By giving individuals a meaningful role in </w:t>
      </w:r>
      <w:r w:rsidR="007231BB">
        <w:t>molding</w:t>
      </w:r>
      <w:r>
        <w:t xml:space="preserve"> their community's destiny, the council has built credibility. This trust creates a transparent and open climate between the council and the community. The benefits are far-reaching; disagreements are managed, and projects and efforts go smoothly</w:t>
      </w:r>
      <w:r w:rsidR="008F4785">
        <w:t xml:space="preserve"> (</w:t>
      </w:r>
      <w:r w:rsidR="008F4785" w:rsidRPr="007231BB">
        <w:rPr>
          <w:color w:val="222222"/>
          <w:shd w:val="clear" w:color="auto" w:fill="FFFFFF"/>
        </w:rPr>
        <w:t>Cyril</w:t>
      </w:r>
      <w:r w:rsidR="008F4785">
        <w:rPr>
          <w:color w:val="222222"/>
          <w:shd w:val="clear" w:color="auto" w:fill="FFFFFF"/>
        </w:rPr>
        <w:t xml:space="preserve"> et al., </w:t>
      </w:r>
      <w:r w:rsidR="008F4785" w:rsidRPr="007231BB">
        <w:rPr>
          <w:color w:val="222222"/>
          <w:shd w:val="clear" w:color="auto" w:fill="FFFFFF"/>
        </w:rPr>
        <w:t>2015</w:t>
      </w:r>
      <w:r w:rsidR="008F4785">
        <w:rPr>
          <w:color w:val="222222"/>
          <w:shd w:val="clear" w:color="auto" w:fill="FFFFFF"/>
        </w:rPr>
        <w:t>)</w:t>
      </w:r>
      <w:r>
        <w:t xml:space="preserve">. Active engagement fosters a feeling of responsibility and shared destiny in an inclusive era. As residents share their thoughts and opinions, a sense of ownership grows. This co-creation gives the Barnsley 2030 </w:t>
      </w:r>
      <w:r w:rsidR="007231BB">
        <w:t>program</w:t>
      </w:r>
      <w:r>
        <w:t xml:space="preserve"> a dynamic energy that shows its success is a communal effort. Active consultation, communication, and involvement leave a community built on trust, informed decision-making, and a tangible commitment </w:t>
      </w:r>
      <w:r w:rsidR="007231BB">
        <w:t>to</w:t>
      </w:r>
      <w:r>
        <w:t xml:space="preserve"> the program's success</w:t>
      </w:r>
      <w:r w:rsidR="008F4785">
        <w:t xml:space="preserve"> (</w:t>
      </w:r>
      <w:r w:rsidR="008F4785" w:rsidRPr="007231BB">
        <w:rPr>
          <w:color w:val="222222"/>
          <w:shd w:val="clear" w:color="auto" w:fill="FFFFFF"/>
        </w:rPr>
        <w:t>France-Harris</w:t>
      </w:r>
      <w:r w:rsidR="008F4785">
        <w:rPr>
          <w:color w:val="222222"/>
          <w:shd w:val="clear" w:color="auto" w:fill="FFFFFF"/>
        </w:rPr>
        <w:t xml:space="preserve"> et al., </w:t>
      </w:r>
      <w:r w:rsidR="008F4785" w:rsidRPr="007231BB">
        <w:rPr>
          <w:color w:val="222222"/>
          <w:shd w:val="clear" w:color="auto" w:fill="FFFFFF"/>
        </w:rPr>
        <w:t>2019</w:t>
      </w:r>
      <w:r w:rsidR="008F4785">
        <w:rPr>
          <w:color w:val="222222"/>
          <w:shd w:val="clear" w:color="auto" w:fill="FFFFFF"/>
        </w:rPr>
        <w:t>)</w:t>
      </w:r>
      <w:r>
        <w:t>. This legacy shows how openness and cooperation may shape a community for sustainable and harmonious progress.</w:t>
      </w:r>
    </w:p>
    <w:p w14:paraId="37BFC183" w14:textId="77777777" w:rsidR="005F00B3" w:rsidRDefault="005F00B3" w:rsidP="007231BB">
      <w:pPr>
        <w:spacing w:line="360" w:lineRule="auto"/>
        <w:jc w:val="both"/>
      </w:pPr>
    </w:p>
    <w:p w14:paraId="1234B210" w14:textId="2540F140" w:rsidR="006F0B95" w:rsidRDefault="006F0B95" w:rsidP="007231BB">
      <w:pPr>
        <w:pStyle w:val="Heading2"/>
        <w:spacing w:line="360" w:lineRule="auto"/>
        <w:jc w:val="both"/>
      </w:pPr>
      <w:bookmarkStart w:id="7" w:name="_Toc143371079"/>
      <w:r>
        <w:t>Diversity, inclusion, and multi-agency collaborations</w:t>
      </w:r>
      <w:bookmarkEnd w:id="7"/>
    </w:p>
    <w:p w14:paraId="31B2D45B" w14:textId="4E1BC892" w:rsidR="006F0B95" w:rsidRDefault="006F0B95" w:rsidP="007231BB">
      <w:pPr>
        <w:spacing w:line="360" w:lineRule="auto"/>
        <w:jc w:val="both"/>
      </w:pPr>
      <w:r>
        <w:t xml:space="preserve">The council's focus on diversity and inclusion has created an atmosphere where all community members' perspectives are heard and valued. This focus </w:t>
      </w:r>
      <w:r w:rsidR="007231BB">
        <w:t>emphasizes</w:t>
      </w:r>
      <w:r>
        <w:t xml:space="preserve"> the council's commitment to justice and fosters an environment where varied populations' expertise is used for the common benefit. The council has cleverly created a forum that respects the community's many opinions by </w:t>
      </w:r>
      <w:r w:rsidR="007231BB">
        <w:t>recognizing</w:t>
      </w:r>
      <w:r>
        <w:t xml:space="preserve"> and celebrating them. The council's partnerships with numerous entities strengthen this overall community improvement approach. The council orchestrates a symphony of ideas that navigates challenging contemporary issues by convening people with diverse viewpoints and </w:t>
      </w:r>
      <w:r w:rsidR="007231BB">
        <w:t>experiences</w:t>
      </w:r>
      <w:r w:rsidR="008F4785">
        <w:t xml:space="preserve"> (</w:t>
      </w:r>
      <w:r w:rsidR="008F4785" w:rsidRPr="007231BB">
        <w:rPr>
          <w:color w:val="222222"/>
          <w:shd w:val="clear" w:color="auto" w:fill="FFFFFF"/>
        </w:rPr>
        <w:t>Boeri</w:t>
      </w:r>
      <w:r w:rsidR="008F4785">
        <w:rPr>
          <w:color w:val="222222"/>
          <w:shd w:val="clear" w:color="auto" w:fill="FFFFFF"/>
        </w:rPr>
        <w:t xml:space="preserve"> et al.,</w:t>
      </w:r>
      <w:r w:rsidR="008F4785" w:rsidRPr="007231BB">
        <w:rPr>
          <w:color w:val="222222"/>
          <w:shd w:val="clear" w:color="auto" w:fill="FFFFFF"/>
        </w:rPr>
        <w:t xml:space="preserve"> 2022</w:t>
      </w:r>
      <w:r w:rsidR="008F4785">
        <w:rPr>
          <w:color w:val="222222"/>
          <w:shd w:val="clear" w:color="auto" w:fill="FFFFFF"/>
        </w:rPr>
        <w:t>)</w:t>
      </w:r>
      <w:r>
        <w:t>. Inspired by a common commitment to community well-being, these partnerships result in multi-dimensional initiatives. The synergy created by multi-agency interactions goes beyond competence. These coalitions lead to comprehensive policies that address socioeconomic deprivation, discrimination, and ecological preservation. This composite approach to community planning avoids tunnel vision and reflects communal life's deep interconnectivity. The council's commitment to diversity and inclusion is a powerful declaration of its desire for harmony and inclusion</w:t>
      </w:r>
      <w:r w:rsidR="008F4785">
        <w:t xml:space="preserve"> (</w:t>
      </w:r>
      <w:r w:rsidR="008F4785" w:rsidRPr="007231BB">
        <w:rPr>
          <w:color w:val="222222"/>
          <w:shd w:val="clear" w:color="auto" w:fill="FFFFFF"/>
        </w:rPr>
        <w:t>Ebersöhn</w:t>
      </w:r>
      <w:r w:rsidR="008F4785">
        <w:rPr>
          <w:color w:val="222222"/>
          <w:shd w:val="clear" w:color="auto" w:fill="FFFFFF"/>
        </w:rPr>
        <w:t xml:space="preserve"> et al., </w:t>
      </w:r>
      <w:r w:rsidR="008F4785" w:rsidRPr="007231BB">
        <w:rPr>
          <w:color w:val="222222"/>
          <w:shd w:val="clear" w:color="auto" w:fill="FFFFFF"/>
        </w:rPr>
        <w:t>2015</w:t>
      </w:r>
      <w:r w:rsidR="008F4785">
        <w:rPr>
          <w:color w:val="222222"/>
          <w:shd w:val="clear" w:color="auto" w:fill="FFFFFF"/>
        </w:rPr>
        <w:t>)</w:t>
      </w:r>
      <w:r>
        <w:t xml:space="preserve">. Multi-agency cooperation </w:t>
      </w:r>
      <w:r w:rsidR="007231BB">
        <w:t>transforms</w:t>
      </w:r>
      <w:r>
        <w:t xml:space="preserve"> the council's strategies into comprehensive solutions that reflect community dynamics. This inclusive and </w:t>
      </w:r>
      <w:r>
        <w:lastRenderedPageBreak/>
        <w:t>respectful approach to community development exemplifies sustainable and genuinely representative community development</w:t>
      </w:r>
      <w:r w:rsidR="005F00B3">
        <w:t>.</w:t>
      </w:r>
    </w:p>
    <w:p w14:paraId="322B03D8" w14:textId="77777777" w:rsidR="005F00B3" w:rsidRDefault="005F00B3" w:rsidP="007231BB">
      <w:pPr>
        <w:spacing w:line="360" w:lineRule="auto"/>
        <w:jc w:val="both"/>
      </w:pPr>
    </w:p>
    <w:p w14:paraId="3EB5BD74" w14:textId="373F39A8" w:rsidR="006F0B95" w:rsidRDefault="006F0B95" w:rsidP="007231BB">
      <w:pPr>
        <w:pStyle w:val="Heading2"/>
        <w:spacing w:line="360" w:lineRule="auto"/>
        <w:jc w:val="both"/>
      </w:pPr>
      <w:bookmarkStart w:id="8" w:name="_Toc143371080"/>
      <w:r>
        <w:t>Community Mapping and Social Media Engagement</w:t>
      </w:r>
      <w:bookmarkEnd w:id="8"/>
    </w:p>
    <w:p w14:paraId="28244A62" w14:textId="21357F5C" w:rsidR="00371722" w:rsidRDefault="006F0B95" w:rsidP="007231BB">
      <w:pPr>
        <w:spacing w:line="360" w:lineRule="auto"/>
        <w:jc w:val="both"/>
      </w:pPr>
      <w:r>
        <w:t xml:space="preserve">The council's strategic framework, developed via community mapping, brings greater precision and </w:t>
      </w:r>
      <w:r w:rsidR="007231BB">
        <w:t>customization</w:t>
      </w:r>
      <w:r>
        <w:t xml:space="preserve"> to its work. This scientific technique, similar to cartographic navigation, has allowed the council to precisely shape </w:t>
      </w:r>
      <w:r w:rsidR="007231BB">
        <w:t>programs</w:t>
      </w:r>
      <w:r>
        <w:t xml:space="preserve"> and activities to fit each location. The council allocates resources effectively by identifying community needs</w:t>
      </w:r>
      <w:r w:rsidR="008F4785">
        <w:t xml:space="preserve"> (</w:t>
      </w:r>
      <w:r w:rsidR="008F4785" w:rsidRPr="008F4785">
        <w:rPr>
          <w:color w:val="222222"/>
          <w:shd w:val="clear" w:color="auto" w:fill="FFFFFF"/>
        </w:rPr>
        <w:t>Rhodes</w:t>
      </w:r>
      <w:r w:rsidR="008F4785">
        <w:rPr>
          <w:color w:val="222222"/>
          <w:shd w:val="clear" w:color="auto" w:fill="FFFFFF"/>
        </w:rPr>
        <w:t xml:space="preserve"> et al., </w:t>
      </w:r>
      <w:r w:rsidR="008F4785" w:rsidRPr="008F4785">
        <w:rPr>
          <w:color w:val="222222"/>
          <w:shd w:val="clear" w:color="auto" w:fill="FFFFFF"/>
        </w:rPr>
        <w:t>2021</w:t>
      </w:r>
      <w:r w:rsidR="008F4785">
        <w:rPr>
          <w:color w:val="222222"/>
          <w:shd w:val="clear" w:color="auto" w:fill="FFFFFF"/>
        </w:rPr>
        <w:t>)</w:t>
      </w:r>
      <w:r>
        <w:t xml:space="preserve">. This detailed mapping work goes beyond a geographical assessment to reveal each tiny pocket's needs and possibilities. It offers a roadmap to meaningful interventions and adjustments that account for local differences. This technique has helped harness resources more effectively by adopting a </w:t>
      </w:r>
      <w:r w:rsidR="007231BB">
        <w:t>customized</w:t>
      </w:r>
      <w:r>
        <w:t xml:space="preserve"> mindset that enhances </w:t>
      </w:r>
      <w:r w:rsidR="007231BB">
        <w:t xml:space="preserve">the </w:t>
      </w:r>
      <w:r>
        <w:t>impact</w:t>
      </w:r>
      <w:r w:rsidR="008F4785">
        <w:t xml:space="preserve"> (</w:t>
      </w:r>
      <w:r w:rsidR="008F4785" w:rsidRPr="007231BB">
        <w:rPr>
          <w:color w:val="222222"/>
          <w:shd w:val="clear" w:color="auto" w:fill="FFFFFF"/>
        </w:rPr>
        <w:t>Chambers</w:t>
      </w:r>
      <w:r w:rsidR="008F4785">
        <w:rPr>
          <w:color w:val="222222"/>
          <w:shd w:val="clear" w:color="auto" w:fill="FFFFFF"/>
        </w:rPr>
        <w:t xml:space="preserve"> et al., </w:t>
      </w:r>
      <w:r w:rsidR="008F4785" w:rsidRPr="007231BB">
        <w:rPr>
          <w:color w:val="222222"/>
          <w:shd w:val="clear" w:color="auto" w:fill="FFFFFF"/>
        </w:rPr>
        <w:t>2021</w:t>
      </w:r>
      <w:r w:rsidR="008F4785">
        <w:rPr>
          <w:color w:val="222222"/>
          <w:shd w:val="clear" w:color="auto" w:fill="FFFFFF"/>
        </w:rPr>
        <w:t>)</w:t>
      </w:r>
      <w:r>
        <w:t xml:space="preserve">. Similarly, the council's savvy use of social media has become a modern engagement tool. Facebook, Twitter, Instagram, TikTok, and YouTube become active communication channels. This dynamic interaction creates an iterative exchange of ideas in which the council shares information and receives quick </w:t>
      </w:r>
      <w:r w:rsidR="007231BB">
        <w:t>responses</w:t>
      </w:r>
      <w:r>
        <w:t xml:space="preserve">. Constituents actively share their thoughts, concerns, and goals </w:t>
      </w:r>
      <w:r w:rsidR="007231BB">
        <w:t>in</w:t>
      </w:r>
      <w:r>
        <w:t xml:space="preserve"> this virtual symposium of involvement</w:t>
      </w:r>
      <w:r w:rsidR="008F4785">
        <w:t xml:space="preserve"> (</w:t>
      </w:r>
      <w:r w:rsidR="008F4785" w:rsidRPr="008F4785">
        <w:rPr>
          <w:color w:val="222222"/>
          <w:shd w:val="clear" w:color="auto" w:fill="FFFFFF"/>
        </w:rPr>
        <w:t>Lemk</w:t>
      </w:r>
      <w:r w:rsidR="008F4785">
        <w:rPr>
          <w:color w:val="222222"/>
          <w:shd w:val="clear" w:color="auto" w:fill="FFFFFF"/>
        </w:rPr>
        <w:t xml:space="preserve">e et al., </w:t>
      </w:r>
      <w:r w:rsidR="008F4785" w:rsidRPr="008F4785">
        <w:rPr>
          <w:color w:val="222222"/>
          <w:shd w:val="clear" w:color="auto" w:fill="FFFFFF"/>
        </w:rPr>
        <w:t>2022</w:t>
      </w:r>
      <w:r w:rsidR="008F4785">
        <w:rPr>
          <w:color w:val="222222"/>
          <w:shd w:val="clear" w:color="auto" w:fill="FFFFFF"/>
        </w:rPr>
        <w:t>)</w:t>
      </w:r>
      <w:r>
        <w:t>. In exchange, the council effortlessly feeds real-time reports, keeping the community informed of current efforts. It bridges the linear distance between the governing body and the governed community, promoting participatory governance and communal ownership</w:t>
      </w:r>
      <w:r w:rsidR="008F4785">
        <w:t xml:space="preserve"> (</w:t>
      </w:r>
      <w:r w:rsidR="008F4785" w:rsidRPr="008F4785">
        <w:rPr>
          <w:color w:val="222222"/>
          <w:shd w:val="clear" w:color="auto" w:fill="FFFFFF"/>
        </w:rPr>
        <w:t>Machimana</w:t>
      </w:r>
      <w:r w:rsidR="008F4785">
        <w:rPr>
          <w:color w:val="222222"/>
          <w:shd w:val="clear" w:color="auto" w:fill="FFFFFF"/>
        </w:rPr>
        <w:t xml:space="preserve"> et al., </w:t>
      </w:r>
      <w:r w:rsidR="008F4785" w:rsidRPr="008F4785">
        <w:rPr>
          <w:color w:val="222222"/>
          <w:shd w:val="clear" w:color="auto" w:fill="FFFFFF"/>
        </w:rPr>
        <w:t>2021</w:t>
      </w:r>
      <w:r w:rsidR="008F4785">
        <w:rPr>
          <w:color w:val="222222"/>
          <w:shd w:val="clear" w:color="auto" w:fill="FFFFFF"/>
        </w:rPr>
        <w:t>)</w:t>
      </w:r>
      <w:r>
        <w:t xml:space="preserve">. </w:t>
      </w:r>
      <w:r w:rsidR="00371722">
        <w:t>T</w:t>
      </w:r>
      <w:r>
        <w:t xml:space="preserve">he council's community mapping and social media involvement demonstrate strategic and technical expertise. The harmonic balance enlivens community-centric government, where every community sector finds its voice and the council its compass. This precision-engagement </w:t>
      </w:r>
      <w:r w:rsidR="007231BB">
        <w:t>synchronization</w:t>
      </w:r>
      <w:r>
        <w:t xml:space="preserve"> establishes a paradigm that moves the council into a future where initiatives are surgically crafted and communally welcomed</w:t>
      </w:r>
      <w:r w:rsidR="008F4785">
        <w:t xml:space="preserve"> (</w:t>
      </w:r>
      <w:r w:rsidR="008F4785" w:rsidRPr="007231BB">
        <w:rPr>
          <w:color w:val="222222"/>
          <w:shd w:val="clear" w:color="auto" w:fill="FFFFFF"/>
        </w:rPr>
        <w:t>de Wet</w:t>
      </w:r>
      <w:r w:rsidR="008F4785">
        <w:rPr>
          <w:color w:val="222222"/>
          <w:shd w:val="clear" w:color="auto" w:fill="FFFFFF"/>
        </w:rPr>
        <w:t xml:space="preserve"> et al.,</w:t>
      </w:r>
      <w:r w:rsidR="008F4785" w:rsidRPr="007231BB">
        <w:rPr>
          <w:color w:val="222222"/>
          <w:shd w:val="clear" w:color="auto" w:fill="FFFFFF"/>
        </w:rPr>
        <w:t xml:space="preserve"> 2020</w:t>
      </w:r>
      <w:r w:rsidR="008F4785">
        <w:rPr>
          <w:color w:val="222222"/>
          <w:shd w:val="clear" w:color="auto" w:fill="FFFFFF"/>
        </w:rPr>
        <w:t>)</w:t>
      </w:r>
      <w:r>
        <w:t>.</w:t>
      </w:r>
      <w:r w:rsidR="005F00B3">
        <w:t xml:space="preserve"> </w:t>
      </w:r>
      <w:r>
        <w:t>Barnsley Metropolitan Borough Council's Barnsley 2030 community involvement policies have achieved sustained economic, social, and communal development. Through teamwork, communication, and stakeholder involvement, the council has established an atmosphere where various perspectives are heard and community needs are handled completely. The council's active participation, varied representation, and inclusive cooperation have helped projects succeed and empower Barnsley's community</w:t>
      </w:r>
      <w:r w:rsidR="008F4785">
        <w:t xml:space="preserve"> (</w:t>
      </w:r>
      <w:r w:rsidR="008F4785" w:rsidRPr="007231BB">
        <w:rPr>
          <w:color w:val="222222"/>
          <w:shd w:val="clear" w:color="auto" w:fill="FFFFFF"/>
        </w:rPr>
        <w:t>Ebersöhn</w:t>
      </w:r>
      <w:r w:rsidR="008F4785">
        <w:rPr>
          <w:color w:val="222222"/>
          <w:shd w:val="clear" w:color="auto" w:fill="FFFFFF"/>
        </w:rPr>
        <w:t xml:space="preserve"> et al., </w:t>
      </w:r>
      <w:r w:rsidR="008F4785" w:rsidRPr="007231BB">
        <w:rPr>
          <w:color w:val="222222"/>
          <w:shd w:val="clear" w:color="auto" w:fill="FFFFFF"/>
        </w:rPr>
        <w:t>2015</w:t>
      </w:r>
      <w:r w:rsidR="008F4785">
        <w:rPr>
          <w:color w:val="222222"/>
          <w:shd w:val="clear" w:color="auto" w:fill="FFFFFF"/>
        </w:rPr>
        <w:t>)</w:t>
      </w:r>
      <w:r>
        <w:t>.</w:t>
      </w:r>
    </w:p>
    <w:p w14:paraId="31B9B58E" w14:textId="77777777" w:rsidR="005F00B3" w:rsidRDefault="005F00B3" w:rsidP="007231BB">
      <w:pPr>
        <w:spacing w:line="360" w:lineRule="auto"/>
        <w:jc w:val="both"/>
      </w:pPr>
    </w:p>
    <w:p w14:paraId="47B16887" w14:textId="7CCA557F" w:rsidR="00371722" w:rsidRDefault="00371722" w:rsidP="007231BB">
      <w:pPr>
        <w:pStyle w:val="Heading2"/>
        <w:spacing w:line="360" w:lineRule="auto"/>
        <w:jc w:val="both"/>
      </w:pPr>
      <w:bookmarkStart w:id="9" w:name="_Toc143371081"/>
      <w:r>
        <w:t>Impacts and Justification of Best Practises</w:t>
      </w:r>
      <w:bookmarkEnd w:id="9"/>
    </w:p>
    <w:p w14:paraId="4C5C7091" w14:textId="6E1E0BDA" w:rsidR="00371722" w:rsidRDefault="00371722" w:rsidP="007231BB">
      <w:pPr>
        <w:spacing w:line="360" w:lineRule="auto"/>
        <w:jc w:val="both"/>
      </w:pPr>
      <w:r>
        <w:t xml:space="preserve">The strategic integration of community engagement best </w:t>
      </w:r>
      <w:r w:rsidR="007231BB">
        <w:t>practices</w:t>
      </w:r>
      <w:r>
        <w:t xml:space="preserve"> has driven Barnsley Metropolitan Borough Council's success. This </w:t>
      </w:r>
      <w:r w:rsidR="007231BB">
        <w:t>skilful</w:t>
      </w:r>
      <w:r>
        <w:t xml:space="preserve"> assimilation has had positive ripple effects throughout the community. Transparent communication, a foundation of trust-building, has led to stakeholders' confidence being strengthened. This trust binds disparate parties in a tapestry of collaboration, guiding them away from conflict. The council's honest and open communication creates an atmosphere where it is seen as a partner in community advancement rather than merely an authority</w:t>
      </w:r>
      <w:r w:rsidR="008F4785">
        <w:t xml:space="preserve"> (</w:t>
      </w:r>
      <w:r w:rsidR="008F4785" w:rsidRPr="007231BB">
        <w:rPr>
          <w:color w:val="222222"/>
          <w:shd w:val="clear" w:color="auto" w:fill="FFFFFF"/>
        </w:rPr>
        <w:t>Boeri</w:t>
      </w:r>
      <w:r w:rsidR="008F4785">
        <w:rPr>
          <w:color w:val="222222"/>
          <w:shd w:val="clear" w:color="auto" w:fill="FFFFFF"/>
        </w:rPr>
        <w:t xml:space="preserve"> et al.,</w:t>
      </w:r>
      <w:r w:rsidR="008F4785" w:rsidRPr="007231BB">
        <w:rPr>
          <w:color w:val="222222"/>
          <w:shd w:val="clear" w:color="auto" w:fill="FFFFFF"/>
        </w:rPr>
        <w:t xml:space="preserve"> 2022</w:t>
      </w:r>
      <w:r w:rsidR="008F4785">
        <w:rPr>
          <w:color w:val="222222"/>
          <w:shd w:val="clear" w:color="auto" w:fill="FFFFFF"/>
        </w:rPr>
        <w:t>).</w:t>
      </w:r>
      <w:r>
        <w:t xml:space="preserve"> Parallel to this, the council's active dialogue and engagement </w:t>
      </w:r>
      <w:r w:rsidR="007231BB">
        <w:t>have</w:t>
      </w:r>
      <w:r>
        <w:t xml:space="preserve"> empowered residents. As stakeholders in decision-making, a shared feeling of agency emerges from the </w:t>
      </w:r>
      <w:r w:rsidR="007231BB">
        <w:t>realization</w:t>
      </w:r>
      <w:r>
        <w:t xml:space="preserve"> that their opinions are heard and sought. This inclusion fosters a strong feeling of community ownership, where citizens see themselves as change makers rather than passive recipients. This ownership creates a reciprocal relationship where the council's successes are the community's successes. The council's successful partnerships with many entities demonstrate the practicality of multiple methods</w:t>
      </w:r>
      <w:r w:rsidR="008F4785">
        <w:t xml:space="preserve"> (</w:t>
      </w:r>
      <w:r w:rsidR="008F4785" w:rsidRPr="007231BB">
        <w:rPr>
          <w:color w:val="222222"/>
          <w:shd w:val="clear" w:color="auto" w:fill="FFFFFF"/>
        </w:rPr>
        <w:t>Head, 20</w:t>
      </w:r>
      <w:r w:rsidR="008F4785">
        <w:rPr>
          <w:color w:val="222222"/>
          <w:shd w:val="clear" w:color="auto" w:fill="FFFFFF"/>
        </w:rPr>
        <w:t>1</w:t>
      </w:r>
      <w:r w:rsidR="008F4785" w:rsidRPr="007231BB">
        <w:rPr>
          <w:color w:val="222222"/>
          <w:shd w:val="clear" w:color="auto" w:fill="FFFFFF"/>
        </w:rPr>
        <w:t>7</w:t>
      </w:r>
      <w:r w:rsidR="008F4785">
        <w:rPr>
          <w:color w:val="222222"/>
          <w:shd w:val="clear" w:color="auto" w:fill="FFFFFF"/>
        </w:rPr>
        <w:t>)</w:t>
      </w:r>
      <w:r>
        <w:t>. These collaborations provide multifaceted community solutions by sharing resources, ideas, and skills. Comprehensive solutions reflect the council's commitment to holistic development, which addresses social, economic, and environmental challenges together.  The council's embracing of varied social media platforms has opened up new involvement avenues, creating an inclusive, limitless communication environment. Facebook, Twitter, Instagram, TikTok, and YouTube become digital agora where varied voices speak, enabling the council to share information, seek criticism, and have real-time dialogues</w:t>
      </w:r>
      <w:r w:rsidR="008F4785">
        <w:t xml:space="preserve"> (</w:t>
      </w:r>
      <w:r w:rsidR="008F4785" w:rsidRPr="007231BB">
        <w:rPr>
          <w:color w:val="222222"/>
          <w:shd w:val="clear" w:color="auto" w:fill="FFFFFF"/>
        </w:rPr>
        <w:t>de Wet</w:t>
      </w:r>
      <w:r w:rsidR="008F4785">
        <w:rPr>
          <w:color w:val="222222"/>
          <w:shd w:val="clear" w:color="auto" w:fill="FFFFFF"/>
        </w:rPr>
        <w:t xml:space="preserve"> et al.,</w:t>
      </w:r>
      <w:r w:rsidR="008F4785" w:rsidRPr="007231BB">
        <w:rPr>
          <w:color w:val="222222"/>
          <w:shd w:val="clear" w:color="auto" w:fill="FFFFFF"/>
        </w:rPr>
        <w:t xml:space="preserve"> 2020</w:t>
      </w:r>
      <w:r w:rsidR="008F4785">
        <w:rPr>
          <w:color w:val="222222"/>
          <w:shd w:val="clear" w:color="auto" w:fill="FFFFFF"/>
        </w:rPr>
        <w:t>)</w:t>
      </w:r>
      <w:r>
        <w:t xml:space="preserve">. This </w:t>
      </w:r>
      <w:r w:rsidR="007231BB">
        <w:t>democratization</w:t>
      </w:r>
      <w:r>
        <w:t xml:space="preserve"> of communication extends </w:t>
      </w:r>
      <w:r w:rsidR="007231BB">
        <w:t xml:space="preserve">to </w:t>
      </w:r>
      <w:r>
        <w:t xml:space="preserve">outreach and launches the council into real-time involvement, where accessibility and diversity are key. </w:t>
      </w:r>
    </w:p>
    <w:p w14:paraId="20CE320C" w14:textId="11DE861F" w:rsidR="00371722" w:rsidRDefault="00371722" w:rsidP="007231BB">
      <w:pPr>
        <w:spacing w:line="360" w:lineRule="auto"/>
        <w:jc w:val="both"/>
      </w:pPr>
      <w:r>
        <w:t xml:space="preserve">These best </w:t>
      </w:r>
      <w:r w:rsidR="007231BB">
        <w:t>practices</w:t>
      </w:r>
      <w:r>
        <w:t xml:space="preserve"> create a tableau of development that includes trust, empowerment, complete solutions, and real-time interaction. These effects support the council's commitment to a community-centric strategy that links </w:t>
      </w:r>
      <w:r w:rsidR="007231BB">
        <w:t>its</w:t>
      </w:r>
      <w:r>
        <w:t xml:space="preserve"> efforts with the community they serve.</w:t>
      </w:r>
      <w:r>
        <w:br w:type="page"/>
      </w:r>
    </w:p>
    <w:p w14:paraId="6103E2FA" w14:textId="3CC35997" w:rsidR="006F0B95" w:rsidRDefault="00371722" w:rsidP="007231BB">
      <w:pPr>
        <w:pStyle w:val="Heading1"/>
        <w:spacing w:line="360" w:lineRule="auto"/>
        <w:jc w:val="both"/>
      </w:pPr>
      <w:bookmarkStart w:id="10" w:name="_Toc143371082"/>
      <w:r>
        <w:lastRenderedPageBreak/>
        <w:t>Conclusion</w:t>
      </w:r>
      <w:bookmarkEnd w:id="10"/>
    </w:p>
    <w:p w14:paraId="2D50BC37" w14:textId="50B43717" w:rsidR="005F00B3" w:rsidRDefault="00371722" w:rsidP="007231BB">
      <w:pPr>
        <w:spacing w:line="360" w:lineRule="auto"/>
        <w:jc w:val="both"/>
      </w:pPr>
      <w:r>
        <w:t xml:space="preserve">The Barnsley Metropolitan Borough Council's community involvement has planted dramatic change in the busy Barnsley community. Barnsley 2030, a comprehensive plan for holistic development, shows the council's commitment to an inclusive, sustainable, and harmonious community. The council's pursuit of community involvement best </w:t>
      </w:r>
      <w:r w:rsidR="007231BB">
        <w:t>practices</w:t>
      </w:r>
      <w:r>
        <w:t xml:space="preserve"> has had a ripple effect on the community. Transparent communication has become a foundation for stakeholder trust and collaboration. Active dialogue and engagement have empowered individuals, fostering shared ownership and a common commitment to </w:t>
      </w:r>
      <w:r w:rsidR="007231BB">
        <w:t>program</w:t>
      </w:r>
      <w:r>
        <w:t xml:space="preserve"> success. The relationships with varied entities have produced comprehensive solutions that address a variety of </w:t>
      </w:r>
      <w:r w:rsidR="007231BB">
        <w:t>neighborhood</w:t>
      </w:r>
      <w:r>
        <w:t xml:space="preserve"> concerns. Social media becomes a widespread canvas for interaction, bridging the gap between government and the governed. Facebook, Twitter, Instagram, TikTok, and YouTube support real-time communication by hosting dynamic dialogues and gathering insights. The council's diversity, inclusivity, and multi-agency cooperation have created a dynamic progress environment. Open conversation, stakeholder empowerment, and strategic cohesiveness enable this ecosystem to smoothly integrate the council's goals with the community's needs. As we examine the process, it becomes evident that Barnsley Metropolitan Borough Council's engagement strategy is a live example of community-centric government. It represents the belief that a peaceful, progressive, and inclusive society may be achieved by hard work, open communication, and a common vision for the future. By creating Barnsley 2030, the council has outlined a route to a flourishing and resilient town, demonstrating the potential of true involvement and common effort.</w:t>
      </w:r>
    </w:p>
    <w:p w14:paraId="3A5DE189" w14:textId="77777777" w:rsidR="005F00B3" w:rsidRDefault="005F00B3" w:rsidP="007231BB">
      <w:pPr>
        <w:spacing w:line="360" w:lineRule="auto"/>
        <w:jc w:val="both"/>
      </w:pPr>
      <w:r>
        <w:br w:type="page"/>
      </w:r>
    </w:p>
    <w:p w14:paraId="37100A53" w14:textId="1CFBC9B0" w:rsidR="00371722" w:rsidRDefault="005F00B3" w:rsidP="007231BB">
      <w:pPr>
        <w:pStyle w:val="Heading1"/>
        <w:spacing w:line="360" w:lineRule="auto"/>
        <w:jc w:val="both"/>
      </w:pPr>
      <w:bookmarkStart w:id="11" w:name="_Toc143371083"/>
      <w:r>
        <w:lastRenderedPageBreak/>
        <w:t>Reference</w:t>
      </w:r>
      <w:bookmarkEnd w:id="11"/>
    </w:p>
    <w:p w14:paraId="0802C046" w14:textId="77777777" w:rsidR="007231BB" w:rsidRPr="008F4785" w:rsidRDefault="007231BB" w:rsidP="008F4785">
      <w:pPr>
        <w:spacing w:line="360" w:lineRule="auto"/>
        <w:jc w:val="both"/>
        <w:rPr>
          <w:color w:val="222222"/>
          <w:shd w:val="clear" w:color="auto" w:fill="FFFFFF"/>
        </w:rPr>
      </w:pPr>
      <w:r w:rsidRPr="008F4785">
        <w:rPr>
          <w:color w:val="222222"/>
          <w:shd w:val="clear" w:color="auto" w:fill="FFFFFF"/>
        </w:rPr>
        <w:t>Boeri, A., Longo, D., Orlandi, S., Roversi, R. and Turci, G., 2022. Community engagement and greening strategies as enabling practices for inclusive and resilient cities. </w:t>
      </w:r>
      <w:r w:rsidRPr="008F4785">
        <w:rPr>
          <w:i/>
          <w:iCs/>
          <w:color w:val="222222"/>
          <w:shd w:val="clear" w:color="auto" w:fill="FFFFFF"/>
        </w:rPr>
        <w:t>International Journal of Environmental Impacts</w:t>
      </w:r>
      <w:r w:rsidRPr="008F4785">
        <w:rPr>
          <w:color w:val="222222"/>
          <w:shd w:val="clear" w:color="auto" w:fill="FFFFFF"/>
        </w:rPr>
        <w:t>, </w:t>
      </w:r>
      <w:r w:rsidRPr="008F4785">
        <w:rPr>
          <w:i/>
          <w:iCs/>
          <w:color w:val="222222"/>
          <w:shd w:val="clear" w:color="auto" w:fill="FFFFFF"/>
        </w:rPr>
        <w:t>5</w:t>
      </w:r>
      <w:r w:rsidRPr="008F4785">
        <w:rPr>
          <w:color w:val="222222"/>
          <w:shd w:val="clear" w:color="auto" w:fill="FFFFFF"/>
        </w:rPr>
        <w:t>(1), pp.1-14.</w:t>
      </w:r>
    </w:p>
    <w:p w14:paraId="6C96EAD5" w14:textId="77777777" w:rsidR="007231BB" w:rsidRPr="008F4785" w:rsidRDefault="007231BB" w:rsidP="008F4785">
      <w:pPr>
        <w:spacing w:line="360" w:lineRule="auto"/>
        <w:jc w:val="both"/>
        <w:rPr>
          <w:color w:val="222222"/>
          <w:shd w:val="clear" w:color="auto" w:fill="FFFFFF"/>
        </w:rPr>
      </w:pPr>
      <w:r w:rsidRPr="008F4785">
        <w:rPr>
          <w:color w:val="222222"/>
          <w:shd w:val="clear" w:color="auto" w:fill="FFFFFF"/>
        </w:rPr>
        <w:t>Chambers, C., King, L.A., Cook, D., Malinauskaite, L., Willson, M., Ogilvie, A.E. and Einarsson, N., 2021. “Small Science”: Community Engagement and Local Research in an Era of Big Science Agendas. </w:t>
      </w:r>
      <w:r w:rsidRPr="008F4785">
        <w:rPr>
          <w:i/>
          <w:iCs/>
          <w:color w:val="222222"/>
          <w:shd w:val="clear" w:color="auto" w:fill="FFFFFF"/>
        </w:rPr>
        <w:t>Nordic perspectives on the responsible development of the arctic: Pathways to action</w:t>
      </w:r>
      <w:r w:rsidRPr="008F4785">
        <w:rPr>
          <w:color w:val="222222"/>
          <w:shd w:val="clear" w:color="auto" w:fill="FFFFFF"/>
        </w:rPr>
        <w:t>, pp.203-224.</w:t>
      </w:r>
    </w:p>
    <w:p w14:paraId="74BBF06D" w14:textId="77777777" w:rsidR="007231BB" w:rsidRPr="007231BB" w:rsidRDefault="007231BB" w:rsidP="008F4785">
      <w:pPr>
        <w:spacing w:line="360" w:lineRule="auto"/>
        <w:jc w:val="both"/>
      </w:pPr>
      <w:r w:rsidRPr="008F4785">
        <w:rPr>
          <w:color w:val="222222"/>
          <w:shd w:val="clear" w:color="auto" w:fill="FFFFFF"/>
        </w:rPr>
        <w:t>Cyril, S., Smith, B.J., Possamai-Inesedy, A. and Renzaho, A.M., 2015. Exploring the role of community engagement in improving the health of disadvantaged populations: a systematic review. </w:t>
      </w:r>
      <w:r w:rsidRPr="008F4785">
        <w:rPr>
          <w:i/>
          <w:iCs/>
          <w:color w:val="222222"/>
          <w:shd w:val="clear" w:color="auto" w:fill="FFFFFF"/>
        </w:rPr>
        <w:t>Global health action</w:t>
      </w:r>
      <w:r w:rsidRPr="008F4785">
        <w:rPr>
          <w:color w:val="222222"/>
          <w:shd w:val="clear" w:color="auto" w:fill="FFFFFF"/>
        </w:rPr>
        <w:t>, </w:t>
      </w:r>
      <w:r w:rsidRPr="008F4785">
        <w:rPr>
          <w:i/>
          <w:iCs/>
          <w:color w:val="222222"/>
          <w:shd w:val="clear" w:color="auto" w:fill="FFFFFF"/>
        </w:rPr>
        <w:t>8</w:t>
      </w:r>
      <w:r w:rsidRPr="008F4785">
        <w:rPr>
          <w:color w:val="222222"/>
          <w:shd w:val="clear" w:color="auto" w:fill="FFFFFF"/>
        </w:rPr>
        <w:t>(1), p.29842.</w:t>
      </w:r>
    </w:p>
    <w:p w14:paraId="690379F6" w14:textId="77777777" w:rsidR="007231BB" w:rsidRPr="008F4785" w:rsidRDefault="007231BB" w:rsidP="008F4785">
      <w:pPr>
        <w:spacing w:line="360" w:lineRule="auto"/>
        <w:jc w:val="both"/>
        <w:rPr>
          <w:color w:val="222222"/>
          <w:shd w:val="clear" w:color="auto" w:fill="FFFFFF"/>
        </w:rPr>
      </w:pPr>
      <w:r w:rsidRPr="008F4785">
        <w:rPr>
          <w:color w:val="222222"/>
          <w:shd w:val="clear" w:color="auto" w:fill="FFFFFF"/>
        </w:rPr>
        <w:t>de Wet, A., Swartz, L., Kagee, A., Lesch, A., Kafaar, Z., Hassan, N.R., Robbertze, D. and Newman, P.A., 2020. The trouble with difference: challenging and reproducing inequality in a biomedical HIV research community engagement process. </w:t>
      </w:r>
      <w:r w:rsidRPr="008F4785">
        <w:rPr>
          <w:i/>
          <w:iCs/>
          <w:color w:val="222222"/>
          <w:shd w:val="clear" w:color="auto" w:fill="FFFFFF"/>
        </w:rPr>
        <w:t>Global public health</w:t>
      </w:r>
      <w:r w:rsidRPr="008F4785">
        <w:rPr>
          <w:color w:val="222222"/>
          <w:shd w:val="clear" w:color="auto" w:fill="FFFFFF"/>
        </w:rPr>
        <w:t>, </w:t>
      </w:r>
      <w:r w:rsidRPr="008F4785">
        <w:rPr>
          <w:i/>
          <w:iCs/>
          <w:color w:val="222222"/>
          <w:shd w:val="clear" w:color="auto" w:fill="FFFFFF"/>
        </w:rPr>
        <w:t>15</w:t>
      </w:r>
      <w:r w:rsidRPr="008F4785">
        <w:rPr>
          <w:color w:val="222222"/>
          <w:shd w:val="clear" w:color="auto" w:fill="FFFFFF"/>
        </w:rPr>
        <w:t>(1), pp.22-30.</w:t>
      </w:r>
    </w:p>
    <w:p w14:paraId="456AAFA7" w14:textId="77777777" w:rsidR="007231BB" w:rsidRPr="008F4785" w:rsidRDefault="007231BB" w:rsidP="008F4785">
      <w:pPr>
        <w:spacing w:line="360" w:lineRule="auto"/>
        <w:jc w:val="both"/>
        <w:rPr>
          <w:color w:val="222222"/>
          <w:shd w:val="clear" w:color="auto" w:fill="FFFFFF"/>
        </w:rPr>
      </w:pPr>
      <w:r w:rsidRPr="008F4785">
        <w:rPr>
          <w:color w:val="222222"/>
          <w:shd w:val="clear" w:color="auto" w:fill="FFFFFF"/>
        </w:rPr>
        <w:t>Ebersöhn, L., Loots, T., Eloff, I. and Ferreira, R., 2015. Taking note of obstacles research partners negotiate in long-term higher education community engagement partnerships. </w:t>
      </w:r>
      <w:r w:rsidRPr="008F4785">
        <w:rPr>
          <w:i/>
          <w:iCs/>
          <w:color w:val="222222"/>
          <w:shd w:val="clear" w:color="auto" w:fill="FFFFFF"/>
        </w:rPr>
        <w:t>Teaching and Teacher Education</w:t>
      </w:r>
      <w:r w:rsidRPr="008F4785">
        <w:rPr>
          <w:color w:val="222222"/>
          <w:shd w:val="clear" w:color="auto" w:fill="FFFFFF"/>
        </w:rPr>
        <w:t>, </w:t>
      </w:r>
      <w:r w:rsidRPr="008F4785">
        <w:rPr>
          <w:i/>
          <w:iCs/>
          <w:color w:val="222222"/>
          <w:shd w:val="clear" w:color="auto" w:fill="FFFFFF"/>
        </w:rPr>
        <w:t>45</w:t>
      </w:r>
      <w:r w:rsidRPr="008F4785">
        <w:rPr>
          <w:color w:val="222222"/>
          <w:shd w:val="clear" w:color="auto" w:fill="FFFFFF"/>
        </w:rPr>
        <w:t>, pp.59-72.</w:t>
      </w:r>
    </w:p>
    <w:p w14:paraId="28E178FA" w14:textId="77777777" w:rsidR="007231BB" w:rsidRPr="007231BB" w:rsidRDefault="007231BB" w:rsidP="008F4785">
      <w:pPr>
        <w:spacing w:line="360" w:lineRule="auto"/>
        <w:jc w:val="both"/>
      </w:pPr>
      <w:r w:rsidRPr="008F4785">
        <w:rPr>
          <w:color w:val="222222"/>
          <w:shd w:val="clear" w:color="auto" w:fill="FFFFFF"/>
        </w:rPr>
        <w:t>France-Harris, A., Burton, C. and Mooney, M., 2019. Putting Theory into Practice: Incorporating a Community Engagement Model into Online Pre-Professional Courses in Legal Studies and Human Resources Management. </w:t>
      </w:r>
      <w:r w:rsidRPr="008F4785">
        <w:rPr>
          <w:i/>
          <w:iCs/>
          <w:color w:val="222222"/>
          <w:shd w:val="clear" w:color="auto" w:fill="FFFFFF"/>
        </w:rPr>
        <w:t>Online Learning</w:t>
      </w:r>
      <w:r w:rsidRPr="008F4785">
        <w:rPr>
          <w:color w:val="222222"/>
          <w:shd w:val="clear" w:color="auto" w:fill="FFFFFF"/>
        </w:rPr>
        <w:t>, </w:t>
      </w:r>
      <w:r w:rsidRPr="008F4785">
        <w:rPr>
          <w:i/>
          <w:iCs/>
          <w:color w:val="222222"/>
          <w:shd w:val="clear" w:color="auto" w:fill="FFFFFF"/>
        </w:rPr>
        <w:t>23</w:t>
      </w:r>
      <w:r w:rsidRPr="008F4785">
        <w:rPr>
          <w:color w:val="222222"/>
          <w:shd w:val="clear" w:color="auto" w:fill="FFFFFF"/>
        </w:rPr>
        <w:t>(2), pp.21-39.</w:t>
      </w:r>
    </w:p>
    <w:p w14:paraId="6CEAEA75" w14:textId="30D8B9E8" w:rsidR="007231BB" w:rsidRPr="008F4785" w:rsidRDefault="007231BB" w:rsidP="008F4785">
      <w:pPr>
        <w:spacing w:line="360" w:lineRule="auto"/>
        <w:jc w:val="both"/>
        <w:rPr>
          <w:color w:val="222222"/>
          <w:shd w:val="clear" w:color="auto" w:fill="FFFFFF"/>
        </w:rPr>
      </w:pPr>
      <w:r w:rsidRPr="008F4785">
        <w:rPr>
          <w:color w:val="222222"/>
          <w:shd w:val="clear" w:color="auto" w:fill="FFFFFF"/>
        </w:rPr>
        <w:t>Head, B.W., 20</w:t>
      </w:r>
      <w:r w:rsidR="008F4785" w:rsidRPr="008F4785">
        <w:rPr>
          <w:color w:val="222222"/>
          <w:shd w:val="clear" w:color="auto" w:fill="FFFFFF"/>
        </w:rPr>
        <w:t>1</w:t>
      </w:r>
      <w:r w:rsidRPr="008F4785">
        <w:rPr>
          <w:color w:val="222222"/>
          <w:shd w:val="clear" w:color="auto" w:fill="FFFFFF"/>
        </w:rPr>
        <w:t>7. Community engagement: participation on whose terms?. </w:t>
      </w:r>
      <w:r w:rsidRPr="008F4785">
        <w:rPr>
          <w:i/>
          <w:iCs/>
          <w:color w:val="222222"/>
          <w:shd w:val="clear" w:color="auto" w:fill="FFFFFF"/>
        </w:rPr>
        <w:t>Australian journal of political science</w:t>
      </w:r>
      <w:r w:rsidRPr="008F4785">
        <w:rPr>
          <w:color w:val="222222"/>
          <w:shd w:val="clear" w:color="auto" w:fill="FFFFFF"/>
        </w:rPr>
        <w:t>, </w:t>
      </w:r>
      <w:r w:rsidRPr="008F4785">
        <w:rPr>
          <w:i/>
          <w:iCs/>
          <w:color w:val="222222"/>
          <w:shd w:val="clear" w:color="auto" w:fill="FFFFFF"/>
        </w:rPr>
        <w:t>42</w:t>
      </w:r>
      <w:r w:rsidRPr="008F4785">
        <w:rPr>
          <w:color w:val="222222"/>
          <w:shd w:val="clear" w:color="auto" w:fill="FFFFFF"/>
        </w:rPr>
        <w:t>(3), pp.441-454.</w:t>
      </w:r>
    </w:p>
    <w:p w14:paraId="0B3169F7" w14:textId="77777777" w:rsidR="007231BB" w:rsidRPr="008F4785" w:rsidRDefault="007231BB" w:rsidP="008F4785">
      <w:pPr>
        <w:spacing w:line="360" w:lineRule="auto"/>
        <w:jc w:val="both"/>
        <w:rPr>
          <w:color w:val="222222"/>
          <w:shd w:val="clear" w:color="auto" w:fill="FFFFFF"/>
        </w:rPr>
      </w:pPr>
      <w:r w:rsidRPr="008F4785">
        <w:rPr>
          <w:color w:val="222222"/>
          <w:shd w:val="clear" w:color="auto" w:fill="FFFFFF"/>
        </w:rPr>
        <w:t>Lemke, A.A., Esplin, E.D., Goldenberg, A.J., Gonzaga-Jauregui, C., Hanchard, N.A., Harris-Wai, J., Ideozu, J.E., Isasi, R., Landstrom, A.P., Prince, A.E. and Turbitt, E., 2022. Addressing underrepresentation in genomics research through community engagement. </w:t>
      </w:r>
      <w:r w:rsidRPr="008F4785">
        <w:rPr>
          <w:i/>
          <w:iCs/>
          <w:color w:val="222222"/>
          <w:shd w:val="clear" w:color="auto" w:fill="FFFFFF"/>
        </w:rPr>
        <w:t>The American Journal of Human Genetics</w:t>
      </w:r>
      <w:r w:rsidRPr="008F4785">
        <w:rPr>
          <w:color w:val="222222"/>
          <w:shd w:val="clear" w:color="auto" w:fill="FFFFFF"/>
        </w:rPr>
        <w:t>, </w:t>
      </w:r>
      <w:r w:rsidRPr="008F4785">
        <w:rPr>
          <w:i/>
          <w:iCs/>
          <w:color w:val="222222"/>
          <w:shd w:val="clear" w:color="auto" w:fill="FFFFFF"/>
        </w:rPr>
        <w:t>109</w:t>
      </w:r>
      <w:r w:rsidRPr="008F4785">
        <w:rPr>
          <w:color w:val="222222"/>
          <w:shd w:val="clear" w:color="auto" w:fill="FFFFFF"/>
        </w:rPr>
        <w:t>(9), pp.1563-1571.</w:t>
      </w:r>
    </w:p>
    <w:p w14:paraId="01BAEC18" w14:textId="77777777" w:rsidR="007231BB" w:rsidRPr="008F4785" w:rsidRDefault="007231BB" w:rsidP="008F4785">
      <w:pPr>
        <w:spacing w:line="360" w:lineRule="auto"/>
        <w:jc w:val="both"/>
        <w:rPr>
          <w:color w:val="222222"/>
          <w:shd w:val="clear" w:color="auto" w:fill="FFFFFF"/>
        </w:rPr>
      </w:pPr>
      <w:r w:rsidRPr="008F4785">
        <w:rPr>
          <w:color w:val="222222"/>
          <w:shd w:val="clear" w:color="auto" w:fill="FFFFFF"/>
        </w:rPr>
        <w:lastRenderedPageBreak/>
        <w:t>Machimana, E.G., Sefotho, M.M., Ebersöhn, L. and Shultz, L., 2021. Higher education uses community engagement-partnership as a research space to build knowledge. </w:t>
      </w:r>
      <w:r w:rsidRPr="008F4785">
        <w:rPr>
          <w:i/>
          <w:iCs/>
          <w:color w:val="222222"/>
          <w:shd w:val="clear" w:color="auto" w:fill="FFFFFF"/>
        </w:rPr>
        <w:t>Educational Research for Policy and Practice</w:t>
      </w:r>
      <w:r w:rsidRPr="008F4785">
        <w:rPr>
          <w:color w:val="222222"/>
          <w:shd w:val="clear" w:color="auto" w:fill="FFFFFF"/>
        </w:rPr>
        <w:t>, </w:t>
      </w:r>
      <w:r w:rsidRPr="008F4785">
        <w:rPr>
          <w:i/>
          <w:iCs/>
          <w:color w:val="222222"/>
          <w:shd w:val="clear" w:color="auto" w:fill="FFFFFF"/>
        </w:rPr>
        <w:t>20</w:t>
      </w:r>
      <w:r w:rsidRPr="008F4785">
        <w:rPr>
          <w:color w:val="222222"/>
          <w:shd w:val="clear" w:color="auto" w:fill="FFFFFF"/>
        </w:rPr>
        <w:t>(1), pp.45-62.</w:t>
      </w:r>
    </w:p>
    <w:p w14:paraId="7B001381" w14:textId="77777777" w:rsidR="007231BB" w:rsidRPr="008F4785" w:rsidRDefault="007231BB" w:rsidP="008F4785">
      <w:pPr>
        <w:spacing w:line="360" w:lineRule="auto"/>
        <w:jc w:val="both"/>
        <w:rPr>
          <w:color w:val="222222"/>
          <w:shd w:val="clear" w:color="auto" w:fill="FFFFFF"/>
        </w:rPr>
      </w:pPr>
      <w:r w:rsidRPr="008F4785">
        <w:rPr>
          <w:color w:val="222222"/>
          <w:shd w:val="clear" w:color="auto" w:fill="FFFFFF"/>
        </w:rPr>
        <w:t>Rhodes, S.D., Daniel-Ulloa, J., Wright, S.S., Mann-Jackson, L., Johnson, D.B., Hayes, N.A. and Valentine, J.A., 2021. Critical elements of community engagement to address disparities and related social determinants of health: the centers of disease control and prevention community approaches to reducing sexually transmitted disease initiative. </w:t>
      </w:r>
      <w:r w:rsidRPr="008F4785">
        <w:rPr>
          <w:i/>
          <w:iCs/>
          <w:color w:val="222222"/>
          <w:shd w:val="clear" w:color="auto" w:fill="FFFFFF"/>
        </w:rPr>
        <w:t>Sexually transmitted diseases</w:t>
      </w:r>
      <w:r w:rsidRPr="008F4785">
        <w:rPr>
          <w:color w:val="222222"/>
          <w:shd w:val="clear" w:color="auto" w:fill="FFFFFF"/>
        </w:rPr>
        <w:t>, </w:t>
      </w:r>
      <w:r w:rsidRPr="008F4785">
        <w:rPr>
          <w:i/>
          <w:iCs/>
          <w:color w:val="222222"/>
          <w:shd w:val="clear" w:color="auto" w:fill="FFFFFF"/>
        </w:rPr>
        <w:t>48</w:t>
      </w:r>
      <w:r w:rsidRPr="008F4785">
        <w:rPr>
          <w:color w:val="222222"/>
          <w:shd w:val="clear" w:color="auto" w:fill="FFFFFF"/>
        </w:rPr>
        <w:t>(1), p.49.</w:t>
      </w:r>
    </w:p>
    <w:p w14:paraId="270142B0" w14:textId="2B8F28B4" w:rsidR="00263E3D" w:rsidRPr="007231BB" w:rsidRDefault="00263E3D" w:rsidP="007231BB">
      <w:pPr>
        <w:spacing w:line="360" w:lineRule="auto"/>
        <w:jc w:val="both"/>
      </w:pPr>
    </w:p>
    <w:sectPr w:rsidR="00263E3D" w:rsidRPr="007231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47354"/>
    <w:multiLevelType w:val="hybridMultilevel"/>
    <w:tmpl w:val="748E0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1833DA"/>
    <w:multiLevelType w:val="hybridMultilevel"/>
    <w:tmpl w:val="CAAA5A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6048D5"/>
    <w:multiLevelType w:val="hybridMultilevel"/>
    <w:tmpl w:val="9ADEE1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FD5626"/>
    <w:multiLevelType w:val="hybridMultilevel"/>
    <w:tmpl w:val="93BE6B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2E48A2"/>
    <w:multiLevelType w:val="hybridMultilevel"/>
    <w:tmpl w:val="4C6C63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4644D4"/>
    <w:multiLevelType w:val="hybridMultilevel"/>
    <w:tmpl w:val="77D2250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16cid:durableId="1156722015">
    <w:abstractNumId w:val="0"/>
  </w:num>
  <w:num w:numId="2" w16cid:durableId="1324436334">
    <w:abstractNumId w:val="1"/>
  </w:num>
  <w:num w:numId="3" w16cid:durableId="2056585859">
    <w:abstractNumId w:val="4"/>
  </w:num>
  <w:num w:numId="4" w16cid:durableId="726420182">
    <w:abstractNumId w:val="3"/>
  </w:num>
  <w:num w:numId="5" w16cid:durableId="1206722084">
    <w:abstractNumId w:val="2"/>
  </w:num>
  <w:num w:numId="6" w16cid:durableId="881641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95"/>
    <w:rsid w:val="000972DA"/>
    <w:rsid w:val="000A1406"/>
    <w:rsid w:val="00136C43"/>
    <w:rsid w:val="00175CA4"/>
    <w:rsid w:val="001D54A4"/>
    <w:rsid w:val="00263E3D"/>
    <w:rsid w:val="00371722"/>
    <w:rsid w:val="00395B95"/>
    <w:rsid w:val="003B7A16"/>
    <w:rsid w:val="004C1506"/>
    <w:rsid w:val="00567A4E"/>
    <w:rsid w:val="005F00B3"/>
    <w:rsid w:val="006F0B95"/>
    <w:rsid w:val="006F274F"/>
    <w:rsid w:val="007231BB"/>
    <w:rsid w:val="008041DB"/>
    <w:rsid w:val="008F4785"/>
    <w:rsid w:val="00A5126B"/>
    <w:rsid w:val="00CC3BB3"/>
    <w:rsid w:val="00DD0A91"/>
    <w:rsid w:val="00DF727E"/>
    <w:rsid w:val="00F605BE"/>
    <w:rsid w:val="00F8395A"/>
    <w:rsid w:val="00F87C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A97C5"/>
  <w15:chartTrackingRefBased/>
  <w15:docId w15:val="{DEE4A1E3-AF92-456E-93CB-8649EFAC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00B3"/>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5F00B3"/>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0B3"/>
    <w:rPr>
      <w:rFonts w:eastAsiaTheme="majorEastAsia" w:cstheme="majorBidi"/>
      <w:b/>
      <w:color w:val="1F3864" w:themeColor="accent1" w:themeShade="80"/>
      <w:sz w:val="32"/>
      <w:szCs w:val="32"/>
    </w:rPr>
  </w:style>
  <w:style w:type="character" w:customStyle="1" w:styleId="Heading2Char">
    <w:name w:val="Heading 2 Char"/>
    <w:basedOn w:val="DefaultParagraphFont"/>
    <w:link w:val="Heading2"/>
    <w:uiPriority w:val="9"/>
    <w:rsid w:val="005F00B3"/>
    <w:rPr>
      <w:rFonts w:eastAsiaTheme="majorEastAsia" w:cstheme="majorBidi"/>
      <w:b/>
      <w:color w:val="000000" w:themeColor="text1"/>
      <w:sz w:val="28"/>
      <w:szCs w:val="26"/>
    </w:rPr>
  </w:style>
  <w:style w:type="paragraph" w:styleId="TOCHeading">
    <w:name w:val="TOC Heading"/>
    <w:basedOn w:val="Heading1"/>
    <w:next w:val="Normal"/>
    <w:uiPriority w:val="39"/>
    <w:unhideWhenUsed/>
    <w:qFormat/>
    <w:rsid w:val="005F00B3"/>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F00B3"/>
    <w:pPr>
      <w:spacing w:after="100"/>
    </w:pPr>
  </w:style>
  <w:style w:type="paragraph" w:styleId="TOC2">
    <w:name w:val="toc 2"/>
    <w:basedOn w:val="Normal"/>
    <w:next w:val="Normal"/>
    <w:autoRedefine/>
    <w:uiPriority w:val="39"/>
    <w:unhideWhenUsed/>
    <w:rsid w:val="005F00B3"/>
    <w:pPr>
      <w:spacing w:after="100"/>
      <w:ind w:left="240"/>
    </w:pPr>
  </w:style>
  <w:style w:type="character" w:styleId="Hyperlink">
    <w:name w:val="Hyperlink"/>
    <w:basedOn w:val="DefaultParagraphFont"/>
    <w:uiPriority w:val="99"/>
    <w:unhideWhenUsed/>
    <w:rsid w:val="005F00B3"/>
    <w:rPr>
      <w:color w:val="0563C1" w:themeColor="hyperlink"/>
      <w:u w:val="single"/>
    </w:rPr>
  </w:style>
  <w:style w:type="paragraph" w:styleId="ListParagraph">
    <w:name w:val="List Paragraph"/>
    <w:basedOn w:val="Normal"/>
    <w:uiPriority w:val="34"/>
    <w:qFormat/>
    <w:rsid w:val="008F47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7777BC-9F54-4528-8067-75BF8533E4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2941</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Rowtech</dc:creator>
  <cp:keywords/>
  <dc:description/>
  <cp:lastModifiedBy>Andzhelo markov</cp:lastModifiedBy>
  <cp:revision>2</cp:revision>
  <dcterms:created xsi:type="dcterms:W3CDTF">2023-09-01T11:11:00Z</dcterms:created>
  <dcterms:modified xsi:type="dcterms:W3CDTF">2023-09-01T11:11:00Z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2d07e73a-1c4a-4325-ac08-e40f2fbbaa36</vt:lpwstr>
  </property>
</Properties>
</file>