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041A89" w14:textId="00A8854E" w:rsidR="00750A4C" w:rsidRDefault="00C379A6" w:rsidP="00750A4C">
      <w:pPr>
        <w:shd w:val="clear" w:color="auto" w:fill="FFFFFF"/>
        <w:spacing w:before="90" w:after="90" w:line="240" w:lineRule="auto"/>
        <w:jc w:val="center"/>
        <w:textAlignment w:val="top"/>
        <w:rPr>
          <w:rFonts w:ascii="Arial" w:hAnsi="Arial" w:cs="Arial"/>
          <w:sz w:val="28"/>
          <w:szCs w:val="28"/>
        </w:rPr>
      </w:pPr>
      <w:r>
        <w:rPr>
          <w:rFonts w:ascii="Arial" w:hAnsi="Arial" w:cs="Arial"/>
          <w:sz w:val="28"/>
          <w:szCs w:val="28"/>
        </w:rPr>
        <w:t>Dating Exercise</w:t>
      </w:r>
    </w:p>
    <w:p w14:paraId="1AD570AE" w14:textId="77777777" w:rsidR="00750A4C" w:rsidRDefault="00750A4C" w:rsidP="00750A4C">
      <w:pPr>
        <w:shd w:val="clear" w:color="auto" w:fill="FFFFFF"/>
        <w:spacing w:before="90" w:after="90" w:line="240" w:lineRule="auto"/>
        <w:textAlignment w:val="top"/>
        <w:rPr>
          <w:rFonts w:ascii="Arial" w:hAnsi="Arial" w:cs="Arial"/>
          <w:sz w:val="24"/>
          <w:szCs w:val="24"/>
        </w:rPr>
      </w:pPr>
    </w:p>
    <w:p w14:paraId="39C58B75" w14:textId="77777777" w:rsidR="001432D0" w:rsidRDefault="001432D0" w:rsidP="001432D0">
      <w:pPr>
        <w:pStyle w:val="ListParagraph"/>
        <w:numPr>
          <w:ilvl w:val="0"/>
          <w:numId w:val="1"/>
        </w:numPr>
        <w:rPr>
          <w:rFonts w:ascii="Arial" w:hAnsi="Arial" w:cs="Arial"/>
          <w:sz w:val="24"/>
          <w:szCs w:val="24"/>
        </w:rPr>
      </w:pPr>
      <w:r>
        <w:rPr>
          <w:rFonts w:ascii="Arial" w:hAnsi="Arial" w:cs="Arial"/>
          <w:sz w:val="24"/>
          <w:szCs w:val="24"/>
        </w:rPr>
        <w:t>Memorandum that the Thursday after the Assumption of the Blessed Virgin Mary in the 8</w:t>
      </w:r>
      <w:r w:rsidRPr="00750A4C">
        <w:rPr>
          <w:rFonts w:ascii="Arial" w:hAnsi="Arial" w:cs="Arial"/>
          <w:sz w:val="24"/>
          <w:szCs w:val="24"/>
          <w:vertAlign w:val="superscript"/>
        </w:rPr>
        <w:t>th</w:t>
      </w:r>
      <w:r>
        <w:rPr>
          <w:rFonts w:ascii="Arial" w:hAnsi="Arial" w:cs="Arial"/>
          <w:sz w:val="24"/>
          <w:szCs w:val="24"/>
        </w:rPr>
        <w:t xml:space="preserve"> year of King Richard II the abbot of Byland was accused in the wapentake court held at Pickering.</w:t>
      </w:r>
    </w:p>
    <w:p w14:paraId="0AD050E1" w14:textId="783F1438" w:rsidR="001432D0" w:rsidRDefault="001432D0" w:rsidP="00750A4C">
      <w:pPr>
        <w:rPr>
          <w:rFonts w:ascii="Arial" w:hAnsi="Arial" w:cs="Arial"/>
          <w:sz w:val="24"/>
          <w:szCs w:val="24"/>
        </w:rPr>
      </w:pPr>
      <w:r w:rsidRPr="001432D0">
        <w:rPr>
          <w:rFonts w:ascii="Arial" w:hAnsi="Arial" w:cs="Arial"/>
          <w:sz w:val="24"/>
          <w:szCs w:val="24"/>
        </w:rPr>
        <w:t xml:space="preserve">To find the modern equivalent of the medieval date in </w:t>
      </w:r>
      <w:r w:rsidR="0087143E">
        <w:rPr>
          <w:rFonts w:ascii="Arial" w:hAnsi="Arial" w:cs="Arial"/>
          <w:sz w:val="24"/>
          <w:szCs w:val="24"/>
        </w:rPr>
        <w:t>the</w:t>
      </w:r>
      <w:r w:rsidRPr="001432D0">
        <w:rPr>
          <w:rFonts w:ascii="Arial" w:hAnsi="Arial" w:cs="Arial"/>
          <w:sz w:val="24"/>
          <w:szCs w:val="24"/>
        </w:rPr>
        <w:t xml:space="preserve"> document</w:t>
      </w:r>
      <w:r w:rsidR="0087143E">
        <w:rPr>
          <w:rFonts w:ascii="Arial" w:hAnsi="Arial" w:cs="Arial"/>
          <w:sz w:val="24"/>
          <w:szCs w:val="24"/>
        </w:rPr>
        <w:t xml:space="preserve"> above</w:t>
      </w:r>
      <w:r w:rsidRPr="001432D0">
        <w:rPr>
          <w:rFonts w:ascii="Arial" w:hAnsi="Arial" w:cs="Arial"/>
          <w:sz w:val="24"/>
          <w:szCs w:val="24"/>
        </w:rPr>
        <w:t>, I started by finding the dates King Richard II was on the throne</w:t>
      </w:r>
      <w:r w:rsidR="0087143E">
        <w:rPr>
          <w:rFonts w:ascii="Arial" w:hAnsi="Arial" w:cs="Arial"/>
          <w:sz w:val="24"/>
          <w:szCs w:val="24"/>
        </w:rPr>
        <w:t>, and more specifically the start and end dates of his 8</w:t>
      </w:r>
      <w:r w:rsidR="0087143E" w:rsidRPr="0087143E">
        <w:rPr>
          <w:rFonts w:ascii="Arial" w:hAnsi="Arial" w:cs="Arial"/>
          <w:sz w:val="24"/>
          <w:szCs w:val="24"/>
          <w:vertAlign w:val="superscript"/>
        </w:rPr>
        <w:t>th</w:t>
      </w:r>
      <w:r w:rsidR="0087143E">
        <w:rPr>
          <w:rFonts w:ascii="Arial" w:hAnsi="Arial" w:cs="Arial"/>
          <w:sz w:val="24"/>
          <w:szCs w:val="24"/>
        </w:rPr>
        <w:t xml:space="preserve"> year</w:t>
      </w:r>
      <w:r w:rsidRPr="001432D0">
        <w:rPr>
          <w:rFonts w:ascii="Arial" w:hAnsi="Arial" w:cs="Arial"/>
          <w:sz w:val="24"/>
          <w:szCs w:val="24"/>
        </w:rPr>
        <w:t xml:space="preserve">. </w:t>
      </w:r>
      <w:r>
        <w:rPr>
          <w:rFonts w:ascii="Arial" w:hAnsi="Arial" w:cs="Arial"/>
          <w:sz w:val="24"/>
          <w:szCs w:val="24"/>
        </w:rPr>
        <w:t xml:space="preserve">According to the </w:t>
      </w:r>
      <w:r w:rsidRPr="005C416B">
        <w:rPr>
          <w:rFonts w:ascii="Arial" w:hAnsi="Arial" w:cs="Arial"/>
          <w:i/>
          <w:iCs/>
          <w:sz w:val="24"/>
          <w:szCs w:val="24"/>
        </w:rPr>
        <w:t>Handbook of Dates for Students of English History</w:t>
      </w:r>
      <w:r>
        <w:rPr>
          <w:rFonts w:ascii="Arial" w:hAnsi="Arial" w:cs="Arial"/>
          <w:sz w:val="24"/>
          <w:szCs w:val="24"/>
        </w:rPr>
        <w:t>, King Richard II’s 8</w:t>
      </w:r>
      <w:r w:rsidRPr="001432D0">
        <w:rPr>
          <w:rFonts w:ascii="Arial" w:hAnsi="Arial" w:cs="Arial"/>
          <w:sz w:val="24"/>
          <w:szCs w:val="24"/>
          <w:vertAlign w:val="superscript"/>
        </w:rPr>
        <w:t>th</w:t>
      </w:r>
      <w:r>
        <w:rPr>
          <w:rFonts w:ascii="Arial" w:hAnsi="Arial" w:cs="Arial"/>
          <w:sz w:val="24"/>
          <w:szCs w:val="24"/>
        </w:rPr>
        <w:t xml:space="preserve"> year was between 22 June 1384 and 21</w:t>
      </w:r>
      <w:r w:rsidR="00E82CCE">
        <w:rPr>
          <w:rFonts w:ascii="Arial" w:hAnsi="Arial" w:cs="Arial"/>
          <w:sz w:val="24"/>
          <w:szCs w:val="24"/>
          <w:vertAlign w:val="superscript"/>
        </w:rPr>
        <w:t xml:space="preserve"> </w:t>
      </w:r>
      <w:r>
        <w:rPr>
          <w:rFonts w:ascii="Arial" w:hAnsi="Arial" w:cs="Arial"/>
          <w:sz w:val="24"/>
          <w:szCs w:val="24"/>
        </w:rPr>
        <w:t>June 1385</w:t>
      </w:r>
      <w:r w:rsidR="0087143E">
        <w:rPr>
          <w:rStyle w:val="FootnoteReference"/>
          <w:rFonts w:ascii="Arial" w:hAnsi="Arial" w:cs="Arial"/>
          <w:sz w:val="24"/>
          <w:szCs w:val="24"/>
        </w:rPr>
        <w:footnoteReference w:id="1"/>
      </w:r>
      <w:r>
        <w:rPr>
          <w:rFonts w:ascii="Arial" w:hAnsi="Arial" w:cs="Arial"/>
          <w:sz w:val="24"/>
          <w:szCs w:val="24"/>
        </w:rPr>
        <w:t xml:space="preserve">. </w:t>
      </w:r>
      <w:r w:rsidR="0087143E">
        <w:rPr>
          <w:rFonts w:ascii="Arial" w:hAnsi="Arial" w:cs="Arial"/>
          <w:sz w:val="24"/>
          <w:szCs w:val="24"/>
        </w:rPr>
        <w:t>From the reign of Henry II to the reign of Henry III, the regnal year began the date of coronation, but after this it changed to a few days after the previous King died, finally moving to the day after the previous King passed away</w:t>
      </w:r>
      <w:r w:rsidR="00C20EDC">
        <w:rPr>
          <w:rStyle w:val="FootnoteReference"/>
          <w:rFonts w:ascii="Arial" w:hAnsi="Arial" w:cs="Arial"/>
          <w:sz w:val="24"/>
          <w:szCs w:val="24"/>
        </w:rPr>
        <w:footnoteReference w:id="2"/>
      </w:r>
      <w:r w:rsidR="0087143E">
        <w:rPr>
          <w:rFonts w:ascii="Arial" w:hAnsi="Arial" w:cs="Arial"/>
          <w:sz w:val="24"/>
          <w:szCs w:val="24"/>
        </w:rPr>
        <w:t>. This is quite confusing which is why I found the Handbook of Dates particularly useful and easy to use.</w:t>
      </w:r>
    </w:p>
    <w:p w14:paraId="01FF9EF2" w14:textId="03B3EF83" w:rsidR="00C73A4A" w:rsidRDefault="00C73A4A" w:rsidP="00750A4C">
      <w:pPr>
        <w:rPr>
          <w:rFonts w:ascii="Arial" w:hAnsi="Arial" w:cs="Arial"/>
          <w:sz w:val="24"/>
          <w:szCs w:val="24"/>
        </w:rPr>
      </w:pPr>
      <w:r>
        <w:rPr>
          <w:rFonts w:ascii="Arial" w:hAnsi="Arial" w:cs="Arial"/>
          <w:sz w:val="24"/>
          <w:szCs w:val="24"/>
        </w:rPr>
        <w:t xml:space="preserve">With the date narrowed down to within a year, the rest was simpler to work out. I next looked at the date of the Assumption of </w:t>
      </w:r>
      <w:r w:rsidR="00CB68F2">
        <w:rPr>
          <w:rFonts w:ascii="Arial" w:hAnsi="Arial" w:cs="Arial"/>
          <w:sz w:val="24"/>
          <w:szCs w:val="24"/>
        </w:rPr>
        <w:t xml:space="preserve">the </w:t>
      </w:r>
      <w:r>
        <w:rPr>
          <w:rFonts w:ascii="Arial" w:hAnsi="Arial" w:cs="Arial"/>
          <w:sz w:val="24"/>
          <w:szCs w:val="24"/>
        </w:rPr>
        <w:t xml:space="preserve">Virgin Mary as mentioned in the document. Once </w:t>
      </w:r>
      <w:r w:rsidR="005C3B47">
        <w:rPr>
          <w:rFonts w:ascii="Arial" w:hAnsi="Arial" w:cs="Arial"/>
          <w:sz w:val="24"/>
          <w:szCs w:val="24"/>
        </w:rPr>
        <w:t>again,</w:t>
      </w:r>
      <w:r>
        <w:rPr>
          <w:rFonts w:ascii="Arial" w:hAnsi="Arial" w:cs="Arial"/>
          <w:sz w:val="24"/>
          <w:szCs w:val="24"/>
        </w:rPr>
        <w:t xml:space="preserve"> I used the Handbook of Dates, which contains a list of saints’ days and festivals</w:t>
      </w:r>
      <w:r w:rsidR="00F452DD">
        <w:rPr>
          <w:rFonts w:ascii="Arial" w:hAnsi="Arial" w:cs="Arial"/>
          <w:sz w:val="24"/>
          <w:szCs w:val="24"/>
        </w:rPr>
        <w:t xml:space="preserve">, and I found Mary’s </w:t>
      </w:r>
      <w:r w:rsidR="00CB68F2">
        <w:rPr>
          <w:rFonts w:ascii="Arial" w:hAnsi="Arial" w:cs="Arial"/>
          <w:sz w:val="24"/>
          <w:szCs w:val="24"/>
        </w:rPr>
        <w:t>A</w:t>
      </w:r>
      <w:r w:rsidR="00F452DD">
        <w:rPr>
          <w:rFonts w:ascii="Arial" w:hAnsi="Arial" w:cs="Arial"/>
          <w:sz w:val="24"/>
          <w:szCs w:val="24"/>
        </w:rPr>
        <w:t>ssumption to be on 15 August every year</w:t>
      </w:r>
      <w:r w:rsidR="00F452DD">
        <w:rPr>
          <w:rStyle w:val="FootnoteReference"/>
          <w:rFonts w:ascii="Arial" w:hAnsi="Arial" w:cs="Arial"/>
          <w:sz w:val="24"/>
          <w:szCs w:val="24"/>
        </w:rPr>
        <w:footnoteReference w:id="3"/>
      </w:r>
      <w:r w:rsidR="00F452DD">
        <w:rPr>
          <w:rFonts w:ascii="Arial" w:hAnsi="Arial" w:cs="Arial"/>
          <w:sz w:val="24"/>
          <w:szCs w:val="24"/>
        </w:rPr>
        <w:t>.</w:t>
      </w:r>
    </w:p>
    <w:p w14:paraId="42ECC982" w14:textId="256CC903" w:rsidR="00F452DD" w:rsidRPr="001432D0" w:rsidRDefault="00F452DD" w:rsidP="00750A4C">
      <w:pPr>
        <w:rPr>
          <w:rFonts w:ascii="Arial" w:hAnsi="Arial" w:cs="Arial"/>
          <w:sz w:val="24"/>
          <w:szCs w:val="24"/>
        </w:rPr>
      </w:pPr>
      <w:r>
        <w:rPr>
          <w:rFonts w:ascii="Arial" w:hAnsi="Arial" w:cs="Arial"/>
          <w:sz w:val="24"/>
          <w:szCs w:val="24"/>
        </w:rPr>
        <w:t>From the research above I can conclude that Mary’s Assumption would have been on 15 August 1384, which falls within the 8</w:t>
      </w:r>
      <w:r w:rsidRPr="00F452DD">
        <w:rPr>
          <w:rFonts w:ascii="Arial" w:hAnsi="Arial" w:cs="Arial"/>
          <w:sz w:val="24"/>
          <w:szCs w:val="24"/>
          <w:vertAlign w:val="superscript"/>
        </w:rPr>
        <w:t>th</w:t>
      </w:r>
      <w:r>
        <w:rPr>
          <w:rFonts w:ascii="Arial" w:hAnsi="Arial" w:cs="Arial"/>
          <w:sz w:val="24"/>
          <w:szCs w:val="24"/>
        </w:rPr>
        <w:t xml:space="preserve"> year of King Richard II. The document specifies that the date was the Thursday after the Assumption. Table 20 of Easter Dates in the Handbook of Dates</w:t>
      </w:r>
      <w:r w:rsidR="00FE2C3A">
        <w:rPr>
          <w:rFonts w:ascii="Arial" w:hAnsi="Arial" w:cs="Arial"/>
          <w:sz w:val="24"/>
          <w:szCs w:val="24"/>
        </w:rPr>
        <w:t xml:space="preserve"> </w:t>
      </w:r>
      <w:r>
        <w:rPr>
          <w:rFonts w:ascii="Arial" w:hAnsi="Arial" w:cs="Arial"/>
          <w:sz w:val="24"/>
          <w:szCs w:val="24"/>
        </w:rPr>
        <w:t>confirms that the year 1384 was a leap year and shows the full year, with Mary’s Assumption being on Monday 15 August 1384, thus the Thursday after this was 18 August 1384</w:t>
      </w:r>
      <w:r w:rsidR="00FE2C3A">
        <w:rPr>
          <w:rStyle w:val="FootnoteReference"/>
          <w:rFonts w:ascii="Arial" w:hAnsi="Arial" w:cs="Arial"/>
          <w:sz w:val="24"/>
          <w:szCs w:val="24"/>
        </w:rPr>
        <w:footnoteReference w:id="4"/>
      </w:r>
      <w:r>
        <w:rPr>
          <w:rFonts w:ascii="Arial" w:hAnsi="Arial" w:cs="Arial"/>
          <w:sz w:val="24"/>
          <w:szCs w:val="24"/>
        </w:rPr>
        <w:t>. This is in the Julian calendar which was used u</w:t>
      </w:r>
      <w:r w:rsidR="00222DEE">
        <w:rPr>
          <w:rFonts w:ascii="Arial" w:hAnsi="Arial" w:cs="Arial"/>
          <w:sz w:val="24"/>
          <w:szCs w:val="24"/>
        </w:rPr>
        <w:t>ntil the Gregorian calendar started in 1582</w:t>
      </w:r>
      <w:r w:rsidR="00222DEE">
        <w:rPr>
          <w:rStyle w:val="FootnoteReference"/>
          <w:rFonts w:ascii="Arial" w:hAnsi="Arial" w:cs="Arial"/>
          <w:sz w:val="24"/>
          <w:szCs w:val="24"/>
        </w:rPr>
        <w:footnoteReference w:id="5"/>
      </w:r>
      <w:r w:rsidR="00222DEE">
        <w:rPr>
          <w:rFonts w:ascii="Arial" w:hAnsi="Arial" w:cs="Arial"/>
          <w:sz w:val="24"/>
          <w:szCs w:val="24"/>
        </w:rPr>
        <w:t xml:space="preserve">. A quick google shows that the Gregorian date for 15 August </w:t>
      </w:r>
      <w:r w:rsidR="00F90EA5">
        <w:rPr>
          <w:rFonts w:ascii="Arial" w:hAnsi="Arial" w:cs="Arial"/>
          <w:sz w:val="24"/>
          <w:szCs w:val="24"/>
        </w:rPr>
        <w:t xml:space="preserve">1384 </w:t>
      </w:r>
      <w:r w:rsidR="00222DEE">
        <w:rPr>
          <w:rFonts w:ascii="Arial" w:hAnsi="Arial" w:cs="Arial"/>
          <w:sz w:val="24"/>
          <w:szCs w:val="24"/>
        </w:rPr>
        <w:t xml:space="preserve">falls on a Sunday instead of the Monday mentioned above, making the Thursday after this </w:t>
      </w:r>
      <w:r w:rsidR="0060054C">
        <w:rPr>
          <w:rFonts w:ascii="Arial" w:hAnsi="Arial" w:cs="Arial"/>
          <w:sz w:val="24"/>
          <w:szCs w:val="24"/>
        </w:rPr>
        <w:t>19</w:t>
      </w:r>
      <w:r w:rsidR="0060054C">
        <w:rPr>
          <w:rFonts w:ascii="Arial" w:hAnsi="Arial" w:cs="Arial"/>
          <w:sz w:val="24"/>
          <w:szCs w:val="24"/>
          <w:vertAlign w:val="superscript"/>
        </w:rPr>
        <w:t xml:space="preserve"> </w:t>
      </w:r>
      <w:r w:rsidR="00222DEE">
        <w:rPr>
          <w:rFonts w:ascii="Arial" w:hAnsi="Arial" w:cs="Arial"/>
          <w:sz w:val="24"/>
          <w:szCs w:val="24"/>
        </w:rPr>
        <w:t>August 1384. I am reluctant to use the Gregorian calendar for this exercise and will instead go by the Julian calendar as Thursday 18 August 1384 was the date this document specifies following the calendar of the time.</w:t>
      </w:r>
    </w:p>
    <w:p w14:paraId="6AE0029B" w14:textId="6BB503CD" w:rsidR="00750A4C" w:rsidRDefault="00750A4C" w:rsidP="00750A4C">
      <w:pPr>
        <w:pStyle w:val="ListParagraph"/>
        <w:numPr>
          <w:ilvl w:val="0"/>
          <w:numId w:val="1"/>
        </w:numPr>
        <w:rPr>
          <w:rFonts w:ascii="Arial" w:hAnsi="Arial" w:cs="Arial"/>
          <w:sz w:val="24"/>
          <w:szCs w:val="24"/>
        </w:rPr>
      </w:pPr>
      <w:r>
        <w:rPr>
          <w:rFonts w:ascii="Arial" w:hAnsi="Arial" w:cs="Arial"/>
          <w:sz w:val="24"/>
          <w:szCs w:val="24"/>
        </w:rPr>
        <w:t xml:space="preserve">Confirmation by Bishop </w:t>
      </w:r>
      <w:proofErr w:type="spellStart"/>
      <w:r>
        <w:rPr>
          <w:rFonts w:ascii="Arial" w:hAnsi="Arial" w:cs="Arial"/>
          <w:sz w:val="24"/>
          <w:szCs w:val="24"/>
        </w:rPr>
        <w:t>Anian</w:t>
      </w:r>
      <w:proofErr w:type="spellEnd"/>
      <w:r>
        <w:rPr>
          <w:rFonts w:ascii="Arial" w:hAnsi="Arial" w:cs="Arial"/>
          <w:sz w:val="24"/>
          <w:szCs w:val="24"/>
        </w:rPr>
        <w:t xml:space="preserve"> of St Asaph of the charters for Shrewsbury Abbey issued by his predecessors Bishops Reiner, Abraham, and Hugh. Given at Shrewsbury the day after St Ma</w:t>
      </w:r>
      <w:r w:rsidR="00D97808">
        <w:rPr>
          <w:rFonts w:ascii="Arial" w:hAnsi="Arial" w:cs="Arial"/>
          <w:sz w:val="24"/>
          <w:szCs w:val="24"/>
        </w:rPr>
        <w:t>ry</w:t>
      </w:r>
      <w:r>
        <w:rPr>
          <w:rFonts w:ascii="Arial" w:hAnsi="Arial" w:cs="Arial"/>
          <w:sz w:val="24"/>
          <w:szCs w:val="24"/>
        </w:rPr>
        <w:t xml:space="preserve"> Magdalene in the first year of his </w:t>
      </w:r>
      <w:r w:rsidR="00D97808">
        <w:rPr>
          <w:rFonts w:ascii="Arial" w:hAnsi="Arial" w:cs="Arial"/>
          <w:sz w:val="24"/>
          <w:szCs w:val="24"/>
        </w:rPr>
        <w:t>pontificate</w:t>
      </w:r>
      <w:r>
        <w:rPr>
          <w:rFonts w:ascii="Arial" w:hAnsi="Arial" w:cs="Arial"/>
          <w:sz w:val="24"/>
          <w:szCs w:val="24"/>
        </w:rPr>
        <w:t>.</w:t>
      </w:r>
    </w:p>
    <w:p w14:paraId="6AF70738" w14:textId="44BFFEC6" w:rsidR="00D66404" w:rsidRDefault="00552B22" w:rsidP="00D66404">
      <w:pPr>
        <w:rPr>
          <w:rFonts w:ascii="Arial" w:hAnsi="Arial" w:cs="Arial"/>
          <w:sz w:val="24"/>
          <w:szCs w:val="24"/>
        </w:rPr>
      </w:pPr>
      <w:r>
        <w:rPr>
          <w:rFonts w:ascii="Arial" w:hAnsi="Arial" w:cs="Arial"/>
          <w:sz w:val="24"/>
          <w:szCs w:val="24"/>
        </w:rPr>
        <w:t xml:space="preserve">I started by </w:t>
      </w:r>
      <w:r w:rsidR="00EA7352">
        <w:rPr>
          <w:rFonts w:ascii="Arial" w:hAnsi="Arial" w:cs="Arial"/>
          <w:sz w:val="24"/>
          <w:szCs w:val="24"/>
        </w:rPr>
        <w:t>working</w:t>
      </w:r>
      <w:r>
        <w:rPr>
          <w:rFonts w:ascii="Arial" w:hAnsi="Arial" w:cs="Arial"/>
          <w:sz w:val="24"/>
          <w:szCs w:val="24"/>
        </w:rPr>
        <w:t xml:space="preserve"> out when </w:t>
      </w:r>
      <w:proofErr w:type="spellStart"/>
      <w:r>
        <w:rPr>
          <w:rFonts w:ascii="Arial" w:hAnsi="Arial" w:cs="Arial"/>
          <w:sz w:val="24"/>
          <w:szCs w:val="24"/>
        </w:rPr>
        <w:t>Anian</w:t>
      </w:r>
      <w:proofErr w:type="spellEnd"/>
      <w:r>
        <w:rPr>
          <w:rFonts w:ascii="Arial" w:hAnsi="Arial" w:cs="Arial"/>
          <w:sz w:val="24"/>
          <w:szCs w:val="24"/>
        </w:rPr>
        <w:t xml:space="preserve"> was bishop of St Asaph. For this I looked in the </w:t>
      </w:r>
      <w:r w:rsidRPr="00552B22">
        <w:rPr>
          <w:rFonts w:ascii="Arial" w:hAnsi="Arial" w:cs="Arial"/>
          <w:i/>
          <w:iCs/>
          <w:sz w:val="24"/>
          <w:szCs w:val="24"/>
        </w:rPr>
        <w:t>Handbook of British Chronology</w:t>
      </w:r>
      <w:r>
        <w:rPr>
          <w:rFonts w:ascii="Arial" w:hAnsi="Arial" w:cs="Arial"/>
          <w:sz w:val="24"/>
          <w:szCs w:val="24"/>
        </w:rPr>
        <w:t xml:space="preserve"> which contains a list of bishops of St Asaph. </w:t>
      </w:r>
      <w:proofErr w:type="spellStart"/>
      <w:r>
        <w:rPr>
          <w:rFonts w:ascii="Arial" w:hAnsi="Arial" w:cs="Arial"/>
          <w:sz w:val="24"/>
          <w:szCs w:val="24"/>
        </w:rPr>
        <w:t>Anian</w:t>
      </w:r>
      <w:proofErr w:type="spellEnd"/>
      <w:r>
        <w:rPr>
          <w:rFonts w:ascii="Arial" w:hAnsi="Arial" w:cs="Arial"/>
          <w:sz w:val="24"/>
          <w:szCs w:val="24"/>
        </w:rPr>
        <w:t xml:space="preserve"> I was bishop between November 1249 and 29 September 1266, and </w:t>
      </w:r>
      <w:proofErr w:type="spellStart"/>
      <w:r>
        <w:rPr>
          <w:rFonts w:ascii="Arial" w:hAnsi="Arial" w:cs="Arial"/>
          <w:sz w:val="24"/>
          <w:szCs w:val="24"/>
        </w:rPr>
        <w:t>Anian</w:t>
      </w:r>
      <w:proofErr w:type="spellEnd"/>
      <w:r>
        <w:rPr>
          <w:rFonts w:ascii="Arial" w:hAnsi="Arial" w:cs="Arial"/>
          <w:sz w:val="24"/>
          <w:szCs w:val="24"/>
        </w:rPr>
        <w:t xml:space="preserve"> II </w:t>
      </w:r>
      <w:r w:rsidR="003807B1">
        <w:rPr>
          <w:rFonts w:ascii="Arial" w:hAnsi="Arial" w:cs="Arial"/>
          <w:sz w:val="24"/>
          <w:szCs w:val="24"/>
        </w:rPr>
        <w:t xml:space="preserve">was </w:t>
      </w:r>
      <w:r w:rsidR="003807B1">
        <w:rPr>
          <w:rFonts w:ascii="Arial" w:hAnsi="Arial" w:cs="Arial"/>
          <w:sz w:val="24"/>
          <w:szCs w:val="24"/>
        </w:rPr>
        <w:lastRenderedPageBreak/>
        <w:t>bishop from 21 October 1268 until 5 February 1293</w:t>
      </w:r>
      <w:r w:rsidR="003807B1">
        <w:rPr>
          <w:rStyle w:val="FootnoteReference"/>
          <w:rFonts w:ascii="Arial" w:hAnsi="Arial" w:cs="Arial"/>
          <w:sz w:val="24"/>
          <w:szCs w:val="24"/>
        </w:rPr>
        <w:footnoteReference w:id="6"/>
      </w:r>
      <w:r w:rsidR="003807B1">
        <w:rPr>
          <w:rFonts w:ascii="Arial" w:hAnsi="Arial" w:cs="Arial"/>
          <w:sz w:val="24"/>
          <w:szCs w:val="24"/>
        </w:rPr>
        <w:t>.</w:t>
      </w:r>
      <w:r w:rsidR="00EA7A5F">
        <w:rPr>
          <w:rFonts w:ascii="Arial" w:hAnsi="Arial" w:cs="Arial"/>
          <w:sz w:val="24"/>
          <w:szCs w:val="24"/>
        </w:rPr>
        <w:t xml:space="preserve"> The text also mentions Bishop </w:t>
      </w:r>
      <w:proofErr w:type="spellStart"/>
      <w:r w:rsidR="00EA7A5F">
        <w:rPr>
          <w:rFonts w:ascii="Arial" w:hAnsi="Arial" w:cs="Arial"/>
          <w:sz w:val="24"/>
          <w:szCs w:val="24"/>
        </w:rPr>
        <w:t>Anian’s</w:t>
      </w:r>
      <w:proofErr w:type="spellEnd"/>
      <w:r w:rsidR="00EA7A5F">
        <w:rPr>
          <w:rFonts w:ascii="Arial" w:hAnsi="Arial" w:cs="Arial"/>
          <w:sz w:val="24"/>
          <w:szCs w:val="24"/>
        </w:rPr>
        <w:t xml:space="preserve"> predecessors were Reiner, </w:t>
      </w:r>
      <w:proofErr w:type="gramStart"/>
      <w:r w:rsidR="00EA7A5F">
        <w:rPr>
          <w:rFonts w:ascii="Arial" w:hAnsi="Arial" w:cs="Arial"/>
          <w:sz w:val="24"/>
          <w:szCs w:val="24"/>
        </w:rPr>
        <w:t>Abraham</w:t>
      </w:r>
      <w:proofErr w:type="gramEnd"/>
      <w:r w:rsidR="00EA7A5F">
        <w:rPr>
          <w:rFonts w:ascii="Arial" w:hAnsi="Arial" w:cs="Arial"/>
          <w:sz w:val="24"/>
          <w:szCs w:val="24"/>
        </w:rPr>
        <w:t xml:space="preserve"> and Hugh</w:t>
      </w:r>
      <w:r w:rsidR="00B05E71">
        <w:rPr>
          <w:rFonts w:ascii="Arial" w:hAnsi="Arial" w:cs="Arial"/>
          <w:sz w:val="24"/>
          <w:szCs w:val="24"/>
        </w:rPr>
        <w:t>,</w:t>
      </w:r>
      <w:r w:rsidR="00EA7A5F">
        <w:rPr>
          <w:rFonts w:ascii="Arial" w:hAnsi="Arial" w:cs="Arial"/>
          <w:sz w:val="24"/>
          <w:szCs w:val="24"/>
        </w:rPr>
        <w:t xml:space="preserve"> in which case it must be </w:t>
      </w:r>
      <w:proofErr w:type="spellStart"/>
      <w:r w:rsidR="00EA7A5F">
        <w:rPr>
          <w:rFonts w:ascii="Arial" w:hAnsi="Arial" w:cs="Arial"/>
          <w:sz w:val="24"/>
          <w:szCs w:val="24"/>
        </w:rPr>
        <w:t>Anian</w:t>
      </w:r>
      <w:proofErr w:type="spellEnd"/>
      <w:r w:rsidR="00EA7A5F">
        <w:rPr>
          <w:rFonts w:ascii="Arial" w:hAnsi="Arial" w:cs="Arial"/>
          <w:sz w:val="24"/>
          <w:szCs w:val="24"/>
        </w:rPr>
        <w:t xml:space="preserve"> I, or it would have also included Bishop John II who came between </w:t>
      </w:r>
      <w:proofErr w:type="spellStart"/>
      <w:r w:rsidR="00EA7A5F">
        <w:rPr>
          <w:rFonts w:ascii="Arial" w:hAnsi="Arial" w:cs="Arial"/>
          <w:sz w:val="24"/>
          <w:szCs w:val="24"/>
        </w:rPr>
        <w:t>Anian</w:t>
      </w:r>
      <w:proofErr w:type="spellEnd"/>
      <w:r w:rsidR="00EA7A5F">
        <w:rPr>
          <w:rFonts w:ascii="Arial" w:hAnsi="Arial" w:cs="Arial"/>
          <w:sz w:val="24"/>
          <w:szCs w:val="24"/>
        </w:rPr>
        <w:t xml:space="preserve"> I and </w:t>
      </w:r>
      <w:proofErr w:type="spellStart"/>
      <w:r w:rsidR="00EA7A5F">
        <w:rPr>
          <w:rFonts w:ascii="Arial" w:hAnsi="Arial" w:cs="Arial"/>
          <w:sz w:val="24"/>
          <w:szCs w:val="24"/>
        </w:rPr>
        <w:t>Anian</w:t>
      </w:r>
      <w:proofErr w:type="spellEnd"/>
      <w:r w:rsidR="00EA7A5F">
        <w:rPr>
          <w:rFonts w:ascii="Arial" w:hAnsi="Arial" w:cs="Arial"/>
          <w:sz w:val="24"/>
          <w:szCs w:val="24"/>
        </w:rPr>
        <w:t xml:space="preserve"> II.</w:t>
      </w:r>
      <w:r w:rsidR="00CB5B0E">
        <w:rPr>
          <w:rFonts w:ascii="Arial" w:hAnsi="Arial" w:cs="Arial"/>
          <w:sz w:val="24"/>
          <w:szCs w:val="24"/>
        </w:rPr>
        <w:t xml:space="preserve"> The first year of </w:t>
      </w:r>
      <w:proofErr w:type="spellStart"/>
      <w:r w:rsidR="00CB5B0E">
        <w:rPr>
          <w:rFonts w:ascii="Arial" w:hAnsi="Arial" w:cs="Arial"/>
          <w:sz w:val="24"/>
          <w:szCs w:val="24"/>
        </w:rPr>
        <w:t>Anian</w:t>
      </w:r>
      <w:proofErr w:type="spellEnd"/>
      <w:r w:rsidR="00CB5B0E">
        <w:rPr>
          <w:rFonts w:ascii="Arial" w:hAnsi="Arial" w:cs="Arial"/>
          <w:sz w:val="24"/>
          <w:szCs w:val="24"/>
        </w:rPr>
        <w:t xml:space="preserve"> I as Bishop of St Asaph would have been between November 1249 and November 1250.</w:t>
      </w:r>
    </w:p>
    <w:p w14:paraId="3BB62A9E" w14:textId="22A68941" w:rsidR="00336965" w:rsidRPr="00336965" w:rsidRDefault="00336965" w:rsidP="00D66404">
      <w:pPr>
        <w:rPr>
          <w:rFonts w:ascii="Arial" w:hAnsi="Arial" w:cs="Arial"/>
          <w:sz w:val="24"/>
          <w:szCs w:val="24"/>
        </w:rPr>
      </w:pPr>
      <w:r>
        <w:rPr>
          <w:rFonts w:ascii="Arial" w:hAnsi="Arial" w:cs="Arial"/>
          <w:sz w:val="24"/>
          <w:szCs w:val="24"/>
        </w:rPr>
        <w:t>Next, I researched St Mary Magdalene Day, which is mentioned in the Handbook of Dates as being on 22 July each year</w:t>
      </w:r>
      <w:r>
        <w:rPr>
          <w:rStyle w:val="FootnoteReference"/>
          <w:rFonts w:ascii="Arial" w:hAnsi="Arial" w:cs="Arial"/>
          <w:sz w:val="24"/>
          <w:szCs w:val="24"/>
        </w:rPr>
        <w:footnoteReference w:id="7"/>
      </w:r>
      <w:r>
        <w:rPr>
          <w:rFonts w:ascii="Arial" w:hAnsi="Arial" w:cs="Arial"/>
          <w:sz w:val="24"/>
          <w:szCs w:val="24"/>
        </w:rPr>
        <w:t>.</w:t>
      </w:r>
      <w:r w:rsidR="00EF6511">
        <w:rPr>
          <w:rFonts w:ascii="Arial" w:hAnsi="Arial" w:cs="Arial"/>
          <w:sz w:val="24"/>
          <w:szCs w:val="24"/>
        </w:rPr>
        <w:t xml:space="preserve"> As above, it would have been in the year 1250 that St Mary Magdalene day fell in </w:t>
      </w:r>
      <w:proofErr w:type="spellStart"/>
      <w:r w:rsidR="00EF6511">
        <w:rPr>
          <w:rFonts w:ascii="Arial" w:hAnsi="Arial" w:cs="Arial"/>
          <w:sz w:val="24"/>
          <w:szCs w:val="24"/>
        </w:rPr>
        <w:t>Anian</w:t>
      </w:r>
      <w:proofErr w:type="spellEnd"/>
      <w:r w:rsidR="00EF6511">
        <w:rPr>
          <w:rFonts w:ascii="Arial" w:hAnsi="Arial" w:cs="Arial"/>
          <w:sz w:val="24"/>
          <w:szCs w:val="24"/>
        </w:rPr>
        <w:t xml:space="preserve"> I’s first year. </w:t>
      </w:r>
      <w:r w:rsidR="002A2EAE">
        <w:rPr>
          <w:rFonts w:ascii="Arial" w:hAnsi="Arial" w:cs="Arial"/>
          <w:sz w:val="24"/>
          <w:szCs w:val="24"/>
        </w:rPr>
        <w:t>In the Handbook of Dates, there is a calendar of each year to be able to work out Easter dates. The year 1250 is in Table 6, showing that 22 July 1250 was on a Friday and so the date given in the document above must be Saturday 23 July 1250</w:t>
      </w:r>
      <w:r w:rsidR="000B2CDC">
        <w:rPr>
          <w:rStyle w:val="FootnoteReference"/>
          <w:rFonts w:ascii="Arial" w:hAnsi="Arial" w:cs="Arial"/>
          <w:sz w:val="24"/>
          <w:szCs w:val="24"/>
        </w:rPr>
        <w:footnoteReference w:id="8"/>
      </w:r>
      <w:r w:rsidR="002A2EAE">
        <w:rPr>
          <w:rFonts w:ascii="Arial" w:hAnsi="Arial" w:cs="Arial"/>
          <w:sz w:val="24"/>
          <w:szCs w:val="24"/>
        </w:rPr>
        <w:t>.</w:t>
      </w:r>
    </w:p>
    <w:p w14:paraId="43B7CABA" w14:textId="24B6711A" w:rsidR="00750A4C" w:rsidRDefault="00750A4C" w:rsidP="00750A4C">
      <w:pPr>
        <w:pStyle w:val="ListParagraph"/>
        <w:numPr>
          <w:ilvl w:val="0"/>
          <w:numId w:val="1"/>
        </w:numPr>
        <w:rPr>
          <w:rFonts w:ascii="Arial" w:hAnsi="Arial" w:cs="Arial"/>
          <w:sz w:val="24"/>
          <w:szCs w:val="24"/>
        </w:rPr>
      </w:pPr>
      <w:r>
        <w:rPr>
          <w:rFonts w:ascii="Arial" w:hAnsi="Arial" w:cs="Arial"/>
          <w:sz w:val="24"/>
          <w:szCs w:val="24"/>
        </w:rPr>
        <w:t>Downham: court held on Thursday the day after Ash Wednesday in the fourth year of the reign of King Edward and the first year of the episcopate of John de Ketene [</w:t>
      </w:r>
      <w:proofErr w:type="spellStart"/>
      <w:r>
        <w:rPr>
          <w:rFonts w:ascii="Arial" w:hAnsi="Arial" w:cs="Arial"/>
          <w:sz w:val="24"/>
          <w:szCs w:val="24"/>
        </w:rPr>
        <w:t>Ketton</w:t>
      </w:r>
      <w:proofErr w:type="spellEnd"/>
      <w:r>
        <w:rPr>
          <w:rFonts w:ascii="Arial" w:hAnsi="Arial" w:cs="Arial"/>
          <w:sz w:val="24"/>
          <w:szCs w:val="24"/>
        </w:rPr>
        <w:t>]</w:t>
      </w:r>
    </w:p>
    <w:p w14:paraId="061DBBF4" w14:textId="473BC4AD" w:rsidR="008D58E9" w:rsidRDefault="003A7B2B" w:rsidP="008D58E9">
      <w:pPr>
        <w:rPr>
          <w:rFonts w:ascii="Arial" w:hAnsi="Arial" w:cs="Arial"/>
          <w:sz w:val="24"/>
          <w:szCs w:val="24"/>
        </w:rPr>
      </w:pPr>
      <w:r>
        <w:rPr>
          <w:rFonts w:ascii="Arial" w:hAnsi="Arial" w:cs="Arial"/>
          <w:sz w:val="24"/>
          <w:szCs w:val="24"/>
        </w:rPr>
        <w:t xml:space="preserve">As there were several King Edwards over the years, I decided it was best to first narrow the dates down. The Handbook of British Chronology features all the bishops of different parts of England, and I found John </w:t>
      </w:r>
      <w:proofErr w:type="spellStart"/>
      <w:r>
        <w:rPr>
          <w:rFonts w:ascii="Arial" w:hAnsi="Arial" w:cs="Arial"/>
          <w:sz w:val="24"/>
          <w:szCs w:val="24"/>
        </w:rPr>
        <w:t>Ketton</w:t>
      </w:r>
      <w:proofErr w:type="spellEnd"/>
      <w:r>
        <w:rPr>
          <w:rFonts w:ascii="Arial" w:hAnsi="Arial" w:cs="Arial"/>
          <w:sz w:val="24"/>
          <w:szCs w:val="24"/>
        </w:rPr>
        <w:t xml:space="preserve"> was Bishop of Ely, elected on 2 March 1310 and consecrated on 6 September 1310</w:t>
      </w:r>
      <w:r w:rsidR="00A51398">
        <w:rPr>
          <w:rStyle w:val="FootnoteReference"/>
          <w:rFonts w:ascii="Arial" w:hAnsi="Arial" w:cs="Arial"/>
          <w:sz w:val="24"/>
          <w:szCs w:val="24"/>
        </w:rPr>
        <w:footnoteReference w:id="9"/>
      </w:r>
      <w:r>
        <w:rPr>
          <w:rFonts w:ascii="Arial" w:hAnsi="Arial" w:cs="Arial"/>
          <w:sz w:val="24"/>
          <w:szCs w:val="24"/>
        </w:rPr>
        <w:t>. This was the date his first year begun</w:t>
      </w:r>
      <w:r w:rsidR="00A33E79">
        <w:rPr>
          <w:rStyle w:val="FootnoteReference"/>
          <w:rFonts w:ascii="Arial" w:hAnsi="Arial" w:cs="Arial"/>
          <w:sz w:val="24"/>
          <w:szCs w:val="24"/>
        </w:rPr>
        <w:footnoteReference w:id="10"/>
      </w:r>
      <w:r>
        <w:rPr>
          <w:rFonts w:ascii="Arial" w:hAnsi="Arial" w:cs="Arial"/>
          <w:sz w:val="24"/>
          <w:szCs w:val="24"/>
        </w:rPr>
        <w:t>.</w:t>
      </w:r>
    </w:p>
    <w:p w14:paraId="5AF4FBCF" w14:textId="3D2720FF" w:rsidR="00271A07" w:rsidRPr="008D58E9" w:rsidRDefault="00271A07" w:rsidP="008D58E9">
      <w:pPr>
        <w:rPr>
          <w:rFonts w:ascii="Arial" w:hAnsi="Arial" w:cs="Arial"/>
          <w:sz w:val="24"/>
          <w:szCs w:val="24"/>
        </w:rPr>
      </w:pPr>
      <w:r>
        <w:rPr>
          <w:rFonts w:ascii="Arial" w:hAnsi="Arial" w:cs="Arial"/>
          <w:sz w:val="24"/>
          <w:szCs w:val="24"/>
        </w:rPr>
        <w:t xml:space="preserve">Now narrowed down to within a year, I worked out that the King Edward mentioned was Edward </w:t>
      </w:r>
      <w:r w:rsidR="009679CB">
        <w:rPr>
          <w:rFonts w:ascii="Arial" w:hAnsi="Arial" w:cs="Arial"/>
          <w:sz w:val="24"/>
          <w:szCs w:val="24"/>
        </w:rPr>
        <w:t>II who’s fourth year</w:t>
      </w:r>
      <w:r w:rsidR="005F7D4B">
        <w:rPr>
          <w:rFonts w:ascii="Arial" w:hAnsi="Arial" w:cs="Arial"/>
          <w:sz w:val="24"/>
          <w:szCs w:val="24"/>
        </w:rPr>
        <w:t xml:space="preserve"> of reign</w:t>
      </w:r>
      <w:r w:rsidR="009679CB">
        <w:rPr>
          <w:rFonts w:ascii="Arial" w:hAnsi="Arial" w:cs="Arial"/>
          <w:sz w:val="24"/>
          <w:szCs w:val="24"/>
        </w:rPr>
        <w:t xml:space="preserve"> was 8</w:t>
      </w:r>
      <w:r w:rsidR="009679CB">
        <w:rPr>
          <w:rFonts w:ascii="Arial" w:hAnsi="Arial" w:cs="Arial"/>
          <w:sz w:val="24"/>
          <w:szCs w:val="24"/>
          <w:vertAlign w:val="superscript"/>
        </w:rPr>
        <w:t xml:space="preserve"> </w:t>
      </w:r>
      <w:r w:rsidR="009679CB">
        <w:rPr>
          <w:rFonts w:ascii="Arial" w:hAnsi="Arial" w:cs="Arial"/>
          <w:sz w:val="24"/>
          <w:szCs w:val="24"/>
        </w:rPr>
        <w:t>July 1310 to 7 July 1311</w:t>
      </w:r>
      <w:r w:rsidR="009679CB">
        <w:rPr>
          <w:rStyle w:val="FootnoteReference"/>
          <w:rFonts w:ascii="Arial" w:hAnsi="Arial" w:cs="Arial"/>
          <w:sz w:val="24"/>
          <w:szCs w:val="24"/>
        </w:rPr>
        <w:footnoteReference w:id="11"/>
      </w:r>
      <w:r w:rsidR="009679CB">
        <w:rPr>
          <w:rFonts w:ascii="Arial" w:hAnsi="Arial" w:cs="Arial"/>
          <w:sz w:val="24"/>
          <w:szCs w:val="24"/>
        </w:rPr>
        <w:t>.</w:t>
      </w:r>
      <w:r w:rsidR="00FB09B5">
        <w:rPr>
          <w:rFonts w:ascii="Arial" w:hAnsi="Arial" w:cs="Arial"/>
          <w:sz w:val="24"/>
          <w:szCs w:val="24"/>
        </w:rPr>
        <w:t xml:space="preserve"> The calendar for the year of 1311 in the Handbook of Dates shows Ash Wednesday to be on 24</w:t>
      </w:r>
      <w:r w:rsidR="00FB09B5">
        <w:rPr>
          <w:rFonts w:ascii="Arial" w:hAnsi="Arial" w:cs="Arial"/>
          <w:sz w:val="24"/>
          <w:szCs w:val="24"/>
          <w:vertAlign w:val="superscript"/>
        </w:rPr>
        <w:t xml:space="preserve"> </w:t>
      </w:r>
      <w:r w:rsidR="00FB09B5">
        <w:rPr>
          <w:rFonts w:ascii="Arial" w:hAnsi="Arial" w:cs="Arial"/>
          <w:sz w:val="24"/>
          <w:szCs w:val="24"/>
        </w:rPr>
        <w:t>February</w:t>
      </w:r>
      <w:r w:rsidR="00F65F5A">
        <w:rPr>
          <w:rStyle w:val="FootnoteReference"/>
          <w:rFonts w:ascii="Arial" w:hAnsi="Arial" w:cs="Arial"/>
          <w:sz w:val="24"/>
          <w:szCs w:val="24"/>
        </w:rPr>
        <w:footnoteReference w:id="12"/>
      </w:r>
      <w:r w:rsidR="00FB09B5">
        <w:rPr>
          <w:rFonts w:ascii="Arial" w:hAnsi="Arial" w:cs="Arial"/>
          <w:sz w:val="24"/>
          <w:szCs w:val="24"/>
        </w:rPr>
        <w:t>.</w:t>
      </w:r>
      <w:r w:rsidR="004A4234">
        <w:rPr>
          <w:rFonts w:ascii="Arial" w:hAnsi="Arial" w:cs="Arial"/>
          <w:sz w:val="24"/>
          <w:szCs w:val="24"/>
        </w:rPr>
        <w:t xml:space="preserve"> </w:t>
      </w:r>
      <w:proofErr w:type="gramStart"/>
      <w:r w:rsidR="004A4234">
        <w:rPr>
          <w:rFonts w:ascii="Arial" w:hAnsi="Arial" w:cs="Arial"/>
          <w:sz w:val="24"/>
          <w:szCs w:val="24"/>
        </w:rPr>
        <w:t>Therefore</w:t>
      </w:r>
      <w:proofErr w:type="gramEnd"/>
      <w:r w:rsidR="004A4234">
        <w:rPr>
          <w:rFonts w:ascii="Arial" w:hAnsi="Arial" w:cs="Arial"/>
          <w:sz w:val="24"/>
          <w:szCs w:val="24"/>
        </w:rPr>
        <w:t xml:space="preserve"> the day after Ash Wednesday was Thursday 25</w:t>
      </w:r>
      <w:r w:rsidR="004A4234" w:rsidRPr="004A4234">
        <w:rPr>
          <w:rFonts w:ascii="Arial" w:hAnsi="Arial" w:cs="Arial"/>
          <w:sz w:val="24"/>
          <w:szCs w:val="24"/>
          <w:vertAlign w:val="superscript"/>
        </w:rPr>
        <w:t>th</w:t>
      </w:r>
      <w:r w:rsidR="004A4234">
        <w:rPr>
          <w:rFonts w:ascii="Arial" w:hAnsi="Arial" w:cs="Arial"/>
          <w:sz w:val="24"/>
          <w:szCs w:val="24"/>
        </w:rPr>
        <w:t xml:space="preserve"> February 1311.</w:t>
      </w:r>
    </w:p>
    <w:p w14:paraId="6F0046D8" w14:textId="41DAD3B3" w:rsidR="00750A4C" w:rsidRDefault="00750A4C" w:rsidP="00750A4C">
      <w:pPr>
        <w:pStyle w:val="ListParagraph"/>
        <w:numPr>
          <w:ilvl w:val="0"/>
          <w:numId w:val="1"/>
        </w:numPr>
        <w:rPr>
          <w:rFonts w:ascii="Arial" w:hAnsi="Arial" w:cs="Arial"/>
          <w:sz w:val="24"/>
          <w:szCs w:val="24"/>
        </w:rPr>
      </w:pPr>
      <w:r>
        <w:rPr>
          <w:rFonts w:ascii="Arial" w:hAnsi="Arial" w:cs="Arial"/>
          <w:sz w:val="24"/>
          <w:szCs w:val="24"/>
        </w:rPr>
        <w:t xml:space="preserve">Henry, king of the English, greets the </w:t>
      </w:r>
      <w:r w:rsidR="006C0C3E">
        <w:rPr>
          <w:rFonts w:ascii="Arial" w:hAnsi="Arial" w:cs="Arial"/>
          <w:sz w:val="24"/>
          <w:szCs w:val="24"/>
        </w:rPr>
        <w:t>b</w:t>
      </w:r>
      <w:r>
        <w:rPr>
          <w:rFonts w:ascii="Arial" w:hAnsi="Arial" w:cs="Arial"/>
          <w:sz w:val="24"/>
          <w:szCs w:val="24"/>
        </w:rPr>
        <w:t xml:space="preserve">ishop of Lincoln and Earl David and the </w:t>
      </w:r>
      <w:r w:rsidR="006C0C3E">
        <w:rPr>
          <w:rFonts w:ascii="Arial" w:hAnsi="Arial" w:cs="Arial"/>
          <w:sz w:val="24"/>
          <w:szCs w:val="24"/>
        </w:rPr>
        <w:t>e</w:t>
      </w:r>
      <w:r>
        <w:rPr>
          <w:rFonts w:ascii="Arial" w:hAnsi="Arial" w:cs="Arial"/>
          <w:sz w:val="24"/>
          <w:szCs w:val="24"/>
        </w:rPr>
        <w:t xml:space="preserve">arl of Leicester, and </w:t>
      </w:r>
      <w:r w:rsidR="006C0C3E">
        <w:rPr>
          <w:rFonts w:ascii="Arial" w:hAnsi="Arial" w:cs="Arial"/>
          <w:sz w:val="24"/>
          <w:szCs w:val="24"/>
        </w:rPr>
        <w:t>E</w:t>
      </w:r>
      <w:r>
        <w:rPr>
          <w:rFonts w:ascii="Arial" w:hAnsi="Arial" w:cs="Arial"/>
          <w:sz w:val="24"/>
          <w:szCs w:val="24"/>
        </w:rPr>
        <w:t xml:space="preserve">arl </w:t>
      </w:r>
      <w:proofErr w:type="spellStart"/>
      <w:r>
        <w:rPr>
          <w:rFonts w:ascii="Arial" w:hAnsi="Arial" w:cs="Arial"/>
          <w:sz w:val="24"/>
          <w:szCs w:val="24"/>
        </w:rPr>
        <w:t>Rannulf</w:t>
      </w:r>
      <w:proofErr w:type="spellEnd"/>
      <w:r>
        <w:rPr>
          <w:rFonts w:ascii="Arial" w:hAnsi="Arial" w:cs="Arial"/>
          <w:sz w:val="24"/>
          <w:szCs w:val="24"/>
        </w:rPr>
        <w:t xml:space="preserve"> of Chester, and all the barons and lords of whom Geoffrey </w:t>
      </w:r>
      <w:proofErr w:type="spellStart"/>
      <w:r>
        <w:rPr>
          <w:rFonts w:ascii="Arial" w:hAnsi="Arial" w:cs="Arial"/>
          <w:sz w:val="24"/>
          <w:szCs w:val="24"/>
        </w:rPr>
        <w:t>Ridel</w:t>
      </w:r>
      <w:proofErr w:type="spellEnd"/>
      <w:r>
        <w:rPr>
          <w:rFonts w:ascii="Arial" w:hAnsi="Arial" w:cs="Arial"/>
          <w:sz w:val="24"/>
          <w:szCs w:val="24"/>
        </w:rPr>
        <w:t xml:space="preserve"> held lands</w:t>
      </w:r>
      <w:r w:rsidR="006C0C3E">
        <w:rPr>
          <w:rFonts w:ascii="Arial" w:hAnsi="Arial" w:cs="Arial"/>
          <w:sz w:val="24"/>
          <w:szCs w:val="24"/>
        </w:rPr>
        <w:t>,</w:t>
      </w:r>
      <w:r>
        <w:rPr>
          <w:rFonts w:ascii="Arial" w:hAnsi="Arial" w:cs="Arial"/>
          <w:sz w:val="24"/>
          <w:szCs w:val="24"/>
        </w:rPr>
        <w:t xml:space="preserve"> and all the sheriffs within whose jurisdiction he held them. Know that I have given to Richard Basset the daughter of Geoffrey </w:t>
      </w:r>
      <w:proofErr w:type="spellStart"/>
      <w:r>
        <w:rPr>
          <w:rFonts w:ascii="Arial" w:hAnsi="Arial" w:cs="Arial"/>
          <w:sz w:val="24"/>
          <w:szCs w:val="24"/>
        </w:rPr>
        <w:t>Ridel</w:t>
      </w:r>
      <w:proofErr w:type="spellEnd"/>
      <w:r>
        <w:rPr>
          <w:rFonts w:ascii="Arial" w:hAnsi="Arial" w:cs="Arial"/>
          <w:sz w:val="24"/>
          <w:szCs w:val="24"/>
        </w:rPr>
        <w:t xml:space="preserve"> to wife, and the </w:t>
      </w:r>
      <w:r w:rsidR="006C0C3E">
        <w:rPr>
          <w:rFonts w:ascii="Arial" w:hAnsi="Arial" w:cs="Arial"/>
          <w:sz w:val="24"/>
          <w:szCs w:val="24"/>
        </w:rPr>
        <w:t>custody</w:t>
      </w:r>
      <w:r>
        <w:rPr>
          <w:rFonts w:ascii="Arial" w:hAnsi="Arial" w:cs="Arial"/>
          <w:sz w:val="24"/>
          <w:szCs w:val="24"/>
        </w:rPr>
        <w:t xml:space="preserve"> of Geoffrey </w:t>
      </w:r>
      <w:proofErr w:type="spellStart"/>
      <w:r>
        <w:rPr>
          <w:rFonts w:ascii="Arial" w:hAnsi="Arial" w:cs="Arial"/>
          <w:sz w:val="24"/>
          <w:szCs w:val="24"/>
        </w:rPr>
        <w:t>Ridel’s</w:t>
      </w:r>
      <w:proofErr w:type="spellEnd"/>
      <w:r>
        <w:rPr>
          <w:rFonts w:ascii="Arial" w:hAnsi="Arial" w:cs="Arial"/>
          <w:sz w:val="24"/>
          <w:szCs w:val="24"/>
        </w:rPr>
        <w:t xml:space="preserve"> land</w:t>
      </w:r>
      <w:r w:rsidR="006C0C3E">
        <w:rPr>
          <w:rFonts w:ascii="Arial" w:hAnsi="Arial" w:cs="Arial"/>
          <w:sz w:val="24"/>
          <w:szCs w:val="24"/>
        </w:rPr>
        <w:t xml:space="preserve"> until Robert </w:t>
      </w:r>
      <w:proofErr w:type="spellStart"/>
      <w:r w:rsidR="006C0C3E">
        <w:rPr>
          <w:rFonts w:ascii="Arial" w:hAnsi="Arial" w:cs="Arial"/>
          <w:sz w:val="24"/>
          <w:szCs w:val="24"/>
        </w:rPr>
        <w:t>Ridel</w:t>
      </w:r>
      <w:proofErr w:type="spellEnd"/>
      <w:r w:rsidR="006C0C3E">
        <w:rPr>
          <w:rFonts w:ascii="Arial" w:hAnsi="Arial" w:cs="Arial"/>
          <w:sz w:val="24"/>
          <w:szCs w:val="24"/>
        </w:rPr>
        <w:t xml:space="preserve"> can be made a knight and marry the granddaughter of Ralph Basset, namely the daughter of one of his daughters. … And this gift and compact have been made at the request and with the advice of </w:t>
      </w:r>
      <w:proofErr w:type="spellStart"/>
      <w:r w:rsidR="006C0C3E">
        <w:rPr>
          <w:rFonts w:ascii="Arial" w:hAnsi="Arial" w:cs="Arial"/>
          <w:sz w:val="24"/>
          <w:szCs w:val="24"/>
        </w:rPr>
        <w:t>Rannulf</w:t>
      </w:r>
      <w:proofErr w:type="spellEnd"/>
      <w:r w:rsidR="006C0C3E">
        <w:rPr>
          <w:rFonts w:ascii="Arial" w:hAnsi="Arial" w:cs="Arial"/>
          <w:sz w:val="24"/>
          <w:szCs w:val="24"/>
        </w:rPr>
        <w:t xml:space="preserve">, earl of Chester, and William his brother, and Nigel </w:t>
      </w:r>
      <w:proofErr w:type="spellStart"/>
      <w:r w:rsidR="006C0C3E">
        <w:rPr>
          <w:rFonts w:ascii="Arial" w:hAnsi="Arial" w:cs="Arial"/>
          <w:sz w:val="24"/>
          <w:szCs w:val="24"/>
        </w:rPr>
        <w:t>D’Aubigny</w:t>
      </w:r>
      <w:proofErr w:type="spellEnd"/>
      <w:r w:rsidR="006C0C3E">
        <w:rPr>
          <w:rFonts w:ascii="Arial" w:hAnsi="Arial" w:cs="Arial"/>
          <w:sz w:val="24"/>
          <w:szCs w:val="24"/>
        </w:rPr>
        <w:t xml:space="preserve"> and Robert </w:t>
      </w:r>
      <w:proofErr w:type="spellStart"/>
      <w:r w:rsidR="006C0C3E">
        <w:rPr>
          <w:rFonts w:ascii="Arial" w:hAnsi="Arial" w:cs="Arial"/>
          <w:sz w:val="24"/>
          <w:szCs w:val="24"/>
        </w:rPr>
        <w:t>Ridel’s</w:t>
      </w:r>
      <w:proofErr w:type="spellEnd"/>
      <w:r w:rsidR="006C0C3E">
        <w:rPr>
          <w:rFonts w:ascii="Arial" w:hAnsi="Arial" w:cs="Arial"/>
          <w:sz w:val="24"/>
          <w:szCs w:val="24"/>
        </w:rPr>
        <w:t xml:space="preserve"> other kin and </w:t>
      </w:r>
      <w:proofErr w:type="spellStart"/>
      <w:r w:rsidR="006C0C3E">
        <w:rPr>
          <w:rFonts w:ascii="Arial" w:hAnsi="Arial" w:cs="Arial"/>
          <w:sz w:val="24"/>
          <w:szCs w:val="24"/>
        </w:rPr>
        <w:t>Geva</w:t>
      </w:r>
      <w:proofErr w:type="spellEnd"/>
      <w:r w:rsidR="006C0C3E">
        <w:rPr>
          <w:rFonts w:ascii="Arial" w:hAnsi="Arial" w:cs="Arial"/>
          <w:sz w:val="24"/>
          <w:szCs w:val="24"/>
        </w:rPr>
        <w:t xml:space="preserve"> his mother, and Geoffrey the earl’s chancellor, and Simon, dean of Lincoln, and William, son of </w:t>
      </w:r>
      <w:proofErr w:type="spellStart"/>
      <w:r w:rsidR="006C0C3E">
        <w:rPr>
          <w:rFonts w:ascii="Arial" w:hAnsi="Arial" w:cs="Arial"/>
          <w:sz w:val="24"/>
          <w:szCs w:val="24"/>
        </w:rPr>
        <w:t>Rannulf</w:t>
      </w:r>
      <w:proofErr w:type="spellEnd"/>
      <w:r w:rsidR="006C0C3E">
        <w:rPr>
          <w:rFonts w:ascii="Arial" w:hAnsi="Arial" w:cs="Arial"/>
          <w:sz w:val="24"/>
          <w:szCs w:val="24"/>
        </w:rPr>
        <w:t xml:space="preserve">, and Thomas of St John and Geoffrey de Clinton, and </w:t>
      </w:r>
      <w:proofErr w:type="spellStart"/>
      <w:r w:rsidR="006C0C3E">
        <w:rPr>
          <w:rFonts w:ascii="Arial" w:hAnsi="Arial" w:cs="Arial"/>
          <w:sz w:val="24"/>
          <w:szCs w:val="24"/>
        </w:rPr>
        <w:t>Payn</w:t>
      </w:r>
      <w:proofErr w:type="spellEnd"/>
      <w:r w:rsidR="006C0C3E">
        <w:rPr>
          <w:rFonts w:ascii="Arial" w:hAnsi="Arial" w:cs="Arial"/>
          <w:sz w:val="24"/>
          <w:szCs w:val="24"/>
        </w:rPr>
        <w:t xml:space="preserve"> son of John, and William </w:t>
      </w:r>
      <w:proofErr w:type="spellStart"/>
      <w:r w:rsidR="006C0C3E">
        <w:rPr>
          <w:rFonts w:ascii="Arial" w:hAnsi="Arial" w:cs="Arial"/>
          <w:sz w:val="24"/>
          <w:szCs w:val="24"/>
        </w:rPr>
        <w:t>d’Aubigny</w:t>
      </w:r>
      <w:proofErr w:type="spellEnd"/>
      <w:r w:rsidR="006C0C3E">
        <w:rPr>
          <w:rFonts w:ascii="Arial" w:hAnsi="Arial" w:cs="Arial"/>
          <w:sz w:val="24"/>
          <w:szCs w:val="24"/>
        </w:rPr>
        <w:t xml:space="preserve"> and </w:t>
      </w:r>
      <w:r w:rsidR="006C0C3E">
        <w:rPr>
          <w:rFonts w:ascii="Arial" w:hAnsi="Arial" w:cs="Arial"/>
          <w:sz w:val="24"/>
          <w:szCs w:val="24"/>
        </w:rPr>
        <w:lastRenderedPageBreak/>
        <w:t xml:space="preserve">Humphrey de </w:t>
      </w:r>
      <w:proofErr w:type="spellStart"/>
      <w:r w:rsidR="006C0C3E">
        <w:rPr>
          <w:rFonts w:ascii="Arial" w:hAnsi="Arial" w:cs="Arial"/>
          <w:sz w:val="24"/>
          <w:szCs w:val="24"/>
        </w:rPr>
        <w:t>Bohun</w:t>
      </w:r>
      <w:proofErr w:type="spellEnd"/>
      <w:r w:rsidR="006C0C3E">
        <w:rPr>
          <w:rFonts w:ascii="Arial" w:hAnsi="Arial" w:cs="Arial"/>
          <w:sz w:val="24"/>
          <w:szCs w:val="24"/>
        </w:rPr>
        <w:t xml:space="preserve"> and Robert </w:t>
      </w:r>
      <w:proofErr w:type="spellStart"/>
      <w:r w:rsidR="006C0C3E">
        <w:rPr>
          <w:rFonts w:ascii="Arial" w:hAnsi="Arial" w:cs="Arial"/>
          <w:sz w:val="24"/>
          <w:szCs w:val="24"/>
        </w:rPr>
        <w:t>Musard</w:t>
      </w:r>
      <w:proofErr w:type="spellEnd"/>
      <w:r w:rsidR="006C0C3E">
        <w:rPr>
          <w:rFonts w:ascii="Arial" w:hAnsi="Arial" w:cs="Arial"/>
          <w:sz w:val="24"/>
          <w:szCs w:val="24"/>
        </w:rPr>
        <w:t xml:space="preserve"> and Robert Basset and Osmund Basset and Thurstan Basset and William, constable of Earl </w:t>
      </w:r>
      <w:proofErr w:type="spellStart"/>
      <w:r w:rsidR="006C0C3E">
        <w:rPr>
          <w:rFonts w:ascii="Arial" w:hAnsi="Arial" w:cs="Arial"/>
          <w:sz w:val="24"/>
          <w:szCs w:val="24"/>
        </w:rPr>
        <w:t>Rannulf</w:t>
      </w:r>
      <w:proofErr w:type="spellEnd"/>
      <w:r w:rsidR="006C0C3E">
        <w:rPr>
          <w:rFonts w:ascii="Arial" w:hAnsi="Arial" w:cs="Arial"/>
          <w:sz w:val="24"/>
          <w:szCs w:val="24"/>
        </w:rPr>
        <w:t xml:space="preserve"> of Chester, and Ralph, son of Norman, and Hugh </w:t>
      </w:r>
      <w:proofErr w:type="spellStart"/>
      <w:r w:rsidR="006C0C3E">
        <w:rPr>
          <w:rFonts w:ascii="Arial" w:hAnsi="Arial" w:cs="Arial"/>
          <w:sz w:val="24"/>
          <w:szCs w:val="24"/>
        </w:rPr>
        <w:t>Maubanc</w:t>
      </w:r>
      <w:proofErr w:type="spellEnd"/>
      <w:r w:rsidR="006C0C3E">
        <w:rPr>
          <w:rFonts w:ascii="Arial" w:hAnsi="Arial" w:cs="Arial"/>
          <w:sz w:val="24"/>
          <w:szCs w:val="24"/>
        </w:rPr>
        <w:t xml:space="preserve"> At Woodstock.</w:t>
      </w:r>
    </w:p>
    <w:p w14:paraId="02F84FF9" w14:textId="7B27843C" w:rsidR="00E36586" w:rsidRDefault="00A766DD" w:rsidP="00E36586">
      <w:pPr>
        <w:rPr>
          <w:rFonts w:ascii="Arial" w:hAnsi="Arial" w:cs="Arial"/>
          <w:sz w:val="24"/>
          <w:szCs w:val="24"/>
        </w:rPr>
      </w:pPr>
      <w:r>
        <w:rPr>
          <w:rFonts w:ascii="Arial" w:hAnsi="Arial" w:cs="Arial"/>
          <w:sz w:val="24"/>
          <w:szCs w:val="24"/>
        </w:rPr>
        <w:t xml:space="preserve">I started with a list of all the people mentioned in the document above, as it was hard to pinpoint any century specifically to begin with. Earl </w:t>
      </w:r>
      <w:proofErr w:type="spellStart"/>
      <w:r>
        <w:rPr>
          <w:rFonts w:ascii="Arial" w:hAnsi="Arial" w:cs="Arial"/>
          <w:sz w:val="24"/>
          <w:szCs w:val="24"/>
        </w:rPr>
        <w:t>Rannulf</w:t>
      </w:r>
      <w:proofErr w:type="spellEnd"/>
      <w:r>
        <w:rPr>
          <w:rFonts w:ascii="Arial" w:hAnsi="Arial" w:cs="Arial"/>
          <w:sz w:val="24"/>
          <w:szCs w:val="24"/>
        </w:rPr>
        <w:t xml:space="preserve"> of Chester seemed to be as specific a name as I could get, and so began to research into the Earldom of Chester. In the Handbook of British Chronology, I found there to be three earls of Chester </w:t>
      </w:r>
      <w:r w:rsidR="000542B6">
        <w:rPr>
          <w:rFonts w:ascii="Arial" w:hAnsi="Arial" w:cs="Arial"/>
          <w:sz w:val="24"/>
          <w:szCs w:val="24"/>
        </w:rPr>
        <w:t>by</w:t>
      </w:r>
      <w:r>
        <w:rPr>
          <w:rFonts w:ascii="Arial" w:hAnsi="Arial" w:cs="Arial"/>
          <w:sz w:val="24"/>
          <w:szCs w:val="24"/>
        </w:rPr>
        <w:t xml:space="preserve"> the name </w:t>
      </w:r>
      <w:proofErr w:type="spellStart"/>
      <w:r>
        <w:rPr>
          <w:rFonts w:ascii="Arial" w:hAnsi="Arial" w:cs="Arial"/>
          <w:sz w:val="24"/>
          <w:szCs w:val="24"/>
        </w:rPr>
        <w:t>Ranulph</w:t>
      </w:r>
      <w:proofErr w:type="spellEnd"/>
      <w:r>
        <w:rPr>
          <w:rFonts w:ascii="Arial" w:hAnsi="Arial" w:cs="Arial"/>
          <w:sz w:val="24"/>
          <w:szCs w:val="24"/>
        </w:rPr>
        <w:t xml:space="preserve"> between 1120 and 1232</w:t>
      </w:r>
      <w:r w:rsidR="000542B6">
        <w:rPr>
          <w:rStyle w:val="FootnoteReference"/>
          <w:rFonts w:ascii="Arial" w:hAnsi="Arial" w:cs="Arial"/>
          <w:sz w:val="24"/>
          <w:szCs w:val="24"/>
        </w:rPr>
        <w:footnoteReference w:id="13"/>
      </w:r>
      <w:r w:rsidR="000542B6">
        <w:rPr>
          <w:rFonts w:ascii="Arial" w:hAnsi="Arial" w:cs="Arial"/>
          <w:sz w:val="24"/>
          <w:szCs w:val="24"/>
        </w:rPr>
        <w:t xml:space="preserve">. The document mentions William is </w:t>
      </w:r>
      <w:proofErr w:type="spellStart"/>
      <w:r w:rsidR="000542B6">
        <w:rPr>
          <w:rFonts w:ascii="Arial" w:hAnsi="Arial" w:cs="Arial"/>
          <w:sz w:val="24"/>
          <w:szCs w:val="24"/>
        </w:rPr>
        <w:t>Ranulph’s</w:t>
      </w:r>
      <w:proofErr w:type="spellEnd"/>
      <w:r w:rsidR="000542B6">
        <w:rPr>
          <w:rFonts w:ascii="Arial" w:hAnsi="Arial" w:cs="Arial"/>
          <w:sz w:val="24"/>
          <w:szCs w:val="24"/>
        </w:rPr>
        <w:t xml:space="preserve"> brother and the only </w:t>
      </w:r>
      <w:proofErr w:type="spellStart"/>
      <w:r w:rsidR="000542B6">
        <w:rPr>
          <w:rFonts w:ascii="Arial" w:hAnsi="Arial" w:cs="Arial"/>
          <w:sz w:val="24"/>
          <w:szCs w:val="24"/>
        </w:rPr>
        <w:t>Ranulph</w:t>
      </w:r>
      <w:proofErr w:type="spellEnd"/>
      <w:r w:rsidR="000542B6">
        <w:rPr>
          <w:rFonts w:ascii="Arial" w:hAnsi="Arial" w:cs="Arial"/>
          <w:sz w:val="24"/>
          <w:szCs w:val="24"/>
        </w:rPr>
        <w:t xml:space="preserve">, earl of Chester, who had a brother named William, was </w:t>
      </w:r>
      <w:proofErr w:type="spellStart"/>
      <w:r w:rsidR="000542B6">
        <w:rPr>
          <w:rFonts w:ascii="Arial" w:hAnsi="Arial" w:cs="Arial"/>
          <w:sz w:val="24"/>
          <w:szCs w:val="24"/>
        </w:rPr>
        <w:t>Ranulph</w:t>
      </w:r>
      <w:proofErr w:type="spellEnd"/>
      <w:r w:rsidR="000542B6">
        <w:rPr>
          <w:rFonts w:ascii="Arial" w:hAnsi="Arial" w:cs="Arial"/>
          <w:sz w:val="24"/>
          <w:szCs w:val="24"/>
        </w:rPr>
        <w:t xml:space="preserve"> le </w:t>
      </w:r>
      <w:proofErr w:type="spellStart"/>
      <w:r w:rsidR="000542B6">
        <w:rPr>
          <w:rFonts w:ascii="Arial" w:hAnsi="Arial" w:cs="Arial"/>
          <w:sz w:val="24"/>
          <w:szCs w:val="24"/>
        </w:rPr>
        <w:t>Meschin</w:t>
      </w:r>
      <w:proofErr w:type="spellEnd"/>
      <w:r w:rsidR="000542B6">
        <w:rPr>
          <w:rFonts w:ascii="Arial" w:hAnsi="Arial" w:cs="Arial"/>
          <w:sz w:val="24"/>
          <w:szCs w:val="24"/>
        </w:rPr>
        <w:t xml:space="preserve"> who was earl from 1120/21 until his death in 1129. I found this information in a source from 1861 in a section about the surname le </w:t>
      </w:r>
      <w:proofErr w:type="spellStart"/>
      <w:r w:rsidR="000542B6">
        <w:rPr>
          <w:rFonts w:ascii="Arial" w:hAnsi="Arial" w:cs="Arial"/>
          <w:sz w:val="24"/>
          <w:szCs w:val="24"/>
        </w:rPr>
        <w:t>Meschin</w:t>
      </w:r>
      <w:proofErr w:type="spellEnd"/>
      <w:r w:rsidR="000542B6">
        <w:rPr>
          <w:rFonts w:ascii="Arial" w:hAnsi="Arial" w:cs="Arial"/>
          <w:sz w:val="24"/>
          <w:szCs w:val="24"/>
        </w:rPr>
        <w:t xml:space="preserve">, where it mentions </w:t>
      </w:r>
      <w:proofErr w:type="spellStart"/>
      <w:r w:rsidR="000542B6">
        <w:rPr>
          <w:rFonts w:ascii="Arial" w:hAnsi="Arial" w:cs="Arial"/>
          <w:sz w:val="24"/>
          <w:szCs w:val="24"/>
        </w:rPr>
        <w:t>Ranulph</w:t>
      </w:r>
      <w:proofErr w:type="spellEnd"/>
      <w:r w:rsidR="000542B6">
        <w:rPr>
          <w:rFonts w:ascii="Arial" w:hAnsi="Arial" w:cs="Arial"/>
          <w:sz w:val="24"/>
          <w:szCs w:val="24"/>
        </w:rPr>
        <w:t xml:space="preserve"> had a brother named William who was hard to trace as he did not maintain the same surname. It mentions </w:t>
      </w:r>
      <w:proofErr w:type="spellStart"/>
      <w:r w:rsidR="000542B6">
        <w:rPr>
          <w:rFonts w:ascii="Arial" w:hAnsi="Arial" w:cs="Arial"/>
          <w:sz w:val="24"/>
          <w:szCs w:val="24"/>
        </w:rPr>
        <w:t>Ranulph</w:t>
      </w:r>
      <w:proofErr w:type="spellEnd"/>
      <w:r w:rsidR="000542B6">
        <w:rPr>
          <w:rFonts w:ascii="Arial" w:hAnsi="Arial" w:cs="Arial"/>
          <w:sz w:val="24"/>
          <w:szCs w:val="24"/>
        </w:rPr>
        <w:t xml:space="preserve"> was the older brother</w:t>
      </w:r>
      <w:r w:rsidR="00455600">
        <w:rPr>
          <w:rFonts w:ascii="Arial" w:hAnsi="Arial" w:cs="Arial"/>
          <w:sz w:val="24"/>
          <w:szCs w:val="24"/>
        </w:rPr>
        <w:t>,</w:t>
      </w:r>
      <w:r w:rsidR="000542B6">
        <w:rPr>
          <w:rFonts w:ascii="Arial" w:hAnsi="Arial" w:cs="Arial"/>
          <w:sz w:val="24"/>
          <w:szCs w:val="24"/>
        </w:rPr>
        <w:t xml:space="preserve"> </w:t>
      </w:r>
      <w:proofErr w:type="gramStart"/>
      <w:r w:rsidR="000542B6">
        <w:rPr>
          <w:rFonts w:ascii="Arial" w:hAnsi="Arial" w:cs="Arial"/>
          <w:sz w:val="24"/>
          <w:szCs w:val="24"/>
        </w:rPr>
        <w:t>which</w:t>
      </w:r>
      <w:proofErr w:type="gramEnd"/>
      <w:r w:rsidR="000542B6">
        <w:rPr>
          <w:rFonts w:ascii="Arial" w:hAnsi="Arial" w:cs="Arial"/>
          <w:sz w:val="24"/>
          <w:szCs w:val="24"/>
        </w:rPr>
        <w:t xml:space="preserve"> explains why he received the earldom rather than William</w:t>
      </w:r>
      <w:r w:rsidR="000542B6">
        <w:rPr>
          <w:rStyle w:val="FootnoteReference"/>
          <w:rFonts w:ascii="Arial" w:hAnsi="Arial" w:cs="Arial"/>
          <w:sz w:val="24"/>
          <w:szCs w:val="24"/>
        </w:rPr>
        <w:footnoteReference w:id="14"/>
      </w:r>
      <w:r w:rsidR="000542B6">
        <w:rPr>
          <w:rFonts w:ascii="Arial" w:hAnsi="Arial" w:cs="Arial"/>
          <w:sz w:val="24"/>
          <w:szCs w:val="24"/>
        </w:rPr>
        <w:t>.</w:t>
      </w:r>
      <w:r w:rsidR="007F1DE9">
        <w:rPr>
          <w:rFonts w:ascii="Arial" w:hAnsi="Arial" w:cs="Arial"/>
          <w:sz w:val="24"/>
          <w:szCs w:val="24"/>
        </w:rPr>
        <w:t xml:space="preserve"> This narrows the date of the document to between 1120 and 1129.</w:t>
      </w:r>
    </w:p>
    <w:p w14:paraId="3608EA0F" w14:textId="40BFF188" w:rsidR="007F1DE9" w:rsidRDefault="007F1DE9" w:rsidP="00E36586">
      <w:pPr>
        <w:rPr>
          <w:rFonts w:ascii="Arial" w:hAnsi="Arial" w:cs="Arial"/>
          <w:sz w:val="24"/>
          <w:szCs w:val="24"/>
        </w:rPr>
      </w:pPr>
      <w:r>
        <w:rPr>
          <w:rFonts w:ascii="Arial" w:hAnsi="Arial" w:cs="Arial"/>
          <w:sz w:val="24"/>
          <w:szCs w:val="24"/>
        </w:rPr>
        <w:t>This means the King Henry mentioned was Henry I, who reigned between 1100 and 1135</w:t>
      </w:r>
      <w:r>
        <w:rPr>
          <w:rStyle w:val="FootnoteReference"/>
          <w:rFonts w:ascii="Arial" w:hAnsi="Arial" w:cs="Arial"/>
          <w:sz w:val="24"/>
          <w:szCs w:val="24"/>
        </w:rPr>
        <w:footnoteReference w:id="15"/>
      </w:r>
      <w:r>
        <w:rPr>
          <w:rFonts w:ascii="Arial" w:hAnsi="Arial" w:cs="Arial"/>
          <w:sz w:val="24"/>
          <w:szCs w:val="24"/>
        </w:rPr>
        <w:t>.</w:t>
      </w:r>
      <w:r w:rsidR="00347770">
        <w:rPr>
          <w:rFonts w:ascii="Arial" w:hAnsi="Arial" w:cs="Arial"/>
          <w:sz w:val="24"/>
          <w:szCs w:val="24"/>
        </w:rPr>
        <w:t xml:space="preserve"> David appears to be a very rare name for an earl in the 1100s as the only Earl David I could find in the Handbook of British Chronology was David, Earl of Huntingdon who was earl between 1123/14 until his resignation in 1136</w:t>
      </w:r>
      <w:r w:rsidR="00347770">
        <w:rPr>
          <w:rStyle w:val="FootnoteReference"/>
          <w:rFonts w:ascii="Arial" w:hAnsi="Arial" w:cs="Arial"/>
          <w:sz w:val="24"/>
          <w:szCs w:val="24"/>
        </w:rPr>
        <w:footnoteReference w:id="16"/>
      </w:r>
      <w:r w:rsidR="00347770">
        <w:rPr>
          <w:rFonts w:ascii="Arial" w:hAnsi="Arial" w:cs="Arial"/>
          <w:sz w:val="24"/>
          <w:szCs w:val="24"/>
        </w:rPr>
        <w:t xml:space="preserve">. </w:t>
      </w:r>
      <w:proofErr w:type="gramStart"/>
      <w:r w:rsidR="00347770">
        <w:rPr>
          <w:rFonts w:ascii="Arial" w:hAnsi="Arial" w:cs="Arial"/>
          <w:sz w:val="24"/>
          <w:szCs w:val="24"/>
        </w:rPr>
        <w:t>However</w:t>
      </w:r>
      <w:proofErr w:type="gramEnd"/>
      <w:r w:rsidR="00347770">
        <w:rPr>
          <w:rFonts w:ascii="Arial" w:hAnsi="Arial" w:cs="Arial"/>
          <w:sz w:val="24"/>
          <w:szCs w:val="24"/>
        </w:rPr>
        <w:t xml:space="preserve"> he became King of Scotland in 1124</w:t>
      </w:r>
      <w:r w:rsidR="000E0B4A">
        <w:rPr>
          <w:rStyle w:val="FootnoteReference"/>
          <w:rFonts w:ascii="Arial" w:hAnsi="Arial" w:cs="Arial"/>
          <w:sz w:val="24"/>
          <w:szCs w:val="24"/>
        </w:rPr>
        <w:footnoteReference w:id="17"/>
      </w:r>
      <w:r w:rsidR="00347770">
        <w:rPr>
          <w:rFonts w:ascii="Arial" w:hAnsi="Arial" w:cs="Arial"/>
          <w:sz w:val="24"/>
          <w:szCs w:val="24"/>
        </w:rPr>
        <w:t xml:space="preserve"> and so it is unlikely he would have simply be named Earl David in a document after this date, narrowing it further down to between 1120 and 1124.</w:t>
      </w:r>
    </w:p>
    <w:p w14:paraId="6AF88A72" w14:textId="39A4F570" w:rsidR="00C00BE2" w:rsidRDefault="00FA6EEB" w:rsidP="00E36586">
      <w:pPr>
        <w:rPr>
          <w:rFonts w:ascii="Arial" w:hAnsi="Arial" w:cs="Arial"/>
          <w:sz w:val="24"/>
          <w:szCs w:val="24"/>
        </w:rPr>
      </w:pPr>
      <w:r>
        <w:rPr>
          <w:rFonts w:ascii="Arial" w:hAnsi="Arial" w:cs="Arial"/>
          <w:sz w:val="24"/>
          <w:szCs w:val="24"/>
        </w:rPr>
        <w:t xml:space="preserve">The document relates to distributing that which Geoffrey </w:t>
      </w:r>
      <w:proofErr w:type="spellStart"/>
      <w:r>
        <w:rPr>
          <w:rFonts w:ascii="Arial" w:hAnsi="Arial" w:cs="Arial"/>
          <w:sz w:val="24"/>
          <w:szCs w:val="24"/>
        </w:rPr>
        <w:t>Ridel</w:t>
      </w:r>
      <w:proofErr w:type="spellEnd"/>
      <w:r>
        <w:rPr>
          <w:rFonts w:ascii="Arial" w:hAnsi="Arial" w:cs="Arial"/>
          <w:sz w:val="24"/>
          <w:szCs w:val="24"/>
        </w:rPr>
        <w:t xml:space="preserve"> owned, and so he must have been deceased by the time of its creation. </w:t>
      </w:r>
      <w:r w:rsidR="00594AE3">
        <w:rPr>
          <w:rFonts w:ascii="Arial" w:hAnsi="Arial" w:cs="Arial"/>
          <w:sz w:val="24"/>
          <w:szCs w:val="24"/>
        </w:rPr>
        <w:t xml:space="preserve">According to the book Domesday Descendants, in a section about Geoffrey </w:t>
      </w:r>
      <w:proofErr w:type="spellStart"/>
      <w:r w:rsidR="00594AE3">
        <w:rPr>
          <w:rFonts w:ascii="Arial" w:hAnsi="Arial" w:cs="Arial"/>
          <w:sz w:val="24"/>
          <w:szCs w:val="24"/>
        </w:rPr>
        <w:t>Ridel’s</w:t>
      </w:r>
      <w:proofErr w:type="spellEnd"/>
      <w:r w:rsidR="00594AE3">
        <w:rPr>
          <w:rFonts w:ascii="Arial" w:hAnsi="Arial" w:cs="Arial"/>
          <w:sz w:val="24"/>
          <w:szCs w:val="24"/>
        </w:rPr>
        <w:t xml:space="preserve"> mother </w:t>
      </w:r>
      <w:proofErr w:type="spellStart"/>
      <w:r w:rsidR="00594AE3">
        <w:rPr>
          <w:rFonts w:ascii="Arial" w:hAnsi="Arial" w:cs="Arial"/>
          <w:sz w:val="24"/>
          <w:szCs w:val="24"/>
        </w:rPr>
        <w:t>Geva</w:t>
      </w:r>
      <w:proofErr w:type="spellEnd"/>
      <w:r w:rsidR="00594AE3">
        <w:rPr>
          <w:rFonts w:ascii="Arial" w:hAnsi="Arial" w:cs="Arial"/>
          <w:sz w:val="24"/>
          <w:szCs w:val="24"/>
        </w:rPr>
        <w:t>, who is also mentioned in the document, it is noted that Geoffrey died on 25 November 1120 in the White Ship disaster</w:t>
      </w:r>
      <w:r w:rsidR="00594AE3">
        <w:rPr>
          <w:rStyle w:val="FootnoteReference"/>
          <w:rFonts w:ascii="Arial" w:hAnsi="Arial" w:cs="Arial"/>
          <w:sz w:val="24"/>
          <w:szCs w:val="24"/>
        </w:rPr>
        <w:footnoteReference w:id="18"/>
      </w:r>
      <w:r w:rsidR="00594AE3">
        <w:rPr>
          <w:rFonts w:ascii="Arial" w:hAnsi="Arial" w:cs="Arial"/>
          <w:sz w:val="24"/>
          <w:szCs w:val="24"/>
        </w:rPr>
        <w:t>.</w:t>
      </w:r>
      <w:r w:rsidR="002B12BA">
        <w:rPr>
          <w:rFonts w:ascii="Arial" w:hAnsi="Arial" w:cs="Arial"/>
          <w:sz w:val="24"/>
          <w:szCs w:val="24"/>
        </w:rPr>
        <w:t xml:space="preserve"> This means the date must be after his death.</w:t>
      </w:r>
    </w:p>
    <w:p w14:paraId="2E0F6DB2" w14:textId="45CDF5DE" w:rsidR="00D05D22" w:rsidRDefault="00D6692D" w:rsidP="00E36586">
      <w:pPr>
        <w:rPr>
          <w:rFonts w:ascii="Arial" w:hAnsi="Arial" w:cs="Arial"/>
          <w:sz w:val="24"/>
          <w:szCs w:val="24"/>
        </w:rPr>
      </w:pPr>
      <w:r>
        <w:rPr>
          <w:rFonts w:ascii="Arial" w:hAnsi="Arial" w:cs="Arial"/>
          <w:sz w:val="24"/>
          <w:szCs w:val="24"/>
        </w:rPr>
        <w:t>I haven’t been able to find any conclusive information about the Basset family apart from that Richard Basset was at one time chief justiciar to King Henry I and so was Ralph Basset</w:t>
      </w:r>
      <w:r>
        <w:rPr>
          <w:rStyle w:val="FootnoteReference"/>
          <w:rFonts w:ascii="Arial" w:hAnsi="Arial" w:cs="Arial"/>
          <w:sz w:val="24"/>
          <w:szCs w:val="24"/>
        </w:rPr>
        <w:footnoteReference w:id="19"/>
      </w:r>
      <w:r>
        <w:rPr>
          <w:rFonts w:ascii="Arial" w:hAnsi="Arial" w:cs="Arial"/>
          <w:sz w:val="24"/>
          <w:szCs w:val="24"/>
        </w:rPr>
        <w:t>.</w:t>
      </w:r>
      <w:r w:rsidR="0044526B">
        <w:rPr>
          <w:rFonts w:ascii="Arial" w:hAnsi="Arial" w:cs="Arial"/>
          <w:sz w:val="24"/>
          <w:szCs w:val="24"/>
        </w:rPr>
        <w:t xml:space="preserve"> </w:t>
      </w:r>
      <w:r w:rsidR="00104D15">
        <w:rPr>
          <w:rFonts w:ascii="Arial" w:hAnsi="Arial" w:cs="Arial"/>
          <w:sz w:val="24"/>
          <w:szCs w:val="24"/>
        </w:rPr>
        <w:t xml:space="preserve">There is little information about William </w:t>
      </w:r>
      <w:proofErr w:type="spellStart"/>
      <w:r w:rsidR="00104D15">
        <w:rPr>
          <w:rFonts w:ascii="Arial" w:hAnsi="Arial" w:cs="Arial"/>
          <w:sz w:val="24"/>
          <w:szCs w:val="24"/>
        </w:rPr>
        <w:t>d’Aubigny</w:t>
      </w:r>
      <w:proofErr w:type="spellEnd"/>
      <w:r w:rsidR="00104D15">
        <w:rPr>
          <w:rFonts w:ascii="Arial" w:hAnsi="Arial" w:cs="Arial"/>
          <w:sz w:val="24"/>
          <w:szCs w:val="24"/>
        </w:rPr>
        <w:t xml:space="preserve">, Humphrey de </w:t>
      </w:r>
      <w:proofErr w:type="spellStart"/>
      <w:r w:rsidR="00104D15">
        <w:rPr>
          <w:rFonts w:ascii="Arial" w:hAnsi="Arial" w:cs="Arial"/>
          <w:sz w:val="24"/>
          <w:szCs w:val="24"/>
        </w:rPr>
        <w:t>Bohun</w:t>
      </w:r>
      <w:proofErr w:type="spellEnd"/>
      <w:r w:rsidR="00104D15">
        <w:rPr>
          <w:rFonts w:ascii="Arial" w:hAnsi="Arial" w:cs="Arial"/>
          <w:sz w:val="24"/>
          <w:szCs w:val="24"/>
        </w:rPr>
        <w:t xml:space="preserve"> and others which has made it difficult to try to narrow further down without going to less</w:t>
      </w:r>
      <w:r w:rsidR="00EB707D">
        <w:rPr>
          <w:rFonts w:ascii="Arial" w:hAnsi="Arial" w:cs="Arial"/>
          <w:sz w:val="24"/>
          <w:szCs w:val="24"/>
        </w:rPr>
        <w:t xml:space="preserve"> </w:t>
      </w:r>
      <w:r w:rsidR="00254387">
        <w:rPr>
          <w:rFonts w:ascii="Arial" w:hAnsi="Arial" w:cs="Arial"/>
          <w:sz w:val="24"/>
          <w:szCs w:val="24"/>
        </w:rPr>
        <w:t>trustworthy</w:t>
      </w:r>
      <w:r w:rsidR="00104D15">
        <w:rPr>
          <w:rFonts w:ascii="Arial" w:hAnsi="Arial" w:cs="Arial"/>
          <w:sz w:val="24"/>
          <w:szCs w:val="24"/>
        </w:rPr>
        <w:t xml:space="preserve"> sources</w:t>
      </w:r>
      <w:r w:rsidR="00254387">
        <w:rPr>
          <w:rFonts w:ascii="Arial" w:hAnsi="Arial" w:cs="Arial"/>
          <w:sz w:val="24"/>
          <w:szCs w:val="24"/>
        </w:rPr>
        <w:t xml:space="preserve"> which do not specify where they found the information. There were also multiple family members and generations with the same name.</w:t>
      </w:r>
    </w:p>
    <w:p w14:paraId="095E2316" w14:textId="3E71B839" w:rsidR="00107171" w:rsidRDefault="00107171" w:rsidP="00E36586">
      <w:pPr>
        <w:rPr>
          <w:rFonts w:ascii="Arial" w:hAnsi="Arial" w:cs="Arial"/>
          <w:sz w:val="24"/>
          <w:szCs w:val="24"/>
        </w:rPr>
      </w:pPr>
      <w:r>
        <w:rPr>
          <w:rFonts w:ascii="Arial" w:hAnsi="Arial" w:cs="Arial"/>
          <w:sz w:val="24"/>
          <w:szCs w:val="24"/>
        </w:rPr>
        <w:lastRenderedPageBreak/>
        <w:t>After this I decided to look back at Henry I’s entry in the Handbook of British Chronology, where it lists when he was out of the country, in Normandy. He returned to England after 26 November 1120 and left for Normandy once again on 11 June 1123</w:t>
      </w:r>
      <w:r w:rsidR="0068469E">
        <w:rPr>
          <w:rStyle w:val="FootnoteReference"/>
          <w:rFonts w:ascii="Arial" w:hAnsi="Arial" w:cs="Arial"/>
          <w:sz w:val="24"/>
          <w:szCs w:val="24"/>
        </w:rPr>
        <w:footnoteReference w:id="20"/>
      </w:r>
      <w:r>
        <w:rPr>
          <w:rFonts w:ascii="Arial" w:hAnsi="Arial" w:cs="Arial"/>
          <w:sz w:val="24"/>
          <w:szCs w:val="24"/>
        </w:rPr>
        <w:t xml:space="preserve"> and so it must be between these dates that King Henry I issued this document</w:t>
      </w:r>
      <w:r w:rsidR="00B6355F">
        <w:rPr>
          <w:rFonts w:ascii="Arial" w:hAnsi="Arial" w:cs="Arial"/>
          <w:sz w:val="24"/>
          <w:szCs w:val="24"/>
        </w:rPr>
        <w:t xml:space="preserve">. I find it most likely to be in the year 1121 as Henry’s heir William also died in the same disaster as Robert </w:t>
      </w:r>
      <w:proofErr w:type="spellStart"/>
      <w:r w:rsidR="00B6355F">
        <w:rPr>
          <w:rFonts w:ascii="Arial" w:hAnsi="Arial" w:cs="Arial"/>
          <w:sz w:val="24"/>
          <w:szCs w:val="24"/>
        </w:rPr>
        <w:t>Ridel</w:t>
      </w:r>
      <w:proofErr w:type="spellEnd"/>
      <w:r w:rsidR="00B6355F">
        <w:rPr>
          <w:rFonts w:ascii="Arial" w:hAnsi="Arial" w:cs="Arial"/>
          <w:sz w:val="24"/>
          <w:szCs w:val="24"/>
        </w:rPr>
        <w:t xml:space="preserve"> and many others on board the White Ship</w:t>
      </w:r>
      <w:r w:rsidR="00B6355F">
        <w:rPr>
          <w:rStyle w:val="FootnoteReference"/>
          <w:rFonts w:ascii="Arial" w:hAnsi="Arial" w:cs="Arial"/>
          <w:sz w:val="24"/>
          <w:szCs w:val="24"/>
        </w:rPr>
        <w:footnoteReference w:id="21"/>
      </w:r>
      <w:r w:rsidR="00B6355F">
        <w:rPr>
          <w:rFonts w:ascii="Arial" w:hAnsi="Arial" w:cs="Arial"/>
          <w:sz w:val="24"/>
          <w:szCs w:val="24"/>
        </w:rPr>
        <w:t>.</w:t>
      </w:r>
    </w:p>
    <w:p w14:paraId="2BB53D26" w14:textId="62F7977F" w:rsidR="00E4797B" w:rsidRDefault="00E4797B" w:rsidP="00E36586">
      <w:pPr>
        <w:rPr>
          <w:rFonts w:ascii="Arial" w:hAnsi="Arial" w:cs="Arial"/>
          <w:sz w:val="24"/>
          <w:szCs w:val="24"/>
        </w:rPr>
      </w:pPr>
    </w:p>
    <w:p w14:paraId="4F7BC1EC" w14:textId="7F691041" w:rsidR="00E4797B" w:rsidRDefault="00E4797B" w:rsidP="00E36586">
      <w:pPr>
        <w:rPr>
          <w:rFonts w:ascii="Arial" w:hAnsi="Arial" w:cs="Arial"/>
          <w:sz w:val="24"/>
          <w:szCs w:val="24"/>
        </w:rPr>
      </w:pPr>
      <w:r>
        <w:rPr>
          <w:rFonts w:ascii="Arial" w:hAnsi="Arial" w:cs="Arial"/>
          <w:sz w:val="24"/>
          <w:szCs w:val="24"/>
        </w:rPr>
        <w:t>In conclusion, this exercise has helped me see how documents can be dated by the smallest of details and that there are several useful books which can help with this. The final task was far more difficult to work out, as it does not specify any saints’ days or festivals, and so it took a long time to research all the different names mentioned to ensure I was not missing anything of importance. I now have a greater understanding and appreciation of the importance of dates and feel able to date medieval documents moving forward.</w:t>
      </w:r>
    </w:p>
    <w:p w14:paraId="7CA194DB" w14:textId="5DD89084" w:rsidR="00E97E06" w:rsidRDefault="00E97E06" w:rsidP="00E36586">
      <w:pPr>
        <w:rPr>
          <w:rFonts w:ascii="Arial" w:hAnsi="Arial" w:cs="Arial"/>
          <w:sz w:val="24"/>
          <w:szCs w:val="24"/>
        </w:rPr>
      </w:pPr>
    </w:p>
    <w:p w14:paraId="582CF4A3" w14:textId="0D702360" w:rsidR="00E97E06" w:rsidRPr="00E97E06" w:rsidRDefault="00E97E06" w:rsidP="00E36586">
      <w:pPr>
        <w:rPr>
          <w:rFonts w:ascii="Arial" w:hAnsi="Arial" w:cs="Arial"/>
          <w:b/>
          <w:bCs/>
          <w:sz w:val="24"/>
          <w:szCs w:val="24"/>
        </w:rPr>
      </w:pPr>
      <w:r w:rsidRPr="00E97E06">
        <w:rPr>
          <w:rFonts w:ascii="Arial" w:hAnsi="Arial" w:cs="Arial"/>
          <w:b/>
          <w:bCs/>
          <w:sz w:val="24"/>
          <w:szCs w:val="24"/>
        </w:rPr>
        <w:t>Bibliography</w:t>
      </w:r>
    </w:p>
    <w:p w14:paraId="2C0DE5FE" w14:textId="77777777" w:rsidR="009D180F" w:rsidRDefault="00702F88" w:rsidP="009D180F">
      <w:pPr>
        <w:ind w:left="720" w:hanging="720"/>
        <w:rPr>
          <w:rFonts w:ascii="Arial" w:hAnsi="Arial" w:cs="Arial"/>
          <w:sz w:val="24"/>
          <w:szCs w:val="24"/>
        </w:rPr>
      </w:pPr>
      <w:r w:rsidRPr="000C74BC">
        <w:rPr>
          <w:rFonts w:ascii="Arial" w:hAnsi="Arial" w:cs="Arial"/>
          <w:sz w:val="24"/>
          <w:szCs w:val="24"/>
        </w:rPr>
        <w:t>Carey</w:t>
      </w:r>
      <w:r>
        <w:rPr>
          <w:rFonts w:ascii="Arial" w:hAnsi="Arial" w:cs="Arial"/>
          <w:sz w:val="24"/>
          <w:szCs w:val="24"/>
        </w:rPr>
        <w:t>, P.S.</w:t>
      </w:r>
      <w:r w:rsidRPr="000C74BC">
        <w:rPr>
          <w:rFonts w:ascii="Arial" w:hAnsi="Arial" w:cs="Arial"/>
          <w:sz w:val="24"/>
          <w:szCs w:val="24"/>
        </w:rPr>
        <w:t xml:space="preserve">, ‘Replies. </w:t>
      </w:r>
      <w:proofErr w:type="spellStart"/>
      <w:r w:rsidRPr="000C74BC">
        <w:rPr>
          <w:rFonts w:ascii="Arial" w:hAnsi="Arial" w:cs="Arial"/>
          <w:sz w:val="24"/>
          <w:szCs w:val="24"/>
        </w:rPr>
        <w:t>Calvacamp</w:t>
      </w:r>
      <w:proofErr w:type="spellEnd"/>
      <w:r w:rsidRPr="000C74BC">
        <w:rPr>
          <w:rFonts w:ascii="Arial" w:hAnsi="Arial" w:cs="Arial"/>
          <w:sz w:val="24"/>
          <w:szCs w:val="24"/>
        </w:rPr>
        <w:t xml:space="preserve">’, in </w:t>
      </w:r>
      <w:r w:rsidRPr="00702F88">
        <w:rPr>
          <w:rFonts w:ascii="Arial" w:hAnsi="Arial" w:cs="Arial"/>
          <w:i/>
          <w:iCs/>
          <w:sz w:val="24"/>
          <w:szCs w:val="24"/>
        </w:rPr>
        <w:t xml:space="preserve">Notes </w:t>
      </w:r>
      <w:proofErr w:type="gramStart"/>
      <w:r w:rsidRPr="00702F88">
        <w:rPr>
          <w:rFonts w:ascii="Arial" w:hAnsi="Arial" w:cs="Arial"/>
          <w:i/>
          <w:iCs/>
          <w:sz w:val="24"/>
          <w:szCs w:val="24"/>
        </w:rPr>
        <w:t>And</w:t>
      </w:r>
      <w:proofErr w:type="gramEnd"/>
      <w:r w:rsidRPr="00702F88">
        <w:rPr>
          <w:rFonts w:ascii="Arial" w:hAnsi="Arial" w:cs="Arial"/>
          <w:i/>
          <w:iCs/>
          <w:sz w:val="24"/>
          <w:szCs w:val="24"/>
        </w:rPr>
        <w:t xml:space="preserve"> Queries: A Medium Of Inter-Communication For Literary Men, Artists, Antiquaries, Genealogists, Etc,</w:t>
      </w:r>
      <w:r w:rsidRPr="000C74BC">
        <w:rPr>
          <w:rFonts w:ascii="Arial" w:hAnsi="Arial" w:cs="Arial"/>
          <w:sz w:val="24"/>
          <w:szCs w:val="24"/>
        </w:rPr>
        <w:t xml:space="preserve"> Vol. 24 (London: Bell &amp; </w:t>
      </w:r>
      <w:proofErr w:type="spellStart"/>
      <w:r w:rsidRPr="000C74BC">
        <w:rPr>
          <w:rFonts w:ascii="Arial" w:hAnsi="Arial" w:cs="Arial"/>
          <w:sz w:val="24"/>
          <w:szCs w:val="24"/>
        </w:rPr>
        <w:t>Daldy</w:t>
      </w:r>
      <w:proofErr w:type="spellEnd"/>
      <w:r w:rsidRPr="000C74BC">
        <w:rPr>
          <w:rFonts w:ascii="Arial" w:hAnsi="Arial" w:cs="Arial"/>
          <w:sz w:val="24"/>
          <w:szCs w:val="24"/>
        </w:rPr>
        <w:t>, 1861).</w:t>
      </w:r>
    </w:p>
    <w:p w14:paraId="286202F6" w14:textId="77777777" w:rsidR="009D180F" w:rsidRDefault="00E82CCE" w:rsidP="009D180F">
      <w:pPr>
        <w:ind w:left="720" w:hanging="720"/>
        <w:rPr>
          <w:rFonts w:ascii="Arial" w:hAnsi="Arial" w:cs="Arial"/>
          <w:sz w:val="24"/>
          <w:szCs w:val="24"/>
        </w:rPr>
      </w:pPr>
      <w:r w:rsidRPr="00E82CCE">
        <w:rPr>
          <w:rFonts w:ascii="Arial" w:hAnsi="Arial" w:cs="Arial"/>
          <w:sz w:val="24"/>
          <w:szCs w:val="24"/>
        </w:rPr>
        <w:t>Cheney,</w:t>
      </w:r>
      <w:r>
        <w:rPr>
          <w:rFonts w:ascii="Arial" w:hAnsi="Arial" w:cs="Arial"/>
          <w:sz w:val="24"/>
          <w:szCs w:val="24"/>
        </w:rPr>
        <w:t xml:space="preserve"> C.R.,</w:t>
      </w:r>
      <w:r w:rsidRPr="00E82CCE">
        <w:rPr>
          <w:rFonts w:ascii="Arial" w:hAnsi="Arial" w:cs="Arial"/>
          <w:sz w:val="24"/>
          <w:szCs w:val="24"/>
        </w:rPr>
        <w:t xml:space="preserve"> </w:t>
      </w:r>
      <w:r w:rsidRPr="00E82CCE">
        <w:rPr>
          <w:rFonts w:ascii="Arial" w:hAnsi="Arial" w:cs="Arial"/>
          <w:i/>
          <w:iCs/>
          <w:sz w:val="24"/>
          <w:szCs w:val="24"/>
        </w:rPr>
        <w:t xml:space="preserve">Handbook </w:t>
      </w:r>
      <w:proofErr w:type="gramStart"/>
      <w:r w:rsidRPr="00E82CCE">
        <w:rPr>
          <w:rFonts w:ascii="Arial" w:hAnsi="Arial" w:cs="Arial"/>
          <w:i/>
          <w:iCs/>
          <w:sz w:val="24"/>
          <w:szCs w:val="24"/>
        </w:rPr>
        <w:t>Of</w:t>
      </w:r>
      <w:proofErr w:type="gramEnd"/>
      <w:r w:rsidRPr="00E82CCE">
        <w:rPr>
          <w:rFonts w:ascii="Arial" w:hAnsi="Arial" w:cs="Arial"/>
          <w:i/>
          <w:iCs/>
          <w:sz w:val="24"/>
          <w:szCs w:val="24"/>
        </w:rPr>
        <w:t xml:space="preserve"> Dates For Students Of English History</w:t>
      </w:r>
      <w:r w:rsidRPr="00E82CCE">
        <w:rPr>
          <w:rFonts w:ascii="Arial" w:hAnsi="Arial" w:cs="Arial"/>
          <w:sz w:val="24"/>
          <w:szCs w:val="24"/>
        </w:rPr>
        <w:t xml:space="preserve"> (London: The Royal Historical Society, 1970)</w:t>
      </w:r>
      <w:r>
        <w:rPr>
          <w:rFonts w:ascii="Arial" w:hAnsi="Arial" w:cs="Arial"/>
          <w:sz w:val="24"/>
          <w:szCs w:val="24"/>
        </w:rPr>
        <w:t>.</w:t>
      </w:r>
    </w:p>
    <w:p w14:paraId="21A70616" w14:textId="77777777" w:rsidR="009D180F" w:rsidRDefault="00702F88" w:rsidP="009D180F">
      <w:pPr>
        <w:ind w:left="720" w:hanging="720"/>
        <w:rPr>
          <w:rFonts w:ascii="Arial" w:hAnsi="Arial" w:cs="Arial"/>
          <w:sz w:val="24"/>
          <w:szCs w:val="24"/>
        </w:rPr>
      </w:pPr>
      <w:r w:rsidRPr="00702F88">
        <w:rPr>
          <w:rFonts w:ascii="Arial" w:hAnsi="Arial" w:cs="Arial"/>
          <w:sz w:val="24"/>
          <w:szCs w:val="24"/>
        </w:rPr>
        <w:t>Keats-Rohan, K.S.B.</w:t>
      </w:r>
      <w:r>
        <w:rPr>
          <w:rFonts w:ascii="Arial" w:hAnsi="Arial" w:cs="Arial"/>
          <w:sz w:val="24"/>
          <w:szCs w:val="24"/>
        </w:rPr>
        <w:t xml:space="preserve">, </w:t>
      </w:r>
      <w:r w:rsidRPr="00702F88">
        <w:rPr>
          <w:rFonts w:ascii="Arial" w:hAnsi="Arial" w:cs="Arial"/>
          <w:i/>
          <w:iCs/>
          <w:sz w:val="24"/>
          <w:szCs w:val="24"/>
        </w:rPr>
        <w:t xml:space="preserve">Domesday Descendants: A Prosopography </w:t>
      </w:r>
      <w:proofErr w:type="gramStart"/>
      <w:r w:rsidRPr="00702F88">
        <w:rPr>
          <w:rFonts w:ascii="Arial" w:hAnsi="Arial" w:cs="Arial"/>
          <w:i/>
          <w:iCs/>
          <w:sz w:val="24"/>
          <w:szCs w:val="24"/>
        </w:rPr>
        <w:t>Of</w:t>
      </w:r>
      <w:proofErr w:type="gramEnd"/>
      <w:r w:rsidRPr="00702F88">
        <w:rPr>
          <w:rFonts w:ascii="Arial" w:hAnsi="Arial" w:cs="Arial"/>
          <w:i/>
          <w:iCs/>
          <w:sz w:val="24"/>
          <w:szCs w:val="24"/>
        </w:rPr>
        <w:t xml:space="preserve"> Persons Occurring In English Documents 1066-1166</w:t>
      </w:r>
      <w:r w:rsidRPr="00702F88">
        <w:rPr>
          <w:rFonts w:ascii="Arial" w:hAnsi="Arial" w:cs="Arial"/>
          <w:sz w:val="24"/>
          <w:szCs w:val="24"/>
        </w:rPr>
        <w:t>, Vol. 2 (Woodbridge: The Boydell Press, 2002), p. 1108.</w:t>
      </w:r>
    </w:p>
    <w:p w14:paraId="6DDA26A1" w14:textId="687D154C" w:rsidR="00201255" w:rsidRDefault="00201255" w:rsidP="009D180F">
      <w:pPr>
        <w:ind w:left="720" w:hanging="720"/>
        <w:rPr>
          <w:rFonts w:ascii="Arial" w:hAnsi="Arial" w:cs="Arial"/>
          <w:sz w:val="24"/>
          <w:szCs w:val="24"/>
        </w:rPr>
      </w:pPr>
      <w:proofErr w:type="spellStart"/>
      <w:r>
        <w:rPr>
          <w:rFonts w:ascii="Arial" w:hAnsi="Arial" w:cs="Arial"/>
          <w:sz w:val="24"/>
          <w:szCs w:val="24"/>
        </w:rPr>
        <w:t>Powicke</w:t>
      </w:r>
      <w:proofErr w:type="spellEnd"/>
      <w:r>
        <w:rPr>
          <w:rFonts w:ascii="Arial" w:hAnsi="Arial" w:cs="Arial"/>
          <w:sz w:val="24"/>
          <w:szCs w:val="24"/>
        </w:rPr>
        <w:t>, F.M.</w:t>
      </w:r>
      <w:r w:rsidRPr="00201255">
        <w:rPr>
          <w:rFonts w:ascii="Arial" w:hAnsi="Arial" w:cs="Arial"/>
          <w:sz w:val="24"/>
          <w:szCs w:val="24"/>
        </w:rPr>
        <w:t xml:space="preserve"> and E.B. </w:t>
      </w:r>
      <w:proofErr w:type="spellStart"/>
      <w:r w:rsidRPr="00201255">
        <w:rPr>
          <w:rFonts w:ascii="Arial" w:hAnsi="Arial" w:cs="Arial"/>
          <w:sz w:val="24"/>
          <w:szCs w:val="24"/>
        </w:rPr>
        <w:t>Fryde</w:t>
      </w:r>
      <w:proofErr w:type="spellEnd"/>
      <w:r w:rsidRPr="00201255">
        <w:rPr>
          <w:rFonts w:ascii="Arial" w:hAnsi="Arial" w:cs="Arial"/>
          <w:sz w:val="24"/>
          <w:szCs w:val="24"/>
        </w:rPr>
        <w:t xml:space="preserve">, </w:t>
      </w:r>
      <w:r w:rsidRPr="000C74BC">
        <w:rPr>
          <w:rFonts w:ascii="Arial" w:hAnsi="Arial" w:cs="Arial"/>
          <w:i/>
          <w:iCs/>
          <w:sz w:val="24"/>
          <w:szCs w:val="24"/>
        </w:rPr>
        <w:t xml:space="preserve">Handbook </w:t>
      </w:r>
      <w:proofErr w:type="gramStart"/>
      <w:r w:rsidRPr="000C74BC">
        <w:rPr>
          <w:rFonts w:ascii="Arial" w:hAnsi="Arial" w:cs="Arial"/>
          <w:i/>
          <w:iCs/>
          <w:sz w:val="24"/>
          <w:szCs w:val="24"/>
        </w:rPr>
        <w:t>Of</w:t>
      </w:r>
      <w:proofErr w:type="gramEnd"/>
      <w:r w:rsidRPr="000C74BC">
        <w:rPr>
          <w:rFonts w:ascii="Arial" w:hAnsi="Arial" w:cs="Arial"/>
          <w:i/>
          <w:iCs/>
          <w:sz w:val="24"/>
          <w:szCs w:val="24"/>
        </w:rPr>
        <w:t xml:space="preserve"> British Chronology</w:t>
      </w:r>
      <w:r w:rsidRPr="00201255">
        <w:rPr>
          <w:rFonts w:ascii="Arial" w:hAnsi="Arial" w:cs="Arial"/>
          <w:sz w:val="24"/>
          <w:szCs w:val="24"/>
        </w:rPr>
        <w:t>, 2nd Ed. (London: Offices of The Royal Historical Society, 1961).</w:t>
      </w:r>
    </w:p>
    <w:p w14:paraId="7D7FCBC8" w14:textId="77777777" w:rsidR="000C74BC" w:rsidRDefault="000C74BC">
      <w:pPr>
        <w:rPr>
          <w:rFonts w:ascii="Arial" w:hAnsi="Arial" w:cs="Arial"/>
          <w:sz w:val="24"/>
          <w:szCs w:val="24"/>
        </w:rPr>
      </w:pPr>
    </w:p>
    <w:sectPr w:rsidR="000C74BC">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067BAE" w14:textId="77777777" w:rsidR="00AE157C" w:rsidRDefault="00AE157C" w:rsidP="0087143E">
      <w:pPr>
        <w:spacing w:after="0" w:line="240" w:lineRule="auto"/>
      </w:pPr>
      <w:r>
        <w:separator/>
      </w:r>
    </w:p>
  </w:endnote>
  <w:endnote w:type="continuationSeparator" w:id="0">
    <w:p w14:paraId="6BEDD6EE" w14:textId="77777777" w:rsidR="00AE157C" w:rsidRDefault="00AE157C" w:rsidP="008714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1956664"/>
      <w:docPartObj>
        <w:docPartGallery w:val="Page Numbers (Bottom of Page)"/>
        <w:docPartUnique/>
      </w:docPartObj>
    </w:sdtPr>
    <w:sdtEndPr>
      <w:rPr>
        <w:noProof/>
      </w:rPr>
    </w:sdtEndPr>
    <w:sdtContent>
      <w:p w14:paraId="4BD00FD7" w14:textId="7B490352" w:rsidR="005C416B" w:rsidRDefault="005C416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ECD1D51" w14:textId="77777777" w:rsidR="005C416B" w:rsidRDefault="005C41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2A3E29" w14:textId="77777777" w:rsidR="00AE157C" w:rsidRDefault="00AE157C" w:rsidP="0087143E">
      <w:pPr>
        <w:spacing w:after="0" w:line="240" w:lineRule="auto"/>
      </w:pPr>
      <w:r>
        <w:separator/>
      </w:r>
    </w:p>
  </w:footnote>
  <w:footnote w:type="continuationSeparator" w:id="0">
    <w:p w14:paraId="4A0FC252" w14:textId="77777777" w:rsidR="00AE157C" w:rsidRDefault="00AE157C" w:rsidP="0087143E">
      <w:pPr>
        <w:spacing w:after="0" w:line="240" w:lineRule="auto"/>
      </w:pPr>
      <w:r>
        <w:continuationSeparator/>
      </w:r>
    </w:p>
  </w:footnote>
  <w:footnote w:id="1">
    <w:p w14:paraId="361FDCBE" w14:textId="3851E64F" w:rsidR="0087143E" w:rsidRPr="0087143E" w:rsidRDefault="0087143E">
      <w:pPr>
        <w:pStyle w:val="FootnoteText"/>
        <w:rPr>
          <w:lang w:val="en-US"/>
        </w:rPr>
      </w:pPr>
      <w:r>
        <w:rPr>
          <w:rStyle w:val="FootnoteReference"/>
        </w:rPr>
        <w:footnoteRef/>
      </w:r>
      <w:r>
        <w:t xml:space="preserve"> C. R. </w:t>
      </w:r>
      <w:r>
        <w:rPr>
          <w:lang w:val="en-US"/>
        </w:rPr>
        <w:t xml:space="preserve">Cheney, </w:t>
      </w:r>
      <w:r w:rsidRPr="00C20EDC">
        <w:rPr>
          <w:i/>
          <w:iCs/>
          <w:lang w:val="en-US"/>
        </w:rPr>
        <w:t xml:space="preserve">Handbook </w:t>
      </w:r>
      <w:proofErr w:type="gramStart"/>
      <w:r w:rsidRPr="00C20EDC">
        <w:rPr>
          <w:i/>
          <w:iCs/>
          <w:lang w:val="en-US"/>
        </w:rPr>
        <w:t>Of</w:t>
      </w:r>
      <w:proofErr w:type="gramEnd"/>
      <w:r w:rsidRPr="00C20EDC">
        <w:rPr>
          <w:i/>
          <w:iCs/>
          <w:lang w:val="en-US"/>
        </w:rPr>
        <w:t xml:space="preserve"> Dates For Students Of English History</w:t>
      </w:r>
      <w:r>
        <w:rPr>
          <w:lang w:val="en-US"/>
        </w:rPr>
        <w:t xml:space="preserve"> (London:</w:t>
      </w:r>
      <w:r w:rsidR="00C20EDC">
        <w:rPr>
          <w:lang w:val="en-US"/>
        </w:rPr>
        <w:t xml:space="preserve"> The</w:t>
      </w:r>
      <w:r>
        <w:rPr>
          <w:lang w:val="en-US"/>
        </w:rPr>
        <w:t xml:space="preserve"> </w:t>
      </w:r>
      <w:r w:rsidR="00C20EDC">
        <w:rPr>
          <w:lang w:val="en-US"/>
        </w:rPr>
        <w:t>Royal Historical Society, 1970</w:t>
      </w:r>
      <w:r>
        <w:rPr>
          <w:lang w:val="en-US"/>
        </w:rPr>
        <w:t>)</w:t>
      </w:r>
      <w:r w:rsidR="00C20EDC">
        <w:rPr>
          <w:lang w:val="en-US"/>
        </w:rPr>
        <w:t>, p. 21.</w:t>
      </w:r>
      <w:r>
        <w:rPr>
          <w:lang w:val="en-US"/>
        </w:rPr>
        <w:t xml:space="preserve"> </w:t>
      </w:r>
    </w:p>
  </w:footnote>
  <w:footnote w:id="2">
    <w:p w14:paraId="641BDF69" w14:textId="29E83F52" w:rsidR="00C20EDC" w:rsidRPr="00C20EDC" w:rsidRDefault="00C20EDC">
      <w:pPr>
        <w:pStyle w:val="FootnoteText"/>
        <w:rPr>
          <w:lang w:val="en-US"/>
        </w:rPr>
      </w:pPr>
      <w:r>
        <w:rPr>
          <w:rStyle w:val="FootnoteReference"/>
        </w:rPr>
        <w:footnoteRef/>
      </w:r>
      <w:r>
        <w:t xml:space="preserve"> </w:t>
      </w:r>
      <w:r>
        <w:rPr>
          <w:lang w:val="en-US"/>
        </w:rPr>
        <w:t xml:space="preserve">Cheney, </w:t>
      </w:r>
      <w:r w:rsidRPr="00C20EDC">
        <w:rPr>
          <w:i/>
          <w:iCs/>
          <w:lang w:val="en-US"/>
        </w:rPr>
        <w:t xml:space="preserve">Handbook </w:t>
      </w:r>
      <w:proofErr w:type="gramStart"/>
      <w:r w:rsidRPr="00C20EDC">
        <w:rPr>
          <w:i/>
          <w:iCs/>
          <w:lang w:val="en-US"/>
        </w:rPr>
        <w:t>Of</w:t>
      </w:r>
      <w:proofErr w:type="gramEnd"/>
      <w:r w:rsidRPr="00C20EDC">
        <w:rPr>
          <w:i/>
          <w:iCs/>
          <w:lang w:val="en-US"/>
        </w:rPr>
        <w:t xml:space="preserve"> Dates</w:t>
      </w:r>
      <w:r>
        <w:rPr>
          <w:lang w:val="en-US"/>
        </w:rPr>
        <w:t>, p. 12.</w:t>
      </w:r>
    </w:p>
  </w:footnote>
  <w:footnote w:id="3">
    <w:p w14:paraId="62F79AFA" w14:textId="29DC1434" w:rsidR="00F452DD" w:rsidRPr="00F452DD" w:rsidRDefault="00F452DD">
      <w:pPr>
        <w:pStyle w:val="FootnoteText"/>
        <w:rPr>
          <w:lang w:val="en-US"/>
        </w:rPr>
      </w:pPr>
      <w:r>
        <w:rPr>
          <w:rStyle w:val="FootnoteReference"/>
        </w:rPr>
        <w:footnoteRef/>
      </w:r>
      <w:r>
        <w:t xml:space="preserve"> </w:t>
      </w:r>
      <w:r>
        <w:rPr>
          <w:lang w:val="en-US"/>
        </w:rPr>
        <w:t xml:space="preserve">Cheney, </w:t>
      </w:r>
      <w:r w:rsidRPr="00F452DD">
        <w:rPr>
          <w:i/>
          <w:iCs/>
          <w:lang w:val="en-US"/>
        </w:rPr>
        <w:t xml:space="preserve">Handbook </w:t>
      </w:r>
      <w:proofErr w:type="gramStart"/>
      <w:r w:rsidRPr="00F452DD">
        <w:rPr>
          <w:i/>
          <w:iCs/>
          <w:lang w:val="en-US"/>
        </w:rPr>
        <w:t>Of</w:t>
      </w:r>
      <w:proofErr w:type="gramEnd"/>
      <w:r w:rsidRPr="00F452DD">
        <w:rPr>
          <w:i/>
          <w:iCs/>
          <w:lang w:val="en-US"/>
        </w:rPr>
        <w:t xml:space="preserve"> Dates</w:t>
      </w:r>
      <w:r>
        <w:rPr>
          <w:lang w:val="en-US"/>
        </w:rPr>
        <w:t>, p. 55.</w:t>
      </w:r>
    </w:p>
  </w:footnote>
  <w:footnote w:id="4">
    <w:p w14:paraId="609A30FA" w14:textId="77777777" w:rsidR="00FE2C3A" w:rsidRPr="00F452DD" w:rsidRDefault="00FE2C3A" w:rsidP="00FE2C3A">
      <w:pPr>
        <w:pStyle w:val="FootnoteText"/>
        <w:rPr>
          <w:lang w:val="en-US"/>
        </w:rPr>
      </w:pPr>
      <w:r>
        <w:rPr>
          <w:rStyle w:val="FootnoteReference"/>
        </w:rPr>
        <w:footnoteRef/>
      </w:r>
      <w:r>
        <w:t xml:space="preserve"> </w:t>
      </w:r>
      <w:r>
        <w:rPr>
          <w:lang w:val="en-US"/>
        </w:rPr>
        <w:t xml:space="preserve">Cheney, </w:t>
      </w:r>
      <w:r w:rsidRPr="00F452DD">
        <w:rPr>
          <w:i/>
          <w:iCs/>
          <w:lang w:val="en-US"/>
        </w:rPr>
        <w:t xml:space="preserve">Handbook </w:t>
      </w:r>
      <w:proofErr w:type="gramStart"/>
      <w:r>
        <w:rPr>
          <w:i/>
          <w:iCs/>
          <w:lang w:val="en-US"/>
        </w:rPr>
        <w:t>O</w:t>
      </w:r>
      <w:r w:rsidRPr="00F452DD">
        <w:rPr>
          <w:i/>
          <w:iCs/>
          <w:lang w:val="en-US"/>
        </w:rPr>
        <w:t>f</w:t>
      </w:r>
      <w:proofErr w:type="gramEnd"/>
      <w:r w:rsidRPr="00F452DD">
        <w:rPr>
          <w:i/>
          <w:iCs/>
          <w:lang w:val="en-US"/>
        </w:rPr>
        <w:t xml:space="preserve"> Dates</w:t>
      </w:r>
      <w:r>
        <w:rPr>
          <w:lang w:val="en-US"/>
        </w:rPr>
        <w:t>, p. 122-123.</w:t>
      </w:r>
    </w:p>
  </w:footnote>
  <w:footnote w:id="5">
    <w:p w14:paraId="48C76D90" w14:textId="1579E102" w:rsidR="00222DEE" w:rsidRPr="00222DEE" w:rsidRDefault="00222DEE">
      <w:pPr>
        <w:pStyle w:val="FootnoteText"/>
        <w:rPr>
          <w:lang w:val="en-US"/>
        </w:rPr>
      </w:pPr>
      <w:r>
        <w:rPr>
          <w:rStyle w:val="FootnoteReference"/>
        </w:rPr>
        <w:footnoteRef/>
      </w:r>
      <w:r>
        <w:t xml:space="preserve"> </w:t>
      </w:r>
      <w:r>
        <w:rPr>
          <w:lang w:val="en-US"/>
        </w:rPr>
        <w:t xml:space="preserve">Cheney, </w:t>
      </w:r>
      <w:r w:rsidRPr="00222DEE">
        <w:rPr>
          <w:i/>
          <w:iCs/>
          <w:lang w:val="en-US"/>
        </w:rPr>
        <w:t xml:space="preserve">Handbook </w:t>
      </w:r>
      <w:proofErr w:type="gramStart"/>
      <w:r w:rsidRPr="00222DEE">
        <w:rPr>
          <w:i/>
          <w:iCs/>
          <w:lang w:val="en-US"/>
        </w:rPr>
        <w:t>Of</w:t>
      </w:r>
      <w:proofErr w:type="gramEnd"/>
      <w:r w:rsidRPr="00222DEE">
        <w:rPr>
          <w:i/>
          <w:iCs/>
          <w:lang w:val="en-US"/>
        </w:rPr>
        <w:t xml:space="preserve"> Dates</w:t>
      </w:r>
      <w:r>
        <w:rPr>
          <w:lang w:val="en-US"/>
        </w:rPr>
        <w:t>, p. 83.</w:t>
      </w:r>
    </w:p>
  </w:footnote>
  <w:footnote w:id="6">
    <w:p w14:paraId="54EFA36C" w14:textId="5BC19089" w:rsidR="003807B1" w:rsidRPr="003807B1" w:rsidRDefault="003807B1">
      <w:pPr>
        <w:pStyle w:val="FootnoteText"/>
        <w:rPr>
          <w:lang w:val="en-US"/>
        </w:rPr>
      </w:pPr>
      <w:r>
        <w:rPr>
          <w:rStyle w:val="FootnoteReference"/>
        </w:rPr>
        <w:footnoteRef/>
      </w:r>
      <w:r>
        <w:t xml:space="preserve"> F. </w:t>
      </w:r>
      <w:r w:rsidR="00201255">
        <w:t>M.</w:t>
      </w:r>
      <w:r>
        <w:t xml:space="preserve"> </w:t>
      </w:r>
      <w:proofErr w:type="spellStart"/>
      <w:r>
        <w:t>Powicke</w:t>
      </w:r>
      <w:proofErr w:type="spellEnd"/>
      <w:r>
        <w:t xml:space="preserve"> and E.B. </w:t>
      </w:r>
      <w:proofErr w:type="spellStart"/>
      <w:r>
        <w:t>Fryde</w:t>
      </w:r>
      <w:proofErr w:type="spellEnd"/>
      <w:r>
        <w:t xml:space="preserve">, </w:t>
      </w:r>
      <w:r w:rsidRPr="00336965">
        <w:rPr>
          <w:i/>
          <w:iCs/>
        </w:rPr>
        <w:t xml:space="preserve">Handbook </w:t>
      </w:r>
      <w:proofErr w:type="gramStart"/>
      <w:r w:rsidRPr="00336965">
        <w:rPr>
          <w:i/>
          <w:iCs/>
        </w:rPr>
        <w:t>Of</w:t>
      </w:r>
      <w:proofErr w:type="gramEnd"/>
      <w:r w:rsidRPr="00336965">
        <w:rPr>
          <w:i/>
          <w:iCs/>
        </w:rPr>
        <w:t xml:space="preserve"> British Chronology</w:t>
      </w:r>
      <w:r>
        <w:t>, 2</w:t>
      </w:r>
      <w:r w:rsidRPr="003807B1">
        <w:rPr>
          <w:vertAlign w:val="superscript"/>
        </w:rPr>
        <w:t>nd</w:t>
      </w:r>
      <w:r>
        <w:t xml:space="preserve"> Ed. (London: Offices of The Royal Historical Society, 1961), </w:t>
      </w:r>
      <w:r>
        <w:rPr>
          <w:lang w:val="en-US"/>
        </w:rPr>
        <w:t>p. 278.</w:t>
      </w:r>
    </w:p>
  </w:footnote>
  <w:footnote w:id="7">
    <w:p w14:paraId="2002DB4F" w14:textId="5C1DE09A" w:rsidR="00336965" w:rsidRPr="00336965" w:rsidRDefault="00336965">
      <w:pPr>
        <w:pStyle w:val="FootnoteText"/>
        <w:rPr>
          <w:lang w:val="en-US"/>
        </w:rPr>
      </w:pPr>
      <w:r>
        <w:rPr>
          <w:rStyle w:val="FootnoteReference"/>
        </w:rPr>
        <w:footnoteRef/>
      </w:r>
      <w:r>
        <w:t xml:space="preserve"> </w:t>
      </w:r>
      <w:r>
        <w:rPr>
          <w:lang w:val="en-US"/>
        </w:rPr>
        <w:t xml:space="preserve">Cheney, </w:t>
      </w:r>
      <w:r w:rsidRPr="00336965">
        <w:rPr>
          <w:i/>
          <w:iCs/>
          <w:lang w:val="en-US"/>
        </w:rPr>
        <w:t xml:space="preserve">Handbook </w:t>
      </w:r>
      <w:proofErr w:type="gramStart"/>
      <w:r w:rsidRPr="00336965">
        <w:rPr>
          <w:i/>
          <w:iCs/>
          <w:lang w:val="en-US"/>
        </w:rPr>
        <w:t>Of</w:t>
      </w:r>
      <w:proofErr w:type="gramEnd"/>
      <w:r w:rsidRPr="00336965">
        <w:rPr>
          <w:i/>
          <w:iCs/>
          <w:lang w:val="en-US"/>
        </w:rPr>
        <w:t xml:space="preserve"> Dates</w:t>
      </w:r>
      <w:r>
        <w:rPr>
          <w:lang w:val="en-US"/>
        </w:rPr>
        <w:t>, p. 55.</w:t>
      </w:r>
    </w:p>
  </w:footnote>
  <w:footnote w:id="8">
    <w:p w14:paraId="69EC3962" w14:textId="569E5B93" w:rsidR="000B2CDC" w:rsidRPr="000B2CDC" w:rsidRDefault="000B2CDC">
      <w:pPr>
        <w:pStyle w:val="FootnoteText"/>
        <w:rPr>
          <w:lang w:val="en-US"/>
        </w:rPr>
      </w:pPr>
      <w:r>
        <w:rPr>
          <w:rStyle w:val="FootnoteReference"/>
        </w:rPr>
        <w:footnoteRef/>
      </w:r>
      <w:r>
        <w:t xml:space="preserve"> </w:t>
      </w:r>
      <w:r>
        <w:rPr>
          <w:lang w:val="en-US"/>
        </w:rPr>
        <w:t xml:space="preserve">Cheney, </w:t>
      </w:r>
      <w:r w:rsidRPr="000B2CDC">
        <w:rPr>
          <w:i/>
          <w:iCs/>
          <w:lang w:val="en-US"/>
        </w:rPr>
        <w:t xml:space="preserve">Handbook </w:t>
      </w:r>
      <w:proofErr w:type="gramStart"/>
      <w:r w:rsidRPr="000B2CDC">
        <w:rPr>
          <w:i/>
          <w:iCs/>
          <w:lang w:val="en-US"/>
        </w:rPr>
        <w:t>Of</w:t>
      </w:r>
      <w:proofErr w:type="gramEnd"/>
      <w:r w:rsidRPr="000B2CDC">
        <w:rPr>
          <w:i/>
          <w:iCs/>
          <w:lang w:val="en-US"/>
        </w:rPr>
        <w:t xml:space="preserve"> Dates</w:t>
      </w:r>
      <w:r>
        <w:rPr>
          <w:lang w:val="en-US"/>
        </w:rPr>
        <w:t>, p. 94-95.</w:t>
      </w:r>
    </w:p>
  </w:footnote>
  <w:footnote w:id="9">
    <w:p w14:paraId="63C351F8" w14:textId="1AD6D7A6" w:rsidR="00A51398" w:rsidRPr="00A51398" w:rsidRDefault="00A51398">
      <w:pPr>
        <w:pStyle w:val="FootnoteText"/>
        <w:rPr>
          <w:lang w:val="en-US"/>
        </w:rPr>
      </w:pPr>
      <w:r>
        <w:rPr>
          <w:rStyle w:val="FootnoteReference"/>
        </w:rPr>
        <w:footnoteRef/>
      </w:r>
      <w:r>
        <w:t xml:space="preserve"> </w:t>
      </w:r>
      <w:proofErr w:type="spellStart"/>
      <w:r>
        <w:rPr>
          <w:lang w:val="en-US"/>
        </w:rPr>
        <w:t>Powicke</w:t>
      </w:r>
      <w:proofErr w:type="spellEnd"/>
      <w:r>
        <w:rPr>
          <w:lang w:val="en-US"/>
        </w:rPr>
        <w:t xml:space="preserve"> and </w:t>
      </w:r>
      <w:proofErr w:type="spellStart"/>
      <w:r>
        <w:rPr>
          <w:lang w:val="en-US"/>
        </w:rPr>
        <w:t>Fryde</w:t>
      </w:r>
      <w:proofErr w:type="spellEnd"/>
      <w:r>
        <w:rPr>
          <w:lang w:val="en-US"/>
        </w:rPr>
        <w:t xml:space="preserve">, </w:t>
      </w:r>
      <w:r w:rsidRPr="00F65F5A">
        <w:rPr>
          <w:i/>
          <w:iCs/>
          <w:lang w:val="en-US"/>
        </w:rPr>
        <w:t xml:space="preserve">Handbook </w:t>
      </w:r>
      <w:proofErr w:type="gramStart"/>
      <w:r w:rsidRPr="00F65F5A">
        <w:rPr>
          <w:i/>
          <w:iCs/>
          <w:lang w:val="en-US"/>
        </w:rPr>
        <w:t>Of</w:t>
      </w:r>
      <w:proofErr w:type="gramEnd"/>
      <w:r w:rsidRPr="00F65F5A">
        <w:rPr>
          <w:i/>
          <w:iCs/>
          <w:lang w:val="en-US"/>
        </w:rPr>
        <w:t xml:space="preserve"> British Chronology</w:t>
      </w:r>
      <w:r>
        <w:rPr>
          <w:lang w:val="en-US"/>
        </w:rPr>
        <w:t>, p. 223.</w:t>
      </w:r>
    </w:p>
  </w:footnote>
  <w:footnote w:id="10">
    <w:p w14:paraId="78BBFC5C" w14:textId="7B845402" w:rsidR="00A33E79" w:rsidRPr="00A33E79" w:rsidRDefault="00A33E79">
      <w:pPr>
        <w:pStyle w:val="FootnoteText"/>
        <w:rPr>
          <w:lang w:val="en-US"/>
        </w:rPr>
      </w:pPr>
      <w:r>
        <w:rPr>
          <w:rStyle w:val="FootnoteReference"/>
        </w:rPr>
        <w:footnoteRef/>
      </w:r>
      <w:r>
        <w:t xml:space="preserve"> </w:t>
      </w:r>
      <w:proofErr w:type="spellStart"/>
      <w:r>
        <w:rPr>
          <w:lang w:val="en-US"/>
        </w:rPr>
        <w:t>Powicke</w:t>
      </w:r>
      <w:proofErr w:type="spellEnd"/>
      <w:r>
        <w:rPr>
          <w:lang w:val="en-US"/>
        </w:rPr>
        <w:t xml:space="preserve"> and </w:t>
      </w:r>
      <w:proofErr w:type="spellStart"/>
      <w:r>
        <w:rPr>
          <w:lang w:val="en-US"/>
        </w:rPr>
        <w:t>Fryde</w:t>
      </w:r>
      <w:proofErr w:type="spellEnd"/>
      <w:r>
        <w:rPr>
          <w:lang w:val="en-US"/>
        </w:rPr>
        <w:t xml:space="preserve">, </w:t>
      </w:r>
      <w:r w:rsidRPr="00F65F5A">
        <w:rPr>
          <w:i/>
          <w:iCs/>
          <w:lang w:val="en-US"/>
        </w:rPr>
        <w:t xml:space="preserve">Handbook </w:t>
      </w:r>
      <w:proofErr w:type="gramStart"/>
      <w:r w:rsidRPr="00F65F5A">
        <w:rPr>
          <w:i/>
          <w:iCs/>
          <w:lang w:val="en-US"/>
        </w:rPr>
        <w:t>Of</w:t>
      </w:r>
      <w:proofErr w:type="gramEnd"/>
      <w:r w:rsidRPr="00F65F5A">
        <w:rPr>
          <w:i/>
          <w:iCs/>
          <w:lang w:val="en-US"/>
        </w:rPr>
        <w:t xml:space="preserve"> British Chronology</w:t>
      </w:r>
      <w:r>
        <w:rPr>
          <w:lang w:val="en-US"/>
        </w:rPr>
        <w:t>, p. 2</w:t>
      </w:r>
      <w:r w:rsidR="0039239C">
        <w:rPr>
          <w:lang w:val="en-US"/>
        </w:rPr>
        <w:t>03</w:t>
      </w:r>
      <w:r>
        <w:rPr>
          <w:lang w:val="en-US"/>
        </w:rPr>
        <w:t>.</w:t>
      </w:r>
    </w:p>
  </w:footnote>
  <w:footnote w:id="11">
    <w:p w14:paraId="62921D18" w14:textId="7AF054E0" w:rsidR="009679CB" w:rsidRPr="009679CB" w:rsidRDefault="009679CB">
      <w:pPr>
        <w:pStyle w:val="FootnoteText"/>
        <w:rPr>
          <w:lang w:val="en-US"/>
        </w:rPr>
      </w:pPr>
      <w:r>
        <w:rPr>
          <w:rStyle w:val="FootnoteReference"/>
        </w:rPr>
        <w:footnoteRef/>
      </w:r>
      <w:r>
        <w:t xml:space="preserve"> </w:t>
      </w:r>
      <w:r>
        <w:rPr>
          <w:lang w:val="en-US"/>
        </w:rPr>
        <w:t xml:space="preserve">Cheney, </w:t>
      </w:r>
      <w:r w:rsidRPr="00F65F5A">
        <w:rPr>
          <w:i/>
          <w:iCs/>
          <w:lang w:val="en-US"/>
        </w:rPr>
        <w:t xml:space="preserve">Handbook </w:t>
      </w:r>
      <w:proofErr w:type="gramStart"/>
      <w:r w:rsidRPr="00F65F5A">
        <w:rPr>
          <w:i/>
          <w:iCs/>
          <w:lang w:val="en-US"/>
        </w:rPr>
        <w:t>Of</w:t>
      </w:r>
      <w:proofErr w:type="gramEnd"/>
      <w:r w:rsidRPr="00F65F5A">
        <w:rPr>
          <w:i/>
          <w:iCs/>
          <w:lang w:val="en-US"/>
        </w:rPr>
        <w:t xml:space="preserve"> Dates</w:t>
      </w:r>
      <w:r>
        <w:rPr>
          <w:lang w:val="en-US"/>
        </w:rPr>
        <w:t>, p. 20.</w:t>
      </w:r>
    </w:p>
  </w:footnote>
  <w:footnote w:id="12">
    <w:p w14:paraId="56109B8F" w14:textId="2869896D" w:rsidR="00F65F5A" w:rsidRPr="00F65F5A" w:rsidRDefault="00F65F5A">
      <w:pPr>
        <w:pStyle w:val="FootnoteText"/>
        <w:rPr>
          <w:lang w:val="en-US"/>
        </w:rPr>
      </w:pPr>
      <w:r>
        <w:rPr>
          <w:rStyle w:val="FootnoteReference"/>
        </w:rPr>
        <w:footnoteRef/>
      </w:r>
      <w:r>
        <w:t xml:space="preserve"> </w:t>
      </w:r>
      <w:r>
        <w:rPr>
          <w:lang w:val="en-US"/>
        </w:rPr>
        <w:t xml:space="preserve">Cheney, </w:t>
      </w:r>
      <w:r w:rsidRPr="00F65F5A">
        <w:rPr>
          <w:i/>
          <w:iCs/>
          <w:lang w:val="en-US"/>
        </w:rPr>
        <w:t xml:space="preserve">Handbook </w:t>
      </w:r>
      <w:proofErr w:type="gramStart"/>
      <w:r w:rsidRPr="00F65F5A">
        <w:rPr>
          <w:i/>
          <w:iCs/>
          <w:lang w:val="en-US"/>
        </w:rPr>
        <w:t>Of</w:t>
      </w:r>
      <w:proofErr w:type="gramEnd"/>
      <w:r w:rsidRPr="00F65F5A">
        <w:rPr>
          <w:i/>
          <w:iCs/>
          <w:lang w:val="en-US"/>
        </w:rPr>
        <w:t xml:space="preserve"> Dates</w:t>
      </w:r>
      <w:r>
        <w:rPr>
          <w:lang w:val="en-US"/>
        </w:rPr>
        <w:t>, p. 124-125.</w:t>
      </w:r>
    </w:p>
  </w:footnote>
  <w:footnote w:id="13">
    <w:p w14:paraId="799F0C82" w14:textId="630DEC94" w:rsidR="000542B6" w:rsidRPr="000542B6" w:rsidRDefault="000542B6">
      <w:pPr>
        <w:pStyle w:val="FootnoteText"/>
        <w:rPr>
          <w:lang w:val="en-US"/>
        </w:rPr>
      </w:pPr>
      <w:r>
        <w:rPr>
          <w:rStyle w:val="FootnoteReference"/>
        </w:rPr>
        <w:footnoteRef/>
      </w:r>
      <w:r>
        <w:t xml:space="preserve"> </w:t>
      </w:r>
      <w:bookmarkStart w:id="0" w:name="_Hlk87459887"/>
      <w:proofErr w:type="spellStart"/>
      <w:r>
        <w:rPr>
          <w:lang w:val="en-US"/>
        </w:rPr>
        <w:t>Powicke</w:t>
      </w:r>
      <w:proofErr w:type="spellEnd"/>
      <w:r>
        <w:rPr>
          <w:lang w:val="en-US"/>
        </w:rPr>
        <w:t xml:space="preserve"> and </w:t>
      </w:r>
      <w:proofErr w:type="spellStart"/>
      <w:r>
        <w:rPr>
          <w:lang w:val="en-US"/>
        </w:rPr>
        <w:t>Fryde</w:t>
      </w:r>
      <w:proofErr w:type="spellEnd"/>
      <w:r>
        <w:rPr>
          <w:lang w:val="en-US"/>
        </w:rPr>
        <w:t xml:space="preserve">, </w:t>
      </w:r>
      <w:r w:rsidRPr="00F65F5A">
        <w:rPr>
          <w:i/>
          <w:iCs/>
          <w:lang w:val="en-US"/>
        </w:rPr>
        <w:t xml:space="preserve">Handbook </w:t>
      </w:r>
      <w:proofErr w:type="gramStart"/>
      <w:r w:rsidRPr="00F65F5A">
        <w:rPr>
          <w:i/>
          <w:iCs/>
          <w:lang w:val="en-US"/>
        </w:rPr>
        <w:t>Of</w:t>
      </w:r>
      <w:proofErr w:type="gramEnd"/>
      <w:r w:rsidRPr="00F65F5A">
        <w:rPr>
          <w:i/>
          <w:iCs/>
          <w:lang w:val="en-US"/>
        </w:rPr>
        <w:t xml:space="preserve"> British Chronology</w:t>
      </w:r>
      <w:r>
        <w:rPr>
          <w:lang w:val="en-US"/>
        </w:rPr>
        <w:t>, p. 420.</w:t>
      </w:r>
    </w:p>
    <w:bookmarkEnd w:id="0"/>
  </w:footnote>
  <w:footnote w:id="14">
    <w:p w14:paraId="689B0BCB" w14:textId="18910D46" w:rsidR="000542B6" w:rsidRPr="000542B6" w:rsidRDefault="000542B6">
      <w:pPr>
        <w:pStyle w:val="FootnoteText"/>
      </w:pPr>
      <w:r>
        <w:rPr>
          <w:rStyle w:val="FootnoteReference"/>
        </w:rPr>
        <w:footnoteRef/>
      </w:r>
      <w:r>
        <w:t xml:space="preserve"> P. S. Carey, ‘Replies. </w:t>
      </w:r>
      <w:proofErr w:type="spellStart"/>
      <w:r>
        <w:t>Calvacamp</w:t>
      </w:r>
      <w:proofErr w:type="spellEnd"/>
      <w:r>
        <w:t xml:space="preserve">’, in </w:t>
      </w:r>
      <w:r w:rsidRPr="00347770">
        <w:rPr>
          <w:i/>
          <w:iCs/>
        </w:rPr>
        <w:t xml:space="preserve">Notes </w:t>
      </w:r>
      <w:proofErr w:type="gramStart"/>
      <w:r w:rsidRPr="00347770">
        <w:rPr>
          <w:i/>
          <w:iCs/>
        </w:rPr>
        <w:t>And</w:t>
      </w:r>
      <w:proofErr w:type="gramEnd"/>
      <w:r w:rsidRPr="00347770">
        <w:rPr>
          <w:i/>
          <w:iCs/>
        </w:rPr>
        <w:t xml:space="preserve"> Queries: A Medium Of Inter-Communication For Literary Men, Artists, Antiquaries, Genealogists, Etc,</w:t>
      </w:r>
      <w:r>
        <w:t xml:space="preserve"> Vol. 24 (London: Bell &amp; </w:t>
      </w:r>
      <w:proofErr w:type="spellStart"/>
      <w:r>
        <w:t>Daldy</w:t>
      </w:r>
      <w:proofErr w:type="spellEnd"/>
      <w:r>
        <w:t>, 1861), pp. 111-113, (p. 113)</w:t>
      </w:r>
      <w:r w:rsidR="000C74BC">
        <w:t>.</w:t>
      </w:r>
    </w:p>
  </w:footnote>
  <w:footnote w:id="15">
    <w:p w14:paraId="23D32A6C" w14:textId="3B89A84E" w:rsidR="007F1DE9" w:rsidRPr="007F1DE9" w:rsidRDefault="007F1DE9">
      <w:pPr>
        <w:pStyle w:val="FootnoteText"/>
        <w:rPr>
          <w:lang w:val="en-US"/>
        </w:rPr>
      </w:pPr>
      <w:r>
        <w:rPr>
          <w:rStyle w:val="FootnoteReference"/>
        </w:rPr>
        <w:footnoteRef/>
      </w:r>
      <w:r>
        <w:t xml:space="preserve"> </w:t>
      </w:r>
      <w:r>
        <w:rPr>
          <w:lang w:val="en-US"/>
        </w:rPr>
        <w:t xml:space="preserve">Cheney, </w:t>
      </w:r>
      <w:r w:rsidRPr="00F65F5A">
        <w:rPr>
          <w:i/>
          <w:iCs/>
          <w:lang w:val="en-US"/>
        </w:rPr>
        <w:t xml:space="preserve">Handbook </w:t>
      </w:r>
      <w:proofErr w:type="gramStart"/>
      <w:r w:rsidRPr="00F65F5A">
        <w:rPr>
          <w:i/>
          <w:iCs/>
          <w:lang w:val="en-US"/>
        </w:rPr>
        <w:t>Of</w:t>
      </w:r>
      <w:proofErr w:type="gramEnd"/>
      <w:r w:rsidRPr="00F65F5A">
        <w:rPr>
          <w:i/>
          <w:iCs/>
          <w:lang w:val="en-US"/>
        </w:rPr>
        <w:t xml:space="preserve"> Dates</w:t>
      </w:r>
      <w:r>
        <w:rPr>
          <w:lang w:val="en-US"/>
        </w:rPr>
        <w:t>, p. 18.</w:t>
      </w:r>
    </w:p>
  </w:footnote>
  <w:footnote w:id="16">
    <w:p w14:paraId="1E843638" w14:textId="0572A940" w:rsidR="00347770" w:rsidRPr="00347770" w:rsidRDefault="00347770">
      <w:pPr>
        <w:pStyle w:val="FootnoteText"/>
        <w:rPr>
          <w:lang w:val="en-US"/>
        </w:rPr>
      </w:pPr>
      <w:r>
        <w:rPr>
          <w:rStyle w:val="FootnoteReference"/>
        </w:rPr>
        <w:footnoteRef/>
      </w:r>
      <w:r>
        <w:t xml:space="preserve"> </w:t>
      </w:r>
      <w:proofErr w:type="spellStart"/>
      <w:r>
        <w:rPr>
          <w:lang w:val="en-US"/>
        </w:rPr>
        <w:t>Powicke</w:t>
      </w:r>
      <w:proofErr w:type="spellEnd"/>
      <w:r>
        <w:rPr>
          <w:lang w:val="en-US"/>
        </w:rPr>
        <w:t xml:space="preserve"> and </w:t>
      </w:r>
      <w:proofErr w:type="spellStart"/>
      <w:r>
        <w:rPr>
          <w:lang w:val="en-US"/>
        </w:rPr>
        <w:t>Fryde</w:t>
      </w:r>
      <w:proofErr w:type="spellEnd"/>
      <w:r>
        <w:rPr>
          <w:lang w:val="en-US"/>
        </w:rPr>
        <w:t xml:space="preserve">, </w:t>
      </w:r>
      <w:r w:rsidRPr="00F65F5A">
        <w:rPr>
          <w:i/>
          <w:iCs/>
          <w:lang w:val="en-US"/>
        </w:rPr>
        <w:t xml:space="preserve">Handbook </w:t>
      </w:r>
      <w:proofErr w:type="gramStart"/>
      <w:r w:rsidRPr="00F65F5A">
        <w:rPr>
          <w:i/>
          <w:iCs/>
          <w:lang w:val="en-US"/>
        </w:rPr>
        <w:t>Of</w:t>
      </w:r>
      <w:proofErr w:type="gramEnd"/>
      <w:r w:rsidRPr="00F65F5A">
        <w:rPr>
          <w:i/>
          <w:iCs/>
          <w:lang w:val="en-US"/>
        </w:rPr>
        <w:t xml:space="preserve"> British Chronology</w:t>
      </w:r>
      <w:r>
        <w:rPr>
          <w:lang w:val="en-US"/>
        </w:rPr>
        <w:t>, p. 432.</w:t>
      </w:r>
    </w:p>
  </w:footnote>
  <w:footnote w:id="17">
    <w:p w14:paraId="1EA1C7CC" w14:textId="6DF3F461" w:rsidR="000E0B4A" w:rsidRPr="000E0B4A" w:rsidRDefault="000E0B4A">
      <w:pPr>
        <w:pStyle w:val="FootnoteText"/>
        <w:rPr>
          <w:lang w:val="en-US"/>
        </w:rPr>
      </w:pPr>
      <w:r>
        <w:rPr>
          <w:rStyle w:val="FootnoteReference"/>
        </w:rPr>
        <w:footnoteRef/>
      </w:r>
      <w:r>
        <w:t xml:space="preserve"> </w:t>
      </w:r>
      <w:proofErr w:type="spellStart"/>
      <w:r>
        <w:rPr>
          <w:lang w:val="en-US"/>
        </w:rPr>
        <w:t>Powicke</w:t>
      </w:r>
      <w:proofErr w:type="spellEnd"/>
      <w:r>
        <w:rPr>
          <w:lang w:val="en-US"/>
        </w:rPr>
        <w:t xml:space="preserve"> and </w:t>
      </w:r>
      <w:proofErr w:type="spellStart"/>
      <w:r>
        <w:rPr>
          <w:lang w:val="en-US"/>
        </w:rPr>
        <w:t>Fryde</w:t>
      </w:r>
      <w:proofErr w:type="spellEnd"/>
      <w:r>
        <w:rPr>
          <w:lang w:val="en-US"/>
        </w:rPr>
        <w:t xml:space="preserve">, </w:t>
      </w:r>
      <w:r w:rsidRPr="00F65F5A">
        <w:rPr>
          <w:i/>
          <w:iCs/>
          <w:lang w:val="en-US"/>
        </w:rPr>
        <w:t xml:space="preserve">Handbook </w:t>
      </w:r>
      <w:proofErr w:type="gramStart"/>
      <w:r w:rsidRPr="00F65F5A">
        <w:rPr>
          <w:i/>
          <w:iCs/>
          <w:lang w:val="en-US"/>
        </w:rPr>
        <w:t>Of</w:t>
      </w:r>
      <w:proofErr w:type="gramEnd"/>
      <w:r w:rsidRPr="00F65F5A">
        <w:rPr>
          <w:i/>
          <w:iCs/>
          <w:lang w:val="en-US"/>
        </w:rPr>
        <w:t xml:space="preserve"> British Chronology</w:t>
      </w:r>
      <w:r>
        <w:rPr>
          <w:lang w:val="en-US"/>
        </w:rPr>
        <w:t>, p. 455.</w:t>
      </w:r>
    </w:p>
  </w:footnote>
  <w:footnote w:id="18">
    <w:p w14:paraId="3C9EFBDB" w14:textId="10E1B9BC" w:rsidR="00594AE3" w:rsidRPr="00594AE3" w:rsidRDefault="00594AE3">
      <w:pPr>
        <w:pStyle w:val="FootnoteText"/>
        <w:rPr>
          <w:lang w:val="en-US"/>
        </w:rPr>
      </w:pPr>
      <w:r>
        <w:rPr>
          <w:rStyle w:val="FootnoteReference"/>
        </w:rPr>
        <w:footnoteRef/>
      </w:r>
      <w:r>
        <w:t xml:space="preserve"> K.S.B. Keats-Rohan, </w:t>
      </w:r>
      <w:r w:rsidRPr="001F3103">
        <w:rPr>
          <w:i/>
          <w:iCs/>
        </w:rPr>
        <w:t xml:space="preserve">Domesday Descendants: A Prosopography </w:t>
      </w:r>
      <w:proofErr w:type="gramStart"/>
      <w:r w:rsidRPr="001F3103">
        <w:rPr>
          <w:i/>
          <w:iCs/>
        </w:rPr>
        <w:t>Of</w:t>
      </w:r>
      <w:proofErr w:type="gramEnd"/>
      <w:r w:rsidRPr="001F3103">
        <w:rPr>
          <w:i/>
          <w:iCs/>
        </w:rPr>
        <w:t xml:space="preserve"> Persons Occurring In English Documents 1066-1166</w:t>
      </w:r>
      <w:r>
        <w:t>, Vol. 2 (Woodbridge: The Boydell Press, 2002), p. 1108.</w:t>
      </w:r>
    </w:p>
  </w:footnote>
  <w:footnote w:id="19">
    <w:p w14:paraId="6E1796D0" w14:textId="47D02AFD" w:rsidR="00D6692D" w:rsidRPr="00D6692D" w:rsidRDefault="00D6692D">
      <w:pPr>
        <w:pStyle w:val="FootnoteText"/>
        <w:rPr>
          <w:lang w:val="en-US"/>
        </w:rPr>
      </w:pPr>
      <w:r>
        <w:rPr>
          <w:rStyle w:val="FootnoteReference"/>
        </w:rPr>
        <w:footnoteRef/>
      </w:r>
      <w:r>
        <w:t xml:space="preserve"> </w:t>
      </w:r>
      <w:proofErr w:type="spellStart"/>
      <w:r>
        <w:rPr>
          <w:lang w:val="en-US"/>
        </w:rPr>
        <w:t>Powicke</w:t>
      </w:r>
      <w:proofErr w:type="spellEnd"/>
      <w:r>
        <w:rPr>
          <w:lang w:val="en-US"/>
        </w:rPr>
        <w:t xml:space="preserve"> and </w:t>
      </w:r>
      <w:proofErr w:type="spellStart"/>
      <w:r>
        <w:rPr>
          <w:lang w:val="en-US"/>
        </w:rPr>
        <w:t>Fryde</w:t>
      </w:r>
      <w:proofErr w:type="spellEnd"/>
      <w:r>
        <w:rPr>
          <w:lang w:val="en-US"/>
        </w:rPr>
        <w:t xml:space="preserve">, </w:t>
      </w:r>
      <w:r w:rsidRPr="00F65F5A">
        <w:rPr>
          <w:i/>
          <w:iCs/>
          <w:lang w:val="en-US"/>
        </w:rPr>
        <w:t xml:space="preserve">Handbook </w:t>
      </w:r>
      <w:proofErr w:type="gramStart"/>
      <w:r w:rsidRPr="00F65F5A">
        <w:rPr>
          <w:i/>
          <w:iCs/>
          <w:lang w:val="en-US"/>
        </w:rPr>
        <w:t>Of</w:t>
      </w:r>
      <w:proofErr w:type="gramEnd"/>
      <w:r w:rsidRPr="00F65F5A">
        <w:rPr>
          <w:i/>
          <w:iCs/>
          <w:lang w:val="en-US"/>
        </w:rPr>
        <w:t xml:space="preserve"> British Chronology</w:t>
      </w:r>
      <w:r>
        <w:rPr>
          <w:lang w:val="en-US"/>
        </w:rPr>
        <w:t>, p. 69.</w:t>
      </w:r>
    </w:p>
  </w:footnote>
  <w:footnote w:id="20">
    <w:p w14:paraId="3FD62135" w14:textId="100BE3D4" w:rsidR="0068469E" w:rsidRPr="0068469E" w:rsidRDefault="0068469E">
      <w:pPr>
        <w:pStyle w:val="FootnoteText"/>
        <w:rPr>
          <w:lang w:val="en-US"/>
        </w:rPr>
      </w:pPr>
      <w:r>
        <w:rPr>
          <w:rStyle w:val="FootnoteReference"/>
        </w:rPr>
        <w:footnoteRef/>
      </w:r>
      <w:r>
        <w:t xml:space="preserve"> </w:t>
      </w:r>
      <w:proofErr w:type="spellStart"/>
      <w:r>
        <w:rPr>
          <w:lang w:val="en-US"/>
        </w:rPr>
        <w:t>Powicke</w:t>
      </w:r>
      <w:proofErr w:type="spellEnd"/>
      <w:r>
        <w:rPr>
          <w:lang w:val="en-US"/>
        </w:rPr>
        <w:t xml:space="preserve"> and </w:t>
      </w:r>
      <w:proofErr w:type="spellStart"/>
      <w:r>
        <w:rPr>
          <w:lang w:val="en-US"/>
        </w:rPr>
        <w:t>Fryde</w:t>
      </w:r>
      <w:proofErr w:type="spellEnd"/>
      <w:r>
        <w:rPr>
          <w:lang w:val="en-US"/>
        </w:rPr>
        <w:t xml:space="preserve">, </w:t>
      </w:r>
      <w:r w:rsidRPr="00F65F5A">
        <w:rPr>
          <w:i/>
          <w:iCs/>
          <w:lang w:val="en-US"/>
        </w:rPr>
        <w:t xml:space="preserve">Handbook </w:t>
      </w:r>
      <w:proofErr w:type="gramStart"/>
      <w:r w:rsidRPr="00F65F5A">
        <w:rPr>
          <w:i/>
          <w:iCs/>
          <w:lang w:val="en-US"/>
        </w:rPr>
        <w:t>Of</w:t>
      </w:r>
      <w:proofErr w:type="gramEnd"/>
      <w:r w:rsidRPr="00F65F5A">
        <w:rPr>
          <w:i/>
          <w:iCs/>
          <w:lang w:val="en-US"/>
        </w:rPr>
        <w:t xml:space="preserve"> British Chronology</w:t>
      </w:r>
      <w:r>
        <w:rPr>
          <w:lang w:val="en-US"/>
        </w:rPr>
        <w:t>, p. 31.</w:t>
      </w:r>
    </w:p>
  </w:footnote>
  <w:footnote w:id="21">
    <w:p w14:paraId="0C70E639" w14:textId="1F4B8BC2" w:rsidR="00B6355F" w:rsidRPr="00B6355F" w:rsidRDefault="00B6355F">
      <w:pPr>
        <w:pStyle w:val="FootnoteText"/>
        <w:rPr>
          <w:lang w:val="en-US"/>
        </w:rPr>
      </w:pPr>
      <w:r>
        <w:rPr>
          <w:rStyle w:val="FootnoteReference"/>
        </w:rPr>
        <w:footnoteRef/>
      </w:r>
      <w:r>
        <w:t xml:space="preserve"> </w:t>
      </w:r>
      <w:proofErr w:type="spellStart"/>
      <w:r w:rsidR="00021BA8">
        <w:rPr>
          <w:lang w:val="en-US"/>
        </w:rPr>
        <w:t>Powicke</w:t>
      </w:r>
      <w:proofErr w:type="spellEnd"/>
      <w:r w:rsidR="00021BA8">
        <w:rPr>
          <w:lang w:val="en-US"/>
        </w:rPr>
        <w:t xml:space="preserve"> and </w:t>
      </w:r>
      <w:proofErr w:type="spellStart"/>
      <w:r w:rsidR="00021BA8">
        <w:rPr>
          <w:lang w:val="en-US"/>
        </w:rPr>
        <w:t>Fryde</w:t>
      </w:r>
      <w:proofErr w:type="spellEnd"/>
      <w:r w:rsidR="00021BA8">
        <w:rPr>
          <w:lang w:val="en-US"/>
        </w:rPr>
        <w:t xml:space="preserve">, </w:t>
      </w:r>
      <w:r w:rsidR="00021BA8" w:rsidRPr="00F65F5A">
        <w:rPr>
          <w:i/>
          <w:iCs/>
          <w:lang w:val="en-US"/>
        </w:rPr>
        <w:t xml:space="preserve">Handbook </w:t>
      </w:r>
      <w:proofErr w:type="gramStart"/>
      <w:r w:rsidR="00021BA8" w:rsidRPr="00F65F5A">
        <w:rPr>
          <w:i/>
          <w:iCs/>
          <w:lang w:val="en-US"/>
        </w:rPr>
        <w:t>Of</w:t>
      </w:r>
      <w:proofErr w:type="gramEnd"/>
      <w:r w:rsidR="00021BA8" w:rsidRPr="00F65F5A">
        <w:rPr>
          <w:i/>
          <w:iCs/>
          <w:lang w:val="en-US"/>
        </w:rPr>
        <w:t xml:space="preserve"> British Chronology</w:t>
      </w:r>
      <w:r w:rsidR="00021BA8">
        <w:rPr>
          <w:lang w:val="en-US"/>
        </w:rPr>
        <w:t>, p. 32.</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D14BC9" w14:textId="155B801F" w:rsidR="005C416B" w:rsidRDefault="005C416B">
    <w:pPr>
      <w:pStyle w:val="Header"/>
    </w:pPr>
    <w:r>
      <w:tab/>
    </w:r>
    <w:r>
      <w:tab/>
      <w:t>Bethan Jones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5F6601"/>
    <w:multiLevelType w:val="hybridMultilevel"/>
    <w:tmpl w:val="8F38CA6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A907DF3D-DAE1-4376-9C97-D730F2B658A8}"/>
    <w:docVar w:name="dgnword-eventsink" w:val="2158091687168"/>
  </w:docVars>
  <w:rsids>
    <w:rsidRoot w:val="00127285"/>
    <w:rsid w:val="000000BC"/>
    <w:rsid w:val="000203B8"/>
    <w:rsid w:val="00021BA8"/>
    <w:rsid w:val="000542B6"/>
    <w:rsid w:val="000B2CDC"/>
    <w:rsid w:val="000C2324"/>
    <w:rsid w:val="000C74BC"/>
    <w:rsid w:val="000E0B4A"/>
    <w:rsid w:val="000F32B8"/>
    <w:rsid w:val="00104D15"/>
    <w:rsid w:val="00107171"/>
    <w:rsid w:val="00127285"/>
    <w:rsid w:val="001432D0"/>
    <w:rsid w:val="00154943"/>
    <w:rsid w:val="00161AE0"/>
    <w:rsid w:val="0016233C"/>
    <w:rsid w:val="00162B44"/>
    <w:rsid w:val="0018159E"/>
    <w:rsid w:val="001A73A4"/>
    <w:rsid w:val="001F16D7"/>
    <w:rsid w:val="001F3103"/>
    <w:rsid w:val="00201255"/>
    <w:rsid w:val="00222DEE"/>
    <w:rsid w:val="002410A4"/>
    <w:rsid w:val="00254387"/>
    <w:rsid w:val="00271A07"/>
    <w:rsid w:val="00282FB3"/>
    <w:rsid w:val="00285047"/>
    <w:rsid w:val="002A2EAE"/>
    <w:rsid w:val="002B12BA"/>
    <w:rsid w:val="002F38D6"/>
    <w:rsid w:val="00314AA4"/>
    <w:rsid w:val="00336965"/>
    <w:rsid w:val="00347770"/>
    <w:rsid w:val="003807B1"/>
    <w:rsid w:val="003906B3"/>
    <w:rsid w:val="0039239C"/>
    <w:rsid w:val="003A7B2B"/>
    <w:rsid w:val="0044526B"/>
    <w:rsid w:val="00446514"/>
    <w:rsid w:val="00455600"/>
    <w:rsid w:val="00485D6F"/>
    <w:rsid w:val="004A4234"/>
    <w:rsid w:val="004D0CD9"/>
    <w:rsid w:val="004F6C17"/>
    <w:rsid w:val="005126DC"/>
    <w:rsid w:val="0054769A"/>
    <w:rsid w:val="00552335"/>
    <w:rsid w:val="00552B22"/>
    <w:rsid w:val="00557F7F"/>
    <w:rsid w:val="00560FCB"/>
    <w:rsid w:val="00571AA6"/>
    <w:rsid w:val="00594AE3"/>
    <w:rsid w:val="005C3B47"/>
    <w:rsid w:val="005C416B"/>
    <w:rsid w:val="005F7D4B"/>
    <w:rsid w:val="0060054C"/>
    <w:rsid w:val="00636AD3"/>
    <w:rsid w:val="006708A9"/>
    <w:rsid w:val="0068469E"/>
    <w:rsid w:val="006C0C3E"/>
    <w:rsid w:val="00702F88"/>
    <w:rsid w:val="00734176"/>
    <w:rsid w:val="00750A4C"/>
    <w:rsid w:val="007E34F3"/>
    <w:rsid w:val="007F1DE9"/>
    <w:rsid w:val="00800261"/>
    <w:rsid w:val="00821B22"/>
    <w:rsid w:val="0087143E"/>
    <w:rsid w:val="008D58E9"/>
    <w:rsid w:val="00921F02"/>
    <w:rsid w:val="00943714"/>
    <w:rsid w:val="009679CB"/>
    <w:rsid w:val="009D180F"/>
    <w:rsid w:val="00A101AD"/>
    <w:rsid w:val="00A33E79"/>
    <w:rsid w:val="00A51398"/>
    <w:rsid w:val="00A60799"/>
    <w:rsid w:val="00A766DD"/>
    <w:rsid w:val="00AB0324"/>
    <w:rsid w:val="00AE157C"/>
    <w:rsid w:val="00AF255F"/>
    <w:rsid w:val="00B05E71"/>
    <w:rsid w:val="00B45922"/>
    <w:rsid w:val="00B5613F"/>
    <w:rsid w:val="00B6355F"/>
    <w:rsid w:val="00BC1EF3"/>
    <w:rsid w:val="00BD5BCD"/>
    <w:rsid w:val="00BE07EB"/>
    <w:rsid w:val="00C00BE2"/>
    <w:rsid w:val="00C06033"/>
    <w:rsid w:val="00C20EDC"/>
    <w:rsid w:val="00C379A6"/>
    <w:rsid w:val="00C60E6F"/>
    <w:rsid w:val="00C73A4A"/>
    <w:rsid w:val="00CB5B0E"/>
    <w:rsid w:val="00CB68F2"/>
    <w:rsid w:val="00CC1F3B"/>
    <w:rsid w:val="00D05D22"/>
    <w:rsid w:val="00D05F22"/>
    <w:rsid w:val="00D125FB"/>
    <w:rsid w:val="00D66404"/>
    <w:rsid w:val="00D6692D"/>
    <w:rsid w:val="00D97808"/>
    <w:rsid w:val="00DC75D2"/>
    <w:rsid w:val="00DE65E8"/>
    <w:rsid w:val="00E36586"/>
    <w:rsid w:val="00E4797B"/>
    <w:rsid w:val="00E6324A"/>
    <w:rsid w:val="00E82CCE"/>
    <w:rsid w:val="00E97E06"/>
    <w:rsid w:val="00EA10B0"/>
    <w:rsid w:val="00EA7352"/>
    <w:rsid w:val="00EA7A5F"/>
    <w:rsid w:val="00EB707D"/>
    <w:rsid w:val="00EC1662"/>
    <w:rsid w:val="00EE0D1F"/>
    <w:rsid w:val="00EF6511"/>
    <w:rsid w:val="00F03DBA"/>
    <w:rsid w:val="00F131D7"/>
    <w:rsid w:val="00F359E7"/>
    <w:rsid w:val="00F452DD"/>
    <w:rsid w:val="00F56259"/>
    <w:rsid w:val="00F65F5A"/>
    <w:rsid w:val="00F90EA5"/>
    <w:rsid w:val="00FA6EEB"/>
    <w:rsid w:val="00FB09B5"/>
    <w:rsid w:val="00FE2C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6D6A62"/>
  <w15:chartTrackingRefBased/>
  <w15:docId w15:val="{264E3C43-CEE4-4E13-94CC-6A2BEA6204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0A4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50A4C"/>
    <w:pPr>
      <w:ind w:left="720"/>
      <w:contextualSpacing/>
    </w:pPr>
  </w:style>
  <w:style w:type="character" w:styleId="Hyperlink">
    <w:name w:val="Hyperlink"/>
    <w:basedOn w:val="DefaultParagraphFont"/>
    <w:uiPriority w:val="99"/>
    <w:unhideWhenUsed/>
    <w:rsid w:val="00D66404"/>
    <w:rPr>
      <w:color w:val="0563C1" w:themeColor="hyperlink"/>
      <w:u w:val="single"/>
    </w:rPr>
  </w:style>
  <w:style w:type="character" w:styleId="UnresolvedMention">
    <w:name w:val="Unresolved Mention"/>
    <w:basedOn w:val="DefaultParagraphFont"/>
    <w:uiPriority w:val="99"/>
    <w:semiHidden/>
    <w:unhideWhenUsed/>
    <w:rsid w:val="00D66404"/>
    <w:rPr>
      <w:color w:val="605E5C"/>
      <w:shd w:val="clear" w:color="auto" w:fill="E1DFDD"/>
    </w:rPr>
  </w:style>
  <w:style w:type="paragraph" w:customStyle="1" w:styleId="anchors-processed">
    <w:name w:val="anchors-processed"/>
    <w:basedOn w:val="Normal"/>
    <w:rsid w:val="001F16D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52335"/>
    <w:rPr>
      <w:b/>
      <w:bCs/>
    </w:rPr>
  </w:style>
  <w:style w:type="character" w:styleId="Emphasis">
    <w:name w:val="Emphasis"/>
    <w:basedOn w:val="DefaultParagraphFont"/>
    <w:uiPriority w:val="20"/>
    <w:qFormat/>
    <w:rsid w:val="00552335"/>
    <w:rPr>
      <w:i/>
      <w:iCs/>
    </w:rPr>
  </w:style>
  <w:style w:type="paragraph" w:styleId="FootnoteText">
    <w:name w:val="footnote text"/>
    <w:basedOn w:val="Normal"/>
    <w:link w:val="FootnoteTextChar"/>
    <w:uiPriority w:val="99"/>
    <w:semiHidden/>
    <w:unhideWhenUsed/>
    <w:rsid w:val="0087143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7143E"/>
    <w:rPr>
      <w:sz w:val="20"/>
      <w:szCs w:val="20"/>
    </w:rPr>
  </w:style>
  <w:style w:type="character" w:styleId="FootnoteReference">
    <w:name w:val="footnote reference"/>
    <w:basedOn w:val="DefaultParagraphFont"/>
    <w:uiPriority w:val="99"/>
    <w:semiHidden/>
    <w:unhideWhenUsed/>
    <w:rsid w:val="0087143E"/>
    <w:rPr>
      <w:vertAlign w:val="superscript"/>
    </w:rPr>
  </w:style>
  <w:style w:type="paragraph" w:styleId="Header">
    <w:name w:val="header"/>
    <w:basedOn w:val="Normal"/>
    <w:link w:val="HeaderChar"/>
    <w:uiPriority w:val="99"/>
    <w:unhideWhenUsed/>
    <w:rsid w:val="005C41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416B"/>
  </w:style>
  <w:style w:type="paragraph" w:styleId="Footer">
    <w:name w:val="footer"/>
    <w:basedOn w:val="Normal"/>
    <w:link w:val="FooterChar"/>
    <w:uiPriority w:val="99"/>
    <w:unhideWhenUsed/>
    <w:rsid w:val="005C41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416B"/>
  </w:style>
  <w:style w:type="character" w:styleId="FollowedHyperlink">
    <w:name w:val="FollowedHyperlink"/>
    <w:basedOn w:val="DefaultParagraphFont"/>
    <w:uiPriority w:val="99"/>
    <w:semiHidden/>
    <w:unhideWhenUsed/>
    <w:rsid w:val="003A7B2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177821">
      <w:bodyDiv w:val="1"/>
      <w:marLeft w:val="0"/>
      <w:marRight w:val="0"/>
      <w:marTop w:val="0"/>
      <w:marBottom w:val="0"/>
      <w:divBdr>
        <w:top w:val="none" w:sz="0" w:space="0" w:color="auto"/>
        <w:left w:val="none" w:sz="0" w:space="0" w:color="auto"/>
        <w:bottom w:val="none" w:sz="0" w:space="0" w:color="auto"/>
        <w:right w:val="none" w:sz="0" w:space="0" w:color="auto"/>
      </w:divBdr>
    </w:div>
    <w:div w:id="258411141">
      <w:bodyDiv w:val="1"/>
      <w:marLeft w:val="0"/>
      <w:marRight w:val="0"/>
      <w:marTop w:val="0"/>
      <w:marBottom w:val="0"/>
      <w:divBdr>
        <w:top w:val="none" w:sz="0" w:space="0" w:color="auto"/>
        <w:left w:val="none" w:sz="0" w:space="0" w:color="auto"/>
        <w:bottom w:val="none" w:sz="0" w:space="0" w:color="auto"/>
        <w:right w:val="none" w:sz="0" w:space="0" w:color="auto"/>
      </w:divBdr>
    </w:div>
    <w:div w:id="812915695">
      <w:bodyDiv w:val="1"/>
      <w:marLeft w:val="0"/>
      <w:marRight w:val="0"/>
      <w:marTop w:val="0"/>
      <w:marBottom w:val="0"/>
      <w:divBdr>
        <w:top w:val="none" w:sz="0" w:space="0" w:color="auto"/>
        <w:left w:val="none" w:sz="0" w:space="0" w:color="auto"/>
        <w:bottom w:val="none" w:sz="0" w:space="0" w:color="auto"/>
        <w:right w:val="none" w:sz="0" w:space="0" w:color="auto"/>
      </w:divBdr>
    </w:div>
    <w:div w:id="19366695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CE8905-1362-4193-B690-638E60B32A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TotalTime>
  <Pages>4</Pages>
  <Words>1393</Words>
  <Characters>7946</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Jones</dc:creator>
  <cp:keywords/>
  <dc:description/>
  <cp:lastModifiedBy>Bethan Jones</cp:lastModifiedBy>
  <cp:revision>14</cp:revision>
  <dcterms:created xsi:type="dcterms:W3CDTF">2021-11-11T13:22:00Z</dcterms:created>
  <dcterms:modified xsi:type="dcterms:W3CDTF">2021-11-11T15:22:00Z</dcterms:modified>
</cp:coreProperties>
</file>