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27915" w:rsidRPr="00DE2EDC" w:rsidRDefault="00D27915" w:rsidP="00D27915">
      <w:pPr>
        <w:spacing w:after="0"/>
        <w:rPr>
          <w:b/>
          <w:i/>
          <w:sz w:val="24"/>
          <w:szCs w:val="24"/>
        </w:rPr>
      </w:pPr>
      <w:r w:rsidRPr="00DE2EDC">
        <w:rPr>
          <w:b/>
          <w:i/>
          <w:sz w:val="24"/>
          <w:szCs w:val="24"/>
        </w:rPr>
        <w:t>Was the league of Corinth different from previous Leagues in the Classical period?</w:t>
      </w:r>
    </w:p>
    <w:p w:rsidR="00D27915" w:rsidRPr="00DE2EDC" w:rsidRDefault="00D27915" w:rsidP="00377201">
      <w:pPr>
        <w:spacing w:after="0"/>
        <w:rPr>
          <w:sz w:val="24"/>
          <w:szCs w:val="24"/>
        </w:rPr>
      </w:pPr>
    </w:p>
    <w:p w:rsidR="00377201" w:rsidRPr="00DE2EDC" w:rsidRDefault="00377201" w:rsidP="00377201">
      <w:pPr>
        <w:spacing w:after="0"/>
        <w:rPr>
          <w:sz w:val="24"/>
          <w:szCs w:val="24"/>
        </w:rPr>
      </w:pPr>
      <w:r w:rsidRPr="00DE2EDC">
        <w:rPr>
          <w:sz w:val="24"/>
          <w:szCs w:val="24"/>
        </w:rPr>
        <w:t>In this essay I will be examining the various leagues within the classical period in order to discover their similarities and differ</w:t>
      </w:r>
      <w:r w:rsidR="00D27915" w:rsidRPr="00DE2EDC">
        <w:rPr>
          <w:sz w:val="24"/>
          <w:szCs w:val="24"/>
        </w:rPr>
        <w:t>ences to the league of Corinth to determine if it is unique to its time period.</w:t>
      </w:r>
    </w:p>
    <w:p w:rsidR="00377201" w:rsidRPr="00DE2EDC" w:rsidRDefault="00377201" w:rsidP="00377201">
      <w:pPr>
        <w:spacing w:after="0"/>
        <w:rPr>
          <w:sz w:val="24"/>
          <w:szCs w:val="24"/>
        </w:rPr>
      </w:pPr>
    </w:p>
    <w:p w:rsidR="00377201" w:rsidRPr="00DE2EDC" w:rsidRDefault="00772098" w:rsidP="00377201">
      <w:pPr>
        <w:spacing w:after="0"/>
        <w:rPr>
          <w:sz w:val="24"/>
          <w:szCs w:val="24"/>
        </w:rPr>
      </w:pPr>
      <w:r w:rsidRPr="00DE2EDC">
        <w:rPr>
          <w:sz w:val="24"/>
          <w:szCs w:val="24"/>
        </w:rPr>
        <w:t>The League of Corinth was an inter-state-treaty created by Philip II of Macedon after the battle of Chaeronea</w:t>
      </w:r>
      <w:r w:rsidR="00377201" w:rsidRPr="00DE2EDC">
        <w:rPr>
          <w:rStyle w:val="FootnoteReference"/>
          <w:sz w:val="24"/>
          <w:szCs w:val="24"/>
        </w:rPr>
        <w:footnoteReference w:id="1"/>
      </w:r>
      <w:r w:rsidRPr="00DE2EDC">
        <w:rPr>
          <w:sz w:val="24"/>
          <w:szCs w:val="24"/>
        </w:rPr>
        <w:t xml:space="preserve"> in 338 BC</w:t>
      </w:r>
      <w:r w:rsidRPr="00DE2EDC">
        <w:rPr>
          <w:rStyle w:val="FootnoteReference"/>
          <w:sz w:val="24"/>
          <w:szCs w:val="24"/>
        </w:rPr>
        <w:footnoteReference w:id="2"/>
      </w:r>
      <w:r w:rsidR="00377201" w:rsidRPr="00DE2EDC">
        <w:rPr>
          <w:sz w:val="24"/>
          <w:szCs w:val="24"/>
        </w:rPr>
        <w:t>.</w:t>
      </w:r>
      <w:r w:rsidRPr="00DE2EDC">
        <w:rPr>
          <w:sz w:val="24"/>
          <w:szCs w:val="24"/>
        </w:rPr>
        <w:t xml:space="preserve"> He announced a ‘Common Peace’ and declared himself Hegemon</w:t>
      </w:r>
      <w:r w:rsidRPr="00DE2EDC">
        <w:rPr>
          <w:rStyle w:val="FootnoteReference"/>
          <w:sz w:val="24"/>
          <w:szCs w:val="24"/>
        </w:rPr>
        <w:footnoteReference w:id="3"/>
      </w:r>
      <w:r w:rsidRPr="00DE2EDC">
        <w:rPr>
          <w:sz w:val="24"/>
          <w:szCs w:val="24"/>
        </w:rPr>
        <w:t xml:space="preserve"> of this new league so that every state was to pledge their allegiance to Philip and his descendants. Only Sparta refused his rule and refused to join</w:t>
      </w:r>
      <w:r w:rsidR="00703D63" w:rsidRPr="00DE2EDC">
        <w:rPr>
          <w:sz w:val="24"/>
          <w:szCs w:val="24"/>
        </w:rPr>
        <w:t xml:space="preserve">. 336 BCE saw the assassination of Philip II and with his death the Greeks began to revolt against the Corinthian League but Philip’s son and successor Alexander quickly put a stop to this. </w:t>
      </w:r>
      <w:r w:rsidRPr="00DE2EDC">
        <w:rPr>
          <w:rStyle w:val="FootnoteReference"/>
          <w:sz w:val="24"/>
          <w:szCs w:val="24"/>
        </w:rPr>
        <w:footnoteReference w:id="4"/>
      </w:r>
      <w:r w:rsidRPr="00DE2EDC">
        <w:rPr>
          <w:sz w:val="24"/>
          <w:szCs w:val="24"/>
        </w:rPr>
        <w:t xml:space="preserve"> </w:t>
      </w:r>
    </w:p>
    <w:p w:rsidR="00772098" w:rsidRPr="00DE2EDC" w:rsidRDefault="00772098" w:rsidP="00377201">
      <w:pPr>
        <w:spacing w:after="0"/>
        <w:rPr>
          <w:sz w:val="24"/>
          <w:szCs w:val="24"/>
        </w:rPr>
      </w:pPr>
    </w:p>
    <w:p w:rsidR="00D27915" w:rsidRPr="00DE2EDC" w:rsidRDefault="00D27915" w:rsidP="00377201">
      <w:pPr>
        <w:spacing w:after="0"/>
        <w:rPr>
          <w:sz w:val="24"/>
          <w:szCs w:val="24"/>
        </w:rPr>
      </w:pPr>
      <w:r w:rsidRPr="00DE2EDC">
        <w:rPr>
          <w:sz w:val="24"/>
          <w:szCs w:val="24"/>
        </w:rPr>
        <w:t xml:space="preserve">There were several leagues during the classical period that the question could refer to namely The </w:t>
      </w:r>
      <w:proofErr w:type="spellStart"/>
      <w:r w:rsidRPr="00DE2EDC">
        <w:rPr>
          <w:sz w:val="24"/>
          <w:szCs w:val="24"/>
        </w:rPr>
        <w:t>Delian</w:t>
      </w:r>
      <w:proofErr w:type="spellEnd"/>
      <w:r w:rsidRPr="00DE2EDC">
        <w:rPr>
          <w:sz w:val="24"/>
          <w:szCs w:val="24"/>
        </w:rPr>
        <w:t xml:space="preserve"> League, The Peloponnesian League and The Second Athenian League.</w:t>
      </w:r>
    </w:p>
    <w:p w:rsidR="00882E56" w:rsidRDefault="001415B9" w:rsidP="00891EDF">
      <w:pPr>
        <w:spacing w:after="0"/>
        <w:rPr>
          <w:sz w:val="24"/>
          <w:szCs w:val="24"/>
        </w:rPr>
      </w:pPr>
      <w:r w:rsidRPr="00DE2EDC">
        <w:rPr>
          <w:sz w:val="24"/>
          <w:szCs w:val="24"/>
        </w:rPr>
        <w:t xml:space="preserve">Much of the information we have about the </w:t>
      </w:r>
      <w:proofErr w:type="spellStart"/>
      <w:r w:rsidRPr="00DE2EDC">
        <w:rPr>
          <w:sz w:val="24"/>
          <w:szCs w:val="24"/>
        </w:rPr>
        <w:t>Delian</w:t>
      </w:r>
      <w:proofErr w:type="spellEnd"/>
      <w:r w:rsidRPr="00DE2EDC">
        <w:rPr>
          <w:sz w:val="24"/>
          <w:szCs w:val="24"/>
        </w:rPr>
        <w:t xml:space="preserve"> League was provided by Thucydides and his works on ‘The Peloponnesian War’ but due to lack of other ‘historical evidence’ it is difficult to suggest one way or another if his recollections are entirely accurate. The </w:t>
      </w:r>
      <w:proofErr w:type="spellStart"/>
      <w:r w:rsidRPr="00DE2EDC">
        <w:rPr>
          <w:sz w:val="24"/>
          <w:szCs w:val="24"/>
        </w:rPr>
        <w:t>Delian</w:t>
      </w:r>
      <w:proofErr w:type="spellEnd"/>
      <w:r w:rsidRPr="00DE2EDC">
        <w:rPr>
          <w:sz w:val="24"/>
          <w:szCs w:val="24"/>
        </w:rPr>
        <w:t xml:space="preserve"> League </w:t>
      </w:r>
      <w:r w:rsidR="00F15BE0" w:rsidRPr="00DE2EDC">
        <w:rPr>
          <w:sz w:val="24"/>
          <w:szCs w:val="24"/>
        </w:rPr>
        <w:t>was</w:t>
      </w:r>
      <w:r w:rsidRPr="00DE2EDC">
        <w:rPr>
          <w:sz w:val="24"/>
          <w:szCs w:val="24"/>
        </w:rPr>
        <w:t xml:space="preserve"> formed in </w:t>
      </w:r>
      <w:r w:rsidR="00891EDF" w:rsidRPr="00DE2EDC">
        <w:rPr>
          <w:sz w:val="24"/>
          <w:szCs w:val="24"/>
        </w:rPr>
        <w:t>478 BCE</w:t>
      </w:r>
      <w:r w:rsidRPr="00DE2EDC">
        <w:rPr>
          <w:rStyle w:val="FootnoteReference"/>
          <w:sz w:val="24"/>
          <w:szCs w:val="24"/>
        </w:rPr>
        <w:footnoteReference w:id="5"/>
      </w:r>
      <w:r w:rsidR="00891EDF" w:rsidRPr="00DE2EDC">
        <w:rPr>
          <w:sz w:val="24"/>
          <w:szCs w:val="24"/>
        </w:rPr>
        <w:t xml:space="preserve"> as an alliance against the Persians however according to Thucydides works the league had a change of leadership in 477 BCE when Athens assumed control from the Spartans. Previously Spartan general Pausanias had been in command but due to his violent behaviour towards his allies and fellow Greeks</w:t>
      </w:r>
      <w:r w:rsidR="00891EDF" w:rsidRPr="00DE2EDC">
        <w:rPr>
          <w:rStyle w:val="FootnoteReference"/>
          <w:sz w:val="24"/>
          <w:szCs w:val="24"/>
        </w:rPr>
        <w:footnoteReference w:id="6"/>
      </w:r>
      <w:r w:rsidR="00891EDF" w:rsidRPr="00DE2EDC">
        <w:rPr>
          <w:sz w:val="24"/>
          <w:szCs w:val="24"/>
        </w:rPr>
        <w:t xml:space="preserve"> the Spartans stepped aside in case another of theirs became corrupt</w:t>
      </w:r>
      <w:r w:rsidR="00891EDF" w:rsidRPr="00DE2EDC">
        <w:rPr>
          <w:rStyle w:val="FootnoteReference"/>
          <w:sz w:val="24"/>
          <w:szCs w:val="24"/>
        </w:rPr>
        <w:footnoteReference w:id="7"/>
      </w:r>
      <w:r w:rsidR="00891EDF" w:rsidRPr="00DE2EDC">
        <w:rPr>
          <w:sz w:val="24"/>
          <w:szCs w:val="24"/>
        </w:rPr>
        <w:t xml:space="preserve">. </w:t>
      </w:r>
    </w:p>
    <w:p w:rsidR="00DE2EDC" w:rsidRPr="00DE2EDC" w:rsidRDefault="00DE2EDC" w:rsidP="00891EDF">
      <w:pPr>
        <w:spacing w:after="0"/>
        <w:rPr>
          <w:sz w:val="24"/>
          <w:szCs w:val="24"/>
        </w:rPr>
      </w:pPr>
      <w:bookmarkStart w:id="0" w:name="_GoBack"/>
      <w:bookmarkEnd w:id="0"/>
    </w:p>
    <w:p w:rsidR="00891EDF" w:rsidRDefault="00891EDF" w:rsidP="00891EDF">
      <w:pPr>
        <w:spacing w:after="0"/>
        <w:rPr>
          <w:sz w:val="24"/>
          <w:szCs w:val="24"/>
        </w:rPr>
      </w:pPr>
      <w:r w:rsidRPr="00DE2EDC">
        <w:rPr>
          <w:sz w:val="24"/>
          <w:szCs w:val="24"/>
        </w:rPr>
        <w:t>The Peloponnesian League</w:t>
      </w:r>
      <w:r w:rsidR="00F15BE0" w:rsidRPr="00DE2EDC">
        <w:rPr>
          <w:sz w:val="24"/>
          <w:szCs w:val="24"/>
        </w:rPr>
        <w:t xml:space="preserve"> </w:t>
      </w:r>
      <w:r w:rsidR="00AF244D" w:rsidRPr="00DE2EDC">
        <w:rPr>
          <w:sz w:val="24"/>
          <w:szCs w:val="24"/>
        </w:rPr>
        <w:t>is considered as being the most long lived and the earliest known offensive and defensive alliance</w:t>
      </w:r>
      <w:r w:rsidR="00AF244D" w:rsidRPr="00DE2EDC">
        <w:rPr>
          <w:rStyle w:val="FootnoteReference"/>
          <w:sz w:val="24"/>
          <w:szCs w:val="24"/>
        </w:rPr>
        <w:footnoteReference w:id="8"/>
      </w:r>
      <w:r w:rsidR="00AF244D" w:rsidRPr="00DE2EDC">
        <w:rPr>
          <w:sz w:val="24"/>
          <w:szCs w:val="24"/>
        </w:rPr>
        <w:t>. It differed slightly to other known leagues</w:t>
      </w:r>
      <w:r w:rsidR="00F15BE0" w:rsidRPr="00DE2EDC">
        <w:rPr>
          <w:sz w:val="24"/>
          <w:szCs w:val="24"/>
        </w:rPr>
        <w:t xml:space="preserve"> in regards to its ‘</w:t>
      </w:r>
      <w:r w:rsidR="00AF244D" w:rsidRPr="00DE2EDC">
        <w:rPr>
          <w:sz w:val="24"/>
          <w:szCs w:val="24"/>
        </w:rPr>
        <w:t>ruling</w:t>
      </w:r>
      <w:r w:rsidR="00F15BE0" w:rsidRPr="00DE2EDC">
        <w:rPr>
          <w:sz w:val="24"/>
          <w:szCs w:val="24"/>
        </w:rPr>
        <w:t>’</w:t>
      </w:r>
      <w:r w:rsidR="00AF244D" w:rsidRPr="00DE2EDC">
        <w:rPr>
          <w:sz w:val="24"/>
          <w:szCs w:val="24"/>
        </w:rPr>
        <w:t>,</w:t>
      </w:r>
      <w:r w:rsidR="00F15BE0" w:rsidRPr="00DE2EDC">
        <w:rPr>
          <w:sz w:val="24"/>
          <w:szCs w:val="24"/>
        </w:rPr>
        <w:t xml:space="preserve"> as although Sparta </w:t>
      </w:r>
      <w:r w:rsidR="000345C9" w:rsidRPr="00DE2EDC">
        <w:rPr>
          <w:sz w:val="24"/>
          <w:szCs w:val="24"/>
        </w:rPr>
        <w:t>was the Hegemon</w:t>
      </w:r>
      <w:r w:rsidR="00D0269F" w:rsidRPr="00DE2EDC">
        <w:rPr>
          <w:rStyle w:val="FootnoteReference"/>
          <w:sz w:val="24"/>
          <w:szCs w:val="24"/>
        </w:rPr>
        <w:footnoteReference w:id="9"/>
      </w:r>
      <w:r w:rsidR="00F15BE0" w:rsidRPr="00DE2EDC">
        <w:rPr>
          <w:sz w:val="24"/>
          <w:szCs w:val="24"/>
        </w:rPr>
        <w:t xml:space="preserve"> its members were allowed to form their own </w:t>
      </w:r>
      <w:r w:rsidR="00AF244D" w:rsidRPr="00DE2EDC">
        <w:rPr>
          <w:sz w:val="24"/>
          <w:szCs w:val="24"/>
        </w:rPr>
        <w:t>alliances and could control their own government etc. without Spartan interference as long as they met the basic requirements of the League</w:t>
      </w:r>
      <w:r w:rsidR="00AF244D" w:rsidRPr="00DE2EDC">
        <w:rPr>
          <w:rStyle w:val="FootnoteReference"/>
          <w:sz w:val="24"/>
          <w:szCs w:val="24"/>
        </w:rPr>
        <w:footnoteReference w:id="10"/>
      </w:r>
      <w:r w:rsidR="00AF244D" w:rsidRPr="00DE2EDC">
        <w:rPr>
          <w:sz w:val="24"/>
          <w:szCs w:val="24"/>
        </w:rPr>
        <w:t>.</w:t>
      </w:r>
      <w:r w:rsidR="001100DA" w:rsidRPr="00DE2EDC">
        <w:rPr>
          <w:sz w:val="24"/>
          <w:szCs w:val="24"/>
        </w:rPr>
        <w:t xml:space="preserve"> Though even with such ‘freedoms’ there was still unrest as in 450 BCE Megara left the league in order to form an alliance with Athens</w:t>
      </w:r>
      <w:r w:rsidR="001100DA" w:rsidRPr="00DE2EDC">
        <w:rPr>
          <w:rStyle w:val="FootnoteReference"/>
          <w:sz w:val="24"/>
          <w:szCs w:val="24"/>
        </w:rPr>
        <w:footnoteReference w:id="11"/>
      </w:r>
      <w:r w:rsidR="001100DA" w:rsidRPr="00DE2EDC">
        <w:rPr>
          <w:sz w:val="24"/>
          <w:szCs w:val="24"/>
        </w:rPr>
        <w:t>.</w:t>
      </w:r>
    </w:p>
    <w:p w:rsidR="00DE2EDC" w:rsidRPr="00DE2EDC" w:rsidRDefault="00DE2EDC" w:rsidP="00891EDF">
      <w:pPr>
        <w:spacing w:after="0"/>
        <w:rPr>
          <w:sz w:val="24"/>
          <w:szCs w:val="24"/>
        </w:rPr>
      </w:pPr>
    </w:p>
    <w:p w:rsidR="00AF244D" w:rsidRPr="00DE2EDC" w:rsidRDefault="00891EDF" w:rsidP="00891EDF">
      <w:pPr>
        <w:spacing w:after="0"/>
        <w:rPr>
          <w:sz w:val="24"/>
          <w:szCs w:val="24"/>
        </w:rPr>
      </w:pPr>
      <w:r w:rsidRPr="00DE2EDC">
        <w:rPr>
          <w:sz w:val="24"/>
          <w:szCs w:val="24"/>
        </w:rPr>
        <w:lastRenderedPageBreak/>
        <w:t>The</w:t>
      </w:r>
      <w:r w:rsidR="00D27915" w:rsidRPr="00DE2EDC">
        <w:rPr>
          <w:sz w:val="24"/>
          <w:szCs w:val="24"/>
        </w:rPr>
        <w:t>re isn’t much information known about the</w:t>
      </w:r>
      <w:r w:rsidRPr="00DE2EDC">
        <w:rPr>
          <w:sz w:val="24"/>
          <w:szCs w:val="24"/>
        </w:rPr>
        <w:t xml:space="preserve"> second Athenian League</w:t>
      </w:r>
      <w:r w:rsidR="000345C9" w:rsidRPr="00DE2EDC">
        <w:rPr>
          <w:sz w:val="24"/>
          <w:szCs w:val="24"/>
        </w:rPr>
        <w:t xml:space="preserve"> (also known as the Second Athenian Confederacy) </w:t>
      </w:r>
      <w:r w:rsidR="00D27915" w:rsidRPr="00DE2EDC">
        <w:rPr>
          <w:sz w:val="24"/>
          <w:szCs w:val="24"/>
        </w:rPr>
        <w:t xml:space="preserve">other than that it </w:t>
      </w:r>
      <w:r w:rsidR="000345C9" w:rsidRPr="00DE2EDC">
        <w:rPr>
          <w:sz w:val="24"/>
          <w:szCs w:val="24"/>
        </w:rPr>
        <w:t>was founded in 379/8 BCE</w:t>
      </w:r>
      <w:r w:rsidR="000345C9" w:rsidRPr="00DE2EDC">
        <w:rPr>
          <w:rStyle w:val="FootnoteReference"/>
          <w:sz w:val="24"/>
          <w:szCs w:val="24"/>
        </w:rPr>
        <w:footnoteReference w:id="12"/>
      </w:r>
      <w:r w:rsidR="00665F5E" w:rsidRPr="00DE2EDC">
        <w:rPr>
          <w:sz w:val="24"/>
          <w:szCs w:val="24"/>
        </w:rPr>
        <w:t xml:space="preserve">, at which time a decree was issued inviting </w:t>
      </w:r>
      <w:r w:rsidR="00D27915" w:rsidRPr="00DE2EDC">
        <w:rPr>
          <w:sz w:val="24"/>
          <w:szCs w:val="24"/>
        </w:rPr>
        <w:t xml:space="preserve">different Greek </w:t>
      </w:r>
      <w:r w:rsidR="00665F5E" w:rsidRPr="00DE2EDC">
        <w:rPr>
          <w:sz w:val="24"/>
          <w:szCs w:val="24"/>
        </w:rPr>
        <w:t>states to join (</w:t>
      </w:r>
      <w:r w:rsidR="00D27915" w:rsidRPr="00DE2EDC">
        <w:rPr>
          <w:sz w:val="24"/>
          <w:szCs w:val="24"/>
        </w:rPr>
        <w:t xml:space="preserve">in </w:t>
      </w:r>
      <w:r w:rsidR="00665F5E" w:rsidRPr="00DE2EDC">
        <w:rPr>
          <w:sz w:val="24"/>
          <w:szCs w:val="24"/>
        </w:rPr>
        <w:t>approx. 378/377 BCE)</w:t>
      </w:r>
      <w:r w:rsidR="00665F5E" w:rsidRPr="00DE2EDC">
        <w:rPr>
          <w:rStyle w:val="FootnoteReference"/>
          <w:sz w:val="24"/>
          <w:szCs w:val="24"/>
        </w:rPr>
        <w:footnoteReference w:id="13"/>
      </w:r>
      <w:r w:rsidR="00665F5E" w:rsidRPr="00DE2EDC">
        <w:rPr>
          <w:sz w:val="24"/>
          <w:szCs w:val="24"/>
        </w:rPr>
        <w:t>.</w:t>
      </w:r>
    </w:p>
    <w:p w:rsidR="00DE2EDC" w:rsidRDefault="00DE2EDC" w:rsidP="00891EDF">
      <w:pPr>
        <w:spacing w:after="0"/>
        <w:rPr>
          <w:sz w:val="24"/>
          <w:szCs w:val="24"/>
        </w:rPr>
      </w:pPr>
    </w:p>
    <w:p w:rsidR="000345C9" w:rsidRPr="00DE2EDC" w:rsidRDefault="00D27915" w:rsidP="00891EDF">
      <w:pPr>
        <w:spacing w:after="0"/>
        <w:rPr>
          <w:sz w:val="24"/>
          <w:szCs w:val="24"/>
        </w:rPr>
      </w:pPr>
      <w:r w:rsidRPr="00DE2EDC">
        <w:rPr>
          <w:sz w:val="24"/>
          <w:szCs w:val="24"/>
        </w:rPr>
        <w:t>In regards to similarities</w:t>
      </w:r>
      <w:r w:rsidR="001100DA" w:rsidRPr="00DE2EDC">
        <w:rPr>
          <w:sz w:val="24"/>
          <w:szCs w:val="24"/>
        </w:rPr>
        <w:t>,</w:t>
      </w:r>
      <w:r w:rsidRPr="00DE2EDC">
        <w:rPr>
          <w:sz w:val="24"/>
          <w:szCs w:val="24"/>
        </w:rPr>
        <w:t xml:space="preserve"> both</w:t>
      </w:r>
      <w:r w:rsidR="002B0690" w:rsidRPr="00DE2EDC">
        <w:rPr>
          <w:sz w:val="24"/>
          <w:szCs w:val="24"/>
        </w:rPr>
        <w:t xml:space="preserve"> the League of Corinth and the Peloponnesian League were referred to as having been overseen by </w:t>
      </w:r>
      <w:r w:rsidRPr="00DE2EDC">
        <w:rPr>
          <w:sz w:val="24"/>
          <w:szCs w:val="24"/>
        </w:rPr>
        <w:t>“</w:t>
      </w:r>
      <w:r w:rsidR="002B0690" w:rsidRPr="00DE2EDC">
        <w:rPr>
          <w:sz w:val="24"/>
          <w:szCs w:val="24"/>
        </w:rPr>
        <w:t>Hegemons</w:t>
      </w:r>
      <w:r w:rsidRPr="00DE2EDC">
        <w:rPr>
          <w:sz w:val="24"/>
          <w:szCs w:val="24"/>
        </w:rPr>
        <w:t>”</w:t>
      </w:r>
      <w:r w:rsidR="002B0690" w:rsidRPr="00DE2EDC">
        <w:rPr>
          <w:sz w:val="24"/>
          <w:szCs w:val="24"/>
        </w:rPr>
        <w:t xml:space="preserve"> however this word typically just mean</w:t>
      </w:r>
      <w:r w:rsidRPr="00DE2EDC">
        <w:rPr>
          <w:sz w:val="24"/>
          <w:szCs w:val="24"/>
        </w:rPr>
        <w:t>s</w:t>
      </w:r>
      <w:r w:rsidR="002B0690" w:rsidRPr="00DE2EDC">
        <w:rPr>
          <w:sz w:val="24"/>
          <w:szCs w:val="24"/>
        </w:rPr>
        <w:t xml:space="preserve"> ‘leader’</w:t>
      </w:r>
      <w:r w:rsidR="0084603A" w:rsidRPr="00DE2EDC">
        <w:rPr>
          <w:rStyle w:val="FootnoteReference"/>
          <w:sz w:val="24"/>
          <w:szCs w:val="24"/>
        </w:rPr>
        <w:footnoteReference w:id="14"/>
      </w:r>
      <w:r w:rsidRPr="00DE2EDC">
        <w:rPr>
          <w:sz w:val="24"/>
          <w:szCs w:val="24"/>
        </w:rPr>
        <w:t>,</w:t>
      </w:r>
      <w:r w:rsidR="002B0690" w:rsidRPr="00DE2EDC">
        <w:rPr>
          <w:sz w:val="24"/>
          <w:szCs w:val="24"/>
        </w:rPr>
        <w:t xml:space="preserve"> and </w:t>
      </w:r>
      <w:r w:rsidR="000345C9" w:rsidRPr="00DE2EDC">
        <w:rPr>
          <w:sz w:val="24"/>
          <w:szCs w:val="24"/>
        </w:rPr>
        <w:t>whereas The Peloponnesian league was controlled by a state</w:t>
      </w:r>
      <w:r w:rsidRPr="00DE2EDC">
        <w:rPr>
          <w:sz w:val="24"/>
          <w:szCs w:val="24"/>
        </w:rPr>
        <w:t xml:space="preserve"> (Sparta)</w:t>
      </w:r>
      <w:r w:rsidR="000345C9" w:rsidRPr="00DE2EDC">
        <w:rPr>
          <w:sz w:val="24"/>
          <w:szCs w:val="24"/>
        </w:rPr>
        <w:t xml:space="preserve">, the Corinthian League was controlled by a single familial line, specifically Philip II’s.  </w:t>
      </w:r>
    </w:p>
    <w:p w:rsidR="000345C9" w:rsidRPr="00DE2EDC" w:rsidRDefault="000345C9" w:rsidP="00891EDF">
      <w:pPr>
        <w:spacing w:after="0"/>
        <w:rPr>
          <w:sz w:val="24"/>
          <w:szCs w:val="24"/>
        </w:rPr>
      </w:pPr>
    </w:p>
    <w:p w:rsidR="000345C9" w:rsidRPr="00DE2EDC" w:rsidRDefault="00D27915" w:rsidP="00891EDF">
      <w:pPr>
        <w:spacing w:after="0"/>
        <w:rPr>
          <w:sz w:val="24"/>
          <w:szCs w:val="24"/>
        </w:rPr>
      </w:pPr>
      <w:r w:rsidRPr="00DE2EDC">
        <w:rPr>
          <w:sz w:val="24"/>
          <w:szCs w:val="24"/>
        </w:rPr>
        <w:t xml:space="preserve">In conclusion, although I </w:t>
      </w:r>
      <w:r w:rsidR="000345C9" w:rsidRPr="00DE2EDC">
        <w:rPr>
          <w:sz w:val="24"/>
          <w:szCs w:val="24"/>
        </w:rPr>
        <w:t>believe that</w:t>
      </w:r>
      <w:r w:rsidRPr="00DE2EDC">
        <w:rPr>
          <w:sz w:val="24"/>
          <w:szCs w:val="24"/>
        </w:rPr>
        <w:t xml:space="preserve"> this question is </w:t>
      </w:r>
      <w:proofErr w:type="spellStart"/>
      <w:r w:rsidRPr="00DE2EDC">
        <w:rPr>
          <w:sz w:val="24"/>
          <w:szCs w:val="24"/>
        </w:rPr>
        <w:t>quit</w:t>
      </w:r>
      <w:proofErr w:type="spellEnd"/>
      <w:r w:rsidRPr="00DE2EDC">
        <w:rPr>
          <w:sz w:val="24"/>
          <w:szCs w:val="24"/>
        </w:rPr>
        <w:t xml:space="preserve"> difficult to answer as although</w:t>
      </w:r>
      <w:r w:rsidR="000345C9" w:rsidRPr="00DE2EDC">
        <w:rPr>
          <w:sz w:val="24"/>
          <w:szCs w:val="24"/>
        </w:rPr>
        <w:t xml:space="preserve"> the League of Corinth shares some of the same traits as the other leagues during the Classical period</w:t>
      </w:r>
      <w:r w:rsidRPr="00DE2EDC">
        <w:rPr>
          <w:sz w:val="24"/>
          <w:szCs w:val="24"/>
        </w:rPr>
        <w:t xml:space="preserve"> each treaty or alliance had their own set of rules and regulations and so could each be considered unique.</w:t>
      </w:r>
    </w:p>
    <w:p w:rsidR="00D0269F" w:rsidRPr="00DE2EDC" w:rsidRDefault="00D0269F" w:rsidP="00891EDF">
      <w:pPr>
        <w:spacing w:after="0"/>
        <w:rPr>
          <w:sz w:val="24"/>
          <w:szCs w:val="24"/>
        </w:rPr>
      </w:pPr>
    </w:p>
    <w:p w:rsidR="00D0269F" w:rsidRPr="00DE2EDC" w:rsidRDefault="00D0269F" w:rsidP="00891EDF">
      <w:pPr>
        <w:spacing w:after="0"/>
        <w:rPr>
          <w:sz w:val="24"/>
          <w:szCs w:val="24"/>
        </w:rPr>
      </w:pPr>
    </w:p>
    <w:p w:rsidR="00D0269F" w:rsidRPr="00DE2EDC" w:rsidRDefault="00D0269F" w:rsidP="00891EDF">
      <w:pPr>
        <w:spacing w:after="0"/>
        <w:rPr>
          <w:sz w:val="24"/>
          <w:szCs w:val="24"/>
        </w:rPr>
      </w:pPr>
    </w:p>
    <w:p w:rsidR="00D0269F" w:rsidRPr="00DE2EDC" w:rsidRDefault="00D0269F" w:rsidP="00891EDF">
      <w:pPr>
        <w:spacing w:after="0"/>
        <w:rPr>
          <w:sz w:val="24"/>
          <w:szCs w:val="24"/>
        </w:rPr>
      </w:pPr>
    </w:p>
    <w:p w:rsidR="00D0269F" w:rsidRPr="00DE2EDC" w:rsidRDefault="00D0269F" w:rsidP="00891EDF">
      <w:pPr>
        <w:spacing w:after="0"/>
        <w:rPr>
          <w:sz w:val="24"/>
          <w:szCs w:val="24"/>
        </w:rPr>
      </w:pPr>
    </w:p>
    <w:p w:rsidR="00D0269F" w:rsidRPr="00DE2EDC" w:rsidRDefault="00D0269F" w:rsidP="00D0269F">
      <w:pPr>
        <w:spacing w:after="0"/>
        <w:jc w:val="center"/>
        <w:rPr>
          <w:b/>
          <w:sz w:val="24"/>
          <w:szCs w:val="24"/>
        </w:rPr>
      </w:pPr>
      <w:r w:rsidRPr="00DE2EDC">
        <w:rPr>
          <w:b/>
          <w:sz w:val="24"/>
          <w:szCs w:val="24"/>
        </w:rPr>
        <w:t>Bibliography</w:t>
      </w:r>
    </w:p>
    <w:p w:rsidR="00D0269F" w:rsidRPr="00DE2EDC" w:rsidRDefault="00D0269F" w:rsidP="00D0269F">
      <w:pPr>
        <w:spacing w:after="0"/>
        <w:rPr>
          <w:b/>
          <w:i/>
          <w:sz w:val="24"/>
          <w:szCs w:val="24"/>
        </w:rPr>
      </w:pPr>
      <w:r w:rsidRPr="00DE2EDC">
        <w:rPr>
          <w:b/>
          <w:i/>
          <w:sz w:val="24"/>
          <w:szCs w:val="24"/>
        </w:rPr>
        <w:t>Ancient</w:t>
      </w:r>
    </w:p>
    <w:p w:rsidR="00D0269F" w:rsidRPr="00DE2EDC" w:rsidRDefault="00D0269F" w:rsidP="00D0269F">
      <w:pPr>
        <w:spacing w:after="0"/>
        <w:rPr>
          <w:sz w:val="24"/>
          <w:szCs w:val="24"/>
        </w:rPr>
      </w:pPr>
      <w:r w:rsidRPr="00DE2EDC">
        <w:rPr>
          <w:sz w:val="24"/>
          <w:szCs w:val="24"/>
        </w:rPr>
        <w:t xml:space="preserve">RO22. </w:t>
      </w:r>
      <w:proofErr w:type="gramStart"/>
      <w:r w:rsidRPr="00DE2EDC">
        <w:rPr>
          <w:sz w:val="24"/>
          <w:szCs w:val="24"/>
        </w:rPr>
        <w:t>Stephen Lambert &amp; P.J. Rhodes (trans.) Attic Inscriptions Online.</w:t>
      </w:r>
      <w:proofErr w:type="gramEnd"/>
      <w:r w:rsidRPr="00DE2EDC">
        <w:rPr>
          <w:sz w:val="24"/>
          <w:szCs w:val="24"/>
        </w:rPr>
        <w:t xml:space="preserve"> </w:t>
      </w:r>
      <w:hyperlink r:id="rId9" w:history="1">
        <w:r w:rsidRPr="00DE2EDC">
          <w:rPr>
            <w:rStyle w:val="Hyperlink"/>
            <w:sz w:val="24"/>
            <w:szCs w:val="24"/>
          </w:rPr>
          <w:t>https://www.atticinscriptions.com/inscription/RO/22</w:t>
        </w:r>
      </w:hyperlink>
      <w:r w:rsidRPr="00DE2EDC">
        <w:rPr>
          <w:sz w:val="24"/>
          <w:szCs w:val="24"/>
        </w:rPr>
        <w:t xml:space="preserve"> [Accessed 28.01.19]</w:t>
      </w:r>
    </w:p>
    <w:p w:rsidR="00D0269F" w:rsidRPr="00DE2EDC" w:rsidRDefault="00D0269F" w:rsidP="00D0269F">
      <w:pPr>
        <w:spacing w:after="0"/>
        <w:rPr>
          <w:sz w:val="24"/>
          <w:szCs w:val="24"/>
        </w:rPr>
      </w:pPr>
      <w:r w:rsidRPr="00DE2EDC">
        <w:rPr>
          <w:sz w:val="24"/>
          <w:szCs w:val="24"/>
        </w:rPr>
        <w:t xml:space="preserve">Thucydides, </w:t>
      </w:r>
      <w:proofErr w:type="gramStart"/>
      <w:r w:rsidRPr="00DE2EDC">
        <w:rPr>
          <w:sz w:val="24"/>
          <w:szCs w:val="24"/>
        </w:rPr>
        <w:t>The</w:t>
      </w:r>
      <w:proofErr w:type="gramEnd"/>
      <w:r w:rsidRPr="00DE2EDC">
        <w:rPr>
          <w:sz w:val="24"/>
          <w:szCs w:val="24"/>
        </w:rPr>
        <w:t xml:space="preserve"> Peloponnesian War. J.M. Dent (trans.) 1910</w:t>
      </w:r>
      <w:r w:rsidR="002D4AFA" w:rsidRPr="00DE2EDC">
        <w:rPr>
          <w:sz w:val="24"/>
          <w:szCs w:val="24"/>
        </w:rPr>
        <w:t xml:space="preserve">. </w:t>
      </w:r>
      <w:proofErr w:type="gramStart"/>
      <w:r w:rsidR="002D4AFA" w:rsidRPr="00DE2EDC">
        <w:rPr>
          <w:sz w:val="24"/>
          <w:szCs w:val="24"/>
        </w:rPr>
        <w:t>JSTOR.</w:t>
      </w:r>
      <w:proofErr w:type="gramEnd"/>
      <w:r w:rsidR="002D4AFA" w:rsidRPr="00DE2EDC">
        <w:rPr>
          <w:sz w:val="24"/>
          <w:szCs w:val="24"/>
        </w:rPr>
        <w:t xml:space="preserve"> </w:t>
      </w:r>
      <w:hyperlink r:id="rId10" w:history="1">
        <w:r w:rsidR="002D4AFA" w:rsidRPr="00DE2EDC">
          <w:rPr>
            <w:rStyle w:val="Hyperlink"/>
            <w:sz w:val="24"/>
            <w:szCs w:val="24"/>
          </w:rPr>
          <w:t>http://www.perseus.tufts.edu/hopper/text?doc=Perseus%3Atext%3A1999.01.0200</w:t>
        </w:r>
      </w:hyperlink>
      <w:r w:rsidR="002D4AFA" w:rsidRPr="00DE2EDC">
        <w:rPr>
          <w:sz w:val="24"/>
          <w:szCs w:val="24"/>
        </w:rPr>
        <w:t xml:space="preserve"> [Accessed 25.01.19]</w:t>
      </w:r>
    </w:p>
    <w:p w:rsidR="00D0269F" w:rsidRPr="00DE2EDC" w:rsidRDefault="00D0269F" w:rsidP="00D0269F">
      <w:pPr>
        <w:spacing w:after="0"/>
        <w:rPr>
          <w:sz w:val="24"/>
          <w:szCs w:val="24"/>
        </w:rPr>
      </w:pPr>
    </w:p>
    <w:p w:rsidR="00D0269F" w:rsidRPr="00DE2EDC" w:rsidRDefault="00D0269F" w:rsidP="00D0269F">
      <w:pPr>
        <w:spacing w:after="0"/>
        <w:rPr>
          <w:b/>
          <w:i/>
          <w:sz w:val="24"/>
          <w:szCs w:val="24"/>
        </w:rPr>
      </w:pPr>
      <w:r w:rsidRPr="00DE2EDC">
        <w:rPr>
          <w:b/>
          <w:i/>
          <w:sz w:val="24"/>
          <w:szCs w:val="24"/>
        </w:rPr>
        <w:t>Modern</w:t>
      </w:r>
    </w:p>
    <w:p w:rsidR="00D0269F" w:rsidRPr="00DE2EDC" w:rsidRDefault="00D0269F" w:rsidP="00D0269F">
      <w:pPr>
        <w:spacing w:after="0"/>
        <w:rPr>
          <w:sz w:val="24"/>
          <w:szCs w:val="24"/>
        </w:rPr>
      </w:pPr>
      <w:proofErr w:type="spellStart"/>
      <w:r w:rsidRPr="00DE2EDC">
        <w:rPr>
          <w:sz w:val="24"/>
          <w:szCs w:val="24"/>
        </w:rPr>
        <w:t>Capreedy</w:t>
      </w:r>
      <w:proofErr w:type="spellEnd"/>
      <w:r w:rsidRPr="00DE2EDC">
        <w:rPr>
          <w:sz w:val="24"/>
          <w:szCs w:val="24"/>
        </w:rPr>
        <w:t xml:space="preserve">, J. 2008. ‘A League within a League: The Preservation of the </w:t>
      </w:r>
      <w:proofErr w:type="spellStart"/>
      <w:r w:rsidRPr="00DE2EDC">
        <w:rPr>
          <w:sz w:val="24"/>
          <w:szCs w:val="24"/>
        </w:rPr>
        <w:t>Elean</w:t>
      </w:r>
      <w:proofErr w:type="spellEnd"/>
      <w:r w:rsidRPr="00DE2EDC">
        <w:rPr>
          <w:sz w:val="24"/>
          <w:szCs w:val="24"/>
        </w:rPr>
        <w:t xml:space="preserve"> </w:t>
      </w:r>
      <w:proofErr w:type="spellStart"/>
      <w:r w:rsidRPr="00DE2EDC">
        <w:rPr>
          <w:sz w:val="24"/>
          <w:szCs w:val="24"/>
        </w:rPr>
        <w:t>Symmachy</w:t>
      </w:r>
      <w:proofErr w:type="spellEnd"/>
      <w:r w:rsidRPr="00DE2EDC">
        <w:rPr>
          <w:sz w:val="24"/>
          <w:szCs w:val="24"/>
        </w:rPr>
        <w:t xml:space="preserve">.’ </w:t>
      </w:r>
      <w:proofErr w:type="gramStart"/>
      <w:r w:rsidRPr="00DE2EDC">
        <w:rPr>
          <w:sz w:val="24"/>
          <w:szCs w:val="24"/>
        </w:rPr>
        <w:t>The Classical World.</w:t>
      </w:r>
      <w:proofErr w:type="gramEnd"/>
      <w:r w:rsidRPr="00DE2EDC">
        <w:rPr>
          <w:sz w:val="24"/>
          <w:szCs w:val="24"/>
        </w:rPr>
        <w:t xml:space="preserve"> 101(4) 485-503. </w:t>
      </w:r>
      <w:hyperlink r:id="rId11" w:history="1">
        <w:r w:rsidRPr="00DE2EDC">
          <w:rPr>
            <w:rStyle w:val="Hyperlink"/>
            <w:sz w:val="24"/>
            <w:szCs w:val="24"/>
          </w:rPr>
          <w:t>https://www-jstor-org.ezproxy.uwtsd.ac.uk/stable/pdf/25471970.pdf?refreqid=excelsior%3A532cda7f78b898e2273b3be471e624b6</w:t>
        </w:r>
      </w:hyperlink>
      <w:r w:rsidRPr="00DE2EDC">
        <w:rPr>
          <w:sz w:val="24"/>
          <w:szCs w:val="24"/>
        </w:rPr>
        <w:t xml:space="preserve"> [Accessed 28.01.19] </w:t>
      </w:r>
    </w:p>
    <w:p w:rsidR="00D0269F" w:rsidRPr="00DE2EDC" w:rsidRDefault="00D0269F" w:rsidP="00D0269F">
      <w:pPr>
        <w:spacing w:after="0"/>
        <w:rPr>
          <w:sz w:val="24"/>
          <w:szCs w:val="24"/>
        </w:rPr>
      </w:pPr>
      <w:proofErr w:type="spellStart"/>
      <w:r w:rsidRPr="00DE2EDC">
        <w:rPr>
          <w:sz w:val="24"/>
          <w:szCs w:val="24"/>
        </w:rPr>
        <w:t>Cartledge</w:t>
      </w:r>
      <w:proofErr w:type="spellEnd"/>
      <w:r w:rsidRPr="00DE2EDC">
        <w:rPr>
          <w:sz w:val="24"/>
          <w:szCs w:val="24"/>
        </w:rPr>
        <w:t xml:space="preserve">, P.A. 2012. “Peloponnesian League.” </w:t>
      </w:r>
      <w:proofErr w:type="gramStart"/>
      <w:r w:rsidRPr="00DE2EDC">
        <w:rPr>
          <w:sz w:val="24"/>
          <w:szCs w:val="24"/>
        </w:rPr>
        <w:t>The Oxford Classical Dictionary.</w:t>
      </w:r>
      <w:proofErr w:type="gramEnd"/>
      <w:r w:rsidRPr="00DE2EDC">
        <w:rPr>
          <w:sz w:val="24"/>
          <w:szCs w:val="24"/>
        </w:rPr>
        <w:t xml:space="preserve"> </w:t>
      </w:r>
      <w:proofErr w:type="gramStart"/>
      <w:r w:rsidRPr="00DE2EDC">
        <w:rPr>
          <w:sz w:val="24"/>
          <w:szCs w:val="24"/>
        </w:rPr>
        <w:t>Oxford; Oxford University Press.</w:t>
      </w:r>
      <w:proofErr w:type="gramEnd"/>
      <w:r w:rsidRPr="00DE2EDC">
        <w:rPr>
          <w:sz w:val="24"/>
          <w:szCs w:val="24"/>
        </w:rPr>
        <w:t xml:space="preserve"> </w:t>
      </w:r>
      <w:hyperlink r:id="rId12" w:history="1">
        <w:r w:rsidR="00AF244D" w:rsidRPr="00DE2EDC">
          <w:rPr>
            <w:rStyle w:val="Hyperlink"/>
            <w:sz w:val="24"/>
            <w:szCs w:val="24"/>
          </w:rPr>
          <w:t>http://www.oxfordreference.com.ezproxy.uwtsd.ac.uk/view/10.1093/acref/9780199545568.001.0001/acref-9780199545568-e-4833?rskey=cqJ2Z1&amp;result=2</w:t>
        </w:r>
      </w:hyperlink>
      <w:r w:rsidR="00AF244D" w:rsidRPr="00DE2EDC">
        <w:rPr>
          <w:sz w:val="24"/>
          <w:szCs w:val="24"/>
        </w:rPr>
        <w:t xml:space="preserve"> [Accessed 12</w:t>
      </w:r>
      <w:r w:rsidRPr="00DE2EDC">
        <w:rPr>
          <w:sz w:val="24"/>
          <w:szCs w:val="24"/>
        </w:rPr>
        <w:t>.0</w:t>
      </w:r>
      <w:r w:rsidR="00AF244D" w:rsidRPr="00DE2EDC">
        <w:rPr>
          <w:sz w:val="24"/>
          <w:szCs w:val="24"/>
        </w:rPr>
        <w:t>4</w:t>
      </w:r>
      <w:r w:rsidRPr="00DE2EDC">
        <w:rPr>
          <w:sz w:val="24"/>
          <w:szCs w:val="24"/>
        </w:rPr>
        <w:t>.19]</w:t>
      </w:r>
    </w:p>
    <w:p w:rsidR="001100DA" w:rsidRPr="00DE2EDC" w:rsidRDefault="001100DA" w:rsidP="00D0269F">
      <w:pPr>
        <w:spacing w:after="0"/>
        <w:rPr>
          <w:sz w:val="24"/>
          <w:szCs w:val="24"/>
        </w:rPr>
      </w:pPr>
      <w:r w:rsidRPr="00DE2EDC">
        <w:rPr>
          <w:sz w:val="24"/>
          <w:szCs w:val="24"/>
        </w:rPr>
        <w:t xml:space="preserve">Gagarin, M. 2010. </w:t>
      </w:r>
      <w:proofErr w:type="gramStart"/>
      <w:r w:rsidRPr="00DE2EDC">
        <w:rPr>
          <w:i/>
          <w:sz w:val="24"/>
          <w:szCs w:val="24"/>
        </w:rPr>
        <w:t xml:space="preserve">The Oxford </w:t>
      </w:r>
      <w:proofErr w:type="spellStart"/>
      <w:r w:rsidRPr="00DE2EDC">
        <w:rPr>
          <w:i/>
          <w:sz w:val="24"/>
          <w:szCs w:val="24"/>
        </w:rPr>
        <w:t>Encyclopedia</w:t>
      </w:r>
      <w:proofErr w:type="spellEnd"/>
      <w:r w:rsidRPr="00DE2EDC">
        <w:rPr>
          <w:i/>
          <w:sz w:val="24"/>
          <w:szCs w:val="24"/>
        </w:rPr>
        <w:t xml:space="preserve"> of Ancient Greece and Rome.</w:t>
      </w:r>
      <w:proofErr w:type="gramEnd"/>
      <w:r w:rsidRPr="00DE2EDC">
        <w:rPr>
          <w:i/>
          <w:sz w:val="24"/>
          <w:szCs w:val="24"/>
        </w:rPr>
        <w:t xml:space="preserve"> </w:t>
      </w:r>
      <w:r w:rsidRPr="00DE2EDC">
        <w:rPr>
          <w:sz w:val="24"/>
          <w:szCs w:val="24"/>
        </w:rPr>
        <w:t>Oxford; Oxford University Press</w:t>
      </w:r>
    </w:p>
    <w:p w:rsidR="00D0269F" w:rsidRPr="00DE2EDC" w:rsidRDefault="00D0269F" w:rsidP="00D0269F">
      <w:pPr>
        <w:spacing w:after="0"/>
        <w:rPr>
          <w:sz w:val="24"/>
          <w:szCs w:val="24"/>
        </w:rPr>
      </w:pPr>
      <w:proofErr w:type="gramStart"/>
      <w:r w:rsidRPr="00DE2EDC">
        <w:rPr>
          <w:sz w:val="24"/>
          <w:szCs w:val="24"/>
        </w:rPr>
        <w:lastRenderedPageBreak/>
        <w:t>Martin, T.R. 2000.</w:t>
      </w:r>
      <w:proofErr w:type="gramEnd"/>
      <w:r w:rsidRPr="00DE2EDC">
        <w:rPr>
          <w:sz w:val="24"/>
          <w:szCs w:val="24"/>
        </w:rPr>
        <w:t xml:space="preserve"> Ancient Greece: From Prehistoric to Hellenistic Times. London; Yale University Press</w:t>
      </w:r>
    </w:p>
    <w:p w:rsidR="00D0269F" w:rsidRPr="00DE2EDC" w:rsidRDefault="00D0269F" w:rsidP="00D0269F">
      <w:pPr>
        <w:spacing w:after="0"/>
        <w:rPr>
          <w:color w:val="FF0000"/>
          <w:sz w:val="24"/>
          <w:szCs w:val="24"/>
        </w:rPr>
      </w:pPr>
      <w:proofErr w:type="spellStart"/>
      <w:r w:rsidRPr="00DE2EDC">
        <w:rPr>
          <w:color w:val="FF0000"/>
          <w:sz w:val="24"/>
          <w:szCs w:val="24"/>
        </w:rPr>
        <w:t>Meiggs</w:t>
      </w:r>
      <w:proofErr w:type="spellEnd"/>
      <w:r w:rsidRPr="00DE2EDC">
        <w:rPr>
          <w:color w:val="FF0000"/>
          <w:sz w:val="24"/>
          <w:szCs w:val="24"/>
        </w:rPr>
        <w:t xml:space="preserve">, R. &amp; </w:t>
      </w:r>
      <w:proofErr w:type="spellStart"/>
      <w:r w:rsidRPr="00DE2EDC">
        <w:rPr>
          <w:color w:val="FF0000"/>
          <w:sz w:val="24"/>
          <w:szCs w:val="24"/>
        </w:rPr>
        <w:t>Hornblower</w:t>
      </w:r>
      <w:proofErr w:type="spellEnd"/>
      <w:r w:rsidRPr="00DE2EDC">
        <w:rPr>
          <w:color w:val="FF0000"/>
          <w:sz w:val="24"/>
          <w:szCs w:val="24"/>
        </w:rPr>
        <w:t xml:space="preserve">, S. 2012. </w:t>
      </w:r>
      <w:proofErr w:type="gramStart"/>
      <w:r w:rsidRPr="00DE2EDC">
        <w:rPr>
          <w:color w:val="FF0000"/>
          <w:sz w:val="24"/>
          <w:szCs w:val="24"/>
        </w:rPr>
        <w:t>“</w:t>
      </w:r>
      <w:proofErr w:type="spellStart"/>
      <w:r w:rsidRPr="00DE2EDC">
        <w:rPr>
          <w:color w:val="FF0000"/>
          <w:sz w:val="24"/>
          <w:szCs w:val="24"/>
        </w:rPr>
        <w:t>Delian</w:t>
      </w:r>
      <w:proofErr w:type="spellEnd"/>
      <w:r w:rsidRPr="00DE2EDC">
        <w:rPr>
          <w:color w:val="FF0000"/>
          <w:sz w:val="24"/>
          <w:szCs w:val="24"/>
        </w:rPr>
        <w:t xml:space="preserve"> League” The Oxford Classical Dictionary.</w:t>
      </w:r>
      <w:proofErr w:type="gramEnd"/>
      <w:r w:rsidRPr="00DE2EDC">
        <w:rPr>
          <w:color w:val="FF0000"/>
          <w:sz w:val="24"/>
          <w:szCs w:val="24"/>
        </w:rPr>
        <w:t xml:space="preserve"> </w:t>
      </w:r>
      <w:proofErr w:type="gramStart"/>
      <w:r w:rsidRPr="00DE2EDC">
        <w:rPr>
          <w:color w:val="FF0000"/>
          <w:sz w:val="24"/>
          <w:szCs w:val="24"/>
        </w:rPr>
        <w:t>Oxford; Oxford University Press.</w:t>
      </w:r>
      <w:proofErr w:type="gramEnd"/>
      <w:r w:rsidRPr="00DE2EDC">
        <w:rPr>
          <w:color w:val="FF0000"/>
          <w:sz w:val="24"/>
          <w:szCs w:val="24"/>
        </w:rPr>
        <w:t xml:space="preserve"> </w:t>
      </w:r>
      <w:hyperlink r:id="rId13" w:history="1">
        <w:r w:rsidRPr="00DE2EDC">
          <w:rPr>
            <w:rStyle w:val="Hyperlink"/>
            <w:color w:val="FF0000"/>
            <w:sz w:val="24"/>
            <w:szCs w:val="24"/>
          </w:rPr>
          <w:t>http://www.oxfordreference.com.ezproxy.uwtsd.ac.uk/view/10.1093/acref/9780199545568.001.0001/acref-9780199545568-e-2074?rskey=hOOGvR&amp;result=4</w:t>
        </w:r>
      </w:hyperlink>
      <w:r w:rsidRPr="00DE2EDC">
        <w:rPr>
          <w:color w:val="FF0000"/>
          <w:sz w:val="24"/>
          <w:szCs w:val="24"/>
        </w:rPr>
        <w:t xml:space="preserve"> [Accessed 28.01.19]</w:t>
      </w:r>
    </w:p>
    <w:p w:rsidR="00D0269F" w:rsidRPr="00DE2EDC" w:rsidRDefault="00D0269F" w:rsidP="00D0269F">
      <w:pPr>
        <w:spacing w:after="0"/>
        <w:rPr>
          <w:sz w:val="24"/>
          <w:szCs w:val="24"/>
        </w:rPr>
      </w:pPr>
      <w:r w:rsidRPr="00DE2EDC">
        <w:rPr>
          <w:sz w:val="24"/>
          <w:szCs w:val="24"/>
        </w:rPr>
        <w:t xml:space="preserve">Perlman, S. 1985. “Greek Diplomatic Tradition and the Corinthian League of Philip of Macedon” </w:t>
      </w:r>
      <w:proofErr w:type="spellStart"/>
      <w:r w:rsidRPr="00DE2EDC">
        <w:rPr>
          <w:i/>
          <w:sz w:val="24"/>
          <w:szCs w:val="24"/>
        </w:rPr>
        <w:t>Historia</w:t>
      </w:r>
      <w:proofErr w:type="spellEnd"/>
      <w:r w:rsidRPr="00DE2EDC">
        <w:rPr>
          <w:i/>
          <w:sz w:val="24"/>
          <w:szCs w:val="24"/>
        </w:rPr>
        <w:t xml:space="preserve">: </w:t>
      </w:r>
      <w:proofErr w:type="spellStart"/>
      <w:r w:rsidRPr="00DE2EDC">
        <w:rPr>
          <w:i/>
          <w:sz w:val="24"/>
          <w:szCs w:val="24"/>
        </w:rPr>
        <w:t>Zeitschrift</w:t>
      </w:r>
      <w:proofErr w:type="spellEnd"/>
      <w:r w:rsidRPr="00DE2EDC">
        <w:rPr>
          <w:i/>
          <w:sz w:val="24"/>
          <w:szCs w:val="24"/>
        </w:rPr>
        <w:t xml:space="preserve"> </w:t>
      </w:r>
      <w:proofErr w:type="spellStart"/>
      <w:r w:rsidRPr="00DE2EDC">
        <w:rPr>
          <w:i/>
          <w:sz w:val="24"/>
          <w:szCs w:val="24"/>
        </w:rPr>
        <w:t>Fui</w:t>
      </w:r>
      <w:proofErr w:type="spellEnd"/>
      <w:r w:rsidRPr="00DE2EDC">
        <w:rPr>
          <w:i/>
          <w:sz w:val="24"/>
          <w:szCs w:val="24"/>
        </w:rPr>
        <w:t xml:space="preserve"> </w:t>
      </w:r>
      <w:proofErr w:type="spellStart"/>
      <w:r w:rsidRPr="00DE2EDC">
        <w:rPr>
          <w:i/>
          <w:sz w:val="24"/>
          <w:szCs w:val="24"/>
        </w:rPr>
        <w:t>Alte</w:t>
      </w:r>
      <w:proofErr w:type="spellEnd"/>
      <w:r w:rsidRPr="00DE2EDC">
        <w:rPr>
          <w:i/>
          <w:sz w:val="24"/>
          <w:szCs w:val="24"/>
        </w:rPr>
        <w:t xml:space="preserve"> </w:t>
      </w:r>
      <w:proofErr w:type="spellStart"/>
      <w:r w:rsidRPr="00DE2EDC">
        <w:rPr>
          <w:i/>
          <w:sz w:val="24"/>
          <w:szCs w:val="24"/>
        </w:rPr>
        <w:t>Geschiechte</w:t>
      </w:r>
      <w:proofErr w:type="spellEnd"/>
      <w:r w:rsidRPr="00DE2EDC">
        <w:rPr>
          <w:i/>
          <w:sz w:val="24"/>
          <w:szCs w:val="24"/>
        </w:rPr>
        <w:t xml:space="preserve"> 34, no.2: 153-74. </w:t>
      </w:r>
      <w:hyperlink r:id="rId14" w:history="1">
        <w:r w:rsidRPr="00DE2EDC">
          <w:rPr>
            <w:rStyle w:val="Hyperlink"/>
            <w:rFonts w:cs="Arial"/>
            <w:sz w:val="24"/>
            <w:szCs w:val="24"/>
            <w:shd w:val="clear" w:color="auto" w:fill="FFFFFF"/>
          </w:rPr>
          <w:t>http://www.jstor.org/stable/4435919</w:t>
        </w:r>
      </w:hyperlink>
      <w:r w:rsidRPr="00DE2EDC">
        <w:rPr>
          <w:rFonts w:cs="Arial"/>
          <w:color w:val="333333"/>
          <w:sz w:val="24"/>
          <w:szCs w:val="24"/>
          <w:shd w:val="clear" w:color="auto" w:fill="FFFFFF"/>
        </w:rPr>
        <w:t xml:space="preserve">. </w:t>
      </w:r>
      <w:r w:rsidRPr="00DE2EDC">
        <w:rPr>
          <w:rFonts w:cs="Arial"/>
          <w:sz w:val="24"/>
          <w:szCs w:val="24"/>
          <w:shd w:val="clear" w:color="auto" w:fill="FFFFFF"/>
        </w:rPr>
        <w:t>[Accessed 28.01.19]</w:t>
      </w:r>
    </w:p>
    <w:p w:rsidR="00D0269F" w:rsidRPr="00DE2EDC" w:rsidRDefault="00D0269F" w:rsidP="00D0269F">
      <w:pPr>
        <w:spacing w:after="0"/>
        <w:rPr>
          <w:color w:val="FF0000"/>
          <w:sz w:val="24"/>
          <w:szCs w:val="24"/>
        </w:rPr>
      </w:pPr>
      <w:r w:rsidRPr="00DE2EDC">
        <w:rPr>
          <w:color w:val="FF0000"/>
          <w:sz w:val="24"/>
          <w:szCs w:val="24"/>
        </w:rPr>
        <w:t>Rhodes, PJ. 2010. A History of the Classical Greek World, 478 – 323 BC, 2</w:t>
      </w:r>
      <w:r w:rsidRPr="00DE2EDC">
        <w:rPr>
          <w:color w:val="FF0000"/>
          <w:sz w:val="24"/>
          <w:szCs w:val="24"/>
          <w:vertAlign w:val="superscript"/>
        </w:rPr>
        <w:t>nd</w:t>
      </w:r>
      <w:r w:rsidRPr="00DE2EDC">
        <w:rPr>
          <w:color w:val="FF0000"/>
          <w:sz w:val="24"/>
          <w:szCs w:val="24"/>
        </w:rPr>
        <w:t xml:space="preserve"> Ed. Chichester, West Sussex, UK; Malden, MA: Wiley-Blackwell</w:t>
      </w:r>
    </w:p>
    <w:p w:rsidR="00D0269F" w:rsidRPr="00DE2EDC" w:rsidRDefault="00D0269F" w:rsidP="00D0269F">
      <w:pPr>
        <w:spacing w:after="0"/>
        <w:rPr>
          <w:rFonts w:cs="Arial"/>
          <w:color w:val="000000"/>
          <w:sz w:val="24"/>
          <w:szCs w:val="24"/>
        </w:rPr>
      </w:pPr>
      <w:proofErr w:type="gramStart"/>
      <w:r w:rsidRPr="00DE2EDC">
        <w:rPr>
          <w:rFonts w:cs="Arial"/>
          <w:color w:val="000000"/>
          <w:sz w:val="24"/>
          <w:szCs w:val="24"/>
        </w:rPr>
        <w:t>Salmon, J.B. 2012.</w:t>
      </w:r>
      <w:proofErr w:type="gramEnd"/>
      <w:r w:rsidRPr="00DE2EDC">
        <w:rPr>
          <w:rFonts w:cs="Arial"/>
          <w:color w:val="000000"/>
          <w:sz w:val="24"/>
          <w:szCs w:val="24"/>
        </w:rPr>
        <w:t xml:space="preserve"> "Corinth, League of."  </w:t>
      </w:r>
      <w:proofErr w:type="gramStart"/>
      <w:r w:rsidRPr="00DE2EDC">
        <w:rPr>
          <w:rStyle w:val="Emphasis"/>
          <w:rFonts w:cs="Arial"/>
          <w:color w:val="000000"/>
          <w:sz w:val="24"/>
          <w:szCs w:val="24"/>
        </w:rPr>
        <w:t>The Oxford Classical Dictionary</w:t>
      </w:r>
      <w:r w:rsidRPr="00DE2EDC">
        <w:rPr>
          <w:rFonts w:cs="Arial"/>
          <w:color w:val="000000"/>
          <w:sz w:val="24"/>
          <w:szCs w:val="24"/>
        </w:rPr>
        <w:t>.</w:t>
      </w:r>
      <w:proofErr w:type="gramEnd"/>
      <w:r w:rsidRPr="00DE2EDC">
        <w:rPr>
          <w:rFonts w:cs="Arial"/>
          <w:color w:val="000000"/>
          <w:sz w:val="24"/>
          <w:szCs w:val="24"/>
        </w:rPr>
        <w:t xml:space="preserve"> </w:t>
      </w:r>
      <w:proofErr w:type="gramStart"/>
      <w:r w:rsidRPr="00DE2EDC">
        <w:rPr>
          <w:rFonts w:cs="Arial"/>
          <w:color w:val="000000"/>
          <w:sz w:val="24"/>
          <w:szCs w:val="24"/>
        </w:rPr>
        <w:t>Oxford; Oxford University Press.</w:t>
      </w:r>
      <w:proofErr w:type="gramEnd"/>
      <w:r w:rsidRPr="00DE2EDC">
        <w:rPr>
          <w:rFonts w:cs="Arial"/>
          <w:color w:val="000000"/>
          <w:sz w:val="24"/>
          <w:szCs w:val="24"/>
        </w:rPr>
        <w:t xml:space="preserve"> </w:t>
      </w:r>
      <w:hyperlink r:id="rId15" w:history="1">
        <w:r w:rsidRPr="00DE2EDC">
          <w:rPr>
            <w:rStyle w:val="Hyperlink"/>
            <w:rFonts w:cs="Arial"/>
            <w:sz w:val="24"/>
            <w:szCs w:val="24"/>
          </w:rPr>
          <w:t>http://www.oxfordreference.com.ezproxy.uwtsd.ac.uk/view/10.1093/acref/9780199545568.001.0001/acref-9780199545568-e-1821?rskey=EaGGg0&amp;result=1</w:t>
        </w:r>
      </w:hyperlink>
      <w:r w:rsidRPr="00DE2EDC">
        <w:rPr>
          <w:rFonts w:cs="Arial"/>
          <w:color w:val="000000"/>
          <w:sz w:val="24"/>
          <w:szCs w:val="24"/>
        </w:rPr>
        <w:t xml:space="preserve"> [Accessed 28.01.19]</w:t>
      </w:r>
    </w:p>
    <w:p w:rsidR="0084603A" w:rsidRPr="00DE2EDC" w:rsidRDefault="0084603A" w:rsidP="00D0269F">
      <w:pPr>
        <w:spacing w:after="0"/>
        <w:rPr>
          <w:rFonts w:cs="Arial"/>
          <w:color w:val="000000"/>
          <w:sz w:val="24"/>
          <w:szCs w:val="24"/>
        </w:rPr>
      </w:pPr>
      <w:proofErr w:type="spellStart"/>
      <w:proofErr w:type="gramStart"/>
      <w:r w:rsidRPr="00DE2EDC">
        <w:rPr>
          <w:rFonts w:cs="Arial"/>
          <w:color w:val="000000"/>
          <w:sz w:val="24"/>
          <w:szCs w:val="24"/>
        </w:rPr>
        <w:t>Speake</w:t>
      </w:r>
      <w:proofErr w:type="spellEnd"/>
      <w:r w:rsidRPr="00DE2EDC">
        <w:rPr>
          <w:rFonts w:cs="Arial"/>
          <w:color w:val="000000"/>
          <w:sz w:val="24"/>
          <w:szCs w:val="24"/>
        </w:rPr>
        <w:t xml:space="preserve">, J. &amp; </w:t>
      </w:r>
      <w:proofErr w:type="spellStart"/>
      <w:r w:rsidRPr="00DE2EDC">
        <w:rPr>
          <w:rFonts w:cs="Arial"/>
          <w:color w:val="000000"/>
          <w:sz w:val="24"/>
          <w:szCs w:val="24"/>
        </w:rPr>
        <w:t>LaFlaur</w:t>
      </w:r>
      <w:proofErr w:type="spellEnd"/>
      <w:r w:rsidRPr="00DE2EDC">
        <w:rPr>
          <w:rFonts w:cs="Arial"/>
          <w:color w:val="000000"/>
          <w:sz w:val="24"/>
          <w:szCs w:val="24"/>
        </w:rPr>
        <w:t>, M. 1999.</w:t>
      </w:r>
      <w:proofErr w:type="gramEnd"/>
      <w:r w:rsidRPr="00DE2EDC">
        <w:rPr>
          <w:rFonts w:cs="Arial"/>
          <w:color w:val="000000"/>
          <w:sz w:val="24"/>
          <w:szCs w:val="24"/>
        </w:rPr>
        <w:t xml:space="preserve"> </w:t>
      </w:r>
      <w:proofErr w:type="gramStart"/>
      <w:r w:rsidRPr="00DE2EDC">
        <w:rPr>
          <w:rFonts w:cs="Arial"/>
          <w:color w:val="000000"/>
          <w:sz w:val="24"/>
          <w:szCs w:val="24"/>
        </w:rPr>
        <w:t>Hegemon.</w:t>
      </w:r>
      <w:proofErr w:type="gramEnd"/>
      <w:r w:rsidRPr="00DE2EDC">
        <w:rPr>
          <w:rFonts w:cs="Arial"/>
          <w:color w:val="000000"/>
          <w:sz w:val="24"/>
          <w:szCs w:val="24"/>
        </w:rPr>
        <w:t xml:space="preserve"> </w:t>
      </w:r>
      <w:proofErr w:type="gramStart"/>
      <w:r w:rsidRPr="00DE2EDC">
        <w:rPr>
          <w:rFonts w:cs="Arial"/>
          <w:color w:val="000000"/>
          <w:sz w:val="24"/>
          <w:szCs w:val="24"/>
        </w:rPr>
        <w:t xml:space="preserve">The Oxford Essential Dictionary of </w:t>
      </w:r>
      <w:proofErr w:type="spellStart"/>
      <w:r w:rsidRPr="00DE2EDC">
        <w:rPr>
          <w:rFonts w:cs="Arial"/>
          <w:color w:val="000000"/>
          <w:sz w:val="24"/>
          <w:szCs w:val="24"/>
        </w:rPr>
        <w:t>Foreing</w:t>
      </w:r>
      <w:proofErr w:type="spellEnd"/>
      <w:r w:rsidRPr="00DE2EDC">
        <w:rPr>
          <w:rFonts w:cs="Arial"/>
          <w:color w:val="000000"/>
          <w:sz w:val="24"/>
          <w:szCs w:val="24"/>
        </w:rPr>
        <w:t xml:space="preserve"> Terms in English.</w:t>
      </w:r>
      <w:proofErr w:type="gramEnd"/>
      <w:r w:rsidRPr="00DE2EDC">
        <w:rPr>
          <w:rFonts w:cs="Arial"/>
          <w:color w:val="000000"/>
          <w:sz w:val="24"/>
          <w:szCs w:val="24"/>
        </w:rPr>
        <w:t xml:space="preserve"> </w:t>
      </w:r>
      <w:proofErr w:type="gramStart"/>
      <w:r w:rsidRPr="00DE2EDC">
        <w:rPr>
          <w:rFonts w:cs="Arial"/>
          <w:color w:val="000000"/>
          <w:sz w:val="24"/>
          <w:szCs w:val="24"/>
        </w:rPr>
        <w:t>Oxford; Oxford University Press.</w:t>
      </w:r>
      <w:proofErr w:type="gramEnd"/>
      <w:r w:rsidRPr="00DE2EDC">
        <w:rPr>
          <w:rFonts w:cs="Arial"/>
          <w:color w:val="000000"/>
          <w:sz w:val="24"/>
          <w:szCs w:val="24"/>
        </w:rPr>
        <w:t xml:space="preserve"> </w:t>
      </w:r>
      <w:hyperlink r:id="rId16" w:history="1">
        <w:r w:rsidRPr="00DE2EDC">
          <w:rPr>
            <w:rStyle w:val="Hyperlink"/>
            <w:rFonts w:cs="Arial"/>
            <w:sz w:val="24"/>
            <w:szCs w:val="24"/>
          </w:rPr>
          <w:t>http://www.oxfordreference.com.ezproxy.uwtsd.ac.uk/view/10.1093/acref/9780199891573.001.0001/acref-9780199891573-e-3033</w:t>
        </w:r>
      </w:hyperlink>
      <w:r w:rsidRPr="00DE2EDC">
        <w:rPr>
          <w:rFonts w:cs="Arial"/>
          <w:color w:val="000000"/>
          <w:sz w:val="24"/>
          <w:szCs w:val="24"/>
        </w:rPr>
        <w:t>. [Accessed 28.01.19]</w:t>
      </w:r>
    </w:p>
    <w:p w:rsidR="00D0269F" w:rsidRPr="00DE2EDC" w:rsidRDefault="00D0269F" w:rsidP="00D0269F">
      <w:pPr>
        <w:spacing w:after="0"/>
        <w:rPr>
          <w:rFonts w:cs="Arial"/>
          <w:color w:val="000000"/>
          <w:sz w:val="24"/>
          <w:szCs w:val="24"/>
        </w:rPr>
      </w:pPr>
      <w:proofErr w:type="spellStart"/>
      <w:r w:rsidRPr="00DE2EDC">
        <w:rPr>
          <w:rFonts w:cs="Arial"/>
          <w:color w:val="000000"/>
          <w:sz w:val="24"/>
          <w:szCs w:val="24"/>
        </w:rPr>
        <w:t>Tuplin</w:t>
      </w:r>
      <w:proofErr w:type="spellEnd"/>
      <w:r w:rsidRPr="00DE2EDC">
        <w:rPr>
          <w:rFonts w:cs="Arial"/>
          <w:color w:val="000000"/>
          <w:sz w:val="24"/>
          <w:szCs w:val="24"/>
        </w:rPr>
        <w:t xml:space="preserve">, C.J. 2012. </w:t>
      </w:r>
      <w:proofErr w:type="gramStart"/>
      <w:r w:rsidRPr="00DE2EDC">
        <w:rPr>
          <w:rFonts w:cs="Arial"/>
          <w:color w:val="000000"/>
          <w:sz w:val="24"/>
          <w:szCs w:val="24"/>
        </w:rPr>
        <w:t>“Second Athenian Confederacy” The Oxford Classical Dictionary.</w:t>
      </w:r>
      <w:proofErr w:type="gramEnd"/>
      <w:r w:rsidRPr="00DE2EDC">
        <w:rPr>
          <w:rFonts w:cs="Arial"/>
          <w:color w:val="000000"/>
          <w:sz w:val="24"/>
          <w:szCs w:val="24"/>
        </w:rPr>
        <w:t xml:space="preserve"> </w:t>
      </w:r>
      <w:proofErr w:type="gramStart"/>
      <w:r w:rsidRPr="00DE2EDC">
        <w:rPr>
          <w:rFonts w:cs="Arial"/>
          <w:color w:val="000000"/>
          <w:sz w:val="24"/>
          <w:szCs w:val="24"/>
        </w:rPr>
        <w:t>Oxford; Oxford University Press.</w:t>
      </w:r>
      <w:proofErr w:type="gramEnd"/>
      <w:r w:rsidRPr="00DE2EDC">
        <w:rPr>
          <w:rFonts w:cs="Arial"/>
          <w:color w:val="000000"/>
          <w:sz w:val="24"/>
          <w:szCs w:val="24"/>
        </w:rPr>
        <w:t xml:space="preserve"> </w:t>
      </w:r>
      <w:hyperlink r:id="rId17" w:history="1">
        <w:r w:rsidRPr="00DE2EDC">
          <w:rPr>
            <w:rStyle w:val="Hyperlink"/>
            <w:rFonts w:cs="Arial"/>
            <w:sz w:val="24"/>
            <w:szCs w:val="24"/>
          </w:rPr>
          <w:t>http://www.oxfordreference.com.ezproxy.uwtsd.ac.uk/view/10.1093/acref/9780199545568.001.0001/acref-9780199545568-e-5779?rskey=VppQO3&amp;result=1</w:t>
        </w:r>
      </w:hyperlink>
      <w:r w:rsidRPr="00DE2EDC">
        <w:rPr>
          <w:rFonts w:cs="Arial"/>
          <w:color w:val="000000"/>
          <w:sz w:val="24"/>
          <w:szCs w:val="24"/>
        </w:rPr>
        <w:t xml:space="preserve"> [Accessed 28.01.19]</w:t>
      </w:r>
    </w:p>
    <w:p w:rsidR="00D0269F" w:rsidRPr="00DE2EDC" w:rsidRDefault="00D0269F" w:rsidP="00D0269F">
      <w:pPr>
        <w:spacing w:after="0"/>
        <w:rPr>
          <w:rFonts w:cs="Arial"/>
          <w:sz w:val="24"/>
          <w:szCs w:val="24"/>
        </w:rPr>
      </w:pPr>
      <w:proofErr w:type="gramStart"/>
      <w:r w:rsidRPr="00DE2EDC">
        <w:rPr>
          <w:rFonts w:cs="Arial"/>
          <w:sz w:val="24"/>
          <w:szCs w:val="24"/>
        </w:rPr>
        <w:t>Worthington, 1.</w:t>
      </w:r>
      <w:proofErr w:type="gramEnd"/>
      <w:r w:rsidRPr="00DE2EDC">
        <w:rPr>
          <w:rFonts w:cs="Arial"/>
          <w:sz w:val="24"/>
          <w:szCs w:val="24"/>
        </w:rPr>
        <w:t xml:space="preserve"> 2004. Alexander the Great and the Greeks in 336? </w:t>
      </w:r>
      <w:proofErr w:type="gramStart"/>
      <w:r w:rsidRPr="00DE2EDC">
        <w:rPr>
          <w:rFonts w:cs="Arial"/>
          <w:sz w:val="24"/>
          <w:szCs w:val="24"/>
        </w:rPr>
        <w:t>Another Reading of “IG” II</w:t>
      </w:r>
      <w:r w:rsidRPr="00DE2EDC">
        <w:rPr>
          <w:rFonts w:cs="Arial"/>
          <w:sz w:val="24"/>
          <w:szCs w:val="24"/>
          <w:vertAlign w:val="superscript"/>
        </w:rPr>
        <w:t xml:space="preserve">2 </w:t>
      </w:r>
      <w:r w:rsidRPr="00DE2EDC">
        <w:rPr>
          <w:rFonts w:cs="Arial"/>
          <w:sz w:val="24"/>
          <w:szCs w:val="24"/>
        </w:rPr>
        <w:t>329.</w:t>
      </w:r>
      <w:proofErr w:type="gramEnd"/>
      <w:r w:rsidRPr="00DE2EDC">
        <w:rPr>
          <w:rFonts w:cs="Arial"/>
          <w:sz w:val="24"/>
          <w:szCs w:val="24"/>
        </w:rPr>
        <w:t xml:space="preserve"> </w:t>
      </w:r>
      <w:proofErr w:type="spellStart"/>
      <w:r w:rsidRPr="00DE2EDC">
        <w:rPr>
          <w:rFonts w:cs="Arial"/>
          <w:i/>
          <w:iCs/>
          <w:sz w:val="24"/>
          <w:szCs w:val="24"/>
          <w:shd w:val="clear" w:color="auto" w:fill="FFFFFF"/>
        </w:rPr>
        <w:t>Zeitschrift</w:t>
      </w:r>
      <w:proofErr w:type="spellEnd"/>
      <w:r w:rsidRPr="00DE2EDC">
        <w:rPr>
          <w:rFonts w:cs="Arial"/>
          <w:i/>
          <w:iCs/>
          <w:sz w:val="24"/>
          <w:szCs w:val="24"/>
          <w:shd w:val="clear" w:color="auto" w:fill="FFFFFF"/>
        </w:rPr>
        <w:t xml:space="preserve"> </w:t>
      </w:r>
      <w:proofErr w:type="spellStart"/>
      <w:r w:rsidRPr="00DE2EDC">
        <w:rPr>
          <w:rFonts w:cs="Arial"/>
          <w:i/>
          <w:iCs/>
          <w:sz w:val="24"/>
          <w:szCs w:val="24"/>
          <w:shd w:val="clear" w:color="auto" w:fill="FFFFFF"/>
        </w:rPr>
        <w:t>Für</w:t>
      </w:r>
      <w:proofErr w:type="spellEnd"/>
      <w:r w:rsidRPr="00DE2EDC">
        <w:rPr>
          <w:rFonts w:cs="Arial"/>
          <w:i/>
          <w:iCs/>
          <w:sz w:val="24"/>
          <w:szCs w:val="24"/>
          <w:shd w:val="clear" w:color="auto" w:fill="FFFFFF"/>
        </w:rPr>
        <w:t xml:space="preserve"> </w:t>
      </w:r>
      <w:proofErr w:type="spellStart"/>
      <w:r w:rsidRPr="00DE2EDC">
        <w:rPr>
          <w:rFonts w:cs="Arial"/>
          <w:i/>
          <w:iCs/>
          <w:sz w:val="24"/>
          <w:szCs w:val="24"/>
          <w:shd w:val="clear" w:color="auto" w:fill="FFFFFF"/>
        </w:rPr>
        <w:t>Papyrologie</w:t>
      </w:r>
      <w:proofErr w:type="spellEnd"/>
      <w:r w:rsidRPr="00DE2EDC">
        <w:rPr>
          <w:rFonts w:cs="Arial"/>
          <w:i/>
          <w:iCs/>
          <w:sz w:val="24"/>
          <w:szCs w:val="24"/>
          <w:shd w:val="clear" w:color="auto" w:fill="FFFFFF"/>
        </w:rPr>
        <w:t xml:space="preserve"> Und </w:t>
      </w:r>
      <w:proofErr w:type="spellStart"/>
      <w:r w:rsidRPr="00DE2EDC">
        <w:rPr>
          <w:rFonts w:cs="Arial"/>
          <w:i/>
          <w:iCs/>
          <w:sz w:val="24"/>
          <w:szCs w:val="24"/>
          <w:shd w:val="clear" w:color="auto" w:fill="FFFFFF"/>
        </w:rPr>
        <w:t>Epigraphik</w:t>
      </w:r>
      <w:proofErr w:type="spellEnd"/>
      <w:r w:rsidRPr="00DE2EDC">
        <w:rPr>
          <w:rFonts w:cs="Arial"/>
          <w:i/>
          <w:iCs/>
          <w:sz w:val="24"/>
          <w:szCs w:val="24"/>
          <w:shd w:val="clear" w:color="auto" w:fill="FFFFFF"/>
        </w:rPr>
        <w:t>,</w:t>
      </w:r>
      <w:r w:rsidRPr="00DE2EDC">
        <w:rPr>
          <w:rFonts w:cs="Arial"/>
          <w:sz w:val="24"/>
          <w:szCs w:val="24"/>
          <w:shd w:val="clear" w:color="auto" w:fill="FFFFFF"/>
        </w:rPr>
        <w:t> </w:t>
      </w:r>
      <w:r w:rsidRPr="00DE2EDC">
        <w:rPr>
          <w:rFonts w:cs="Arial"/>
          <w:i/>
          <w:iCs/>
          <w:sz w:val="24"/>
          <w:szCs w:val="24"/>
          <w:shd w:val="clear" w:color="auto" w:fill="FFFFFF"/>
        </w:rPr>
        <w:t>147</w:t>
      </w:r>
      <w:r w:rsidRPr="00DE2EDC">
        <w:rPr>
          <w:rFonts w:cs="Arial"/>
          <w:sz w:val="24"/>
          <w:szCs w:val="24"/>
          <w:shd w:val="clear" w:color="auto" w:fill="FFFFFF"/>
        </w:rPr>
        <w:t xml:space="preserve">, 59-71. </w:t>
      </w:r>
      <w:hyperlink r:id="rId18" w:history="1">
        <w:r w:rsidRPr="00DE2EDC">
          <w:rPr>
            <w:rStyle w:val="Hyperlink"/>
            <w:rFonts w:cs="Arial"/>
            <w:sz w:val="24"/>
            <w:szCs w:val="24"/>
            <w:shd w:val="clear" w:color="auto" w:fill="FFFFFF"/>
          </w:rPr>
          <w:t>http://www.jstor.org/stable/20191796</w:t>
        </w:r>
      </w:hyperlink>
      <w:r w:rsidRPr="00DE2EDC">
        <w:rPr>
          <w:rFonts w:cs="Arial"/>
          <w:color w:val="333333"/>
          <w:sz w:val="24"/>
          <w:szCs w:val="24"/>
          <w:shd w:val="clear" w:color="auto" w:fill="FFFFFF"/>
        </w:rPr>
        <w:t xml:space="preserve"> </w:t>
      </w:r>
      <w:r w:rsidRPr="00DE2EDC">
        <w:rPr>
          <w:rFonts w:cs="Arial"/>
          <w:sz w:val="24"/>
          <w:szCs w:val="24"/>
          <w:shd w:val="clear" w:color="auto" w:fill="FFFFFF"/>
        </w:rPr>
        <w:t xml:space="preserve">[Accessed 28.01.19] </w:t>
      </w:r>
    </w:p>
    <w:p w:rsidR="00D0269F" w:rsidRPr="00DE2EDC" w:rsidRDefault="00D0269F" w:rsidP="00D0269F">
      <w:pPr>
        <w:spacing w:after="0"/>
        <w:rPr>
          <w:rFonts w:cs="Arial"/>
          <w:color w:val="FF0000"/>
          <w:sz w:val="24"/>
          <w:szCs w:val="24"/>
        </w:rPr>
      </w:pPr>
      <w:r w:rsidRPr="00DE2EDC">
        <w:rPr>
          <w:rFonts w:cs="Arial"/>
          <w:color w:val="FF0000"/>
          <w:sz w:val="24"/>
          <w:szCs w:val="24"/>
        </w:rPr>
        <w:t xml:space="preserve">Wells, C.B. 1970. </w:t>
      </w:r>
      <w:proofErr w:type="gramStart"/>
      <w:r w:rsidRPr="00DE2EDC">
        <w:rPr>
          <w:rFonts w:cs="Arial"/>
          <w:color w:val="FF0000"/>
          <w:sz w:val="24"/>
          <w:szCs w:val="24"/>
        </w:rPr>
        <w:t xml:space="preserve">Alexander and the </w:t>
      </w:r>
      <w:proofErr w:type="spellStart"/>
      <w:r w:rsidRPr="00DE2EDC">
        <w:rPr>
          <w:rFonts w:cs="Arial"/>
          <w:color w:val="FF0000"/>
          <w:sz w:val="24"/>
          <w:szCs w:val="24"/>
        </w:rPr>
        <w:t>Helenistic</w:t>
      </w:r>
      <w:proofErr w:type="spellEnd"/>
      <w:r w:rsidRPr="00DE2EDC">
        <w:rPr>
          <w:rFonts w:cs="Arial"/>
          <w:color w:val="FF0000"/>
          <w:sz w:val="24"/>
          <w:szCs w:val="24"/>
        </w:rPr>
        <w:t xml:space="preserve"> World.</w:t>
      </w:r>
      <w:proofErr w:type="gramEnd"/>
      <w:r w:rsidRPr="00DE2EDC">
        <w:rPr>
          <w:rFonts w:cs="Arial"/>
          <w:color w:val="FF0000"/>
          <w:sz w:val="24"/>
          <w:szCs w:val="24"/>
        </w:rPr>
        <w:t xml:space="preserve"> </w:t>
      </w:r>
      <w:proofErr w:type="gramStart"/>
      <w:r w:rsidRPr="00DE2EDC">
        <w:rPr>
          <w:rFonts w:cs="Arial"/>
          <w:color w:val="FF0000"/>
          <w:sz w:val="24"/>
          <w:szCs w:val="24"/>
        </w:rPr>
        <w:t xml:space="preserve">Toronto; A.M. </w:t>
      </w:r>
      <w:proofErr w:type="spellStart"/>
      <w:r w:rsidRPr="00DE2EDC">
        <w:rPr>
          <w:rFonts w:cs="Arial"/>
          <w:color w:val="FF0000"/>
          <w:sz w:val="24"/>
          <w:szCs w:val="24"/>
        </w:rPr>
        <w:t>Hakkert</w:t>
      </w:r>
      <w:proofErr w:type="spellEnd"/>
      <w:r w:rsidRPr="00DE2EDC">
        <w:rPr>
          <w:rFonts w:cs="Arial"/>
          <w:color w:val="FF0000"/>
          <w:sz w:val="24"/>
          <w:szCs w:val="24"/>
        </w:rPr>
        <w:t>.</w:t>
      </w:r>
      <w:proofErr w:type="gramEnd"/>
      <w:r w:rsidRPr="00DE2EDC">
        <w:rPr>
          <w:rFonts w:cs="Arial"/>
          <w:color w:val="FF0000"/>
          <w:sz w:val="24"/>
          <w:szCs w:val="24"/>
        </w:rPr>
        <w:t xml:space="preserve"> </w:t>
      </w:r>
    </w:p>
    <w:sectPr w:rsidR="00D0269F" w:rsidRPr="00DE2E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951C0" w:rsidRDefault="00D951C0" w:rsidP="00377201">
      <w:pPr>
        <w:spacing w:after="0" w:line="240" w:lineRule="auto"/>
      </w:pPr>
      <w:r>
        <w:separator/>
      </w:r>
    </w:p>
  </w:endnote>
  <w:endnote w:type="continuationSeparator" w:id="0">
    <w:p w:rsidR="00D951C0" w:rsidRDefault="00D951C0" w:rsidP="003772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951C0" w:rsidRDefault="00D951C0" w:rsidP="00377201">
      <w:pPr>
        <w:spacing w:after="0" w:line="240" w:lineRule="auto"/>
      </w:pPr>
      <w:r>
        <w:separator/>
      </w:r>
    </w:p>
  </w:footnote>
  <w:footnote w:type="continuationSeparator" w:id="0">
    <w:p w:rsidR="00D951C0" w:rsidRDefault="00D951C0" w:rsidP="00377201">
      <w:pPr>
        <w:spacing w:after="0" w:line="240" w:lineRule="auto"/>
      </w:pPr>
      <w:r>
        <w:continuationSeparator/>
      </w:r>
    </w:p>
  </w:footnote>
  <w:footnote w:id="1">
    <w:p w:rsidR="00703D63" w:rsidRDefault="00703D63">
      <w:pPr>
        <w:pStyle w:val="FootnoteText"/>
      </w:pPr>
      <w:r>
        <w:rPr>
          <w:rStyle w:val="FootnoteReference"/>
        </w:rPr>
        <w:footnoteRef/>
      </w:r>
      <w:r>
        <w:t xml:space="preserve"> </w:t>
      </w:r>
      <w:proofErr w:type="gramStart"/>
      <w:r>
        <w:t>Salmon.</w:t>
      </w:r>
      <w:proofErr w:type="gramEnd"/>
      <w:r>
        <w:t xml:space="preserve"> 2012</w:t>
      </w:r>
    </w:p>
  </w:footnote>
  <w:footnote w:id="2">
    <w:p w:rsidR="00703D63" w:rsidRDefault="00703D63">
      <w:pPr>
        <w:pStyle w:val="FootnoteText"/>
      </w:pPr>
      <w:r>
        <w:rPr>
          <w:rStyle w:val="FootnoteReference"/>
        </w:rPr>
        <w:footnoteRef/>
      </w:r>
      <w:r>
        <w:t xml:space="preserve"> Worthington. 2004. 59</w:t>
      </w:r>
    </w:p>
  </w:footnote>
  <w:footnote w:id="3">
    <w:p w:rsidR="00703D63" w:rsidRDefault="00703D63">
      <w:pPr>
        <w:pStyle w:val="FootnoteText"/>
      </w:pPr>
      <w:r>
        <w:rPr>
          <w:rStyle w:val="FootnoteReference"/>
        </w:rPr>
        <w:footnoteRef/>
      </w:r>
      <w:r>
        <w:t xml:space="preserve"> Perlman. 1985. 156</w:t>
      </w:r>
    </w:p>
  </w:footnote>
  <w:footnote w:id="4">
    <w:p w:rsidR="00703D63" w:rsidRDefault="00703D63">
      <w:pPr>
        <w:pStyle w:val="FootnoteText"/>
      </w:pPr>
      <w:r>
        <w:rPr>
          <w:rStyle w:val="FootnoteReference"/>
        </w:rPr>
        <w:footnoteRef/>
      </w:r>
      <w:r>
        <w:t xml:space="preserve"> Worthington. 2004. 59</w:t>
      </w:r>
    </w:p>
  </w:footnote>
  <w:footnote w:id="5">
    <w:p w:rsidR="001415B9" w:rsidRDefault="001415B9">
      <w:pPr>
        <w:pStyle w:val="FootnoteText"/>
      </w:pPr>
      <w:r>
        <w:rPr>
          <w:rStyle w:val="FootnoteReference"/>
        </w:rPr>
        <w:footnoteRef/>
      </w:r>
      <w:r>
        <w:t xml:space="preserve"> Martin. 2000. 96</w:t>
      </w:r>
    </w:p>
  </w:footnote>
  <w:footnote w:id="6">
    <w:p w:rsidR="00891EDF" w:rsidRDefault="00891EDF" w:rsidP="00891EDF">
      <w:pPr>
        <w:pStyle w:val="FootnoteText"/>
      </w:pPr>
      <w:r>
        <w:rPr>
          <w:rStyle w:val="FootnoteReference"/>
        </w:rPr>
        <w:footnoteRef/>
      </w:r>
      <w:r>
        <w:t xml:space="preserve"> Martin. 2000. 106</w:t>
      </w:r>
    </w:p>
  </w:footnote>
  <w:footnote w:id="7">
    <w:p w:rsidR="00891EDF" w:rsidRDefault="00891EDF">
      <w:pPr>
        <w:pStyle w:val="FootnoteText"/>
      </w:pPr>
      <w:r>
        <w:rPr>
          <w:rStyle w:val="FootnoteReference"/>
        </w:rPr>
        <w:footnoteRef/>
      </w:r>
      <w:r>
        <w:t xml:space="preserve"> </w:t>
      </w:r>
      <w:proofErr w:type="spellStart"/>
      <w:proofErr w:type="gramStart"/>
      <w:r>
        <w:t>Thuc</w:t>
      </w:r>
      <w:proofErr w:type="spellEnd"/>
      <w:r>
        <w:t>.</w:t>
      </w:r>
      <w:proofErr w:type="gramEnd"/>
      <w:r>
        <w:t xml:space="preserve"> 1.95</w:t>
      </w:r>
    </w:p>
  </w:footnote>
  <w:footnote w:id="8">
    <w:p w:rsidR="00AF244D" w:rsidRDefault="00AF244D">
      <w:pPr>
        <w:pStyle w:val="FootnoteText"/>
      </w:pPr>
      <w:r>
        <w:rPr>
          <w:rStyle w:val="FootnoteReference"/>
        </w:rPr>
        <w:footnoteRef/>
      </w:r>
      <w:r>
        <w:t xml:space="preserve"> </w:t>
      </w:r>
      <w:proofErr w:type="spellStart"/>
      <w:proofErr w:type="gramStart"/>
      <w:r>
        <w:t>Cartledge</w:t>
      </w:r>
      <w:proofErr w:type="spellEnd"/>
      <w:r>
        <w:t>.</w:t>
      </w:r>
      <w:proofErr w:type="gramEnd"/>
      <w:r>
        <w:t xml:space="preserve"> 2012</w:t>
      </w:r>
    </w:p>
  </w:footnote>
  <w:footnote w:id="9">
    <w:p w:rsidR="00D0269F" w:rsidRDefault="00D0269F">
      <w:pPr>
        <w:pStyle w:val="FootnoteText"/>
      </w:pPr>
      <w:r>
        <w:rPr>
          <w:rStyle w:val="FootnoteReference"/>
        </w:rPr>
        <w:footnoteRef/>
      </w:r>
      <w:r>
        <w:t xml:space="preserve"> </w:t>
      </w:r>
      <w:proofErr w:type="spellStart"/>
      <w:proofErr w:type="gramStart"/>
      <w:r>
        <w:t>Capreedy</w:t>
      </w:r>
      <w:proofErr w:type="spellEnd"/>
      <w:r>
        <w:t>.</w:t>
      </w:r>
      <w:proofErr w:type="gramEnd"/>
      <w:r>
        <w:t xml:space="preserve"> 2008. 485.</w:t>
      </w:r>
    </w:p>
  </w:footnote>
  <w:footnote w:id="10">
    <w:p w:rsidR="00AF244D" w:rsidRDefault="00AF244D">
      <w:pPr>
        <w:pStyle w:val="FootnoteText"/>
      </w:pPr>
      <w:r>
        <w:rPr>
          <w:rStyle w:val="FootnoteReference"/>
        </w:rPr>
        <w:footnoteRef/>
      </w:r>
      <w:r>
        <w:t xml:space="preserve"> </w:t>
      </w:r>
      <w:proofErr w:type="spellStart"/>
      <w:proofErr w:type="gramStart"/>
      <w:r>
        <w:t>Capreedy</w:t>
      </w:r>
      <w:proofErr w:type="spellEnd"/>
      <w:r>
        <w:t>.</w:t>
      </w:r>
      <w:proofErr w:type="gramEnd"/>
      <w:r>
        <w:t xml:space="preserve"> 2008. 486</w:t>
      </w:r>
    </w:p>
  </w:footnote>
  <w:footnote w:id="11">
    <w:p w:rsidR="001100DA" w:rsidRDefault="001100DA">
      <w:pPr>
        <w:pStyle w:val="FootnoteText"/>
      </w:pPr>
      <w:r>
        <w:rPr>
          <w:rStyle w:val="FootnoteReference"/>
        </w:rPr>
        <w:footnoteRef/>
      </w:r>
      <w:r>
        <w:t xml:space="preserve"> </w:t>
      </w:r>
      <w:r>
        <w:t>Gagarin. 2010. 9</w:t>
      </w:r>
    </w:p>
  </w:footnote>
  <w:footnote w:id="12">
    <w:p w:rsidR="000345C9" w:rsidRDefault="000345C9">
      <w:pPr>
        <w:pStyle w:val="FootnoteText"/>
      </w:pPr>
      <w:r>
        <w:rPr>
          <w:rStyle w:val="FootnoteReference"/>
        </w:rPr>
        <w:footnoteRef/>
      </w:r>
      <w:r>
        <w:t xml:space="preserve"> </w:t>
      </w:r>
      <w:proofErr w:type="spellStart"/>
      <w:proofErr w:type="gramStart"/>
      <w:r>
        <w:t>Tuplin</w:t>
      </w:r>
      <w:proofErr w:type="spellEnd"/>
      <w:r>
        <w:t>.</w:t>
      </w:r>
      <w:proofErr w:type="gramEnd"/>
      <w:r>
        <w:t xml:space="preserve"> 2012</w:t>
      </w:r>
    </w:p>
  </w:footnote>
  <w:footnote w:id="13">
    <w:p w:rsidR="00665F5E" w:rsidRDefault="00665F5E">
      <w:pPr>
        <w:pStyle w:val="FootnoteText"/>
      </w:pPr>
      <w:r>
        <w:rPr>
          <w:rStyle w:val="FootnoteReference"/>
        </w:rPr>
        <w:footnoteRef/>
      </w:r>
      <w:r>
        <w:t xml:space="preserve"> RO 22</w:t>
      </w:r>
    </w:p>
  </w:footnote>
  <w:footnote w:id="14">
    <w:p w:rsidR="0084603A" w:rsidRDefault="0084603A">
      <w:pPr>
        <w:pStyle w:val="FootnoteText"/>
      </w:pPr>
      <w:r>
        <w:rPr>
          <w:rStyle w:val="FootnoteReference"/>
        </w:rPr>
        <w:footnoteRef/>
      </w:r>
      <w:r>
        <w:t xml:space="preserve"> </w:t>
      </w:r>
      <w:proofErr w:type="spellStart"/>
      <w:proofErr w:type="gramStart"/>
      <w:r>
        <w:rPr>
          <w:rFonts w:cs="Arial"/>
          <w:color w:val="000000"/>
        </w:rPr>
        <w:t>Speake</w:t>
      </w:r>
      <w:proofErr w:type="spellEnd"/>
      <w:r>
        <w:rPr>
          <w:rFonts w:cs="Arial"/>
          <w:color w:val="000000"/>
        </w:rPr>
        <w:t xml:space="preserve"> &amp; </w:t>
      </w:r>
      <w:proofErr w:type="spellStart"/>
      <w:r>
        <w:rPr>
          <w:rFonts w:cs="Arial"/>
          <w:color w:val="000000"/>
        </w:rPr>
        <w:t>LaFlaur</w:t>
      </w:r>
      <w:proofErr w:type="spellEnd"/>
      <w:r>
        <w:rPr>
          <w:rFonts w:cs="Arial"/>
          <w:color w:val="000000"/>
        </w:rPr>
        <w:t>.</w:t>
      </w:r>
      <w:proofErr w:type="gramEnd"/>
      <w:r>
        <w:rPr>
          <w:rFonts w:cs="Arial"/>
          <w:color w:val="000000"/>
        </w:rPr>
        <w:t xml:space="preserve"> 1999</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3676C14"/>
    <w:multiLevelType w:val="hybridMultilevel"/>
    <w:tmpl w:val="64E2B156"/>
    <w:lvl w:ilvl="0" w:tplc="68F2A9E6">
      <w:numFmt w:val="bullet"/>
      <w:lvlText w:val="-"/>
      <w:lvlJc w:val="left"/>
      <w:pPr>
        <w:ind w:left="410" w:hanging="360"/>
      </w:pPr>
      <w:rPr>
        <w:rFonts w:ascii="Calibri" w:eastAsiaTheme="minorHAnsi" w:hAnsi="Calibri" w:cs="Calibri" w:hint="default"/>
      </w:rPr>
    </w:lvl>
    <w:lvl w:ilvl="1" w:tplc="08090003">
      <w:start w:val="1"/>
      <w:numFmt w:val="bullet"/>
      <w:lvlText w:val="o"/>
      <w:lvlJc w:val="left"/>
      <w:pPr>
        <w:ind w:left="1130" w:hanging="360"/>
      </w:pPr>
      <w:rPr>
        <w:rFonts w:ascii="Courier New" w:hAnsi="Courier New" w:cs="Courier New" w:hint="default"/>
      </w:rPr>
    </w:lvl>
    <w:lvl w:ilvl="2" w:tplc="08090005">
      <w:start w:val="1"/>
      <w:numFmt w:val="bullet"/>
      <w:lvlText w:val=""/>
      <w:lvlJc w:val="left"/>
      <w:pPr>
        <w:ind w:left="1850" w:hanging="360"/>
      </w:pPr>
      <w:rPr>
        <w:rFonts w:ascii="Wingdings" w:hAnsi="Wingdings" w:hint="default"/>
      </w:rPr>
    </w:lvl>
    <w:lvl w:ilvl="3" w:tplc="08090001">
      <w:start w:val="1"/>
      <w:numFmt w:val="bullet"/>
      <w:lvlText w:val=""/>
      <w:lvlJc w:val="left"/>
      <w:pPr>
        <w:ind w:left="2570" w:hanging="360"/>
      </w:pPr>
      <w:rPr>
        <w:rFonts w:ascii="Symbol" w:hAnsi="Symbol" w:hint="default"/>
      </w:rPr>
    </w:lvl>
    <w:lvl w:ilvl="4" w:tplc="08090003">
      <w:start w:val="1"/>
      <w:numFmt w:val="bullet"/>
      <w:lvlText w:val="o"/>
      <w:lvlJc w:val="left"/>
      <w:pPr>
        <w:ind w:left="3290" w:hanging="360"/>
      </w:pPr>
      <w:rPr>
        <w:rFonts w:ascii="Courier New" w:hAnsi="Courier New" w:cs="Courier New" w:hint="default"/>
      </w:rPr>
    </w:lvl>
    <w:lvl w:ilvl="5" w:tplc="08090005">
      <w:start w:val="1"/>
      <w:numFmt w:val="bullet"/>
      <w:lvlText w:val=""/>
      <w:lvlJc w:val="left"/>
      <w:pPr>
        <w:ind w:left="4010" w:hanging="360"/>
      </w:pPr>
      <w:rPr>
        <w:rFonts w:ascii="Wingdings" w:hAnsi="Wingdings" w:hint="default"/>
      </w:rPr>
    </w:lvl>
    <w:lvl w:ilvl="6" w:tplc="08090001">
      <w:start w:val="1"/>
      <w:numFmt w:val="bullet"/>
      <w:lvlText w:val=""/>
      <w:lvlJc w:val="left"/>
      <w:pPr>
        <w:ind w:left="4730" w:hanging="360"/>
      </w:pPr>
      <w:rPr>
        <w:rFonts w:ascii="Symbol" w:hAnsi="Symbol" w:hint="default"/>
      </w:rPr>
    </w:lvl>
    <w:lvl w:ilvl="7" w:tplc="08090003">
      <w:start w:val="1"/>
      <w:numFmt w:val="bullet"/>
      <w:lvlText w:val="o"/>
      <w:lvlJc w:val="left"/>
      <w:pPr>
        <w:ind w:left="5450" w:hanging="360"/>
      </w:pPr>
      <w:rPr>
        <w:rFonts w:ascii="Courier New" w:hAnsi="Courier New" w:cs="Courier New" w:hint="default"/>
      </w:rPr>
    </w:lvl>
    <w:lvl w:ilvl="8" w:tplc="08090005">
      <w:start w:val="1"/>
      <w:numFmt w:val="bullet"/>
      <w:lvlText w:val=""/>
      <w:lvlJc w:val="left"/>
      <w:pPr>
        <w:ind w:left="6170" w:hanging="360"/>
      </w:pPr>
      <w:rPr>
        <w:rFonts w:ascii="Wingdings" w:hAnsi="Wingdings" w:hint="default"/>
      </w:rPr>
    </w:lvl>
  </w:abstractNum>
  <w:abstractNum w:abstractNumId="1">
    <w:nsid w:val="6F5E2E8A"/>
    <w:multiLevelType w:val="hybridMultilevel"/>
    <w:tmpl w:val="CECCF26A"/>
    <w:lvl w:ilvl="0" w:tplc="F0BE402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77201"/>
    <w:rsid w:val="000345C9"/>
    <w:rsid w:val="001100DA"/>
    <w:rsid w:val="001415B9"/>
    <w:rsid w:val="002A0DD6"/>
    <w:rsid w:val="002B0690"/>
    <w:rsid w:val="002D4AFA"/>
    <w:rsid w:val="00377201"/>
    <w:rsid w:val="004215D2"/>
    <w:rsid w:val="00665F5E"/>
    <w:rsid w:val="00703D63"/>
    <w:rsid w:val="00772098"/>
    <w:rsid w:val="00776E59"/>
    <w:rsid w:val="0084603A"/>
    <w:rsid w:val="00882E56"/>
    <w:rsid w:val="00891EDF"/>
    <w:rsid w:val="008D48CE"/>
    <w:rsid w:val="00AF244D"/>
    <w:rsid w:val="00C56E88"/>
    <w:rsid w:val="00CA637E"/>
    <w:rsid w:val="00D0269F"/>
    <w:rsid w:val="00D27915"/>
    <w:rsid w:val="00D951C0"/>
    <w:rsid w:val="00DE2EDC"/>
    <w:rsid w:val="00F15B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7720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7720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77201"/>
    <w:rPr>
      <w:sz w:val="20"/>
      <w:szCs w:val="20"/>
    </w:rPr>
  </w:style>
  <w:style w:type="character" w:styleId="FootnoteReference">
    <w:name w:val="footnote reference"/>
    <w:basedOn w:val="DefaultParagraphFont"/>
    <w:uiPriority w:val="99"/>
    <w:semiHidden/>
    <w:unhideWhenUsed/>
    <w:rsid w:val="00377201"/>
    <w:rPr>
      <w:vertAlign w:val="superscript"/>
    </w:rPr>
  </w:style>
  <w:style w:type="paragraph" w:styleId="ListParagraph">
    <w:name w:val="List Paragraph"/>
    <w:basedOn w:val="Normal"/>
    <w:uiPriority w:val="34"/>
    <w:qFormat/>
    <w:rsid w:val="00772098"/>
    <w:pPr>
      <w:spacing w:after="160" w:line="256" w:lineRule="auto"/>
      <w:ind w:left="720"/>
      <w:contextualSpacing/>
    </w:pPr>
  </w:style>
  <w:style w:type="character" w:styleId="Hyperlink">
    <w:name w:val="Hyperlink"/>
    <w:basedOn w:val="DefaultParagraphFont"/>
    <w:uiPriority w:val="99"/>
    <w:unhideWhenUsed/>
    <w:rsid w:val="00D0269F"/>
    <w:rPr>
      <w:color w:val="0000FF"/>
      <w:u w:val="single"/>
    </w:rPr>
  </w:style>
  <w:style w:type="character" w:styleId="Emphasis">
    <w:name w:val="Emphasis"/>
    <w:basedOn w:val="DefaultParagraphFont"/>
    <w:uiPriority w:val="20"/>
    <w:qFormat/>
    <w:rsid w:val="00D0269F"/>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7720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7720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77201"/>
    <w:rPr>
      <w:sz w:val="20"/>
      <w:szCs w:val="20"/>
    </w:rPr>
  </w:style>
  <w:style w:type="character" w:styleId="FootnoteReference">
    <w:name w:val="footnote reference"/>
    <w:basedOn w:val="DefaultParagraphFont"/>
    <w:uiPriority w:val="99"/>
    <w:semiHidden/>
    <w:unhideWhenUsed/>
    <w:rsid w:val="00377201"/>
    <w:rPr>
      <w:vertAlign w:val="superscript"/>
    </w:rPr>
  </w:style>
  <w:style w:type="paragraph" w:styleId="ListParagraph">
    <w:name w:val="List Paragraph"/>
    <w:basedOn w:val="Normal"/>
    <w:uiPriority w:val="34"/>
    <w:qFormat/>
    <w:rsid w:val="00772098"/>
    <w:pPr>
      <w:spacing w:after="160" w:line="256" w:lineRule="auto"/>
      <w:ind w:left="720"/>
      <w:contextualSpacing/>
    </w:pPr>
  </w:style>
  <w:style w:type="character" w:styleId="Hyperlink">
    <w:name w:val="Hyperlink"/>
    <w:basedOn w:val="DefaultParagraphFont"/>
    <w:uiPriority w:val="99"/>
    <w:unhideWhenUsed/>
    <w:rsid w:val="00D0269F"/>
    <w:rPr>
      <w:color w:val="0000FF"/>
      <w:u w:val="single"/>
    </w:rPr>
  </w:style>
  <w:style w:type="character" w:styleId="Emphasis">
    <w:name w:val="Emphasis"/>
    <w:basedOn w:val="DefaultParagraphFont"/>
    <w:uiPriority w:val="20"/>
    <w:qFormat/>
    <w:rsid w:val="00D0269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99217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oxfordreference.com.ezproxy.uwtsd.ac.uk/view/10.1093/acref/9780199545568.001.0001/acref-9780199545568-e-2074?rskey=hOOGvR&amp;result=4" TargetMode="External"/><Relationship Id="rId18" Type="http://schemas.openxmlformats.org/officeDocument/2006/relationships/hyperlink" Target="http://www.jstor.org/stable/20191796"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www.oxfordreference.com.ezproxy.uwtsd.ac.uk/view/10.1093/acref/9780199545568.001.0001/acref-9780199545568-e-4833?rskey=cqJ2Z1&amp;result=2" TargetMode="External"/><Relationship Id="rId17" Type="http://schemas.openxmlformats.org/officeDocument/2006/relationships/hyperlink" Target="http://www.oxfordreference.com.ezproxy.uwtsd.ac.uk/view/10.1093/acref/9780199545568.001.0001/acref-9780199545568-e-5779?rskey=VppQO3&amp;result=1" TargetMode="External"/><Relationship Id="rId2" Type="http://schemas.openxmlformats.org/officeDocument/2006/relationships/numbering" Target="numbering.xml"/><Relationship Id="rId16" Type="http://schemas.openxmlformats.org/officeDocument/2006/relationships/hyperlink" Target="http://www.oxfordreference.com.ezproxy.uwtsd.ac.uk/view/10.1093/acref/9780199891573.001.0001/acref-9780199891573-e-3033"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jstor-org.ezproxy.uwtsd.ac.uk/stable/pdf/25471970.pdf?refreqid=excelsior%3A532cda7f78b898e2273b3be471e624b6" TargetMode="External"/><Relationship Id="rId5" Type="http://schemas.openxmlformats.org/officeDocument/2006/relationships/settings" Target="settings.xml"/><Relationship Id="rId15" Type="http://schemas.openxmlformats.org/officeDocument/2006/relationships/hyperlink" Target="http://www.oxfordreference.com.ezproxy.uwtsd.ac.uk/view/10.1093/acref/9780199545568.001.0001/acref-9780199545568-e-1821?rskey=EaGGg0&amp;result=1" TargetMode="External"/><Relationship Id="rId10" Type="http://schemas.openxmlformats.org/officeDocument/2006/relationships/hyperlink" Target="http://www.perseus.tufts.edu/hopper/text?doc=Perseus%3Atext%3A1999.01.0200" TargetMode="External"/><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yperlink" Target="https://www.atticinscriptions.com/inscription/RO/22" TargetMode="External"/><Relationship Id="rId14" Type="http://schemas.openxmlformats.org/officeDocument/2006/relationships/hyperlink" Target="http://www.jstor.org/stable/44359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8930840-F758-4F0E-8FC8-1BA17CA82A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549</TotalTime>
  <Pages>3</Pages>
  <Words>1064</Words>
  <Characters>6071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Hadie</dc:creator>
  <cp:lastModifiedBy>Hadie</cp:lastModifiedBy>
  <cp:revision>9</cp:revision>
  <dcterms:created xsi:type="dcterms:W3CDTF">2019-01-28T19:41:00Z</dcterms:created>
  <dcterms:modified xsi:type="dcterms:W3CDTF">2019-04-12T22:43:00Z</dcterms:modified>
</cp:coreProperties>
</file>