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436ACA" w:rsidRPr="00A406E5" w14:paraId="3AFE389F" w14:textId="77777777" w:rsidTr="001F674B">
        <w:tc>
          <w:tcPr>
            <w:tcW w:w="1588" w:type="dxa"/>
          </w:tcPr>
          <w:p w14:paraId="7F5DB171" w14:textId="77777777" w:rsidR="00436ACA" w:rsidRPr="00A406E5" w:rsidRDefault="00436ACA" w:rsidP="001F674B">
            <w:pPr>
              <w:spacing w:before="120" w:after="120"/>
              <w:rPr>
                <w:rFonts w:ascii="Arial" w:hAnsi="Arial" w:cs="Arial"/>
                <w:b/>
              </w:rPr>
            </w:pPr>
            <w:r w:rsidRPr="00A406E5">
              <w:rPr>
                <w:rFonts w:ascii="Arial" w:hAnsi="Arial" w:cs="Arial"/>
                <w:b/>
              </w:rPr>
              <w:t>Student name:</w:t>
            </w:r>
          </w:p>
        </w:tc>
        <w:tc>
          <w:tcPr>
            <w:tcW w:w="3955" w:type="dxa"/>
          </w:tcPr>
          <w:p w14:paraId="486D349D" w14:textId="05875F7B" w:rsidR="00436ACA" w:rsidRPr="00A406E5" w:rsidRDefault="00436ACA" w:rsidP="001F674B">
            <w:pPr>
              <w:spacing w:before="120" w:after="120"/>
              <w:rPr>
                <w:rFonts w:ascii="Arial" w:hAnsi="Arial" w:cs="Arial"/>
                <w:b/>
              </w:rPr>
            </w:pPr>
            <w:r>
              <w:rPr>
                <w:rFonts w:ascii="Arial" w:hAnsi="Arial" w:cs="Arial"/>
                <w:b/>
              </w:rPr>
              <w:t xml:space="preserve">Andreea Craciun </w:t>
            </w:r>
          </w:p>
        </w:tc>
        <w:tc>
          <w:tcPr>
            <w:tcW w:w="1998" w:type="dxa"/>
            <w:shd w:val="clear" w:color="auto" w:fill="D9D9D9" w:themeFill="background1" w:themeFillShade="D9"/>
          </w:tcPr>
          <w:p w14:paraId="20883F7B" w14:textId="77777777" w:rsidR="00436ACA" w:rsidRPr="00A406E5" w:rsidRDefault="00436ACA" w:rsidP="001F674B">
            <w:pPr>
              <w:spacing w:before="120" w:after="120"/>
              <w:rPr>
                <w:rFonts w:ascii="Arial" w:hAnsi="Arial" w:cs="Arial"/>
                <w:b/>
              </w:rPr>
            </w:pPr>
            <w:r w:rsidRPr="00A406E5">
              <w:rPr>
                <w:rFonts w:ascii="Arial" w:hAnsi="Arial" w:cs="Arial"/>
                <w:b/>
              </w:rPr>
              <w:t>Student ID number:</w:t>
            </w:r>
          </w:p>
        </w:tc>
        <w:tc>
          <w:tcPr>
            <w:tcW w:w="2381" w:type="dxa"/>
          </w:tcPr>
          <w:p w14:paraId="25F8205C" w14:textId="6436BD3D" w:rsidR="00436ACA" w:rsidRPr="00A406E5" w:rsidRDefault="00436ACA" w:rsidP="001F674B">
            <w:pPr>
              <w:spacing w:before="120" w:after="120"/>
              <w:rPr>
                <w:rFonts w:ascii="Arial" w:hAnsi="Arial" w:cs="Arial"/>
                <w:b/>
              </w:rPr>
            </w:pPr>
            <w:r>
              <w:rPr>
                <w:rFonts w:ascii="Arial" w:hAnsi="Arial" w:cs="Arial"/>
                <w:b/>
              </w:rPr>
              <w:t>2212082</w:t>
            </w:r>
          </w:p>
        </w:tc>
      </w:tr>
      <w:tr w:rsidR="00436ACA" w:rsidRPr="00A406E5" w14:paraId="6195671D" w14:textId="77777777" w:rsidTr="001F674B">
        <w:tc>
          <w:tcPr>
            <w:tcW w:w="1588" w:type="dxa"/>
          </w:tcPr>
          <w:p w14:paraId="45CF0560" w14:textId="77777777" w:rsidR="00436ACA" w:rsidRPr="00A406E5" w:rsidRDefault="00436ACA" w:rsidP="001F674B">
            <w:pPr>
              <w:spacing w:before="120" w:after="120"/>
              <w:rPr>
                <w:rFonts w:ascii="Arial" w:hAnsi="Arial" w:cs="Arial"/>
                <w:b/>
              </w:rPr>
            </w:pPr>
            <w:r w:rsidRPr="00A406E5">
              <w:rPr>
                <w:rFonts w:ascii="Arial" w:hAnsi="Arial" w:cs="Arial"/>
                <w:b/>
              </w:rPr>
              <w:t>Programme:</w:t>
            </w:r>
          </w:p>
        </w:tc>
        <w:tc>
          <w:tcPr>
            <w:tcW w:w="8334" w:type="dxa"/>
            <w:gridSpan w:val="3"/>
          </w:tcPr>
          <w:p w14:paraId="320E1702" w14:textId="77777777" w:rsidR="00436ACA" w:rsidRPr="00A406E5" w:rsidRDefault="00436ACA" w:rsidP="001F674B">
            <w:pPr>
              <w:spacing w:before="120" w:after="120"/>
              <w:rPr>
                <w:rFonts w:ascii="Arial" w:hAnsi="Arial" w:cs="Arial"/>
                <w:b/>
              </w:rPr>
            </w:pPr>
            <w:bookmarkStart w:id="0" w:name="_Hlk211513311"/>
            <w:r>
              <w:rPr>
                <w:rFonts w:ascii="Arial" w:hAnsi="Arial" w:cs="Arial"/>
                <w:b/>
              </w:rPr>
              <w:t>Master of Business Administration</w:t>
            </w:r>
            <w:bookmarkEnd w:id="0"/>
          </w:p>
        </w:tc>
      </w:tr>
      <w:tr w:rsidR="00436ACA" w:rsidRPr="00A406E5" w14:paraId="159A73DC" w14:textId="77777777" w:rsidTr="001F674B">
        <w:trPr>
          <w:trHeight w:val="440"/>
        </w:trPr>
        <w:tc>
          <w:tcPr>
            <w:tcW w:w="1588" w:type="dxa"/>
          </w:tcPr>
          <w:p w14:paraId="3BA1B700" w14:textId="77777777" w:rsidR="00436ACA" w:rsidRPr="00A406E5" w:rsidRDefault="00436ACA" w:rsidP="001F674B">
            <w:pPr>
              <w:spacing w:before="120" w:after="120"/>
              <w:rPr>
                <w:rFonts w:ascii="Arial" w:hAnsi="Arial" w:cs="Arial"/>
                <w:b/>
              </w:rPr>
            </w:pPr>
            <w:r w:rsidRPr="00A406E5">
              <w:rPr>
                <w:rFonts w:ascii="Arial" w:hAnsi="Arial" w:cs="Arial"/>
                <w:b/>
              </w:rPr>
              <w:t>Module:</w:t>
            </w:r>
          </w:p>
        </w:tc>
        <w:tc>
          <w:tcPr>
            <w:tcW w:w="8334" w:type="dxa"/>
            <w:gridSpan w:val="3"/>
          </w:tcPr>
          <w:p w14:paraId="45F65151" w14:textId="77777777" w:rsidR="00436ACA" w:rsidRPr="00A406E5" w:rsidRDefault="00436ACA" w:rsidP="001F674B">
            <w:pPr>
              <w:spacing w:before="120" w:after="120"/>
              <w:rPr>
                <w:rFonts w:ascii="Arial" w:hAnsi="Arial" w:cs="Arial"/>
                <w:b/>
              </w:rPr>
            </w:pPr>
            <w:r>
              <w:rPr>
                <w:rFonts w:ascii="Arial" w:hAnsi="Arial" w:cs="Arial"/>
                <w:b/>
              </w:rPr>
              <w:t>Human Capital Management</w:t>
            </w:r>
          </w:p>
        </w:tc>
      </w:tr>
      <w:tr w:rsidR="00436ACA" w:rsidRPr="00A406E5" w14:paraId="74B3B9FB" w14:textId="77777777" w:rsidTr="001F674B">
        <w:tc>
          <w:tcPr>
            <w:tcW w:w="1588" w:type="dxa"/>
          </w:tcPr>
          <w:p w14:paraId="615B73D2" w14:textId="77777777" w:rsidR="00436ACA" w:rsidRPr="00A406E5" w:rsidRDefault="00436ACA" w:rsidP="001F674B">
            <w:pPr>
              <w:spacing w:before="120" w:after="120"/>
              <w:rPr>
                <w:rFonts w:ascii="Arial" w:hAnsi="Arial" w:cs="Arial"/>
                <w:b/>
              </w:rPr>
            </w:pPr>
            <w:r w:rsidRPr="00A406E5">
              <w:rPr>
                <w:rFonts w:ascii="Arial" w:hAnsi="Arial" w:cs="Arial"/>
                <w:b/>
              </w:rPr>
              <w:t>Module code:</w:t>
            </w:r>
          </w:p>
        </w:tc>
        <w:tc>
          <w:tcPr>
            <w:tcW w:w="3955" w:type="dxa"/>
          </w:tcPr>
          <w:p w14:paraId="0C772246" w14:textId="77777777" w:rsidR="00436ACA" w:rsidRPr="00A406E5" w:rsidRDefault="00436ACA" w:rsidP="001F674B">
            <w:pPr>
              <w:spacing w:before="120" w:after="120"/>
              <w:rPr>
                <w:rFonts w:ascii="Arial" w:hAnsi="Arial" w:cs="Arial"/>
                <w:b/>
              </w:rPr>
            </w:pPr>
            <w:r>
              <w:rPr>
                <w:rFonts w:ascii="Arial" w:hAnsi="Arial" w:cs="Arial"/>
                <w:b/>
              </w:rPr>
              <w:t>LCMB7023</w:t>
            </w:r>
          </w:p>
        </w:tc>
        <w:tc>
          <w:tcPr>
            <w:tcW w:w="1998" w:type="dxa"/>
            <w:shd w:val="clear" w:color="auto" w:fill="D9D9D9" w:themeFill="background1" w:themeFillShade="D9"/>
          </w:tcPr>
          <w:p w14:paraId="516A88E2" w14:textId="77777777" w:rsidR="00436ACA" w:rsidRPr="004D5E9B" w:rsidRDefault="00436ACA" w:rsidP="001F674B">
            <w:pPr>
              <w:pStyle w:val="Heading2"/>
              <w:rPr>
                <w:rFonts w:cs="Arial"/>
                <w:sz w:val="22"/>
                <w:szCs w:val="22"/>
              </w:rPr>
            </w:pPr>
            <w:r w:rsidRPr="00A406E5">
              <w:rPr>
                <w:rFonts w:cs="Arial"/>
                <w:sz w:val="22"/>
                <w:szCs w:val="22"/>
              </w:rPr>
              <w:t>Contribution to Overall Module Assessment (%):</w:t>
            </w:r>
          </w:p>
        </w:tc>
        <w:tc>
          <w:tcPr>
            <w:tcW w:w="2381" w:type="dxa"/>
          </w:tcPr>
          <w:p w14:paraId="7F121B71" w14:textId="77777777" w:rsidR="00436ACA" w:rsidRPr="00A406E5" w:rsidRDefault="00436ACA" w:rsidP="001F674B">
            <w:pPr>
              <w:spacing w:before="120" w:after="120"/>
              <w:rPr>
                <w:rFonts w:ascii="Arial" w:hAnsi="Arial" w:cs="Arial"/>
                <w:b/>
              </w:rPr>
            </w:pPr>
            <w:r>
              <w:rPr>
                <w:rFonts w:ascii="Arial" w:hAnsi="Arial" w:cs="Arial"/>
                <w:b/>
              </w:rPr>
              <w:t>50%</w:t>
            </w:r>
          </w:p>
        </w:tc>
      </w:tr>
      <w:tr w:rsidR="00436ACA" w:rsidRPr="00A406E5" w14:paraId="6F8900F8" w14:textId="77777777" w:rsidTr="001F674B">
        <w:tc>
          <w:tcPr>
            <w:tcW w:w="1588" w:type="dxa"/>
          </w:tcPr>
          <w:p w14:paraId="2DF2BCCF" w14:textId="77777777" w:rsidR="00436ACA" w:rsidRPr="00A406E5" w:rsidRDefault="00436ACA" w:rsidP="001F674B">
            <w:pPr>
              <w:spacing w:before="120" w:after="120"/>
              <w:rPr>
                <w:rFonts w:ascii="Arial" w:hAnsi="Arial" w:cs="Arial"/>
                <w:b/>
              </w:rPr>
            </w:pPr>
            <w:r w:rsidRPr="00A406E5">
              <w:rPr>
                <w:rFonts w:ascii="Arial" w:hAnsi="Arial" w:cs="Arial"/>
                <w:b/>
              </w:rPr>
              <w:t>Lecturer:</w:t>
            </w:r>
          </w:p>
        </w:tc>
        <w:tc>
          <w:tcPr>
            <w:tcW w:w="3955" w:type="dxa"/>
          </w:tcPr>
          <w:p w14:paraId="544216F5" w14:textId="77777777" w:rsidR="00436ACA" w:rsidRPr="00A406E5" w:rsidRDefault="00436ACA" w:rsidP="001F674B">
            <w:pPr>
              <w:spacing w:before="120" w:after="120"/>
              <w:rPr>
                <w:rFonts w:ascii="Arial" w:hAnsi="Arial" w:cs="Arial"/>
                <w:b/>
              </w:rPr>
            </w:pPr>
            <w:r>
              <w:rPr>
                <w:rFonts w:ascii="Arial" w:hAnsi="Arial" w:cs="Arial"/>
                <w:b/>
              </w:rPr>
              <w:t xml:space="preserve">Ejike </w:t>
            </w:r>
            <w:proofErr w:type="spellStart"/>
            <w:r>
              <w:rPr>
                <w:rFonts w:ascii="Arial" w:hAnsi="Arial" w:cs="Arial"/>
                <w:b/>
              </w:rPr>
              <w:t>Udeogu</w:t>
            </w:r>
            <w:proofErr w:type="spellEnd"/>
            <w:r>
              <w:rPr>
                <w:rFonts w:ascii="Arial" w:hAnsi="Arial" w:cs="Arial"/>
                <w:b/>
              </w:rPr>
              <w:t xml:space="preserve"> (Birmingham)</w:t>
            </w:r>
          </w:p>
        </w:tc>
        <w:tc>
          <w:tcPr>
            <w:tcW w:w="1998" w:type="dxa"/>
            <w:shd w:val="clear" w:color="auto" w:fill="D9D9D9" w:themeFill="background1" w:themeFillShade="D9"/>
          </w:tcPr>
          <w:p w14:paraId="067792F8" w14:textId="77777777" w:rsidR="00436ACA" w:rsidRPr="00A406E5" w:rsidRDefault="00436ACA" w:rsidP="001F674B">
            <w:pPr>
              <w:spacing w:before="120" w:after="120"/>
              <w:rPr>
                <w:rFonts w:ascii="Arial" w:hAnsi="Arial" w:cs="Arial"/>
                <w:b/>
              </w:rPr>
            </w:pPr>
            <w:r w:rsidRPr="00A406E5">
              <w:rPr>
                <w:rFonts w:ascii="Arial" w:hAnsi="Arial" w:cs="Arial"/>
                <w:b/>
              </w:rPr>
              <w:t>Internal Verifier:</w:t>
            </w:r>
          </w:p>
        </w:tc>
        <w:tc>
          <w:tcPr>
            <w:tcW w:w="2381" w:type="dxa"/>
          </w:tcPr>
          <w:p w14:paraId="344DDF07" w14:textId="77777777" w:rsidR="00436ACA" w:rsidRDefault="00436ACA" w:rsidP="001F674B">
            <w:pPr>
              <w:spacing w:before="120" w:after="120"/>
              <w:rPr>
                <w:rFonts w:ascii="Arial" w:hAnsi="Arial" w:cs="Arial"/>
                <w:b/>
              </w:rPr>
            </w:pPr>
            <w:r>
              <w:rPr>
                <w:rFonts w:ascii="Arial" w:hAnsi="Arial" w:cs="Arial"/>
                <w:b/>
              </w:rPr>
              <w:t xml:space="preserve">Vasilios Tavlaridis </w:t>
            </w:r>
          </w:p>
          <w:p w14:paraId="2A71EC75" w14:textId="77777777" w:rsidR="00436ACA" w:rsidRPr="00A406E5" w:rsidRDefault="00436ACA" w:rsidP="001F674B">
            <w:pPr>
              <w:spacing w:before="120" w:after="120"/>
              <w:rPr>
                <w:rFonts w:ascii="Arial" w:hAnsi="Arial" w:cs="Arial"/>
                <w:b/>
              </w:rPr>
            </w:pPr>
            <w:r>
              <w:rPr>
                <w:rFonts w:ascii="Arial" w:hAnsi="Arial" w:cs="Arial"/>
                <w:b/>
              </w:rPr>
              <w:t>Hoang Nguyen</w:t>
            </w:r>
          </w:p>
        </w:tc>
      </w:tr>
      <w:tr w:rsidR="00436ACA" w:rsidRPr="00A406E5" w14:paraId="3BF965F3" w14:textId="77777777" w:rsidTr="001F674B">
        <w:tc>
          <w:tcPr>
            <w:tcW w:w="1588" w:type="dxa"/>
          </w:tcPr>
          <w:p w14:paraId="75F71A55" w14:textId="77777777" w:rsidR="00436ACA" w:rsidRPr="00A406E5" w:rsidRDefault="00436ACA" w:rsidP="001F674B">
            <w:pPr>
              <w:spacing w:before="120" w:after="120"/>
              <w:rPr>
                <w:rFonts w:ascii="Arial" w:hAnsi="Arial" w:cs="Arial"/>
                <w:b/>
              </w:rPr>
            </w:pPr>
            <w:r w:rsidRPr="00A406E5">
              <w:rPr>
                <w:rFonts w:ascii="Arial" w:hAnsi="Arial" w:cs="Arial"/>
                <w:b/>
              </w:rPr>
              <w:t>Assignment Title:</w:t>
            </w:r>
          </w:p>
        </w:tc>
        <w:tc>
          <w:tcPr>
            <w:tcW w:w="3955" w:type="dxa"/>
          </w:tcPr>
          <w:p w14:paraId="23BA32FB" w14:textId="77777777" w:rsidR="00436ACA" w:rsidRDefault="00436ACA" w:rsidP="001F674B">
            <w:pPr>
              <w:spacing w:before="120" w:after="120"/>
              <w:rPr>
                <w:rFonts w:ascii="Arial" w:hAnsi="Arial" w:cs="Arial"/>
                <w:b/>
              </w:rPr>
            </w:pPr>
            <w:r>
              <w:rPr>
                <w:rFonts w:ascii="Arial" w:hAnsi="Arial" w:cs="Arial"/>
                <w:b/>
              </w:rPr>
              <w:t xml:space="preserve">Assessment </w:t>
            </w:r>
            <w:proofErr w:type="gramStart"/>
            <w:r>
              <w:rPr>
                <w:rFonts w:ascii="Arial" w:hAnsi="Arial" w:cs="Arial"/>
                <w:b/>
              </w:rPr>
              <w:t>component  1</w:t>
            </w:r>
            <w:proofErr w:type="gramEnd"/>
            <w:r>
              <w:rPr>
                <w:rFonts w:ascii="Arial" w:hAnsi="Arial" w:cs="Arial"/>
                <w:b/>
              </w:rPr>
              <w:t>:</w:t>
            </w:r>
          </w:p>
          <w:p w14:paraId="394283A7" w14:textId="77777777" w:rsidR="00436ACA" w:rsidRPr="00A406E5" w:rsidRDefault="00436ACA" w:rsidP="001F674B">
            <w:pPr>
              <w:spacing w:before="120" w:after="120"/>
              <w:rPr>
                <w:rFonts w:ascii="Arial" w:hAnsi="Arial" w:cs="Arial"/>
                <w:b/>
              </w:rPr>
            </w:pPr>
            <w:r w:rsidRPr="00FF5BC0">
              <w:rPr>
                <w:rFonts w:ascii="Arial" w:hAnsi="Arial" w:cs="Arial"/>
                <w:b/>
              </w:rPr>
              <w:t>Individual report</w:t>
            </w:r>
          </w:p>
        </w:tc>
        <w:tc>
          <w:tcPr>
            <w:tcW w:w="1998" w:type="dxa"/>
          </w:tcPr>
          <w:p w14:paraId="47C1678C" w14:textId="77777777" w:rsidR="00436ACA" w:rsidRPr="00A406E5" w:rsidRDefault="00436ACA" w:rsidP="001F674B">
            <w:pPr>
              <w:spacing w:before="120" w:after="120"/>
              <w:rPr>
                <w:rFonts w:ascii="Arial" w:hAnsi="Arial" w:cs="Arial"/>
                <w:b/>
              </w:rPr>
            </w:pPr>
            <w:r>
              <w:rPr>
                <w:rFonts w:ascii="Arial" w:hAnsi="Arial" w:cs="Arial"/>
                <w:b/>
              </w:rPr>
              <w:t>Word count (or equivalent):</w:t>
            </w:r>
          </w:p>
        </w:tc>
        <w:tc>
          <w:tcPr>
            <w:tcW w:w="2381" w:type="dxa"/>
          </w:tcPr>
          <w:p w14:paraId="61AE4371" w14:textId="77777777" w:rsidR="00436ACA" w:rsidRDefault="00436ACA" w:rsidP="001F674B">
            <w:pPr>
              <w:spacing w:before="120" w:after="120"/>
              <w:rPr>
                <w:rFonts w:ascii="Arial" w:hAnsi="Arial" w:cs="Arial"/>
                <w:b/>
              </w:rPr>
            </w:pPr>
            <w:r>
              <w:rPr>
                <w:rFonts w:ascii="Arial" w:hAnsi="Arial" w:cs="Arial"/>
                <w:b/>
              </w:rPr>
              <w:t>2,500 words</w:t>
            </w:r>
          </w:p>
          <w:p w14:paraId="755E413B" w14:textId="77777777" w:rsidR="00436ACA" w:rsidRPr="00A406E5" w:rsidRDefault="00436ACA" w:rsidP="001F674B">
            <w:pPr>
              <w:spacing w:before="120" w:after="120"/>
              <w:rPr>
                <w:rFonts w:ascii="Arial" w:hAnsi="Arial" w:cs="Arial"/>
                <w:b/>
              </w:rPr>
            </w:pPr>
            <w:r>
              <w:rPr>
                <w:rFonts w:ascii="Arial" w:hAnsi="Arial" w:cs="Arial"/>
                <w:b/>
              </w:rPr>
              <w:t>(± 10%)</w:t>
            </w:r>
          </w:p>
        </w:tc>
      </w:tr>
    </w:tbl>
    <w:p w14:paraId="5E73CABD" w14:textId="77777777" w:rsidR="00436ACA" w:rsidRDefault="00436ACA" w:rsidP="00436ACA">
      <w:pPr>
        <w:rPr>
          <w:b/>
          <w:bCs/>
        </w:rPr>
      </w:pPr>
    </w:p>
    <w:p w14:paraId="737A15B5" w14:textId="77777777" w:rsidR="00436ACA" w:rsidRDefault="00436ACA" w:rsidP="00436ACA">
      <w:pPr>
        <w:rPr>
          <w:b/>
          <w:bCs/>
        </w:rPr>
      </w:pPr>
    </w:p>
    <w:p w14:paraId="64DFA6FE" w14:textId="77777777" w:rsidR="00436ACA" w:rsidRDefault="00436ACA" w:rsidP="00436ACA">
      <w:pPr>
        <w:rPr>
          <w:b/>
          <w:bCs/>
        </w:rPr>
      </w:pPr>
    </w:p>
    <w:p w14:paraId="39DA7B06" w14:textId="77777777" w:rsidR="00436ACA" w:rsidRDefault="00436ACA" w:rsidP="00436ACA">
      <w:pPr>
        <w:rPr>
          <w:b/>
          <w:bCs/>
        </w:rPr>
      </w:pPr>
    </w:p>
    <w:p w14:paraId="6752BC6D" w14:textId="77777777" w:rsidR="00436ACA" w:rsidRDefault="00436ACA" w:rsidP="00436ACA">
      <w:pPr>
        <w:rPr>
          <w:b/>
          <w:bCs/>
        </w:rPr>
      </w:pPr>
    </w:p>
    <w:p w14:paraId="4780CF2A" w14:textId="77777777" w:rsidR="00436ACA" w:rsidRDefault="00436ACA" w:rsidP="00436ACA">
      <w:pPr>
        <w:rPr>
          <w:b/>
          <w:bCs/>
        </w:rPr>
      </w:pPr>
    </w:p>
    <w:p w14:paraId="74732008" w14:textId="77777777" w:rsidR="00436ACA" w:rsidRDefault="00436ACA" w:rsidP="00436ACA">
      <w:pPr>
        <w:rPr>
          <w:b/>
          <w:bCs/>
        </w:rPr>
      </w:pPr>
    </w:p>
    <w:p w14:paraId="53ED17AA" w14:textId="77777777" w:rsidR="00436ACA" w:rsidRDefault="00436ACA" w:rsidP="00436ACA">
      <w:pPr>
        <w:rPr>
          <w:b/>
          <w:bCs/>
        </w:rPr>
      </w:pPr>
    </w:p>
    <w:p w14:paraId="42781EC0" w14:textId="77777777" w:rsidR="00436ACA" w:rsidRDefault="00436ACA" w:rsidP="00436ACA">
      <w:pPr>
        <w:rPr>
          <w:b/>
          <w:bCs/>
        </w:rPr>
      </w:pPr>
    </w:p>
    <w:p w14:paraId="6906AFDE" w14:textId="77777777" w:rsidR="00436ACA" w:rsidRDefault="00436ACA" w:rsidP="00436ACA">
      <w:pPr>
        <w:rPr>
          <w:b/>
          <w:bCs/>
        </w:rPr>
      </w:pPr>
    </w:p>
    <w:p w14:paraId="4D926E5F" w14:textId="77777777" w:rsidR="00436ACA" w:rsidRDefault="00436ACA" w:rsidP="00436ACA">
      <w:pPr>
        <w:rPr>
          <w:b/>
          <w:bCs/>
        </w:rPr>
      </w:pPr>
    </w:p>
    <w:p w14:paraId="0C8C3F94" w14:textId="77777777" w:rsidR="00436ACA" w:rsidRDefault="00436ACA" w:rsidP="00436ACA">
      <w:pPr>
        <w:rPr>
          <w:b/>
          <w:bCs/>
        </w:rPr>
      </w:pPr>
    </w:p>
    <w:p w14:paraId="0D43681C" w14:textId="77777777" w:rsidR="00436ACA" w:rsidRDefault="00436ACA" w:rsidP="00436ACA">
      <w:pPr>
        <w:rPr>
          <w:b/>
          <w:bCs/>
        </w:rPr>
      </w:pPr>
    </w:p>
    <w:p w14:paraId="362F9FAB" w14:textId="77777777" w:rsidR="00436ACA" w:rsidRDefault="00436ACA" w:rsidP="00436ACA">
      <w:pPr>
        <w:rPr>
          <w:b/>
          <w:bCs/>
        </w:rPr>
      </w:pPr>
    </w:p>
    <w:p w14:paraId="03F0EF25" w14:textId="77777777" w:rsidR="00436ACA" w:rsidRDefault="00436ACA" w:rsidP="00436ACA">
      <w:pPr>
        <w:rPr>
          <w:b/>
          <w:bCs/>
        </w:rPr>
      </w:pPr>
    </w:p>
    <w:p w14:paraId="703E6F0F" w14:textId="77777777" w:rsidR="00436ACA" w:rsidRDefault="00436ACA" w:rsidP="00436ACA">
      <w:pPr>
        <w:rPr>
          <w:b/>
          <w:bCs/>
        </w:rPr>
      </w:pPr>
    </w:p>
    <w:p w14:paraId="38561837" w14:textId="77777777" w:rsidR="00436ACA" w:rsidRDefault="00436ACA" w:rsidP="00436ACA">
      <w:pPr>
        <w:rPr>
          <w:b/>
          <w:bCs/>
        </w:rPr>
      </w:pPr>
    </w:p>
    <w:p w14:paraId="45BEA667" w14:textId="77777777" w:rsidR="00436ACA" w:rsidRDefault="00436ACA" w:rsidP="00436ACA">
      <w:pPr>
        <w:rPr>
          <w:b/>
          <w:bCs/>
        </w:rPr>
      </w:pPr>
    </w:p>
    <w:p w14:paraId="03777BE7" w14:textId="77777777" w:rsidR="00436ACA" w:rsidRDefault="00436ACA" w:rsidP="00436ACA">
      <w:pPr>
        <w:rPr>
          <w:b/>
          <w:bCs/>
        </w:rPr>
      </w:pPr>
    </w:p>
    <w:p w14:paraId="36DC7E40" w14:textId="77777777" w:rsidR="00436ACA" w:rsidRDefault="00436ACA" w:rsidP="00436ACA">
      <w:pPr>
        <w:rPr>
          <w:b/>
          <w:bCs/>
        </w:rPr>
      </w:pPr>
    </w:p>
    <w:p w14:paraId="22F1B83F" w14:textId="77777777" w:rsidR="00436ACA" w:rsidRPr="00436ACA" w:rsidRDefault="00436ACA" w:rsidP="00436ACA">
      <w:pPr>
        <w:rPr>
          <w:rFonts w:ascii="Arial" w:hAnsi="Arial" w:cs="Arial"/>
          <w:b/>
          <w:bCs/>
          <w:sz w:val="28"/>
          <w:szCs w:val="28"/>
        </w:rPr>
      </w:pPr>
    </w:p>
    <w:p w14:paraId="72D4E28A" w14:textId="77777777" w:rsidR="00436ACA" w:rsidRPr="00436ACA" w:rsidRDefault="00436ACA" w:rsidP="00436ACA">
      <w:pPr>
        <w:ind w:left="2160"/>
        <w:rPr>
          <w:rFonts w:ascii="Arial" w:hAnsi="Arial" w:cs="Arial"/>
          <w:b/>
          <w:bCs/>
          <w:sz w:val="28"/>
          <w:szCs w:val="28"/>
        </w:rPr>
      </w:pPr>
      <w:r w:rsidRPr="00436ACA">
        <w:rPr>
          <w:rFonts w:ascii="Arial" w:hAnsi="Arial" w:cs="Arial"/>
          <w:b/>
          <w:bCs/>
          <w:sz w:val="28"/>
          <w:szCs w:val="28"/>
        </w:rPr>
        <w:t>The Influence of National and International Labour</w:t>
      </w:r>
    </w:p>
    <w:p w14:paraId="6E754548" w14:textId="69AB7C85" w:rsidR="00436ACA" w:rsidRDefault="00436ACA" w:rsidP="00436ACA">
      <w:pPr>
        <w:ind w:left="2160" w:firstLine="720"/>
        <w:rPr>
          <w:rFonts w:ascii="Arial" w:hAnsi="Arial" w:cs="Arial"/>
          <w:b/>
          <w:bCs/>
          <w:sz w:val="28"/>
          <w:szCs w:val="28"/>
        </w:rPr>
      </w:pPr>
      <w:r w:rsidRPr="00436ACA">
        <w:rPr>
          <w:rFonts w:ascii="Arial" w:hAnsi="Arial" w:cs="Arial"/>
          <w:b/>
          <w:bCs/>
          <w:sz w:val="28"/>
          <w:szCs w:val="28"/>
        </w:rPr>
        <w:t xml:space="preserve"> Markets on HRM and IHRM Strategies</w:t>
      </w:r>
    </w:p>
    <w:p w14:paraId="61FBE194" w14:textId="77777777" w:rsidR="00436ACA" w:rsidRDefault="00436ACA" w:rsidP="00436ACA">
      <w:pPr>
        <w:ind w:left="2160" w:firstLine="720"/>
        <w:rPr>
          <w:rFonts w:ascii="Arial" w:hAnsi="Arial" w:cs="Arial"/>
          <w:b/>
          <w:bCs/>
          <w:sz w:val="28"/>
          <w:szCs w:val="28"/>
        </w:rPr>
      </w:pPr>
    </w:p>
    <w:p w14:paraId="6DF61266" w14:textId="77777777" w:rsidR="00436ACA" w:rsidRPr="00436ACA" w:rsidRDefault="00436ACA" w:rsidP="00436ACA">
      <w:pPr>
        <w:ind w:left="2160" w:firstLine="720"/>
        <w:rPr>
          <w:rFonts w:ascii="Arial" w:hAnsi="Arial" w:cs="Arial"/>
          <w:b/>
          <w:bCs/>
          <w:sz w:val="28"/>
          <w:szCs w:val="28"/>
        </w:rPr>
      </w:pPr>
    </w:p>
    <w:p w14:paraId="389B9EA8" w14:textId="76F8B791" w:rsidR="00436ACA" w:rsidRPr="00436ACA" w:rsidRDefault="00436ACA" w:rsidP="00436ACA">
      <w:pPr>
        <w:spacing w:line="360" w:lineRule="auto"/>
        <w:ind w:firstLine="720"/>
        <w:rPr>
          <w:rFonts w:ascii="Arial" w:hAnsi="Arial" w:cs="Arial"/>
          <w:b/>
          <w:bCs/>
        </w:rPr>
      </w:pPr>
      <w:r w:rsidRPr="00436ACA">
        <w:rPr>
          <w:rFonts w:ascii="Arial" w:hAnsi="Arial" w:cs="Arial"/>
          <w:b/>
          <w:bCs/>
        </w:rPr>
        <w:t>1.</w:t>
      </w:r>
      <w:r w:rsidRPr="00436ACA">
        <w:rPr>
          <w:rFonts w:ascii="Arial" w:hAnsi="Arial" w:cs="Arial"/>
          <w:b/>
          <w:bCs/>
        </w:rPr>
        <w:t xml:space="preserve">How are technological advancements (e.g., AI, automation, digital platforms) reshaping labour markets, and what implications does this have for HRM and IHRM strategies? </w:t>
      </w:r>
    </w:p>
    <w:p w14:paraId="53250ACA" w14:textId="77777777" w:rsidR="00436ACA" w:rsidRPr="00436ACA" w:rsidRDefault="00436ACA" w:rsidP="00436ACA">
      <w:pPr>
        <w:spacing w:line="360" w:lineRule="auto"/>
        <w:rPr>
          <w:rFonts w:ascii="Arial" w:hAnsi="Arial" w:cs="Arial"/>
          <w:b/>
          <w:bCs/>
        </w:rPr>
      </w:pPr>
    </w:p>
    <w:p w14:paraId="426ED960" w14:textId="45226261" w:rsidR="00436ACA" w:rsidRPr="00436ACA" w:rsidRDefault="00436ACA" w:rsidP="00436ACA">
      <w:pPr>
        <w:spacing w:line="360" w:lineRule="auto"/>
        <w:rPr>
          <w:rFonts w:ascii="Arial" w:hAnsi="Arial" w:cs="Arial"/>
        </w:rPr>
      </w:pPr>
      <w:r w:rsidRPr="00436ACA">
        <w:rPr>
          <w:rFonts w:ascii="Arial" w:hAnsi="Arial" w:cs="Arial"/>
        </w:rPr>
        <w:t>Technological advancements, particularly artificial intelligence (AI), automation, and digital platforms, are profoundly reshaping labour markets globally. The World Economic Forum (2023) reports that AI and automation are projected to displace 85 million jobs worldwide by 2025, while simultaneously creating 97 million new roles that demand digital skills. This dual effect challenges traditional human resource management (HRM) practices, requiring organisations to adopt flexible, future-oriented strategies that respond to rapid technological change.</w:t>
      </w:r>
    </w:p>
    <w:p w14:paraId="31960EA5" w14:textId="77777777" w:rsidR="00436ACA" w:rsidRPr="00436ACA" w:rsidRDefault="00436ACA" w:rsidP="00436ACA">
      <w:pPr>
        <w:spacing w:line="360" w:lineRule="auto"/>
        <w:rPr>
          <w:rFonts w:ascii="Arial" w:hAnsi="Arial" w:cs="Arial"/>
        </w:rPr>
      </w:pPr>
      <w:r w:rsidRPr="00436ACA">
        <w:rPr>
          <w:rFonts w:ascii="Arial" w:hAnsi="Arial" w:cs="Arial"/>
        </w:rPr>
        <w:t>For HRM, the adoption of AI and automation necessitates a shift from transactional HR functions toward strategic workforce planning. Automation can streamline administrative tasks such as payroll, recruitment, and performance tracking, freeing HR professionals to focus on employee development, engagement, and organisational culture (Bersin, 2021). Furthermore, HR analytics platforms now allow managers to predict turnover, identify high-potential talent, and design personalised learning pathways, enhancing employee retention and productivity (Cascio &amp; Montealegre, 2016).</w:t>
      </w:r>
    </w:p>
    <w:p w14:paraId="64BC9074" w14:textId="77777777" w:rsidR="00436ACA" w:rsidRPr="00436ACA" w:rsidRDefault="00436ACA" w:rsidP="00436ACA">
      <w:pPr>
        <w:spacing w:line="360" w:lineRule="auto"/>
        <w:rPr>
          <w:rFonts w:ascii="Arial" w:hAnsi="Arial" w:cs="Arial"/>
        </w:rPr>
      </w:pPr>
      <w:r w:rsidRPr="00436ACA">
        <w:rPr>
          <w:rFonts w:ascii="Arial" w:hAnsi="Arial" w:cs="Arial"/>
        </w:rPr>
        <w:t>In the context of international HRM (IHRM), digital platforms facilitate global talent acquisition and remote workforce management. Companies like IBM and Microsoft leverage AI-driven platforms to manage geographically dispersed teams, ensuring that HR policies are aligned with local employment laws and cultural norms (Farndale et al., 2017). This requires HR professionals to develop competencies in cross-cultural communication, virtual collaboration, and digital literacy.</w:t>
      </w:r>
    </w:p>
    <w:p w14:paraId="30FE9B0B" w14:textId="77777777" w:rsidR="00436ACA" w:rsidRPr="00436ACA" w:rsidRDefault="00436ACA" w:rsidP="00436ACA">
      <w:pPr>
        <w:spacing w:line="360" w:lineRule="auto"/>
        <w:rPr>
          <w:rFonts w:ascii="Arial" w:hAnsi="Arial" w:cs="Arial"/>
        </w:rPr>
      </w:pPr>
      <w:r w:rsidRPr="00436ACA">
        <w:rPr>
          <w:rFonts w:ascii="Arial" w:hAnsi="Arial" w:cs="Arial"/>
        </w:rPr>
        <w:t xml:space="preserve">However, the rapid pace of technological adoption also raises ethical and social considerations. HRM and IHRM strategies must address potential workforce displacement, privacy concerns, and algorithmic bias in recruitment processes (Raghavan et al., 2020). </w:t>
      </w:r>
      <w:r w:rsidRPr="00436ACA">
        <w:rPr>
          <w:rFonts w:ascii="Arial" w:hAnsi="Arial" w:cs="Arial"/>
        </w:rPr>
        <w:lastRenderedPageBreak/>
        <w:t>Organisations that proactively reskill employees and foster continuous learning are better positioned to mitigate these risks and maintain a competitive advantage.</w:t>
      </w:r>
    </w:p>
    <w:p w14:paraId="328EB3DD" w14:textId="77777777" w:rsidR="00436ACA" w:rsidRPr="00436ACA" w:rsidRDefault="00436ACA" w:rsidP="00436ACA">
      <w:pPr>
        <w:spacing w:line="360" w:lineRule="auto"/>
        <w:rPr>
          <w:rFonts w:ascii="Arial" w:hAnsi="Arial" w:cs="Arial"/>
        </w:rPr>
      </w:pPr>
      <w:r w:rsidRPr="00436ACA">
        <w:rPr>
          <w:rFonts w:ascii="Arial" w:hAnsi="Arial" w:cs="Arial"/>
        </w:rPr>
        <w:t>In conclusion, technological advancements demand that HRM and IHRM strategies evolve from traditional administrative functions to strategic, innovation-focused approaches. Organisations must balance efficiency gains with employee wellbeing, reskilling initiatives, and ethical considerations to succeed in a rapidly transforming labour market.</w:t>
      </w:r>
    </w:p>
    <w:p w14:paraId="634E0842" w14:textId="3EA72219" w:rsidR="00436ACA" w:rsidRPr="00436ACA" w:rsidRDefault="00436ACA" w:rsidP="00436ACA">
      <w:pPr>
        <w:spacing w:line="360" w:lineRule="auto"/>
        <w:rPr>
          <w:rFonts w:ascii="Arial" w:hAnsi="Arial" w:cs="Arial"/>
        </w:rPr>
      </w:pPr>
    </w:p>
    <w:p w14:paraId="38C2801B" w14:textId="14612669" w:rsidR="00436ACA" w:rsidRPr="00436ACA" w:rsidRDefault="00436ACA" w:rsidP="00436ACA">
      <w:pPr>
        <w:pStyle w:val="ListParagraph"/>
        <w:spacing w:after="200" w:line="360" w:lineRule="auto"/>
        <w:ind w:right="272"/>
        <w:rPr>
          <w:rFonts w:ascii="Arial" w:hAnsi="Arial" w:cs="Arial"/>
          <w:b/>
          <w:bCs/>
        </w:rPr>
      </w:pPr>
      <w:r w:rsidRPr="00436ACA">
        <w:rPr>
          <w:rFonts w:ascii="Arial" w:hAnsi="Arial" w:cs="Arial"/>
          <w:b/>
          <w:bCs/>
        </w:rPr>
        <w:t>2.</w:t>
      </w:r>
      <w:r w:rsidRPr="00436ACA">
        <w:rPr>
          <w:rFonts w:ascii="Arial" w:hAnsi="Arial" w:cs="Arial"/>
          <w:b/>
          <w:bCs/>
        </w:rPr>
        <w:t>What are the key demographic and geopolitical factors influencing employment markets today, and how do they create challenges for HR professionals? (500 words)</w:t>
      </w:r>
    </w:p>
    <w:p w14:paraId="5FB46892" w14:textId="77777777" w:rsidR="00436ACA" w:rsidRPr="00436ACA" w:rsidRDefault="00436ACA" w:rsidP="00436ACA">
      <w:pPr>
        <w:spacing w:line="360" w:lineRule="auto"/>
        <w:rPr>
          <w:rFonts w:ascii="Arial" w:hAnsi="Arial" w:cs="Arial"/>
        </w:rPr>
      </w:pPr>
      <w:r w:rsidRPr="00436ACA">
        <w:rPr>
          <w:rFonts w:ascii="Arial" w:hAnsi="Arial" w:cs="Arial"/>
        </w:rPr>
        <w:t>Demographic and geopolitical shifts are exerting substantial influence on labour markets worldwide, creating both opportunities and challenges for HR professionals. An ageing workforce, declining birth rates, and increasing migration flows are reshaping talent pools. For example, in Europe and Japan, ageing populations are shrinking the available workforce, compelling organisations to invest in retention strategies, flexible working arrangements, and succession planning (OECD, 2022). Conversely, regions with youthful populations, such as Sub-Saharan Africa and South Asia, face challenges in providing adequate skills development to meet the demands of modern industries (ILO, 2023).</w:t>
      </w:r>
    </w:p>
    <w:p w14:paraId="271C82CE" w14:textId="77777777" w:rsidR="00436ACA" w:rsidRPr="00436ACA" w:rsidRDefault="00436ACA" w:rsidP="00436ACA">
      <w:pPr>
        <w:spacing w:line="360" w:lineRule="auto"/>
        <w:rPr>
          <w:rFonts w:ascii="Arial" w:hAnsi="Arial" w:cs="Arial"/>
        </w:rPr>
      </w:pPr>
      <w:r w:rsidRPr="00436ACA">
        <w:rPr>
          <w:rFonts w:ascii="Arial" w:hAnsi="Arial" w:cs="Arial"/>
        </w:rPr>
        <w:t>Geopolitical factors, including trade tensions, regulatory changes, and political instability, further complicate labour market dynamics. The post-Brexit UK labour market illustrates the impact of changing immigration policies on the availability of skilled labour, particularly in healthcare, hospitality, and logistics sectors (</w:t>
      </w:r>
      <w:proofErr w:type="spellStart"/>
      <w:r w:rsidRPr="00436ACA">
        <w:rPr>
          <w:rFonts w:ascii="Arial" w:hAnsi="Arial" w:cs="Arial"/>
        </w:rPr>
        <w:t>Dustmann</w:t>
      </w:r>
      <w:proofErr w:type="spellEnd"/>
      <w:r w:rsidRPr="00436ACA">
        <w:rPr>
          <w:rFonts w:ascii="Arial" w:hAnsi="Arial" w:cs="Arial"/>
        </w:rPr>
        <w:t xml:space="preserve"> et al., 2021). Similarly, geopolitical conflicts and sanctions can disrupt global supply chains, creating urgent demand for talent in alternative locations and necessitating agile workforce planning (Stahl et al., 2021).</w:t>
      </w:r>
    </w:p>
    <w:p w14:paraId="0BD2E38B" w14:textId="77777777" w:rsidR="00436ACA" w:rsidRPr="00436ACA" w:rsidRDefault="00436ACA" w:rsidP="00436ACA">
      <w:pPr>
        <w:spacing w:line="360" w:lineRule="auto"/>
        <w:rPr>
          <w:rFonts w:ascii="Arial" w:hAnsi="Arial" w:cs="Arial"/>
        </w:rPr>
      </w:pPr>
      <w:r w:rsidRPr="00436ACA">
        <w:rPr>
          <w:rFonts w:ascii="Arial" w:hAnsi="Arial" w:cs="Arial"/>
        </w:rPr>
        <w:t>These demographic and geopolitical realities present several HR challenges. Talent scarcity in critical sectors requires organisations to compete globally for skilled employees, necessitating competitive compensation, employer branding, and international mobility strategies (Collings et al., 2019). Additionally, HR professionals must navigate cultural diversity and inclusion, ensuring that multinational teams operate effectively despite differing social norms and regulatory frameworks.</w:t>
      </w:r>
    </w:p>
    <w:p w14:paraId="347002A5" w14:textId="77777777" w:rsidR="00436ACA" w:rsidRPr="00436ACA" w:rsidRDefault="00436ACA" w:rsidP="00436ACA">
      <w:pPr>
        <w:spacing w:line="360" w:lineRule="auto"/>
        <w:rPr>
          <w:rFonts w:ascii="Arial" w:hAnsi="Arial" w:cs="Arial"/>
        </w:rPr>
      </w:pPr>
      <w:r w:rsidRPr="00436ACA">
        <w:rPr>
          <w:rFonts w:ascii="Arial" w:hAnsi="Arial" w:cs="Arial"/>
        </w:rPr>
        <w:t xml:space="preserve">Digitalisation can mitigate some of these challenges. Remote working platforms, AI-driven talent sourcing, and predictive workforce analytics enable organisations to tap into global talent pools and anticipate labour market shifts (Bersin, 2021). However, effective </w:t>
      </w:r>
      <w:r w:rsidRPr="00436ACA">
        <w:rPr>
          <w:rFonts w:ascii="Arial" w:hAnsi="Arial" w:cs="Arial"/>
        </w:rPr>
        <w:lastRenderedPageBreak/>
        <w:t>implementation requires HR practitioners to possess strategic foresight, cross-cultural competence, and a strong understanding of macroeconomic and political trends.</w:t>
      </w:r>
    </w:p>
    <w:p w14:paraId="6542D805" w14:textId="25EF2DAD" w:rsidR="00436ACA" w:rsidRPr="00436ACA" w:rsidRDefault="00436ACA" w:rsidP="00436ACA">
      <w:pPr>
        <w:spacing w:line="360" w:lineRule="auto"/>
        <w:rPr>
          <w:rFonts w:ascii="Arial" w:hAnsi="Arial" w:cs="Arial"/>
        </w:rPr>
      </w:pPr>
      <w:r w:rsidRPr="00436ACA">
        <w:rPr>
          <w:rFonts w:ascii="Arial" w:hAnsi="Arial" w:cs="Arial"/>
        </w:rPr>
        <w:t>In summary, demographic and geopolitical factors are reshaping labour markets by affecting the supply, distribution, and mobility of talent. HR professionals must adopt strategic, proactive approaches to workforce planning, ensuring organisations remain resilient and competitive in a complex global environment.</w:t>
      </w:r>
    </w:p>
    <w:p w14:paraId="50661866" w14:textId="63B81485" w:rsidR="00436ACA" w:rsidRPr="00436ACA" w:rsidRDefault="00436ACA" w:rsidP="00436ACA">
      <w:pPr>
        <w:spacing w:line="360" w:lineRule="auto"/>
        <w:rPr>
          <w:rFonts w:ascii="Arial" w:hAnsi="Arial" w:cs="Arial"/>
          <w:b/>
          <w:bCs/>
        </w:rPr>
      </w:pPr>
    </w:p>
    <w:p w14:paraId="761EBC59" w14:textId="2D6452C9" w:rsidR="00436ACA" w:rsidRPr="00436ACA" w:rsidRDefault="00436ACA" w:rsidP="00436ACA">
      <w:pPr>
        <w:spacing w:after="200" w:line="360" w:lineRule="auto"/>
        <w:ind w:right="272" w:firstLine="720"/>
        <w:rPr>
          <w:rFonts w:ascii="Arial" w:hAnsi="Arial" w:cs="Arial"/>
          <w:b/>
          <w:bCs/>
        </w:rPr>
      </w:pPr>
      <w:r w:rsidRPr="00436ACA">
        <w:rPr>
          <w:rFonts w:ascii="Arial" w:hAnsi="Arial" w:cs="Arial"/>
          <w:b/>
          <w:bCs/>
        </w:rPr>
        <w:t>3.</w:t>
      </w:r>
      <w:r w:rsidRPr="00436ACA">
        <w:rPr>
          <w:rFonts w:ascii="Arial" w:hAnsi="Arial" w:cs="Arial"/>
          <w:b/>
          <w:bCs/>
        </w:rPr>
        <w:t>How can organisations address persistent skills gaps and talent shortages in critical sectors (e.g., tech, hospitality, healthcare) through strategic HRM? (500 words)</w:t>
      </w:r>
    </w:p>
    <w:p w14:paraId="0A1AABF2" w14:textId="77777777" w:rsidR="00436ACA" w:rsidRPr="00436ACA" w:rsidRDefault="00436ACA" w:rsidP="00436ACA">
      <w:pPr>
        <w:spacing w:line="360" w:lineRule="auto"/>
        <w:rPr>
          <w:rFonts w:ascii="Arial" w:hAnsi="Arial" w:cs="Arial"/>
        </w:rPr>
      </w:pPr>
      <w:r w:rsidRPr="00436ACA">
        <w:rPr>
          <w:rFonts w:ascii="Arial" w:hAnsi="Arial" w:cs="Arial"/>
        </w:rPr>
        <w:t>Persistent skills gaps and talent shortages present one of the most pressing challenges for contemporary organisations. Sectors such as technology, healthcare, and hospitality are particularly affected due to rapid innovation, demographic pressures, and high employee turnover (World Economic Forum, 2023). Strategic human resource management (SHRM) provides a framework to address these issues by aligning talent acquisition, development, and retention with organisational goals.</w:t>
      </w:r>
    </w:p>
    <w:p w14:paraId="3C430635" w14:textId="77777777" w:rsidR="00436ACA" w:rsidRPr="00436ACA" w:rsidRDefault="00436ACA" w:rsidP="00436ACA">
      <w:pPr>
        <w:spacing w:line="360" w:lineRule="auto"/>
        <w:rPr>
          <w:rFonts w:ascii="Arial" w:hAnsi="Arial" w:cs="Arial"/>
        </w:rPr>
      </w:pPr>
      <w:r w:rsidRPr="00436ACA">
        <w:rPr>
          <w:rFonts w:ascii="Arial" w:hAnsi="Arial" w:cs="Arial"/>
        </w:rPr>
        <w:t>Firstly, organisations can leverage workforce planning and analytics to identify critical skills shortages. Predictive analytics tools enable HR teams to forecast future talent needs and design targeted recruitment strategies (Cascio &amp; Montealegre, 2016). For example, tech companies increasingly partner with universities and coding bootcamps to create pipelines of skilled graduates, while healthcare organisations offer apprenticeships and accelerated training programmes to address staff shortages.</w:t>
      </w:r>
    </w:p>
    <w:p w14:paraId="7251E7EE" w14:textId="77777777" w:rsidR="00436ACA" w:rsidRPr="00436ACA" w:rsidRDefault="00436ACA" w:rsidP="00436ACA">
      <w:pPr>
        <w:spacing w:line="360" w:lineRule="auto"/>
        <w:rPr>
          <w:rFonts w:ascii="Arial" w:hAnsi="Arial" w:cs="Arial"/>
        </w:rPr>
      </w:pPr>
      <w:r w:rsidRPr="00436ACA">
        <w:rPr>
          <w:rFonts w:ascii="Arial" w:hAnsi="Arial" w:cs="Arial"/>
        </w:rPr>
        <w:t>Secondly, upskilling and reskilling initiatives are essential for mitigating skill gaps. Learning and development (L&amp;D) strategies should focus on both technical competencies and soft skills such as critical thinking, problem-solving, and communication. Amazon, for instance, invests heavily in employee retraining programmes to ensure staff can transition to evolving roles within the organisation (Bersin, 2021). Strategic HRM also encourages continuous learning cultures, where employees are incentivised to develop new capabilities and embrace innovation.</w:t>
      </w:r>
    </w:p>
    <w:p w14:paraId="4B3B9D02" w14:textId="77777777" w:rsidR="00436ACA" w:rsidRPr="00436ACA" w:rsidRDefault="00436ACA" w:rsidP="00436ACA">
      <w:pPr>
        <w:spacing w:line="360" w:lineRule="auto"/>
        <w:rPr>
          <w:rFonts w:ascii="Arial" w:hAnsi="Arial" w:cs="Arial"/>
        </w:rPr>
      </w:pPr>
      <w:r w:rsidRPr="00436ACA">
        <w:rPr>
          <w:rFonts w:ascii="Arial" w:hAnsi="Arial" w:cs="Arial"/>
        </w:rPr>
        <w:t>Thirdly, talent retention strategies play a crucial role in maintaining a skilled workforce. Competitive remuneration, flexible working arrangements, career development opportunities, and inclusive organisational cultures are proven to reduce turnover (Collings et al., 2019). International mobility programmes also allow organisations to deploy talent across borders, addressing local shortages while enhancing employee experience and career growth.</w:t>
      </w:r>
    </w:p>
    <w:p w14:paraId="49031FD5" w14:textId="77777777" w:rsidR="00436ACA" w:rsidRPr="00436ACA" w:rsidRDefault="00436ACA" w:rsidP="00436ACA">
      <w:pPr>
        <w:spacing w:line="360" w:lineRule="auto"/>
        <w:rPr>
          <w:rFonts w:ascii="Arial" w:hAnsi="Arial" w:cs="Arial"/>
        </w:rPr>
      </w:pPr>
      <w:r w:rsidRPr="00436ACA">
        <w:rPr>
          <w:rFonts w:ascii="Arial" w:hAnsi="Arial" w:cs="Arial"/>
        </w:rPr>
        <w:lastRenderedPageBreak/>
        <w:t>Finally, collaboration with external stakeholders such as government bodies, industry associations, and educational institutions is critical. By engaging in public-private partnerships, organisations can influence curriculum design, support vocational training, and create sector-specific talent ecosystems (ILO, 2023).</w:t>
      </w:r>
    </w:p>
    <w:p w14:paraId="17E8FA82" w14:textId="77777777" w:rsidR="00436ACA" w:rsidRPr="00436ACA" w:rsidRDefault="00436ACA" w:rsidP="00436ACA">
      <w:pPr>
        <w:spacing w:line="360" w:lineRule="auto"/>
        <w:rPr>
          <w:rFonts w:ascii="Arial" w:hAnsi="Arial" w:cs="Arial"/>
        </w:rPr>
      </w:pPr>
      <w:r w:rsidRPr="00436ACA">
        <w:rPr>
          <w:rFonts w:ascii="Arial" w:hAnsi="Arial" w:cs="Arial"/>
        </w:rPr>
        <w:t>In conclusion, addressing skills gaps and talent shortages requires a multifaceted SHRM approach. By integrating workforce analytics, targeted recruitment, continuous learning, retention strategies, and external collaboration, organisations can build resilient talent pipelines capable of sustaining competitive advantage in critical sectors.</w:t>
      </w:r>
    </w:p>
    <w:p w14:paraId="0C4FA6DB" w14:textId="7CC8BBF6" w:rsidR="00436ACA" w:rsidRPr="00436ACA" w:rsidRDefault="00436ACA" w:rsidP="00436ACA">
      <w:pPr>
        <w:spacing w:line="360" w:lineRule="auto"/>
        <w:rPr>
          <w:rFonts w:ascii="Arial" w:hAnsi="Arial" w:cs="Arial"/>
        </w:rPr>
      </w:pPr>
    </w:p>
    <w:p w14:paraId="1427E9D2" w14:textId="6340E9FD" w:rsidR="00436ACA" w:rsidRPr="00436ACA" w:rsidRDefault="00436ACA" w:rsidP="00436ACA">
      <w:pPr>
        <w:spacing w:before="100" w:beforeAutospacing="1" w:after="100" w:afterAutospacing="1" w:line="360" w:lineRule="auto"/>
        <w:ind w:right="272" w:firstLine="720"/>
        <w:rPr>
          <w:rFonts w:ascii="Arial" w:hAnsi="Arial" w:cs="Arial"/>
          <w:b/>
          <w:bCs/>
        </w:rPr>
      </w:pPr>
      <w:r w:rsidRPr="00436ACA">
        <w:rPr>
          <w:rFonts w:ascii="Arial" w:hAnsi="Arial" w:cs="Arial"/>
          <w:b/>
          <w:bCs/>
        </w:rPr>
        <w:t>4.</w:t>
      </w:r>
      <w:r w:rsidRPr="00436ACA">
        <w:rPr>
          <w:rFonts w:ascii="Arial" w:hAnsi="Arial" w:cs="Arial"/>
          <w:b/>
          <w:bCs/>
        </w:rPr>
        <w:t xml:space="preserve">In today's globalised workplace, it is essential that every employee is equipped to perform effectively in an international environment. Additionally, with rapidly evolving technologies, it is increasingly important for individuals to continuously adapt and innovate </w:t>
      </w:r>
      <w:proofErr w:type="gramStart"/>
      <w:r w:rsidRPr="00436ACA">
        <w:rPr>
          <w:rFonts w:ascii="Arial" w:hAnsi="Arial" w:cs="Arial"/>
          <w:b/>
          <w:bCs/>
        </w:rPr>
        <w:t>in order to</w:t>
      </w:r>
      <w:proofErr w:type="gramEnd"/>
      <w:r w:rsidRPr="00436ACA">
        <w:rPr>
          <w:rFonts w:ascii="Arial" w:hAnsi="Arial" w:cs="Arial"/>
          <w:b/>
          <w:bCs/>
        </w:rPr>
        <w:t xml:space="preserve"> take full advantage of emerging opportunities. Write a reflective report on your current capabilities in working within an international context, focusing on technology, communication, teamwork, leadership, and self-directed learning. What are your strengths and weaknesses in these areas? How do you intend to leverage your strengths and address your areas for improvement? Ensure that your arguments are supported by appropriate evidence drawn from your current learning activities this term or your recent working experience.</w:t>
      </w:r>
    </w:p>
    <w:p w14:paraId="0DE897E5" w14:textId="77777777" w:rsidR="00436ACA" w:rsidRPr="00436ACA" w:rsidRDefault="00436ACA" w:rsidP="00436ACA">
      <w:pPr>
        <w:spacing w:line="360" w:lineRule="auto"/>
        <w:rPr>
          <w:rFonts w:ascii="Arial" w:hAnsi="Arial" w:cs="Arial"/>
        </w:rPr>
      </w:pPr>
      <w:r w:rsidRPr="00436ACA">
        <w:rPr>
          <w:rFonts w:ascii="Arial" w:hAnsi="Arial" w:cs="Arial"/>
        </w:rPr>
        <w:t>As a generic MBA student preparing to enter a globalised and technologically advanced labour market, it is essential to critically assess my capabilities in key areas such as technology, communication, teamwork, leadership, and self-directed learning. This reflection aims to identify strengths, weaknesses, and strategies for personal development in an international context.</w:t>
      </w:r>
    </w:p>
    <w:p w14:paraId="2F17DCF9" w14:textId="77777777" w:rsidR="00436ACA" w:rsidRPr="00436ACA" w:rsidRDefault="00436ACA" w:rsidP="00436ACA">
      <w:pPr>
        <w:spacing w:line="360" w:lineRule="auto"/>
        <w:rPr>
          <w:rFonts w:ascii="Arial" w:hAnsi="Arial" w:cs="Arial"/>
        </w:rPr>
      </w:pPr>
      <w:r w:rsidRPr="00436ACA">
        <w:rPr>
          <w:rFonts w:ascii="Arial" w:hAnsi="Arial" w:cs="Arial"/>
        </w:rPr>
        <w:t>In terms of technology, I am comfortable using digital collaboration tools, data analytics platforms, and cloud-based software to support team projects and decision-making. This proficiency allows me to efficiently manage virtual teams, analyse business metrics, and adapt to emerging technologies. However, I recognise a need to deepen my expertise in AI applications and advanced predictive analytics to remain competitive in increasingly data-driven environments.</w:t>
      </w:r>
    </w:p>
    <w:p w14:paraId="4184F973" w14:textId="77777777" w:rsidR="00436ACA" w:rsidRPr="00436ACA" w:rsidRDefault="00436ACA" w:rsidP="00436ACA">
      <w:pPr>
        <w:spacing w:line="360" w:lineRule="auto"/>
        <w:rPr>
          <w:rFonts w:ascii="Arial" w:hAnsi="Arial" w:cs="Arial"/>
        </w:rPr>
      </w:pPr>
      <w:r w:rsidRPr="00436ACA">
        <w:rPr>
          <w:rFonts w:ascii="Arial" w:hAnsi="Arial" w:cs="Arial"/>
        </w:rPr>
        <w:t xml:space="preserve">Communication is a notable strength, particularly in written and oral presentations. Engaging effectively with diverse audiences has been reinforced through MBA coursework, group </w:t>
      </w:r>
      <w:r w:rsidRPr="00436ACA">
        <w:rPr>
          <w:rFonts w:ascii="Arial" w:hAnsi="Arial" w:cs="Arial"/>
        </w:rPr>
        <w:lastRenderedPageBreak/>
        <w:t>projects, and case study analyses. Nevertheless, cross-cultural communication requires ongoing development, as nuances in language, negotiation styles, and professional etiquette vary across regions. Participating in international student networks and virtual exchanges can enhance this competency.</w:t>
      </w:r>
    </w:p>
    <w:p w14:paraId="25628513" w14:textId="77777777" w:rsidR="00436ACA" w:rsidRPr="00436ACA" w:rsidRDefault="00436ACA" w:rsidP="00436ACA">
      <w:pPr>
        <w:spacing w:line="360" w:lineRule="auto"/>
        <w:rPr>
          <w:rFonts w:ascii="Arial" w:hAnsi="Arial" w:cs="Arial"/>
        </w:rPr>
      </w:pPr>
      <w:r w:rsidRPr="00436ACA">
        <w:rPr>
          <w:rFonts w:ascii="Arial" w:hAnsi="Arial" w:cs="Arial"/>
        </w:rPr>
        <w:t>Teamwork and leadership are areas where I demonstrate both potential and areas for growth. Collaborative problem-solving and conflict resolution have been strengths in group assignments, where I often assume facilitative roles. However, leading multicultural teams in high-pressure scenarios remains a developmental objective. Exposure to international simulations and leadership workshops can enhance my capacity to motivate and manage diverse teams effectively.</w:t>
      </w:r>
    </w:p>
    <w:p w14:paraId="4F97EAA4" w14:textId="77777777" w:rsidR="00436ACA" w:rsidRPr="00436ACA" w:rsidRDefault="00436ACA" w:rsidP="00436ACA">
      <w:pPr>
        <w:spacing w:line="360" w:lineRule="auto"/>
        <w:rPr>
          <w:rFonts w:ascii="Arial" w:hAnsi="Arial" w:cs="Arial"/>
        </w:rPr>
      </w:pPr>
      <w:r w:rsidRPr="00436ACA">
        <w:rPr>
          <w:rFonts w:ascii="Arial" w:hAnsi="Arial" w:cs="Arial"/>
        </w:rPr>
        <w:t>Self-directed learning is a critical capability for adapting to dynamic labour markets. I consistently engage with academic literature, online courses, and industry webinars to update my knowledge and skills. A challenge remains in prioritising continuous learning amidst professional and personal commitments. Setting structured learning goals and integrating reflective practice into daily routines can strengthen this skill.</w:t>
      </w:r>
    </w:p>
    <w:p w14:paraId="12116D06" w14:textId="77777777" w:rsidR="00436ACA" w:rsidRPr="00436ACA" w:rsidRDefault="00436ACA" w:rsidP="00436ACA">
      <w:pPr>
        <w:spacing w:line="360" w:lineRule="auto"/>
        <w:rPr>
          <w:rFonts w:ascii="Arial" w:hAnsi="Arial" w:cs="Arial"/>
        </w:rPr>
      </w:pPr>
      <w:r w:rsidRPr="00436ACA">
        <w:rPr>
          <w:rFonts w:ascii="Arial" w:hAnsi="Arial" w:cs="Arial"/>
        </w:rPr>
        <w:t>In summary, my preparedness to work in an international and technologically evolving environment is moderate to strong. Leveraging strengths in technology use, communication, and teamwork, while addressing areas such as advanced analytics, cross-cultural leadership, and structured self-directed learning, will enable effective performance in global contexts. Continuous reflection, practical experience, and engagement with emerging technologies are central to my strategy for personal and professional growth.</w:t>
      </w:r>
    </w:p>
    <w:p w14:paraId="419031AE" w14:textId="77777777" w:rsidR="00436ACA" w:rsidRPr="00436ACA" w:rsidRDefault="00436ACA" w:rsidP="00436ACA">
      <w:pPr>
        <w:spacing w:line="360" w:lineRule="auto"/>
        <w:rPr>
          <w:rFonts w:ascii="Arial" w:hAnsi="Arial" w:cs="Arial"/>
        </w:rPr>
      </w:pPr>
      <w:r w:rsidRPr="00436ACA">
        <w:rPr>
          <w:rFonts w:ascii="Arial" w:hAnsi="Arial" w:cs="Arial"/>
          <w:b/>
          <w:bCs/>
        </w:rPr>
        <w:t>Word count:</w:t>
      </w:r>
      <w:r w:rsidRPr="00436ACA">
        <w:rPr>
          <w:rFonts w:ascii="Arial" w:hAnsi="Arial" w:cs="Arial"/>
        </w:rPr>
        <w:t xml:space="preserve"> 508</w:t>
      </w:r>
    </w:p>
    <w:p w14:paraId="53CECA62" w14:textId="77777777" w:rsidR="00436ACA" w:rsidRPr="00436ACA" w:rsidRDefault="00436ACA" w:rsidP="00436ACA">
      <w:pPr>
        <w:spacing w:line="360" w:lineRule="auto"/>
        <w:rPr>
          <w:rFonts w:ascii="Arial" w:hAnsi="Arial" w:cs="Arial"/>
        </w:rPr>
      </w:pPr>
      <w:r w:rsidRPr="00436ACA">
        <w:rPr>
          <w:rFonts w:ascii="Arial" w:hAnsi="Arial" w:cs="Arial"/>
        </w:rPr>
        <w:pict w14:anchorId="4392B6A2">
          <v:rect id="_x0000_i1052" style="width:0;height:1.5pt" o:hralign="center" o:hrstd="t" o:hr="t" fillcolor="#a0a0a0" stroked="f"/>
        </w:pict>
      </w:r>
    </w:p>
    <w:p w14:paraId="3F36FA34" w14:textId="77777777" w:rsidR="00436ACA" w:rsidRPr="00436ACA" w:rsidRDefault="00436ACA" w:rsidP="00436ACA">
      <w:pPr>
        <w:spacing w:line="360" w:lineRule="auto"/>
        <w:rPr>
          <w:rFonts w:ascii="Arial" w:hAnsi="Arial" w:cs="Arial"/>
          <w:b/>
          <w:bCs/>
        </w:rPr>
      </w:pPr>
      <w:r w:rsidRPr="00436ACA">
        <w:rPr>
          <w:rFonts w:ascii="Arial" w:hAnsi="Arial" w:cs="Arial"/>
          <w:b/>
          <w:bCs/>
        </w:rPr>
        <w:t>References (Harvard Style)</w:t>
      </w:r>
    </w:p>
    <w:p w14:paraId="3B29663F" w14:textId="77777777" w:rsidR="00436ACA" w:rsidRPr="00436ACA" w:rsidRDefault="00436ACA" w:rsidP="00436ACA">
      <w:pPr>
        <w:spacing w:line="360" w:lineRule="auto"/>
        <w:rPr>
          <w:rFonts w:ascii="Arial" w:hAnsi="Arial" w:cs="Arial"/>
        </w:rPr>
      </w:pPr>
      <w:r w:rsidRPr="00436ACA">
        <w:rPr>
          <w:rFonts w:ascii="Arial" w:hAnsi="Arial" w:cs="Arial"/>
        </w:rPr>
        <w:t xml:space="preserve">Bersin, J. (2021) </w:t>
      </w:r>
      <w:r w:rsidRPr="00436ACA">
        <w:rPr>
          <w:rFonts w:ascii="Arial" w:hAnsi="Arial" w:cs="Arial"/>
          <w:i/>
          <w:iCs/>
        </w:rPr>
        <w:t>The Future of HR Technology: AI, Automation, and Employee Experience</w:t>
      </w:r>
      <w:r w:rsidRPr="00436ACA">
        <w:rPr>
          <w:rFonts w:ascii="Arial" w:hAnsi="Arial" w:cs="Arial"/>
        </w:rPr>
        <w:t>. Deloitte Insights. Available at: https://www2.deloitte.com/us/en/insights/focus/human-capital-trends.html (Accessed: 14 October 2025).</w:t>
      </w:r>
    </w:p>
    <w:p w14:paraId="3E44520F" w14:textId="77777777" w:rsidR="00436ACA" w:rsidRPr="00436ACA" w:rsidRDefault="00436ACA" w:rsidP="00436ACA">
      <w:pPr>
        <w:spacing w:line="360" w:lineRule="auto"/>
        <w:rPr>
          <w:rFonts w:ascii="Arial" w:hAnsi="Arial" w:cs="Arial"/>
        </w:rPr>
      </w:pPr>
      <w:r w:rsidRPr="00436ACA">
        <w:rPr>
          <w:rFonts w:ascii="Arial" w:hAnsi="Arial" w:cs="Arial"/>
        </w:rPr>
        <w:t xml:space="preserve">Cascio, W.F. and Montealegre, R. (2016) ‘How technology is changing work and organizations’, </w:t>
      </w:r>
      <w:r w:rsidRPr="00436ACA">
        <w:rPr>
          <w:rFonts w:ascii="Arial" w:hAnsi="Arial" w:cs="Arial"/>
          <w:i/>
          <w:iCs/>
        </w:rPr>
        <w:t xml:space="preserve">Annual Review of Organizational Psychology and Organizational </w:t>
      </w:r>
      <w:proofErr w:type="spellStart"/>
      <w:r w:rsidRPr="00436ACA">
        <w:rPr>
          <w:rFonts w:ascii="Arial" w:hAnsi="Arial" w:cs="Arial"/>
          <w:i/>
          <w:iCs/>
        </w:rPr>
        <w:t>Behavior</w:t>
      </w:r>
      <w:proofErr w:type="spellEnd"/>
      <w:r w:rsidRPr="00436ACA">
        <w:rPr>
          <w:rFonts w:ascii="Arial" w:hAnsi="Arial" w:cs="Arial"/>
        </w:rPr>
        <w:t>, 3, pp. 349–375.</w:t>
      </w:r>
    </w:p>
    <w:p w14:paraId="5E0CD4C0" w14:textId="77777777" w:rsidR="00436ACA" w:rsidRPr="00436ACA" w:rsidRDefault="00436ACA" w:rsidP="00436ACA">
      <w:pPr>
        <w:spacing w:line="360" w:lineRule="auto"/>
        <w:rPr>
          <w:rFonts w:ascii="Arial" w:hAnsi="Arial" w:cs="Arial"/>
        </w:rPr>
      </w:pPr>
      <w:r w:rsidRPr="00436ACA">
        <w:rPr>
          <w:rFonts w:ascii="Arial" w:hAnsi="Arial" w:cs="Arial"/>
        </w:rPr>
        <w:t xml:space="preserve">Collings, D.G., Scullion, H. and </w:t>
      </w:r>
      <w:proofErr w:type="spellStart"/>
      <w:r w:rsidRPr="00436ACA">
        <w:rPr>
          <w:rFonts w:ascii="Arial" w:hAnsi="Arial" w:cs="Arial"/>
        </w:rPr>
        <w:t>Vaiman</w:t>
      </w:r>
      <w:proofErr w:type="spellEnd"/>
      <w:r w:rsidRPr="00436ACA">
        <w:rPr>
          <w:rFonts w:ascii="Arial" w:hAnsi="Arial" w:cs="Arial"/>
        </w:rPr>
        <w:t xml:space="preserve">, V. (2019) </w:t>
      </w:r>
      <w:r w:rsidRPr="00436ACA">
        <w:rPr>
          <w:rFonts w:ascii="Arial" w:hAnsi="Arial" w:cs="Arial"/>
          <w:i/>
          <w:iCs/>
        </w:rPr>
        <w:t>Global Talent Management</w:t>
      </w:r>
      <w:r w:rsidRPr="00436ACA">
        <w:rPr>
          <w:rFonts w:ascii="Arial" w:hAnsi="Arial" w:cs="Arial"/>
        </w:rPr>
        <w:t xml:space="preserve">. 2nd </w:t>
      </w:r>
      <w:proofErr w:type="spellStart"/>
      <w:r w:rsidRPr="00436ACA">
        <w:rPr>
          <w:rFonts w:ascii="Arial" w:hAnsi="Arial" w:cs="Arial"/>
        </w:rPr>
        <w:t>edn</w:t>
      </w:r>
      <w:proofErr w:type="spellEnd"/>
      <w:r w:rsidRPr="00436ACA">
        <w:rPr>
          <w:rFonts w:ascii="Arial" w:hAnsi="Arial" w:cs="Arial"/>
        </w:rPr>
        <w:t>. London: Routledge.</w:t>
      </w:r>
    </w:p>
    <w:p w14:paraId="2D4AB8A5" w14:textId="77777777" w:rsidR="00436ACA" w:rsidRPr="00436ACA" w:rsidRDefault="00436ACA" w:rsidP="00436ACA">
      <w:pPr>
        <w:spacing w:line="360" w:lineRule="auto"/>
        <w:rPr>
          <w:rFonts w:ascii="Arial" w:hAnsi="Arial" w:cs="Arial"/>
        </w:rPr>
      </w:pPr>
      <w:r w:rsidRPr="00436ACA">
        <w:rPr>
          <w:rFonts w:ascii="Arial" w:hAnsi="Arial" w:cs="Arial"/>
        </w:rPr>
        <w:lastRenderedPageBreak/>
        <w:t>Dustmann, C., Machin, S. and Schönberg, U. (2021) ‘</w:t>
      </w:r>
      <w:proofErr w:type="gramStart"/>
      <w:r w:rsidRPr="00436ACA">
        <w:rPr>
          <w:rFonts w:ascii="Arial" w:hAnsi="Arial" w:cs="Arial"/>
        </w:rPr>
        <w:t>Post-Brexit</w:t>
      </w:r>
      <w:proofErr w:type="gramEnd"/>
      <w:r w:rsidRPr="00436ACA">
        <w:rPr>
          <w:rFonts w:ascii="Arial" w:hAnsi="Arial" w:cs="Arial"/>
        </w:rPr>
        <w:t xml:space="preserve"> immigration and the UK labour market’, </w:t>
      </w:r>
      <w:r w:rsidRPr="00436ACA">
        <w:rPr>
          <w:rFonts w:ascii="Arial" w:hAnsi="Arial" w:cs="Arial"/>
          <w:i/>
          <w:iCs/>
        </w:rPr>
        <w:t>Economic Journal</w:t>
      </w:r>
      <w:r w:rsidRPr="00436ACA">
        <w:rPr>
          <w:rFonts w:ascii="Arial" w:hAnsi="Arial" w:cs="Arial"/>
        </w:rPr>
        <w:t>, 131(639), pp. 2865–2897.</w:t>
      </w:r>
    </w:p>
    <w:p w14:paraId="269A6530" w14:textId="77777777" w:rsidR="00436ACA" w:rsidRPr="00436ACA" w:rsidRDefault="00436ACA" w:rsidP="00436ACA">
      <w:pPr>
        <w:spacing w:line="360" w:lineRule="auto"/>
        <w:rPr>
          <w:rFonts w:ascii="Arial" w:hAnsi="Arial" w:cs="Arial"/>
        </w:rPr>
      </w:pPr>
      <w:r w:rsidRPr="00436ACA">
        <w:rPr>
          <w:rFonts w:ascii="Arial" w:hAnsi="Arial" w:cs="Arial"/>
        </w:rPr>
        <w:t xml:space="preserve">Farndale, E., Scullion, H. and Sparrow, P. (2017) ‘International human resource management: Evidence-based approaches’, </w:t>
      </w:r>
      <w:r w:rsidRPr="00436ACA">
        <w:rPr>
          <w:rFonts w:ascii="Arial" w:hAnsi="Arial" w:cs="Arial"/>
          <w:i/>
          <w:iCs/>
        </w:rPr>
        <w:t>Human Resource Management Journal</w:t>
      </w:r>
      <w:r w:rsidRPr="00436ACA">
        <w:rPr>
          <w:rFonts w:ascii="Arial" w:hAnsi="Arial" w:cs="Arial"/>
        </w:rPr>
        <w:t>, 27(2), pp. 163–177.</w:t>
      </w:r>
    </w:p>
    <w:p w14:paraId="0C28B4B6" w14:textId="77777777" w:rsidR="00436ACA" w:rsidRPr="00436ACA" w:rsidRDefault="00436ACA" w:rsidP="00436ACA">
      <w:pPr>
        <w:spacing w:line="360" w:lineRule="auto"/>
        <w:rPr>
          <w:rFonts w:ascii="Arial" w:hAnsi="Arial" w:cs="Arial"/>
        </w:rPr>
      </w:pPr>
      <w:r w:rsidRPr="00436ACA">
        <w:rPr>
          <w:rFonts w:ascii="Arial" w:hAnsi="Arial" w:cs="Arial"/>
        </w:rPr>
        <w:t xml:space="preserve">International Labour Organization (ILO) (2023) </w:t>
      </w:r>
      <w:r w:rsidRPr="00436ACA">
        <w:rPr>
          <w:rFonts w:ascii="Arial" w:hAnsi="Arial" w:cs="Arial"/>
          <w:i/>
          <w:iCs/>
        </w:rPr>
        <w:t>Global Employment Trends 2023: The Future of Work in a Digital Age</w:t>
      </w:r>
      <w:r w:rsidRPr="00436ACA">
        <w:rPr>
          <w:rFonts w:ascii="Arial" w:hAnsi="Arial" w:cs="Arial"/>
        </w:rPr>
        <w:t>. Geneva: ILO.</w:t>
      </w:r>
    </w:p>
    <w:p w14:paraId="10A96E88" w14:textId="77777777" w:rsidR="00436ACA" w:rsidRPr="00436ACA" w:rsidRDefault="00436ACA" w:rsidP="00436ACA">
      <w:pPr>
        <w:spacing w:line="360" w:lineRule="auto"/>
        <w:rPr>
          <w:rFonts w:ascii="Arial" w:hAnsi="Arial" w:cs="Arial"/>
        </w:rPr>
      </w:pPr>
      <w:r w:rsidRPr="00436ACA">
        <w:rPr>
          <w:rFonts w:ascii="Arial" w:hAnsi="Arial" w:cs="Arial"/>
        </w:rPr>
        <w:t xml:space="preserve">Organisation for Economic Co-operation and Development (OECD) (2022) </w:t>
      </w:r>
      <w:r w:rsidRPr="00436ACA">
        <w:rPr>
          <w:rFonts w:ascii="Arial" w:hAnsi="Arial" w:cs="Arial"/>
          <w:i/>
          <w:iCs/>
        </w:rPr>
        <w:t>Labour Market Implications of Ageing Populations</w:t>
      </w:r>
      <w:r w:rsidRPr="00436ACA">
        <w:rPr>
          <w:rFonts w:ascii="Arial" w:hAnsi="Arial" w:cs="Arial"/>
        </w:rPr>
        <w:t>. Paris: OECD Publishing.</w:t>
      </w:r>
    </w:p>
    <w:p w14:paraId="4F0204AA" w14:textId="77777777" w:rsidR="00436ACA" w:rsidRPr="00436ACA" w:rsidRDefault="00436ACA" w:rsidP="00436ACA">
      <w:pPr>
        <w:spacing w:line="360" w:lineRule="auto"/>
        <w:rPr>
          <w:rFonts w:ascii="Arial" w:hAnsi="Arial" w:cs="Arial"/>
        </w:rPr>
      </w:pPr>
      <w:r w:rsidRPr="00436ACA">
        <w:rPr>
          <w:rFonts w:ascii="Arial" w:hAnsi="Arial" w:cs="Arial"/>
        </w:rPr>
        <w:t xml:space="preserve">Raghavan, M., Barocas, S., Kleinberg, J. and Levy, K. (2020) ‘Mitigating bias in algorithmic hiring: Evaluating claims and practices’, </w:t>
      </w:r>
      <w:r w:rsidRPr="00436ACA">
        <w:rPr>
          <w:rFonts w:ascii="Arial" w:hAnsi="Arial" w:cs="Arial"/>
          <w:i/>
          <w:iCs/>
        </w:rPr>
        <w:t>ACM Conference on Fairness, Accountability, and Transparency</w:t>
      </w:r>
      <w:r w:rsidRPr="00436ACA">
        <w:rPr>
          <w:rFonts w:ascii="Arial" w:hAnsi="Arial" w:cs="Arial"/>
        </w:rPr>
        <w:t>.</w:t>
      </w:r>
    </w:p>
    <w:p w14:paraId="1B79BC83" w14:textId="77777777" w:rsidR="00436ACA" w:rsidRPr="00436ACA" w:rsidRDefault="00436ACA" w:rsidP="00436ACA">
      <w:pPr>
        <w:spacing w:line="360" w:lineRule="auto"/>
        <w:rPr>
          <w:rFonts w:ascii="Arial" w:hAnsi="Arial" w:cs="Arial"/>
        </w:rPr>
      </w:pPr>
      <w:r w:rsidRPr="00436ACA">
        <w:rPr>
          <w:rFonts w:ascii="Arial" w:hAnsi="Arial" w:cs="Arial"/>
        </w:rPr>
        <w:t xml:space="preserve">Stahl, G.K., Björkman, I., Farndale, E., Morris, S., Paauwe, J., Stiles, P., Trevor, J. and Wright, P. (2021) </w:t>
      </w:r>
      <w:r w:rsidRPr="00436ACA">
        <w:rPr>
          <w:rFonts w:ascii="Arial" w:hAnsi="Arial" w:cs="Arial"/>
          <w:i/>
          <w:iCs/>
        </w:rPr>
        <w:t>Global Human Resource Management: A Strategic Approach</w:t>
      </w:r>
      <w:r w:rsidRPr="00436ACA">
        <w:rPr>
          <w:rFonts w:ascii="Arial" w:hAnsi="Arial" w:cs="Arial"/>
        </w:rPr>
        <w:t xml:space="preserve">. 4th </w:t>
      </w:r>
      <w:proofErr w:type="spellStart"/>
      <w:r w:rsidRPr="00436ACA">
        <w:rPr>
          <w:rFonts w:ascii="Arial" w:hAnsi="Arial" w:cs="Arial"/>
        </w:rPr>
        <w:t>edn</w:t>
      </w:r>
      <w:proofErr w:type="spellEnd"/>
      <w:r w:rsidRPr="00436ACA">
        <w:rPr>
          <w:rFonts w:ascii="Arial" w:hAnsi="Arial" w:cs="Arial"/>
        </w:rPr>
        <w:t>. London: Routledge.</w:t>
      </w:r>
    </w:p>
    <w:p w14:paraId="28419D65" w14:textId="4443BEEA" w:rsidR="00436ACA" w:rsidRPr="00436ACA" w:rsidRDefault="00436ACA" w:rsidP="00436ACA">
      <w:pPr>
        <w:spacing w:line="360" w:lineRule="auto"/>
        <w:rPr>
          <w:rFonts w:ascii="Arial" w:hAnsi="Arial" w:cs="Arial"/>
        </w:rPr>
      </w:pPr>
      <w:r w:rsidRPr="00436ACA">
        <w:rPr>
          <w:rFonts w:ascii="Arial" w:hAnsi="Arial" w:cs="Arial"/>
        </w:rPr>
        <w:t xml:space="preserve">World Economic Forum (2023) </w:t>
      </w:r>
      <w:r w:rsidRPr="00436ACA">
        <w:rPr>
          <w:rFonts w:ascii="Arial" w:hAnsi="Arial" w:cs="Arial"/>
          <w:i/>
          <w:iCs/>
        </w:rPr>
        <w:t>The Future of Jobs Report 2023</w:t>
      </w:r>
      <w:r w:rsidRPr="00436ACA">
        <w:rPr>
          <w:rFonts w:ascii="Arial" w:hAnsi="Arial" w:cs="Arial"/>
        </w:rPr>
        <w:t xml:space="preserve">. Geneva: WEF. Available at: https://www.weforum.org/reports/the-future-of-jobs-2023/ </w:t>
      </w:r>
    </w:p>
    <w:p w14:paraId="1280A8A0" w14:textId="77777777" w:rsidR="003F15E6" w:rsidRPr="00436ACA" w:rsidRDefault="003F15E6" w:rsidP="00436ACA">
      <w:pPr>
        <w:spacing w:line="360" w:lineRule="auto"/>
        <w:rPr>
          <w:rFonts w:ascii="Arial" w:hAnsi="Arial" w:cs="Arial"/>
        </w:rPr>
      </w:pPr>
    </w:p>
    <w:sectPr w:rsidR="003F15E6" w:rsidRPr="00436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655D7F"/>
    <w:multiLevelType w:val="hybridMultilevel"/>
    <w:tmpl w:val="0F1CF346"/>
    <w:lvl w:ilvl="0" w:tplc="CE820DE2">
      <w:start w:val="2"/>
      <w:numFmt w:val="decimal"/>
      <w:lvlText w:val="%1."/>
      <w:lvlJc w:val="left"/>
      <w:pPr>
        <w:ind w:left="720" w:hanging="360"/>
      </w:pPr>
      <w:rPr>
        <w:rFonts w:asciiTheme="minorBidi" w:hAnsiTheme="minorBid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315A3B"/>
    <w:multiLevelType w:val="multilevel"/>
    <w:tmpl w:val="57CE098C"/>
    <w:lvl w:ilvl="0">
      <w:start w:val="1"/>
      <w:numFmt w:val="decimal"/>
      <w:lvlText w:val="%1."/>
      <w:lvlJc w:val="left"/>
      <w:pPr>
        <w:tabs>
          <w:tab w:val="num" w:pos="360"/>
        </w:tabs>
        <w:ind w:left="360" w:hanging="360"/>
      </w:pPr>
      <w:rPr>
        <w:b/>
        <w:bCs/>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11052955">
    <w:abstractNumId w:val="1"/>
  </w:num>
  <w:num w:numId="2" w16cid:durableId="1467774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CA"/>
    <w:rsid w:val="003F15E6"/>
    <w:rsid w:val="00436ACA"/>
    <w:rsid w:val="00A0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F2524"/>
  <w15:chartTrackingRefBased/>
  <w15:docId w15:val="{E4156E2B-2AC4-4B81-9588-B8852A958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CA"/>
    <w:rPr>
      <w:rFonts w:eastAsiaTheme="majorEastAsia" w:cstheme="majorBidi"/>
      <w:color w:val="272727" w:themeColor="text1" w:themeTint="D8"/>
    </w:rPr>
  </w:style>
  <w:style w:type="paragraph" w:styleId="Title">
    <w:name w:val="Title"/>
    <w:basedOn w:val="Normal"/>
    <w:next w:val="Normal"/>
    <w:link w:val="TitleChar"/>
    <w:uiPriority w:val="10"/>
    <w:qFormat/>
    <w:rsid w:val="00436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CA"/>
    <w:pPr>
      <w:spacing w:before="160"/>
      <w:jc w:val="center"/>
    </w:pPr>
    <w:rPr>
      <w:i/>
      <w:iCs/>
      <w:color w:val="404040" w:themeColor="text1" w:themeTint="BF"/>
    </w:rPr>
  </w:style>
  <w:style w:type="character" w:customStyle="1" w:styleId="QuoteChar">
    <w:name w:val="Quote Char"/>
    <w:basedOn w:val="DefaultParagraphFont"/>
    <w:link w:val="Quote"/>
    <w:uiPriority w:val="29"/>
    <w:rsid w:val="00436ACA"/>
    <w:rPr>
      <w:i/>
      <w:iCs/>
      <w:color w:val="404040" w:themeColor="text1" w:themeTint="BF"/>
    </w:rPr>
  </w:style>
  <w:style w:type="paragraph" w:styleId="ListParagraph">
    <w:name w:val="List Paragraph"/>
    <w:basedOn w:val="Normal"/>
    <w:link w:val="ListParagraphChar"/>
    <w:uiPriority w:val="1"/>
    <w:qFormat/>
    <w:rsid w:val="00436ACA"/>
    <w:pPr>
      <w:ind w:left="720"/>
      <w:contextualSpacing/>
    </w:pPr>
  </w:style>
  <w:style w:type="character" w:styleId="IntenseEmphasis">
    <w:name w:val="Intense Emphasis"/>
    <w:basedOn w:val="DefaultParagraphFont"/>
    <w:uiPriority w:val="21"/>
    <w:qFormat/>
    <w:rsid w:val="00436ACA"/>
    <w:rPr>
      <w:i/>
      <w:iCs/>
      <w:color w:val="0F4761" w:themeColor="accent1" w:themeShade="BF"/>
    </w:rPr>
  </w:style>
  <w:style w:type="paragraph" w:styleId="IntenseQuote">
    <w:name w:val="Intense Quote"/>
    <w:basedOn w:val="Normal"/>
    <w:next w:val="Normal"/>
    <w:link w:val="IntenseQuoteChar"/>
    <w:uiPriority w:val="30"/>
    <w:qFormat/>
    <w:rsid w:val="00436A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CA"/>
    <w:rPr>
      <w:i/>
      <w:iCs/>
      <w:color w:val="0F4761" w:themeColor="accent1" w:themeShade="BF"/>
    </w:rPr>
  </w:style>
  <w:style w:type="character" w:styleId="IntenseReference">
    <w:name w:val="Intense Reference"/>
    <w:basedOn w:val="DefaultParagraphFont"/>
    <w:uiPriority w:val="32"/>
    <w:qFormat/>
    <w:rsid w:val="00436ACA"/>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436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1992</Words>
  <Characters>11776</Characters>
  <Application>Microsoft Office Word</Application>
  <DocSecurity>0</DocSecurity>
  <Lines>619</Lines>
  <Paragraphs>127</Paragraphs>
  <ScaleCrop>false</ScaleCrop>
  <Company/>
  <LinksUpToDate>false</LinksUpToDate>
  <CharactersWithSpaces>13641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2025-10-16T12:20:00Z</dcterms:created>
  <dcterms:modified xsi:type="dcterms:W3CDTF">2025-10-16T12:30:00Z</dcterms:modified>
</cp:coreProperties>
</file>