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4"/>
          <w:szCs w:val="24"/>
          <w:u w:val="single"/>
        </w:rPr>
      </w:pPr>
      <w:r w:rsidDel="00000000" w:rsidR="00000000" w:rsidRPr="00000000">
        <w:rPr>
          <w:sz w:val="24"/>
          <w:szCs w:val="24"/>
          <w:u w:val="single"/>
          <w:rtl w:val="0"/>
        </w:rPr>
        <w:t xml:space="preserve">Introduction</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In an ever developing field such as art and design the importance of research cannot be understated. It is through research that creatives can develop systems to continue to advance their practice in meaningful and innovative ways. Although art and design is an old discipline, its gradual increase of academic research leads to a number of questions about how research and art and design can go hand in hand. Some might accept ‘the process of design as a valid research method’ (Isley et al, 2018, p. 359) in and of itself, arguing that the actions of creating either art or design is a back and forth process of research and execution by nature. Others however, would challenge this statement and instead advocate for a more rigorous and defined ethos, whether it be an existing paradigm or a new one entirely. This is more difficult to establish however, due to the wide and varied nature of a subject area like art and design, as  research design ‘does not easily fit within existing paradigms’ (Isley et al, 2018, p. 360) and therefore research designers must try and demonstrate a clear rationale every time they wish to contribute to their chosen field.  In this essay I will be exploring the effectiveness of different research methods and methodologies in my chosen specialism of writing. As a writer I am also a reader, therefore research is already a natural and continuous part of my design process, but I have yet to consider how effective the methods I typically use are. This essay will examine both the strengths and weaknesses of narrative inquiry and autoethnography in the context of myself as a writer and queer horror media.</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sz w:val="24"/>
          <w:szCs w:val="24"/>
          <w:u w:val="single"/>
        </w:rPr>
      </w:pPr>
      <w:r w:rsidDel="00000000" w:rsidR="00000000" w:rsidRPr="00000000">
        <w:rPr>
          <w:sz w:val="24"/>
          <w:szCs w:val="24"/>
          <w:u w:val="single"/>
          <w:rtl w:val="0"/>
        </w:rPr>
        <w:t xml:space="preserve">Methodology- Narrative Inquiry</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Narrative Inquiry is my chosen methodology, as ‘narrative inquiry utilizes interdisciplinary, interpretive lenses…all revolving around the…stories of research participants’ (Kim, 2016, p.6.) As a writer, I work primarily with narratives, my chosen form of storytelling being short fiction pieces. As such, my primary forms of research are other pieces of fiction. In the case of queer horror, an emerging subgenre which, despite arguably existing for centuries, has seen an uptick in the past 10 years, the exploration of narratives and ideas tends to be a little different to, for lack of a better term, standard horror. This is where I believe that narrative inquiry can be particularly helpful. Stories are known for being ‘gathering places of meaning that convey the contexts, complexities and the situatedness of experience’ (Gordon et al, 2007, p.326) and in queer literature this is especially true. For quite some time, horror has been a safehaven for the rageful, the taboo and the hopeful. I will be applying narrative inquiry to two books, Carmilla by Sheridan Le Fanu, first published in 1872, and Bloom by Delilah S. Dawson, first published in 2023. Both are examples of queer horror, with the former arguably being the founder of the genre, and both are very different, with one being a supernatural piece and the other being an example of cannibal horror.   As a methodology with a focus on the human experience, a focus on the small moment can be found in narrative inquiry. A catalyst for a human decision is the same as a catalyst for a story. Both Bloom and Carmilla have inciting incidents that set the tone for the rest of the narrative.</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Bloom does not deal with the supernatural but rather explores the depravity of humanity and the dangers of love and codependency. When protagonist Ro meets Ash, the cannibal in question, she buys a cupcake from her after trying a sample, thus setting up the key theme of consumption. Upon the discovery of Ash’s crimes, Ro thinks that ‘in whatever sick, twisted way this broken girl can love, she does’ (Dawson, 2023, p.189) and that Ro, who is just as lonely as Ash, is willing to accept that love. Later in the book it is revealed that Ash cuts Ro’s legs off as a way of keeping them together and they consume them over ‘many, many meals’ (Dawson, 2023, p.199) before she plans to cut off Ro’s hands for a transgression. Conversely, Carmilla is a supernatural piece and is sometimes considered the first vampire novel. The inciting incident here is a young Laura awakening to a ‘solemn, but very pretty face looking at me from the side of the bed’ (Le Fanu, 2020, p.13) wherein after being soothed by the stranger, is bitten on the breast by her. The defining characteristic of a vampire is their bites and thirst for blood, and thus Carmilla’s core themes are again of consumption. Like Ro, Laura is lonely and like Ash, Carmilla preys upon this, returning to her life twelve years later as an alluring companion. Unlike Bloom, Carmilla is a supernatural being whose changeable nature ‘alarmed and even terrified’ (Le Fanu, 2020, p. 52) Laura, who despite this still desired Carmilla greatly, and is heartbroken when she disappears.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Narrative inquiry allows us to explore both texts far more meaningfully than another, perhaps more established research method like phenomenology. By breaking down a story to its most human elements and taking into account the wider contexts of a characters life, emotions and reactions allows for a particularly rounded view of the subject which is being researched. In the case of queer horror and the books and characters previously referenced we are able to explore every facet. Not only are the characters themselves important, but the world in which they live, the events that have shaped them and the creator of the media’s intentions are all given weight.</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There are limitations to this methodology, however. Some would argue that despite having lived experiences as characters in a fictional environment, a character's lived experiences cannot compare to a real person, and as a methodology that seeks to ‘describe lived experience’ (Byrne, 2015, p.37) it fundamentally does not work. Another criticism is that narrative inquiry has a ‘lack of containment’ (Byrne, 2015, p.40) and therefore no clear guidelines on its use as a research method. Whilst valid criticism, I believe that narrative inquiry is a highly effective research methodology when exploring characters or genres in literature.  It is also especially useful when exploring how something developed, changed and stayed the same. We can see that in queer horror, queer characters are allowed to be imperfect and villainous without fear of real life harm. Themes such as obsession and the desire to consume are long standing, perhaps due to the fact that whilst frowned upon in heterosexuality, is more or less forbidden elsewhere. What’s more is that by exploring themes like loneliness, which are a part of the human condition regardless of sexuality, it helps to humanise characters that some people may view as less than. It also shows us as researchers that the ideas and anxieties explored in queer literature today are not new, and that treating such literature as a new phenomenon is counterproductive.</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sz w:val="24"/>
          <w:szCs w:val="24"/>
          <w:u w:val="single"/>
        </w:rPr>
      </w:pPr>
      <w:r w:rsidDel="00000000" w:rsidR="00000000" w:rsidRPr="00000000">
        <w:rPr>
          <w:sz w:val="24"/>
          <w:szCs w:val="24"/>
          <w:u w:val="single"/>
          <w:rtl w:val="0"/>
        </w:rPr>
        <w:t xml:space="preserve">Method- Autoethnography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The other research method I have chosen to apply is autoethnography. A method wherein ‘the researcher is at the ‘’centre’’ of the research enquiry as both a ‘’subject’’… and an ‘object’’ (Jackson et al, 2021, p.7,) autoethnography is particularly useful for myself as a writer as a great deal of my work is highly personal and is inspired by my own experiences and emotions. My work often has women at the core of the narrative, with stories heavily inspired from the mythology and folklore of my own cultural background. Additionally, queer themes are also highly present in my own work. My interest in Welsh and Scottish mythology is present in my re-imaginings such as Blodeuwedd, Gwyllgi and The Tale of the Seal-Wife, my love of fairy tales is demonstrated in Mermaid and In Silence, A Bargain and my dedication to incorporating queer ideas that reflect my own identity is sprinkled throughout, with notable examples being The First Werewolves and In Silence, A Bargain. Autoethnography allows for and encourages a breakdown of my work into key themes and ideas, thus allowing me to better understand why I make certain creative decisions and what ideas I have yet to explore. By using this method, I myself and my lived experiences are as fundamental as the work that I create. However, my work is not biographical, and although my own experiences colour my work heavily, the characters and ideas ‘were… a complicated and varied amalgamation of our responses’ (Gardini, 2019, p.229) to life.  As a writer who is always interested in developing and continuing to polish my craft, autoethnography prompts me to engage critically and reflectively on what I have already created.</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Perhaps the biggest complaint about autoethnography and its effectiveness is the perceived lack of objectivity it allows, ‘will the researcher control the scene and unfairly shape the story that emerges?’ (Jackson et al, 2021, p.10.) However I do not believe that objectivity is particularly necessary in this scenario. The work that I create is, by nature of being based on my own experiences, subjective. In a more science based discipline I can understand the concern, however I do not necessarily seek objectivity. Moreover, in regards to the exploration of the queer horror genre, a lack of objectivity is perhaps an advantage. Due to there being no defined criteria for what constitutes a piece of queer horror media, researchers and creatives can explore the evolving genre without constraint, allowing for more radical and inclusive research and practice. It could also, potentially, help remove barriers and stigma surrounding the genre by exploring and presenting ideas about media that are already well known and enjoyed that may not be regarded as overtly LGBTQIA+.</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Both ways of researching have a shared focus, putting the human experience at the core of how they work. In something as universal as storytelling, I can think of no methods more appropriate to investigate with. Storytelling is an innately human phenomenon, and only by researching from a human perspective can meaningful answers be found.</w:t>
      </w:r>
    </w:p>
    <w:p w:rsidR="00000000" w:rsidDel="00000000" w:rsidP="00000000" w:rsidRDefault="00000000" w:rsidRPr="00000000" w14:paraId="00000016">
      <w:pPr>
        <w:rPr>
          <w:color w:val="ff0000"/>
        </w:rPr>
      </w:pPr>
      <w:r w:rsidDel="00000000" w:rsidR="00000000" w:rsidRPr="00000000">
        <w:rPr>
          <w:rtl w:val="0"/>
        </w:rPr>
      </w:r>
    </w:p>
    <w:p w:rsidR="00000000" w:rsidDel="00000000" w:rsidP="00000000" w:rsidRDefault="00000000" w:rsidRPr="00000000" w14:paraId="00000017">
      <w:pPr>
        <w:rPr>
          <w:sz w:val="24"/>
          <w:szCs w:val="24"/>
          <w:u w:val="single"/>
        </w:rPr>
      </w:pPr>
      <w:r w:rsidDel="00000000" w:rsidR="00000000" w:rsidRPr="00000000">
        <w:rPr>
          <w:sz w:val="24"/>
          <w:szCs w:val="24"/>
          <w:u w:val="single"/>
          <w:rtl w:val="0"/>
        </w:rPr>
        <w:t xml:space="preserve">Personal Reflection</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Upon reflecting on these research methods and methodologies I am able to better learn what works best for me as a researcher and how I can build on my existing skills to learn and create more effectively. I am more aware of how my own views colour my work and can now make a more conscious decision on just how autoethnographic I want my work to be. It has been noted that ‘why to do autoethnography in writing… remains underdiscussed’ (Jackson et al, 2021, p.187,) therefore I am more aware that going forward I must be prepared to defend my work perhaps more stringently than others whilst also providing a positive example as to why autoethnography is beneficial.  In my future practice, in order to help mitigate some of the criticisms, I would create a framework for defining what constitutes as a piece of queer horror media to not only introduce an element of objectivity but to also make my own research easier. Furthermore, as previously stated, narrative inquiry is interdisciplinary, and as a consequence of that I am encouraged if not required to both broaden my research to include lenses such as sociological and philosophical and to apply those lenses to my reflective process. This way I have noticed more emerging themes such as a growing presence of individualism in my work, particularly in pieces like In Silence, A Bargain and Blodeuwedd. Prior to using narrative inquiry I was unaware of how often I incorporate those ideas into my work. As a creative and a writer this coaxing to more detailed and deep reflection can be invaluable.</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ind w:left="0" w:firstLine="0"/>
        <w:rPr/>
      </w:pPr>
      <w:r w:rsidDel="00000000" w:rsidR="00000000" w:rsidRPr="00000000">
        <w:rPr>
          <w:rtl w:val="0"/>
        </w:rPr>
        <w:t xml:space="preserve">To conclude, whilst narrative inquiry and autoethnography have many criticisms, for a topic and medium so heavily based in subjectivity they work extremely well. In my future practice I can write more confidently with a better grasp of how I construct my own narratives. Additionally, I can go forward in my research knowing the strengths and limitations of my chosen methodologies and move forward accordingly with safeguards in place to help prevent bias. As research methods and methodologies that are newer and still evolving, they suit the exploration of something as fluid as queer horror or my own writing perfectly.</w:t>
      </w:r>
    </w:p>
    <w:p w:rsidR="00000000" w:rsidDel="00000000" w:rsidP="00000000" w:rsidRDefault="00000000" w:rsidRPr="00000000" w14:paraId="0000001C">
      <w:pPr>
        <w:ind w:left="0" w:firstLine="0"/>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highlight w:val="white"/>
        </w:rPr>
      </w:pPr>
      <w:r w:rsidDel="00000000" w:rsidR="00000000" w:rsidRPr="00000000">
        <w:rPr>
          <w:rtl w:val="0"/>
        </w:rPr>
      </w:r>
    </w:p>
    <w:p w:rsidR="00000000" w:rsidDel="00000000" w:rsidP="00000000" w:rsidRDefault="00000000" w:rsidRPr="00000000" w14:paraId="0000001F">
      <w:pPr>
        <w:rPr>
          <w:highlight w:val="white"/>
        </w:rPr>
      </w:pPr>
      <w:r w:rsidDel="00000000" w:rsidR="00000000" w:rsidRPr="00000000">
        <w:rPr>
          <w:rtl w:val="0"/>
        </w:rPr>
      </w:r>
    </w:p>
    <w:p w:rsidR="00000000" w:rsidDel="00000000" w:rsidP="00000000" w:rsidRDefault="00000000" w:rsidRPr="00000000" w14:paraId="00000020">
      <w:pPr>
        <w:rPr>
          <w:highlight w:val="white"/>
        </w:rPr>
      </w:pPr>
      <w:r w:rsidDel="00000000" w:rsidR="00000000" w:rsidRPr="00000000">
        <w:rPr>
          <w:rtl w:val="0"/>
        </w:rPr>
      </w:r>
    </w:p>
    <w:p w:rsidR="00000000" w:rsidDel="00000000" w:rsidP="00000000" w:rsidRDefault="00000000" w:rsidRPr="00000000" w14:paraId="00000021">
      <w:pPr>
        <w:rPr>
          <w:highlight w:val="white"/>
        </w:rPr>
      </w:pPr>
      <w:r w:rsidDel="00000000" w:rsidR="00000000" w:rsidRPr="00000000">
        <w:rPr>
          <w:rtl w:val="0"/>
        </w:rPr>
      </w:r>
    </w:p>
    <w:p w:rsidR="00000000" w:rsidDel="00000000" w:rsidP="00000000" w:rsidRDefault="00000000" w:rsidRPr="00000000" w14:paraId="00000022">
      <w:pPr>
        <w:rPr>
          <w:highlight w:val="white"/>
        </w:rPr>
      </w:pPr>
      <w:r w:rsidDel="00000000" w:rsidR="00000000" w:rsidRPr="00000000">
        <w:rPr>
          <w:rtl w:val="0"/>
        </w:rPr>
      </w:r>
    </w:p>
    <w:p w:rsidR="00000000" w:rsidDel="00000000" w:rsidP="00000000" w:rsidRDefault="00000000" w:rsidRPr="00000000" w14:paraId="00000023">
      <w:pPr>
        <w:rPr>
          <w:highlight w:val="white"/>
        </w:rPr>
      </w:pPr>
      <w:r w:rsidDel="00000000" w:rsidR="00000000" w:rsidRPr="00000000">
        <w:rPr>
          <w:rtl w:val="0"/>
        </w:rPr>
      </w:r>
    </w:p>
    <w:p w:rsidR="00000000" w:rsidDel="00000000" w:rsidP="00000000" w:rsidRDefault="00000000" w:rsidRPr="00000000" w14:paraId="00000024">
      <w:pPr>
        <w:rPr>
          <w:highlight w:val="white"/>
        </w:rPr>
      </w:pPr>
      <w:r w:rsidDel="00000000" w:rsidR="00000000" w:rsidRPr="00000000">
        <w:rPr>
          <w:rtl w:val="0"/>
        </w:rPr>
      </w:r>
    </w:p>
    <w:p w:rsidR="00000000" w:rsidDel="00000000" w:rsidP="00000000" w:rsidRDefault="00000000" w:rsidRPr="00000000" w14:paraId="00000025">
      <w:pPr>
        <w:rPr>
          <w:highlight w:val="white"/>
        </w:rPr>
      </w:pPr>
      <w:r w:rsidDel="00000000" w:rsidR="00000000" w:rsidRPr="00000000">
        <w:rPr>
          <w:rtl w:val="0"/>
        </w:rPr>
      </w:r>
    </w:p>
    <w:p w:rsidR="00000000" w:rsidDel="00000000" w:rsidP="00000000" w:rsidRDefault="00000000" w:rsidRPr="00000000" w14:paraId="00000026">
      <w:pPr>
        <w:rPr>
          <w:highlight w:val="white"/>
        </w:rPr>
      </w:pPr>
      <w:r w:rsidDel="00000000" w:rsidR="00000000" w:rsidRPr="00000000">
        <w:rPr>
          <w:rtl w:val="0"/>
        </w:rPr>
      </w:r>
    </w:p>
    <w:p w:rsidR="00000000" w:rsidDel="00000000" w:rsidP="00000000" w:rsidRDefault="00000000" w:rsidRPr="00000000" w14:paraId="00000027">
      <w:pPr>
        <w:rPr>
          <w:highlight w:val="white"/>
        </w:rPr>
      </w:pPr>
      <w:r w:rsidDel="00000000" w:rsidR="00000000" w:rsidRPr="00000000">
        <w:rPr>
          <w:rtl w:val="0"/>
        </w:rPr>
      </w:r>
    </w:p>
    <w:p w:rsidR="00000000" w:rsidDel="00000000" w:rsidP="00000000" w:rsidRDefault="00000000" w:rsidRPr="00000000" w14:paraId="00000028">
      <w:pPr>
        <w:rPr>
          <w:highlight w:val="white"/>
        </w:rPr>
      </w:pPr>
      <w:r w:rsidDel="00000000" w:rsidR="00000000" w:rsidRPr="00000000">
        <w:rPr>
          <w:rtl w:val="0"/>
        </w:rPr>
      </w:r>
    </w:p>
    <w:p w:rsidR="00000000" w:rsidDel="00000000" w:rsidP="00000000" w:rsidRDefault="00000000" w:rsidRPr="00000000" w14:paraId="00000029">
      <w:pPr>
        <w:rPr>
          <w:highlight w:val="white"/>
        </w:rPr>
      </w:pPr>
      <w:r w:rsidDel="00000000" w:rsidR="00000000" w:rsidRPr="00000000">
        <w:rPr>
          <w:rtl w:val="0"/>
        </w:rPr>
      </w:r>
    </w:p>
    <w:p w:rsidR="00000000" w:rsidDel="00000000" w:rsidP="00000000" w:rsidRDefault="00000000" w:rsidRPr="00000000" w14:paraId="0000002A">
      <w:pPr>
        <w:rPr>
          <w:highlight w:val="white"/>
        </w:rPr>
      </w:pPr>
      <w:r w:rsidDel="00000000" w:rsidR="00000000" w:rsidRPr="00000000">
        <w:rPr>
          <w:rtl w:val="0"/>
        </w:rPr>
      </w:r>
    </w:p>
    <w:p w:rsidR="00000000" w:rsidDel="00000000" w:rsidP="00000000" w:rsidRDefault="00000000" w:rsidRPr="00000000" w14:paraId="0000002B">
      <w:pPr>
        <w:rPr>
          <w:highlight w:val="white"/>
        </w:rPr>
      </w:pPr>
      <w:r w:rsidDel="00000000" w:rsidR="00000000" w:rsidRPr="00000000">
        <w:rPr>
          <w:rtl w:val="0"/>
        </w:rPr>
      </w:r>
    </w:p>
    <w:p w:rsidR="00000000" w:rsidDel="00000000" w:rsidP="00000000" w:rsidRDefault="00000000" w:rsidRPr="00000000" w14:paraId="0000002C">
      <w:pPr>
        <w:rPr>
          <w:highlight w:val="white"/>
        </w:rPr>
      </w:pPr>
      <w:r w:rsidDel="00000000" w:rsidR="00000000" w:rsidRPr="00000000">
        <w:rPr>
          <w:rtl w:val="0"/>
        </w:rPr>
      </w:r>
    </w:p>
    <w:p w:rsidR="00000000" w:rsidDel="00000000" w:rsidP="00000000" w:rsidRDefault="00000000" w:rsidRPr="00000000" w14:paraId="0000002D">
      <w:pPr>
        <w:rPr>
          <w:highlight w:val="white"/>
        </w:rPr>
      </w:pPr>
      <w:r w:rsidDel="00000000" w:rsidR="00000000" w:rsidRPr="00000000">
        <w:rPr>
          <w:rtl w:val="0"/>
        </w:rPr>
      </w:r>
    </w:p>
    <w:p w:rsidR="00000000" w:rsidDel="00000000" w:rsidP="00000000" w:rsidRDefault="00000000" w:rsidRPr="00000000" w14:paraId="0000002E">
      <w:pPr>
        <w:rPr>
          <w:highlight w:val="white"/>
        </w:rPr>
      </w:pPr>
      <w:r w:rsidDel="00000000" w:rsidR="00000000" w:rsidRPr="00000000">
        <w:rPr>
          <w:rtl w:val="0"/>
        </w:rPr>
      </w:r>
    </w:p>
    <w:p w:rsidR="00000000" w:rsidDel="00000000" w:rsidP="00000000" w:rsidRDefault="00000000" w:rsidRPr="00000000" w14:paraId="0000002F">
      <w:pPr>
        <w:rPr>
          <w:highlight w:val="white"/>
        </w:rPr>
      </w:pPr>
      <w:r w:rsidDel="00000000" w:rsidR="00000000" w:rsidRPr="00000000">
        <w:rPr>
          <w:rtl w:val="0"/>
        </w:rPr>
      </w:r>
    </w:p>
    <w:p w:rsidR="00000000" w:rsidDel="00000000" w:rsidP="00000000" w:rsidRDefault="00000000" w:rsidRPr="00000000" w14:paraId="00000030">
      <w:pPr>
        <w:rPr>
          <w:highlight w:val="white"/>
        </w:rPr>
      </w:pPr>
      <w:r w:rsidDel="00000000" w:rsidR="00000000" w:rsidRPr="00000000">
        <w:rPr>
          <w:rtl w:val="0"/>
        </w:rPr>
      </w:r>
    </w:p>
    <w:p w:rsidR="00000000" w:rsidDel="00000000" w:rsidP="00000000" w:rsidRDefault="00000000" w:rsidRPr="00000000" w14:paraId="00000031">
      <w:pPr>
        <w:rPr>
          <w:highlight w:val="white"/>
        </w:rPr>
      </w:pPr>
      <w:r w:rsidDel="00000000" w:rsidR="00000000" w:rsidRPr="00000000">
        <w:rPr>
          <w:rtl w:val="0"/>
        </w:rPr>
      </w:r>
    </w:p>
    <w:p w:rsidR="00000000" w:rsidDel="00000000" w:rsidP="00000000" w:rsidRDefault="00000000" w:rsidRPr="00000000" w14:paraId="00000032">
      <w:pPr>
        <w:rPr>
          <w:highlight w:val="white"/>
        </w:rPr>
      </w:pPr>
      <w:r w:rsidDel="00000000" w:rsidR="00000000" w:rsidRPr="00000000">
        <w:rPr>
          <w:rtl w:val="0"/>
        </w:rPr>
      </w:r>
    </w:p>
    <w:p w:rsidR="00000000" w:rsidDel="00000000" w:rsidP="00000000" w:rsidRDefault="00000000" w:rsidRPr="00000000" w14:paraId="00000033">
      <w:pPr>
        <w:rPr>
          <w:highlight w:val="white"/>
        </w:rPr>
      </w:pPr>
      <w:r w:rsidDel="00000000" w:rsidR="00000000" w:rsidRPr="00000000">
        <w:rPr>
          <w:rtl w:val="0"/>
        </w:rPr>
      </w:r>
    </w:p>
    <w:p w:rsidR="00000000" w:rsidDel="00000000" w:rsidP="00000000" w:rsidRDefault="00000000" w:rsidRPr="00000000" w14:paraId="00000034">
      <w:pPr>
        <w:rPr>
          <w:highlight w:val="white"/>
        </w:rPr>
      </w:pPr>
      <w:r w:rsidDel="00000000" w:rsidR="00000000" w:rsidRPr="00000000">
        <w:rPr>
          <w:rtl w:val="0"/>
        </w:rPr>
      </w:r>
    </w:p>
    <w:p w:rsidR="00000000" w:rsidDel="00000000" w:rsidP="00000000" w:rsidRDefault="00000000" w:rsidRPr="00000000" w14:paraId="00000035">
      <w:pPr>
        <w:rPr>
          <w:highlight w:val="white"/>
        </w:rPr>
      </w:pPr>
      <w:r w:rsidDel="00000000" w:rsidR="00000000" w:rsidRPr="00000000">
        <w:rPr>
          <w:rtl w:val="0"/>
        </w:rPr>
      </w:r>
    </w:p>
    <w:p w:rsidR="00000000" w:rsidDel="00000000" w:rsidP="00000000" w:rsidRDefault="00000000" w:rsidRPr="00000000" w14:paraId="00000036">
      <w:pPr>
        <w:rPr>
          <w:highlight w:val="white"/>
        </w:rPr>
      </w:pPr>
      <w:r w:rsidDel="00000000" w:rsidR="00000000" w:rsidRPr="00000000">
        <w:rPr>
          <w:rtl w:val="0"/>
        </w:rPr>
      </w:r>
    </w:p>
    <w:p w:rsidR="00000000" w:rsidDel="00000000" w:rsidP="00000000" w:rsidRDefault="00000000" w:rsidRPr="00000000" w14:paraId="00000037">
      <w:pPr>
        <w:rPr>
          <w:highlight w:val="white"/>
        </w:rPr>
      </w:pPr>
      <w:r w:rsidDel="00000000" w:rsidR="00000000" w:rsidRPr="00000000">
        <w:rPr>
          <w:rtl w:val="0"/>
        </w:rPr>
      </w:r>
    </w:p>
    <w:p w:rsidR="00000000" w:rsidDel="00000000" w:rsidP="00000000" w:rsidRDefault="00000000" w:rsidRPr="00000000" w14:paraId="00000038">
      <w:pPr>
        <w:rPr>
          <w:highlight w:val="white"/>
        </w:rPr>
      </w:pPr>
      <w:r w:rsidDel="00000000" w:rsidR="00000000" w:rsidRPr="00000000">
        <w:rPr>
          <w:rtl w:val="0"/>
        </w:rPr>
      </w:r>
    </w:p>
    <w:p w:rsidR="00000000" w:rsidDel="00000000" w:rsidP="00000000" w:rsidRDefault="00000000" w:rsidRPr="00000000" w14:paraId="00000039">
      <w:pPr>
        <w:rPr>
          <w:highlight w:val="white"/>
        </w:rPr>
      </w:pPr>
      <w:r w:rsidDel="00000000" w:rsidR="00000000" w:rsidRPr="00000000">
        <w:rPr>
          <w:rtl w:val="0"/>
        </w:rPr>
      </w:r>
    </w:p>
    <w:p w:rsidR="00000000" w:rsidDel="00000000" w:rsidP="00000000" w:rsidRDefault="00000000" w:rsidRPr="00000000" w14:paraId="0000003A">
      <w:pPr>
        <w:rPr>
          <w:highlight w:val="white"/>
        </w:rPr>
      </w:pPr>
      <w:r w:rsidDel="00000000" w:rsidR="00000000" w:rsidRPr="00000000">
        <w:rPr>
          <w:rtl w:val="0"/>
        </w:rPr>
      </w:r>
    </w:p>
    <w:p w:rsidR="00000000" w:rsidDel="00000000" w:rsidP="00000000" w:rsidRDefault="00000000" w:rsidRPr="00000000" w14:paraId="0000003B">
      <w:pPr>
        <w:rPr>
          <w:highlight w:val="white"/>
        </w:rPr>
      </w:pPr>
      <w:r w:rsidDel="00000000" w:rsidR="00000000" w:rsidRPr="00000000">
        <w:rPr>
          <w:highlight w:val="white"/>
          <w:rtl w:val="0"/>
        </w:rPr>
        <w:t xml:space="preserve">Bibliography</w:t>
      </w:r>
    </w:p>
    <w:p w:rsidR="00000000" w:rsidDel="00000000" w:rsidP="00000000" w:rsidRDefault="00000000" w:rsidRPr="00000000" w14:paraId="0000003C">
      <w:pPr>
        <w:rPr>
          <w:highlight w:val="white"/>
        </w:rPr>
      </w:pPr>
      <w:r w:rsidDel="00000000" w:rsidR="00000000" w:rsidRPr="00000000">
        <w:rPr>
          <w:rtl w:val="0"/>
        </w:rPr>
      </w:r>
    </w:p>
    <w:p w:rsidR="00000000" w:rsidDel="00000000" w:rsidP="00000000" w:rsidRDefault="00000000" w:rsidRPr="00000000" w14:paraId="0000003D">
      <w:pPr>
        <w:rPr>
          <w:highlight w:val="white"/>
        </w:rPr>
      </w:pPr>
      <w:r w:rsidDel="00000000" w:rsidR="00000000" w:rsidRPr="00000000">
        <w:rPr>
          <w:highlight w:val="white"/>
          <w:rtl w:val="0"/>
        </w:rPr>
        <w:t xml:space="preserve">Byrne, G. (2017). Narrative inquiry and the problem of representation: “giving voice”, making meaning. </w:t>
      </w:r>
      <w:r w:rsidDel="00000000" w:rsidR="00000000" w:rsidRPr="00000000">
        <w:rPr>
          <w:i w:val="1"/>
          <w:highlight w:val="white"/>
          <w:rtl w:val="0"/>
        </w:rPr>
        <w:t xml:space="preserve">International Journal of Research &amp; Method in Education</w:t>
      </w:r>
      <w:r w:rsidDel="00000000" w:rsidR="00000000" w:rsidRPr="00000000">
        <w:rPr>
          <w:highlight w:val="white"/>
          <w:rtl w:val="0"/>
        </w:rPr>
        <w:t xml:space="preserve">, </w:t>
      </w:r>
      <w:r w:rsidDel="00000000" w:rsidR="00000000" w:rsidRPr="00000000">
        <w:rPr>
          <w:i w:val="1"/>
          <w:highlight w:val="white"/>
          <w:rtl w:val="0"/>
        </w:rPr>
        <w:t xml:space="preserve">40</w:t>
      </w:r>
      <w:r w:rsidDel="00000000" w:rsidR="00000000" w:rsidRPr="00000000">
        <w:rPr>
          <w:highlight w:val="white"/>
          <w:rtl w:val="0"/>
        </w:rPr>
        <w:t xml:space="preserve">(1)</w:t>
      </w:r>
      <w:hyperlink r:id="rId6">
        <w:r w:rsidDel="00000000" w:rsidR="00000000" w:rsidRPr="00000000">
          <w:rPr>
            <w:highlight w:val="white"/>
            <w:rtl w:val="0"/>
          </w:rPr>
          <w:t xml:space="preserve"> </w:t>
        </w:r>
      </w:hyperlink>
      <w:hyperlink r:id="rId7">
        <w:r w:rsidDel="00000000" w:rsidR="00000000" w:rsidRPr="00000000">
          <w:rPr>
            <w:highlight w:val="white"/>
            <w:u w:val="single"/>
            <w:rtl w:val="0"/>
          </w:rPr>
          <w:t xml:space="preserve">https://doi.org/10.1080/1743727X.2015.1034097</w:t>
        </w:r>
      </w:hyperlink>
      <w:r w:rsidDel="00000000" w:rsidR="00000000" w:rsidRPr="00000000">
        <w:rPr>
          <w:highlight w:val="white"/>
          <w:rtl w:val="0"/>
        </w:rPr>
        <w:t xml:space="preserve">. Pp. 37-40</w:t>
      </w:r>
    </w:p>
    <w:p w:rsidR="00000000" w:rsidDel="00000000" w:rsidP="00000000" w:rsidRDefault="00000000" w:rsidRPr="00000000" w14:paraId="0000003E">
      <w:pPr>
        <w:rPr>
          <w:highlight w:val="white"/>
        </w:rPr>
      </w:pPr>
      <w:r w:rsidDel="00000000" w:rsidR="00000000" w:rsidRPr="00000000">
        <w:rPr>
          <w:highlight w:val="white"/>
          <w:rtl w:val="0"/>
        </w:rPr>
        <w:t xml:space="preserve"> </w:t>
      </w:r>
    </w:p>
    <w:p w:rsidR="00000000" w:rsidDel="00000000" w:rsidP="00000000" w:rsidRDefault="00000000" w:rsidRPr="00000000" w14:paraId="0000003F">
      <w:pPr>
        <w:rPr>
          <w:highlight w:val="white"/>
        </w:rPr>
      </w:pPr>
      <w:r w:rsidDel="00000000" w:rsidR="00000000" w:rsidRPr="00000000">
        <w:rPr>
          <w:highlight w:val="white"/>
          <w:rtl w:val="0"/>
        </w:rPr>
        <w:t xml:space="preserve">Dawson, D.S. (2023). </w:t>
      </w:r>
      <w:r w:rsidDel="00000000" w:rsidR="00000000" w:rsidRPr="00000000">
        <w:rPr>
          <w:i w:val="1"/>
          <w:highlight w:val="white"/>
          <w:rtl w:val="0"/>
        </w:rPr>
        <w:t xml:space="preserve">Bloom</w:t>
      </w:r>
      <w:r w:rsidDel="00000000" w:rsidR="00000000" w:rsidRPr="00000000">
        <w:rPr>
          <w:highlight w:val="white"/>
          <w:rtl w:val="0"/>
        </w:rPr>
        <w:t xml:space="preserve">. Titan Book, pp. 189- 199.</w:t>
      </w:r>
    </w:p>
    <w:p w:rsidR="00000000" w:rsidDel="00000000" w:rsidP="00000000" w:rsidRDefault="00000000" w:rsidRPr="00000000" w14:paraId="00000040">
      <w:pPr>
        <w:spacing w:after="240" w:before="240" w:lineRule="auto"/>
        <w:rPr>
          <w:highlight w:val="white"/>
        </w:rPr>
      </w:pPr>
      <w:r w:rsidDel="00000000" w:rsidR="00000000" w:rsidRPr="00000000">
        <w:rPr>
          <w:highlight w:val="white"/>
          <w:rtl w:val="0"/>
        </w:rPr>
        <w:t xml:space="preserve">‌Gardini, G. (2019) </w:t>
      </w:r>
      <w:r w:rsidDel="00000000" w:rsidR="00000000" w:rsidRPr="00000000">
        <w:rPr>
          <w:i w:val="1"/>
          <w:highlight w:val="white"/>
          <w:rtl w:val="0"/>
        </w:rPr>
        <w:t xml:space="preserve">The girl in the text</w:t>
      </w:r>
      <w:r w:rsidDel="00000000" w:rsidR="00000000" w:rsidRPr="00000000">
        <w:rPr>
          <w:highlight w:val="white"/>
          <w:rtl w:val="0"/>
        </w:rPr>
        <w:t xml:space="preserve">. Edited by A. Smith. New York ; Berghahn Books. Available at:</w:t>
      </w:r>
      <w:hyperlink r:id="rId8">
        <w:r w:rsidDel="00000000" w:rsidR="00000000" w:rsidRPr="00000000">
          <w:rPr>
            <w:highlight w:val="white"/>
            <w:rtl w:val="0"/>
          </w:rPr>
          <w:t xml:space="preserve"> </w:t>
        </w:r>
      </w:hyperlink>
      <w:hyperlink r:id="rId9">
        <w:r w:rsidDel="00000000" w:rsidR="00000000" w:rsidRPr="00000000">
          <w:rPr>
            <w:highlight w:val="white"/>
            <w:u w:val="single"/>
            <w:rtl w:val="0"/>
          </w:rPr>
          <w:t xml:space="preserve">https://doi.org/10.1515/9781789203257</w:t>
        </w:r>
      </w:hyperlink>
      <w:r w:rsidDel="00000000" w:rsidR="00000000" w:rsidRPr="00000000">
        <w:rPr>
          <w:highlight w:val="white"/>
          <w:rtl w:val="0"/>
        </w:rPr>
        <w:t xml:space="preserve">. Pp. 229</w:t>
      </w:r>
    </w:p>
    <w:p w:rsidR="00000000" w:rsidDel="00000000" w:rsidP="00000000" w:rsidRDefault="00000000" w:rsidRPr="00000000" w14:paraId="00000041">
      <w:pPr>
        <w:rPr>
          <w:highlight w:val="white"/>
        </w:rPr>
      </w:pPr>
      <w:r w:rsidDel="00000000" w:rsidR="00000000" w:rsidRPr="00000000">
        <w:rPr>
          <w:highlight w:val="white"/>
          <w:rtl w:val="0"/>
        </w:rPr>
        <w:t xml:space="preserve">Gordon, E. </w:t>
      </w:r>
      <w:r w:rsidDel="00000000" w:rsidR="00000000" w:rsidRPr="00000000">
        <w:rPr>
          <w:i w:val="1"/>
          <w:highlight w:val="white"/>
          <w:rtl w:val="0"/>
        </w:rPr>
        <w:t xml:space="preserve">et al.</w:t>
      </w:r>
      <w:r w:rsidDel="00000000" w:rsidR="00000000" w:rsidRPr="00000000">
        <w:rPr>
          <w:highlight w:val="white"/>
          <w:rtl w:val="0"/>
        </w:rPr>
        <w:t xml:space="preserve"> (2007) ‘Writing out of the Unexpected: Narrative Inquiry and the Weight of Small Moments’, </w:t>
      </w:r>
      <w:r w:rsidDel="00000000" w:rsidR="00000000" w:rsidRPr="00000000">
        <w:rPr>
          <w:i w:val="1"/>
          <w:highlight w:val="white"/>
          <w:rtl w:val="0"/>
        </w:rPr>
        <w:t xml:space="preserve">English education</w:t>
      </w:r>
      <w:r w:rsidDel="00000000" w:rsidR="00000000" w:rsidRPr="00000000">
        <w:rPr>
          <w:highlight w:val="white"/>
          <w:rtl w:val="0"/>
        </w:rPr>
        <w:t xml:space="preserve">, 39(4), pp. 326</w:t>
      </w:r>
    </w:p>
    <w:p w:rsidR="00000000" w:rsidDel="00000000" w:rsidP="00000000" w:rsidRDefault="00000000" w:rsidRPr="00000000" w14:paraId="00000042">
      <w:pPr>
        <w:spacing w:after="240" w:before="240" w:lineRule="auto"/>
        <w:rPr>
          <w:highlight w:val="white"/>
        </w:rPr>
      </w:pPr>
      <w:r w:rsidDel="00000000" w:rsidR="00000000" w:rsidRPr="00000000">
        <w:rPr>
          <w:highlight w:val="white"/>
          <w:rtl w:val="0"/>
        </w:rPr>
        <w:t xml:space="preserve">Isley, C., and Rider, T. (2018) Research-Through-Design: Exploring a design-based research paradigm through its ontology, epistemology, and methodology, in Storni, C., Leahy, K., McMahon, M., Lloyd, P. and Bohemia, E. (eds.), Design as a catalyst for change - DRS International Conference 2018, 25-28 June, Limerick, Ireland.</w:t>
      </w:r>
      <w:hyperlink r:id="rId10">
        <w:r w:rsidDel="00000000" w:rsidR="00000000" w:rsidRPr="00000000">
          <w:rPr>
            <w:highlight w:val="white"/>
            <w:rtl w:val="0"/>
          </w:rPr>
          <w:t xml:space="preserve"> </w:t>
        </w:r>
      </w:hyperlink>
      <w:hyperlink r:id="rId11">
        <w:r w:rsidDel="00000000" w:rsidR="00000000" w:rsidRPr="00000000">
          <w:rPr>
            <w:highlight w:val="white"/>
            <w:u w:val="single"/>
            <w:rtl w:val="0"/>
          </w:rPr>
          <w:t xml:space="preserve">https://doi.org/10.21606/drs.2018.263</w:t>
        </w:r>
      </w:hyperlink>
      <w:r w:rsidDel="00000000" w:rsidR="00000000" w:rsidRPr="00000000">
        <w:rPr>
          <w:highlight w:val="white"/>
          <w:rtl w:val="0"/>
        </w:rPr>
        <w:t xml:space="preserve">. Pp. 359-360</w:t>
      </w:r>
    </w:p>
    <w:p w:rsidR="00000000" w:rsidDel="00000000" w:rsidP="00000000" w:rsidRDefault="00000000" w:rsidRPr="00000000" w14:paraId="00000043">
      <w:pPr>
        <w:rPr>
          <w:highlight w:val="white"/>
        </w:rPr>
      </w:pPr>
      <w:r w:rsidDel="00000000" w:rsidR="00000000" w:rsidRPr="00000000">
        <w:rPr>
          <w:highlight w:val="white"/>
          <w:rtl w:val="0"/>
        </w:rPr>
        <w:t xml:space="preserve">Kim, J.-H. (2016) </w:t>
      </w:r>
      <w:r w:rsidDel="00000000" w:rsidR="00000000" w:rsidRPr="00000000">
        <w:rPr>
          <w:i w:val="1"/>
          <w:highlight w:val="white"/>
          <w:rtl w:val="0"/>
        </w:rPr>
        <w:t xml:space="preserve">Understanding narrative inquiry : the crafting and analysis of stories as research</w:t>
      </w:r>
      <w:r w:rsidDel="00000000" w:rsidR="00000000" w:rsidRPr="00000000">
        <w:rPr>
          <w:highlight w:val="white"/>
          <w:rtl w:val="0"/>
        </w:rPr>
        <w:t xml:space="preserve">. Thousand Oaks, California: SAGE Publications. pp.6</w:t>
      </w:r>
    </w:p>
    <w:p w:rsidR="00000000" w:rsidDel="00000000" w:rsidP="00000000" w:rsidRDefault="00000000" w:rsidRPr="00000000" w14:paraId="00000044">
      <w:pPr>
        <w:rPr>
          <w:highlight w:val="white"/>
        </w:rPr>
      </w:pPr>
      <w:r w:rsidDel="00000000" w:rsidR="00000000" w:rsidRPr="00000000">
        <w:rPr>
          <w:highlight w:val="white"/>
          <w:rtl w:val="0"/>
        </w:rPr>
        <w:t xml:space="preserve"> </w:t>
      </w:r>
    </w:p>
    <w:p w:rsidR="00000000" w:rsidDel="00000000" w:rsidP="00000000" w:rsidRDefault="00000000" w:rsidRPr="00000000" w14:paraId="00000045">
      <w:pPr>
        <w:rPr>
          <w:highlight w:val="white"/>
        </w:rPr>
      </w:pPr>
      <w:r w:rsidDel="00000000" w:rsidR="00000000" w:rsidRPr="00000000">
        <w:rPr>
          <w:highlight w:val="white"/>
          <w:rtl w:val="0"/>
        </w:rPr>
        <w:t xml:space="preserve">Le Fanu, S. (2020). </w:t>
      </w:r>
      <w:r w:rsidDel="00000000" w:rsidR="00000000" w:rsidRPr="00000000">
        <w:rPr>
          <w:i w:val="1"/>
          <w:highlight w:val="white"/>
          <w:rtl w:val="0"/>
        </w:rPr>
        <w:t xml:space="preserve">Carmilla</w:t>
      </w:r>
      <w:r w:rsidDel="00000000" w:rsidR="00000000" w:rsidRPr="00000000">
        <w:rPr>
          <w:highlight w:val="white"/>
          <w:rtl w:val="0"/>
        </w:rPr>
        <w:t xml:space="preserve">. London: Pushkin Press, pp.13, 52.</w:t>
      </w:r>
    </w:p>
    <w:p w:rsidR="00000000" w:rsidDel="00000000" w:rsidP="00000000" w:rsidRDefault="00000000" w:rsidRPr="00000000" w14:paraId="00000046">
      <w:pPr>
        <w:spacing w:after="240" w:before="240" w:lineRule="auto"/>
        <w:rPr>
          <w:highlight w:val="white"/>
        </w:rPr>
      </w:pPr>
      <w:r w:rsidDel="00000000" w:rsidR="00000000" w:rsidRPr="00000000">
        <w:rPr>
          <w:highlight w:val="white"/>
          <w:rtl w:val="0"/>
        </w:rPr>
        <w:t xml:space="preserve">Rebecca Jackson, J.G.M./ R.J. (2021) </w:t>
      </w:r>
      <w:r w:rsidDel="00000000" w:rsidR="00000000" w:rsidRPr="00000000">
        <w:rPr>
          <w:i w:val="1"/>
          <w:highlight w:val="white"/>
          <w:rtl w:val="0"/>
        </w:rPr>
        <w:t xml:space="preserve">Self+Culture+Writing: Autoethnography for/as Writing Studies</w:t>
      </w:r>
      <w:r w:rsidDel="00000000" w:rsidR="00000000" w:rsidRPr="00000000">
        <w:rPr>
          <w:highlight w:val="white"/>
          <w:rtl w:val="0"/>
        </w:rPr>
        <w:t xml:space="preserve">. 1st edn. Chicago: Utah State University Press. Available at:</w:t>
      </w:r>
      <w:hyperlink r:id="rId12">
        <w:r w:rsidDel="00000000" w:rsidR="00000000" w:rsidRPr="00000000">
          <w:rPr>
            <w:highlight w:val="white"/>
            <w:rtl w:val="0"/>
          </w:rPr>
          <w:t xml:space="preserve"> </w:t>
        </w:r>
      </w:hyperlink>
      <w:hyperlink r:id="rId13">
        <w:r w:rsidDel="00000000" w:rsidR="00000000" w:rsidRPr="00000000">
          <w:rPr>
            <w:highlight w:val="white"/>
            <w:u w:val="single"/>
            <w:rtl w:val="0"/>
          </w:rPr>
          <w:t xml:space="preserve">https://doi.org/10.2307/j.ctv1z52314</w:t>
        </w:r>
      </w:hyperlink>
      <w:r w:rsidDel="00000000" w:rsidR="00000000" w:rsidRPr="00000000">
        <w:rPr>
          <w:highlight w:val="white"/>
          <w:rtl w:val="0"/>
        </w:rPr>
        <w:t xml:space="preserve">. Pp. 7-10</w:t>
      </w:r>
    </w:p>
    <w:p w:rsidR="00000000" w:rsidDel="00000000" w:rsidP="00000000" w:rsidRDefault="00000000" w:rsidRPr="00000000" w14:paraId="00000047">
      <w:pPr>
        <w:rPr>
          <w:highlight w:val="white"/>
        </w:rPr>
      </w:pPr>
      <w:r w:rsidDel="00000000" w:rsidR="00000000" w:rsidRPr="00000000">
        <w:rPr>
          <w:rtl w:val="0"/>
        </w:rPr>
      </w:r>
    </w:p>
    <w:p w:rsidR="00000000" w:rsidDel="00000000" w:rsidP="00000000" w:rsidRDefault="00000000" w:rsidRPr="00000000" w14:paraId="00000048">
      <w:pPr>
        <w:rPr>
          <w:highlight w:val="white"/>
        </w:rPr>
      </w:pPr>
      <w:r w:rsidDel="00000000" w:rsidR="00000000" w:rsidRPr="00000000">
        <w:rPr>
          <w:rtl w:val="0"/>
        </w:rPr>
      </w:r>
    </w:p>
    <w:p w:rsidR="00000000" w:rsidDel="00000000" w:rsidP="00000000" w:rsidRDefault="00000000" w:rsidRPr="00000000" w14:paraId="00000049">
      <w:pPr>
        <w:rPr>
          <w:rFonts w:ascii="Verdana" w:cs="Verdana" w:eastAsia="Verdana" w:hAnsi="Verdana"/>
          <w:color w:val="555555"/>
          <w:sz w:val="18"/>
          <w:szCs w:val="18"/>
          <w:highlight w:val="whit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21606/drs.2018.263" TargetMode="External"/><Relationship Id="rId10" Type="http://schemas.openxmlformats.org/officeDocument/2006/relationships/hyperlink" Target="https://doi.org/10.21606/drs.2018.263" TargetMode="External"/><Relationship Id="rId13" Type="http://schemas.openxmlformats.org/officeDocument/2006/relationships/hyperlink" Target="https://doi.org/10.2307/j.ctv1z52314" TargetMode="External"/><Relationship Id="rId12" Type="http://schemas.openxmlformats.org/officeDocument/2006/relationships/hyperlink" Target="https://doi.org/10.2307/j.ctv1z5231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515/9781789203257" TargetMode="External"/><Relationship Id="rId5" Type="http://schemas.openxmlformats.org/officeDocument/2006/relationships/styles" Target="styles.xml"/><Relationship Id="rId6" Type="http://schemas.openxmlformats.org/officeDocument/2006/relationships/hyperlink" Target="https://doi.org/10.1080/1743727X.2015.1034097" TargetMode="External"/><Relationship Id="rId7" Type="http://schemas.openxmlformats.org/officeDocument/2006/relationships/hyperlink" Target="https://doi.org/10.1080/1743727X.2015.1034097" TargetMode="External"/><Relationship Id="rId8" Type="http://schemas.openxmlformats.org/officeDocument/2006/relationships/hyperlink" Target="https://doi.org/10.1515/97817892032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