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ACCFC" w14:textId="2E3CC761" w:rsidR="00615FC8" w:rsidRDefault="004B7C31" w:rsidP="00181202">
      <w:pPr>
        <w:rPr>
          <w:b/>
          <w:bCs/>
          <w:noProof/>
        </w:rPr>
      </w:pPr>
      <w:r>
        <w:rPr>
          <w:noProof/>
        </w:rPr>
        <mc:AlternateContent>
          <mc:Choice Requires="wps">
            <w:drawing>
              <wp:anchor distT="0" distB="0" distL="114300" distR="114300" simplePos="0" relativeHeight="251661312" behindDoc="0" locked="0" layoutInCell="1" allowOverlap="1" wp14:anchorId="03E54B22" wp14:editId="2A043C17">
                <wp:simplePos x="0" y="0"/>
                <wp:positionH relativeFrom="column">
                  <wp:posOffset>-1272209</wp:posOffset>
                </wp:positionH>
                <wp:positionV relativeFrom="paragraph">
                  <wp:posOffset>2312035</wp:posOffset>
                </wp:positionV>
                <wp:extent cx="8241030" cy="668655"/>
                <wp:effectExtent l="0" t="0" r="0" b="0"/>
                <wp:wrapNone/>
                <wp:docPr id="1132699322" name="TextBox 1"/>
                <wp:cNvGraphicFramePr/>
                <a:graphic xmlns:a="http://schemas.openxmlformats.org/drawingml/2006/main">
                  <a:graphicData uri="http://schemas.microsoft.com/office/word/2010/wordprocessingShape">
                    <wps:wsp>
                      <wps:cNvSpPr txBox="1"/>
                      <wps:spPr>
                        <a:xfrm>
                          <a:off x="0" y="0"/>
                          <a:ext cx="8241030" cy="668655"/>
                        </a:xfrm>
                        <a:prstGeom prst="rect">
                          <a:avLst/>
                        </a:prstGeom>
                        <a:noFill/>
                      </wps:spPr>
                      <wps:txbx>
                        <w:txbxContent>
                          <w:p w14:paraId="653ADEA7" w14:textId="77777777" w:rsidR="00EC09A6" w:rsidRDefault="00EC09A6" w:rsidP="00CD7F18">
                            <w:pPr>
                              <w:pStyle w:val="p1"/>
                              <w:jc w:val="center"/>
                            </w:pPr>
                            <w:r>
                              <w:rPr>
                                <w:rStyle w:val="s1"/>
                              </w:rPr>
                              <w:t>Problem Solving and Innovation (BMSW4014)</w:t>
                            </w:r>
                          </w:p>
                          <w:p w14:paraId="526B86D8" w14:textId="790BA7A6" w:rsidR="00D81B26" w:rsidRPr="004B7C31" w:rsidRDefault="00D81B26" w:rsidP="00CD7F18">
                            <w:pPr>
                              <w:jc w:val="center"/>
                              <w:rPr>
                                <w:rFonts w:hAnsi="Aptos"/>
                                <w:color w:val="000000" w:themeColor="text1"/>
                                <w:kern w:val="24"/>
                                <w:sz w:val="32"/>
                                <w:szCs w:val="32"/>
                                <w14:ligatures w14:val="none"/>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3E54B22" id="_x0000_t202" coordsize="21600,21600" o:spt="202" path="m,l,21600r21600,l21600,xe">
                <v:stroke joinstyle="miter"/>
                <v:path gradientshapeok="t" o:connecttype="rect"/>
              </v:shapetype>
              <v:shape id="TextBox 1" o:spid="_x0000_s1026" type="#_x0000_t202" style="position:absolute;margin-left:-100.15pt;margin-top:182.05pt;width:648.9pt;height:5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" filled="f" stroked="f">
                <v:textbox>
                  <w:txbxContent>
                    <w:p w14:paraId="653ADEA7" w14:textId="77777777" w:rsidR="00EC09A6" w:rsidRDefault="00EC09A6" w:rsidP="00CD7F18">
                      <w:pPr>
                        <w:pStyle w:val="p1"/>
                        <w:jc w:val="center"/>
                      </w:pPr>
                      <w:r>
                        <w:rPr>
                          <w:rStyle w:val="s1"/>
                        </w:rPr>
                        <w:t>Problem Solving and Innovation (BMSW4014)</w:t>
                      </w:r>
                    </w:p>
                    <w:p w14:paraId="526B86D8" w14:textId="790BA7A6" w:rsidR="00D81B26" w:rsidRPr="004B7C31" w:rsidRDefault="00D81B26" w:rsidP="00CD7F18">
                      <w:pPr>
                        <w:jc w:val="center"/>
                        <w:rPr>
                          <w:rFonts w:hAnsi="Aptos"/>
                          <w:color w:val="000000" w:themeColor="text1"/>
                          <w:kern w:val="24"/>
                          <w:sz w:val="32"/>
                          <w:szCs w:val="32"/>
                          <w14:ligatures w14:val="none"/>
                        </w:rPr>
                      </w:pPr>
                    </w:p>
                  </w:txbxContent>
                </v:textbox>
              </v:shape>
            </w:pict>
          </mc:Fallback>
        </mc:AlternateContent>
      </w:r>
      <w:r w:rsidR="00383E14">
        <w:rPr>
          <w:noProof/>
        </w:rPr>
        <w:drawing>
          <wp:anchor distT="0" distB="0" distL="114300" distR="114300" simplePos="0" relativeHeight="251659264" behindDoc="0" locked="0" layoutInCell="1" allowOverlap="1" wp14:anchorId="502E3309" wp14:editId="7D804CA7">
            <wp:simplePos x="0" y="0"/>
            <wp:positionH relativeFrom="column">
              <wp:posOffset>1258432</wp:posOffset>
            </wp:positionH>
            <wp:positionV relativeFrom="paragraph">
              <wp:posOffset>0</wp:posOffset>
            </wp:positionV>
            <wp:extent cx="3351289" cy="1861828"/>
            <wp:effectExtent l="0" t="0" r="1905" b="5080"/>
            <wp:wrapTopAndBottom/>
            <wp:docPr id="2" name="Picture 1">
              <a:extLst xmlns:a="http://schemas.openxmlformats.org/drawingml/2006/main">
                <a:ext uri="{FF2B5EF4-FFF2-40B4-BE49-F238E27FC236}">
                  <a16:creationId xmlns:a16="http://schemas.microsoft.com/office/drawing/2014/main" id="{C3CF40C1-B82F-B58B-5B11-B00F056663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3CF40C1-B82F-B58B-5B11-B00F05666363}"/>
                        </a:ext>
                      </a:extLst>
                    </pic:cNvPr>
                    <pic:cNvPicPr>
                      <a:picLocks noChangeAspect="1"/>
                    </pic:cNvPicPr>
                  </pic:nvPicPr>
                  <pic:blipFill>
                    <a:blip r:embed="rId5"/>
                    <a:stretch>
                      <a:fillRect/>
                    </a:stretch>
                  </pic:blipFill>
                  <pic:spPr>
                    <a:xfrm>
                      <a:off x="0" y="0"/>
                      <a:ext cx="3351289" cy="1861828"/>
                    </a:xfrm>
                    <a:prstGeom prst="rect">
                      <a:avLst/>
                    </a:prstGeom>
                  </pic:spPr>
                </pic:pic>
              </a:graphicData>
            </a:graphic>
          </wp:anchor>
        </w:drawing>
      </w:r>
    </w:p>
    <w:p w14:paraId="62FC3F18" w14:textId="6B6F7733" w:rsidR="00615FC8" w:rsidRDefault="00615FC8" w:rsidP="00181202">
      <w:pPr>
        <w:rPr>
          <w:b/>
          <w:bCs/>
          <w:noProof/>
        </w:rPr>
      </w:pPr>
    </w:p>
    <w:p w14:paraId="54C33EAE" w14:textId="728A40C6" w:rsidR="00615FC8" w:rsidRDefault="00615FC8" w:rsidP="00181202">
      <w:pPr>
        <w:rPr>
          <w:b/>
          <w:bCs/>
          <w:noProof/>
        </w:rPr>
      </w:pPr>
    </w:p>
    <w:p w14:paraId="359D6970" w14:textId="3CE3E038" w:rsidR="00615FC8" w:rsidRDefault="009E4D2C" w:rsidP="00181202">
      <w:pPr>
        <w:rPr>
          <w:b/>
          <w:bCs/>
          <w:noProof/>
        </w:rPr>
      </w:pPr>
      <w:r>
        <w:rPr>
          <w:noProof/>
        </w:rPr>
        <mc:AlternateContent>
          <mc:Choice Requires="wps">
            <w:drawing>
              <wp:anchor distT="0" distB="0" distL="114300" distR="114300" simplePos="0" relativeHeight="251663360" behindDoc="0" locked="0" layoutInCell="1" allowOverlap="1" wp14:anchorId="1CD374A8" wp14:editId="31C9B7C9">
                <wp:simplePos x="0" y="0"/>
                <wp:positionH relativeFrom="column">
                  <wp:posOffset>-577532</wp:posOffset>
                </wp:positionH>
                <wp:positionV relativeFrom="paragraph">
                  <wp:posOffset>201295</wp:posOffset>
                </wp:positionV>
                <wp:extent cx="6842548" cy="923330"/>
                <wp:effectExtent l="0" t="0" r="0" b="0"/>
                <wp:wrapNone/>
                <wp:docPr id="979240211" name="TextBox 1"/>
                <wp:cNvGraphicFramePr/>
                <a:graphic xmlns:a="http://schemas.openxmlformats.org/drawingml/2006/main">
                  <a:graphicData uri="http://schemas.microsoft.com/office/word/2010/wordprocessingShape">
                    <wps:wsp>
                      <wps:cNvSpPr txBox="1"/>
                      <wps:spPr>
                        <a:xfrm>
                          <a:off x="0" y="0"/>
                          <a:ext cx="6842548" cy="923330"/>
                        </a:xfrm>
                        <a:prstGeom prst="rect">
                          <a:avLst/>
                        </a:prstGeom>
                        <a:noFill/>
                      </wps:spPr>
                      <wps:txbx>
                        <w:txbxContent>
                          <w:p w14:paraId="320602BC" w14:textId="77777777" w:rsidR="00FB5052" w:rsidRDefault="00FB5052" w:rsidP="00882CB7">
                            <w:pPr>
                              <w:jc w:val="center"/>
                              <w:rPr>
                                <w:rFonts w:hAnsi="Aptos"/>
                                <w:color w:val="000000" w:themeColor="text1"/>
                                <w:kern w:val="24"/>
                                <w:sz w:val="36"/>
                                <w:szCs w:val="36"/>
                                <w14:ligatures w14:val="none"/>
                              </w:rPr>
                            </w:pPr>
                            <w:r>
                              <w:rPr>
                                <w:rFonts w:hAnsi="Aptos"/>
                                <w:color w:val="000000" w:themeColor="text1"/>
                                <w:kern w:val="24"/>
                                <w:sz w:val="36"/>
                                <w:szCs w:val="36"/>
                              </w:rPr>
                              <w:t>STUDENT ID :2432847</w:t>
                            </w:r>
                          </w:p>
                          <w:p w14:paraId="2BA3B473" w14:textId="3AE3EFC2" w:rsidR="00FB5052" w:rsidRDefault="00A908E1" w:rsidP="00882CB7">
                            <w:pPr>
                              <w:jc w:val="center"/>
                              <w:rPr>
                                <w:rFonts w:hAnsi="Aptos"/>
                                <w:color w:val="000000" w:themeColor="text1"/>
                                <w:kern w:val="24"/>
                                <w:sz w:val="36"/>
                                <w:szCs w:val="36"/>
                              </w:rPr>
                            </w:pPr>
                            <w:r>
                              <w:rPr>
                                <w:rFonts w:hAnsi="Aptos"/>
                                <w:color w:val="000000" w:themeColor="text1"/>
                                <w:kern w:val="24"/>
                                <w:sz w:val="36"/>
                                <w:szCs w:val="36"/>
                              </w:rPr>
                              <w:t xml:space="preserve">NAME: </w:t>
                            </w:r>
                            <w:proofErr w:type="spellStart"/>
                            <w:r>
                              <w:rPr>
                                <w:rFonts w:hAnsi="Aptos"/>
                                <w:color w:val="000000" w:themeColor="text1"/>
                                <w:kern w:val="24"/>
                                <w:sz w:val="36"/>
                                <w:szCs w:val="36"/>
                              </w:rPr>
                              <w:t>GERSONE</w:t>
                            </w:r>
                            <w:proofErr w:type="spellEnd"/>
                            <w:r w:rsidR="00FB5052">
                              <w:rPr>
                                <w:rFonts w:hAnsi="Aptos"/>
                                <w:color w:val="000000" w:themeColor="text1"/>
                                <w:kern w:val="24"/>
                                <w:sz w:val="36"/>
                                <w:szCs w:val="36"/>
                              </w:rPr>
                              <w:t xml:space="preserve"> </w:t>
                            </w:r>
                            <w:proofErr w:type="spellStart"/>
                            <w:r w:rsidR="00FB5052">
                              <w:rPr>
                                <w:rFonts w:hAnsi="Aptos"/>
                                <w:color w:val="000000" w:themeColor="text1"/>
                                <w:kern w:val="24"/>
                                <w:sz w:val="36"/>
                                <w:szCs w:val="36"/>
                              </w:rPr>
                              <w:t>BALACHANDAR</w:t>
                            </w:r>
                            <w:proofErr w:type="spellEnd"/>
                          </w:p>
                          <w:p w14:paraId="6374BB1B" w14:textId="77777777" w:rsidR="005B455E" w:rsidRDefault="005B455E" w:rsidP="00053489">
                            <w:pPr>
                              <w:rPr>
                                <w:b/>
                                <w:bCs/>
                                <w:noProof/>
                              </w:rPr>
                            </w:pPr>
                          </w:p>
                          <w:p w14:paraId="719E17B8" w14:textId="77777777" w:rsidR="009C47E3" w:rsidRDefault="009C47E3" w:rsidP="00B45E9E">
                            <w:pPr>
                              <w:pStyle w:val="p1"/>
                              <w:jc w:val="center"/>
                            </w:pPr>
                            <w:r>
                              <w:rPr>
                                <w:rStyle w:val="s1"/>
                              </w:rPr>
                              <w:t xml:space="preserve">Module Lead : </w:t>
                            </w:r>
                            <w:proofErr w:type="spellStart"/>
                            <w:r>
                              <w:rPr>
                                <w:rStyle w:val="s1"/>
                              </w:rPr>
                              <w:t>Jaliya</w:t>
                            </w:r>
                            <w:proofErr w:type="spellEnd"/>
                            <w:r>
                              <w:rPr>
                                <w:rStyle w:val="s1"/>
                              </w:rPr>
                              <w:t xml:space="preserve"> de Silva</w:t>
                            </w:r>
                          </w:p>
                          <w:p w14:paraId="1ED21776" w14:textId="77777777" w:rsidR="009C47E3" w:rsidRDefault="009C47E3" w:rsidP="00882CB7">
                            <w:pPr>
                              <w:jc w:val="center"/>
                              <w:rPr>
                                <w:rFonts w:hAnsi="Aptos"/>
                                <w:color w:val="000000" w:themeColor="text1"/>
                                <w:kern w:val="24"/>
                                <w:sz w:val="36"/>
                                <w:szCs w:val="36"/>
                              </w:rPr>
                            </w:pPr>
                          </w:p>
                        </w:txbxContent>
                      </wps:txbx>
                      <wps:bodyPr wrap="square" rtlCol="0">
                        <a:spAutoFit/>
                      </wps:bodyPr>
                    </wps:wsp>
                  </a:graphicData>
                </a:graphic>
              </wp:anchor>
            </w:drawing>
          </mc:Choice>
          <mc:Fallback>
            <w:pict>
              <v:shape w14:anchorId="1CD374A8" id="_x0000_s1027" type="#_x0000_t202" style="position:absolute;margin-left:-45.45pt;margin-top:15.85pt;width:538.8pt;height:7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" filled="f" stroked="f">
                <v:textbox style="mso-fit-shape-to-text:t">
                  <w:txbxContent>
                    <w:p w14:paraId="320602BC" w14:textId="77777777" w:rsidR="00FB5052" w:rsidRDefault="00FB5052" w:rsidP="00882CB7">
                      <w:pPr>
                        <w:jc w:val="center"/>
                        <w:rPr>
                          <w:rFonts w:hAnsi="Aptos"/>
                          <w:color w:val="000000" w:themeColor="text1"/>
                          <w:kern w:val="24"/>
                          <w:sz w:val="36"/>
                          <w:szCs w:val="36"/>
                          <w14:ligatures w14:val="none"/>
                        </w:rPr>
                      </w:pPr>
                      <w:r>
                        <w:rPr>
                          <w:rFonts w:hAnsi="Aptos"/>
                          <w:color w:val="000000" w:themeColor="text1"/>
                          <w:kern w:val="24"/>
                          <w:sz w:val="36"/>
                          <w:szCs w:val="36"/>
                        </w:rPr>
                        <w:t>STUDENT ID :2432847</w:t>
                      </w:r>
                    </w:p>
                    <w:p w14:paraId="2BA3B473" w14:textId="3AE3EFC2" w:rsidR="00FB5052" w:rsidRDefault="00A908E1" w:rsidP="00882CB7">
                      <w:pPr>
                        <w:jc w:val="center"/>
                        <w:rPr>
                          <w:rFonts w:hAnsi="Aptos"/>
                          <w:color w:val="000000" w:themeColor="text1"/>
                          <w:kern w:val="24"/>
                          <w:sz w:val="36"/>
                          <w:szCs w:val="36"/>
                        </w:rPr>
                      </w:pPr>
                      <w:r>
                        <w:rPr>
                          <w:rFonts w:hAnsi="Aptos"/>
                          <w:color w:val="000000" w:themeColor="text1"/>
                          <w:kern w:val="24"/>
                          <w:sz w:val="36"/>
                          <w:szCs w:val="36"/>
                        </w:rPr>
                        <w:t xml:space="preserve">NAME: </w:t>
                      </w:r>
                      <w:proofErr w:type="spellStart"/>
                      <w:r>
                        <w:rPr>
                          <w:rFonts w:hAnsi="Aptos"/>
                          <w:color w:val="000000" w:themeColor="text1"/>
                          <w:kern w:val="24"/>
                          <w:sz w:val="36"/>
                          <w:szCs w:val="36"/>
                        </w:rPr>
                        <w:t>GERSONE</w:t>
                      </w:r>
                      <w:proofErr w:type="spellEnd"/>
                      <w:r w:rsidR="00FB5052">
                        <w:rPr>
                          <w:rFonts w:hAnsi="Aptos"/>
                          <w:color w:val="000000" w:themeColor="text1"/>
                          <w:kern w:val="24"/>
                          <w:sz w:val="36"/>
                          <w:szCs w:val="36"/>
                        </w:rPr>
                        <w:t xml:space="preserve"> </w:t>
                      </w:r>
                      <w:proofErr w:type="spellStart"/>
                      <w:r w:rsidR="00FB5052">
                        <w:rPr>
                          <w:rFonts w:hAnsi="Aptos"/>
                          <w:color w:val="000000" w:themeColor="text1"/>
                          <w:kern w:val="24"/>
                          <w:sz w:val="36"/>
                          <w:szCs w:val="36"/>
                        </w:rPr>
                        <w:t>BALACHANDAR</w:t>
                      </w:r>
                      <w:proofErr w:type="spellEnd"/>
                    </w:p>
                    <w:p w14:paraId="6374BB1B" w14:textId="77777777" w:rsidR="005B455E" w:rsidRDefault="005B455E" w:rsidP="00053489">
                      <w:pPr>
                        <w:rPr>
                          <w:b/>
                          <w:bCs/>
                          <w:noProof/>
                        </w:rPr>
                      </w:pPr>
                    </w:p>
                    <w:p w14:paraId="719E17B8" w14:textId="77777777" w:rsidR="009C47E3" w:rsidRDefault="009C47E3" w:rsidP="00B45E9E">
                      <w:pPr>
                        <w:pStyle w:val="p1"/>
                        <w:jc w:val="center"/>
                      </w:pPr>
                      <w:r>
                        <w:rPr>
                          <w:rStyle w:val="s1"/>
                        </w:rPr>
                        <w:t xml:space="preserve">Module Lead : </w:t>
                      </w:r>
                      <w:proofErr w:type="spellStart"/>
                      <w:r>
                        <w:rPr>
                          <w:rStyle w:val="s1"/>
                        </w:rPr>
                        <w:t>Jaliya</w:t>
                      </w:r>
                      <w:proofErr w:type="spellEnd"/>
                      <w:r>
                        <w:rPr>
                          <w:rStyle w:val="s1"/>
                        </w:rPr>
                        <w:t xml:space="preserve"> de Silva</w:t>
                      </w:r>
                    </w:p>
                    <w:p w14:paraId="1ED21776" w14:textId="77777777" w:rsidR="009C47E3" w:rsidRDefault="009C47E3" w:rsidP="00882CB7">
                      <w:pPr>
                        <w:jc w:val="center"/>
                        <w:rPr>
                          <w:rFonts w:hAnsi="Aptos"/>
                          <w:color w:val="000000" w:themeColor="text1"/>
                          <w:kern w:val="24"/>
                          <w:sz w:val="36"/>
                          <w:szCs w:val="36"/>
                        </w:rPr>
                      </w:pPr>
                    </w:p>
                  </w:txbxContent>
                </v:textbox>
              </v:shape>
            </w:pict>
          </mc:Fallback>
        </mc:AlternateContent>
      </w:r>
    </w:p>
    <w:p w14:paraId="012A166D" w14:textId="2DBA64E1" w:rsidR="00615FC8" w:rsidRDefault="00615FC8" w:rsidP="00181202">
      <w:pPr>
        <w:rPr>
          <w:b/>
          <w:bCs/>
          <w:noProof/>
        </w:rPr>
      </w:pPr>
    </w:p>
    <w:p w14:paraId="29BCBB44" w14:textId="5AF5B2FB" w:rsidR="00615FC8" w:rsidRDefault="00615FC8" w:rsidP="00181202">
      <w:pPr>
        <w:rPr>
          <w:b/>
          <w:bCs/>
          <w:noProof/>
        </w:rPr>
      </w:pPr>
    </w:p>
    <w:p w14:paraId="7E4E3A42" w14:textId="580F08A0" w:rsidR="00615FC8" w:rsidRDefault="00615FC8" w:rsidP="00181202">
      <w:pPr>
        <w:rPr>
          <w:b/>
          <w:bCs/>
          <w:noProof/>
        </w:rPr>
      </w:pPr>
    </w:p>
    <w:p w14:paraId="0BD5E4BD" w14:textId="2607607D" w:rsidR="00615FC8" w:rsidRDefault="00615FC8" w:rsidP="00181202">
      <w:pPr>
        <w:rPr>
          <w:b/>
          <w:bCs/>
          <w:noProof/>
        </w:rPr>
      </w:pPr>
    </w:p>
    <w:p w14:paraId="6012E308" w14:textId="77777777" w:rsidR="00615FC8" w:rsidRDefault="00615FC8" w:rsidP="00181202">
      <w:pPr>
        <w:rPr>
          <w:b/>
          <w:bCs/>
          <w:noProof/>
        </w:rPr>
      </w:pPr>
    </w:p>
    <w:p w14:paraId="457C4545" w14:textId="77777777" w:rsidR="00615FC8" w:rsidRDefault="00615FC8" w:rsidP="00181202">
      <w:pPr>
        <w:rPr>
          <w:b/>
          <w:bCs/>
          <w:noProof/>
        </w:rPr>
      </w:pPr>
    </w:p>
    <w:p w14:paraId="7ECAC847" w14:textId="77777777" w:rsidR="005B455E" w:rsidRPr="005B455E" w:rsidRDefault="005B455E" w:rsidP="009E4D2C">
      <w:pPr>
        <w:spacing w:after="0" w:line="240" w:lineRule="auto"/>
        <w:jc w:val="center"/>
        <w:rPr>
          <w:rFonts w:ascii="Arial" w:hAnsi="Arial" w:cs="Arial"/>
          <w:color w:val="000000"/>
          <w:kern w:val="0"/>
          <w:sz w:val="44"/>
          <w:szCs w:val="44"/>
          <w14:ligatures w14:val="none"/>
        </w:rPr>
      </w:pPr>
      <w:r w:rsidRPr="005B455E">
        <w:rPr>
          <w:rFonts w:ascii="Arial-BoldMT" w:hAnsi="Arial-BoldMT" w:cs="Arial"/>
          <w:b/>
          <w:bCs/>
          <w:color w:val="000000"/>
          <w:kern w:val="0"/>
          <w:sz w:val="44"/>
          <w:szCs w:val="44"/>
          <w14:ligatures w14:val="none"/>
        </w:rPr>
        <w:t>Understanding the Business</w:t>
      </w:r>
    </w:p>
    <w:p w14:paraId="44723D4F" w14:textId="77777777" w:rsidR="005B455E" w:rsidRPr="005B455E" w:rsidRDefault="005B455E" w:rsidP="009E4D2C">
      <w:pPr>
        <w:spacing w:after="0" w:line="240" w:lineRule="auto"/>
        <w:jc w:val="center"/>
        <w:rPr>
          <w:rFonts w:ascii="Arial" w:hAnsi="Arial" w:cs="Arial"/>
          <w:color w:val="000000"/>
          <w:kern w:val="0"/>
          <w:sz w:val="44"/>
          <w:szCs w:val="44"/>
          <w14:ligatures w14:val="none"/>
        </w:rPr>
      </w:pPr>
      <w:r w:rsidRPr="005B455E">
        <w:rPr>
          <w:rFonts w:ascii="Arial-BoldMT" w:hAnsi="Arial-BoldMT" w:cs="Arial"/>
          <w:b/>
          <w:bCs/>
          <w:color w:val="000000"/>
          <w:kern w:val="0"/>
          <w:sz w:val="44"/>
          <w:szCs w:val="44"/>
          <w14:ligatures w14:val="none"/>
        </w:rPr>
        <w:t>Environment of the UK EV</w:t>
      </w:r>
    </w:p>
    <w:p w14:paraId="6DA6E0BB" w14:textId="77777777" w:rsidR="005B455E" w:rsidRPr="005B455E" w:rsidRDefault="005B455E" w:rsidP="009E4D2C">
      <w:pPr>
        <w:spacing w:after="0" w:line="240" w:lineRule="auto"/>
        <w:jc w:val="center"/>
        <w:rPr>
          <w:rFonts w:ascii="Arial" w:hAnsi="Arial" w:cs="Arial"/>
          <w:color w:val="000000"/>
          <w:kern w:val="0"/>
          <w:sz w:val="44"/>
          <w:szCs w:val="44"/>
          <w14:ligatures w14:val="none"/>
        </w:rPr>
      </w:pPr>
      <w:r w:rsidRPr="005B455E">
        <w:rPr>
          <w:rFonts w:ascii="Arial-BoldMT" w:hAnsi="Arial-BoldMT" w:cs="Arial"/>
          <w:b/>
          <w:bCs/>
          <w:color w:val="000000"/>
          <w:kern w:val="0"/>
          <w:sz w:val="44"/>
          <w:szCs w:val="44"/>
          <w14:ligatures w14:val="none"/>
        </w:rPr>
        <w:t>Industry</w:t>
      </w:r>
    </w:p>
    <w:p w14:paraId="292EECD3" w14:textId="77777777" w:rsidR="00615FC8" w:rsidRPr="009E4D2C" w:rsidRDefault="00615FC8" w:rsidP="009E4D2C">
      <w:pPr>
        <w:jc w:val="center"/>
        <w:rPr>
          <w:b/>
          <w:bCs/>
          <w:noProof/>
          <w:sz w:val="44"/>
          <w:szCs w:val="44"/>
        </w:rPr>
      </w:pPr>
    </w:p>
    <w:p w14:paraId="2044CD4E" w14:textId="77777777" w:rsidR="00615FC8" w:rsidRDefault="00615FC8" w:rsidP="00181202">
      <w:pPr>
        <w:rPr>
          <w:b/>
          <w:bCs/>
          <w:noProof/>
        </w:rPr>
      </w:pPr>
    </w:p>
    <w:p w14:paraId="26E9BFCC" w14:textId="77777777" w:rsidR="00615FC8" w:rsidRDefault="00615FC8" w:rsidP="00181202">
      <w:pPr>
        <w:rPr>
          <w:b/>
          <w:bCs/>
          <w:noProof/>
        </w:rPr>
      </w:pPr>
    </w:p>
    <w:p w14:paraId="077AEA78" w14:textId="77777777" w:rsidR="00615FC8" w:rsidRDefault="00615FC8" w:rsidP="00181202">
      <w:pPr>
        <w:rPr>
          <w:b/>
          <w:bCs/>
          <w:noProof/>
        </w:rPr>
      </w:pPr>
    </w:p>
    <w:p w14:paraId="59BF1A0E" w14:textId="75DA3009" w:rsidR="00615FC8" w:rsidRDefault="00615FC8" w:rsidP="00181202">
      <w:pPr>
        <w:rPr>
          <w:b/>
          <w:bCs/>
          <w:noProof/>
        </w:rPr>
      </w:pPr>
    </w:p>
    <w:p w14:paraId="7D7EE1CF" w14:textId="77777777" w:rsidR="00D944B2" w:rsidRDefault="00D944B2" w:rsidP="00181202">
      <w:pPr>
        <w:rPr>
          <w:b/>
          <w:bCs/>
          <w:noProof/>
        </w:rPr>
      </w:pPr>
    </w:p>
    <w:p w14:paraId="1F1D37DA" w14:textId="77777777" w:rsidR="00615FC8" w:rsidRDefault="00615FC8" w:rsidP="00181202">
      <w:pPr>
        <w:rPr>
          <w:b/>
          <w:bCs/>
          <w:noProof/>
        </w:rPr>
      </w:pPr>
    </w:p>
    <w:p w14:paraId="42234A7F" w14:textId="77777777" w:rsidR="00615FC8" w:rsidRDefault="00615FC8" w:rsidP="00181202">
      <w:pPr>
        <w:rPr>
          <w:b/>
          <w:bCs/>
          <w:noProof/>
        </w:rPr>
      </w:pPr>
    </w:p>
    <w:p w14:paraId="40B6097C" w14:textId="77777777" w:rsidR="00EF2750" w:rsidRPr="00E029FA" w:rsidRDefault="00165B80" w:rsidP="00165B80">
      <w:pPr>
        <w:rPr>
          <w:b/>
          <w:bCs/>
          <w:noProof/>
        </w:rPr>
      </w:pPr>
      <w:r w:rsidRPr="00E029FA">
        <w:rPr>
          <w:b/>
          <w:bCs/>
          <w:noProof/>
        </w:rPr>
        <w:lastRenderedPageBreak/>
        <w:t>Introduction</w:t>
      </w:r>
      <w:r w:rsidR="00EF2750" w:rsidRPr="00E029FA">
        <w:rPr>
          <w:b/>
          <w:bCs/>
          <w:noProof/>
        </w:rPr>
        <w:t>:</w:t>
      </w:r>
    </w:p>
    <w:p w14:paraId="3293F372" w14:textId="77777777" w:rsidR="00A80E84" w:rsidRPr="00982C68" w:rsidRDefault="00165B80" w:rsidP="00165B80">
      <w:pPr>
        <w:rPr>
          <w:noProof/>
        </w:rPr>
      </w:pPr>
      <w:r w:rsidRPr="00982C68">
        <w:rPr>
          <w:noProof/>
        </w:rPr>
        <w:t xml:space="preserve"> There has been a quick evolution of the electric vehicle (EV) market, thanks notably to the rising demand for new cars from consumers, the regulatory push and technological capabilities. In 2024, the UK had its largest EV market share so far, while UK battery electric vehicles (BEVs) accounted for 19.6% of all new registrations, up from 16.5% in 2023. Early 2025 did more work towards this trend, with BEV share eclipsing 20 percent in some months and BEV sales skyrocketing by more than 40 per cent on an annual basis. For all the excitement, however, the field is exposed to a mixture of opportunities and threats. New taxes do not displace government incentives; charging infrastructure is expanding but unevenly; private consumer uptake lags behind fleet adoption. Rapid innovation in both batteries and technological charge is shaking up the market, but economic pressures and government uncertainty continue to affect adoption patterns. This report presents a systematic external analysis on the UK EV industry from the PESTLE and SWOT frameworks. It assesses how political, economic, social, technological, legal, and environmental dynamics shape the industry and how innovation and infrastructure developments are impacting the dynamics of the market. Finally, it proposes two targeted recommendations for EV companies to respond strategically to these external conditions. </w:t>
      </w:r>
    </w:p>
    <w:p w14:paraId="24040D28" w14:textId="385D6D4C" w:rsidR="00A80E84" w:rsidRPr="00E029FA" w:rsidRDefault="00165B80" w:rsidP="00165B80">
      <w:pPr>
        <w:rPr>
          <w:b/>
          <w:bCs/>
          <w:noProof/>
        </w:rPr>
      </w:pPr>
      <w:r w:rsidRPr="00E029FA">
        <w:rPr>
          <w:b/>
          <w:bCs/>
          <w:noProof/>
        </w:rPr>
        <w:t>Purpose and Scope</w:t>
      </w:r>
    </w:p>
    <w:p w14:paraId="5751394F" w14:textId="70EF3653" w:rsidR="00445904" w:rsidRPr="00982C68" w:rsidRDefault="00165B80" w:rsidP="00165B80">
      <w:pPr>
        <w:rPr>
          <w:noProof/>
        </w:rPr>
      </w:pPr>
      <w:r w:rsidRPr="00982C68">
        <w:rPr>
          <w:noProof/>
        </w:rPr>
        <w:t xml:space="preserve"> The purpose of the analysis is to analyse the external context impacting the UK EV industry till end of October 2025. It evaluates macro level forces that impact the adoption, investment and innovation of EV, drawing on evidence from government statements, industry studies and recent academic research. Scope is the legal framework, economic indicators, electric vehicle charging infrastructure, and related policies; technological developments; public policy areas within this area; and even environmental or societal factors. The target market of this product is a UK private and fleet market, both EVs manufacturers and UK charging infrastructure providers. Findings.</w:t>
      </w:r>
    </w:p>
    <w:p w14:paraId="2BEB9B99" w14:textId="6288E245" w:rsidR="00445904" w:rsidRPr="00E029FA" w:rsidRDefault="00165B80" w:rsidP="00165B80">
      <w:pPr>
        <w:rPr>
          <w:b/>
          <w:bCs/>
          <w:noProof/>
        </w:rPr>
      </w:pPr>
      <w:r w:rsidRPr="00982C68">
        <w:rPr>
          <w:noProof/>
        </w:rPr>
        <w:t xml:space="preserve"> </w:t>
      </w:r>
      <w:r w:rsidRPr="00E029FA">
        <w:rPr>
          <w:b/>
          <w:bCs/>
          <w:noProof/>
        </w:rPr>
        <w:t>PESTLE Analysis</w:t>
      </w:r>
    </w:p>
    <w:p w14:paraId="578BB003" w14:textId="2DA02A8E" w:rsidR="00165B80" w:rsidRPr="00982C68" w:rsidRDefault="00165B80" w:rsidP="00165B80">
      <w:pPr>
        <w:rPr>
          <w:noProof/>
        </w:rPr>
      </w:pPr>
      <w:r w:rsidRPr="00982C68">
        <w:rPr>
          <w:noProof/>
        </w:rPr>
        <w:t xml:space="preserve">. Political. The political environment is a huge influence on the industry. The legal requirement of the zero emission vehicle (ZEV) is to achieve a zero emission by 2030 (80% of new cars and 70% of new vans being sold in the UK being zero emission) increasing to 100% by 2035. This mandate secures long-term certainty for automakers, leading to accelerated investment in electric vehicle supply chains and technologies. In July 2025, the UK introduced a special Electric Car Grant (ECG) of up to £3,750 for EVs priced less than £37,000, offering critical assistance for the affordability of ownership of these new EVs. Simultaneously, the government has revoked certain past tax advantages, with an obligation to pay the standard Vehicle Excise Duty starting in April </w:t>
      </w:r>
      <w:r w:rsidRPr="00982C68">
        <w:rPr>
          <w:noProof/>
        </w:rPr>
        <w:lastRenderedPageBreak/>
        <w:t xml:space="preserve">2025, </w:t>
      </w:r>
      <w:r w:rsidR="008774CF" w:rsidRPr="00982C68">
        <w:rPr>
          <w:noProof/>
        </w:rPr>
        <w:t>while</w:t>
      </w:r>
      <w:r w:rsidRPr="00982C68">
        <w:rPr>
          <w:noProof/>
        </w:rPr>
        <w:t xml:space="preserve"> EVs over £50,000 will be subject to the Expensive Car Supplement. In addition, the government is preparing a pay-per-mile road-use tax to operate in 2028, which could increase 3p per mile for BEVs and impact running costs as a whole. And a combination of the two mixed signals from the government -- subsidies alongside new taxation -- is indicative of a transitional phase in EV policymaking. Although offering incentives will provide a boost to adoption, long-term uncertainty over costs might deter potential buyers. Economic. The primary barrier still concerns affordability. Despite the ECG, a lot of consumers find the upfront cost of EVs high. PwC’s 2025 eReadiness survey cites cost as the leading worry among non-adopters. Insurance, charging costs and the possibility of battery replacement further determine what to buy. UK EV adoption  particularly given the tax incentives and predictable usage patterns faced by fleet buyers (such as company car schemes and corporate fleets)  remains significantly skewed toward fleet buyers. Private buyers are stuck in the red, suggesting structural economic barriers. Manufacturers have also turned to discounting to stimulate demand in 2024, discounts on EVs were estimated to total more than £4.5 billion, prompting concerns around profitability and the durability of price-cut strategies. Macroeconomic forces such as inflation and high cost of living  also weigh on household choices around mega-consumptions for large spending (e.g., cars). But the challenges fuel caution in private EV take-up. Social. The public perception of EVs is very much in good shape and is improving. According to PwC (2025), 70% of UK consumers plan to purchase an EV over a period of five years, while 65% did so the previous year, and strongly opposed to EVs have decreased substantially. That said, there are still lingering issues that may affect you: Range anxiety and problems with charging speed. confidence in battery longevity. There are few outlets for local people without street parking for charging. There are social inequity issues as well. Charging infrastructure is concentrated in London and the South-East, leading to a regional disjunction and limiting access for rural and lower-income households. If infrastructure provision is not fair it may be difficult for national EV adoption to scale evenly across income levels and geographic areas. Technological. The development of EVs continues to make them more efficient and efficient for users, with rapid improvements in technology. By mid-2025, the UK had more than 82,000 public charging devices, a 27% rise every year on 20% share of the new market in the rapid and ultra-rapid chargers. Charging hubs  areas with numerous rapid chargers  also sprouted across the country, a benefit that has improved long-distance travel sustainability. Further, the study on smart charging provides encouraging environmental and economic benefits. A 2025 survey reports that predictive overnight charging has the potential to cut CO₂ emissions by 46% by aligning charging times with low-carbon grid activities. This type of technology would greatly enhance grid stability and alleviate peak conditions. At the same time, variety of EV models is also on the rise: in 2024, more than 130 new ZEV models were introduced, many running the range close to 280 miles, solving the logistical issues around how we get around for daily driving. Legal and Regulatory. The ZEV mandate is the main regulatory driver of industry </w:t>
      </w:r>
      <w:r w:rsidRPr="00982C68">
        <w:rPr>
          <w:noProof/>
        </w:rPr>
        <w:lastRenderedPageBreak/>
        <w:t>transformation. In addition, the regulatory regime consists of planning mandates for chargers in new homes and major buildings and temporary capital allowances to promote implementation of chargepoints. But policies are somewhat inconsistent. Shifts in EV tax rates, uncertainty on future incentives, and short-term fiscal policy create difficulty both for manufacturers and customers. Regulatory certainty about grid integration, battery recycling mandates, and environmental standards is still evolving. EV adoption remains central to the UK’s net-zero commitments. Electrifying transport is one of the biggest levers for reducing emissions. Grants such as the ECG also include sustainability considerations, reflecting the government’s push for environmentally responsible technologies. Meanwhile, environmental scrutiny extends beyond tailpipe emissions to include battery manufacture, raw material sourcing, and end-of-life recycling, which require industry-wide cooperation to solve sustainability challenges. Academic work on smart charging also indicates the importance of charging behaviour to the actual environmental footprint of EVs, emphasising the need for consumer education and grid-aligned charging solutions.</w:t>
      </w:r>
    </w:p>
    <w:p w14:paraId="24EC3570" w14:textId="6B93AC22" w:rsidR="00165B80" w:rsidRPr="00982C68" w:rsidRDefault="00165B80" w:rsidP="00165B80">
      <w:pPr>
        <w:rPr>
          <w:noProof/>
        </w:rPr>
      </w:pPr>
      <w:r w:rsidRPr="00E029FA">
        <w:rPr>
          <w:b/>
          <w:bCs/>
          <w:noProof/>
        </w:rPr>
        <w:t>SWOT Analysis</w:t>
      </w:r>
    </w:p>
    <w:p w14:paraId="14CAD511" w14:textId="77777777" w:rsidR="00165B80" w:rsidRPr="00982C68" w:rsidRDefault="00165B80" w:rsidP="00165B80">
      <w:pPr>
        <w:rPr>
          <w:noProof/>
        </w:rPr>
      </w:pPr>
      <w:r w:rsidRPr="00982C68">
        <w:rPr>
          <w:noProof/>
        </w:rPr>
        <w:t>Strengths</w:t>
      </w:r>
    </w:p>
    <w:p w14:paraId="445CBCAD" w14:textId="77777777" w:rsidR="00165B80" w:rsidRPr="00982C68" w:rsidRDefault="00165B80" w:rsidP="00165B80">
      <w:pPr>
        <w:rPr>
          <w:noProof/>
        </w:rPr>
      </w:pPr>
      <w:r w:rsidRPr="00982C68">
        <w:rPr>
          <w:noProof/>
        </w:rPr>
        <w:t>Powerful regulatory movement through the legally binding ZEV mandate. Quick surge in charging infrastructure, particularly for high-powered chargers. Increasing consumer demand and enhancing public sentiment towards EV performance. Boosting diversity of models with enhanced battery range and reliability. Alignment with national climate goals boosts political and social support.</w:t>
      </w:r>
    </w:p>
    <w:p w14:paraId="34BF07F9" w14:textId="77777777" w:rsidR="00165B80" w:rsidRPr="00982C68" w:rsidRDefault="00165B80" w:rsidP="00165B80">
      <w:pPr>
        <w:rPr>
          <w:noProof/>
        </w:rPr>
      </w:pPr>
      <w:r w:rsidRPr="00982C68">
        <w:rPr>
          <w:noProof/>
        </w:rPr>
        <w:t>Weaknesses</w:t>
      </w:r>
    </w:p>
    <w:p w14:paraId="1FA1AE1B" w14:textId="77777777" w:rsidR="00165B80" w:rsidRPr="00982C68" w:rsidRDefault="00165B80" w:rsidP="00165B80">
      <w:pPr>
        <w:rPr>
          <w:noProof/>
        </w:rPr>
      </w:pPr>
      <w:r w:rsidRPr="00982C68">
        <w:rPr>
          <w:noProof/>
        </w:rPr>
        <w:t>Costly entry and unpredictable perceptions about the overall cost of ownership. Infrastructure is still uneven between regions. Market relying more on fleet than private customers. Profitability concerns prompted by industry-wide discounting. Changes in policy and taxation erode certainty for long-term consumers.</w:t>
      </w:r>
    </w:p>
    <w:p w14:paraId="18A102B3" w14:textId="77777777" w:rsidR="00165B80" w:rsidRPr="00982C68" w:rsidRDefault="00165B80" w:rsidP="00165B80">
      <w:pPr>
        <w:rPr>
          <w:noProof/>
        </w:rPr>
      </w:pPr>
      <w:r w:rsidRPr="00982C68">
        <w:rPr>
          <w:noProof/>
        </w:rPr>
        <w:t>Opportunities</w:t>
      </w:r>
    </w:p>
    <w:p w14:paraId="73F14C0A" w14:textId="77777777" w:rsidR="00165B80" w:rsidRPr="00982C68" w:rsidRDefault="00165B80" w:rsidP="00165B80">
      <w:pPr>
        <w:rPr>
          <w:noProof/>
        </w:rPr>
      </w:pPr>
      <w:r w:rsidRPr="00982C68">
        <w:rPr>
          <w:noProof/>
        </w:rPr>
        <w:t>Broader charging hubs and smart-charging technologies. The growth of the used EV market provides an easier entry point. Electrification of the fleet and corporate environment continues to ramp up. Opportunity for integrated mobility and energy-management solutions. Sustainability branding strengthens competitive positioning.</w:t>
      </w:r>
    </w:p>
    <w:p w14:paraId="0AFF129F" w14:textId="77777777" w:rsidR="00165B80" w:rsidRPr="00982C68" w:rsidRDefault="00165B80" w:rsidP="00165B80">
      <w:pPr>
        <w:rPr>
          <w:noProof/>
        </w:rPr>
      </w:pPr>
      <w:r w:rsidRPr="00982C68">
        <w:rPr>
          <w:noProof/>
        </w:rPr>
        <w:t>Threats</w:t>
      </w:r>
    </w:p>
    <w:p w14:paraId="767A2251" w14:textId="77777777" w:rsidR="00165B80" w:rsidRPr="00982C68" w:rsidRDefault="00165B80" w:rsidP="00165B80">
      <w:pPr>
        <w:rPr>
          <w:noProof/>
        </w:rPr>
      </w:pPr>
      <w:r w:rsidRPr="00982C68">
        <w:rPr>
          <w:noProof/>
        </w:rPr>
        <w:t>Regulatory uncertainty from pending tax changes (pay-per-mile, for example). Economic forces may restrain private EV purchases. Supply-chain risks to battery materials. Competition from hybrids and efficient combustion vehicles. Public charging bottlenecks in underserved areas.</w:t>
      </w:r>
    </w:p>
    <w:p w14:paraId="46838558" w14:textId="2D4E2AEC" w:rsidR="00165B80" w:rsidRPr="00982C68" w:rsidRDefault="00165B80" w:rsidP="00165B80">
      <w:pPr>
        <w:rPr>
          <w:noProof/>
        </w:rPr>
      </w:pPr>
      <w:r w:rsidRPr="00E029FA">
        <w:rPr>
          <w:b/>
          <w:bCs/>
          <w:noProof/>
        </w:rPr>
        <w:lastRenderedPageBreak/>
        <w:t>Innovation &amp; Infrastructure Dynamics</w:t>
      </w:r>
    </w:p>
    <w:p w14:paraId="3E9F6DD7" w14:textId="77777777" w:rsidR="00165B80" w:rsidRPr="00982C68" w:rsidRDefault="00165B80" w:rsidP="00165B80">
      <w:pPr>
        <w:rPr>
          <w:noProof/>
        </w:rPr>
      </w:pPr>
      <w:r w:rsidRPr="00982C68">
        <w:rPr>
          <w:noProof/>
        </w:rPr>
        <w:t>Innovation and infrastructure have been at the heart of the UK EV industry. Infrastructure expansion, especially high-speed and ultra-rapid networks, reduces barriers to practical adoption (charging time, range anxiety, etc.). Smart-charging technology complements this by distributing grid loads and cutting emissions. Policy support for infrastructure (capital allowances, building regulations) theoretically fosters deployment but remains unstable and sometimes short-term. Private companies therefore have a great chance to play a major role in infrastructure development and influence its direction, especially in underserved areas.</w:t>
      </w:r>
    </w:p>
    <w:p w14:paraId="0545A807" w14:textId="07A7A0FC" w:rsidR="00165B80" w:rsidRPr="00982C68" w:rsidRDefault="00165B80" w:rsidP="00165B80">
      <w:pPr>
        <w:rPr>
          <w:noProof/>
        </w:rPr>
      </w:pPr>
      <w:r w:rsidRPr="00E029FA">
        <w:rPr>
          <w:b/>
          <w:bCs/>
          <w:noProof/>
        </w:rPr>
        <w:t>Conclusion</w:t>
      </w:r>
      <w:r w:rsidRPr="00982C68">
        <w:rPr>
          <w:noProof/>
        </w:rPr>
        <w:t xml:space="preserve"> </w:t>
      </w:r>
    </w:p>
    <w:p w14:paraId="5C4BBCA1" w14:textId="77777777" w:rsidR="00165B80" w:rsidRPr="00982C68" w:rsidRDefault="00165B80" w:rsidP="00165B80">
      <w:pPr>
        <w:rPr>
          <w:noProof/>
        </w:rPr>
      </w:pPr>
      <w:r w:rsidRPr="00982C68">
        <w:rPr>
          <w:noProof/>
        </w:rPr>
        <w:t>With new technological advances, increasing consumer confidence, and a robust regulatory environment, the UK EV industry is growing quickly. This has led to a widening charging network and the introduction of affordability grants, contributing to accelerated adoption for EV players. But more than half a decade on, obstacles persist: regional differences in infrastructure, high initial costs, dependence on fleet customers, and policy contradictions that introduce ambiguity for manufacturers and end consumers alike. To reach mass EV adoption and long-term industry sustainability, firms need to develop beyond vehicles—toward integrated charging technology, affordability programmes, and grid-aligned technologies. Strategic adaptation will be essential as we continue to navigate economic pressures and an increasingly dynamic regulatory environment.</w:t>
      </w:r>
    </w:p>
    <w:p w14:paraId="60904D25" w14:textId="56DC3B6F" w:rsidR="00165B80" w:rsidRPr="00982C68" w:rsidRDefault="00165B80" w:rsidP="00165B80">
      <w:pPr>
        <w:rPr>
          <w:b/>
          <w:bCs/>
          <w:noProof/>
        </w:rPr>
      </w:pPr>
      <w:r w:rsidRPr="00982C68">
        <w:rPr>
          <w:b/>
          <w:bCs/>
          <w:noProof/>
        </w:rPr>
        <w:t xml:space="preserve"> Recommendations</w:t>
      </w:r>
    </w:p>
    <w:p w14:paraId="1AEC6A6C" w14:textId="77777777" w:rsidR="00165B80" w:rsidRPr="00982C68" w:rsidRDefault="00165B80" w:rsidP="00165B80">
      <w:pPr>
        <w:rPr>
          <w:noProof/>
        </w:rPr>
      </w:pPr>
      <w:r w:rsidRPr="00982C68">
        <w:rPr>
          <w:noProof/>
        </w:rPr>
        <w:t>Recommendation 1: Prioritise Smart-Charging Solutions &amp; Expand Strategic Infrastructure</w:t>
      </w:r>
    </w:p>
    <w:p w14:paraId="7ABB6CE0" w14:textId="77777777" w:rsidR="00165B80" w:rsidRPr="00982C68" w:rsidRDefault="00165B80" w:rsidP="00165B80">
      <w:pPr>
        <w:rPr>
          <w:noProof/>
        </w:rPr>
      </w:pPr>
      <w:r w:rsidRPr="00982C68">
        <w:rPr>
          <w:noProof/>
        </w:rPr>
        <w:t>EV companies should invest in smart-charging services that enhance the home-charging ecosystem, including home-charging optimisation, dynamic pricing, grid-responsive technologies, and more. Firms should also create charging hubs in rural or regionally underserved areas to address the lack of charging infrastructure, reduce range anxiety, improve grid stability, and begin offering new revenue streams through subscription-based services, energy management tools, and integrated mobility solutions.</w:t>
      </w:r>
    </w:p>
    <w:p w14:paraId="034CBDB2" w14:textId="77777777" w:rsidR="00165B80" w:rsidRPr="00982C68" w:rsidRDefault="00165B80" w:rsidP="00165B80">
      <w:pPr>
        <w:rPr>
          <w:noProof/>
        </w:rPr>
      </w:pPr>
      <w:r w:rsidRPr="00982C68">
        <w:rPr>
          <w:noProof/>
        </w:rPr>
        <w:t>Recommendation 2: Develop Affordable Mid-Market EVs and Strengthen the Used EV Market</w:t>
      </w:r>
    </w:p>
    <w:p w14:paraId="024CD9CA" w14:textId="321613EE" w:rsidR="0067607A" w:rsidRPr="00982C68" w:rsidRDefault="00165B80" w:rsidP="00181202">
      <w:pPr>
        <w:rPr>
          <w:noProof/>
        </w:rPr>
      </w:pPr>
      <w:r w:rsidRPr="00982C68">
        <w:rPr>
          <w:noProof/>
        </w:rPr>
        <w:t xml:space="preserve">Manufacturers should reduce reliance on discounting and focus more on affordable EV offerings and promoted certified pre-owned EV programmes. The availability of battery warranties, trade-in schemes, and flexible financing can all serve to boost private </w:t>
      </w:r>
      <w:r w:rsidRPr="00982C68">
        <w:rPr>
          <w:noProof/>
        </w:rPr>
        <w:lastRenderedPageBreak/>
        <w:t>adoption—particularly among cost-sensitive buyers. This will expedite the transition from fleet-driven adoption to mass-market penetration.</w:t>
      </w:r>
    </w:p>
    <w:p w14:paraId="26334571" w14:textId="77777777" w:rsidR="004A328D" w:rsidRPr="00C25096" w:rsidRDefault="004A328D" w:rsidP="00181202">
      <w:pPr>
        <w:rPr>
          <w:noProof/>
          <w:color w:val="000000" w:themeColor="text1"/>
        </w:rPr>
      </w:pPr>
    </w:p>
    <w:p w14:paraId="2614DD8C" w14:textId="77777777" w:rsidR="0044584A" w:rsidRPr="00C25096" w:rsidRDefault="0044584A">
      <w:pPr>
        <w:pStyle w:val="NormalWeb"/>
        <w:numPr>
          <w:ilvl w:val="0"/>
          <w:numId w:val="1"/>
        </w:numPr>
        <w:rPr>
          <w:color w:val="000000" w:themeColor="text1"/>
        </w:rPr>
      </w:pPr>
      <w:r w:rsidRPr="00C25096">
        <w:rPr>
          <w:color w:val="000000" w:themeColor="text1"/>
        </w:rPr>
        <w:t>Department for Transport, 2025. Discount of up to £3,750 on electric cars set to slash costs for thousands. GOV.UK.</w:t>
      </w:r>
      <w:r w:rsidRPr="00C25096">
        <w:rPr>
          <w:rStyle w:val="apple-converted-space"/>
          <w:color w:val="000000" w:themeColor="text1"/>
        </w:rPr>
        <w:t> </w:t>
      </w:r>
      <w:hyperlink r:id="rId6" w:tgtFrame="_blank" w:history="1">
        <w:r w:rsidRPr="00C25096">
          <w:rPr>
            <w:rStyle w:val="max-w-15ch"/>
            <w:color w:val="000000" w:themeColor="text1"/>
            <w:u w:val="single"/>
          </w:rPr>
          <w:t>GOV.UK</w:t>
        </w:r>
      </w:hyperlink>
    </w:p>
    <w:p w14:paraId="09841935" w14:textId="77777777" w:rsidR="0044584A" w:rsidRPr="00C25096" w:rsidRDefault="0044584A">
      <w:pPr>
        <w:pStyle w:val="NormalWeb"/>
        <w:numPr>
          <w:ilvl w:val="0"/>
          <w:numId w:val="1"/>
        </w:numPr>
        <w:rPr>
          <w:color w:val="000000" w:themeColor="text1"/>
        </w:rPr>
      </w:pPr>
      <w:r w:rsidRPr="00C25096">
        <w:rPr>
          <w:color w:val="000000" w:themeColor="text1"/>
        </w:rPr>
        <w:t>Department for Transport / Office for Zero Emission Vehicles, 2023. Government sets out path to zero emission vehicles by 2035. GOV.UK.</w:t>
      </w:r>
      <w:r w:rsidRPr="00C25096">
        <w:rPr>
          <w:rStyle w:val="apple-converted-space"/>
          <w:color w:val="000000" w:themeColor="text1"/>
        </w:rPr>
        <w:t> </w:t>
      </w:r>
      <w:hyperlink r:id="rId7" w:tgtFrame="_blank" w:history="1">
        <w:r w:rsidRPr="00C25096">
          <w:rPr>
            <w:rStyle w:val="max-w-15ch"/>
            <w:color w:val="000000" w:themeColor="text1"/>
            <w:u w:val="single"/>
          </w:rPr>
          <w:t>GOV.UK</w:t>
        </w:r>
        <w:r w:rsidRPr="00C25096">
          <w:rPr>
            <w:rStyle w:val="-me-1"/>
            <w:color w:val="000000" w:themeColor="text1"/>
            <w:u w:val="single"/>
          </w:rPr>
          <w:t>+1</w:t>
        </w:r>
      </w:hyperlink>
    </w:p>
    <w:p w14:paraId="2BC7B576" w14:textId="77777777" w:rsidR="0044584A" w:rsidRPr="00C25096" w:rsidRDefault="0044584A">
      <w:pPr>
        <w:pStyle w:val="NormalWeb"/>
        <w:numPr>
          <w:ilvl w:val="0"/>
          <w:numId w:val="1"/>
        </w:numPr>
        <w:rPr>
          <w:color w:val="000000" w:themeColor="text1"/>
        </w:rPr>
      </w:pPr>
      <w:r w:rsidRPr="00C25096">
        <w:rPr>
          <w:color w:val="000000" w:themeColor="text1"/>
        </w:rPr>
        <w:t>Electric vehicle public charging infrastructure statistics, July 2025. GOV.UK.</w:t>
      </w:r>
      <w:r w:rsidRPr="00C25096">
        <w:rPr>
          <w:rStyle w:val="apple-converted-space"/>
          <w:color w:val="000000" w:themeColor="text1"/>
        </w:rPr>
        <w:t> </w:t>
      </w:r>
      <w:hyperlink r:id="rId8" w:tgtFrame="_blank" w:history="1">
        <w:r w:rsidRPr="00C25096">
          <w:rPr>
            <w:rStyle w:val="max-w-15ch"/>
            <w:color w:val="000000" w:themeColor="text1"/>
            <w:u w:val="single"/>
          </w:rPr>
          <w:t>GOV.UK</w:t>
        </w:r>
        <w:r w:rsidRPr="00C25096">
          <w:rPr>
            <w:rStyle w:val="-me-1"/>
            <w:color w:val="000000" w:themeColor="text1"/>
            <w:u w:val="single"/>
          </w:rPr>
          <w:t>+1</w:t>
        </w:r>
      </w:hyperlink>
    </w:p>
    <w:p w14:paraId="278933FB" w14:textId="77777777" w:rsidR="0044584A" w:rsidRPr="00C25096" w:rsidRDefault="0044584A">
      <w:pPr>
        <w:pStyle w:val="NormalWeb"/>
        <w:numPr>
          <w:ilvl w:val="0"/>
          <w:numId w:val="1"/>
        </w:numPr>
        <w:rPr>
          <w:color w:val="000000" w:themeColor="text1"/>
        </w:rPr>
      </w:pPr>
      <w:r w:rsidRPr="00C25096">
        <w:rPr>
          <w:color w:val="000000" w:themeColor="text1"/>
        </w:rPr>
        <w:t>Electric vehicles (Commons Library briefing). UK Parliament.</w:t>
      </w:r>
      <w:r w:rsidRPr="00C25096">
        <w:rPr>
          <w:rStyle w:val="apple-converted-space"/>
          <w:color w:val="000000" w:themeColor="text1"/>
        </w:rPr>
        <w:t> </w:t>
      </w:r>
      <w:hyperlink r:id="rId9" w:tgtFrame="_blank" w:history="1">
        <w:r w:rsidRPr="00C25096">
          <w:rPr>
            <w:rStyle w:val="max-w-15ch"/>
            <w:color w:val="000000" w:themeColor="text1"/>
            <w:u w:val="single"/>
          </w:rPr>
          <w:t>House of Commons Library</w:t>
        </w:r>
        <w:r w:rsidRPr="00C25096">
          <w:rPr>
            <w:rStyle w:val="-me-1"/>
            <w:color w:val="000000" w:themeColor="text1"/>
            <w:u w:val="single"/>
          </w:rPr>
          <w:t>+1</w:t>
        </w:r>
      </w:hyperlink>
    </w:p>
    <w:p w14:paraId="559BDBEE" w14:textId="77777777" w:rsidR="0044584A" w:rsidRPr="00C25096" w:rsidRDefault="0044584A">
      <w:pPr>
        <w:pStyle w:val="NormalWeb"/>
        <w:numPr>
          <w:ilvl w:val="0"/>
          <w:numId w:val="1"/>
        </w:numPr>
        <w:rPr>
          <w:color w:val="000000" w:themeColor="text1"/>
        </w:rPr>
      </w:pPr>
      <w:r w:rsidRPr="00C25096">
        <w:rPr>
          <w:color w:val="000000" w:themeColor="text1"/>
        </w:rPr>
        <w:t>PwC, 2025. Electric Vehicle Adoption across the UK bouncing back – eReadiness survey 2025. Press release.</w:t>
      </w:r>
      <w:r w:rsidRPr="00C25096">
        <w:rPr>
          <w:rStyle w:val="apple-converted-space"/>
          <w:color w:val="000000" w:themeColor="text1"/>
        </w:rPr>
        <w:t> </w:t>
      </w:r>
      <w:hyperlink r:id="rId10" w:tgtFrame="_blank" w:history="1">
        <w:r w:rsidRPr="00C25096">
          <w:rPr>
            <w:rStyle w:val="max-w-15ch"/>
            <w:color w:val="000000" w:themeColor="text1"/>
            <w:u w:val="single"/>
          </w:rPr>
          <w:t>PwC</w:t>
        </w:r>
        <w:r w:rsidRPr="00C25096">
          <w:rPr>
            <w:rStyle w:val="-me-1"/>
            <w:color w:val="000000" w:themeColor="text1"/>
            <w:u w:val="single"/>
          </w:rPr>
          <w:t>+1</w:t>
        </w:r>
      </w:hyperlink>
    </w:p>
    <w:p w14:paraId="575118B2" w14:textId="77777777" w:rsidR="0044584A" w:rsidRPr="00C25096" w:rsidRDefault="0044584A">
      <w:pPr>
        <w:pStyle w:val="NormalWeb"/>
        <w:numPr>
          <w:ilvl w:val="0"/>
          <w:numId w:val="1"/>
        </w:numPr>
        <w:rPr>
          <w:color w:val="000000" w:themeColor="text1"/>
        </w:rPr>
      </w:pPr>
      <w:r w:rsidRPr="00C25096">
        <w:rPr>
          <w:color w:val="000000" w:themeColor="text1"/>
        </w:rPr>
        <w:t>“UK EV sales reached record high in 2024” — Engineering &amp; Technology Magazine, 7 Jan 2025.</w:t>
      </w:r>
      <w:r w:rsidRPr="00C25096">
        <w:rPr>
          <w:rStyle w:val="apple-converted-space"/>
          <w:color w:val="000000" w:themeColor="text1"/>
        </w:rPr>
        <w:t> </w:t>
      </w:r>
      <w:hyperlink r:id="rId11" w:tgtFrame="_blank" w:history="1">
        <w:r w:rsidRPr="00C25096">
          <w:rPr>
            <w:rStyle w:val="max-w-15ch"/>
            <w:color w:val="000000" w:themeColor="text1"/>
            <w:u w:val="single"/>
          </w:rPr>
          <w:t>E&amp;T Magazine</w:t>
        </w:r>
        <w:r w:rsidRPr="00C25096">
          <w:rPr>
            <w:rStyle w:val="-me-1"/>
            <w:color w:val="000000" w:themeColor="text1"/>
            <w:u w:val="single"/>
          </w:rPr>
          <w:t>+1</w:t>
        </w:r>
      </w:hyperlink>
    </w:p>
    <w:p w14:paraId="5D2D3955" w14:textId="77777777" w:rsidR="0044584A" w:rsidRPr="00C25096" w:rsidRDefault="0044584A">
      <w:pPr>
        <w:pStyle w:val="NormalWeb"/>
        <w:numPr>
          <w:ilvl w:val="0"/>
          <w:numId w:val="1"/>
        </w:numPr>
        <w:rPr>
          <w:color w:val="000000" w:themeColor="text1"/>
        </w:rPr>
      </w:pPr>
      <w:r w:rsidRPr="00C25096">
        <w:rPr>
          <w:color w:val="000000" w:themeColor="text1"/>
        </w:rPr>
        <w:t xml:space="preserve">“UK EV Market: Navigating Growth and Policy Crossroads for Investment Opportunities” — </w:t>
      </w:r>
      <w:proofErr w:type="spellStart"/>
      <w:r w:rsidRPr="00C25096">
        <w:rPr>
          <w:color w:val="000000" w:themeColor="text1"/>
        </w:rPr>
        <w:t>AInvest</w:t>
      </w:r>
      <w:proofErr w:type="spellEnd"/>
      <w:r w:rsidRPr="00C25096">
        <w:rPr>
          <w:color w:val="000000" w:themeColor="text1"/>
        </w:rPr>
        <w:t>, 2025.</w:t>
      </w:r>
      <w:r w:rsidRPr="00C25096">
        <w:rPr>
          <w:rStyle w:val="apple-converted-space"/>
          <w:color w:val="000000" w:themeColor="text1"/>
        </w:rPr>
        <w:t> </w:t>
      </w:r>
      <w:proofErr w:type="spellStart"/>
      <w:r w:rsidRPr="00C25096">
        <w:rPr>
          <w:rStyle w:val="ms-1"/>
          <w:color w:val="000000" w:themeColor="text1"/>
        </w:rPr>
        <w:fldChar w:fldCharType="begin"/>
      </w:r>
      <w:r w:rsidRPr="00C25096">
        <w:rPr>
          <w:rStyle w:val="ms-1"/>
          <w:color w:val="000000" w:themeColor="text1"/>
        </w:rPr>
        <w:instrText>HYPERLINK "https://www.ainvest.com/news/uk-ev-market-navigating-growth-policy-crossroads-investment-opportunities-2507/?utm_source=chatgpt.com" \t "_blank"</w:instrText>
      </w:r>
      <w:r w:rsidRPr="00C25096">
        <w:rPr>
          <w:rStyle w:val="ms-1"/>
          <w:color w:val="000000" w:themeColor="text1"/>
        </w:rPr>
      </w:r>
      <w:r w:rsidRPr="00C25096">
        <w:rPr>
          <w:rStyle w:val="ms-1"/>
          <w:color w:val="000000" w:themeColor="text1"/>
        </w:rPr>
        <w:fldChar w:fldCharType="separate"/>
      </w:r>
      <w:r w:rsidRPr="00C25096">
        <w:rPr>
          <w:rStyle w:val="max-w-15ch"/>
          <w:color w:val="000000" w:themeColor="text1"/>
          <w:u w:val="single"/>
        </w:rPr>
        <w:t>AInvest</w:t>
      </w:r>
      <w:proofErr w:type="spellEnd"/>
      <w:r w:rsidRPr="00C25096">
        <w:rPr>
          <w:rStyle w:val="-me-1"/>
          <w:color w:val="000000" w:themeColor="text1"/>
          <w:u w:val="single"/>
        </w:rPr>
        <w:t>+1</w:t>
      </w:r>
      <w:r w:rsidRPr="00C25096">
        <w:rPr>
          <w:rStyle w:val="ms-1"/>
          <w:color w:val="000000" w:themeColor="text1"/>
        </w:rPr>
        <w:fldChar w:fldCharType="end"/>
      </w:r>
    </w:p>
    <w:p w14:paraId="2AFD5576" w14:textId="77777777" w:rsidR="0044584A" w:rsidRPr="00C25096" w:rsidRDefault="0044584A">
      <w:pPr>
        <w:pStyle w:val="NormalWeb"/>
        <w:numPr>
          <w:ilvl w:val="0"/>
          <w:numId w:val="1"/>
        </w:numPr>
        <w:rPr>
          <w:color w:val="000000" w:themeColor="text1"/>
        </w:rPr>
      </w:pPr>
      <w:r w:rsidRPr="00C25096">
        <w:rPr>
          <w:color w:val="000000" w:themeColor="text1"/>
        </w:rPr>
        <w:t>“Taking charge: the electric vehicle infrastructure strategy” — UK Government (2022).</w:t>
      </w:r>
      <w:r w:rsidRPr="00C25096">
        <w:rPr>
          <w:rStyle w:val="apple-converted-space"/>
          <w:color w:val="000000" w:themeColor="text1"/>
        </w:rPr>
        <w:t> </w:t>
      </w:r>
      <w:hyperlink r:id="rId12" w:tgtFrame="_blank" w:history="1">
        <w:r w:rsidRPr="00C25096">
          <w:rPr>
            <w:rStyle w:val="max-w-15ch"/>
            <w:color w:val="000000" w:themeColor="text1"/>
            <w:u w:val="single"/>
          </w:rPr>
          <w:t>GOV.UK</w:t>
        </w:r>
      </w:hyperlink>
    </w:p>
    <w:p w14:paraId="53C452B4" w14:textId="77777777" w:rsidR="0044584A" w:rsidRPr="00C25096" w:rsidRDefault="0044584A">
      <w:pPr>
        <w:pStyle w:val="NormalWeb"/>
        <w:numPr>
          <w:ilvl w:val="0"/>
          <w:numId w:val="1"/>
        </w:numPr>
        <w:rPr>
          <w:color w:val="000000" w:themeColor="text1"/>
        </w:rPr>
      </w:pPr>
      <w:proofErr w:type="spellStart"/>
      <w:r w:rsidRPr="00C25096">
        <w:rPr>
          <w:color w:val="000000" w:themeColor="text1"/>
        </w:rPr>
        <w:t>Wieberneit</w:t>
      </w:r>
      <w:proofErr w:type="spellEnd"/>
      <w:r w:rsidRPr="00C25096">
        <w:rPr>
          <w:color w:val="000000" w:themeColor="text1"/>
        </w:rPr>
        <w:t xml:space="preserve">, F., </w:t>
      </w:r>
      <w:proofErr w:type="spellStart"/>
      <w:r w:rsidRPr="00C25096">
        <w:rPr>
          <w:color w:val="000000" w:themeColor="text1"/>
        </w:rPr>
        <w:t>Crisostomi</w:t>
      </w:r>
      <w:proofErr w:type="spellEnd"/>
      <w:r w:rsidRPr="00C25096">
        <w:rPr>
          <w:color w:val="000000" w:themeColor="text1"/>
        </w:rPr>
        <w:t>, E., Quinn, A., Shorten, R., 2025. Predictive Control of EV Overnight Charging with Multi-Session Flexibility. arXiv preprint.</w:t>
      </w:r>
      <w:r w:rsidRPr="00C25096">
        <w:rPr>
          <w:rStyle w:val="apple-converted-space"/>
          <w:color w:val="000000" w:themeColor="text1"/>
        </w:rPr>
        <w:t> </w:t>
      </w:r>
      <w:hyperlink r:id="rId13" w:tgtFrame="_blank" w:history="1">
        <w:r w:rsidRPr="00C25096">
          <w:rPr>
            <w:rStyle w:val="max-w-15ch"/>
            <w:color w:val="000000" w:themeColor="text1"/>
            <w:u w:val="single"/>
          </w:rPr>
          <w:t>arXiv</w:t>
        </w:r>
      </w:hyperlink>
    </w:p>
    <w:p w14:paraId="2DA59E21" w14:textId="77777777" w:rsidR="0044584A" w:rsidRPr="00C25096" w:rsidRDefault="0044584A">
      <w:pPr>
        <w:pStyle w:val="NormalWeb"/>
        <w:numPr>
          <w:ilvl w:val="0"/>
          <w:numId w:val="1"/>
        </w:numPr>
        <w:rPr>
          <w:color w:val="000000" w:themeColor="text1"/>
        </w:rPr>
      </w:pPr>
      <w:r w:rsidRPr="00C25096">
        <w:rPr>
          <w:color w:val="000000" w:themeColor="text1"/>
        </w:rPr>
        <w:t>Analysis and market overview (UK charging infrastructure market report 2025).</w:t>
      </w:r>
      <w:r w:rsidRPr="00C25096">
        <w:rPr>
          <w:rStyle w:val="apple-converted-space"/>
          <w:color w:val="000000" w:themeColor="text1"/>
        </w:rPr>
        <w:t> </w:t>
      </w:r>
      <w:hyperlink r:id="rId14" w:tgtFrame="_blank" w:history="1">
        <w:r w:rsidRPr="00C25096">
          <w:rPr>
            <w:rStyle w:val="max-w-15ch"/>
            <w:color w:val="000000" w:themeColor="text1"/>
            <w:u w:val="single"/>
          </w:rPr>
          <w:t>GlobeNewswire</w:t>
        </w:r>
        <w:r w:rsidRPr="00C25096">
          <w:rPr>
            <w:rStyle w:val="-me-1"/>
            <w:color w:val="000000" w:themeColor="text1"/>
            <w:u w:val="single"/>
          </w:rPr>
          <w:t>+2</w:t>
        </w:r>
        <w:r w:rsidRPr="00C25096">
          <w:rPr>
            <w:rStyle w:val="max-w-15ch"/>
            <w:color w:val="000000" w:themeColor="text1"/>
            <w:u w:val="single"/>
          </w:rPr>
          <w:t>Fleet News</w:t>
        </w:r>
        <w:r w:rsidRPr="00C25096">
          <w:rPr>
            <w:rStyle w:val="-me-1"/>
            <w:color w:val="000000" w:themeColor="text1"/>
            <w:u w:val="single"/>
          </w:rPr>
          <w:t>+2</w:t>
        </w:r>
      </w:hyperlink>
    </w:p>
    <w:p w14:paraId="541B6E43" w14:textId="77777777" w:rsidR="00DC2745" w:rsidRPr="00982C68" w:rsidRDefault="00DC2745" w:rsidP="00181202">
      <w:pPr>
        <w:rPr>
          <w:noProof/>
        </w:rPr>
      </w:pPr>
    </w:p>
    <w:sectPr w:rsidR="00DC2745" w:rsidRPr="00982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F1A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839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49"/>
    <w:rsid w:val="000A47FC"/>
    <w:rsid w:val="000E4424"/>
    <w:rsid w:val="00165B80"/>
    <w:rsid w:val="00181202"/>
    <w:rsid w:val="001A4349"/>
    <w:rsid w:val="001C7048"/>
    <w:rsid w:val="001D3E0E"/>
    <w:rsid w:val="002A1B86"/>
    <w:rsid w:val="00323F73"/>
    <w:rsid w:val="00324BA4"/>
    <w:rsid w:val="00374A92"/>
    <w:rsid w:val="0038278D"/>
    <w:rsid w:val="00383E14"/>
    <w:rsid w:val="003942D5"/>
    <w:rsid w:val="0044584A"/>
    <w:rsid w:val="00445904"/>
    <w:rsid w:val="0047166E"/>
    <w:rsid w:val="00486DA8"/>
    <w:rsid w:val="004A328D"/>
    <w:rsid w:val="004B7C31"/>
    <w:rsid w:val="004C3122"/>
    <w:rsid w:val="005B455E"/>
    <w:rsid w:val="00615FC8"/>
    <w:rsid w:val="0063587B"/>
    <w:rsid w:val="00663112"/>
    <w:rsid w:val="0067607A"/>
    <w:rsid w:val="00687752"/>
    <w:rsid w:val="00687FBC"/>
    <w:rsid w:val="006B3340"/>
    <w:rsid w:val="0078762A"/>
    <w:rsid w:val="007E2AF9"/>
    <w:rsid w:val="0081723E"/>
    <w:rsid w:val="008774CF"/>
    <w:rsid w:val="008B2C4A"/>
    <w:rsid w:val="008B37A3"/>
    <w:rsid w:val="008C33C6"/>
    <w:rsid w:val="00982C68"/>
    <w:rsid w:val="009835E5"/>
    <w:rsid w:val="009C47E3"/>
    <w:rsid w:val="009D3F62"/>
    <w:rsid w:val="009E4D2C"/>
    <w:rsid w:val="00A80E84"/>
    <w:rsid w:val="00A908E1"/>
    <w:rsid w:val="00A90AEB"/>
    <w:rsid w:val="00AB7B7E"/>
    <w:rsid w:val="00AC40C2"/>
    <w:rsid w:val="00AD4847"/>
    <w:rsid w:val="00B30B04"/>
    <w:rsid w:val="00B45E9E"/>
    <w:rsid w:val="00B90651"/>
    <w:rsid w:val="00C112C4"/>
    <w:rsid w:val="00C25096"/>
    <w:rsid w:val="00C41CBE"/>
    <w:rsid w:val="00C53D66"/>
    <w:rsid w:val="00CB6034"/>
    <w:rsid w:val="00CD010D"/>
    <w:rsid w:val="00CD7F18"/>
    <w:rsid w:val="00CE6A65"/>
    <w:rsid w:val="00D81B26"/>
    <w:rsid w:val="00D944B2"/>
    <w:rsid w:val="00DA740A"/>
    <w:rsid w:val="00DC2745"/>
    <w:rsid w:val="00E029FA"/>
    <w:rsid w:val="00E21C82"/>
    <w:rsid w:val="00E2518C"/>
    <w:rsid w:val="00E442C4"/>
    <w:rsid w:val="00E50DB7"/>
    <w:rsid w:val="00EC09A6"/>
    <w:rsid w:val="00EF2750"/>
    <w:rsid w:val="00FB5052"/>
    <w:rsid w:val="00FC5171"/>
    <w:rsid w:val="00FD2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7DB036"/>
  <w15:chartTrackingRefBased/>
  <w15:docId w15:val="{12C387E2-B5A8-5944-9CB1-BF4BCE834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3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3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349"/>
    <w:rPr>
      <w:rFonts w:eastAsiaTheme="majorEastAsia" w:cstheme="majorBidi"/>
      <w:color w:val="272727" w:themeColor="text1" w:themeTint="D8"/>
    </w:rPr>
  </w:style>
  <w:style w:type="paragraph" w:styleId="Title">
    <w:name w:val="Title"/>
    <w:basedOn w:val="Normal"/>
    <w:next w:val="Normal"/>
    <w:link w:val="TitleChar"/>
    <w:uiPriority w:val="10"/>
    <w:qFormat/>
    <w:rsid w:val="001A4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349"/>
    <w:pPr>
      <w:spacing w:before="160"/>
      <w:jc w:val="center"/>
    </w:pPr>
    <w:rPr>
      <w:i/>
      <w:iCs/>
      <w:color w:val="404040" w:themeColor="text1" w:themeTint="BF"/>
    </w:rPr>
  </w:style>
  <w:style w:type="character" w:customStyle="1" w:styleId="QuoteChar">
    <w:name w:val="Quote Char"/>
    <w:basedOn w:val="DefaultParagraphFont"/>
    <w:link w:val="Quote"/>
    <w:uiPriority w:val="29"/>
    <w:rsid w:val="001A4349"/>
    <w:rPr>
      <w:i/>
      <w:iCs/>
      <w:color w:val="404040" w:themeColor="text1" w:themeTint="BF"/>
    </w:rPr>
  </w:style>
  <w:style w:type="paragraph" w:styleId="ListParagraph">
    <w:name w:val="List Paragraph"/>
    <w:basedOn w:val="Normal"/>
    <w:uiPriority w:val="34"/>
    <w:qFormat/>
    <w:rsid w:val="001A4349"/>
    <w:pPr>
      <w:ind w:left="720"/>
      <w:contextualSpacing/>
    </w:pPr>
  </w:style>
  <w:style w:type="character" w:styleId="IntenseEmphasis">
    <w:name w:val="Intense Emphasis"/>
    <w:basedOn w:val="DefaultParagraphFont"/>
    <w:uiPriority w:val="21"/>
    <w:qFormat/>
    <w:rsid w:val="001A4349"/>
    <w:rPr>
      <w:i/>
      <w:iCs/>
      <w:color w:val="0F4761" w:themeColor="accent1" w:themeShade="BF"/>
    </w:rPr>
  </w:style>
  <w:style w:type="paragraph" w:styleId="IntenseQuote">
    <w:name w:val="Intense Quote"/>
    <w:basedOn w:val="Normal"/>
    <w:next w:val="Normal"/>
    <w:link w:val="IntenseQuoteChar"/>
    <w:uiPriority w:val="30"/>
    <w:qFormat/>
    <w:rsid w:val="001A4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349"/>
    <w:rPr>
      <w:i/>
      <w:iCs/>
      <w:color w:val="0F4761" w:themeColor="accent1" w:themeShade="BF"/>
    </w:rPr>
  </w:style>
  <w:style w:type="character" w:styleId="IntenseReference">
    <w:name w:val="Intense Reference"/>
    <w:basedOn w:val="DefaultParagraphFont"/>
    <w:uiPriority w:val="32"/>
    <w:qFormat/>
    <w:rsid w:val="001A4349"/>
    <w:rPr>
      <w:b/>
      <w:bCs/>
      <w:smallCaps/>
      <w:color w:val="0F4761" w:themeColor="accent1" w:themeShade="BF"/>
      <w:spacing w:val="5"/>
    </w:rPr>
  </w:style>
  <w:style w:type="paragraph" w:customStyle="1" w:styleId="p1">
    <w:name w:val="p1"/>
    <w:basedOn w:val="Normal"/>
    <w:rsid w:val="00EC09A6"/>
    <w:pPr>
      <w:spacing w:after="0" w:line="240" w:lineRule="auto"/>
    </w:pPr>
    <w:rPr>
      <w:rFonts w:ascii="Arial" w:hAnsi="Arial" w:cs="Arial"/>
      <w:color w:val="000000"/>
      <w:kern w:val="0"/>
      <w:sz w:val="36"/>
      <w:szCs w:val="36"/>
      <w14:ligatures w14:val="none"/>
    </w:rPr>
  </w:style>
  <w:style w:type="character" w:customStyle="1" w:styleId="s1">
    <w:name w:val="s1"/>
    <w:basedOn w:val="DefaultParagraphFont"/>
    <w:rsid w:val="00EC09A6"/>
    <w:rPr>
      <w:rFonts w:ascii="Arial-BoldMT" w:hAnsi="Arial-BoldMT" w:hint="default"/>
      <w:b/>
      <w:bCs/>
      <w:i w:val="0"/>
      <w:iCs w:val="0"/>
      <w:sz w:val="36"/>
      <w:szCs w:val="36"/>
    </w:rPr>
  </w:style>
  <w:style w:type="paragraph" w:styleId="NormalWeb">
    <w:name w:val="Normal (Web)"/>
    <w:basedOn w:val="Normal"/>
    <w:uiPriority w:val="99"/>
    <w:semiHidden/>
    <w:unhideWhenUsed/>
    <w:rsid w:val="0044584A"/>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4584A"/>
  </w:style>
  <w:style w:type="character" w:customStyle="1" w:styleId="ms-1">
    <w:name w:val="ms-1"/>
    <w:basedOn w:val="DefaultParagraphFont"/>
    <w:rsid w:val="0044584A"/>
  </w:style>
  <w:style w:type="character" w:customStyle="1" w:styleId="max-w-15ch">
    <w:name w:val="max-w-[15ch]"/>
    <w:basedOn w:val="DefaultParagraphFont"/>
    <w:rsid w:val="0044584A"/>
  </w:style>
  <w:style w:type="character" w:customStyle="1" w:styleId="-me-1">
    <w:name w:val="-me-1"/>
    <w:basedOn w:val="DefaultParagraphFont"/>
    <w:rsid w:val="00445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electric-vehicle-public-charging-infrastructure-statistics-july-2025/electric-vehicle-public-charging-infrastructure-statistics-july-2025?utm_source=chatgpt.com" TargetMode="External"/><Relationship Id="rId13" Type="http://schemas.openxmlformats.org/officeDocument/2006/relationships/hyperlink" Target="https://arxiv.org/abs/2505.05087?utm_source=chatgpt.com" TargetMode="External"/><Relationship Id="rId3" Type="http://schemas.openxmlformats.org/officeDocument/2006/relationships/settings" Target="settings.xml"/><Relationship Id="rId7" Type="http://schemas.openxmlformats.org/officeDocument/2006/relationships/hyperlink" Target="https://www.gov.uk/government/news/government-sets-out-path-to-zero-emission-vehicles-by-2035?utm_source=chatgpt.com" TargetMode="External"/><Relationship Id="rId12" Type="http://schemas.openxmlformats.org/officeDocument/2006/relationships/hyperlink" Target="https://assets.publishing.service.gov.uk/government/uploads/system/uploads/attachment_data/file/1065576/taking-charge-the-electric-vehicle-infrastructure-strategy.pdf?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news/discount-of-up-to-3750-on-electric-cars-set-to-slash-costs-for-thousands?utm_source=chatgpt.com" TargetMode="External"/><Relationship Id="rId11" Type="http://schemas.openxmlformats.org/officeDocument/2006/relationships/hyperlink" Target="https://eandt.theiet.org/2025/01/07/uk-ev-sales-reached-record-highs-2024-market-share-196?utm_source=chatgpt.co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pwc.co.uk/press-room/press-releases/electric-vehicle-adoption-across-the-uk-bouncing-back--shows-pwc.html?utm_source=chatgpt.com" TargetMode="External"/><Relationship Id="rId4" Type="http://schemas.openxmlformats.org/officeDocument/2006/relationships/webSettings" Target="webSettings.xml"/><Relationship Id="rId9" Type="http://schemas.openxmlformats.org/officeDocument/2006/relationships/hyperlink" Target="https://commonslibrary.parliament.uk/electric-vehicles/?utm_source=chatgpt.com" TargetMode="External"/><Relationship Id="rId14" Type="http://schemas.openxmlformats.org/officeDocument/2006/relationships/hyperlink" Target="https://www.globenewswire.com/news-release/2025/10/02/3160139/28124/en/United-Kingdom-Electric-Vehicle-Charging-Infrastructure-Market-Report-2025-Expansion-of-Rapid-and-Ultra-Rapid-Charging-Networks-Fuel-Expansion-Competition-Opportunities-Forecast-to.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2170</Words>
  <Characters>12369</Characters>
  <Application>Microsoft Office Word</Application>
  <DocSecurity>0</DocSecurity>
  <Lines>103</Lines>
  <Paragraphs>29</Paragraphs>
  <ScaleCrop>false</ScaleCrop>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Gersone Balachandar (2432847)</dc:creator>
  <cp:keywords/>
  <dc:description/>
  <cp:lastModifiedBy>Gersone Balachandar (2432847)</cp:lastModifiedBy>
  <cp:revision>2</cp:revision>
  <dcterms:created xsi:type="dcterms:W3CDTF">2025-12-05T23:45:00Z</dcterms:created>
  <dcterms:modified xsi:type="dcterms:W3CDTF">2025-12-05T23:45:00Z</dcterms:modified>
</cp:coreProperties>
</file>