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D0BC7" w14:textId="77777777" w:rsidR="00AE51CA" w:rsidRPr="00B86132" w:rsidRDefault="00AE51CA" w:rsidP="00AE51CA">
      <w:pPr>
        <w:spacing w:line="360" w:lineRule="auto"/>
        <w:jc w:val="center"/>
        <w:rPr>
          <w:rFonts w:cs="Arial"/>
          <w:b/>
          <w:bCs/>
          <w:color w:val="3B3838" w:themeColor="background2" w:themeShade="40"/>
          <w:sz w:val="22"/>
          <w:szCs w:val="22"/>
        </w:rPr>
      </w:pPr>
    </w:p>
    <w:p w14:paraId="72F9C4E8" w14:textId="77777777" w:rsidR="00AE51CA" w:rsidRPr="00B86132" w:rsidRDefault="00AE51CA" w:rsidP="00AE51CA">
      <w:pPr>
        <w:spacing w:line="360" w:lineRule="auto"/>
        <w:jc w:val="center"/>
        <w:rPr>
          <w:rFonts w:cs="Arial"/>
          <w:b/>
          <w:bCs/>
          <w:color w:val="3B3838" w:themeColor="background2" w:themeShade="40"/>
          <w:sz w:val="36"/>
          <w:szCs w:val="36"/>
        </w:rPr>
      </w:pPr>
    </w:p>
    <w:p w14:paraId="7303E7FF" w14:textId="77777777" w:rsidR="00AE51CA" w:rsidRPr="00B86132" w:rsidRDefault="00AE51CA" w:rsidP="00AE51CA">
      <w:pPr>
        <w:spacing w:line="360" w:lineRule="auto"/>
        <w:jc w:val="center"/>
        <w:rPr>
          <w:rFonts w:cs="Arial"/>
          <w:b/>
          <w:bCs/>
          <w:color w:val="3B3838" w:themeColor="background2" w:themeShade="40"/>
          <w:sz w:val="36"/>
          <w:szCs w:val="36"/>
        </w:rPr>
      </w:pPr>
    </w:p>
    <w:p w14:paraId="77E81B3E" w14:textId="77777777" w:rsidR="00AE51CA" w:rsidRPr="00B86132" w:rsidRDefault="00AE51CA" w:rsidP="00AE51CA">
      <w:pPr>
        <w:spacing w:line="360" w:lineRule="auto"/>
        <w:jc w:val="center"/>
        <w:rPr>
          <w:rFonts w:cs="Arial"/>
          <w:b/>
          <w:bCs/>
          <w:color w:val="3B3838" w:themeColor="background2" w:themeShade="40"/>
          <w:sz w:val="36"/>
          <w:szCs w:val="36"/>
        </w:rPr>
      </w:pPr>
    </w:p>
    <w:p w14:paraId="1E6A123C" w14:textId="77777777" w:rsidR="00AE51CA" w:rsidRPr="00B86132" w:rsidRDefault="00AE51CA" w:rsidP="00AE51CA">
      <w:pPr>
        <w:spacing w:line="360" w:lineRule="auto"/>
        <w:jc w:val="center"/>
        <w:rPr>
          <w:rFonts w:eastAsia="Malgun Gothic" w:cs="Arial"/>
          <w:color w:val="3B3838" w:themeColor="background2" w:themeShade="40"/>
          <w:sz w:val="40"/>
          <w:szCs w:val="40"/>
        </w:rPr>
      </w:pPr>
      <w:r w:rsidRPr="00B86132">
        <w:rPr>
          <w:rFonts w:eastAsia="Malgun Gothic" w:cs="Arial"/>
          <w:color w:val="3B3838" w:themeColor="background2" w:themeShade="40"/>
          <w:sz w:val="40"/>
          <w:szCs w:val="40"/>
        </w:rPr>
        <w:t>Laying the past to rest through embodied presence - the power of somatic psychotherapies in resolving traumatic memory: A critical literature review.</w:t>
      </w:r>
    </w:p>
    <w:p w14:paraId="664A533F" w14:textId="77777777" w:rsidR="00AE51CA" w:rsidRPr="00B86132" w:rsidRDefault="00AE51CA" w:rsidP="00AE51CA">
      <w:pPr>
        <w:spacing w:line="360" w:lineRule="auto"/>
        <w:jc w:val="center"/>
        <w:rPr>
          <w:rFonts w:eastAsia="Malgun Gothic" w:cs="Arial"/>
          <w:color w:val="3B3838" w:themeColor="background2" w:themeShade="40"/>
          <w:sz w:val="22"/>
          <w:szCs w:val="22"/>
        </w:rPr>
      </w:pPr>
    </w:p>
    <w:p w14:paraId="4C6894B8" w14:textId="77777777" w:rsidR="00AE51CA" w:rsidRPr="00B86132" w:rsidRDefault="00AE51CA" w:rsidP="00AE51CA">
      <w:pPr>
        <w:spacing w:line="360" w:lineRule="auto"/>
        <w:jc w:val="center"/>
        <w:rPr>
          <w:rFonts w:cs="Arial"/>
          <w:color w:val="3B3838" w:themeColor="background2" w:themeShade="40"/>
          <w:sz w:val="24"/>
          <w:szCs w:val="24"/>
        </w:rPr>
      </w:pPr>
      <w:r w:rsidRPr="00B86132">
        <w:rPr>
          <w:rFonts w:cs="Arial"/>
          <w:color w:val="3B3838" w:themeColor="background2" w:themeShade="40"/>
          <w:sz w:val="24"/>
          <w:szCs w:val="24"/>
        </w:rPr>
        <w:t>Keywords: Developmental trauma, complex trauma, C-PTSD, somatic psychotherapies, autonomic regulation, relational.</w:t>
      </w:r>
    </w:p>
    <w:p w14:paraId="631E21D8" w14:textId="77777777" w:rsidR="00AE51CA" w:rsidRPr="00B86132" w:rsidRDefault="00AE51CA" w:rsidP="00AE51CA">
      <w:pPr>
        <w:spacing w:line="360" w:lineRule="auto"/>
        <w:jc w:val="center"/>
        <w:rPr>
          <w:rFonts w:cs="Arial"/>
          <w:color w:val="3B3838" w:themeColor="background2" w:themeShade="40"/>
          <w:sz w:val="32"/>
          <w:szCs w:val="32"/>
        </w:rPr>
      </w:pPr>
    </w:p>
    <w:p w14:paraId="160554DB" w14:textId="77777777" w:rsidR="00AE51CA" w:rsidRPr="00B86132" w:rsidRDefault="00AE51CA" w:rsidP="00AE51CA">
      <w:pPr>
        <w:spacing w:line="360" w:lineRule="auto"/>
        <w:jc w:val="center"/>
        <w:rPr>
          <w:rFonts w:cs="Arial"/>
          <w:color w:val="3B3838" w:themeColor="background2" w:themeShade="40"/>
          <w:sz w:val="32"/>
          <w:szCs w:val="32"/>
        </w:rPr>
      </w:pPr>
    </w:p>
    <w:p w14:paraId="659512EC" w14:textId="77777777" w:rsidR="00AE51CA" w:rsidRPr="00B86132" w:rsidRDefault="00AE51CA" w:rsidP="00AE51CA">
      <w:pPr>
        <w:spacing w:line="360" w:lineRule="auto"/>
        <w:jc w:val="center"/>
        <w:rPr>
          <w:rFonts w:cs="Arial"/>
          <w:color w:val="3B3838" w:themeColor="background2" w:themeShade="40"/>
          <w:sz w:val="32"/>
          <w:szCs w:val="32"/>
        </w:rPr>
      </w:pPr>
      <w:r w:rsidRPr="00B86132">
        <w:rPr>
          <w:rFonts w:cs="Arial"/>
          <w:color w:val="3B3838" w:themeColor="background2" w:themeShade="40"/>
          <w:sz w:val="32"/>
          <w:szCs w:val="32"/>
        </w:rPr>
        <w:t>Louise Thorndycraft</w:t>
      </w:r>
    </w:p>
    <w:p w14:paraId="2303DEDF" w14:textId="77777777" w:rsidR="00AE51CA" w:rsidRPr="00B86132" w:rsidRDefault="00AE51CA" w:rsidP="00AE51CA">
      <w:pPr>
        <w:spacing w:line="276" w:lineRule="auto"/>
        <w:contextualSpacing/>
        <w:jc w:val="center"/>
        <w:rPr>
          <w:rFonts w:cs="Arial"/>
          <w:iCs/>
          <w:color w:val="3B3838" w:themeColor="background2" w:themeShade="40"/>
          <w:sz w:val="32"/>
          <w:szCs w:val="32"/>
          <w:lang w:eastAsia="en-US"/>
        </w:rPr>
      </w:pPr>
      <w:r w:rsidRPr="00B86132">
        <w:rPr>
          <w:rFonts w:cs="Arial"/>
          <w:iCs/>
          <w:color w:val="3B3838" w:themeColor="background2" w:themeShade="40"/>
          <w:sz w:val="32"/>
          <w:szCs w:val="32"/>
          <w:lang w:eastAsia="en-US"/>
        </w:rPr>
        <w:t>University of Wales, Trinity Saint David</w:t>
      </w:r>
    </w:p>
    <w:p w14:paraId="6689E381" w14:textId="77777777" w:rsidR="00AE51CA" w:rsidRPr="00B86132" w:rsidRDefault="00AE51CA" w:rsidP="00AE51CA">
      <w:pPr>
        <w:spacing w:line="276" w:lineRule="auto"/>
        <w:contextualSpacing/>
        <w:jc w:val="center"/>
        <w:rPr>
          <w:rFonts w:cs="Arial"/>
          <w:iCs/>
          <w:color w:val="3B3838" w:themeColor="background2" w:themeShade="40"/>
          <w:sz w:val="36"/>
          <w:szCs w:val="36"/>
          <w:lang w:eastAsia="en-US"/>
        </w:rPr>
      </w:pPr>
    </w:p>
    <w:p w14:paraId="52E9CB8A" w14:textId="77777777" w:rsidR="00AE51CA" w:rsidRPr="00B86132" w:rsidRDefault="00AE51CA" w:rsidP="00AE51CA">
      <w:pPr>
        <w:spacing w:line="276" w:lineRule="auto"/>
        <w:contextualSpacing/>
        <w:jc w:val="center"/>
        <w:rPr>
          <w:rFonts w:cs="Arial"/>
          <w:iCs/>
          <w:color w:val="3B3838" w:themeColor="background2" w:themeShade="40"/>
          <w:sz w:val="36"/>
          <w:szCs w:val="36"/>
          <w:lang w:eastAsia="en-US"/>
        </w:rPr>
      </w:pPr>
    </w:p>
    <w:p w14:paraId="6E325AC0" w14:textId="77777777" w:rsidR="00AE51CA" w:rsidRPr="00B86132" w:rsidRDefault="00AE51CA" w:rsidP="00AE51CA">
      <w:pPr>
        <w:spacing w:line="276" w:lineRule="auto"/>
        <w:contextualSpacing/>
        <w:jc w:val="center"/>
        <w:rPr>
          <w:rFonts w:cs="Arial"/>
          <w:iCs/>
          <w:color w:val="3B3838" w:themeColor="background2" w:themeShade="40"/>
          <w:sz w:val="36"/>
          <w:szCs w:val="36"/>
          <w:lang w:eastAsia="en-US"/>
        </w:rPr>
      </w:pPr>
    </w:p>
    <w:p w14:paraId="1CD06DFD" w14:textId="77777777" w:rsidR="00AE51CA" w:rsidRPr="00B86132" w:rsidRDefault="00AE51CA" w:rsidP="00AE51CA">
      <w:pPr>
        <w:spacing w:line="276" w:lineRule="auto"/>
        <w:contextualSpacing/>
        <w:jc w:val="center"/>
        <w:rPr>
          <w:rFonts w:cs="Arial"/>
          <w:iCs/>
          <w:color w:val="3B3838" w:themeColor="background2" w:themeShade="40"/>
          <w:sz w:val="36"/>
          <w:szCs w:val="36"/>
          <w:lang w:eastAsia="en-US"/>
        </w:rPr>
      </w:pPr>
    </w:p>
    <w:p w14:paraId="03184EAB" w14:textId="77777777" w:rsidR="00AE51CA" w:rsidRPr="00B86132" w:rsidRDefault="00AE51CA" w:rsidP="00AE51CA">
      <w:pPr>
        <w:spacing w:line="360" w:lineRule="auto"/>
        <w:jc w:val="center"/>
        <w:rPr>
          <w:rFonts w:cs="Arial"/>
          <w:color w:val="3B3838" w:themeColor="background2" w:themeShade="40"/>
          <w:sz w:val="36"/>
          <w:szCs w:val="36"/>
        </w:rPr>
      </w:pPr>
    </w:p>
    <w:p w14:paraId="568E9BBC" w14:textId="77777777" w:rsidR="00AE51CA" w:rsidRPr="00B86132" w:rsidRDefault="00AE51CA" w:rsidP="00AE51CA">
      <w:pPr>
        <w:spacing w:line="276" w:lineRule="auto"/>
        <w:contextualSpacing/>
        <w:jc w:val="center"/>
        <w:rPr>
          <w:rFonts w:cs="Arial"/>
          <w:iCs/>
          <w:color w:val="3B3838" w:themeColor="background2" w:themeShade="40"/>
          <w:sz w:val="32"/>
          <w:szCs w:val="32"/>
          <w:lang w:eastAsia="en-US"/>
        </w:rPr>
      </w:pPr>
      <w:r w:rsidRPr="00B86132">
        <w:rPr>
          <w:rFonts w:cs="Arial"/>
          <w:iCs/>
          <w:color w:val="3B3838" w:themeColor="background2" w:themeShade="40"/>
          <w:sz w:val="32"/>
          <w:szCs w:val="32"/>
          <w:lang w:eastAsia="en-US"/>
        </w:rPr>
        <w:t>Submitted to the University of Wales in partial fulfilment of the requirements for Master of Arts: Psychotherapeutic Practice.</w:t>
      </w:r>
    </w:p>
    <w:p w14:paraId="37F95C2F" w14:textId="77777777" w:rsidR="00AE51CA" w:rsidRPr="00B86132" w:rsidRDefault="00AE51CA" w:rsidP="00AE51CA">
      <w:pPr>
        <w:spacing w:line="276" w:lineRule="auto"/>
        <w:ind w:left="360"/>
        <w:contextualSpacing/>
        <w:jc w:val="center"/>
        <w:rPr>
          <w:rFonts w:cs="Arial"/>
          <w:iCs/>
          <w:color w:val="3B3838" w:themeColor="background2" w:themeShade="40"/>
          <w:sz w:val="32"/>
          <w:szCs w:val="32"/>
          <w:lang w:eastAsia="en-US"/>
        </w:rPr>
      </w:pPr>
    </w:p>
    <w:p w14:paraId="74523C3B" w14:textId="77777777" w:rsidR="00AE51CA" w:rsidRPr="00B86132" w:rsidRDefault="00AE51CA" w:rsidP="00AE51CA">
      <w:pPr>
        <w:spacing w:line="276" w:lineRule="auto"/>
        <w:contextualSpacing/>
        <w:jc w:val="center"/>
        <w:rPr>
          <w:rFonts w:cs="Arial"/>
          <w:iCs/>
          <w:color w:val="3B3838" w:themeColor="background2" w:themeShade="40"/>
          <w:sz w:val="32"/>
          <w:szCs w:val="32"/>
          <w:lang w:eastAsia="en-US"/>
        </w:rPr>
      </w:pPr>
    </w:p>
    <w:p w14:paraId="11DD9660" w14:textId="77777777" w:rsidR="00AE51CA" w:rsidRPr="00B86132" w:rsidRDefault="00AE51CA" w:rsidP="00AE51CA">
      <w:pPr>
        <w:spacing w:line="276" w:lineRule="auto"/>
        <w:contextualSpacing/>
        <w:jc w:val="center"/>
        <w:rPr>
          <w:rFonts w:cs="Arial"/>
          <w:iCs/>
          <w:color w:val="3B3838" w:themeColor="background2" w:themeShade="40"/>
          <w:sz w:val="32"/>
          <w:szCs w:val="32"/>
          <w:lang w:eastAsia="en-US"/>
        </w:rPr>
      </w:pPr>
      <w:r w:rsidRPr="00B86132">
        <w:rPr>
          <w:rFonts w:cs="Arial"/>
          <w:iCs/>
          <w:color w:val="3B3838" w:themeColor="background2" w:themeShade="40"/>
          <w:sz w:val="32"/>
          <w:szCs w:val="32"/>
          <w:lang w:eastAsia="en-US"/>
        </w:rPr>
        <w:t>March 2022</w:t>
      </w:r>
    </w:p>
    <w:p w14:paraId="7CDEACED" w14:textId="77777777" w:rsidR="00AE51CA" w:rsidRPr="00B86132" w:rsidRDefault="00AE51CA" w:rsidP="00AE51CA">
      <w:pPr>
        <w:spacing w:line="360" w:lineRule="auto"/>
        <w:jc w:val="both"/>
        <w:rPr>
          <w:rFonts w:cs="Arial"/>
          <w:color w:val="3B3838" w:themeColor="background2" w:themeShade="40"/>
          <w:sz w:val="22"/>
          <w:szCs w:val="22"/>
        </w:rPr>
      </w:pPr>
    </w:p>
    <w:p w14:paraId="059CE7F4"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6F7B25D3"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6266F39B" w14:textId="77777777" w:rsidR="00AE51CA" w:rsidRPr="00B86132" w:rsidRDefault="00AE51CA" w:rsidP="00AE51CA">
      <w:pPr>
        <w:spacing w:line="276" w:lineRule="auto"/>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DECLARATION</w:t>
      </w:r>
    </w:p>
    <w:p w14:paraId="229C6723"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652D7DC8"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This work has not previously been accepted in substance for any degree and is not being concurrently submitted in candidature for any degree.</w:t>
      </w:r>
    </w:p>
    <w:p w14:paraId="1D3F5A38"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2274D3C9"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Signed:</w:t>
      </w:r>
      <w:r w:rsidRPr="00B86132">
        <w:rPr>
          <w:rFonts w:cs="Arial"/>
          <w:color w:val="3B3838" w:themeColor="background2" w:themeShade="40"/>
          <w:sz w:val="24"/>
          <w:szCs w:val="24"/>
          <w:lang w:eastAsia="en-US"/>
        </w:rPr>
        <w:tab/>
        <w:t>…………………………………………. (candidate)</w:t>
      </w:r>
    </w:p>
    <w:p w14:paraId="76ED9DC2"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Date:</w:t>
      </w:r>
      <w:r w:rsidRPr="00B86132">
        <w:rPr>
          <w:rFonts w:cs="Arial"/>
          <w:color w:val="3B3838" w:themeColor="background2" w:themeShade="40"/>
          <w:sz w:val="24"/>
          <w:szCs w:val="24"/>
          <w:lang w:eastAsia="en-US"/>
        </w:rPr>
        <w:tab/>
      </w:r>
      <w:r w:rsidRPr="00B86132">
        <w:rPr>
          <w:rFonts w:cs="Arial"/>
          <w:color w:val="3B3838" w:themeColor="background2" w:themeShade="40"/>
          <w:sz w:val="24"/>
          <w:szCs w:val="24"/>
          <w:lang w:eastAsia="en-US"/>
        </w:rPr>
        <w:tab/>
        <w:t>………………………………………….</w:t>
      </w:r>
    </w:p>
    <w:p w14:paraId="14CA1038"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26DCE7D2"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03B634F7" w14:textId="77777777" w:rsidR="00AE51CA" w:rsidRPr="00B86132" w:rsidRDefault="00AE51CA" w:rsidP="00AE51CA">
      <w:pPr>
        <w:spacing w:line="276" w:lineRule="auto"/>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STATEMENT 1</w:t>
      </w:r>
    </w:p>
    <w:p w14:paraId="001A9AC3"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17AFD2B4"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This dissertation is being submitted in partial fulfilment of the requirements for the degree of ……………………………..</w:t>
      </w:r>
    </w:p>
    <w:p w14:paraId="4F330F25"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74D8D8C9"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Signed:</w:t>
      </w:r>
      <w:r w:rsidRPr="00B86132">
        <w:rPr>
          <w:rFonts w:cs="Arial"/>
          <w:color w:val="3B3838" w:themeColor="background2" w:themeShade="40"/>
          <w:sz w:val="24"/>
          <w:szCs w:val="24"/>
          <w:lang w:eastAsia="en-US"/>
        </w:rPr>
        <w:tab/>
        <w:t>………………………………………….. (candidate)</w:t>
      </w:r>
    </w:p>
    <w:p w14:paraId="3E017AF9"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Date:</w:t>
      </w:r>
      <w:r w:rsidRPr="00B86132">
        <w:rPr>
          <w:rFonts w:cs="Arial"/>
          <w:color w:val="3B3838" w:themeColor="background2" w:themeShade="40"/>
          <w:sz w:val="24"/>
          <w:szCs w:val="24"/>
          <w:lang w:eastAsia="en-US"/>
        </w:rPr>
        <w:tab/>
      </w:r>
      <w:r w:rsidRPr="00B86132">
        <w:rPr>
          <w:rFonts w:cs="Arial"/>
          <w:color w:val="3B3838" w:themeColor="background2" w:themeShade="40"/>
          <w:sz w:val="24"/>
          <w:szCs w:val="24"/>
          <w:lang w:eastAsia="en-US"/>
        </w:rPr>
        <w:tab/>
        <w:t>…………………………………………..</w:t>
      </w:r>
    </w:p>
    <w:p w14:paraId="59D78849"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3C942C97"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1B7F6F0E" w14:textId="77777777" w:rsidR="00AE51CA" w:rsidRPr="00B86132" w:rsidRDefault="00AE51CA" w:rsidP="00AE51CA">
      <w:pPr>
        <w:spacing w:line="276" w:lineRule="auto"/>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STATEMENT 2</w:t>
      </w:r>
    </w:p>
    <w:p w14:paraId="02D42988"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2049F7C9"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This dissertation is the result of my own independent work / investigation, except where otherwise stated.</w:t>
      </w:r>
    </w:p>
    <w:p w14:paraId="50B3A865"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17501B63"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Other sources are acknowledged by footnotes giving explicit references.  A bibliography is appended.</w:t>
      </w:r>
    </w:p>
    <w:p w14:paraId="77375FA1" w14:textId="77777777" w:rsidR="00AE51CA" w:rsidRPr="00B86132" w:rsidRDefault="00AE51CA" w:rsidP="00AE51CA">
      <w:pPr>
        <w:spacing w:line="276" w:lineRule="auto"/>
        <w:ind w:left="284"/>
        <w:jc w:val="both"/>
        <w:rPr>
          <w:rFonts w:cs="Arial"/>
          <w:color w:val="3B3838" w:themeColor="background2" w:themeShade="40"/>
          <w:sz w:val="24"/>
          <w:szCs w:val="24"/>
          <w:lang w:eastAsia="en-US"/>
        </w:rPr>
      </w:pPr>
    </w:p>
    <w:p w14:paraId="225CAC4F" w14:textId="77777777" w:rsidR="00AE51CA" w:rsidRPr="00B86132" w:rsidRDefault="00AE51CA" w:rsidP="00AE51CA">
      <w:pPr>
        <w:spacing w:line="276" w:lineRule="auto"/>
        <w:ind w:left="567"/>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Signed:</w:t>
      </w:r>
      <w:r w:rsidRPr="00B86132">
        <w:rPr>
          <w:rFonts w:cs="Arial"/>
          <w:color w:val="3B3838" w:themeColor="background2" w:themeShade="40"/>
          <w:sz w:val="24"/>
          <w:szCs w:val="24"/>
          <w:lang w:eastAsia="en-US"/>
        </w:rPr>
        <w:tab/>
        <w:t>……………………………………. (candidate)</w:t>
      </w:r>
    </w:p>
    <w:p w14:paraId="584B2040" w14:textId="77777777" w:rsidR="00AE51CA" w:rsidRPr="00B86132" w:rsidRDefault="00AE51CA" w:rsidP="00AE51CA">
      <w:pPr>
        <w:spacing w:line="276" w:lineRule="auto"/>
        <w:ind w:left="567"/>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Date:    …………………………………….</w:t>
      </w:r>
    </w:p>
    <w:p w14:paraId="55211103" w14:textId="77777777" w:rsidR="00AE51CA" w:rsidRPr="00B86132" w:rsidRDefault="00AE51CA" w:rsidP="00AE51CA">
      <w:pPr>
        <w:spacing w:line="276" w:lineRule="auto"/>
        <w:jc w:val="both"/>
        <w:rPr>
          <w:rFonts w:cs="Arial"/>
          <w:color w:val="3B3838" w:themeColor="background2" w:themeShade="40"/>
          <w:sz w:val="24"/>
          <w:szCs w:val="24"/>
          <w:lang w:eastAsia="en-US"/>
        </w:rPr>
      </w:pPr>
    </w:p>
    <w:p w14:paraId="70969127" w14:textId="77777777" w:rsidR="00AE51CA" w:rsidRPr="00B86132" w:rsidRDefault="00AE51CA" w:rsidP="00AE51CA">
      <w:pPr>
        <w:spacing w:line="276" w:lineRule="auto"/>
        <w:jc w:val="both"/>
        <w:rPr>
          <w:rFonts w:cs="Arial"/>
          <w:color w:val="3B3838" w:themeColor="background2" w:themeShade="40"/>
          <w:sz w:val="24"/>
          <w:szCs w:val="24"/>
          <w:lang w:eastAsia="en-US"/>
        </w:rPr>
      </w:pPr>
    </w:p>
    <w:p w14:paraId="5B4B890A" w14:textId="77777777" w:rsidR="00AE51CA" w:rsidRPr="00B86132" w:rsidRDefault="00AE51CA" w:rsidP="00AE51CA">
      <w:pPr>
        <w:spacing w:line="276" w:lineRule="auto"/>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STATEMENT 3</w:t>
      </w:r>
    </w:p>
    <w:p w14:paraId="7BD538D8" w14:textId="77777777" w:rsidR="00AE51CA" w:rsidRPr="00B86132" w:rsidRDefault="00AE51CA" w:rsidP="00AE51CA">
      <w:pPr>
        <w:spacing w:line="276" w:lineRule="auto"/>
        <w:jc w:val="both"/>
        <w:rPr>
          <w:rFonts w:cs="Arial"/>
          <w:color w:val="3B3838" w:themeColor="background2" w:themeShade="40"/>
          <w:sz w:val="24"/>
          <w:szCs w:val="24"/>
          <w:lang w:eastAsia="en-US"/>
        </w:rPr>
      </w:pPr>
    </w:p>
    <w:p w14:paraId="3DF2AC1B" w14:textId="77777777" w:rsidR="00AE51CA" w:rsidRPr="00B86132" w:rsidRDefault="00AE51CA" w:rsidP="00AE51CA">
      <w:pPr>
        <w:spacing w:line="276" w:lineRule="auto"/>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I hereby give consent for my dissertation, if accepted, to be available for photocopying and for inter-library loan, and for the title and summary to be made available to outside organisations.</w:t>
      </w:r>
    </w:p>
    <w:p w14:paraId="21C1688B" w14:textId="77777777" w:rsidR="00AE51CA" w:rsidRPr="00B86132" w:rsidRDefault="00AE51CA" w:rsidP="00AE51CA">
      <w:pPr>
        <w:spacing w:line="276" w:lineRule="auto"/>
        <w:ind w:left="567"/>
        <w:jc w:val="both"/>
        <w:rPr>
          <w:rFonts w:cs="Arial"/>
          <w:color w:val="3B3838" w:themeColor="background2" w:themeShade="40"/>
          <w:sz w:val="24"/>
          <w:szCs w:val="24"/>
          <w:lang w:eastAsia="en-US"/>
        </w:rPr>
      </w:pPr>
    </w:p>
    <w:p w14:paraId="13D46315" w14:textId="77777777" w:rsidR="00AE51CA" w:rsidRPr="00B86132" w:rsidRDefault="00AE51CA" w:rsidP="00AE51CA">
      <w:pPr>
        <w:spacing w:line="276" w:lineRule="auto"/>
        <w:ind w:left="567"/>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Signed:</w:t>
      </w:r>
      <w:r w:rsidRPr="00B86132">
        <w:rPr>
          <w:rFonts w:cs="Arial"/>
          <w:color w:val="3B3838" w:themeColor="background2" w:themeShade="40"/>
          <w:sz w:val="24"/>
          <w:szCs w:val="24"/>
          <w:lang w:eastAsia="en-US"/>
        </w:rPr>
        <w:tab/>
        <w:t>……………………………………… (candidate)</w:t>
      </w:r>
    </w:p>
    <w:p w14:paraId="55E9D426" w14:textId="77777777" w:rsidR="00AE51CA" w:rsidRPr="00B86132" w:rsidRDefault="00AE51CA" w:rsidP="00AE51CA">
      <w:pPr>
        <w:spacing w:line="276" w:lineRule="auto"/>
        <w:ind w:left="567"/>
        <w:jc w:val="both"/>
        <w:rPr>
          <w:rFonts w:cs="Arial"/>
          <w:color w:val="3B3838" w:themeColor="background2" w:themeShade="40"/>
          <w:sz w:val="24"/>
          <w:szCs w:val="24"/>
          <w:lang w:eastAsia="en-US"/>
        </w:rPr>
      </w:pPr>
      <w:r w:rsidRPr="00B86132">
        <w:rPr>
          <w:rFonts w:cs="Arial"/>
          <w:color w:val="3B3838" w:themeColor="background2" w:themeShade="40"/>
          <w:sz w:val="24"/>
          <w:szCs w:val="24"/>
          <w:lang w:eastAsia="en-US"/>
        </w:rPr>
        <w:t>Date:</w:t>
      </w:r>
      <w:r w:rsidRPr="00B86132">
        <w:rPr>
          <w:rFonts w:cs="Arial"/>
          <w:color w:val="3B3838" w:themeColor="background2" w:themeShade="40"/>
          <w:sz w:val="24"/>
          <w:szCs w:val="24"/>
          <w:lang w:eastAsia="en-US"/>
        </w:rPr>
        <w:tab/>
      </w:r>
      <w:r w:rsidRPr="00B86132">
        <w:rPr>
          <w:rFonts w:cs="Arial"/>
          <w:color w:val="3B3838" w:themeColor="background2" w:themeShade="40"/>
          <w:sz w:val="24"/>
          <w:szCs w:val="24"/>
          <w:lang w:eastAsia="en-US"/>
        </w:rPr>
        <w:tab/>
        <w:t>………………………………………</w:t>
      </w:r>
    </w:p>
    <w:p w14:paraId="067CA680" w14:textId="77777777" w:rsidR="00AE51CA" w:rsidRPr="00B86132" w:rsidRDefault="00AE51CA" w:rsidP="00AE51CA">
      <w:pPr>
        <w:spacing w:line="360" w:lineRule="auto"/>
        <w:jc w:val="both"/>
        <w:rPr>
          <w:rFonts w:cs="Arial"/>
          <w:color w:val="3B3838" w:themeColor="background2" w:themeShade="40"/>
          <w:sz w:val="24"/>
          <w:szCs w:val="24"/>
        </w:rPr>
      </w:pPr>
    </w:p>
    <w:p w14:paraId="770C372A" w14:textId="77777777" w:rsidR="00AE51CA" w:rsidRPr="00B86132" w:rsidRDefault="00AE51CA" w:rsidP="00AE51CA">
      <w:pPr>
        <w:spacing w:line="360" w:lineRule="auto"/>
        <w:jc w:val="both"/>
        <w:rPr>
          <w:rFonts w:cs="Arial"/>
          <w:color w:val="3B3838" w:themeColor="background2" w:themeShade="40"/>
          <w:sz w:val="24"/>
          <w:szCs w:val="24"/>
        </w:rPr>
      </w:pPr>
    </w:p>
    <w:p w14:paraId="2AAD4F14" w14:textId="77777777" w:rsidR="00AE51CA" w:rsidRPr="00B86132" w:rsidRDefault="00AE51CA" w:rsidP="00AE51CA">
      <w:pPr>
        <w:spacing w:line="360" w:lineRule="auto"/>
        <w:jc w:val="both"/>
        <w:rPr>
          <w:rFonts w:cs="Arial"/>
          <w:color w:val="3B3838" w:themeColor="background2" w:themeShade="40"/>
          <w:sz w:val="24"/>
          <w:szCs w:val="24"/>
        </w:rPr>
      </w:pPr>
    </w:p>
    <w:p w14:paraId="55BF7FD1" w14:textId="77777777" w:rsidR="00AE51CA" w:rsidRPr="00B86132" w:rsidRDefault="00AE51CA" w:rsidP="00AE51CA">
      <w:pPr>
        <w:spacing w:line="360" w:lineRule="auto"/>
        <w:jc w:val="both"/>
        <w:rPr>
          <w:rFonts w:cs="Arial"/>
          <w:color w:val="3B3838" w:themeColor="background2" w:themeShade="40"/>
          <w:sz w:val="24"/>
          <w:szCs w:val="24"/>
        </w:rPr>
      </w:pPr>
    </w:p>
    <w:p w14:paraId="2E974EB1" w14:textId="77777777" w:rsidR="00AE51CA" w:rsidRPr="00B86132" w:rsidRDefault="00AE51CA" w:rsidP="00AE51CA">
      <w:pPr>
        <w:spacing w:line="360" w:lineRule="auto"/>
        <w:jc w:val="both"/>
        <w:rPr>
          <w:rFonts w:cs="Arial"/>
          <w:color w:val="3B3838" w:themeColor="background2" w:themeShade="40"/>
          <w:sz w:val="24"/>
          <w:szCs w:val="24"/>
        </w:rPr>
      </w:pPr>
    </w:p>
    <w:p w14:paraId="7DB2A700" w14:textId="77777777" w:rsidR="00AE51CA" w:rsidRPr="00B86132" w:rsidRDefault="00AE51CA" w:rsidP="00AE51CA">
      <w:pPr>
        <w:spacing w:line="360" w:lineRule="auto"/>
        <w:jc w:val="both"/>
        <w:rPr>
          <w:rFonts w:cs="Arial"/>
          <w:color w:val="3B3838" w:themeColor="background2" w:themeShade="40"/>
          <w:sz w:val="24"/>
          <w:szCs w:val="24"/>
        </w:rPr>
      </w:pPr>
    </w:p>
    <w:p w14:paraId="49BDAEE0" w14:textId="77777777" w:rsidR="00AE51CA" w:rsidRPr="00B86132" w:rsidRDefault="00AE51CA" w:rsidP="00AE51CA">
      <w:pPr>
        <w:spacing w:line="360" w:lineRule="auto"/>
        <w:jc w:val="both"/>
        <w:rPr>
          <w:rFonts w:cs="Arial"/>
          <w:color w:val="3B3838" w:themeColor="background2" w:themeShade="40"/>
          <w:sz w:val="24"/>
          <w:szCs w:val="24"/>
        </w:rPr>
      </w:pPr>
    </w:p>
    <w:p w14:paraId="0CEA953B"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TABLE OF CONTENTS</w:t>
      </w:r>
    </w:p>
    <w:p w14:paraId="1E6BA159" w14:textId="77777777" w:rsidR="00AE51CA" w:rsidRPr="00B86132" w:rsidRDefault="00AE51CA" w:rsidP="00AE51CA">
      <w:pPr>
        <w:spacing w:line="360" w:lineRule="auto"/>
        <w:jc w:val="both"/>
        <w:rPr>
          <w:rFonts w:cs="Arial"/>
          <w:color w:val="3B3838" w:themeColor="background2" w:themeShade="40"/>
          <w:sz w:val="24"/>
          <w:szCs w:val="24"/>
        </w:rPr>
      </w:pPr>
    </w:p>
    <w:p w14:paraId="22198D8E" w14:textId="77777777" w:rsidR="00AE51CA" w:rsidRPr="00B86132" w:rsidRDefault="00AE51CA" w:rsidP="00AE51CA">
      <w:pPr>
        <w:spacing w:line="360" w:lineRule="auto"/>
        <w:jc w:val="both"/>
        <w:rPr>
          <w:rFonts w:cs="Arial"/>
          <w:color w:val="3B3838" w:themeColor="background2" w:themeShade="40"/>
          <w:sz w:val="24"/>
          <w:szCs w:val="24"/>
        </w:rPr>
      </w:pPr>
    </w:p>
    <w:p w14:paraId="4958393B"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ab/>
      </w:r>
      <w:r w:rsidRPr="00B86132">
        <w:rPr>
          <w:rFonts w:cs="Arial"/>
          <w:color w:val="3B3838" w:themeColor="background2" w:themeShade="40"/>
          <w:sz w:val="24"/>
          <w:szCs w:val="24"/>
        </w:rPr>
        <w:tab/>
      </w:r>
      <w:r w:rsidRPr="00B86132">
        <w:rPr>
          <w:rFonts w:cs="Arial"/>
          <w:color w:val="3B3838" w:themeColor="background2" w:themeShade="40"/>
          <w:sz w:val="24"/>
          <w:szCs w:val="24"/>
        </w:rPr>
        <w:tab/>
      </w:r>
      <w:r w:rsidRPr="00B86132">
        <w:rPr>
          <w:rFonts w:cs="Arial"/>
          <w:color w:val="3B3838" w:themeColor="background2" w:themeShade="40"/>
          <w:sz w:val="24"/>
          <w:szCs w:val="24"/>
        </w:rPr>
        <w:tab/>
      </w:r>
      <w:r w:rsidRPr="00B86132">
        <w:rPr>
          <w:rFonts w:cs="Arial"/>
          <w:color w:val="3B3838" w:themeColor="background2" w:themeShade="40"/>
          <w:sz w:val="24"/>
          <w:szCs w:val="24"/>
        </w:rPr>
        <w:tab/>
      </w:r>
      <w:r w:rsidRPr="00B86132">
        <w:rPr>
          <w:rFonts w:cs="Arial"/>
          <w:color w:val="3B3838" w:themeColor="background2" w:themeShade="40"/>
          <w:sz w:val="24"/>
          <w:szCs w:val="24"/>
        </w:rPr>
        <w:tab/>
      </w:r>
      <w:r w:rsidRPr="00B86132">
        <w:rPr>
          <w:rFonts w:cs="Arial"/>
          <w:color w:val="3B3838" w:themeColor="background2" w:themeShade="40"/>
          <w:sz w:val="24"/>
          <w:szCs w:val="24"/>
        </w:rPr>
        <w:tab/>
      </w:r>
      <w:r w:rsidRPr="00B86132">
        <w:rPr>
          <w:rFonts w:cs="Arial"/>
          <w:color w:val="3B3838" w:themeColor="background2" w:themeShade="40"/>
          <w:sz w:val="24"/>
          <w:szCs w:val="24"/>
        </w:rPr>
        <w:tab/>
      </w:r>
      <w:r w:rsidRPr="00B86132">
        <w:rPr>
          <w:rFonts w:cs="Arial"/>
          <w:color w:val="3B3838" w:themeColor="background2" w:themeShade="40"/>
          <w:sz w:val="24"/>
          <w:szCs w:val="24"/>
        </w:rPr>
        <w:tab/>
      </w:r>
      <w:r w:rsidRPr="00B86132">
        <w:rPr>
          <w:rFonts w:cs="Arial"/>
          <w:color w:val="3B3838" w:themeColor="background2" w:themeShade="40"/>
          <w:sz w:val="24"/>
          <w:szCs w:val="24"/>
        </w:rPr>
        <w:tab/>
      </w:r>
      <w:r w:rsidRPr="00B86132">
        <w:rPr>
          <w:rFonts w:cs="Arial"/>
          <w:color w:val="3B3838" w:themeColor="background2" w:themeShade="40"/>
          <w:sz w:val="24"/>
          <w:szCs w:val="24"/>
        </w:rPr>
        <w:tab/>
        <w:t>Page</w:t>
      </w:r>
    </w:p>
    <w:p w14:paraId="5898728F" w14:textId="77777777" w:rsidR="00AE51CA" w:rsidRPr="00B86132" w:rsidRDefault="00AE51CA" w:rsidP="00AE51CA">
      <w:pPr>
        <w:spacing w:line="360" w:lineRule="auto"/>
        <w:jc w:val="both"/>
        <w:rPr>
          <w:rFonts w:cs="Arial"/>
          <w:color w:val="3B3838" w:themeColor="background2" w:themeShade="40"/>
          <w:sz w:val="24"/>
          <w:szCs w:val="24"/>
        </w:rPr>
      </w:pPr>
    </w:p>
    <w:p w14:paraId="6B6FC7E4" w14:textId="1D5C1D70"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Chapter 1      Introduction……………………………………………………… 4</w:t>
      </w:r>
    </w:p>
    <w:p w14:paraId="3A545DE7" w14:textId="3E63F980"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Chapter 2      Critique of Literature……………………………………………  9</w:t>
      </w:r>
      <w:r w:rsidR="009E536B">
        <w:rPr>
          <w:rFonts w:cs="Arial"/>
          <w:color w:val="3B3838" w:themeColor="background2" w:themeShade="40"/>
          <w:sz w:val="24"/>
          <w:szCs w:val="24"/>
        </w:rPr>
        <w:t xml:space="preserve"> </w:t>
      </w:r>
    </w:p>
    <w:p w14:paraId="51A34C4C" w14:textId="14DF53DF"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Chapter 3      Conclusion………………………………………………………  </w:t>
      </w:r>
      <w:r w:rsidR="00B52176" w:rsidRPr="00B86132">
        <w:rPr>
          <w:rFonts w:cs="Arial"/>
          <w:color w:val="3B3838" w:themeColor="background2" w:themeShade="40"/>
          <w:sz w:val="24"/>
          <w:szCs w:val="24"/>
        </w:rPr>
        <w:t>40</w:t>
      </w:r>
    </w:p>
    <w:p w14:paraId="00B2D03D" w14:textId="7494AADB"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References………………………………………………………………………</w:t>
      </w:r>
      <w:r w:rsidR="00B52176" w:rsidRPr="00B86132">
        <w:rPr>
          <w:rFonts w:cs="Arial"/>
          <w:color w:val="3B3838" w:themeColor="background2" w:themeShade="40"/>
          <w:sz w:val="24"/>
          <w:szCs w:val="24"/>
        </w:rPr>
        <w:t xml:space="preserve">  44</w:t>
      </w:r>
    </w:p>
    <w:p w14:paraId="66EB525B" w14:textId="77777777" w:rsidR="00AE51CA" w:rsidRPr="00B86132" w:rsidRDefault="00AE51CA" w:rsidP="00AE51CA">
      <w:pPr>
        <w:spacing w:line="360" w:lineRule="auto"/>
        <w:jc w:val="both"/>
        <w:rPr>
          <w:rFonts w:cs="Arial"/>
          <w:color w:val="3B3838" w:themeColor="background2" w:themeShade="40"/>
          <w:sz w:val="24"/>
          <w:szCs w:val="24"/>
        </w:rPr>
      </w:pPr>
    </w:p>
    <w:p w14:paraId="6CC34E9D" w14:textId="77777777" w:rsidR="00AE51CA" w:rsidRPr="00B86132" w:rsidRDefault="00AE51CA" w:rsidP="00AE51CA">
      <w:pPr>
        <w:spacing w:line="360" w:lineRule="auto"/>
        <w:jc w:val="both"/>
        <w:rPr>
          <w:rFonts w:cs="Arial"/>
          <w:color w:val="3B3838" w:themeColor="background2" w:themeShade="40"/>
          <w:sz w:val="24"/>
          <w:szCs w:val="24"/>
        </w:rPr>
      </w:pPr>
    </w:p>
    <w:p w14:paraId="1BABD55F" w14:textId="77777777" w:rsidR="00AE51CA" w:rsidRPr="00B86132" w:rsidRDefault="00AE51CA" w:rsidP="00AE51CA">
      <w:pPr>
        <w:spacing w:line="360" w:lineRule="auto"/>
        <w:jc w:val="both"/>
        <w:rPr>
          <w:rFonts w:cs="Arial"/>
          <w:color w:val="3B3838" w:themeColor="background2" w:themeShade="40"/>
          <w:sz w:val="24"/>
          <w:szCs w:val="24"/>
        </w:rPr>
      </w:pPr>
    </w:p>
    <w:p w14:paraId="2A256C90" w14:textId="77777777" w:rsidR="00AE51CA" w:rsidRPr="00B86132" w:rsidRDefault="00AE51CA" w:rsidP="00AE51CA">
      <w:pPr>
        <w:spacing w:line="360" w:lineRule="auto"/>
        <w:jc w:val="both"/>
        <w:rPr>
          <w:rFonts w:cs="Arial"/>
          <w:color w:val="3B3838" w:themeColor="background2" w:themeShade="40"/>
          <w:sz w:val="24"/>
          <w:szCs w:val="24"/>
        </w:rPr>
      </w:pPr>
    </w:p>
    <w:p w14:paraId="78C29BFD" w14:textId="77777777" w:rsidR="00AE51CA" w:rsidRPr="00B86132" w:rsidRDefault="00AE51CA" w:rsidP="00AE51CA">
      <w:pPr>
        <w:spacing w:line="360" w:lineRule="auto"/>
        <w:jc w:val="both"/>
        <w:rPr>
          <w:rFonts w:cs="Arial"/>
          <w:color w:val="3B3838" w:themeColor="background2" w:themeShade="40"/>
          <w:sz w:val="24"/>
          <w:szCs w:val="24"/>
        </w:rPr>
      </w:pPr>
    </w:p>
    <w:p w14:paraId="5CE72448" w14:textId="77777777" w:rsidR="00AE51CA" w:rsidRPr="00B86132" w:rsidRDefault="00AE51CA" w:rsidP="00AE51CA">
      <w:pPr>
        <w:spacing w:line="360" w:lineRule="auto"/>
        <w:jc w:val="both"/>
        <w:rPr>
          <w:rFonts w:cs="Arial"/>
          <w:color w:val="3B3838" w:themeColor="background2" w:themeShade="40"/>
          <w:sz w:val="24"/>
          <w:szCs w:val="24"/>
        </w:rPr>
      </w:pPr>
    </w:p>
    <w:p w14:paraId="2A67C33C" w14:textId="77777777" w:rsidR="00AE51CA" w:rsidRPr="00B86132" w:rsidRDefault="00AE51CA" w:rsidP="00AE51CA">
      <w:pPr>
        <w:spacing w:line="360" w:lineRule="auto"/>
        <w:jc w:val="both"/>
        <w:rPr>
          <w:rFonts w:cs="Arial"/>
          <w:color w:val="3B3838" w:themeColor="background2" w:themeShade="40"/>
          <w:sz w:val="24"/>
          <w:szCs w:val="24"/>
        </w:rPr>
      </w:pPr>
    </w:p>
    <w:p w14:paraId="69B9AFE8" w14:textId="77777777" w:rsidR="00AE51CA" w:rsidRPr="00B86132" w:rsidRDefault="00AE51CA" w:rsidP="00AE51CA">
      <w:pPr>
        <w:spacing w:line="360" w:lineRule="auto"/>
        <w:jc w:val="both"/>
        <w:rPr>
          <w:rFonts w:cs="Arial"/>
          <w:color w:val="3B3838" w:themeColor="background2" w:themeShade="40"/>
          <w:sz w:val="24"/>
          <w:szCs w:val="24"/>
        </w:rPr>
      </w:pPr>
    </w:p>
    <w:p w14:paraId="139E52B1" w14:textId="77777777" w:rsidR="00AE51CA" w:rsidRPr="00B86132" w:rsidRDefault="00AE51CA" w:rsidP="00AE51CA">
      <w:pPr>
        <w:spacing w:line="360" w:lineRule="auto"/>
        <w:jc w:val="both"/>
        <w:rPr>
          <w:rFonts w:cs="Arial"/>
          <w:color w:val="3B3838" w:themeColor="background2" w:themeShade="40"/>
          <w:sz w:val="24"/>
          <w:szCs w:val="24"/>
        </w:rPr>
      </w:pPr>
    </w:p>
    <w:p w14:paraId="3BD709FF" w14:textId="77777777" w:rsidR="00AE51CA" w:rsidRPr="00B86132" w:rsidRDefault="00AE51CA" w:rsidP="00AE51CA">
      <w:pPr>
        <w:spacing w:line="360" w:lineRule="auto"/>
        <w:jc w:val="both"/>
        <w:rPr>
          <w:rFonts w:cs="Arial"/>
          <w:color w:val="3B3838" w:themeColor="background2" w:themeShade="40"/>
          <w:sz w:val="24"/>
          <w:szCs w:val="24"/>
        </w:rPr>
      </w:pPr>
    </w:p>
    <w:p w14:paraId="43A7503B" w14:textId="77777777" w:rsidR="00AE51CA" w:rsidRPr="00B86132" w:rsidRDefault="00AE51CA" w:rsidP="00AE51CA">
      <w:pPr>
        <w:spacing w:line="360" w:lineRule="auto"/>
        <w:jc w:val="both"/>
        <w:rPr>
          <w:rFonts w:cs="Arial"/>
          <w:color w:val="3B3838" w:themeColor="background2" w:themeShade="40"/>
          <w:sz w:val="24"/>
          <w:szCs w:val="24"/>
        </w:rPr>
      </w:pPr>
    </w:p>
    <w:p w14:paraId="04BDC40D" w14:textId="77777777" w:rsidR="00AE51CA" w:rsidRPr="00B86132" w:rsidRDefault="00AE51CA" w:rsidP="00AE51CA">
      <w:pPr>
        <w:spacing w:line="360" w:lineRule="auto"/>
        <w:jc w:val="both"/>
        <w:rPr>
          <w:rFonts w:cs="Arial"/>
          <w:color w:val="3B3838" w:themeColor="background2" w:themeShade="40"/>
          <w:sz w:val="24"/>
          <w:szCs w:val="24"/>
        </w:rPr>
      </w:pPr>
    </w:p>
    <w:p w14:paraId="7F16C750" w14:textId="77777777" w:rsidR="00AE51CA" w:rsidRPr="00B86132" w:rsidRDefault="00AE51CA" w:rsidP="00AE51CA">
      <w:pPr>
        <w:spacing w:line="360" w:lineRule="auto"/>
        <w:jc w:val="both"/>
        <w:rPr>
          <w:rFonts w:cs="Arial"/>
          <w:color w:val="3B3838" w:themeColor="background2" w:themeShade="40"/>
          <w:sz w:val="24"/>
          <w:szCs w:val="24"/>
        </w:rPr>
      </w:pPr>
    </w:p>
    <w:p w14:paraId="27E948CB" w14:textId="77777777" w:rsidR="00AE51CA" w:rsidRPr="00B86132" w:rsidRDefault="00AE51CA" w:rsidP="00AE51CA">
      <w:pPr>
        <w:spacing w:line="360" w:lineRule="auto"/>
        <w:jc w:val="both"/>
        <w:rPr>
          <w:rFonts w:cs="Arial"/>
          <w:color w:val="3B3838" w:themeColor="background2" w:themeShade="40"/>
          <w:sz w:val="24"/>
          <w:szCs w:val="24"/>
        </w:rPr>
      </w:pPr>
    </w:p>
    <w:p w14:paraId="3B9A499F" w14:textId="77777777" w:rsidR="00AE51CA" w:rsidRPr="00B86132" w:rsidRDefault="00AE51CA" w:rsidP="00AE51CA">
      <w:pPr>
        <w:spacing w:line="360" w:lineRule="auto"/>
        <w:jc w:val="both"/>
        <w:rPr>
          <w:rFonts w:cs="Arial"/>
          <w:color w:val="3B3838" w:themeColor="background2" w:themeShade="40"/>
          <w:sz w:val="24"/>
          <w:szCs w:val="24"/>
        </w:rPr>
      </w:pPr>
    </w:p>
    <w:p w14:paraId="2907233E" w14:textId="77777777" w:rsidR="00AE51CA" w:rsidRPr="00B86132" w:rsidRDefault="00AE51CA" w:rsidP="00AE51CA">
      <w:pPr>
        <w:spacing w:line="360" w:lineRule="auto"/>
        <w:jc w:val="both"/>
        <w:rPr>
          <w:rFonts w:cs="Arial"/>
          <w:color w:val="3B3838" w:themeColor="background2" w:themeShade="40"/>
          <w:sz w:val="24"/>
          <w:szCs w:val="24"/>
        </w:rPr>
      </w:pPr>
    </w:p>
    <w:p w14:paraId="11DFCA22" w14:textId="77777777" w:rsidR="00AE51CA" w:rsidRPr="00B86132" w:rsidRDefault="00AE51CA" w:rsidP="00AE51CA">
      <w:pPr>
        <w:spacing w:line="360" w:lineRule="auto"/>
        <w:jc w:val="both"/>
        <w:rPr>
          <w:rFonts w:cs="Arial"/>
          <w:color w:val="3B3838" w:themeColor="background2" w:themeShade="40"/>
          <w:sz w:val="24"/>
          <w:szCs w:val="24"/>
        </w:rPr>
      </w:pPr>
    </w:p>
    <w:p w14:paraId="515A2E34" w14:textId="77777777" w:rsidR="00AE51CA" w:rsidRPr="00B86132" w:rsidRDefault="00AE51CA" w:rsidP="00AE51CA">
      <w:pPr>
        <w:spacing w:line="360" w:lineRule="auto"/>
        <w:jc w:val="both"/>
        <w:rPr>
          <w:rFonts w:cs="Arial"/>
          <w:color w:val="3B3838" w:themeColor="background2" w:themeShade="40"/>
          <w:sz w:val="24"/>
          <w:szCs w:val="24"/>
        </w:rPr>
      </w:pPr>
    </w:p>
    <w:p w14:paraId="0BAB4F0B" w14:textId="77777777" w:rsidR="00AE51CA" w:rsidRPr="00B86132" w:rsidRDefault="00AE51CA" w:rsidP="00AE51CA">
      <w:pPr>
        <w:spacing w:line="360" w:lineRule="auto"/>
        <w:jc w:val="both"/>
        <w:rPr>
          <w:rFonts w:cs="Arial"/>
          <w:color w:val="3B3838" w:themeColor="background2" w:themeShade="40"/>
          <w:sz w:val="24"/>
          <w:szCs w:val="24"/>
        </w:rPr>
      </w:pPr>
    </w:p>
    <w:p w14:paraId="46041DC8" w14:textId="77777777" w:rsidR="00AE51CA" w:rsidRPr="00B86132" w:rsidRDefault="00AE51CA" w:rsidP="00AE51CA">
      <w:pPr>
        <w:spacing w:line="360" w:lineRule="auto"/>
        <w:jc w:val="both"/>
        <w:rPr>
          <w:rFonts w:cs="Arial"/>
          <w:color w:val="3B3838" w:themeColor="background2" w:themeShade="40"/>
          <w:sz w:val="24"/>
          <w:szCs w:val="24"/>
        </w:rPr>
      </w:pPr>
    </w:p>
    <w:p w14:paraId="26F751C2" w14:textId="77777777" w:rsidR="00AE51CA" w:rsidRPr="00B86132" w:rsidRDefault="00AE51CA" w:rsidP="00AE51CA">
      <w:pPr>
        <w:spacing w:line="360" w:lineRule="auto"/>
        <w:jc w:val="both"/>
        <w:rPr>
          <w:rFonts w:cs="Arial"/>
          <w:color w:val="3B3838" w:themeColor="background2" w:themeShade="40"/>
          <w:sz w:val="24"/>
          <w:szCs w:val="24"/>
        </w:rPr>
      </w:pPr>
    </w:p>
    <w:p w14:paraId="7908399E" w14:textId="77777777" w:rsidR="00AE51CA" w:rsidRPr="00B86132" w:rsidRDefault="00AE51CA" w:rsidP="00AE51CA">
      <w:pPr>
        <w:spacing w:line="360" w:lineRule="auto"/>
        <w:jc w:val="center"/>
        <w:rPr>
          <w:rFonts w:cs="Arial"/>
          <w:b/>
          <w:bCs/>
          <w:color w:val="3B3838" w:themeColor="background2" w:themeShade="40"/>
          <w:sz w:val="24"/>
          <w:szCs w:val="24"/>
        </w:rPr>
      </w:pPr>
      <w:r w:rsidRPr="00B86132">
        <w:rPr>
          <w:rFonts w:cs="Arial"/>
          <w:b/>
          <w:bCs/>
          <w:color w:val="3B3838" w:themeColor="background2" w:themeShade="40"/>
          <w:sz w:val="24"/>
          <w:szCs w:val="24"/>
        </w:rPr>
        <w:lastRenderedPageBreak/>
        <w:t>Introduction</w:t>
      </w:r>
    </w:p>
    <w:p w14:paraId="4B9760CD" w14:textId="77777777" w:rsidR="00AE51CA" w:rsidRPr="00B86132" w:rsidRDefault="00AE51CA" w:rsidP="00AE51CA">
      <w:pPr>
        <w:spacing w:line="360" w:lineRule="auto"/>
        <w:jc w:val="both"/>
        <w:rPr>
          <w:rFonts w:cs="Arial"/>
          <w:b/>
          <w:bCs/>
          <w:color w:val="3B3838" w:themeColor="background2" w:themeShade="40"/>
          <w:sz w:val="24"/>
          <w:szCs w:val="24"/>
        </w:rPr>
      </w:pPr>
    </w:p>
    <w:p w14:paraId="096982CD"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“Traumatic events are extraordinary, not because they occur rarely, but rather because they overwhelm the ordinary human adaptations to life” (Herman, 2015, p. 33).</w:t>
      </w:r>
    </w:p>
    <w:p w14:paraId="2FCB9C49" w14:textId="77777777" w:rsidR="00AE51CA" w:rsidRPr="00B86132" w:rsidRDefault="00AE51CA" w:rsidP="00AE51CA">
      <w:pPr>
        <w:spacing w:line="360" w:lineRule="auto"/>
        <w:jc w:val="both"/>
        <w:rPr>
          <w:rFonts w:cs="Arial"/>
          <w:color w:val="3B3838" w:themeColor="background2" w:themeShade="40"/>
          <w:sz w:val="24"/>
          <w:szCs w:val="24"/>
        </w:rPr>
      </w:pPr>
    </w:p>
    <w:p w14:paraId="31375DA2"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Since Janet first acknowledged, in the early twentieth century, the correlation between patients’ past life events and their present-day traumatic symptoms, trauma therapy has evolved into a vast field, informed by modern advances in psychological theory and the burgeoning field of neuroscience (Porges, 2011; Hambrick et al., 2019; Cozolino, 2014; Tronick, 2017). It is increasingly understood, by experts in the trauma therapy field, that somatic psychotherapeutic approaches have greater success in improving client outcomes than cognitively focused therapies (Rothschild, 2017; van der Kolk, 2014; Ogden and Fisher, 2015; Levine, 2010; Taylor, 2014; Dana, 2018; </w:t>
      </w:r>
      <w:r w:rsidRPr="00B86132">
        <w:rPr>
          <w:rFonts w:cs="Arial"/>
          <w:color w:val="3B3838" w:themeColor="background2" w:themeShade="40"/>
          <w:sz w:val="24"/>
          <w:szCs w:val="24"/>
          <w:shd w:val="clear" w:color="auto" w:fill="FFFFFF"/>
        </w:rPr>
        <w:t>Brantbjerg, 2018; Heller and LaPierre, 2012, p. 25</w:t>
      </w:r>
      <w:r w:rsidRPr="00B86132">
        <w:rPr>
          <w:rFonts w:cs="Arial"/>
          <w:color w:val="3B3838" w:themeColor="background2" w:themeShade="40"/>
          <w:sz w:val="24"/>
          <w:szCs w:val="24"/>
        </w:rPr>
        <w:t xml:space="preserve">). Whilst therapeutic approaches which emphasise working with body awareness and somatic memory as an integral part of recovery are becoming more widely acknowledged, they are still not mainstream and have so far failed to gain wider recognition by the NHS or in NICE guidelines (NICE, 2018). </w:t>
      </w:r>
    </w:p>
    <w:p w14:paraId="340FE3C6" w14:textId="77777777" w:rsidR="00AE51CA" w:rsidRPr="00B86132" w:rsidRDefault="00AE51CA" w:rsidP="00AE51CA">
      <w:pPr>
        <w:spacing w:line="360" w:lineRule="auto"/>
        <w:jc w:val="both"/>
        <w:rPr>
          <w:rFonts w:cs="Arial"/>
          <w:color w:val="3B3838" w:themeColor="background2" w:themeShade="40"/>
          <w:sz w:val="24"/>
          <w:szCs w:val="24"/>
        </w:rPr>
      </w:pPr>
    </w:p>
    <w:p w14:paraId="60A1E730"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The emergence of developmental trauma as a trauma subtype evolved from the term </w:t>
      </w:r>
      <w:r w:rsidRPr="00B86132">
        <w:rPr>
          <w:rFonts w:cs="Arial"/>
          <w:i/>
          <w:iCs/>
          <w:color w:val="3B3838" w:themeColor="background2" w:themeShade="40"/>
          <w:sz w:val="24"/>
          <w:szCs w:val="24"/>
        </w:rPr>
        <w:t xml:space="preserve">complex trauma </w:t>
      </w:r>
      <w:r w:rsidRPr="00B86132">
        <w:rPr>
          <w:rFonts w:cs="Arial"/>
          <w:color w:val="3B3838" w:themeColor="background2" w:themeShade="40"/>
          <w:sz w:val="24"/>
          <w:szCs w:val="24"/>
        </w:rPr>
        <w:t xml:space="preserve">or </w:t>
      </w:r>
      <w:r w:rsidRPr="00B86132">
        <w:rPr>
          <w:rFonts w:cs="Arial"/>
          <w:i/>
          <w:iCs/>
          <w:color w:val="3B3838" w:themeColor="background2" w:themeShade="40"/>
          <w:sz w:val="24"/>
          <w:szCs w:val="24"/>
        </w:rPr>
        <w:t>complex post-traumatic stress disorder</w:t>
      </w:r>
      <w:r w:rsidRPr="00B86132">
        <w:rPr>
          <w:rFonts w:cs="Arial"/>
          <w:color w:val="3B3838" w:themeColor="background2" w:themeShade="40"/>
          <w:sz w:val="24"/>
          <w:szCs w:val="24"/>
        </w:rPr>
        <w:t xml:space="preserve"> (C-PTSD), which is itself a subtype of </w:t>
      </w:r>
      <w:r w:rsidRPr="00B86132">
        <w:rPr>
          <w:rFonts w:cs="Arial"/>
          <w:i/>
          <w:iCs/>
          <w:color w:val="3B3838" w:themeColor="background2" w:themeShade="40"/>
          <w:sz w:val="24"/>
          <w:szCs w:val="24"/>
        </w:rPr>
        <w:t>post-traumatic stress disorder</w:t>
      </w:r>
      <w:r w:rsidRPr="00B86132">
        <w:rPr>
          <w:rFonts w:cs="Arial"/>
          <w:color w:val="3B3838" w:themeColor="background2" w:themeShade="40"/>
          <w:sz w:val="24"/>
          <w:szCs w:val="24"/>
        </w:rPr>
        <w:t xml:space="preserve"> (PTSD). Currently only recognised in the ICD-11 (World Health Organisation, 2018) and not the DSM-V (American Psychiatric Association, 2013), C-PTSD is a somewhat controversial diagnosis (Resick et al., 2012; Cloitre et al., 2013) that includes additional symptoms of dissociation, attention difficulties, problems with self-regulation and relational problems (Herman, 1992). De Jongh et al. go so far as to question the validity of C-PTSD as a construct, querying whether C-PTSD is in fact a different condition from PTSD, or whether the difference is rather one of severity of symptoms, with increasing severity linked with what is currently known as C-PTSD (De Jongh, 2016, p. 361). </w:t>
      </w:r>
    </w:p>
    <w:p w14:paraId="3E2F087C" w14:textId="77777777" w:rsidR="00AE51CA" w:rsidRPr="00B86132" w:rsidRDefault="00AE51CA" w:rsidP="00AE51CA">
      <w:pPr>
        <w:spacing w:line="360" w:lineRule="auto"/>
        <w:jc w:val="both"/>
        <w:rPr>
          <w:rFonts w:cs="Arial"/>
          <w:color w:val="3B3838" w:themeColor="background2" w:themeShade="40"/>
          <w:sz w:val="24"/>
          <w:szCs w:val="24"/>
        </w:rPr>
      </w:pPr>
    </w:p>
    <w:p w14:paraId="2D65540A"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lastRenderedPageBreak/>
        <w:t xml:space="preserve">With reference to ground-breaking previous research into </w:t>
      </w:r>
      <w:r w:rsidRPr="00B86132">
        <w:rPr>
          <w:rFonts w:cs="Arial"/>
          <w:i/>
          <w:iCs/>
          <w:color w:val="3B3838" w:themeColor="background2" w:themeShade="40"/>
          <w:sz w:val="24"/>
          <w:szCs w:val="24"/>
        </w:rPr>
        <w:t>adverse childhood experiences</w:t>
      </w:r>
      <w:r w:rsidRPr="00B86132">
        <w:rPr>
          <w:rFonts w:cs="Arial"/>
          <w:color w:val="3B3838" w:themeColor="background2" w:themeShade="40"/>
          <w:sz w:val="24"/>
          <w:szCs w:val="24"/>
        </w:rPr>
        <w:t xml:space="preserve"> (ACES) (Felitti et al., 1998), van der Kolk proposed in 2005 that a new diagnostic condition, </w:t>
      </w:r>
      <w:r w:rsidRPr="00B86132">
        <w:rPr>
          <w:rFonts w:cs="Arial"/>
          <w:i/>
          <w:iCs/>
          <w:color w:val="3B3838" w:themeColor="background2" w:themeShade="40"/>
          <w:sz w:val="24"/>
          <w:szCs w:val="24"/>
        </w:rPr>
        <w:t>Developmental Trauma Disorder</w:t>
      </w:r>
      <w:r w:rsidRPr="00B86132">
        <w:rPr>
          <w:rFonts w:cs="Arial"/>
          <w:color w:val="3B3838" w:themeColor="background2" w:themeShade="40"/>
          <w:sz w:val="24"/>
          <w:szCs w:val="24"/>
        </w:rPr>
        <w:t xml:space="preserve"> (DTD), was necessary to encompass the complexity of symptoms experienced by child and adolescent survivors of childhood adversity (van der Kolk, 2005). Many children with traumatic histories do not meet the essential diagnostic criteria for classic PTSD, instead presenting with a wide range of comorbidities including various physical and behavioural symptoms (van der Kolk, 2005, p. 406). As a result, these children do not receive appropriate support or treatment and often face lifelong stigmatisation and interpersonal challenges as they carry their unprocessed trauma into adulthood. Together with colleagues on the </w:t>
      </w:r>
      <w:r w:rsidRPr="00B86132">
        <w:rPr>
          <w:rFonts w:cs="Arial"/>
          <w:i/>
          <w:iCs/>
          <w:color w:val="3B3838" w:themeColor="background2" w:themeShade="40"/>
          <w:sz w:val="24"/>
          <w:szCs w:val="24"/>
        </w:rPr>
        <w:t>complex trauma taskforce</w:t>
      </w:r>
      <w:r w:rsidRPr="00B86132">
        <w:rPr>
          <w:rFonts w:cs="Arial"/>
          <w:color w:val="3B3838" w:themeColor="background2" w:themeShade="40"/>
          <w:sz w:val="24"/>
          <w:szCs w:val="24"/>
        </w:rPr>
        <w:t xml:space="preserve">, van der Kolk strongly advocated in 2009 that DTD should be added to the DSM-V (van der Kolk et al., 2009), but this proposal was rejected on the grounds that insufficient evidence existed to support the new diagnosis (Resick et al., 2012). In response to this situation, some argued that if only one trauma diagnosis was to be included in DSM-V, it should have been developmental trauma, due to increasing evidence of the impact that trauma, even adult shock trauma, has on brain development (Bremness and Polzin, 2014, p. 142). Whilst the entire concept of psychiatric diagnosis is increasingly viewed as problematic by some experts (Johnstone, 2018; Davies, 2013), it is important to acknowledge that, for some trauma survivors, a diagnosis can feel liberating. A C-PTSD diagnosis can provide people with a number of important benefits, including a new understanding of their mental and emotional challenges, a clearer direction in identifying appropriate treatment modalities and, importantly, the possibility of gaining access to appropriate support which might otherwise be unavailable (NHS, 2018; MIND, 2021). For the purpose of this research, the terms developmental trauma, complex trauma and C-PTSD will be used interchangeably, based on the terminology used in the specific literature which is being discussed. </w:t>
      </w:r>
    </w:p>
    <w:p w14:paraId="2355D90E" w14:textId="77777777" w:rsidR="00AE51CA" w:rsidRPr="00B86132" w:rsidRDefault="00AE51CA" w:rsidP="00AE51CA">
      <w:pPr>
        <w:spacing w:line="360" w:lineRule="auto"/>
        <w:jc w:val="both"/>
        <w:rPr>
          <w:rFonts w:cs="Arial"/>
          <w:color w:val="3B3838" w:themeColor="background2" w:themeShade="40"/>
          <w:sz w:val="24"/>
          <w:szCs w:val="24"/>
        </w:rPr>
      </w:pPr>
    </w:p>
    <w:p w14:paraId="2F74A443"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Somatic psychotherapy, also known as body psychotherapy, is widely acknowledged in the west as beginning with the work of Reich (Young, 2008; Boadella, 2016; Soth, 2013). Upon Reich’s foundation, body focused psychotherapies including Gestalt therapy (Perls, 1973), Focusing (Gendlin, </w:t>
      </w:r>
      <w:r w:rsidRPr="00B86132">
        <w:rPr>
          <w:rFonts w:cs="Arial"/>
          <w:color w:val="3B3838" w:themeColor="background2" w:themeShade="40"/>
          <w:sz w:val="24"/>
          <w:szCs w:val="24"/>
        </w:rPr>
        <w:lastRenderedPageBreak/>
        <w:t xml:space="preserve">2003), the Hakomi method (Kurtz, 1990), Somatic Experiencing (Levine and Frederick, 1997) and Sensorimotor Psychotherapy (Ogden and Fisher, 2015) have all been directly or indirectly built. As Soth points out, however, modern day practitioners are rarely aware of the full historical legacies of the theoretical approaches they utilise in therapy (Soth, 2013, p. 123). A focus on somatic therapies inevitably brings to the fore the debate around the effectiveness of bottom up versus top-down modalities, drawing on the triune brain model (MacLean, 1978). Whilst McLean’s model is now largely understood by neuroscientists and psychologists to be highly over-simplified (Barrett, 2017; </w:t>
      </w:r>
      <w:r w:rsidRPr="00B86132">
        <w:rPr>
          <w:rFonts w:cs="Arial"/>
          <w:color w:val="3B3838" w:themeColor="background2" w:themeShade="40"/>
          <w:sz w:val="24"/>
          <w:szCs w:val="24"/>
          <w:shd w:val="clear" w:color="auto" w:fill="FFFFFF"/>
        </w:rPr>
        <w:t>Hart &amp; Jacobsen, 2018, p. 422; LeDoux, 2012</w:t>
      </w:r>
      <w:r w:rsidRPr="00B86132">
        <w:rPr>
          <w:rFonts w:cs="Arial"/>
          <w:color w:val="3B3838" w:themeColor="background2" w:themeShade="40"/>
          <w:sz w:val="24"/>
          <w:szCs w:val="24"/>
        </w:rPr>
        <w:t xml:space="preserve">), it remains a valuable model when trying to understand the contrasting approaches to trauma therapy. Due to historical bias towards top down, cognitive therapeutic approaches, described as: “the movement towards behaviourism and rationality” (Levine, 2010, p.311), the </w:t>
      </w:r>
      <w:r w:rsidRPr="00B86132">
        <w:rPr>
          <w:rFonts w:eastAsiaTheme="minorHAnsi" w:cs="Arial"/>
          <w:color w:val="3B3838" w:themeColor="background2" w:themeShade="40"/>
          <w:sz w:val="24"/>
          <w:szCs w:val="24"/>
          <w:lang w:eastAsia="en-US"/>
        </w:rPr>
        <w:t>lack of research initiatives on body-based approaches, the difficulty of including complexity within a research study</w:t>
      </w:r>
      <w:r w:rsidRPr="00B86132">
        <w:rPr>
          <w:rFonts w:cs="Arial"/>
          <w:color w:val="3B3838" w:themeColor="background2" w:themeShade="40"/>
          <w:sz w:val="24"/>
          <w:szCs w:val="24"/>
        </w:rPr>
        <w:t xml:space="preserve"> (Grabbe and Miller-Karas, 2018, p. 1)</w:t>
      </w:r>
      <w:r w:rsidRPr="00B86132">
        <w:rPr>
          <w:rFonts w:eastAsiaTheme="minorHAnsi" w:cs="Arial"/>
          <w:color w:val="3B3838" w:themeColor="background2" w:themeShade="40"/>
          <w:sz w:val="24"/>
          <w:szCs w:val="24"/>
          <w:lang w:eastAsia="en-US"/>
        </w:rPr>
        <w:t xml:space="preserve">  and the </w:t>
      </w:r>
      <w:r w:rsidRPr="00B86132">
        <w:rPr>
          <w:rFonts w:cs="Arial"/>
          <w:color w:val="3B3838" w:themeColor="background2" w:themeShade="40"/>
          <w:sz w:val="24"/>
          <w:szCs w:val="24"/>
        </w:rPr>
        <w:t>greater ease with which clinical trials can be completed on manualised approaches (McFerran et al., 2020; Rohricht, 2009, p. 143; Corrigan and Hull, 2015b, p. 86-89; Brown and Courtois, 2019), complex trauma treatment currently available on the NHS is predominantly trauma-focused Cognitive Behavioural Therapy. The exception to this is EMDR (eye movement desensitisation and reprogramming), which is at least partially a bottom-up approach also recommended in NICE guidelines (NICE, 2018). However, EMDR in its unmodified form, designed for PTSD rather than C-PTSD, is understood by trauma specialists to be an inadequate treatment model for survivors of complex trauma (Hull et al., 2016, p. 36). The absence of NHS provision of somatic psychotherapies inevitably has the greatest impact on those in society who are already disadvantaged by socioeconomic conditions and who lack the funds to pay for private trauma therapy. Given the prevalence of complex trauma (</w:t>
      </w:r>
      <w:r w:rsidRPr="00B86132">
        <w:rPr>
          <w:rFonts w:cs="Arial"/>
          <w:color w:val="3B3838" w:themeColor="background2" w:themeShade="40"/>
          <w:sz w:val="24"/>
          <w:szCs w:val="24"/>
          <w:shd w:val="clear" w:color="auto" w:fill="FFFFFF"/>
        </w:rPr>
        <w:t xml:space="preserve">Karatzias et al., 2017; Hull et al., 2016; Kaffman, 2009; Cloitre et al., 2019) </w:t>
      </w:r>
      <w:r w:rsidRPr="00B86132">
        <w:rPr>
          <w:rFonts w:cs="Arial"/>
          <w:color w:val="3B3838" w:themeColor="background2" w:themeShade="40"/>
          <w:sz w:val="24"/>
          <w:szCs w:val="24"/>
        </w:rPr>
        <w:t xml:space="preserve">and the fact that trauma is often transmitted from one generation to the next (Bowers and Yehuda, 2015; Wolynn, 2017; Cortizo, 2020), it is vital that the most effective treatment modalities are made available to survivors in a timely manner, in order to minimise the transmission of trauma to the next generation. </w:t>
      </w:r>
    </w:p>
    <w:p w14:paraId="28CE5E55" w14:textId="77777777" w:rsidR="00AE51CA" w:rsidRPr="00B86132" w:rsidRDefault="00AE51CA" w:rsidP="00AE51CA">
      <w:pPr>
        <w:spacing w:line="360" w:lineRule="auto"/>
        <w:jc w:val="both"/>
        <w:rPr>
          <w:rFonts w:cs="Arial"/>
          <w:color w:val="3B3838" w:themeColor="background2" w:themeShade="40"/>
          <w:sz w:val="24"/>
          <w:szCs w:val="24"/>
        </w:rPr>
      </w:pPr>
    </w:p>
    <w:p w14:paraId="10059B01"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lastRenderedPageBreak/>
        <w:t xml:space="preserve">In considering the lens through which this research views the literature, it is important to acknowledge a grounding in humanistic psychotherapy, particularly the Gestalt and Emotion-focused approaches (Perls, 1973; Elliot et al., 2004). Whilst these two humanistic approaches are not explicitly referred to as somatic psychotherapies, they each have a phenomenological philosophical foundation with a strong emphasis on present moment awareness, including awareness of affect, emotion, bodily sensation and body-language. An emphasis on holism and on valuing the human being as a unique individual is a principal aspect of theory which both humanistic and somatic psychotherapies share in common. Modern somatic psychotherapeutic approaches are frequently underpinned by core humanistic values (Heller and LaPierre, 2012, pp. 24-25; Taylor, 2014, p. 6), but they go one step further in placing the body and its wisdom as the central resource in the process of healing from trauma. It is from this standpoint that the literature will be viewed. </w:t>
      </w:r>
    </w:p>
    <w:p w14:paraId="42182AB6" w14:textId="77777777" w:rsidR="00AE51CA" w:rsidRPr="00B86132" w:rsidRDefault="00AE51CA" w:rsidP="00AE51CA">
      <w:pPr>
        <w:spacing w:line="360" w:lineRule="auto"/>
        <w:jc w:val="both"/>
        <w:rPr>
          <w:rFonts w:cs="Arial"/>
          <w:color w:val="3B3838" w:themeColor="background2" w:themeShade="40"/>
          <w:sz w:val="24"/>
          <w:szCs w:val="24"/>
        </w:rPr>
      </w:pPr>
    </w:p>
    <w:p w14:paraId="342B6E8C"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Given that the values of humanistic psychology underpin much of somatic psychotherapy, it is important to acknowledge that these values are not widely supported in non-western cultures. In cultures which are less focused on individualism and more driven by community cohesion (Mawere, 2014, p. 32; Nyamnjoh 2017, pp. 260-261), some have criticised Maslow’s notion of self-actualisation as overly individualistic (Mawere et al., 2016). However, it is now understood that Maslow and his influential hierarchy of needs was not only informed by his time spent with the Blackfoot tribe of the north-eastern US (Feigenbaum and Smith, 2020) but also that, had he lived longer, Maslow would very likely have completed his latest and unfinished work into transcendence and the importance of community as an integral part of self-actualisation (Kaufman, 2020). This is relevant because it is sometimes claimed that psychotherapy pays too little attention to the biopsychosocial aspects of human suffering and that the development of compassion and pro-social skills is fundamental to repairing broken attachments, both interpersonally and at a community level (Gilbert, 2019). If one assumes that Maslow’s hierarchy of needs is underpinned by an implicit emphasis on the individual as a vital and integral part of the whole, this paints a very different picture from the characterisation of humanistic psychology as being overly focused on the individual. </w:t>
      </w:r>
    </w:p>
    <w:p w14:paraId="013CAFF4" w14:textId="77777777" w:rsidR="00AE51CA" w:rsidRPr="00B86132" w:rsidRDefault="00AE51CA" w:rsidP="00AE51CA">
      <w:pPr>
        <w:spacing w:line="360" w:lineRule="auto"/>
        <w:jc w:val="both"/>
        <w:rPr>
          <w:rFonts w:cs="Arial"/>
          <w:color w:val="3B3838" w:themeColor="background2" w:themeShade="40"/>
          <w:sz w:val="24"/>
          <w:szCs w:val="24"/>
        </w:rPr>
      </w:pPr>
    </w:p>
    <w:p w14:paraId="1036D4DF"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The central purpose of this research is to consider the implications of developmental trauma on emotional, mental and physical health and to explore the ways in which somatic psychotherapies can support healing and growth. To meet this aim, it is necessary to understand interpersonal neurobiology, including how the brain and nervous system are altered by traumatic experience and how they can be gradually healed by timely, appropriate psychotherapeutic interventions. It is imperative to understand which psychotherapeutic approaches are most effective in treating developmental trauma, in order to mitigate clients’ symptoms and enable them to live fulfilling lives with minimal disturbance from symptoms of their past trauma. </w:t>
      </w:r>
    </w:p>
    <w:p w14:paraId="22912F74" w14:textId="77777777" w:rsidR="00AE51CA" w:rsidRPr="00B86132" w:rsidRDefault="00AE51CA" w:rsidP="00AE51CA">
      <w:pPr>
        <w:spacing w:line="360" w:lineRule="auto"/>
        <w:jc w:val="both"/>
        <w:rPr>
          <w:rFonts w:cs="Arial"/>
          <w:color w:val="3B3838" w:themeColor="background2" w:themeShade="40"/>
          <w:sz w:val="24"/>
          <w:szCs w:val="24"/>
        </w:rPr>
      </w:pPr>
    </w:p>
    <w:p w14:paraId="36D63C36"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To meet this aim, the following specific objectives have been identified:</w:t>
      </w:r>
    </w:p>
    <w:p w14:paraId="53D0B540" w14:textId="77777777" w:rsidR="00AE51CA" w:rsidRPr="00B86132" w:rsidRDefault="00AE51CA" w:rsidP="00AE51CA">
      <w:pPr>
        <w:spacing w:line="360" w:lineRule="auto"/>
        <w:jc w:val="both"/>
        <w:rPr>
          <w:rFonts w:cs="Arial"/>
          <w:color w:val="3B3838" w:themeColor="background2" w:themeShade="40"/>
          <w:sz w:val="24"/>
          <w:szCs w:val="24"/>
        </w:rPr>
      </w:pPr>
    </w:p>
    <w:p w14:paraId="08C6414E" w14:textId="77777777" w:rsidR="00AE51CA" w:rsidRPr="00B86132" w:rsidRDefault="00AE51CA" w:rsidP="00AE51CA">
      <w:pPr>
        <w:numPr>
          <w:ilvl w:val="0"/>
          <w:numId w:val="1"/>
        </w:numPr>
        <w:spacing w:line="360" w:lineRule="auto"/>
        <w:jc w:val="both"/>
        <w:rPr>
          <w:rFonts w:cs="Arial"/>
          <w:color w:val="3B3838" w:themeColor="background2" w:themeShade="40"/>
          <w:sz w:val="24"/>
          <w:szCs w:val="24"/>
        </w:rPr>
      </w:pPr>
      <w:bookmarkStart w:id="0" w:name="_Hlk62461650"/>
      <w:r w:rsidRPr="00B86132">
        <w:rPr>
          <w:rFonts w:cs="Arial"/>
          <w:color w:val="3B3838" w:themeColor="background2" w:themeShade="40"/>
          <w:sz w:val="24"/>
          <w:szCs w:val="24"/>
        </w:rPr>
        <w:t>To review contemporary literature on developmental trauma (also known as complex, relational or attachment trauma) in the fields of neuroscience and psychology, with an emphasis on peer-reviewed articles written post-2015 but also including important works which pre-date this.</w:t>
      </w:r>
    </w:p>
    <w:p w14:paraId="38C3F3C6" w14:textId="77777777" w:rsidR="00AE51CA" w:rsidRPr="00B86132" w:rsidRDefault="00AE51CA" w:rsidP="00AE51CA">
      <w:pPr>
        <w:numPr>
          <w:ilvl w:val="0"/>
          <w:numId w:val="1"/>
        </w:num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To define somatic psychotherapy and to focus on the key theoretical ideas of five modern, somatic psychotherapy modalities: Sensorimotor psychotherapy (SP), Somatic Experiencing (SE), Neuro Affective Relational Model (NARM), Brainspotting (BSP) and Relational Trauma Therapy (RTT).</w:t>
      </w:r>
    </w:p>
    <w:p w14:paraId="506BD3BD" w14:textId="77777777" w:rsidR="00AE51CA" w:rsidRPr="00B86132" w:rsidRDefault="00AE51CA" w:rsidP="00AE51CA">
      <w:pPr>
        <w:numPr>
          <w:ilvl w:val="0"/>
          <w:numId w:val="1"/>
        </w:num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To establish the breadth of existing evidence on the efficacy of somatic psychotherapies in treating developmental trauma.</w:t>
      </w:r>
    </w:p>
    <w:p w14:paraId="53A6C736" w14:textId="77777777" w:rsidR="00AE51CA" w:rsidRPr="00B86132" w:rsidRDefault="00AE51CA" w:rsidP="00AE51CA">
      <w:pPr>
        <w:numPr>
          <w:ilvl w:val="0"/>
          <w:numId w:val="1"/>
        </w:num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To understand why it can be more difficult to find evidence-based recommendations for somatic psychotherapies. </w:t>
      </w:r>
    </w:p>
    <w:bookmarkEnd w:id="0"/>
    <w:p w14:paraId="40353C62" w14:textId="77777777" w:rsidR="00AE51CA" w:rsidRPr="00B86132" w:rsidRDefault="00AE51CA" w:rsidP="00AE51CA">
      <w:pPr>
        <w:spacing w:line="360" w:lineRule="auto"/>
        <w:jc w:val="both"/>
        <w:rPr>
          <w:rFonts w:cs="Arial"/>
          <w:color w:val="3B3838" w:themeColor="background2" w:themeShade="40"/>
          <w:sz w:val="24"/>
          <w:szCs w:val="24"/>
        </w:rPr>
      </w:pPr>
    </w:p>
    <w:p w14:paraId="555A464E"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The overall research question is therefore, “How can somatic psychotherapies support nervous system and emotion regulation in adult survivors of developmental trauma?”</w:t>
      </w:r>
    </w:p>
    <w:p w14:paraId="0347FBDA" w14:textId="77777777" w:rsidR="00AE51CA" w:rsidRPr="00B86132" w:rsidRDefault="00AE51CA" w:rsidP="00AE51CA">
      <w:pPr>
        <w:spacing w:line="360" w:lineRule="auto"/>
        <w:jc w:val="both"/>
        <w:rPr>
          <w:rFonts w:cs="Arial"/>
          <w:color w:val="3B3838" w:themeColor="background2" w:themeShade="40"/>
          <w:sz w:val="24"/>
          <w:szCs w:val="24"/>
        </w:rPr>
      </w:pPr>
    </w:p>
    <w:p w14:paraId="7B9581AE" w14:textId="77777777" w:rsidR="00AE51CA" w:rsidRPr="00B86132" w:rsidRDefault="00AE51CA" w:rsidP="00AE51CA">
      <w:pPr>
        <w:spacing w:line="360" w:lineRule="auto"/>
        <w:jc w:val="center"/>
        <w:rPr>
          <w:rFonts w:cs="Arial"/>
          <w:b/>
          <w:bCs/>
          <w:color w:val="3B3838" w:themeColor="background2" w:themeShade="40"/>
          <w:sz w:val="24"/>
          <w:szCs w:val="24"/>
        </w:rPr>
      </w:pPr>
    </w:p>
    <w:p w14:paraId="319CE5DA" w14:textId="77777777" w:rsidR="00AE51CA" w:rsidRPr="00B86132" w:rsidRDefault="00AE51CA" w:rsidP="00AE51CA">
      <w:pPr>
        <w:spacing w:line="360" w:lineRule="auto"/>
        <w:jc w:val="center"/>
        <w:rPr>
          <w:rFonts w:cs="Arial"/>
          <w:b/>
          <w:bCs/>
          <w:color w:val="3B3838" w:themeColor="background2" w:themeShade="40"/>
          <w:sz w:val="24"/>
          <w:szCs w:val="24"/>
        </w:rPr>
      </w:pPr>
      <w:r w:rsidRPr="00B86132">
        <w:rPr>
          <w:rFonts w:cs="Arial"/>
          <w:b/>
          <w:bCs/>
          <w:color w:val="3B3838" w:themeColor="background2" w:themeShade="40"/>
          <w:sz w:val="24"/>
          <w:szCs w:val="24"/>
        </w:rPr>
        <w:lastRenderedPageBreak/>
        <w:t>Critique of Literature</w:t>
      </w:r>
    </w:p>
    <w:p w14:paraId="6B2AAD7D" w14:textId="77777777" w:rsidR="00AE51CA" w:rsidRPr="00B86132" w:rsidRDefault="00AE51CA" w:rsidP="00AE51CA">
      <w:pPr>
        <w:spacing w:line="360" w:lineRule="auto"/>
        <w:jc w:val="both"/>
        <w:rPr>
          <w:rFonts w:cs="Arial"/>
          <w:b/>
          <w:bCs/>
          <w:color w:val="3B3838" w:themeColor="background2" w:themeShade="40"/>
          <w:sz w:val="24"/>
          <w:szCs w:val="24"/>
        </w:rPr>
      </w:pPr>
    </w:p>
    <w:p w14:paraId="5F4E97AF"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In beginning to critique available literature, it immediately becomes clear that, whilst there are many peer reviewed papers on the neurobiology of developmental and complex trauma (Siegel, 2015; Feldman, 2017), there are far fewer on somatic psychotherapies. This is largely due to the fluid and responsive nature of relational, somatic approaches which makes them difficult to protocolise and therefore to study in an evidence-based way (Brom et al., 2017, p. 311). To some extent, it is likely that this discrepancy is a result of Descartes’ impact upon western thought, with the cartesian split viewing mind and matter not only as entirely separate but also giving the mind precedence with the body merely an afterthought (Dana, 2018, p. 151). As a result, there is little in the existing literature which would satisfy those looking specifically for evidence-based approaches to working somatically with clients with developmental trauma histories. </w:t>
      </w:r>
    </w:p>
    <w:p w14:paraId="651DF767" w14:textId="77777777" w:rsidR="00AE51CA" w:rsidRPr="00B86132" w:rsidRDefault="00AE51CA" w:rsidP="00AE51CA">
      <w:pPr>
        <w:spacing w:line="360" w:lineRule="auto"/>
        <w:jc w:val="both"/>
        <w:rPr>
          <w:rFonts w:cs="Arial"/>
          <w:color w:val="3B3838" w:themeColor="background2" w:themeShade="40"/>
          <w:sz w:val="24"/>
          <w:szCs w:val="24"/>
        </w:rPr>
      </w:pPr>
    </w:p>
    <w:p w14:paraId="49A91AA9"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The broadness of the field of somatic psychotherapy and the heterogeneous nature of the modalities encompassed within this description can make a definition of what constitutes a “somatic psychotherapy” problematic. For the purposes of this research, the focus will be on what Rohricht classifies as Neo-Reichian body-oriented psychotherapy or somatic psychotherapy (Rohricht, 2009, p. 140). Although this group also encompasses a broader field of somatic therapies, incorporating dance and movement therapy and functional relaxation, this research will focus only on somatic psychotherapies which can be integrated more easily with traditional talk therapy and which have an emphasis on “enhanced self-awareness, behaviour modification or insight-oriented psychological problem solving” Rohricht (2009, pp. 137-140). The modalities explored emphasise the phenomenology of bodily experience, affect regulation, and affective neuroscience, often drawing from developmental psychology. Interventions are often non-verbal and body-based, helping clients to process emotions through expressive, motor-orientated behaviour. </w:t>
      </w:r>
    </w:p>
    <w:p w14:paraId="7770A2FA" w14:textId="77777777" w:rsidR="00AE51CA" w:rsidRPr="00B86132" w:rsidRDefault="00AE51CA" w:rsidP="00AE51CA">
      <w:pPr>
        <w:spacing w:line="360" w:lineRule="auto"/>
        <w:jc w:val="both"/>
        <w:rPr>
          <w:rFonts w:cs="Arial"/>
          <w:color w:val="3B3838" w:themeColor="background2" w:themeShade="40"/>
          <w:sz w:val="24"/>
          <w:szCs w:val="24"/>
        </w:rPr>
      </w:pPr>
    </w:p>
    <w:p w14:paraId="37294C01"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There is strong consensus amongst trauma experts in both clinical practice and in scientific research that treatments which are successful in treating </w:t>
      </w:r>
      <w:r w:rsidRPr="00B86132">
        <w:rPr>
          <w:rFonts w:cs="Arial"/>
          <w:color w:val="3B3838" w:themeColor="background2" w:themeShade="40"/>
          <w:sz w:val="24"/>
          <w:szCs w:val="24"/>
        </w:rPr>
        <w:lastRenderedPageBreak/>
        <w:t xml:space="preserve">straightforward, adult-onset PTSD are less effective or even potentially re-traumatising for people with developmental trauma and that relational, trauma-informed approaches to therapy are more effective (Ehring et al., 2014; Cloitre et al., 2011; Heller and LaPierre, 2012; D’Andrea et al., 2012; Ford et al., 2012). Lawson, Davis and Brandon (2013, p. 334) highlight the importance of the therapeutic alliance, particularly the ability to repair ruptures which tend to occur more frequently when working with complex trauma due to reduced reflective functioning. The best-selling book, The Body Keeps the Score (van der Kolk, 2014) has helped to highlight the importance of the body in transforming trauma and has ignited the public imagination and played an important role in bringing awareness of trauma into the mainstream. As well as having a strong emphasis on complex/ developmental trauma (van der Kolk, 2014, pp. 123-168), the work references Somatic Experiencing and Sensorimotor Psychotherapy (van der Kolk, 2014, pp. 217-218) as powerful methods which de-centre the trauma narrative and focus on the physical imprints which trauma leaves on the body. An entire chapter is also devoted to the somatic practice, trauma sensitive yoga (van der Kolk, 2014, pp. 263-276). It is important to note, therefore, that whilst developmental trauma is now receiving a relatively high level of both clinical and mainstream recognition, the somatic psychotherapies remain fringe by comparison in terms of the volume of published research available. </w:t>
      </w:r>
    </w:p>
    <w:p w14:paraId="46558D84" w14:textId="77777777" w:rsidR="00AE51CA" w:rsidRPr="00B86132" w:rsidRDefault="00AE51CA" w:rsidP="00AE51CA">
      <w:pPr>
        <w:spacing w:line="360" w:lineRule="auto"/>
        <w:jc w:val="both"/>
        <w:rPr>
          <w:rFonts w:cs="Arial"/>
          <w:color w:val="3B3838" w:themeColor="background2" w:themeShade="40"/>
          <w:sz w:val="24"/>
          <w:szCs w:val="24"/>
        </w:rPr>
      </w:pPr>
    </w:p>
    <w:p w14:paraId="5B22E1E9"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Developmental trauma, although widely acknowledged by academics and clinicians in the trauma field (Spinazzola et al., 2021; van der Kolk, 2009; Kerig et al., 2020; Siegel, 2015), is not currently recognised in the DSM-V. The ICD-11 does now include C-PTSD or complex trauma as a separate diagnosis from PTSD and this diagnosis would currently encompass developmental trauma, along with other types of enduring relational trauma including situations of domestic violence and war (Karatzias et al., 2017; Brewin, 2020; Hull et al., 2016). The key factor which connects all complex traumatic experiences is that the trauma happens in the context of a relationship with another human being, over an extended period of time often during childhood, rather than as the result of a natural disaster or a traumatic accident. The fact that the trauma is perpetrated repeatedly over time by one or more human beings against another is what makes C-PTSD a more complex condition to treat. Complex trauma survivors </w:t>
      </w:r>
      <w:r w:rsidRPr="00B86132">
        <w:rPr>
          <w:rFonts w:cs="Arial"/>
          <w:color w:val="3B3838" w:themeColor="background2" w:themeShade="40"/>
          <w:sz w:val="24"/>
          <w:szCs w:val="24"/>
        </w:rPr>
        <w:lastRenderedPageBreak/>
        <w:t>experience not only wide-ranging, anxiety-related symptoms, but also marked changes in personality, identity and their ability to relate to others (Herman, 1992, pp. 119-122; Hull et al., 2016, pp. 32-35). Kerig et al. (2020, p. 391) outline the three developmental contexts in which dysregulation arises as a result of developmental trauma: in the physiological or affective domain; in behavioural and attentional symptoms; or in the person’s sense of self and ability to relate to others. Furthermore, they emphasise that dysregulation can take the form of either under regulation or over regulation, with developmental trauma survivors often functioning at the extreme end of each of the three scales of dysregulation. Reinders et al. (2014, p. 236) specify two distinct patterns of brain activation which occur with hyper aroused as opposed to hypo aroused traumatic states. The first state, with amygdala dominance, produces emotional under-regulation and the second, with prefrontal and hippocampal dominance, produces over-regulation of emotions. Ford explains that, for people with a history of early trauma who have long-term emotional and cognitive dysregu</w:t>
      </w:r>
      <w:r w:rsidRPr="00B86132">
        <w:rPr>
          <w:rFonts w:cs="Arial"/>
          <w:color w:val="3B3838" w:themeColor="background2" w:themeShade="40"/>
          <w:sz w:val="24"/>
          <w:szCs w:val="24"/>
        </w:rPr>
        <w:softHyphen/>
        <w:t>lation, successful treatment could be viewed as a process of reducing hypervigilance by “enabling the person to gain conscious control over their neurobiological “alarm” system” (Ford, 2005, p. 418). It is vital to understand that, assuming the person is not currently in a situation of ongoing trauma, their present traumatic dysregulation is due to extreme sensitivity to sub traumatic stressors, a particularly active “internal alarm system”, resulting from their early adverse experiences (Ford, 2005, p. 418; Lanius et al., 2020, p. 4).</w:t>
      </w:r>
    </w:p>
    <w:p w14:paraId="64418321" w14:textId="77777777" w:rsidR="00AE51CA" w:rsidRPr="00B86132" w:rsidRDefault="00AE51CA" w:rsidP="00AE51CA">
      <w:pPr>
        <w:spacing w:line="360" w:lineRule="auto"/>
        <w:jc w:val="both"/>
        <w:rPr>
          <w:rFonts w:cs="Arial"/>
          <w:b/>
          <w:bCs/>
          <w:color w:val="3B3838" w:themeColor="background2" w:themeShade="40"/>
          <w:sz w:val="24"/>
          <w:szCs w:val="24"/>
        </w:rPr>
      </w:pPr>
    </w:p>
    <w:p w14:paraId="405080E0" w14:textId="77777777" w:rsidR="00AE51CA" w:rsidRPr="00B86132" w:rsidRDefault="00AE51CA" w:rsidP="00AE51CA">
      <w:pPr>
        <w:autoSpaceDE w:val="0"/>
        <w:autoSpaceDN w:val="0"/>
        <w:adjustRightInd w:val="0"/>
        <w:spacing w:line="360" w:lineRule="auto"/>
        <w:jc w:val="both"/>
        <w:rPr>
          <w:rFonts w:eastAsiaTheme="minorHAnsi" w:cs="Arial"/>
          <w:color w:val="3B3838" w:themeColor="background2" w:themeShade="40"/>
          <w:sz w:val="24"/>
          <w:szCs w:val="24"/>
          <w:lang w:eastAsia="en-US"/>
        </w:rPr>
      </w:pPr>
      <w:r w:rsidRPr="00B86132">
        <w:rPr>
          <w:rFonts w:cs="Arial"/>
          <w:color w:val="3B3838" w:themeColor="background2" w:themeShade="40"/>
          <w:sz w:val="24"/>
          <w:szCs w:val="24"/>
        </w:rPr>
        <w:t xml:space="preserve">The subject of traumatic memory has long been a controversial topic, with ongoing debate taking place between those who believe that PTSD results in notable changes in the way memory is stored and recalled (Brewin, 2016; van der Kolk, 2014; Schimmenti and Caretti, 2016; </w:t>
      </w:r>
      <w:r w:rsidRPr="00B86132">
        <w:rPr>
          <w:rFonts w:cs="Arial"/>
          <w:color w:val="3B3838" w:themeColor="background2" w:themeShade="40"/>
          <w:sz w:val="24"/>
          <w:szCs w:val="24"/>
          <w:shd w:val="clear" w:color="auto" w:fill="FFFFFF"/>
        </w:rPr>
        <w:t>Nijenhuis et al., 2010)</w:t>
      </w:r>
      <w:r w:rsidRPr="00B86132">
        <w:rPr>
          <w:rFonts w:cs="Arial"/>
          <w:color w:val="3B3838" w:themeColor="background2" w:themeShade="40"/>
          <w:sz w:val="24"/>
          <w:szCs w:val="24"/>
        </w:rPr>
        <w:t xml:space="preserve"> and those who disagree with this hypothesis (Rubin et al., 2016; McNally, 2005; Engelhard et al., 2019). These dissenting voices question the validity of some of the central premises upon which theories of traumatic memory are based, including the core claim originating from Janet’s work, that the traumatic memories of PTSD survivors are disorganised and fragmented (Engelhard et al., 2019; McNally, 2005). McNally is a strong critic of many of the widely held assumptions about traumatic memory, contending not only that the notion of memory fragmentation </w:t>
      </w:r>
      <w:r w:rsidRPr="00B86132">
        <w:rPr>
          <w:rFonts w:cs="Arial"/>
          <w:color w:val="3B3838" w:themeColor="background2" w:themeShade="40"/>
          <w:sz w:val="24"/>
          <w:szCs w:val="24"/>
        </w:rPr>
        <w:lastRenderedPageBreak/>
        <w:t xml:space="preserve">is false, but also questioning the validity of PTSD as a diagnostic category due to the issue of “bracket creep” in defining what constitutes PTSD (McNally, 2009). Brewin strongly contests the critique of Rubin et al., claiming that the type and intensity of memories used in their research, specifically general versus detailed narratives and global versus local emphasis, has influenced results and produced misleading findings (Brewin, 2016, pp. 2-3). Whilst the debate between various schools of thought is likely to continue, clinicians in the somatic psychotherapy field tend to agree on certain fundamentals, including the fact that traumatic memory has a different storage pathway to normal memory and, significantly, that traumatic memories are often implicit rather than explicit and therefore not always readily available to verbal recounting (Ford, 2021, p. 5; Badenoch, 2017, pp. 98-99; Heller and LaPierre, 2012, pp. 111-114; Fisher, 2017, p. 36). </w:t>
      </w:r>
    </w:p>
    <w:p w14:paraId="6B6CDCD3" w14:textId="77777777" w:rsidR="00AE51CA" w:rsidRPr="00B86132" w:rsidRDefault="00AE51CA" w:rsidP="00AE51CA">
      <w:pPr>
        <w:autoSpaceDE w:val="0"/>
        <w:autoSpaceDN w:val="0"/>
        <w:adjustRightInd w:val="0"/>
        <w:spacing w:line="360" w:lineRule="auto"/>
        <w:jc w:val="both"/>
        <w:rPr>
          <w:rFonts w:eastAsiaTheme="minorHAnsi" w:cs="Arial"/>
          <w:color w:val="3B3838" w:themeColor="background2" w:themeShade="40"/>
          <w:sz w:val="24"/>
          <w:szCs w:val="24"/>
          <w:lang w:eastAsia="en-US"/>
        </w:rPr>
      </w:pPr>
    </w:p>
    <w:p w14:paraId="4A60877C"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Dissociative symptoms and the intrusion of traumatic memories represent two of the most challenging aspects of C-PTSD for survivors (Levine, 2010, pp. 112-113). Lynn et al. (2019, p. 2) explore two contrasting models of dissociation, the trauma model which focuses on traumatic life events as the cause of dissociative symptoms, and the sociocognitive model which has a broad focus on possible cultural, social and cognitive causes of dissociation. Although the two models are strongly debated by a small subset of researchers (Dalenberg et al., 2020), others argue that they are not as different as some proponents insist, given the unavoidable sociocultural aspects of trauma and its prevalence in marginalised communities. There is strong consensus in the trauma therapy field supporting Janet’s structural dissociation model which underpins the trauma model (Brantbjerg, 2021, pp. 122-123; van der Kolk, 2014, pp. 179-183; Ogden and Fisher, 2015, p. 243; Brantbjerg, 2021, pp. 3-4). Speaking of the categorisation of dissociation within the diagnostic criteria of PTSD as opposed to disorders of self-organisation (DSO) which relate to C-PTSD, Brewin et al. state:</w:t>
      </w:r>
    </w:p>
    <w:p w14:paraId="743A6B32" w14:textId="77777777" w:rsidR="00AE51CA" w:rsidRPr="00B86132" w:rsidRDefault="00AE51CA" w:rsidP="00AE51CA">
      <w:pPr>
        <w:spacing w:line="360" w:lineRule="auto"/>
        <w:jc w:val="both"/>
        <w:rPr>
          <w:rFonts w:cs="Arial"/>
          <w:color w:val="3B3838" w:themeColor="background2" w:themeShade="40"/>
          <w:sz w:val="24"/>
          <w:szCs w:val="24"/>
        </w:rPr>
      </w:pPr>
    </w:p>
    <w:p w14:paraId="002F647D" w14:textId="77777777" w:rsidR="00AE51CA" w:rsidRPr="00B86132" w:rsidRDefault="00AE51CA" w:rsidP="00AE51CA">
      <w:pPr>
        <w:ind w:left="567" w:right="567"/>
        <w:jc w:val="both"/>
        <w:rPr>
          <w:rFonts w:cs="Arial"/>
          <w:color w:val="3B3838" w:themeColor="background2" w:themeShade="40"/>
          <w:sz w:val="24"/>
          <w:szCs w:val="24"/>
        </w:rPr>
      </w:pPr>
      <w:r w:rsidRPr="00B86132">
        <w:rPr>
          <w:rFonts w:cs="Arial"/>
          <w:color w:val="3B3838" w:themeColor="background2" w:themeShade="40"/>
          <w:sz w:val="24"/>
          <w:szCs w:val="24"/>
        </w:rPr>
        <w:t>the role of dissociation needs to be re-considered. Expressed as a type of re-experiencing, dissociation may fall under the PTSD diagnosis. However, when expressed as a type of emotion dysregulation, it might be considered to align with the DSO symptom profile (Brewin et al., 2017, p. 9).</w:t>
      </w:r>
    </w:p>
    <w:p w14:paraId="352EC4AF" w14:textId="77777777" w:rsidR="00AE51CA" w:rsidRPr="00B86132" w:rsidRDefault="00AE51CA" w:rsidP="00AE51CA">
      <w:pPr>
        <w:spacing w:line="360" w:lineRule="auto"/>
        <w:jc w:val="both"/>
        <w:rPr>
          <w:rFonts w:cs="Arial"/>
          <w:color w:val="3B3838" w:themeColor="background2" w:themeShade="40"/>
          <w:sz w:val="24"/>
          <w:szCs w:val="24"/>
        </w:rPr>
      </w:pPr>
    </w:p>
    <w:p w14:paraId="5E3C4D08" w14:textId="77777777" w:rsidR="00AE51CA" w:rsidRPr="00B86132" w:rsidRDefault="00AE51CA" w:rsidP="00AE51CA">
      <w:pPr>
        <w:spacing w:line="360" w:lineRule="auto"/>
        <w:ind w:right="567"/>
        <w:jc w:val="both"/>
        <w:rPr>
          <w:rFonts w:cs="Arial"/>
          <w:color w:val="3B3838" w:themeColor="background2" w:themeShade="40"/>
          <w:sz w:val="24"/>
          <w:szCs w:val="24"/>
        </w:rPr>
      </w:pPr>
      <w:r w:rsidRPr="00B86132">
        <w:rPr>
          <w:rFonts w:cs="Arial"/>
          <w:color w:val="3B3838" w:themeColor="background2" w:themeShade="40"/>
          <w:sz w:val="24"/>
          <w:szCs w:val="24"/>
        </w:rPr>
        <w:lastRenderedPageBreak/>
        <w:t>This is an interesting distinction, given the high prevalence of what are sometimes called “emotional flashbacks” in survivors of complex trauma (Walker, 2013), when a person is flooded with difficult emotions after an event in the present triggers implicit memories of past trauma. Fisher (2017, pp. 242-243) emphasises the importance of the therapist’s role in helping complex trauma clients learn to identify and recognise traumatic triggers and to help them to distinguish between a triggered memory of being unsafe in the past as opposed to actually being in an unsafe situation in the present. Brantbjerg makes an important point about the DSM-V categorisation of PTSD, which was updated in 2013 to include a PTSD sub-type which is characterised by the presence of dissociation in the symptomatology. Brantbjerg argues that, whilst it is important for dissociation to be noted as a common symptom of PTSD, the new DSM categorisation misses the fact that dissociative symptoms in fact occur in all forms of PTSD. She also makes the valid point that dissociative symptoms can occur alongside both hypo and hyper arousal of the ANS (Brantbjerg, 2021, p. 123), so these symptoms are therefore not causatively linked to the level of ANS arousal.</w:t>
      </w:r>
    </w:p>
    <w:p w14:paraId="4A6423DE" w14:textId="77777777" w:rsidR="00AE51CA" w:rsidRPr="00B86132" w:rsidRDefault="00AE51CA" w:rsidP="00AE51CA">
      <w:pPr>
        <w:spacing w:line="360" w:lineRule="auto"/>
        <w:ind w:right="567"/>
        <w:jc w:val="both"/>
        <w:rPr>
          <w:rFonts w:cs="Arial"/>
          <w:color w:val="3B3838" w:themeColor="background2" w:themeShade="40"/>
          <w:sz w:val="24"/>
          <w:szCs w:val="24"/>
        </w:rPr>
      </w:pPr>
    </w:p>
    <w:p w14:paraId="7EC0CE11"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Citing Terr (1994), Levine et al. separate two types of traumatic memories. Type 1 memories of a single shock trauma are often vividly remembered and accessible for verbal exploration. In contrast, type 2 memories are associated with long-term, ongoing trauma in which the inescapable nature of the situation gives rise to dissociation in the traumatised person (Levine et al., 2018, pp. 625-626). Type 2 memories are therefore rarely available for conscious recall and instead manifest as disturbing somatic symptoms. There is now a well-established link between traumatic or adverse childhood experiences (ACES) and health problems later in life (Felitti et al., 2019; Mate, 2005) and recent work on ‘The First Thousand Days’ (Moore et al., 2017) has highlighted and summarised the wide-ranging developmental implications of early neglect and abuse. The field of psychoneuroimmunology explores the connection between a range of poorly understood syndromes, including fibromyalgia and chronic fatigue syndrome, and the existence of early life stress (Danese and Lewis, 2017; Mate, 2005; Straub et al., 2018), so it will be interesting to see how ongoing research sheds additional light on the physical symptomatology of psychological trauma. </w:t>
      </w:r>
      <w:r w:rsidRPr="00B86132">
        <w:rPr>
          <w:rFonts w:cs="Arial"/>
          <w:color w:val="3B3838" w:themeColor="background2" w:themeShade="40"/>
          <w:sz w:val="24"/>
          <w:szCs w:val="24"/>
        </w:rPr>
        <w:lastRenderedPageBreak/>
        <w:t>An interesting current area of research is Naviaux’s work on the Cell Danger Response theory which focuses on stress-related mitochondrial dysfunction as the possible underlying cause of a variety of chronic conditions, including PTSD (Naviaux, 2014, 2019 and 2020).</w:t>
      </w:r>
    </w:p>
    <w:p w14:paraId="45AE5AE3" w14:textId="77777777" w:rsidR="00AE51CA" w:rsidRPr="00B86132" w:rsidRDefault="00AE51CA" w:rsidP="00AE51CA">
      <w:pPr>
        <w:spacing w:line="360" w:lineRule="auto"/>
        <w:jc w:val="both"/>
        <w:rPr>
          <w:rFonts w:cs="Arial"/>
          <w:color w:val="3B3838" w:themeColor="background2" w:themeShade="40"/>
          <w:sz w:val="24"/>
          <w:szCs w:val="24"/>
        </w:rPr>
      </w:pPr>
    </w:p>
    <w:p w14:paraId="4CE181EB" w14:textId="77777777" w:rsidR="00AE51CA" w:rsidRPr="00B86132" w:rsidRDefault="00AE51CA" w:rsidP="00AE51CA">
      <w:pPr>
        <w:spacing w:line="360" w:lineRule="auto"/>
        <w:jc w:val="both"/>
        <w:rPr>
          <w:rFonts w:eastAsiaTheme="minorHAnsi" w:cs="Arial"/>
          <w:color w:val="3B3838" w:themeColor="background2" w:themeShade="40"/>
          <w:sz w:val="24"/>
          <w:szCs w:val="24"/>
          <w:lang w:eastAsia="en-US"/>
        </w:rPr>
      </w:pPr>
      <w:r w:rsidRPr="00B86132">
        <w:rPr>
          <w:rFonts w:cs="Arial"/>
          <w:color w:val="3B3838" w:themeColor="background2" w:themeShade="40"/>
          <w:sz w:val="24"/>
          <w:szCs w:val="24"/>
        </w:rPr>
        <w:t xml:space="preserve">Gestalt psychotherapy is undeniably a forerunner to modern day somatic trauma psychotherapies (Rothschild, 2000, p. 101; Kurtz, 1990, pp. 32 – 33; Taylor, 2014, p. 6), as well as an evolving approach which has adapted to meet the needs of trauma clients. Taylor (2014, pp. 11-15) outlines the key developments which have made the original Gestalt therapy approach more suitable for trauma work, including the development of relational gestalt therapy which places an increasing emphasis on relational dynamics between therapist and client (Yontef, 2002; Day, 2016; </w:t>
      </w:r>
      <w:r w:rsidRPr="00B86132">
        <w:rPr>
          <w:rFonts w:cs="Arial"/>
          <w:color w:val="3B3838" w:themeColor="background2" w:themeShade="40"/>
          <w:sz w:val="24"/>
          <w:szCs w:val="24"/>
          <w:shd w:val="clear" w:color="auto" w:fill="FFFFFF"/>
        </w:rPr>
        <w:t xml:space="preserve">Spagnuolo Lobb, 2012) </w:t>
      </w:r>
      <w:r w:rsidRPr="00B86132">
        <w:rPr>
          <w:rFonts w:cs="Arial"/>
          <w:color w:val="3B3838" w:themeColor="background2" w:themeShade="40"/>
          <w:sz w:val="24"/>
          <w:szCs w:val="24"/>
        </w:rPr>
        <w:t xml:space="preserve">and the integration of additional body-orientated methods like Sensorimotor psychotherapy (Ogden and Minton, 2000) and Body-Mind Centring (Cohen, 2008). The Somatic Trauma Therapy approach of Babette Rothschild (Rothschild, 2000 and 2017) can also be seen as a recent precursor to many of the latest approaches to somatic psychotherapy. Rothschild’s ground-breaking trauma work in the 1990’s is widely cited by trauma clinicians and researchers worldwide as providing a foundation to their work (Classen et al., 2021, p. 2; Brantbjerg, 2018, p. 89; Grabbe and Miller-Karas, 2018, p. 3; Fisher, 2017, p. 40). Critics of the work of Rothschild and other relational trauma therapists, argue that there is no evidence that a phased approach is advantageous or even necessary in treating C-PTSD (De Jongh et al., 2016). Some also argue that the “somatic turn” has gone too far in centring the body, potentially risking losing the important task of expressing and making sense of traumatic experiences through narrative, analysis and the power of words (Rambo, 2019). However, this may represent a misunderstanding of Rothschild’s position, as she clearly states that what </w:t>
      </w:r>
      <w:r w:rsidRPr="00B86132">
        <w:rPr>
          <w:rFonts w:eastAsiaTheme="minorHAnsi" w:cs="Arial"/>
          <w:color w:val="3B3838" w:themeColor="background2" w:themeShade="40"/>
          <w:sz w:val="24"/>
          <w:szCs w:val="24"/>
          <w:lang w:eastAsia="en-US"/>
        </w:rPr>
        <w:t xml:space="preserve">leads to the resolution of traumatic memory is the change in meaning and understanding which the client reaches in somatic trauma therapy (Rothschild, 2000, p. xiii-xiv). Rothschild highlights that her point of view is in subtle opposition to Levine’s belief that SE’s focused and careful work with the body alone is enough to resolve traumatic memory (Rothschild, 2017, p. 27). The importance of telling the story of one’s trauma has been debated widely both by trauma therapists (Herman, 1992, pp. </w:t>
      </w:r>
      <w:r w:rsidRPr="00B86132">
        <w:rPr>
          <w:rFonts w:eastAsiaTheme="minorHAnsi" w:cs="Arial"/>
          <w:color w:val="3B3838" w:themeColor="background2" w:themeShade="40"/>
          <w:sz w:val="24"/>
          <w:szCs w:val="24"/>
          <w:lang w:eastAsia="en-US"/>
        </w:rPr>
        <w:lastRenderedPageBreak/>
        <w:t xml:space="preserve">175-184) and scholars of literature and postcolonial studies (Visser, 2015, pp. 256-257; Mengel, 2012, pp. 144-146). Many trauma experts now agree that the process of creating a new, coherent and empowering narrative, which focuses on survival and even post-traumatic growth can represent an integral part of the healing journey for trauma survivors. The important caveat, however, is that the remembering and recounting must take place in a safe space, where the client’s arousal can be monitored and titrated, to ensure they do not become overwhelmed by the traumatic material (van der Kolk, 2014; pp. 219-211). </w:t>
      </w:r>
    </w:p>
    <w:p w14:paraId="0241EAD8" w14:textId="77777777" w:rsidR="00AE51CA" w:rsidRPr="00B86132" w:rsidRDefault="00AE51CA" w:rsidP="00AE51CA">
      <w:pPr>
        <w:spacing w:line="360" w:lineRule="auto"/>
        <w:jc w:val="both"/>
        <w:rPr>
          <w:rFonts w:cs="Arial"/>
          <w:color w:val="3B3838" w:themeColor="background2" w:themeShade="40"/>
          <w:sz w:val="24"/>
          <w:szCs w:val="24"/>
        </w:rPr>
      </w:pPr>
    </w:p>
    <w:p w14:paraId="35DB051C" w14:textId="77777777" w:rsidR="00AE51CA" w:rsidRPr="00B86132" w:rsidRDefault="00AE51CA" w:rsidP="00AE51CA">
      <w:pPr>
        <w:spacing w:line="360" w:lineRule="auto"/>
        <w:jc w:val="both"/>
        <w:rPr>
          <w:rFonts w:cs="Arial"/>
          <w:color w:val="3B3838" w:themeColor="background2" w:themeShade="40"/>
          <w:sz w:val="24"/>
          <w:szCs w:val="24"/>
        </w:rPr>
      </w:pPr>
    </w:p>
    <w:p w14:paraId="2E5FD632" w14:textId="77777777" w:rsidR="00AE51CA" w:rsidRPr="00B86132" w:rsidRDefault="00AE51CA" w:rsidP="00AE51CA">
      <w:pPr>
        <w:autoSpaceDE w:val="0"/>
        <w:autoSpaceDN w:val="0"/>
        <w:adjustRightInd w:val="0"/>
        <w:spacing w:line="360" w:lineRule="auto"/>
        <w:jc w:val="both"/>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 xml:space="preserve">In the Sensorimotor Psychotherapy approach, the therapist closely tracks the client’s somatic narrative, paying attention to the observable features which accompany the verbal narrative (Lohrasbe and Ogden, 2017). This can include gestures, body language, eye contact, tone of voice and muscle tone and an SP therapist is trained to skilfully help the client to track the physical sensations that accompany the somatic features of their narrative. The aim of the approach is to stimulate neuroplastic changes in the client’s brain, by providing an opportunity for them to experience something different, both relationally and somatically, during a session, which supersedes their past experience of misattunement by caregivers. There is a strong emphasis on helping clients to integrate what they learn during sessions, to avoid the pitfall of long-term dependency on the therapist: </w:t>
      </w:r>
    </w:p>
    <w:p w14:paraId="2DA91089" w14:textId="77777777" w:rsidR="00AE51CA" w:rsidRPr="00B86132" w:rsidRDefault="00AE51CA" w:rsidP="00AE51CA">
      <w:pPr>
        <w:autoSpaceDE w:val="0"/>
        <w:autoSpaceDN w:val="0"/>
        <w:adjustRightInd w:val="0"/>
        <w:jc w:val="both"/>
        <w:rPr>
          <w:rFonts w:cs="Arial"/>
          <w:color w:val="3B3838" w:themeColor="background2" w:themeShade="40"/>
          <w:sz w:val="24"/>
          <w:szCs w:val="24"/>
          <w:shd w:val="clear" w:color="auto" w:fill="FFFFFF"/>
        </w:rPr>
      </w:pPr>
    </w:p>
    <w:p w14:paraId="49EC1F7A" w14:textId="77777777" w:rsidR="00AE51CA" w:rsidRPr="00B86132" w:rsidRDefault="00AE51CA" w:rsidP="00AE51CA">
      <w:pPr>
        <w:autoSpaceDE w:val="0"/>
        <w:autoSpaceDN w:val="0"/>
        <w:adjustRightInd w:val="0"/>
        <w:spacing w:before="20" w:after="20"/>
        <w:ind w:left="567" w:right="567"/>
        <w:jc w:val="both"/>
        <w:rPr>
          <w:rFonts w:cs="Arial"/>
          <w:color w:val="3B3838" w:themeColor="background2" w:themeShade="40"/>
          <w:sz w:val="24"/>
          <w:szCs w:val="24"/>
        </w:rPr>
      </w:pPr>
      <w:r w:rsidRPr="00B86132">
        <w:rPr>
          <w:rFonts w:eastAsiaTheme="minorHAnsi" w:cs="Arial"/>
          <w:color w:val="3B3838" w:themeColor="background2" w:themeShade="40"/>
          <w:sz w:val="24"/>
          <w:szCs w:val="24"/>
          <w:lang w:eastAsia="en-US"/>
        </w:rPr>
        <w:t>early attention to the states of dysregulation is critical and may serve to ‘teach the client to fish’ and increase chances that clients can use what they are taught should future distress arise (</w:t>
      </w:r>
      <w:r w:rsidRPr="00B86132">
        <w:rPr>
          <w:rFonts w:cs="Arial"/>
          <w:color w:val="3B3838" w:themeColor="background2" w:themeShade="40"/>
          <w:sz w:val="24"/>
          <w:szCs w:val="24"/>
        </w:rPr>
        <w:t>Lohrasbe and Ogden, 2017</w:t>
      </w:r>
      <w:r w:rsidRPr="00B86132">
        <w:rPr>
          <w:rFonts w:eastAsiaTheme="minorHAnsi" w:cs="Arial"/>
          <w:color w:val="3B3838" w:themeColor="background2" w:themeShade="40"/>
          <w:sz w:val="24"/>
          <w:szCs w:val="24"/>
          <w:lang w:eastAsia="en-US"/>
        </w:rPr>
        <w:t>, p. 576).</w:t>
      </w:r>
    </w:p>
    <w:p w14:paraId="02805EA5" w14:textId="77777777" w:rsidR="00AE51CA" w:rsidRPr="00B86132" w:rsidRDefault="00AE51CA" w:rsidP="00AE51CA">
      <w:pPr>
        <w:spacing w:line="360" w:lineRule="auto"/>
        <w:jc w:val="both"/>
        <w:rPr>
          <w:rFonts w:cs="Arial"/>
          <w:color w:val="3B3838" w:themeColor="background2" w:themeShade="40"/>
          <w:sz w:val="24"/>
          <w:szCs w:val="24"/>
        </w:rPr>
      </w:pPr>
    </w:p>
    <w:p w14:paraId="11BB92D2"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Somatic Experiencing (SE) is perhaps the best known of the somatic psychotherapies, developed by Levine in the 1970’s and now taught in over forty countries worldwide (Levine, 1997 and 2010). Levine et al. (2018, p.620) give a useful overview of SE’s phenomenological approach and describe a number of key tasks which the SE therapist will undertake in work with traumatised clients. These include both encouraging interoceptive awareness within the client and tracking the client’s autonomic nervous system arousal, noticing when emotional </w:t>
      </w:r>
      <w:r w:rsidRPr="00B86132">
        <w:rPr>
          <w:rFonts w:cs="Arial"/>
          <w:color w:val="3B3838" w:themeColor="background2" w:themeShade="40"/>
          <w:sz w:val="24"/>
          <w:szCs w:val="24"/>
        </w:rPr>
        <w:lastRenderedPageBreak/>
        <w:t xml:space="preserve">content triggers the client to move into either sympathetic hyperarousal or dorsal vagal collapse/ hypo arousal. The notion of biological completion forms an integral part of the SE approach (Payne et al, 2015, p.11) and the concepts of titration and pendulation are central to making the approach safe and minimising the risk of retraumatising clients. </w:t>
      </w:r>
    </w:p>
    <w:p w14:paraId="63FC4294" w14:textId="77777777" w:rsidR="00AE51CA" w:rsidRPr="00B86132" w:rsidRDefault="00AE51CA" w:rsidP="00AE51CA">
      <w:pPr>
        <w:spacing w:line="360" w:lineRule="auto"/>
        <w:jc w:val="both"/>
        <w:rPr>
          <w:rFonts w:cs="Arial"/>
          <w:color w:val="3B3838" w:themeColor="background2" w:themeShade="40"/>
          <w:sz w:val="24"/>
          <w:szCs w:val="24"/>
        </w:rPr>
      </w:pPr>
    </w:p>
    <w:p w14:paraId="5F9312C3"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SE has inspired a number of somatic therapeutic models specifically designed to treat developmental trauma, including the NeuroAffective Relational Model (NARM) (Heller and LaPierre, 2012) and the Trauma Resiliency Model (TRM) (Miller-Karas, 2015). The Trauma Resiliency Model (TRM) is a “bottom-up”, somatic intervention which uses somatic awareness to help clients regulate and integrate their emotional material (Grabbe and Miller-Karas, 2018). Heller and LaPierre’s NeuroAffective Relational Model (NARM) is a somatic and relational psychotherapy informed by a combination of theoretical approaches including psychodynamic and gestalt psychotherapies, attachment theory, cognitive therapy and somatic experiencing (Heller and LaPierre, 2012, pp. 19-28). Trained as SE practitioners, Heller and LaPierre began to realise that the traditional SE approach to treating shock trauma did not sufficiently incorporate the relational components necessary to successfully treat developmental trauma. As a result, they developed NARM to better serve this client group (Heller and LaPierre, 2012, p. 24). NARM works around the premise that there are five common adaptive survival styles which occur in developmental trauma, which result when an infant or child’s five biologically based core needs are not adequately met: connection, attunement, trust, autonomy and love-sexuality. Identifying and understanding a client’s primary survival style can usefully influence the way a therapist works with an individual client (Heller and LaPierre, 2012, pp. 31-36). NARM highlights that successful treatment of developmental trauma relies upon recognising that intrapsychic, shame-based identity distortions are central to this presentation and must be given equal attention alongside working to address autonomic dysregulation (Heller and LaPierre, 2012, p.275). </w:t>
      </w:r>
    </w:p>
    <w:p w14:paraId="2843AB5E" w14:textId="77777777" w:rsidR="00AE51CA" w:rsidRPr="00B86132" w:rsidRDefault="00AE51CA" w:rsidP="00AE51CA">
      <w:pPr>
        <w:spacing w:line="360" w:lineRule="auto"/>
        <w:jc w:val="both"/>
        <w:rPr>
          <w:rFonts w:cs="Arial"/>
          <w:color w:val="3B3838" w:themeColor="background2" w:themeShade="40"/>
          <w:sz w:val="24"/>
          <w:szCs w:val="24"/>
        </w:rPr>
      </w:pPr>
    </w:p>
    <w:p w14:paraId="4711F789"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The key facet of identity is also addressed as a central concern in Relational Trauma Therapy (RTT): “A </w:t>
      </w:r>
      <w:r w:rsidRPr="00B86132">
        <w:rPr>
          <w:rStyle w:val="A3"/>
          <w:rFonts w:cs="Arial"/>
          <w:color w:val="3B3838" w:themeColor="background2" w:themeShade="40"/>
          <w:sz w:val="24"/>
          <w:szCs w:val="24"/>
        </w:rPr>
        <w:t xml:space="preserve">hyporesponsive state needs a different language, a different focal point with methods that will support building presence, </w:t>
      </w:r>
      <w:r w:rsidRPr="00B86132">
        <w:rPr>
          <w:rStyle w:val="A3"/>
          <w:rFonts w:cs="Arial"/>
          <w:color w:val="3B3838" w:themeColor="background2" w:themeShade="40"/>
          <w:sz w:val="24"/>
          <w:szCs w:val="24"/>
        </w:rPr>
        <w:lastRenderedPageBreak/>
        <w:t xml:space="preserve">containment, focus, and identity, and developing coping skills” (Brantbjerg, 2009, pp. 97-98). </w:t>
      </w:r>
      <w:r w:rsidRPr="00B86132">
        <w:rPr>
          <w:rFonts w:cs="Arial"/>
          <w:color w:val="3B3838" w:themeColor="background2" w:themeShade="40"/>
          <w:sz w:val="24"/>
          <w:szCs w:val="24"/>
        </w:rPr>
        <w:t xml:space="preserve">Developed by Merete Holm Brantbjerg, together with collaborator and fellow body psychotherapist, Kolbjorn Vardal, RTT is an approach which emphasises the importance of working with the state of collapse which commonly affects survivors of complex trauma. Originally trained in the Bodynamic school of body psychotherapy, Brantbjerg and Vardal have focused on making trauma therapy more effective for clients who primarily experience symptoms associated with hypo arousal as opposed to hyperarousal. Despite the fact that her work currently remains on the fringes of body psychotherapy, which is itself on the fringes of psychotherapy as a whole, Brantbjerg’s work as a body psychotherapist and as author of four peer-reviewed journal articles on hyporesponsive states has been referenced for its insight and importance by leading trauma therapist Babette Rothschild (2017, p. 45). </w:t>
      </w:r>
    </w:p>
    <w:p w14:paraId="17521A10" w14:textId="77777777" w:rsidR="00AE51CA" w:rsidRPr="00B86132" w:rsidRDefault="00AE51CA" w:rsidP="00AE51CA">
      <w:pPr>
        <w:spacing w:line="360" w:lineRule="auto"/>
        <w:jc w:val="both"/>
        <w:rPr>
          <w:rFonts w:cs="Arial"/>
          <w:color w:val="3B3838" w:themeColor="background2" w:themeShade="40"/>
          <w:sz w:val="24"/>
          <w:szCs w:val="24"/>
        </w:rPr>
      </w:pPr>
    </w:p>
    <w:p w14:paraId="43BEA2BE"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Brainspotting (BSP) is a neurobiologically-informed, relational and somatic therapy, which works on the premise that ‘where you look affects how you feel’. Developed by Grand in 2003 following his experience of working as an EMDR trauma therapist with survivors of 9/11 (Grand, 2013, pp. 1-3), the approach prizes flexibility rather than strict protocols and helps clients to access and process traumatic material using fixed eye gaze positions. The eye positions are identified through three different methods, outer window, inner window and gaze spotting, in a constantly evolving collaboration between client and therapist (Grand, 2013; Corrigan and Grand, 2013; Corrigan, Grand and Raju, 2015). In outside window, the client visually follows a pointer while the therapist observes the client’s eyes and brain spots are identified when the client’s face or bodily response changes in some way, including blinking quickly, making a sharp movement, a change in breathing pattern or adopting a fixed gaze. In inside window, the client guides the process more explicitly by giving verbal feedback about their somatic and emotional response to particular gaze spots identified by the pointer. In gaze spotting, the client processes while using a gaze spot they have naturally been drawn to while talking to the therapist. Corrigan and Grand (2013, p. 670) claim that what differentiates BSP from other forms of talk therapy is its ability to quickly and reliably access a client’s traumatic memory stored in the brainstem through the emphasis on eye gaze. Through accessing the visual </w:t>
      </w:r>
      <w:r w:rsidRPr="00B86132">
        <w:rPr>
          <w:rFonts w:cs="Arial"/>
          <w:color w:val="3B3838" w:themeColor="background2" w:themeShade="40"/>
          <w:sz w:val="24"/>
          <w:szCs w:val="24"/>
        </w:rPr>
        <w:lastRenderedPageBreak/>
        <w:t>layer of the superior colliculi, the fixed eye gaze in BSP is understood to effectively access the necessary memory file and then hold it open to allow cognitive and emotional processing to occur (Corrigan, Grand and Raju, 2015, p. 385).</w:t>
      </w:r>
    </w:p>
    <w:p w14:paraId="03761F14" w14:textId="77777777" w:rsidR="00AE51CA" w:rsidRPr="00B86132" w:rsidRDefault="00AE51CA" w:rsidP="00AE51CA">
      <w:pPr>
        <w:spacing w:line="360" w:lineRule="auto"/>
        <w:jc w:val="both"/>
        <w:rPr>
          <w:rFonts w:cs="Arial"/>
          <w:color w:val="3B3838" w:themeColor="background2" w:themeShade="40"/>
          <w:sz w:val="24"/>
          <w:szCs w:val="24"/>
        </w:rPr>
      </w:pPr>
    </w:p>
    <w:p w14:paraId="659303C0"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As a relatively young technique, there are currently only 3 peer reviewed academic papers available on BSP. A longitudinal study completed between 2009 and 2015 and published in 2017 compared the efficacy of BSP with EMDR in treating adult clients with trauma symptoms (Hildebrand, Grand and Stemmler, 2017). The trauma therapists who participated were all qualified EMDR therapists who had also taken Phase 1 BSP training and they agreed to use a pre-determined protocol for the purposes of the research. All study participants were given a choice between receiving traditional EMDR therapy or BSP and those who chose BSP were given the option of receiving EMDR as a follow up treatment if BSP was felt to be ineffective. Interestingly, none of the BSP participants took up this offer. Aside from the fact that the study is not randomised and has a relatively small sample size, another possible weakness is in the inclusion criteria. Participants had either experienced a traumatic life event or were diagnosed with PTSD or Acute Stress Disorder using a series of therapist-led assessment procedures. It is unclear whether those completing the psychiatric assessments were qualified to make a formal psychiatric diagnosis, meaning that the baseline symptomatology may have lacked the level of granularity to be truly useful. </w:t>
      </w:r>
    </w:p>
    <w:p w14:paraId="5403D383" w14:textId="77777777" w:rsidR="00AE51CA" w:rsidRPr="00B86132" w:rsidRDefault="00AE51CA" w:rsidP="00AE51CA">
      <w:pPr>
        <w:spacing w:line="360" w:lineRule="auto"/>
        <w:jc w:val="both"/>
        <w:rPr>
          <w:rFonts w:cs="Arial"/>
          <w:b/>
          <w:bCs/>
          <w:color w:val="3B3838" w:themeColor="background2" w:themeShade="40"/>
          <w:sz w:val="24"/>
          <w:szCs w:val="24"/>
        </w:rPr>
      </w:pPr>
    </w:p>
    <w:p w14:paraId="31D61E9C"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Having briefly defined the five somatic psychotherapeutic models under discussion, it is useful now to focus on the commonalities between the five approaches. The use of psychoeducation as a central element of therapy is fairly ubiquitous within modern day trauma therapies and certainly within somatic psychotherapies (Taylor, 2014, p. 162; Cohen et al., 2012, p. 531). It is understood to be a key part of normalising a client’s symptoms and experiences, helping them to better understand how the brain works and why they might be experiencing the disturbing symptoms of dysregulation (Grand, 2013, p. 67). Fisher (2019, pp. 158 – 159) differentiates between the secondary symptoms of trauma disorders, including self-harm, addictions and suicidality, which can often be successfully controlled by talk therapies, and the underlying autonomic </w:t>
      </w:r>
      <w:r w:rsidRPr="00B86132">
        <w:rPr>
          <w:rFonts w:cs="Arial"/>
          <w:color w:val="3B3838" w:themeColor="background2" w:themeShade="40"/>
          <w:sz w:val="24"/>
          <w:szCs w:val="24"/>
        </w:rPr>
        <w:lastRenderedPageBreak/>
        <w:t xml:space="preserve">dysregulation causing the symptoms, which talk based therapy alone is generally less successful in treating. Fisher elaborates that Sensorimotor psychotherapy achieves this through working with the “felt-sense” (Gendlin, 2003) to access sub-cortical brain regions, which need to be regulated before higher brain structures can be worked with. Being a non-touch somatic psychotherapy, SP can easily be integrated into traditional talk therapy to produce improved client outcomes. Similarly, in Somatic Experiencing and NARM, the therapist constantly tracks the client’s state of nervous system arousal, by observing somatic markers such as gesture, heart rate and breathing which indicate the client’s pendulation between high and low arousal (Levine et al., 2018, p. 621; Heller and LaPierre, 2012, pp. 194-195). </w:t>
      </w:r>
    </w:p>
    <w:p w14:paraId="7E610E3A" w14:textId="77777777" w:rsidR="00AE51CA" w:rsidRPr="00B86132" w:rsidRDefault="00AE51CA" w:rsidP="00AE51CA">
      <w:pPr>
        <w:spacing w:line="360" w:lineRule="auto"/>
        <w:jc w:val="both"/>
        <w:rPr>
          <w:rFonts w:cs="Arial"/>
          <w:color w:val="3B3838" w:themeColor="background2" w:themeShade="40"/>
          <w:sz w:val="24"/>
          <w:szCs w:val="24"/>
        </w:rPr>
      </w:pPr>
    </w:p>
    <w:p w14:paraId="6C6BB2D1"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Brantbjerg makes a clear distinction between the state of global nervous system hypo arousal or autonomic collapse and the more localised state of hypo-response which can be sensed and observed in a client’s muscles and connective tissue and can often be a pre-cursor to full hypo arousal. Brantbjerg’s hypothesis (Brantbjerg, 2020) is that it is safer and more productive to work with hyporesponsive body parts in therapy than it is to attempt to work with full nervous system hypo arousal or collapsed immobility (Koslowska et al., 2015), at which point a client is already completely overwhelmed and unable to connect with the therapist in any meaningful way. In her recent paper, </w:t>
      </w:r>
      <w:r w:rsidRPr="00B86132">
        <w:rPr>
          <w:rFonts w:cs="Arial"/>
          <w:i/>
          <w:iCs/>
          <w:color w:val="3B3838" w:themeColor="background2" w:themeShade="40"/>
          <w:sz w:val="24"/>
          <w:szCs w:val="24"/>
        </w:rPr>
        <w:t>Sitting on the Edge of an Abyss Together</w:t>
      </w:r>
      <w:r w:rsidRPr="00B86132">
        <w:rPr>
          <w:rFonts w:cs="Arial"/>
          <w:color w:val="3B3838" w:themeColor="background2" w:themeShade="40"/>
          <w:sz w:val="24"/>
          <w:szCs w:val="24"/>
        </w:rPr>
        <w:t xml:space="preserve">, Brantbjerg distinguishes between two distinct sub-categories of nervous system hypo arousal, originally posited by Rothschild (2017, pp. 37-49). These are lethargic collapse, where high activation of the parasympathetic nervous system causes the client to withdraw from contact and hypo-freeze or dorsal vagal collapse, where it is no longer possible for the client to make contact and medical intervention may be necessary. For lethargic collapse, ‘slow, careful, low-dosed interventions’ are recommended (Brantbjerg, 2021, p. 122). The dosing principle is one of the cornerstones of Brantbjerg’s approach (Brantbjerg, 2018, p. 91) and is what perhaps differentiates RTT from other somatic psychotherapeutic approaches, with its committed focus on mindfulness of body sensation and the availability of a variety of body-part specific exercises that can be used to activate muscles and connective tissue in the body’s hypo responsive areas. Whereas in SE and SP, physical gestures are often noticed and worked </w:t>
      </w:r>
      <w:r w:rsidRPr="00B86132">
        <w:rPr>
          <w:rFonts w:cs="Arial"/>
          <w:color w:val="3B3838" w:themeColor="background2" w:themeShade="40"/>
          <w:sz w:val="24"/>
          <w:szCs w:val="24"/>
        </w:rPr>
        <w:lastRenderedPageBreak/>
        <w:t xml:space="preserve">with to help a client gain insight into the meaning behind the gesture or the memory associated with it, in RTT the physical gestures are often intended as resources in and of themselves. By bringing mindful awareness to the physiological and psychological impact of the subtle activation of different muscle groups, clients are guided to explore new ways of grounding or energising themselves. It is a subtle difference but illustrates the nuance in working with gesture as an action which holds meaning and memory in contrast to working with gesture stripped of any deeper meaning but explored simply for the present moment impact on the client’s sense of being. Both approaches clearly have value. </w:t>
      </w:r>
    </w:p>
    <w:p w14:paraId="7AB7DD8E" w14:textId="77777777" w:rsidR="00AE51CA" w:rsidRPr="00B86132" w:rsidRDefault="00AE51CA" w:rsidP="00AE51CA">
      <w:pPr>
        <w:spacing w:line="360" w:lineRule="auto"/>
        <w:jc w:val="both"/>
        <w:rPr>
          <w:rFonts w:cs="Arial"/>
          <w:color w:val="3B3838" w:themeColor="background2" w:themeShade="40"/>
          <w:sz w:val="24"/>
          <w:szCs w:val="24"/>
        </w:rPr>
      </w:pPr>
    </w:p>
    <w:p w14:paraId="7ABB847F"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SE and NARM both use the term “range of resiliency” in place of “window of tolerance” (Heller and LaPierre, 2012, p. 121) and in NARM this term also incorporates an individual’s ability to connect with their life force, as well as the more familiar emphasis on their capacity for self-regulation. Taylor (2014, pp. 71-76) emphasises the importance of strengthening the client’s window of tolerance through trauma therapy and discusses Gestalt therapy’s useful focus on working in the “here and now” in contrast to the “there and then” which runs the risk of the clients’ nervous systems becoming hypo or hyper aroused through revisiting their traumatic material. The ability to bring a dysregulated client back within their window of tolerance is one of the key skills which all trauma therapists must master, otherwise running the risk of retraumatising clients and leaving them in a dysregulated state, sometimes known as decompensation, which can make day to day life very challenging (Rothschild, 2017, p. 43; Levine, 2010, pp. 82-83; Ogden and Fisher, 2015, pp. 48-49; Herman, 2015, p. 176). Malchiodi (2021) has recently offered a critique of the traditional window of tolerance, based on its one-sided emphasis on widening the ability to tolerate arousal. Malchiodi argues that her proposed new terminology, ‘the circle of capacity’, acknowledges the equal importance of helping trauma clients to increase their capacity for positive sensations and experiences, taking the emphasis away from endurance and into the realm of enjoyment. </w:t>
      </w:r>
    </w:p>
    <w:p w14:paraId="06D6FC58" w14:textId="77777777" w:rsidR="00AE51CA" w:rsidRPr="00B86132" w:rsidRDefault="00AE51CA" w:rsidP="00AE51CA">
      <w:pPr>
        <w:spacing w:line="360" w:lineRule="auto"/>
        <w:jc w:val="both"/>
        <w:rPr>
          <w:rFonts w:cs="Arial"/>
          <w:color w:val="3B3838" w:themeColor="background2" w:themeShade="40"/>
          <w:sz w:val="24"/>
          <w:szCs w:val="24"/>
        </w:rPr>
      </w:pPr>
    </w:p>
    <w:p w14:paraId="009B675B" w14:textId="77777777" w:rsidR="00AE51CA" w:rsidRPr="00B86132" w:rsidRDefault="00AE51CA" w:rsidP="00AE51CA">
      <w:pPr>
        <w:spacing w:line="360" w:lineRule="auto"/>
        <w:jc w:val="both"/>
        <w:rPr>
          <w:rFonts w:cs="Arial"/>
          <w:color w:val="3B3838" w:themeColor="background2" w:themeShade="40"/>
          <w:sz w:val="24"/>
          <w:szCs w:val="24"/>
        </w:rPr>
      </w:pPr>
    </w:p>
    <w:p w14:paraId="64D8C80D"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lastRenderedPageBreak/>
        <w:t xml:space="preserve">It is important to acknowledge that a significant percentage of those who train to become trauma therapists have their own significant trauma histories. The phenomenon of “the wounded healer” is widely acknowledged, particularly in the trauma therapy world. Therefore, in order to avoid being triggered by clients’ traumatic material, it is vital that trauma therapists have not only adequately processed their own trauma, but also that they are conscious of the possibility of vicarious trauma which can occur as a result of being immersed in the trauma histories of the people they work with. Taylor discusses the necessity of therapist self-care and self-compassion, in order to sustain ongoing presence with clients who present with strong dissociative symptoms and to ensure the therapist remains within their own window of tolerance. Taylor poses an important question regarding the training of therapists and an acknowledgement that many trainees will have their own trauma histories: </w:t>
      </w:r>
    </w:p>
    <w:p w14:paraId="6B7F8B30" w14:textId="77777777" w:rsidR="00AE51CA" w:rsidRPr="00B86132" w:rsidRDefault="00AE51CA" w:rsidP="00AE51CA">
      <w:pPr>
        <w:autoSpaceDE w:val="0"/>
        <w:autoSpaceDN w:val="0"/>
        <w:adjustRightInd w:val="0"/>
        <w:ind w:left="567" w:right="567"/>
        <w:jc w:val="both"/>
        <w:rPr>
          <w:rFonts w:eastAsiaTheme="minorHAnsi" w:cs="Arial"/>
          <w:color w:val="3B3838" w:themeColor="background2" w:themeShade="40"/>
          <w:sz w:val="24"/>
          <w:szCs w:val="24"/>
          <w:lang w:eastAsia="en-US"/>
        </w:rPr>
      </w:pPr>
    </w:p>
    <w:p w14:paraId="170BAE65" w14:textId="77777777" w:rsidR="00AE51CA" w:rsidRPr="00B86132" w:rsidRDefault="00AE51CA" w:rsidP="00AE51CA">
      <w:pPr>
        <w:autoSpaceDE w:val="0"/>
        <w:autoSpaceDN w:val="0"/>
        <w:adjustRightInd w:val="0"/>
        <w:ind w:left="567" w:right="567"/>
        <w:jc w:val="both"/>
        <w:rPr>
          <w:rFonts w:eastAsiaTheme="minorHAnsi" w:cs="Arial"/>
          <w:color w:val="3B3838" w:themeColor="background2" w:themeShade="40"/>
          <w:sz w:val="24"/>
          <w:szCs w:val="24"/>
          <w:lang w:eastAsia="en-US"/>
        </w:rPr>
      </w:pPr>
      <w:r w:rsidRPr="00B86132">
        <w:rPr>
          <w:rFonts w:eastAsiaTheme="minorHAnsi" w:cs="Arial"/>
          <w:color w:val="3B3838" w:themeColor="background2" w:themeShade="40"/>
          <w:sz w:val="24"/>
          <w:szCs w:val="24"/>
          <w:lang w:eastAsia="en-US"/>
        </w:rPr>
        <w:t>There is rightly a focus on clinical resilience, but not on what I am calling “clinical vulnerability,” which needs to be paired with it. Does clinical resilience exclude our histories of abuse and neglect and abandonment, or include and embrace them? Can clinical vulnerability be resourced and present?</w:t>
      </w:r>
      <w:r w:rsidRPr="00B86132">
        <w:rPr>
          <w:rFonts w:cs="Arial"/>
          <w:color w:val="3B3838" w:themeColor="background2" w:themeShade="40"/>
          <w:sz w:val="24"/>
          <w:szCs w:val="24"/>
        </w:rPr>
        <w:t xml:space="preserve"> (Taylor, 2019, p. 271).</w:t>
      </w:r>
    </w:p>
    <w:p w14:paraId="362E1935" w14:textId="77777777" w:rsidR="00AE51CA" w:rsidRPr="00B86132" w:rsidRDefault="00AE51CA" w:rsidP="00AE51CA">
      <w:pPr>
        <w:autoSpaceDE w:val="0"/>
        <w:autoSpaceDN w:val="0"/>
        <w:adjustRightInd w:val="0"/>
        <w:spacing w:line="360" w:lineRule="auto"/>
        <w:ind w:left="567" w:right="567"/>
        <w:jc w:val="both"/>
        <w:rPr>
          <w:rFonts w:eastAsiaTheme="minorHAnsi" w:cs="Arial"/>
          <w:color w:val="3B3838" w:themeColor="background2" w:themeShade="40"/>
          <w:sz w:val="24"/>
          <w:szCs w:val="24"/>
          <w:lang w:eastAsia="en-US"/>
        </w:rPr>
      </w:pPr>
    </w:p>
    <w:p w14:paraId="2189C8CB"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Given how much is now understood about the role of the autonomic nervous system in therapy, chiefly through the polyvagal theory and its emphasis on the role of the ventral vagus in activating the social engagement system (Porges, 2011; Dana, 2018), it is clear that a dysregulated therapist will be physically incapable of helping a traumatised client to regulate their own nervous system. From a polyvagal perspective, a therapist might say and do all the right things, but if the client’s neuroception identifies cues of danger from the therapist’s non-verbal communication, it will be impossible for affective co-regulation to take place (Porges, 2011, pp. 11-13). This raises again the vital importance of therapist self-care and the necessity that therapists remain conscious of their own stress levels, in both personal and professional life, and find appropriate ways of mitigating stress levels to regulate their own nervous system. It could be argued that if a therapist is not aware of what is going on in their own body, then this will limit their ability to help a traumatised client to process the body-based traumatic memories which must be processed in order to resolve the trauma. This echoes </w:t>
      </w:r>
      <w:r w:rsidRPr="00B86132">
        <w:rPr>
          <w:rFonts w:cs="Arial"/>
          <w:color w:val="3B3838" w:themeColor="background2" w:themeShade="40"/>
          <w:sz w:val="24"/>
          <w:szCs w:val="24"/>
        </w:rPr>
        <w:lastRenderedPageBreak/>
        <w:t xml:space="preserve">Schore’s insistence on the importance of right brain to right brain psychotherapy (Schore, 2021). </w:t>
      </w:r>
    </w:p>
    <w:p w14:paraId="3DE8D29D" w14:textId="77777777" w:rsidR="00AE51CA" w:rsidRPr="00B86132" w:rsidRDefault="00AE51CA" w:rsidP="00AE51CA">
      <w:pPr>
        <w:spacing w:line="360" w:lineRule="auto"/>
        <w:jc w:val="both"/>
        <w:rPr>
          <w:rFonts w:cs="Arial"/>
          <w:color w:val="3B3838" w:themeColor="background2" w:themeShade="40"/>
          <w:sz w:val="24"/>
          <w:szCs w:val="24"/>
        </w:rPr>
      </w:pPr>
    </w:p>
    <w:p w14:paraId="27E493B9"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The Gestalt therapy notion of the “safe emergency” (Perls, Hefferline and Goodman, 1951; Kenofer, 2015, p. 121), where dysregulated memories or feelings arise and are explored and processed within the safety of the therapeutic relationship, can be seen as a precursor to the more recent introduction of the window of tolerance model (Siegel, 2020). Ogden and Fisher (2015, p. 45-49) talk in depth about the affective co-regulation which must take place between therapist and client, in order to create a safe enough space for the client to successfully unearth and explore their traumatic material. Drawing upon the polyvagal theory (Porges, 2011) and Porges’ concept of the autonomic nervous system’s neuroception of safety, Ogden and Fisher reiterate that most of the cues of affective arousal, from both therapist and client, are beyond words. A person’s state of nervous system arousal is communicated through tone of voice, body language, posture and movements, eye contact, changes in pupil size and eye focus and changes in breathing pattern and both client and therapist will be communicating this constantly, regardless of whether any words are being exchanged (Ogden and Fisher, 2015, p. 47). </w:t>
      </w:r>
    </w:p>
    <w:p w14:paraId="0703ED03" w14:textId="77777777" w:rsidR="00AE51CA" w:rsidRPr="00B86132" w:rsidRDefault="00AE51CA" w:rsidP="00AE51CA">
      <w:pPr>
        <w:spacing w:line="360" w:lineRule="auto"/>
        <w:jc w:val="both"/>
        <w:rPr>
          <w:rFonts w:cs="Arial"/>
          <w:color w:val="3B3838" w:themeColor="background2" w:themeShade="40"/>
          <w:sz w:val="24"/>
          <w:szCs w:val="24"/>
        </w:rPr>
      </w:pPr>
    </w:p>
    <w:p w14:paraId="3CA84689"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Levine et al. (2018, p. 625) hypothesise that by bringing mindful awareness to internal experience, which is known to increase the thickness of the insula (Lazar et al., 2006), SE and other somatic psychotherapies not only help to regulate client’s dysregulated ANS states but, through co-regulation between therapist and client, can also contribute to increased levels of empathy and improved relationship with self and others. In the case of developmental trauma, this can be seen as the neurophysiological process of repairing the attachment trauma (Bowlby, 1982) which occurs at various developmental stages as a result of adverse childhood experiences (ACES). It is understood by clinicians that a child who has experienced developmental trauma will frequently have a disorganised attachment style, where the parental figure is seen as a potential source of harm rather than care (Kaiser et al., 2018). A child’s resulting attachment behaviours show a confused pattern of both approach and ambivalence and, if not addressed, this attachment style is likely to continue into adulthood. This </w:t>
      </w:r>
      <w:r w:rsidRPr="00B86132">
        <w:rPr>
          <w:rFonts w:cs="Arial"/>
          <w:color w:val="3B3838" w:themeColor="background2" w:themeShade="40"/>
          <w:sz w:val="24"/>
          <w:szCs w:val="24"/>
        </w:rPr>
        <w:lastRenderedPageBreak/>
        <w:t xml:space="preserve">attachment style is often seen by clinicians working with adult developmental trauma survivors, where dissociative splitting is a common symptom in the therapy room (Ogden and Fisher, 2015, pp.702-703; Heller and LaPierre, 2012, pp. 278-282). Neurobiological research has found that early attachment bonding powerfully affects the child’s developing brain, particularly the prefrontal cortex which is responsible for the child’s ability to self-regulate. The attachment behaviours of abused and neglected children are, to some extent, the result of this disorganised development of the prefrontal cortex (Kaiser et al., 2018, p. 1111; Schore, 2005, p. 216). Therefore, it is clear why affective co-regulation with an attuned therapist offers a valuable opportunity later in life to positively impact and rewire neural structures which have been adversely affected in childhood. However, it is also important to be realistic about the degree of change that is possible in adolescent and adult clients as, whilst possible throughout the human lifespan, neuroplasticity becomes more limited with age and the consensus amongst experts is that early intervention is the key to successful outcomes (Hambrick et al., 2019; Kaiser et al., 2018). A number of experts (Tronick, 2017, p. 570; Minuchin, 2002; Quinn and Mageo, 2013) make the important point that attachment patterns are not necessarily universal and that cultural difference must be considered, but an exploration of this is beyond the scope of this research. </w:t>
      </w:r>
    </w:p>
    <w:p w14:paraId="1EA6C353" w14:textId="77777777" w:rsidR="00AE51CA" w:rsidRPr="00B86132" w:rsidRDefault="00AE51CA" w:rsidP="00AE51CA">
      <w:pPr>
        <w:spacing w:line="360" w:lineRule="auto"/>
        <w:jc w:val="both"/>
        <w:rPr>
          <w:rFonts w:cs="Arial"/>
          <w:color w:val="3B3838" w:themeColor="background2" w:themeShade="40"/>
          <w:sz w:val="24"/>
          <w:szCs w:val="24"/>
        </w:rPr>
      </w:pPr>
    </w:p>
    <w:p w14:paraId="7E9FFA8D"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Totton (2014) argues that attending to the embodied experience or felt sense of the therapeutic relationship is not an optional extra that can simply be appended to existing forms of traditional talking therapies. Rather, he insists that working with the embodied relationship between client and therapist is fundamental to therapeutic change:</w:t>
      </w:r>
    </w:p>
    <w:p w14:paraId="5A5BE44A" w14:textId="77777777" w:rsidR="00AE51CA" w:rsidRPr="00B86132" w:rsidRDefault="00AE51CA" w:rsidP="00AE51CA">
      <w:pPr>
        <w:spacing w:line="360" w:lineRule="auto"/>
        <w:jc w:val="both"/>
        <w:rPr>
          <w:rFonts w:cs="Arial"/>
          <w:b/>
          <w:bCs/>
          <w:color w:val="3B3838" w:themeColor="background2" w:themeShade="40"/>
          <w:sz w:val="24"/>
          <w:szCs w:val="24"/>
        </w:rPr>
      </w:pPr>
    </w:p>
    <w:p w14:paraId="1251C879" w14:textId="77777777" w:rsidR="00AE51CA" w:rsidRPr="00B86132" w:rsidRDefault="00AE51CA" w:rsidP="00AE51CA">
      <w:pPr>
        <w:ind w:left="567" w:right="567"/>
        <w:jc w:val="both"/>
        <w:rPr>
          <w:rStyle w:val="CommentReference"/>
          <w:rFonts w:cs="Arial"/>
          <w:color w:val="3B3838" w:themeColor="background2" w:themeShade="40"/>
          <w:sz w:val="24"/>
          <w:szCs w:val="24"/>
        </w:rPr>
      </w:pPr>
      <w:r w:rsidRPr="00B86132">
        <w:rPr>
          <w:rStyle w:val="CommentReference"/>
          <w:rFonts w:cs="Arial"/>
          <w:color w:val="3B3838" w:themeColor="background2" w:themeShade="40"/>
          <w:sz w:val="24"/>
          <w:szCs w:val="24"/>
        </w:rPr>
        <w:t xml:space="preserve">In describing embodied relating as the ground of psychotherapy, I am not saying that it is the whole of psychotherapy. I am intending a fairly precise claim: that it is the surface on which therapy stands (or falls), the soil in which everything grows (or fails to grow) (Totton, 2014, p. 100). </w:t>
      </w:r>
    </w:p>
    <w:p w14:paraId="66847869" w14:textId="77777777" w:rsidR="00AE51CA" w:rsidRPr="00B86132" w:rsidRDefault="00AE51CA" w:rsidP="00AE51CA">
      <w:pPr>
        <w:spacing w:line="360" w:lineRule="auto"/>
        <w:jc w:val="both"/>
        <w:rPr>
          <w:rFonts w:cs="Arial"/>
          <w:color w:val="3B3838" w:themeColor="background2" w:themeShade="40"/>
          <w:sz w:val="24"/>
          <w:szCs w:val="24"/>
        </w:rPr>
      </w:pPr>
    </w:p>
    <w:p w14:paraId="030C45AA"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Along with the establishment of a strong therapeutic alliance, client agency is one of the most important aspects of successful trauma therapy (Herman, 2015, pp. </w:t>
      </w:r>
      <w:r w:rsidRPr="00B86132">
        <w:rPr>
          <w:rFonts w:cs="Arial"/>
          <w:color w:val="3B3838" w:themeColor="background2" w:themeShade="40"/>
          <w:sz w:val="24"/>
          <w:szCs w:val="24"/>
        </w:rPr>
        <w:lastRenderedPageBreak/>
        <w:t xml:space="preserve">133 – 136). In order to counteract the overwhelming feeling of helplessness that people experience during complex traumatic events, the focus of the therapeutic work must be on establishing safety within the therapeutic relationship, so the client can begin to rebuild a sense of themselves as an active agent in their lives rather than a helpless victim who was subjected to abuse (Taylor, 2014, p 115 – 125). Since agency is nearly always linked with physical movement, to approach what is wanted or push away that which is rejected, it is clear that psychotherapeutic models which prioritise working with the body have an advantage in restoring client agency. </w:t>
      </w:r>
    </w:p>
    <w:p w14:paraId="08D9455B" w14:textId="77777777" w:rsidR="00AE51CA" w:rsidRPr="00B86132" w:rsidRDefault="00AE51CA" w:rsidP="00AE51CA">
      <w:pPr>
        <w:spacing w:line="360" w:lineRule="auto"/>
        <w:jc w:val="both"/>
        <w:rPr>
          <w:rFonts w:cs="Arial"/>
          <w:color w:val="3B3838" w:themeColor="background2" w:themeShade="40"/>
          <w:sz w:val="24"/>
          <w:szCs w:val="24"/>
        </w:rPr>
      </w:pPr>
    </w:p>
    <w:p w14:paraId="12466930"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Porges explains that the relational emphasis of BSP, embodied in the caring presence of the therapist, enables the client’s social engagement system or ventral vagus to stay online. This is made possible by the consistent emotional and somatic containment provided by the therapist, enabling the client to feel safe enough to explore dysregulated states and painful memories without themselves becoming dysregulated (PESI, 2016). Grand explains that BSP takes place within a dual attunement frame, which values both relational and neurobiological attunement as equally essential. He acknowledges the somatic element of BSP as being informed by his former training in SE and sums up the effectiveness of the technique resting on “the attuned, empathic, witnessing presence of the therapist” following the client wherever they go (PESI, 2016). The approach centres the uncertainty principle to acknowledge the complexity of neurological possibilities in a client’s response to situations. In BSP, the therapist must assume complete humility, letting go of the notion of being the ‘expert’, and allow the client to be the head of the comet, whilst the therapist follows at the tail. However, the therapist continuously assesses the therapeutic unfolding, moment by moment, ensuring that relational attunement is recovered as soon as the therapist falls out of attunement (PESI, 2016).</w:t>
      </w:r>
    </w:p>
    <w:p w14:paraId="323E1897" w14:textId="77777777" w:rsidR="00AE51CA" w:rsidRPr="00B86132" w:rsidRDefault="00AE51CA" w:rsidP="00AE51CA">
      <w:pPr>
        <w:spacing w:line="360" w:lineRule="auto"/>
        <w:jc w:val="both"/>
        <w:rPr>
          <w:rFonts w:cs="Arial"/>
          <w:color w:val="3B3838" w:themeColor="background2" w:themeShade="40"/>
          <w:sz w:val="24"/>
          <w:szCs w:val="24"/>
        </w:rPr>
      </w:pPr>
    </w:p>
    <w:p w14:paraId="1342325C"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There have recently been some fascinating discoveries about the brain’s default mode network (DMN), including its relationship to mentalisation, to an individual’s sense of self and the impact of trauma on activation of this part of the brain (Lanius et al., 2020, p. 6). The neuroscientific research illustrates that traumatised individuals have low activation in the DMN in the resting state compared with </w:t>
      </w:r>
      <w:r w:rsidRPr="00B86132">
        <w:rPr>
          <w:rFonts w:cs="Arial"/>
          <w:color w:val="3B3838" w:themeColor="background2" w:themeShade="40"/>
          <w:sz w:val="24"/>
          <w:szCs w:val="24"/>
        </w:rPr>
        <w:lastRenderedPageBreak/>
        <w:t xml:space="preserve">healthy controls and higher activation during the hyperarousal of stressful and traumatic situations. Lanius et al. (2020, pp. 6-7) point out that activation of the brain’s DMN is not only linked with feelings of embodiment and aliveness but is also closely linked to a sense of autonomy or agency. Whilst healthy controls feel this sense of personal agency whilst in the resting state, people diagnosed with trauma disorders frequently only feel a sense of agency when in risky situations, due to the emotional numbing they experience as a result of their trauma. In terms of therapeutic intervention, Lanius et al. recommend that addressing the predisposition for sensation-seeking by finding other ways of recruiting a traumatised client’s DMN could be one of the keys to helping to establish “a sense of self that is continuous across time” (Lanius et al., 2020, p. 7). This indicates that a traumatised person’s sense of self is very much wedded to the brain activation they experience during hyper aroused states and provides a strong explanation for why people with C-PTSD frequently experience “repetition compulsion” where they subconsciously choose to put themselves in risky situations (Van der Kolk, 1989; Taylor, 2014, p. 101). </w:t>
      </w:r>
    </w:p>
    <w:p w14:paraId="6D92B8EA" w14:textId="77777777" w:rsidR="00AE51CA" w:rsidRPr="00B86132" w:rsidRDefault="00AE51CA" w:rsidP="00AE51CA">
      <w:pPr>
        <w:spacing w:line="360" w:lineRule="auto"/>
        <w:jc w:val="both"/>
        <w:rPr>
          <w:rFonts w:cs="Arial"/>
          <w:color w:val="3B3838" w:themeColor="background2" w:themeShade="40"/>
          <w:sz w:val="24"/>
          <w:szCs w:val="24"/>
        </w:rPr>
      </w:pPr>
    </w:p>
    <w:p w14:paraId="30CCE820"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Mindfulness, or the ability to pay attention in the present moment, incorporating interoceptive awareness and the ability to identify emotions is increasingly cited as a key aspect of successful trauma therapy (Ogden and Fisher, 2015, pp. 132-133; Van der Kolk, 2014, pp. 272-274; Lanius et al., 2020, p. 7; Corrigan and Grand, 2013, p. 760). Closely related to mindfulness, the metacognitive process of mentalisation or the ability to think about thinking and reflect on one’s own mind or the mind of another, is widely understood to be fundamental to good mental health and healthy relationships. Early attachment injury has a deleterious impact on a person’s ability to mentalise, including their capacity for affect regulation. (Fonagy et al., 2002, pp. 3-4; Siegel, 2020, p. 305; Wallin, 2007). An interesting distinction can be made between the phenomenological approach or open awareness proposed by Perls’ Gestalt therapy and the “active directed conscious process” of mindfulness, which also allows a disidentification with our thought processes (Taylor, 2014, pp. 82-88). Taylor argues that simple awareness which activates the medial prefrontal cortex is not sufficient to promote brain integration, whilst mindful awareness which activates the mid prefrontal cortex gives rise to affect regulation and feelings of wellbeing. She states: “Trauma impairs the </w:t>
      </w:r>
      <w:r w:rsidRPr="00B86132">
        <w:rPr>
          <w:rFonts w:cs="Arial"/>
          <w:color w:val="3B3838" w:themeColor="background2" w:themeShade="40"/>
          <w:sz w:val="24"/>
          <w:szCs w:val="24"/>
        </w:rPr>
        <w:lastRenderedPageBreak/>
        <w:t xml:space="preserve">integrative capacity of the brain, and mindfulness is a primary tool for restoring it” (Taylor, 2014, p. 86). </w:t>
      </w:r>
    </w:p>
    <w:p w14:paraId="3FF1E047" w14:textId="77777777" w:rsidR="00AE51CA" w:rsidRPr="00B86132" w:rsidRDefault="00AE51CA" w:rsidP="00AE51CA">
      <w:pPr>
        <w:spacing w:line="360" w:lineRule="auto"/>
        <w:jc w:val="both"/>
        <w:rPr>
          <w:rFonts w:cs="Arial"/>
          <w:color w:val="3B3838" w:themeColor="background2" w:themeShade="40"/>
          <w:sz w:val="24"/>
          <w:szCs w:val="24"/>
        </w:rPr>
      </w:pPr>
    </w:p>
    <w:p w14:paraId="3D35D6AA" w14:textId="77777777" w:rsidR="00AE51CA" w:rsidRPr="00B86132" w:rsidRDefault="00AE51CA" w:rsidP="00AE51CA">
      <w:pPr>
        <w:spacing w:line="360" w:lineRule="auto"/>
        <w:jc w:val="both"/>
        <w:rPr>
          <w:rFonts w:cs="Arial"/>
          <w:color w:val="3B3838" w:themeColor="background2" w:themeShade="40"/>
          <w:sz w:val="24"/>
          <w:szCs w:val="24"/>
          <w:shd w:val="clear" w:color="auto" w:fill="FCFCFC"/>
        </w:rPr>
      </w:pPr>
      <w:r w:rsidRPr="00B86132">
        <w:rPr>
          <w:rFonts w:cs="Arial"/>
          <w:color w:val="3B3838" w:themeColor="background2" w:themeShade="40"/>
          <w:sz w:val="24"/>
          <w:szCs w:val="24"/>
          <w:shd w:val="clear" w:color="auto" w:fill="FFFFFF"/>
        </w:rPr>
        <w:t>There is a well-established correlation between high autonomic arousal and negative impact on concentration and cognitive function, including mentalisation (</w:t>
      </w:r>
      <w:r w:rsidRPr="00B86132">
        <w:rPr>
          <w:rFonts w:cs="Arial"/>
          <w:color w:val="3B3838" w:themeColor="background2" w:themeShade="40"/>
          <w:sz w:val="24"/>
          <w:szCs w:val="24"/>
          <w:shd w:val="clear" w:color="auto" w:fill="FCFCFC"/>
        </w:rPr>
        <w:t xml:space="preserve">Fonagy and Bateman, 2016, p. 64). A client’s ability to mentalise and to use creative, reflective abilities will therefore be adversely impacted by the high levels of sympathetic arousal which are common in C-PTSD. Interventions which incorporate mindfulness have been shown to increase mentalisation and regulate sympathetic arousal (Fonagy et al., 2016), so can be seen as a valuable tool when working with survivors of complex trauma. The neural mechanisms by which this improvement occurs are thought by </w:t>
      </w:r>
      <w:r w:rsidRPr="00B86132">
        <w:rPr>
          <w:rFonts w:cs="Arial"/>
          <w:color w:val="3B3838" w:themeColor="background2" w:themeShade="40"/>
          <w:sz w:val="24"/>
          <w:szCs w:val="24"/>
          <w:shd w:val="clear" w:color="auto" w:fill="FFFFFF"/>
        </w:rPr>
        <w:t xml:space="preserve">Björkstrand et al. (2019) </w:t>
      </w:r>
      <w:r w:rsidRPr="00B86132">
        <w:rPr>
          <w:rFonts w:cs="Arial"/>
          <w:color w:val="3B3838" w:themeColor="background2" w:themeShade="40"/>
          <w:sz w:val="24"/>
          <w:szCs w:val="24"/>
          <w:shd w:val="clear" w:color="auto" w:fill="FCFCFC"/>
        </w:rPr>
        <w:t>to relate to extinction retention and the impact of mindfulness in strengthening the retention of safety learning</w:t>
      </w:r>
      <w:r w:rsidRPr="00B86132">
        <w:rPr>
          <w:rFonts w:cs="Arial"/>
          <w:color w:val="3B3838" w:themeColor="background2" w:themeShade="40"/>
          <w:sz w:val="24"/>
          <w:szCs w:val="24"/>
          <w:shd w:val="clear" w:color="auto" w:fill="FFFFFF"/>
        </w:rPr>
        <w:t xml:space="preserve">. However, the participants in the cited study were healthy individuals rather than C-PTSD clients, so further research is needed to see if the results can be replicated within trauma populations. </w:t>
      </w:r>
    </w:p>
    <w:p w14:paraId="55790D8D" w14:textId="77777777" w:rsidR="00AE51CA" w:rsidRPr="00B86132" w:rsidRDefault="00AE51CA" w:rsidP="00AE51CA">
      <w:pPr>
        <w:spacing w:line="360" w:lineRule="auto"/>
        <w:jc w:val="both"/>
        <w:rPr>
          <w:rFonts w:cs="Arial"/>
          <w:color w:val="3B3838" w:themeColor="background2" w:themeShade="40"/>
          <w:sz w:val="24"/>
          <w:szCs w:val="24"/>
          <w:shd w:val="clear" w:color="auto" w:fill="FCFCFC"/>
        </w:rPr>
      </w:pPr>
    </w:p>
    <w:p w14:paraId="2009B33D"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Mindfulness has become an almost ubiquitous element of successful psychotherapies in recent years, featuring prominently in SE (Payne et al., 2015), NARM (Heller and LaPierre, 2012, p. 196), Dialectical Behaviour Therapy (Zeifman et al., 2020), the Trauma Resiliency Model (Grabbe and Miller-Karas, 2018, p. 2), as well as being the central focus of Mindfulness Based Cognitive Therapy (Britton et al., 2012). In their review of mindfulness-based treatments for PTSD, Boyd et al. (2018, pp. 9-11) note that, despite the overall success of mindfulness-based approaches in the treatment of PTSD, particularly for clients experiencing depersonalisation or derealisation, there are some important caveats. They stress the vital importance of creating personalised treatment plans which consider the individual client’s unique trauma symptom profile. For clients with very active flashbacks or low emotion regulation and distress tolerance skills, mindfulness must be used very skilfully to avoid the risk of triggering overwhelming traumatic memories or emotional states. </w:t>
      </w:r>
      <w:r w:rsidRPr="00B86132">
        <w:rPr>
          <w:rFonts w:cs="Arial"/>
          <w:color w:val="3B3838" w:themeColor="background2" w:themeShade="40"/>
          <w:sz w:val="24"/>
          <w:szCs w:val="24"/>
          <w:shd w:val="clear" w:color="auto" w:fill="FCFCFC"/>
        </w:rPr>
        <w:t>In recent years, there has been increasing recognition that traditional mindfulness methods frequently fail to help trauma clients and can even exacerbate disturbing, dissociative symptoms in some people (</w:t>
      </w:r>
      <w:r w:rsidRPr="00B86132">
        <w:rPr>
          <w:rFonts w:cs="Arial"/>
          <w:color w:val="3B3838" w:themeColor="background2" w:themeShade="40"/>
          <w:sz w:val="24"/>
          <w:szCs w:val="24"/>
          <w:shd w:val="clear" w:color="auto" w:fill="F8F8F8"/>
        </w:rPr>
        <w:t xml:space="preserve">Treleaven, 2018). It is therefore essential </w:t>
      </w:r>
      <w:r w:rsidRPr="00B86132">
        <w:rPr>
          <w:rFonts w:cs="Arial"/>
          <w:color w:val="3B3838" w:themeColor="background2" w:themeShade="40"/>
          <w:sz w:val="24"/>
          <w:szCs w:val="24"/>
          <w:shd w:val="clear" w:color="auto" w:fill="F8F8F8"/>
        </w:rPr>
        <w:lastRenderedPageBreak/>
        <w:t>that any therapist utilising mindfulness-based interventions in their work with C-PTSD clients is cognisant of possible contraindications and knowledgeable about specific modifications which will be more appropriate for trauma clients.</w:t>
      </w:r>
    </w:p>
    <w:p w14:paraId="2F2DFCE9" w14:textId="77777777" w:rsidR="00AE51CA" w:rsidRPr="00B86132" w:rsidRDefault="00AE51CA" w:rsidP="00AE51CA">
      <w:pPr>
        <w:spacing w:line="360" w:lineRule="auto"/>
        <w:jc w:val="both"/>
        <w:rPr>
          <w:rFonts w:cs="Arial"/>
          <w:color w:val="3B3838" w:themeColor="background2" w:themeShade="40"/>
          <w:sz w:val="24"/>
          <w:szCs w:val="24"/>
        </w:rPr>
      </w:pPr>
    </w:p>
    <w:p w14:paraId="124C30A4"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In the context of the somatic psychotherapies, mindfulness is used in very specific and carefully guided ways with an awareness of the potential pitfalls. NARM uses the technique of somatic mindfulness, a process where, together, the therapist and client mindfully track the client’s body sensations and emotions as they explore traumatic material. NARM acknowledges that clients with the connection survival type, a result of early and profound deficits in the caregiving relationship, often struggle to connect with the felt sense of their body, due to a lifetime of numbing and dissociation. When they do succeed in connecting with a physical sensation, it is frequently an unpleasant one so the therapist’s key role here is to guide the client to notice any neutral or pleasant sensations which co-exist in their body (Heller and LaPierre, 2012, pp. 196-199). Similarly, the BSP practitioner supports clients to sustain awareness of their internal experience, including somatic sensations, emotions, memories and thoughts, through focused mindfulness. This enables the client to activate medial, prefrontal brain regions (Corrigan and Grand, 2013, p.760). </w:t>
      </w:r>
    </w:p>
    <w:p w14:paraId="0FF2CDAF" w14:textId="77777777" w:rsidR="00AE51CA" w:rsidRPr="00B86132" w:rsidRDefault="00AE51CA" w:rsidP="00AE51CA">
      <w:pPr>
        <w:spacing w:line="360" w:lineRule="auto"/>
        <w:jc w:val="both"/>
        <w:rPr>
          <w:rFonts w:cs="Arial"/>
          <w:color w:val="3B3838" w:themeColor="background2" w:themeShade="40"/>
          <w:sz w:val="24"/>
          <w:szCs w:val="24"/>
        </w:rPr>
      </w:pPr>
    </w:p>
    <w:p w14:paraId="70C97EB3"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Interoception, or the ability to sense what is happening in one’s body, is central to successful trauma therapy (Levine et al., 2018, p. 620; Taylor, 2014, p. 61). However, there is increasing consensus amongst clinicians that building a client’s ability to balance interoception with exteroception, the act of orienting to the external environment, is fundamental to safe work with survivors of trauma. This skill can prevent trauma clients from falling into the “trauma vortex”, a preponderance towards negative valence which is common in trauma survivors (Levine at al., 2018, p. 622). Connecting with the orienting response is common to many somatic psychotherapies, although some modalities work with it more explicitly than others. (Kepner, J., 2008, p. 120). Taylor works at the meeting point of Gestalt therapy and Sensorimotor psychotherapy, having trained in both, and emphasises the importance of using the body, movement, mobilisation and orientation to bring energy and agency to the most hypo aroused clients, for example encouraging them to walk around the room (Taylor, 2014, p. 124). This </w:t>
      </w:r>
      <w:r w:rsidRPr="00B86132">
        <w:rPr>
          <w:rFonts w:cs="Arial"/>
          <w:color w:val="3B3838" w:themeColor="background2" w:themeShade="40"/>
          <w:sz w:val="24"/>
          <w:szCs w:val="24"/>
        </w:rPr>
        <w:lastRenderedPageBreak/>
        <w:t xml:space="preserve">is in contrast to Brantbjerg’s approach of welcoming hyporesponse, where clients are supported to befriend and become familiar with their feelings of collapse. By working with very low dosed physical activations whilst seated, a client can discover previously unidentified somatic resources (Brantbjerg, 2021, pp. 12-13). </w:t>
      </w:r>
    </w:p>
    <w:p w14:paraId="7D0E87D8" w14:textId="77777777" w:rsidR="00AE51CA" w:rsidRPr="00B86132" w:rsidRDefault="00AE51CA" w:rsidP="00AE51CA">
      <w:pPr>
        <w:spacing w:line="360" w:lineRule="auto"/>
        <w:jc w:val="both"/>
        <w:rPr>
          <w:rFonts w:cs="Arial"/>
          <w:b/>
          <w:bCs/>
          <w:color w:val="3B3838" w:themeColor="background2" w:themeShade="40"/>
          <w:sz w:val="24"/>
          <w:szCs w:val="24"/>
        </w:rPr>
      </w:pPr>
    </w:p>
    <w:p w14:paraId="317E5C2F"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It is important to note that, for some clients, interoception is very difficult or even impossible.</w:t>
      </w:r>
      <w:r w:rsidRPr="00B86132">
        <w:rPr>
          <w:rFonts w:cs="Arial"/>
          <w:b/>
          <w:bCs/>
          <w:color w:val="3B3838" w:themeColor="background2" w:themeShade="40"/>
          <w:sz w:val="24"/>
          <w:szCs w:val="24"/>
        </w:rPr>
        <w:t xml:space="preserve"> </w:t>
      </w:r>
      <w:r w:rsidRPr="00B86132">
        <w:rPr>
          <w:rFonts w:cs="Arial"/>
          <w:color w:val="3B3838" w:themeColor="background2" w:themeShade="40"/>
          <w:sz w:val="24"/>
          <w:szCs w:val="24"/>
        </w:rPr>
        <w:t xml:space="preserve">The term, alexithymia, was originally identified as an aspect of psychosomatic illness and is now used to describe a personality type which struggles to cope with emotional intensity and has a rigid and externalised cognitive style (Cozolino, 2014, p. 69; Van Der Kolk, 2014, pp. 98-99). An alexithymic individual’s inability to feel or to verbally express somatic affect and emotions is now believed by some to be the result of a deficit in the transfer of information between the right and left hemispheres of the brain (Habib et al., 2003, p. 415). Edwards et al. (2018) developed the Emotion Mapping Activity, a mindfulness-based tool that gives people with alexithymia a concrete, tangible way to accurately map their emotions, which otherwise might feel too abstract for them to identify. In SE, interoception is approached in a very specific way, first guiding the client to find calming and stabilising resources in their body, in the form of a pleasant of neutral sensation in a specific part of the body, as opposed to a more generalised approach to body sensing (Levine et al., 2018, p. 624). This approach is a simple yet powerful method of giving clients an internal “safe space” where they can go to resource themselves, in addition to other resourcing practices which are commonly used in trauma therapy, such as visualising a safe place or an externalising and grounding practice like shifting visual focus to a number of objects in the physical environment. </w:t>
      </w:r>
    </w:p>
    <w:p w14:paraId="57A35482" w14:textId="77777777" w:rsidR="00AE51CA" w:rsidRPr="00B86132" w:rsidRDefault="00AE51CA" w:rsidP="00AE51CA">
      <w:pPr>
        <w:spacing w:line="360" w:lineRule="auto"/>
        <w:jc w:val="both"/>
        <w:rPr>
          <w:rFonts w:cs="Arial"/>
          <w:color w:val="3B3838" w:themeColor="background2" w:themeShade="40"/>
          <w:sz w:val="24"/>
          <w:szCs w:val="24"/>
        </w:rPr>
      </w:pPr>
    </w:p>
    <w:p w14:paraId="2FEDEC79"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Sensorimotor Psychotherapy takes the dissociated, fragmented and confounding sensorimotor symptoms of trauma clients and places them at the centre of the therapeutic work. By incorporating and exploring whatever implicit memories arise in the client in a session, including disturbing images, bodily sensations, sounds, smells, numbness or issues with modulating nervous system and emotional arousal, the SP therapist can help the client to make sense of their confusing symptoms. However, Ogden and Minton are very clear that emotional, </w:t>
      </w:r>
      <w:r w:rsidRPr="00B86132">
        <w:rPr>
          <w:rFonts w:cs="Arial"/>
          <w:color w:val="3B3838" w:themeColor="background2" w:themeShade="40"/>
          <w:sz w:val="24"/>
          <w:szCs w:val="24"/>
        </w:rPr>
        <w:lastRenderedPageBreak/>
        <w:t xml:space="preserve">cognitive and sensorimotor processing all need to take place if therapy is to yield successful outcomes (Ogden and Minton, 2000, p. 149 - 150). </w:t>
      </w:r>
    </w:p>
    <w:p w14:paraId="5595B15A" w14:textId="77777777" w:rsidR="00AE51CA" w:rsidRPr="00B86132" w:rsidRDefault="00AE51CA" w:rsidP="00AE51CA">
      <w:pPr>
        <w:spacing w:line="360" w:lineRule="auto"/>
        <w:jc w:val="both"/>
        <w:rPr>
          <w:rFonts w:cs="Arial"/>
          <w:color w:val="3B3838" w:themeColor="background2" w:themeShade="40"/>
          <w:sz w:val="24"/>
          <w:szCs w:val="24"/>
        </w:rPr>
      </w:pPr>
    </w:p>
    <w:p w14:paraId="6AC1A9E7"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One aspect of theory that is common to most if not all somatic trauma therapy approaches to treating C-PTSD is the use of the three-phase model, originally introduced by Pierre Janet (1898) and popularised by Herman (1992, pp. 155-156) and many other contemporary trauma therapists and researchers (Rothschild, 2017, pp. 12-13; Ogden and Fisher, 2015, p. 243; Hull et al., 2016, p. 36). In this model, a stabilisation phase precedes any work on trauma memory processing, which is then followed by a reconnection phase. Safety and the avoidance of re-traumatisation and destabilisation is the primary focus of this model (Rothschild, 2000, pp. 77-81). Once the stabilisation phase is adequately in place, the deep work of remembrance and mourning, in which the client begins to retell the story of their trauma, can begin (Herman, 2015; pp. 175 – 179). Herman (2015, p. 187) is clear to highlight that techniques which work well in resolving the symptoms of single shock trauma are ineffective when working with long-term relational trauma. Fisher (2017, p. 44) offers nuance on the use of the 3-phase model with C-PTSD clients, commenting that some clients are so dysregulated that it could take years of therapy for them to progress from phase 1 to phase 2. This could result in numerous missed opportunities for therapeutic progress and healing, if a therapist misguidedly keeps a client stuck in the stabilisation phase due to an over-emphasis on safety. This is an interesting point about absolutes, highlighting the fact that few things are black and white, either in life or in the treatment of trauma, and that therapist and client must together make an informed decision about when the client is ready to enter phase 2 of treatment. </w:t>
      </w:r>
    </w:p>
    <w:p w14:paraId="229FE573" w14:textId="77777777" w:rsidR="00AE51CA" w:rsidRPr="00B86132" w:rsidRDefault="00AE51CA" w:rsidP="00AE51CA">
      <w:pPr>
        <w:spacing w:line="360" w:lineRule="auto"/>
        <w:jc w:val="both"/>
        <w:rPr>
          <w:rFonts w:cs="Arial"/>
          <w:color w:val="3B3838" w:themeColor="background2" w:themeShade="40"/>
          <w:sz w:val="24"/>
          <w:szCs w:val="24"/>
        </w:rPr>
      </w:pPr>
    </w:p>
    <w:p w14:paraId="6B324125" w14:textId="77777777" w:rsidR="00AE51CA" w:rsidRPr="00B86132" w:rsidRDefault="00AE51CA" w:rsidP="00AE51CA">
      <w:pPr>
        <w:spacing w:line="360" w:lineRule="auto"/>
        <w:jc w:val="both"/>
        <w:rPr>
          <w:rFonts w:cs="Arial"/>
          <w:color w:val="3B3838" w:themeColor="background2" w:themeShade="40"/>
          <w:sz w:val="24"/>
          <w:szCs w:val="24"/>
          <w:shd w:val="clear" w:color="auto" w:fill="FFFFFF"/>
        </w:rPr>
      </w:pPr>
      <w:r w:rsidRPr="00B86132">
        <w:rPr>
          <w:rFonts w:cs="Arial"/>
          <w:color w:val="3B3838" w:themeColor="background2" w:themeShade="40"/>
          <w:sz w:val="24"/>
          <w:szCs w:val="24"/>
        </w:rPr>
        <w:t xml:space="preserve">In the realm of contemporary trauma therapy approaches, there are a number of notable exceptions to the three-phase model. One is Kepner’s four phase model (Taylor, 2014, pp. 14-15), in which the first two stages correspond with the stabilisation phase of Herman’s model, but which otherwise aligns closely with the three-phase model. Somewhat in line with the three-phase model, SE sets out to initially guide a client’s interoceptive awareness to specific sensations which are perceived as positive or non-threatening, as an important way of </w:t>
      </w:r>
      <w:r w:rsidRPr="00B86132">
        <w:rPr>
          <w:rFonts w:cs="Arial"/>
          <w:color w:val="3B3838" w:themeColor="background2" w:themeShade="40"/>
          <w:sz w:val="24"/>
          <w:szCs w:val="24"/>
        </w:rPr>
        <w:lastRenderedPageBreak/>
        <w:t xml:space="preserve">resourcing the client in preparation for later processing more dysregulating interoceptive experiences (Levine, 2010, p. 79). On the other hand, the Internal Family Systems model (Schwartz, 2013) proposes that a phased approach to trauma therapy is unnecessary and that intense trauma symptoms can be worked with immediately, as long as the therapist and client ensure that the client’s various parts of self are willing to give permission for the work to happen. Similarly, proponents of the Comprehensive Resource Model (CRM) explain that, as a neurobiologically resourced model, the CRM allows clients to work simultaneously with distress and stabilisation without the need for different phases (Schwarz et al., 2017, p. 131) and De Jongh et al. (2016) argue that there is little evidence to support the necessity or benefit of using a 3 phased approach. Psychoanalytic psychotherapy has taken a relational turn during the last thirty years (Safran, 2003; Beebe and Lachman, 2003), with the “expert” therapist model being replaced by a more genuine person to person relationship. One could therefore speculate that this development has rendered the three-phase model less essential because a client’s progression through therapy is now informed much more by a strong therapeutic alliance rather than by the “expert” therapist simply dictating a direction (Elliot et al., 2004, pp. 141-142). </w:t>
      </w:r>
      <w:r w:rsidRPr="00B86132">
        <w:rPr>
          <w:rFonts w:cs="Arial"/>
          <w:color w:val="3B3838" w:themeColor="background2" w:themeShade="40"/>
          <w:sz w:val="24"/>
          <w:szCs w:val="24"/>
          <w:shd w:val="clear" w:color="auto" w:fill="FFFFFF"/>
        </w:rPr>
        <w:t xml:space="preserve">Given that affect dysregulation results from brain organisation at the subcortical level, somatic psychotherapists contend that body-oriented or bottom-up therapeutic interventions are a crucial element in increasing autonomic regulation and reducing symptoms related to dysregulation (Fisher, 2019, p. 156). However, clinicians working in trauma settings are also very clear about the necessity of a clear treatment model in their work with C-PTSD, indicating that the open-ended, exploratory nature of somatic psychotherapy must be counterbalanced with a clear plan of work (Rothschild, 2017, pp. 82 – 84; Elliott et al., 2004, pp. 54- 56; Ogden and Fisher, 2015, p.246). </w:t>
      </w:r>
    </w:p>
    <w:p w14:paraId="01FA1684" w14:textId="77777777" w:rsidR="00AE51CA" w:rsidRPr="00B86132" w:rsidRDefault="00AE51CA" w:rsidP="00AE51CA">
      <w:pPr>
        <w:spacing w:line="360" w:lineRule="auto"/>
        <w:jc w:val="both"/>
        <w:rPr>
          <w:rFonts w:cs="Arial"/>
          <w:color w:val="3B3838" w:themeColor="background2" w:themeShade="40"/>
          <w:sz w:val="24"/>
          <w:szCs w:val="24"/>
        </w:rPr>
      </w:pPr>
    </w:p>
    <w:p w14:paraId="723E72FB"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Levine et al. clearly state that, in SE work, it is possible but unnecessary to revisit a client’s traumatic verbal narrative, explaining: </w:t>
      </w:r>
    </w:p>
    <w:p w14:paraId="60CE0DC1" w14:textId="77777777" w:rsidR="00AE51CA" w:rsidRPr="00B86132" w:rsidRDefault="00AE51CA" w:rsidP="00AE51CA">
      <w:pPr>
        <w:spacing w:line="360" w:lineRule="auto"/>
        <w:jc w:val="both"/>
        <w:rPr>
          <w:rFonts w:cs="Arial"/>
          <w:color w:val="3B3838" w:themeColor="background2" w:themeShade="40"/>
          <w:sz w:val="24"/>
          <w:szCs w:val="24"/>
        </w:rPr>
      </w:pPr>
    </w:p>
    <w:p w14:paraId="5BF29EB8" w14:textId="77777777" w:rsidR="00AE51CA" w:rsidRPr="00B86132" w:rsidRDefault="00AE51CA" w:rsidP="00AE51CA">
      <w:pPr>
        <w:ind w:left="567" w:right="567"/>
        <w:jc w:val="both"/>
        <w:rPr>
          <w:rFonts w:cs="Arial"/>
          <w:color w:val="3B3838" w:themeColor="background2" w:themeShade="40"/>
          <w:sz w:val="24"/>
          <w:szCs w:val="24"/>
        </w:rPr>
      </w:pPr>
      <w:r w:rsidRPr="00B86132">
        <w:rPr>
          <w:rFonts w:cs="Arial"/>
          <w:color w:val="3B3838" w:themeColor="background2" w:themeShade="40"/>
          <w:sz w:val="24"/>
          <w:szCs w:val="24"/>
        </w:rPr>
        <w:t xml:space="preserve">bottom-up processes can facilitate the spontaneous reorganization of meaning-making. Releasing implicit survival arousal often leads to new insight, as well as an individual’s return to a sense of </w:t>
      </w:r>
      <w:r w:rsidRPr="00B86132">
        <w:rPr>
          <w:rFonts w:cs="Arial"/>
          <w:color w:val="3B3838" w:themeColor="background2" w:themeShade="40"/>
          <w:sz w:val="24"/>
          <w:szCs w:val="24"/>
        </w:rPr>
        <w:lastRenderedPageBreak/>
        <w:t>empowerment and relaxed readiness in their lives (Levine et al., 2018, p. 623-624).</w:t>
      </w:r>
    </w:p>
    <w:p w14:paraId="05BFF17B" w14:textId="77777777" w:rsidR="00AE51CA" w:rsidRPr="00B86132" w:rsidRDefault="00AE51CA" w:rsidP="00AE51CA">
      <w:pPr>
        <w:spacing w:line="360" w:lineRule="auto"/>
        <w:ind w:right="567"/>
        <w:jc w:val="both"/>
        <w:rPr>
          <w:rFonts w:cs="Arial"/>
          <w:b/>
          <w:bCs/>
          <w:color w:val="3B3838" w:themeColor="background2" w:themeShade="40"/>
          <w:sz w:val="24"/>
          <w:szCs w:val="24"/>
        </w:rPr>
      </w:pPr>
    </w:p>
    <w:p w14:paraId="2F9FC018" w14:textId="77777777" w:rsidR="00AE51CA" w:rsidRPr="00B86132" w:rsidRDefault="00AE51CA" w:rsidP="00AE51CA">
      <w:pPr>
        <w:autoSpaceDE w:val="0"/>
        <w:autoSpaceDN w:val="0"/>
        <w:adjustRightInd w:val="0"/>
        <w:spacing w:line="360" w:lineRule="auto"/>
        <w:jc w:val="both"/>
        <w:rPr>
          <w:rFonts w:eastAsiaTheme="minorHAnsi" w:cs="Arial"/>
          <w:color w:val="3B3838" w:themeColor="background2" w:themeShade="40"/>
          <w:sz w:val="24"/>
          <w:szCs w:val="24"/>
          <w:lang w:eastAsia="en-US"/>
        </w:rPr>
      </w:pPr>
      <w:r w:rsidRPr="00B86132">
        <w:rPr>
          <w:rFonts w:cs="Arial"/>
          <w:color w:val="3B3838" w:themeColor="background2" w:themeShade="40"/>
          <w:sz w:val="24"/>
          <w:szCs w:val="24"/>
        </w:rPr>
        <w:t xml:space="preserve">Ford (2021, p. 5) describes the purpose of </w:t>
      </w:r>
      <w:r w:rsidRPr="00B86132">
        <w:rPr>
          <w:rFonts w:eastAsiaTheme="minorHAnsi" w:cs="Arial"/>
          <w:color w:val="3B3838" w:themeColor="background2" w:themeShade="40"/>
          <w:sz w:val="24"/>
          <w:szCs w:val="24"/>
          <w:lang w:eastAsia="en-US"/>
        </w:rPr>
        <w:t>trauma memory processing as “the intentional retrieval and self-reflective re-experiencing of trauma memories in order to reconsolidate those memories with updated contextual and self-referential information”. In somatic psychotherapies, the process of memory retrieval starts with the body and, depending on the specific approach, may or may not end up with the client telling a new story about their traumatic experience. In phase-based therapies, this re-telling would take place during phase 2 (Herman, 1992, p. 175), giving the client an opportunity to re-examine their trauma narrative, which was previously frozen in time and frequently re-experienced, and to add the necessary dimensions so that the story can be placed firmly in the past where it belongs.</w:t>
      </w:r>
    </w:p>
    <w:p w14:paraId="1E992C57" w14:textId="77777777" w:rsidR="00AE51CA" w:rsidRPr="00B86132" w:rsidRDefault="00AE51CA" w:rsidP="00AE51CA">
      <w:pPr>
        <w:autoSpaceDE w:val="0"/>
        <w:autoSpaceDN w:val="0"/>
        <w:adjustRightInd w:val="0"/>
        <w:spacing w:line="360" w:lineRule="auto"/>
        <w:jc w:val="both"/>
        <w:rPr>
          <w:rFonts w:eastAsiaTheme="minorHAnsi" w:cs="Arial"/>
          <w:color w:val="3B3838" w:themeColor="background2" w:themeShade="40"/>
          <w:sz w:val="24"/>
          <w:szCs w:val="24"/>
          <w:lang w:eastAsia="en-US"/>
        </w:rPr>
      </w:pPr>
    </w:p>
    <w:p w14:paraId="7546D45A"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Levine et al. (2018, p. 624) draw a useful comparison between implicit and explicit memory, emphasising that implicit memory, mediated by the amygdala and midbrain regions, is usually fragmented, non-conscious and experienced by the individual as habitual emotional reactions or body sensations and movements rather than as a coherent narrative that can be verbalised. Explicit memory, in contrast, is mediated by the hippocampus and prefrontal cortex and is often autobiographical, expressed through verbal narrative and experienced as being situated in time rather than fragmented. The particularities of implicit memory as the storage mechanism for traumatic material necessitates a particularly nuanced treatment approach, in order to approach traumatic material cautiously and avoid the client becoming overwhelmed and therefore too dysregulated to process the content they are addressing (Fisher, 2017, p. 48; Rothschild, 2000, p. 36). It is important to note that implicit memories often manifest as affective or somatic symptoms and are rarely recognised as memories by clients (Ogden et al., 2006, p. 236). It is the therapist’s role to help the client investigate any relevant somatic symptom that arises during a session, inviting a present moment exploration of the qualities of the sensation and any insights that emerge from this process. What then arises is the possibility that what was previously an implicit memory, out of reach of the client’s conscious recall, can be converted into a declarative </w:t>
      </w:r>
      <w:r w:rsidRPr="00B86132">
        <w:rPr>
          <w:rFonts w:cs="Arial"/>
          <w:color w:val="3B3838" w:themeColor="background2" w:themeShade="40"/>
          <w:sz w:val="24"/>
          <w:szCs w:val="24"/>
        </w:rPr>
        <w:lastRenderedPageBreak/>
        <w:t>memory which then becomes part of the client’s life narrative and forms an integral part of their individual sense-making process. It must be stated that some strongly refute the idea that traumatic memories are inaccessible for verbal processing (McNally, 2005b, p. 217). However, Rothschild (2000, pp. xiv-xv) has a more nuanced attitude to the debate, arguing that traumatic memory is experienced and expressed in a great variety of different ways, depending on the individual. This conclusion is drawn from Rothschild’s decades of clinical experience working face to face with trauma survivors, so one has to weigh up the value of this long-term, real world, grass roots experience compared to opinions formed from more “scientifically rigorous” randomised controlled trials. This epistemological quandary is likely to remain present within the study of C-PTSD, since both points of view have value and can contribute to the overall understanding of complex trauma.</w:t>
      </w:r>
    </w:p>
    <w:p w14:paraId="394D7D3A" w14:textId="77777777" w:rsidR="00AE51CA" w:rsidRPr="00B86132" w:rsidRDefault="00AE51CA" w:rsidP="00AE51CA">
      <w:pPr>
        <w:spacing w:line="360" w:lineRule="auto"/>
        <w:jc w:val="both"/>
        <w:rPr>
          <w:rFonts w:cs="Arial"/>
          <w:b/>
          <w:bCs/>
          <w:color w:val="3B3838" w:themeColor="background2" w:themeShade="40"/>
          <w:sz w:val="24"/>
          <w:szCs w:val="24"/>
        </w:rPr>
      </w:pPr>
    </w:p>
    <w:p w14:paraId="6CC9EFB6" w14:textId="77777777" w:rsidR="00AE51CA" w:rsidRPr="00B86132" w:rsidRDefault="00AE51CA" w:rsidP="00AE51CA">
      <w:pPr>
        <w:autoSpaceDE w:val="0"/>
        <w:autoSpaceDN w:val="0"/>
        <w:adjustRightInd w:val="0"/>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SE is one of the few somatic psychotherapies to have been scrutinised through a randomised controlled outcome study, in which 63 study participants with diagnosed PTSD engaged in a 15-session protocol of SE, with a waiting list control group (Brom et al., 2017). Despite the relatively small sample size, the study clearly illustrates the effectiveness of the SE intervention in mitigating symptoms of PTSD, through utilising body-awareness and somatic resourcing, enabling the client to “</w:t>
      </w:r>
      <w:r w:rsidRPr="00B86132">
        <w:rPr>
          <w:rFonts w:eastAsiaTheme="minorHAnsi" w:cs="Arial"/>
          <w:color w:val="3B3838" w:themeColor="background2" w:themeShade="40"/>
          <w:sz w:val="24"/>
          <w:szCs w:val="24"/>
          <w:lang w:eastAsia="en-US"/>
        </w:rPr>
        <w:t xml:space="preserve">release the traumatic activation through an increased tolerance of bodily sensations and related emotions, inviting a discharge process to let the activation dissipate” (Brom et al., 2017, p. 304). </w:t>
      </w:r>
      <w:r w:rsidRPr="00B86132">
        <w:rPr>
          <w:rFonts w:cs="Arial"/>
          <w:color w:val="3B3838" w:themeColor="background2" w:themeShade="40"/>
          <w:sz w:val="24"/>
          <w:szCs w:val="24"/>
        </w:rPr>
        <w:t xml:space="preserve">This study acknowledges the enduring challenge of trying to create a solid evidence-base for relational, somatic psychotherapeutic approaches, which rely heavily on the dynamic and fluid interrelationship between therapist and client and therefore resist attempts at protocolisation (Brom et al., 2017, p. 311). The study also highlights the future need for more in-depth process research, including the measurement of participant physiological markers which would help to gain a clearer and more specific understanding of how the different interventions actually work. The study is included in a 2020 systemic review and meta-analysis (Bisson et al., 2020) and, although the authors state that more evidence is needed before SE should be offered in the place of traditional psychological and pharmacological treatments, they do recommend that it is offered as an </w:t>
      </w:r>
      <w:r w:rsidRPr="00B86132">
        <w:rPr>
          <w:rFonts w:cs="Arial"/>
          <w:color w:val="3B3838" w:themeColor="background2" w:themeShade="40"/>
          <w:sz w:val="24"/>
          <w:szCs w:val="24"/>
        </w:rPr>
        <w:lastRenderedPageBreak/>
        <w:t xml:space="preserve">alternative for the significant number of clients who are unable to tolerate currently available treatment protocols. </w:t>
      </w:r>
    </w:p>
    <w:p w14:paraId="19FE0A90" w14:textId="77777777" w:rsidR="00AE51CA" w:rsidRPr="00B86132" w:rsidRDefault="00AE51CA" w:rsidP="00AE51CA">
      <w:pPr>
        <w:spacing w:line="360" w:lineRule="auto"/>
        <w:jc w:val="both"/>
        <w:rPr>
          <w:rFonts w:cs="Arial"/>
          <w:color w:val="3B3838" w:themeColor="background2" w:themeShade="40"/>
          <w:sz w:val="24"/>
          <w:szCs w:val="24"/>
        </w:rPr>
      </w:pPr>
    </w:p>
    <w:p w14:paraId="41E7EA17"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Unfortunately, the study authors actively excluded participants with complex trauma histories and other psychiatric diagnoses from the research, due to the potential impact of comorbidities on study results. Whilst this is understandable in terms of maximising the quality and specificity of the data, it also clearly illustrates the enduring problem with trying to create an evidence-base for the treatment of complex/ developmental trauma. The authors themselves highlight the need for future studies to focus on the efficacy of SE in treating complex trauma specifically (Brom et al., 2017, p. 310), but it remains to be seen whether any somatic psychotherapy clinicians or researchers have the resources and wherewithal to take on the considerable challenge of examining this particularly complicated clinical presentation in a randomised controlled trial. The cost in both time and resources is likely to be prohibitively high, with the likelihood of very variable outcomes due to the complex nature of C-PTSD and its comorbidities. Therefore, the likelihood is that only the most devoted SE practitioners will take on such a gargantuan task in future, raising the somewhat inevitable criticism of researcher bias. </w:t>
      </w:r>
    </w:p>
    <w:p w14:paraId="790C3B89" w14:textId="77777777" w:rsidR="00AE51CA" w:rsidRPr="00B86132" w:rsidRDefault="00AE51CA" w:rsidP="00AE51CA">
      <w:pPr>
        <w:spacing w:line="360" w:lineRule="auto"/>
        <w:jc w:val="both"/>
        <w:rPr>
          <w:rFonts w:cs="Arial"/>
          <w:color w:val="3B3838" w:themeColor="background2" w:themeShade="40"/>
          <w:sz w:val="24"/>
          <w:szCs w:val="24"/>
        </w:rPr>
      </w:pPr>
    </w:p>
    <w:p w14:paraId="6554E609"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A 2020 pilot randomised controlled study trialled a 20-week group practice of sensorimotor psychotherapy called “Trauma and the Body Group” (TBG) to treat female clients with complex trauma (Classen et al., 2021). The study group consisted of 32 women who had experienced prolonged relational trauma during childhood and either met criteria for a complex PTSD diagnosis according to ICD-11 criteria (World Health Organisation, 2019) or were subthreshold. The purpose of the study was to ascertain if the group intervention could help complex trauma survivors improve their awareness of and relationship with their bodies and also reduce dissociative symptoms (Classen et al., 2021, p. 3). Using a waiting list control group, participants were assessed three times in total, with a baseline assessment one month prior to joining the group, a second assessment immediately after participation in the group and a final assessment after the control group had completed treatment. Assessments were carried out by experienced SP practitioners, trained to notice and understand somatic markers </w:t>
      </w:r>
      <w:r w:rsidRPr="00B86132">
        <w:rPr>
          <w:rFonts w:cs="Arial"/>
          <w:color w:val="3B3838" w:themeColor="background2" w:themeShade="40"/>
          <w:sz w:val="24"/>
          <w:szCs w:val="24"/>
        </w:rPr>
        <w:lastRenderedPageBreak/>
        <w:t>in the client and able to explain the purpose of somatic awareness during the assessment process. Techniques used within the group included mindful awareness of body experience, breath exercises, psychoeducation, somatic practices such as boundary setting and tracking the body in autonomic collapse, as well as discussion of participants’ experience of their home practice exercises. The study has some limitations, acknowledged by the authors, including a small sample size and lack of generalisability. However, the positive outcomes following participation in the treatment group indicated useful benefits from receiving the sensorimotor psychotherapy group intervention, particularly in terms of widening the participants’ window of tolerance and increasing their skills and comfort within interpersonal relationships by improving their ability to regulate autonomic arousal in the presence of other people (Classen et al., 2021, p. 15). It is important to note that clients taking part in one-to-one SP with a therapist, rather than engaging in a group intervention, would not receive the same level of challenge in terms of negotiating the group dynamic to strengthen their self and co-regulation skills. For the sake of comparison, it would therefore be interesting to see a randomised controlled study of a more traditional one-to-one use of SP with complex trauma clients. However, it is immediately apparent why this would be both more expensive and more time-consuming, due to the accumulation of therapist hours which would be needed to offer one-to one work with a sufficient number of clients to provide a meaningful sample size. This is likely to be a familiar stumbling block which research studies into the somatic psychotherapies repeatedly come across.</w:t>
      </w:r>
    </w:p>
    <w:p w14:paraId="0509DD6F" w14:textId="77777777" w:rsidR="00AE51CA" w:rsidRPr="00B86132" w:rsidRDefault="00AE51CA" w:rsidP="00AE51CA">
      <w:pPr>
        <w:spacing w:line="360" w:lineRule="auto"/>
        <w:jc w:val="both"/>
        <w:rPr>
          <w:rFonts w:cs="Arial"/>
          <w:color w:val="3B3838" w:themeColor="background2" w:themeShade="40"/>
          <w:sz w:val="24"/>
          <w:szCs w:val="24"/>
        </w:rPr>
      </w:pPr>
    </w:p>
    <w:p w14:paraId="6680AFF5"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The inclusion of subthreshold participants in the study, as well as those with a PTSD diagnosis, could be seen as a weakness in study design, in terms of compromising the specificity of assessment criteria to determine suitability for inclusion in the study. However, subthreshold PTSD has been identified as a major burden both in veteran communities and in survivors of developmental trauma and has also been identified as a risk factor for developing full PTSD (</w:t>
      </w:r>
      <w:r w:rsidRPr="00B86132">
        <w:rPr>
          <w:rFonts w:cs="Arial"/>
          <w:color w:val="3B3838" w:themeColor="background2" w:themeShade="40"/>
          <w:sz w:val="24"/>
          <w:szCs w:val="24"/>
          <w:shd w:val="clear" w:color="auto" w:fill="FFFFFF"/>
        </w:rPr>
        <w:t xml:space="preserve">Pietrzak et al., 2021). One could therefore argue that the inclusion of subthreshold participants in research studies and in future treatment programmes will play an integral part in developing a more humane and preventative attitude </w:t>
      </w:r>
      <w:r w:rsidRPr="00B86132">
        <w:rPr>
          <w:rFonts w:cs="Arial"/>
          <w:color w:val="3B3838" w:themeColor="background2" w:themeShade="40"/>
          <w:sz w:val="24"/>
          <w:szCs w:val="24"/>
          <w:shd w:val="clear" w:color="auto" w:fill="FFFFFF"/>
        </w:rPr>
        <w:lastRenderedPageBreak/>
        <w:t xml:space="preserve">to supporting traumatised clients, as opposed to waiting for their symptoms to become so severe that they merit a full clinical diagnosis. </w:t>
      </w:r>
    </w:p>
    <w:p w14:paraId="71EB3287" w14:textId="77777777" w:rsidR="00AE51CA" w:rsidRPr="00B86132" w:rsidRDefault="00AE51CA" w:rsidP="00AE51CA">
      <w:pPr>
        <w:autoSpaceDE w:val="0"/>
        <w:autoSpaceDN w:val="0"/>
        <w:adjustRightInd w:val="0"/>
        <w:spacing w:line="360" w:lineRule="auto"/>
        <w:jc w:val="both"/>
        <w:rPr>
          <w:rFonts w:cs="Arial"/>
          <w:color w:val="3B3838" w:themeColor="background2" w:themeShade="40"/>
          <w:sz w:val="24"/>
          <w:szCs w:val="24"/>
          <w:shd w:val="clear" w:color="auto" w:fill="FFFFFF"/>
        </w:rPr>
      </w:pPr>
    </w:p>
    <w:p w14:paraId="66FE4DCA" w14:textId="77777777" w:rsidR="00AE51CA" w:rsidRPr="00B86132" w:rsidRDefault="00AE51CA" w:rsidP="00AE51CA">
      <w:pPr>
        <w:autoSpaceDE w:val="0"/>
        <w:autoSpaceDN w:val="0"/>
        <w:adjustRightInd w:val="0"/>
        <w:spacing w:line="360" w:lineRule="auto"/>
        <w:jc w:val="both"/>
        <w:rPr>
          <w:rFonts w:cs="Arial"/>
          <w:color w:val="3B3838" w:themeColor="background2" w:themeShade="40"/>
          <w:sz w:val="24"/>
          <w:szCs w:val="24"/>
        </w:rPr>
      </w:pPr>
      <w:r w:rsidRPr="00B86132">
        <w:rPr>
          <w:rFonts w:cs="Arial"/>
          <w:color w:val="3B3838" w:themeColor="background2" w:themeShade="40"/>
          <w:sz w:val="24"/>
          <w:szCs w:val="24"/>
          <w:shd w:val="clear" w:color="auto" w:fill="FFFFFF"/>
        </w:rPr>
        <w:t xml:space="preserve">In their 2017 article, Lohrasbe and Ogden outline autonomic dysregulation and arousal difficulties as central to the symptomatology of relational trauma and make the important point that parental dysregulation due to past trauma has a profound impact on the family dynamic, negatively impacting outcomes for the child (Lohrasbe &amp; Ogden, 2017, p. 573). The article focuses on Sensorimotor Psychotherapy’s use of somatic and non-somatic resources to help regulate autonomic and emotional arousal in both child and parent in the context of family therapy. It is clear that, without intervention, a child dysregulated by early trauma is likely to become a dysregulated adult who will struggle to provide their own children with opportunities for regulation when they become emotionally and autonomically dysregulated. </w:t>
      </w:r>
      <w:r w:rsidRPr="00B86132">
        <w:rPr>
          <w:rFonts w:cs="Arial"/>
          <w:color w:val="3B3838" w:themeColor="background2" w:themeShade="40"/>
          <w:sz w:val="24"/>
          <w:szCs w:val="24"/>
        </w:rPr>
        <w:t xml:space="preserve">The SP Modulation Model uses the Window of Tolerance (Siegel, 2020) as a framework within which client states of arousal can be regulated to allow optimum cognitive functioning. Somatic markers of arousal include heart rate, breathing rate, muscle tonicity and movement impulse, all of which can be noticed and monitored by the client, initially with guidance from the therapist and later independently, again promoting client agency. Increased awareness of the somatic signs of regulation and dysregulation give the client more choice in how they respond to their current state of arousal and can also inform which tools or resources they use to regulate arousal. </w:t>
      </w:r>
    </w:p>
    <w:p w14:paraId="44FB3C30" w14:textId="77777777" w:rsidR="00AE51CA" w:rsidRPr="00B86132" w:rsidRDefault="00AE51CA" w:rsidP="00AE51CA">
      <w:pPr>
        <w:spacing w:line="360" w:lineRule="auto"/>
        <w:jc w:val="both"/>
        <w:rPr>
          <w:rFonts w:cs="Arial"/>
          <w:color w:val="3B3838" w:themeColor="background2" w:themeShade="40"/>
          <w:sz w:val="24"/>
          <w:szCs w:val="24"/>
        </w:rPr>
      </w:pPr>
    </w:p>
    <w:p w14:paraId="7540D64D"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One way in which SP may be different from other forms of psychotherapy is its emphasis on the client staying with the physiological symptom they are experiencing, such as a fast heartbeat, as opposed to exploring the overwhelming emotion that is linked with it. Bearing in mind that overwhelm is a central hallmark of traumatic experience, Lohrasbe and Ogden have found that guiding the client to stay with and explore their current bodily sensation is an effective method of regulating arousal, whereas exploring the overwhelming emotion while dysregulated can throw the client into a spiral of dysregulation, potentially leading to traumatisation and decompensation. The therapist offers and engages in a range of possible somatic resources (breathing slowly, changing their posture, making a gesture) to help the client regulate their hyper or hypo arousal, whilst </w:t>
      </w:r>
      <w:r w:rsidRPr="00B86132">
        <w:rPr>
          <w:rFonts w:cs="Arial"/>
          <w:color w:val="3B3838" w:themeColor="background2" w:themeShade="40"/>
          <w:sz w:val="24"/>
          <w:szCs w:val="24"/>
        </w:rPr>
        <w:lastRenderedPageBreak/>
        <w:t xml:space="preserve">simultaneously helping the client to monitor in the present moment the impact of the intervention in bringing them back within their window of tolerance. There is a strong emphasis on therapist and client engaging in the resource together, so the client has a present moment felt sense of the resource’s power to regulate their state of arousal. Interestingly, the paper also emphasises the importance of non-somatic resources including listening to music, walking in nature, being with a friend, but again with the emphasis on giving the client an opportunity to explore the felt sense of the impact of the individual resource on their state of arousal. Over time, the client is guided to intuitively notice the impact of different stimuli on their arousal levels, giving them increased agency to choose how they engage with challenging situations, an invaluable life skill which can eventually be applied to any situation outside of therapy. </w:t>
      </w:r>
    </w:p>
    <w:p w14:paraId="536A3225" w14:textId="77777777" w:rsidR="00AE51CA" w:rsidRPr="00B86132" w:rsidRDefault="00AE51CA" w:rsidP="00AE51CA">
      <w:pPr>
        <w:spacing w:line="360" w:lineRule="auto"/>
        <w:jc w:val="both"/>
        <w:rPr>
          <w:rFonts w:cs="Arial"/>
          <w:color w:val="3B3838" w:themeColor="background2" w:themeShade="40"/>
          <w:sz w:val="24"/>
          <w:szCs w:val="24"/>
        </w:rPr>
      </w:pPr>
    </w:p>
    <w:p w14:paraId="2C129E1E"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Fisher and Odgen (2007, pp. 212) note that whilst many experiential psychotherapeutic approaches incorporate awareness of emotional states and the body responses that accompany them, they fall short of offering direct interventions to enable clients to experience altered physiological responses. One clear exception to this criticism is Danish trauma therapist, Merete Holm Brantbjerg, whose pioneering work highlights the importance of bringing awareness to and working with hypo-states in the bodies of psychotherapy clients (Brantbjerg, 2009, 2015, 2020). Brantbjerg and collaborator, Vardal, developed RTT in response to their shared clinical experience of working with clients using classical body psychotherapy interventions including ‘the running technique’, a Bodynamic trauma therapy method which is also used by Rothschild and other somatic trauma therapists (Rothschild, 2003, p. 137). Brantbjerg and Vardal discovered that, whilst having high success rates with some of their shock trauma clients, ‘the running technique’ was unsuccessful and even counterproductive in resolving the symptoms of complex trauma clients (Vardal, 2021, p. 2). In recent years, they have systematically worked to understand why this technique has only limited success and Vardal’s as yet unpublished paper (Vardal, 2021) explores ‘the running technique’ in depth. The technique bears a strong resemblance to biological discharge techniques used in SE, in part because its development was influenced by Levine’s work on discharging sympathetic </w:t>
      </w:r>
      <w:r w:rsidRPr="00B86132">
        <w:rPr>
          <w:rFonts w:cs="Arial"/>
          <w:color w:val="3B3838" w:themeColor="background2" w:themeShade="40"/>
          <w:sz w:val="24"/>
          <w:szCs w:val="24"/>
        </w:rPr>
        <w:lastRenderedPageBreak/>
        <w:t xml:space="preserve">arousal through gestures of biological completion (Vardal, 2021; Levine, 2010, pp. 21-25). </w:t>
      </w:r>
    </w:p>
    <w:p w14:paraId="6148B538" w14:textId="77777777" w:rsidR="00AE51CA" w:rsidRPr="00B86132" w:rsidRDefault="00AE51CA" w:rsidP="00AE51CA">
      <w:pPr>
        <w:spacing w:line="360" w:lineRule="auto"/>
        <w:jc w:val="both"/>
        <w:rPr>
          <w:rFonts w:cs="Arial"/>
          <w:color w:val="3B3838" w:themeColor="background2" w:themeShade="40"/>
          <w:sz w:val="24"/>
          <w:szCs w:val="24"/>
        </w:rPr>
      </w:pPr>
    </w:p>
    <w:p w14:paraId="3D5D1AC2"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Interestingly, Vardal and Brantbjerg’s critique of the running technique is very similar to Heller’s critical analysis of traditional SE for the treatment of people with complex or developmental trauma. Heller, who trained in Levine’s Somatic Experiencing and was part of the SE teaching faculty for many years, went on to develop NARM in order to work more successfully with developmental trauma, which he described as being unresponsive to the classic SE approach (Heller and Lapierre, 2012, p. 24). Both critiques emphasise the importance of working with parasympathetically dominant symptoms first, as opposed to adhering to the “biological completion” emphasis of traditional SE or the Bodynamic “running technique”, which are designed to release suppressed sympathetic arousal (Vardal, 2021, pp. 2-3; Brantbjerg, 2021, p. 5; Heller and Lapierre, 2012, pp. 273-283). It is now widely acknowledged amongst trauma specialists that cathartic approaches can be counterproductive and even retraumatising for survivors of developmental trauma, causing them to fall deeper into a collapsed state (Brantbjerg, 2021, p. 12; Heller and LaPierre, 2012, pp. 23-25; Vardal, 2021, p. 2; Ogden and Fisher, 2015, pp. 636-637).</w:t>
      </w:r>
    </w:p>
    <w:p w14:paraId="37D85028" w14:textId="77777777" w:rsidR="00AE51CA" w:rsidRPr="00B86132" w:rsidRDefault="00AE51CA" w:rsidP="00AE51CA">
      <w:pPr>
        <w:spacing w:line="360" w:lineRule="auto"/>
        <w:jc w:val="both"/>
        <w:rPr>
          <w:rFonts w:cs="Arial"/>
          <w:color w:val="3B3838" w:themeColor="background2" w:themeShade="40"/>
          <w:sz w:val="24"/>
          <w:szCs w:val="24"/>
        </w:rPr>
      </w:pPr>
    </w:p>
    <w:p w14:paraId="0087D38B" w14:textId="77777777" w:rsidR="00AE51CA" w:rsidRPr="00B86132" w:rsidRDefault="00AE51CA" w:rsidP="00AE51CA">
      <w:pPr>
        <w:autoSpaceDE w:val="0"/>
        <w:autoSpaceDN w:val="0"/>
        <w:adjustRightInd w:val="0"/>
        <w:spacing w:line="360" w:lineRule="auto"/>
        <w:jc w:val="both"/>
        <w:rPr>
          <w:rFonts w:eastAsiaTheme="minorHAnsi" w:cs="Arial"/>
          <w:color w:val="3B3838" w:themeColor="background2" w:themeShade="40"/>
          <w:sz w:val="24"/>
          <w:szCs w:val="24"/>
          <w:lang w:eastAsia="en-US"/>
        </w:rPr>
      </w:pPr>
      <w:r w:rsidRPr="00B86132">
        <w:rPr>
          <w:rFonts w:eastAsiaTheme="minorHAnsi" w:cs="Arial"/>
          <w:color w:val="3B3838" w:themeColor="background2" w:themeShade="40"/>
          <w:sz w:val="24"/>
          <w:szCs w:val="24"/>
          <w:lang w:eastAsia="en-US"/>
        </w:rPr>
        <w:t xml:space="preserve">It is important to note a number of limitations in this research, the first being the lack of a large enough number of randomised control trials on the subject of somatic psychotherapies in the treatment of developmental trauma. Without this, it is difficult to draw firm conclusions that are well evidenced in the literature. It is also clear that, due to the necessity of maintaining a clear focus on the central research question, little time has been devoted to exploring the efficacy of other types of creative, body-based intervention, including expressive arts therapies (Malchiodi, 2020) and trauma sensitive yoga (Rhodes et al., 2016; Emerson, 2015) which initially look very promising as therapeutic approaches for survivors of developmental trauma. The researcher’s own bias, combined with the research focus on somatic psychotherapies, has resulted in little emphasis being given to cognitive focused therapies, on the basis that they currently represent the mainstream and are already very widely covered by others (Cohen et al., 2012; Lonergan, 2014; </w:t>
      </w:r>
      <w:r w:rsidRPr="00B86132">
        <w:rPr>
          <w:rFonts w:cs="Arial"/>
          <w:color w:val="3B3838" w:themeColor="background2" w:themeShade="40"/>
          <w:sz w:val="24"/>
          <w:szCs w:val="24"/>
          <w:shd w:val="clear" w:color="auto" w:fill="FFFFFF"/>
        </w:rPr>
        <w:t>Sachser, Keller and Goldbeck, 2016</w:t>
      </w:r>
      <w:r w:rsidRPr="00B86132">
        <w:rPr>
          <w:rFonts w:eastAsiaTheme="minorHAnsi" w:cs="Arial"/>
          <w:color w:val="3B3838" w:themeColor="background2" w:themeShade="40"/>
          <w:sz w:val="24"/>
          <w:szCs w:val="24"/>
          <w:lang w:eastAsia="en-US"/>
        </w:rPr>
        <w:t xml:space="preserve">). Rohricht advocates </w:t>
      </w:r>
      <w:r w:rsidRPr="00B86132">
        <w:rPr>
          <w:rFonts w:eastAsiaTheme="minorHAnsi" w:cs="Arial"/>
          <w:color w:val="3B3838" w:themeColor="background2" w:themeShade="40"/>
          <w:sz w:val="24"/>
          <w:szCs w:val="24"/>
          <w:lang w:eastAsia="en-US"/>
        </w:rPr>
        <w:lastRenderedPageBreak/>
        <w:t xml:space="preserve">strongly for a more systematic approach both to the teaching of somatic psychotherapies and to the evaluation of their efficacy: </w:t>
      </w:r>
    </w:p>
    <w:p w14:paraId="75CB3A22" w14:textId="77777777" w:rsidR="00AE51CA" w:rsidRPr="00B86132" w:rsidRDefault="00AE51CA" w:rsidP="00AE51CA">
      <w:pPr>
        <w:autoSpaceDE w:val="0"/>
        <w:autoSpaceDN w:val="0"/>
        <w:adjustRightInd w:val="0"/>
        <w:spacing w:line="360" w:lineRule="auto"/>
        <w:jc w:val="both"/>
        <w:rPr>
          <w:rFonts w:eastAsiaTheme="minorHAnsi" w:cs="Arial"/>
          <w:color w:val="3B3838" w:themeColor="background2" w:themeShade="40"/>
          <w:sz w:val="24"/>
          <w:szCs w:val="24"/>
          <w:lang w:eastAsia="en-US"/>
        </w:rPr>
      </w:pPr>
    </w:p>
    <w:p w14:paraId="108224DD" w14:textId="77777777" w:rsidR="00AE51CA" w:rsidRPr="00B86132" w:rsidRDefault="00AE51CA" w:rsidP="00AE51CA">
      <w:pPr>
        <w:autoSpaceDE w:val="0"/>
        <w:autoSpaceDN w:val="0"/>
        <w:adjustRightInd w:val="0"/>
        <w:ind w:left="567" w:right="567"/>
        <w:jc w:val="both"/>
        <w:rPr>
          <w:rFonts w:cs="Arial"/>
          <w:color w:val="3B3838" w:themeColor="background2" w:themeShade="40"/>
          <w:sz w:val="24"/>
          <w:szCs w:val="24"/>
        </w:rPr>
      </w:pPr>
      <w:r w:rsidRPr="00B86132">
        <w:rPr>
          <w:rFonts w:eastAsiaTheme="minorHAnsi" w:cs="Arial"/>
          <w:color w:val="3B3838" w:themeColor="background2" w:themeShade="40"/>
          <w:sz w:val="24"/>
          <w:szCs w:val="24"/>
          <w:lang w:eastAsia="en-US"/>
        </w:rPr>
        <w:t>Strong academic links are urgently required in order to support practitioners in their efforts to evaluate the clinical work in systematic research. The field would greatly benefit from the development of international higher education training in integrated clinical body psychotherapy, enabling practitioners to obtain a master’s degree (Rohricht, 2009, p. 135).</w:t>
      </w:r>
    </w:p>
    <w:p w14:paraId="6BCCF0B3" w14:textId="77777777" w:rsidR="00AE51CA" w:rsidRPr="00B86132" w:rsidRDefault="00AE51CA" w:rsidP="00AE51CA">
      <w:pPr>
        <w:spacing w:line="360" w:lineRule="auto"/>
        <w:jc w:val="both"/>
        <w:rPr>
          <w:rFonts w:cs="Arial"/>
          <w:color w:val="3B3838" w:themeColor="background2" w:themeShade="40"/>
          <w:sz w:val="24"/>
          <w:szCs w:val="24"/>
        </w:rPr>
      </w:pPr>
    </w:p>
    <w:p w14:paraId="303AE8A2" w14:textId="77777777" w:rsidR="00AE51CA" w:rsidRPr="00B86132" w:rsidRDefault="00AE51CA" w:rsidP="00AE51CA">
      <w:pPr>
        <w:autoSpaceDE w:val="0"/>
        <w:autoSpaceDN w:val="0"/>
        <w:adjustRightInd w:val="0"/>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This would seem an obvious next step towards creating a more level playing field for the somatic psychotherapies, allowing them to take their rightful place alongside more cognitively focused therapies. However, some body psychotherapists may resist what could be seen as an attempt to protocolise a hugely diverse and organic set of practices. Many indigenous cultures have their own traditional approaches to healing the fragmentation of trauma or “soul loss” (Vickers and Moyers, 2020, p. 5), including the shamanic practice of soul retrieval, which focuses on re-uniting fragmented soul parts with their person (Matthews, 2003). There is also an emphasis on somatic practices like group dancing, singing, ceremony and ritual which are still prevalent in many cultures (Visser, 2020, pp. 259-260; Robinson, 2013, p. 36; Marsh et al., 2018). It is easy to overlook such approaches, believing them to be primitive and lacking in scientific rigour, yet these practices have stood the test of time and have often consciously or unconsciously influenced modern approaches to psychology and psychotherapy (Feigenbaum and Smith, 2020; Kaufman, 2020; Levine, 1997, p. 60-61). Moving forward, it would be wise for practitioners of somatic therapies which are informed by indigenous wisdom to explicitly acknowledge the foundations of their approach. By honouring indigenous cultural heritage, one can substantially avoid inadvertently inflicting additional trauma on marginalised peoples through colonial attitudes to their indigenous practices. To quote Visser (2015, p. 258): “</w:t>
      </w:r>
      <w:r w:rsidRPr="00B86132">
        <w:rPr>
          <w:rFonts w:eastAsiaTheme="minorHAnsi" w:cs="Arial"/>
          <w:color w:val="3B3838" w:themeColor="background2" w:themeShade="40"/>
          <w:sz w:val="24"/>
          <w:szCs w:val="24"/>
          <w:lang w:eastAsia="en-US"/>
        </w:rPr>
        <w:t xml:space="preserve">trauma is not coherent in cause and effect, but may affect individuals and communities negatively, forcing open pre-existing fault lines”. </w:t>
      </w:r>
    </w:p>
    <w:p w14:paraId="5EFB4E04" w14:textId="77777777" w:rsidR="00AE51CA" w:rsidRPr="00B86132" w:rsidRDefault="00AE51CA" w:rsidP="00AE51CA">
      <w:pPr>
        <w:spacing w:line="360" w:lineRule="auto"/>
        <w:jc w:val="both"/>
        <w:rPr>
          <w:rFonts w:cs="Arial"/>
          <w:color w:val="3B3838" w:themeColor="background2" w:themeShade="40"/>
          <w:sz w:val="24"/>
          <w:szCs w:val="24"/>
        </w:rPr>
      </w:pPr>
    </w:p>
    <w:p w14:paraId="69ECCE03"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It is striking to note the similarities between the current mainstream exclusion of survivors of complex trauma from scientific research (Corrigan and Hull, 2015b) and the way women have historically been excluded from research, being </w:t>
      </w:r>
      <w:r w:rsidRPr="00B86132">
        <w:rPr>
          <w:rFonts w:cs="Arial"/>
          <w:color w:val="3B3838" w:themeColor="background2" w:themeShade="40"/>
          <w:sz w:val="24"/>
          <w:szCs w:val="24"/>
        </w:rPr>
        <w:lastRenderedPageBreak/>
        <w:t>deemed “too complex” (Dusenbery, 2018). Given that women, due to a combination of brain and behavioural differences, are twice as likely as men to be diagnosed with PTSD (Olff, 2017; Christiansen and Hansen, 2015; Goldberg and Freyd, 2006), it is encouraging that PTSD research is now receiving more widespread attention, but unsurprising that the more complex forms of trauma are less well researched (Corrigan and Hull, 2015b). The inclusion of a reference to the historical oppression of women may seem like a side note but, given that complex trauma is increasingly prevalent within marginalised groups (Karatzias et al., 2017, p. 4; Cloitre et al., 2019, pp. 835-837), it is fundamentally important that voices from marginalised groups are amplified, particularly when they bring attention to the serious impact of systemic oppression.</w:t>
      </w:r>
    </w:p>
    <w:p w14:paraId="3CA82BC5" w14:textId="77777777" w:rsidR="00AE51CA" w:rsidRPr="00B86132" w:rsidRDefault="00AE51CA" w:rsidP="00AE51CA">
      <w:pPr>
        <w:spacing w:line="360" w:lineRule="auto"/>
        <w:jc w:val="both"/>
        <w:rPr>
          <w:rFonts w:cs="Arial"/>
          <w:color w:val="3B3838" w:themeColor="background2" w:themeShade="40"/>
          <w:sz w:val="24"/>
          <w:szCs w:val="24"/>
        </w:rPr>
      </w:pPr>
    </w:p>
    <w:p w14:paraId="1AA406E0"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Ford (2021, p. 12) acknowledges the difficulty of drawing solid conclusions about the varying efficacy of different treatments for C-PTSD, not least because there is currently no universally recognised formal diagnostic tool to determine what constitutes C-PTSD. However, the introduction of the International Trauma Questionnaire (ITQ) may offer a solution to this problem, enabling future research studies on C-PTSD to use this diagnostic tool both to confirm the C-PTSD diagnosis and to give clarity on baseline and follow up scores in the various symptom domains (International Trauma Consortium, 2021). It will be interesting to see how the introduction of this new tool influences future research on C-PTSD and whether it is embraced or rejected by those interested in researching somatic interventions. Ford (2021) also emphasises the heterogeneous nature of C-PTSD, insisting that a precision approach will be necessary to best meet the needs of C-PTSD clients who often have a wide range of symptoms from within the various symptom domains in the ITQ, which can co-arise in extremely varied combinations depending on the individual and their trauma history. It is clear that significantly more research is needed to establish better consensus around C-PTSD as a diagnosis. Equally, as mentioned previously (Brom et al., 2017), it will be invaluable if future research into somatic approaches can incorporate monitoring of physiological markers to gain a better understanding about what is being altered by the various interventions and how this helps clients to recover from their trauma symptoms. If the somatic psychotherapies wish to be taken seriously as a key treatment for developmental trauma, it will be vital to gather as </w:t>
      </w:r>
      <w:r w:rsidRPr="00B86132">
        <w:rPr>
          <w:rFonts w:cs="Arial"/>
          <w:color w:val="3B3838" w:themeColor="background2" w:themeShade="40"/>
          <w:sz w:val="24"/>
          <w:szCs w:val="24"/>
        </w:rPr>
        <w:lastRenderedPageBreak/>
        <w:t xml:space="preserve">much empirical evidence as possible to support the efficacy of a body-based approach and to explain the underlying mechanisms which lead to its success. </w:t>
      </w:r>
    </w:p>
    <w:p w14:paraId="21A87ED7" w14:textId="77777777" w:rsidR="00AE51CA" w:rsidRPr="00B86132" w:rsidRDefault="00AE51CA" w:rsidP="00AE51CA">
      <w:pPr>
        <w:spacing w:line="360" w:lineRule="auto"/>
        <w:jc w:val="both"/>
        <w:rPr>
          <w:rFonts w:cs="Arial"/>
          <w:color w:val="3B3838" w:themeColor="background2" w:themeShade="40"/>
          <w:sz w:val="24"/>
          <w:szCs w:val="24"/>
        </w:rPr>
      </w:pPr>
    </w:p>
    <w:p w14:paraId="5816D22D"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Given the high degree of crossover in both the underlying theory and practice of the various somatic psychotherapies, it is likely that the findings of some of the recently completed RCT’s could have utility not only for practitioners of the specific modality being studied but also for practitioners of other related somatic psychotherapeutic approaches. Perhaps, given funding limitations and the difficulty in creating a rigid protocol for working in an embodied way with survivors of developmental trauma, future research efforts could pool resources and focus on studying the efficacy of techniques which are common to all somatic psychotherapies, including embodied mindfulness and body-based techniques for regulating autonomic arousal, in effect a “common factors” type approach to somatic interventions (Wampold, 2015; Goldfried, 2019). This raises the important question of how far it is possible to generalise the key features of successful somatic approaches before the approach becomes over-generalised to the point of meaninglessness and inaccuracy. There is a tension here between the benefit of simplicity and the necessity of complexity. Precision in identifying and offering the appropriate approach for each individual client, based on their unique symptom profile and life circumstances, is something that can only truly arise in the context of highly relational psychotherapeutic approaches (Stauffer, Medina and Chipperfield, 2007; Soth, 2013). </w:t>
      </w:r>
    </w:p>
    <w:p w14:paraId="7E89DA8A" w14:textId="77777777" w:rsidR="00AE51CA" w:rsidRPr="00B86132" w:rsidRDefault="00AE51CA" w:rsidP="00AE51CA">
      <w:pPr>
        <w:spacing w:line="360" w:lineRule="auto"/>
        <w:jc w:val="both"/>
        <w:rPr>
          <w:rFonts w:cs="Arial"/>
          <w:color w:val="3B3838" w:themeColor="background2" w:themeShade="40"/>
          <w:sz w:val="24"/>
          <w:szCs w:val="24"/>
        </w:rPr>
      </w:pPr>
    </w:p>
    <w:p w14:paraId="0991EA4E" w14:textId="77777777" w:rsidR="00AE51CA" w:rsidRPr="00B86132" w:rsidRDefault="00AE51CA" w:rsidP="00AE51CA">
      <w:pPr>
        <w:spacing w:line="360" w:lineRule="auto"/>
        <w:jc w:val="center"/>
        <w:rPr>
          <w:rFonts w:cs="Arial"/>
          <w:b/>
          <w:bCs/>
          <w:color w:val="3B3838" w:themeColor="background2" w:themeShade="40"/>
          <w:sz w:val="24"/>
          <w:szCs w:val="24"/>
        </w:rPr>
      </w:pPr>
      <w:r w:rsidRPr="00B86132">
        <w:rPr>
          <w:rFonts w:cs="Arial"/>
          <w:b/>
          <w:bCs/>
          <w:color w:val="3B3838" w:themeColor="background2" w:themeShade="40"/>
          <w:sz w:val="24"/>
          <w:szCs w:val="24"/>
        </w:rPr>
        <w:t>Conclusion</w:t>
      </w:r>
    </w:p>
    <w:p w14:paraId="3DD663B7" w14:textId="77777777" w:rsidR="00AE51CA" w:rsidRPr="00B86132" w:rsidRDefault="00AE51CA" w:rsidP="00AE51CA">
      <w:pPr>
        <w:spacing w:line="360" w:lineRule="auto"/>
        <w:jc w:val="both"/>
        <w:rPr>
          <w:rFonts w:cs="Arial"/>
          <w:b/>
          <w:bCs/>
          <w:color w:val="3B3838" w:themeColor="background2" w:themeShade="40"/>
          <w:sz w:val="24"/>
          <w:szCs w:val="24"/>
        </w:rPr>
      </w:pPr>
    </w:p>
    <w:p w14:paraId="64BC31DB"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As the name suggests, C-PTSD is a complex condition, both in the manner in which its varied symptoms present in individual clients and in the way individual symptoms respond to specific treatment approaches. It therefore makes sense that the most realistic approach to effective trauma therapy for clients with C-PTSD will be a toolkit featuring a variety of different approaches, which can be drawn upon depending on what the individual client brings to the therapy session on a given day (van der Kolk, 2014; Rothschild, 2003). Meeting a complex and poorly understood condition with complexity in treatment options, as well as a high degree of flexibility, may prove to be the preferred approach in ensuring </w:t>
      </w:r>
      <w:r w:rsidRPr="00B86132">
        <w:rPr>
          <w:rFonts w:cs="Arial"/>
          <w:color w:val="3B3838" w:themeColor="background2" w:themeShade="40"/>
          <w:sz w:val="24"/>
          <w:szCs w:val="24"/>
        </w:rPr>
        <w:lastRenderedPageBreak/>
        <w:t xml:space="preserve">successful future treatment outcomes for clients with C-PTSD. Given the ongoing controversy surrounding C-PTSD as a diagnosis (De Jongh et al., 2016; Cloitre et al., 2013; Brewin et al., 2017), it is possible that the diagnosis of PTSD will come to be seen as a continuum, with simple shock trauma PTSD at one end and complex developmental trauma at the other. Until there is more widespread consensus around the diagnosis itself, it is difficult to imagine how future research will navigate this challenge in order to produce evidence which is deemed sufficiently rigorous by the majority. It seems likely that a range of different treatment approaches will continue to be necessary, depending on the specific constellation of an individual client’s symptomatology and the interventions which produce most significant positive results. </w:t>
      </w:r>
    </w:p>
    <w:p w14:paraId="22D17840" w14:textId="77777777" w:rsidR="00AE51CA" w:rsidRPr="00B86132" w:rsidRDefault="00AE51CA" w:rsidP="00AE51CA">
      <w:pPr>
        <w:spacing w:line="360" w:lineRule="auto"/>
        <w:jc w:val="both"/>
        <w:rPr>
          <w:rFonts w:cs="Arial"/>
          <w:color w:val="3B3838" w:themeColor="background2" w:themeShade="40"/>
          <w:sz w:val="24"/>
          <w:szCs w:val="24"/>
        </w:rPr>
      </w:pPr>
    </w:p>
    <w:p w14:paraId="58FEF2FC"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However, this research has identified some key approaches which are familiar to most somatic psychotherapies and appear to produce promising results in survivors of developmental trauma. These include: a strongly relational approach and the ability of the therapist to provide solid co-regulation to aid autonomic regulation in the client (Rothschild, 2017, p. 31) an emphasis on mindfulness including interoception and the ability to use the body as a resource; an attentive awareness of the client’s body and its non-verbal signals and an understanding of how implicit memory can be held in the body; an absolute commitment to supporting and encouraging client agency, both in the therapy room and in daily life. One could argue that, if these conditions are met, there is less necessity for a phase-based approach, because the careful attunement of therapist and client will automatically ensure the client remains within their window of tolerance. </w:t>
      </w:r>
    </w:p>
    <w:p w14:paraId="47BC8F2E" w14:textId="77777777" w:rsidR="00AE51CA" w:rsidRPr="00B86132" w:rsidRDefault="00AE51CA" w:rsidP="00AE51CA">
      <w:pPr>
        <w:spacing w:line="360" w:lineRule="auto"/>
        <w:jc w:val="both"/>
        <w:rPr>
          <w:rFonts w:cs="Arial"/>
          <w:color w:val="3B3838" w:themeColor="background2" w:themeShade="40"/>
          <w:sz w:val="24"/>
          <w:szCs w:val="24"/>
        </w:rPr>
      </w:pPr>
    </w:p>
    <w:p w14:paraId="27CDA530"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A significant number of clinicians, from varied backgrounds in somatic psychotherapy, have independently discovered through their clinical practice that somatic techniques which work effectively for shock trauma clients are inadequate when working with complex and developmental trauma clients (Vardal, 2021, p. 6; Heller and LaPierre, 2012, p.274). The layers of nuance involved in working with complex trauma clients are strikingly apparent and it is encouraging that cutting edge developments in the world of trauma therapy all have a strong emphasis on the relational aspect of trauma therapy when working with complexity. If one considers the example of SE, in many ways a ’gold </w:t>
      </w:r>
      <w:r w:rsidRPr="00B86132">
        <w:rPr>
          <w:rFonts w:cs="Arial"/>
          <w:color w:val="3B3838" w:themeColor="background2" w:themeShade="40"/>
          <w:sz w:val="24"/>
          <w:szCs w:val="24"/>
        </w:rPr>
        <w:lastRenderedPageBreak/>
        <w:t>standard’ somatic psychotherapy, it was initially a radical move away from traditional talk therapy in terms of its emphasis on bottom-up processing and on focusing on the nervous system and somatic sensations as opposed to emotions and insight. However, as the field of trauma therapy and research has matured, straightforward SE now requires refinements in order to satisfactorily help people with complex trauma. Indeed, complex trauma is not addressed in any depth until year 3, or the advanced level, of SE training (SOS Internationale, 2021). This is encouraging, as it illustrates that somatic approaches are not operating in a vacuum and are being constantly modified and refined to better serve a complex client group.</w:t>
      </w:r>
    </w:p>
    <w:p w14:paraId="1746F53C" w14:textId="77777777" w:rsidR="00AE51CA" w:rsidRPr="00B86132" w:rsidRDefault="00AE51CA" w:rsidP="00AE51CA">
      <w:pPr>
        <w:spacing w:line="360" w:lineRule="auto"/>
        <w:jc w:val="both"/>
        <w:rPr>
          <w:rFonts w:cs="Arial"/>
          <w:b/>
          <w:bCs/>
          <w:color w:val="3B3838" w:themeColor="background2" w:themeShade="40"/>
          <w:sz w:val="24"/>
          <w:szCs w:val="24"/>
        </w:rPr>
      </w:pPr>
    </w:p>
    <w:p w14:paraId="183ACDA0"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As mentioned previously, there is growing consensus amongst professionals across many different schools of psychotherapy that a relational approach is essential for therapeutic change (Leonidaki, 2021; </w:t>
      </w:r>
      <w:r w:rsidRPr="00B86132">
        <w:rPr>
          <w:rFonts w:cs="Arial"/>
          <w:color w:val="3B3838" w:themeColor="background2" w:themeShade="40"/>
          <w:sz w:val="24"/>
          <w:szCs w:val="24"/>
          <w:shd w:val="clear" w:color="auto" w:fill="FFFFFF"/>
        </w:rPr>
        <w:t xml:space="preserve">Faris and Ooijen, 2012; </w:t>
      </w:r>
      <w:r w:rsidRPr="00B86132">
        <w:rPr>
          <w:rFonts w:cs="Arial"/>
          <w:color w:val="3B3838" w:themeColor="background2" w:themeShade="40"/>
          <w:sz w:val="24"/>
          <w:szCs w:val="24"/>
        </w:rPr>
        <w:t xml:space="preserve">Yontef, 2002; Day, 2016; </w:t>
      </w:r>
      <w:r w:rsidRPr="00B86132">
        <w:rPr>
          <w:rFonts w:cs="Arial"/>
          <w:color w:val="3B3838" w:themeColor="background2" w:themeShade="40"/>
          <w:sz w:val="24"/>
          <w:szCs w:val="24"/>
          <w:shd w:val="clear" w:color="auto" w:fill="FFFFFF"/>
        </w:rPr>
        <w:t xml:space="preserve">Spagnuolo Lobb, 2012; Heller and LaPierre, 2012; </w:t>
      </w:r>
      <w:r w:rsidRPr="00B86132">
        <w:rPr>
          <w:rFonts w:cs="Arial"/>
          <w:color w:val="3B3838" w:themeColor="background2" w:themeShade="40"/>
          <w:sz w:val="24"/>
          <w:szCs w:val="24"/>
        </w:rPr>
        <w:t xml:space="preserve">Dana, 2018, pp. 44-46; </w:t>
      </w:r>
      <w:r w:rsidRPr="00B86132">
        <w:rPr>
          <w:rFonts w:cs="Arial"/>
          <w:color w:val="3B3838" w:themeColor="background2" w:themeShade="40"/>
          <w:sz w:val="24"/>
          <w:szCs w:val="24"/>
          <w:shd w:val="clear" w:color="auto" w:fill="FFFFFF"/>
        </w:rPr>
        <w:t>Rothschild, 2017, p.21)</w:t>
      </w:r>
      <w:r w:rsidRPr="00B86132">
        <w:rPr>
          <w:rFonts w:cs="Arial"/>
          <w:color w:val="3B3838" w:themeColor="background2" w:themeShade="40"/>
          <w:sz w:val="24"/>
          <w:szCs w:val="24"/>
        </w:rPr>
        <w:t xml:space="preserve">. It stands to reason therefore that, for a condition like developmental trauma which stems from relational wounding, a nuanced, flexible, relational approach will be absolutely essential. Unfortunately, this consensus is not reflected in current NICE guidelines, primarily due to an emphasis on the medical model and the idea that psychological suffering is a disorder to be treated rather than a culmination of life events which need to be approached in a more individualised and relational manner (Leonidaki, 2021, pp. 74-75). In order to be truly relational when working with developmental trauma survivors, one must carefully consider the diverse symptomatology which arises not only from a dysregulated nervous system, but also from early disturbances in identity which can adversely impact relationality and verbal communication. The prioritisation of non-verbal cues and somatic markers is therefore fundamental to meeting people where they are, welcoming the whole person – body, mind and spirit. In trauma states, where much of the person’s traumatic material is held implicitly, fragmented and often not immediately accessible to declarative memory and verbal processing (van der Kolk, pp. 171-183), the body’s wisdom can be a treasure trove which reveals important information to guide and inform a person’s journey towards wholeness. By drawing upon humanistic theory, which places the client’s own process at the </w:t>
      </w:r>
      <w:r w:rsidRPr="00B86132">
        <w:rPr>
          <w:rFonts w:cs="Arial"/>
          <w:color w:val="3B3838" w:themeColor="background2" w:themeShade="40"/>
          <w:sz w:val="24"/>
          <w:szCs w:val="24"/>
        </w:rPr>
        <w:lastRenderedPageBreak/>
        <w:t>centre of the therapy, combined with precise and attentive awareness of bodily cues as indicators of implicit memory, one could argue that somatic psychotherapies represent the pinnacle of relational approaches. All parts of the person are welcomed, not just their cognitive abilities.</w:t>
      </w:r>
    </w:p>
    <w:p w14:paraId="22EF29E6" w14:textId="77777777" w:rsidR="00AE51CA" w:rsidRPr="00B86132" w:rsidRDefault="00AE51CA" w:rsidP="00AE51CA">
      <w:pPr>
        <w:spacing w:line="360" w:lineRule="auto"/>
        <w:jc w:val="both"/>
        <w:rPr>
          <w:rFonts w:cs="Arial"/>
          <w:b/>
          <w:bCs/>
          <w:color w:val="3B3838" w:themeColor="background2" w:themeShade="40"/>
          <w:sz w:val="24"/>
          <w:szCs w:val="24"/>
        </w:rPr>
      </w:pPr>
    </w:p>
    <w:p w14:paraId="4C272DED" w14:textId="77777777" w:rsidR="00AE51CA" w:rsidRPr="00B86132" w:rsidRDefault="00AE51CA" w:rsidP="00AE51CA">
      <w:pPr>
        <w:spacing w:line="360" w:lineRule="auto"/>
        <w:jc w:val="both"/>
        <w:rPr>
          <w:rFonts w:cs="Arial"/>
          <w:color w:val="3B3838" w:themeColor="background2" w:themeShade="40"/>
          <w:sz w:val="24"/>
          <w:szCs w:val="24"/>
        </w:rPr>
      </w:pPr>
      <w:r w:rsidRPr="00B86132">
        <w:rPr>
          <w:rFonts w:cs="Arial"/>
          <w:color w:val="3B3838" w:themeColor="background2" w:themeShade="40"/>
          <w:sz w:val="24"/>
          <w:szCs w:val="24"/>
        </w:rPr>
        <w:t xml:space="preserve">There is a clear requirement that what is learned relationally in the therapy room is integrated into the person’s day to day life and, with trauma survivors, a large part of this is learning to feel safe in relationship with other human beings and learning how to reach out for help, as well as how to set appropriate boundaries. In the simplest possible terms, therapeutic healing results from the person knowing clearly and instinctively in their bodymind when to say yes and when to say no, which incorporates the ability first to sense and then interpret the bodily cues which make up a large part of this knowing (Porges, 2011, p. 12). One of the cardinal signs of successful therapy is when a person reports change or improvement in their relationships outside of therapy, highlighting the fundamental importance of community as well as individual resilience. </w:t>
      </w:r>
    </w:p>
    <w:p w14:paraId="1619C0FB" w14:textId="77777777" w:rsidR="00AE51CA" w:rsidRPr="00B86132" w:rsidRDefault="00AE51CA" w:rsidP="00AE51CA">
      <w:pPr>
        <w:tabs>
          <w:tab w:val="left" w:pos="2115"/>
        </w:tabs>
        <w:spacing w:line="360" w:lineRule="auto"/>
        <w:jc w:val="both"/>
        <w:rPr>
          <w:rFonts w:cs="Arial"/>
          <w:color w:val="3B3838" w:themeColor="background2" w:themeShade="40"/>
          <w:sz w:val="24"/>
          <w:szCs w:val="24"/>
        </w:rPr>
      </w:pPr>
    </w:p>
    <w:p w14:paraId="2E1F67D1" w14:textId="7EF6BC56" w:rsidR="00AE51CA" w:rsidRPr="00B86132" w:rsidRDefault="00AE51CA" w:rsidP="00AE51CA">
      <w:pPr>
        <w:rPr>
          <w:color w:val="3B3838" w:themeColor="background2" w:themeShade="40"/>
        </w:rPr>
      </w:pPr>
    </w:p>
    <w:p w14:paraId="5AA436B6" w14:textId="68D3CD8A" w:rsidR="00FE659D" w:rsidRPr="00B86132" w:rsidRDefault="00FE659D" w:rsidP="00AE51CA">
      <w:pPr>
        <w:rPr>
          <w:color w:val="3B3838" w:themeColor="background2" w:themeShade="40"/>
        </w:rPr>
      </w:pPr>
    </w:p>
    <w:p w14:paraId="208116C7" w14:textId="13539C80" w:rsidR="00FE659D" w:rsidRPr="00B86132" w:rsidRDefault="00FE659D" w:rsidP="00AE51CA">
      <w:pPr>
        <w:rPr>
          <w:color w:val="3B3838" w:themeColor="background2" w:themeShade="40"/>
        </w:rPr>
      </w:pPr>
    </w:p>
    <w:p w14:paraId="09A78390" w14:textId="7A6EF377" w:rsidR="00FE659D" w:rsidRPr="00B86132" w:rsidRDefault="00FE659D" w:rsidP="00AE51CA">
      <w:pPr>
        <w:rPr>
          <w:color w:val="3B3838" w:themeColor="background2" w:themeShade="40"/>
        </w:rPr>
      </w:pPr>
    </w:p>
    <w:p w14:paraId="0D7F195D" w14:textId="5FFCC572" w:rsidR="00FE659D" w:rsidRPr="00B86132" w:rsidRDefault="00FE659D" w:rsidP="00AE51CA">
      <w:pPr>
        <w:rPr>
          <w:color w:val="3B3838" w:themeColor="background2" w:themeShade="40"/>
        </w:rPr>
      </w:pPr>
    </w:p>
    <w:p w14:paraId="7F2F9D3F" w14:textId="60B07D3C" w:rsidR="00FE659D" w:rsidRPr="00B86132" w:rsidRDefault="00FE659D" w:rsidP="00AE51CA">
      <w:pPr>
        <w:rPr>
          <w:color w:val="3B3838" w:themeColor="background2" w:themeShade="40"/>
        </w:rPr>
      </w:pPr>
    </w:p>
    <w:p w14:paraId="6DC150AB" w14:textId="2C40A336" w:rsidR="00FE659D" w:rsidRPr="00B86132" w:rsidRDefault="00FE659D" w:rsidP="00AE51CA">
      <w:pPr>
        <w:rPr>
          <w:color w:val="3B3838" w:themeColor="background2" w:themeShade="40"/>
        </w:rPr>
      </w:pPr>
    </w:p>
    <w:p w14:paraId="46C22875" w14:textId="2196E22E" w:rsidR="00FE659D" w:rsidRPr="00B86132" w:rsidRDefault="00FE659D" w:rsidP="00AE51CA">
      <w:pPr>
        <w:rPr>
          <w:color w:val="3B3838" w:themeColor="background2" w:themeShade="40"/>
        </w:rPr>
      </w:pPr>
    </w:p>
    <w:p w14:paraId="346FB1BD" w14:textId="3C026DE3" w:rsidR="00FE659D" w:rsidRPr="00B86132" w:rsidRDefault="00FE659D" w:rsidP="00AE51CA">
      <w:pPr>
        <w:rPr>
          <w:color w:val="3B3838" w:themeColor="background2" w:themeShade="40"/>
        </w:rPr>
      </w:pPr>
    </w:p>
    <w:p w14:paraId="443E6938" w14:textId="29575553" w:rsidR="00FE659D" w:rsidRPr="00B86132" w:rsidRDefault="00FE659D" w:rsidP="00AE51CA">
      <w:pPr>
        <w:rPr>
          <w:color w:val="3B3838" w:themeColor="background2" w:themeShade="40"/>
        </w:rPr>
      </w:pPr>
    </w:p>
    <w:p w14:paraId="16710BAD" w14:textId="09D99A02" w:rsidR="00FE659D" w:rsidRPr="00B86132" w:rsidRDefault="00FE659D" w:rsidP="00AE51CA">
      <w:pPr>
        <w:rPr>
          <w:color w:val="3B3838" w:themeColor="background2" w:themeShade="40"/>
        </w:rPr>
      </w:pPr>
    </w:p>
    <w:p w14:paraId="7BF5EE01" w14:textId="24B88DCF" w:rsidR="00FE659D" w:rsidRPr="00B86132" w:rsidRDefault="00FE659D" w:rsidP="00AE51CA">
      <w:pPr>
        <w:rPr>
          <w:color w:val="3B3838" w:themeColor="background2" w:themeShade="40"/>
        </w:rPr>
      </w:pPr>
    </w:p>
    <w:p w14:paraId="5724F1F9" w14:textId="3F63CB01" w:rsidR="00FE659D" w:rsidRPr="00B86132" w:rsidRDefault="00FE659D" w:rsidP="00AE51CA">
      <w:pPr>
        <w:rPr>
          <w:color w:val="3B3838" w:themeColor="background2" w:themeShade="40"/>
        </w:rPr>
      </w:pPr>
    </w:p>
    <w:p w14:paraId="726FAE44" w14:textId="417D5CCA" w:rsidR="00FE659D" w:rsidRPr="00B86132" w:rsidRDefault="00FE659D" w:rsidP="00AE51CA">
      <w:pPr>
        <w:rPr>
          <w:color w:val="3B3838" w:themeColor="background2" w:themeShade="40"/>
        </w:rPr>
      </w:pPr>
    </w:p>
    <w:p w14:paraId="015D956B" w14:textId="7E39C9C9" w:rsidR="00FE659D" w:rsidRPr="00B86132" w:rsidRDefault="00FE659D" w:rsidP="00AE51CA">
      <w:pPr>
        <w:rPr>
          <w:color w:val="3B3838" w:themeColor="background2" w:themeShade="40"/>
        </w:rPr>
      </w:pPr>
    </w:p>
    <w:p w14:paraId="09FF32C3" w14:textId="1E4B22E8" w:rsidR="00FE659D" w:rsidRPr="00B86132" w:rsidRDefault="00FE659D" w:rsidP="00AE51CA">
      <w:pPr>
        <w:rPr>
          <w:color w:val="3B3838" w:themeColor="background2" w:themeShade="40"/>
        </w:rPr>
      </w:pPr>
    </w:p>
    <w:p w14:paraId="4386DD5F" w14:textId="27E75D1B" w:rsidR="00FE659D" w:rsidRPr="00B86132" w:rsidRDefault="00FE659D" w:rsidP="00AE51CA">
      <w:pPr>
        <w:rPr>
          <w:color w:val="3B3838" w:themeColor="background2" w:themeShade="40"/>
        </w:rPr>
      </w:pPr>
    </w:p>
    <w:p w14:paraId="71EB953F" w14:textId="75C973D1" w:rsidR="00FE659D" w:rsidRPr="00B86132" w:rsidRDefault="00FE659D" w:rsidP="00AE51CA">
      <w:pPr>
        <w:rPr>
          <w:color w:val="3B3838" w:themeColor="background2" w:themeShade="40"/>
        </w:rPr>
      </w:pPr>
    </w:p>
    <w:p w14:paraId="4C6D0259" w14:textId="0D00000E" w:rsidR="00FE659D" w:rsidRPr="00B86132" w:rsidRDefault="00FE659D" w:rsidP="00AE51CA">
      <w:pPr>
        <w:rPr>
          <w:color w:val="3B3838" w:themeColor="background2" w:themeShade="40"/>
        </w:rPr>
      </w:pPr>
    </w:p>
    <w:p w14:paraId="540EC5E4" w14:textId="55CAAD7E" w:rsidR="00FE659D" w:rsidRPr="00B86132" w:rsidRDefault="00FE659D" w:rsidP="00AE51CA">
      <w:pPr>
        <w:rPr>
          <w:color w:val="3B3838" w:themeColor="background2" w:themeShade="40"/>
        </w:rPr>
      </w:pPr>
    </w:p>
    <w:p w14:paraId="5B6EA9AA" w14:textId="3F6FD85E" w:rsidR="00FE659D" w:rsidRPr="00B86132" w:rsidRDefault="00FE659D" w:rsidP="00AE51CA">
      <w:pPr>
        <w:rPr>
          <w:color w:val="3B3838" w:themeColor="background2" w:themeShade="40"/>
        </w:rPr>
      </w:pPr>
    </w:p>
    <w:p w14:paraId="40CC606C" w14:textId="7B9BD3A4" w:rsidR="00FE659D" w:rsidRPr="00B86132" w:rsidRDefault="00FE659D" w:rsidP="00AE51CA">
      <w:pPr>
        <w:rPr>
          <w:color w:val="3B3838" w:themeColor="background2" w:themeShade="40"/>
        </w:rPr>
      </w:pPr>
    </w:p>
    <w:p w14:paraId="24133490" w14:textId="0FD44711" w:rsidR="00FE659D" w:rsidRPr="00B86132" w:rsidRDefault="00FE659D" w:rsidP="00AE51CA">
      <w:pPr>
        <w:rPr>
          <w:color w:val="3B3838" w:themeColor="background2" w:themeShade="40"/>
        </w:rPr>
      </w:pPr>
    </w:p>
    <w:p w14:paraId="5DB706FB" w14:textId="5193A0AD" w:rsidR="00FE659D" w:rsidRPr="00B86132" w:rsidRDefault="00FE659D" w:rsidP="00AE51CA">
      <w:pPr>
        <w:rPr>
          <w:color w:val="3B3838" w:themeColor="background2" w:themeShade="40"/>
        </w:rPr>
      </w:pPr>
    </w:p>
    <w:p w14:paraId="2787F05B" w14:textId="251C8EEE" w:rsidR="00FE659D" w:rsidRPr="00B86132" w:rsidRDefault="00FE659D" w:rsidP="00AE51CA">
      <w:pPr>
        <w:rPr>
          <w:color w:val="3B3838" w:themeColor="background2" w:themeShade="40"/>
        </w:rPr>
      </w:pPr>
    </w:p>
    <w:p w14:paraId="53A3F8F5" w14:textId="5492A732" w:rsidR="00FE659D" w:rsidRPr="00B86132" w:rsidRDefault="00FE659D" w:rsidP="00AE51CA">
      <w:pPr>
        <w:rPr>
          <w:color w:val="3B3838" w:themeColor="background2" w:themeShade="40"/>
        </w:rPr>
      </w:pPr>
    </w:p>
    <w:p w14:paraId="1924FAFD" w14:textId="3ABD7CE0" w:rsidR="00FE659D" w:rsidRPr="00B86132" w:rsidRDefault="00FE659D" w:rsidP="00AE51CA">
      <w:pPr>
        <w:rPr>
          <w:color w:val="3B3838" w:themeColor="background2" w:themeShade="40"/>
        </w:rPr>
      </w:pPr>
    </w:p>
    <w:p w14:paraId="126C635C" w14:textId="632C8CEC" w:rsidR="00FE659D" w:rsidRPr="00B86132" w:rsidRDefault="00FE659D" w:rsidP="00AE51CA">
      <w:pPr>
        <w:rPr>
          <w:color w:val="3B3838" w:themeColor="background2" w:themeShade="40"/>
        </w:rPr>
      </w:pPr>
    </w:p>
    <w:p w14:paraId="3F272508" w14:textId="5BC481F1" w:rsidR="00FE659D" w:rsidRPr="00B86132" w:rsidRDefault="00FE659D" w:rsidP="00AE51CA">
      <w:pPr>
        <w:rPr>
          <w:color w:val="3B3838" w:themeColor="background2" w:themeShade="40"/>
        </w:rPr>
      </w:pPr>
    </w:p>
    <w:p w14:paraId="6BCD45AA" w14:textId="3CF6686B" w:rsidR="00FE659D" w:rsidRPr="00B86132" w:rsidRDefault="00FE659D" w:rsidP="00AE51CA">
      <w:pPr>
        <w:rPr>
          <w:color w:val="3B3838" w:themeColor="background2" w:themeShade="40"/>
        </w:rPr>
      </w:pPr>
    </w:p>
    <w:p w14:paraId="1EC2562C" w14:textId="77777777" w:rsidR="00FE659D" w:rsidRPr="00B86132" w:rsidRDefault="00FE659D" w:rsidP="00B52176">
      <w:pPr>
        <w:jc w:val="center"/>
        <w:rPr>
          <w:rFonts w:cs="Arial"/>
          <w:b/>
          <w:bCs/>
          <w:color w:val="3B3838" w:themeColor="background2" w:themeShade="40"/>
          <w:sz w:val="24"/>
          <w:szCs w:val="24"/>
        </w:rPr>
      </w:pPr>
      <w:r w:rsidRPr="00B86132">
        <w:rPr>
          <w:rFonts w:cs="Arial"/>
          <w:b/>
          <w:bCs/>
          <w:color w:val="3B3838" w:themeColor="background2" w:themeShade="40"/>
          <w:sz w:val="24"/>
          <w:szCs w:val="24"/>
        </w:rPr>
        <w:lastRenderedPageBreak/>
        <w:t>References</w:t>
      </w:r>
    </w:p>
    <w:p w14:paraId="207088B7" w14:textId="77777777" w:rsidR="00FE659D" w:rsidRPr="00B86132" w:rsidRDefault="00FE659D" w:rsidP="00FE659D">
      <w:pPr>
        <w:shd w:val="clear" w:color="auto" w:fill="FFFFFF"/>
        <w:spacing w:after="150"/>
        <w:rPr>
          <w:rFonts w:eastAsia="Arial Unicode MS" w:cs="Arial"/>
          <w:color w:val="3B3838" w:themeColor="background2" w:themeShade="40"/>
          <w:sz w:val="24"/>
          <w:szCs w:val="24"/>
        </w:rPr>
      </w:pPr>
      <w:r w:rsidRPr="00B86132">
        <w:rPr>
          <w:rFonts w:eastAsia="Arial Unicode MS" w:cs="Arial"/>
          <w:color w:val="3B3838" w:themeColor="background2" w:themeShade="40"/>
          <w:sz w:val="24"/>
          <w:szCs w:val="24"/>
        </w:rPr>
        <w:t>American Psychiatric Association (2013) </w:t>
      </w:r>
      <w:r w:rsidRPr="00B86132">
        <w:rPr>
          <w:rFonts w:eastAsia="Arial Unicode MS" w:cs="Arial"/>
          <w:i/>
          <w:iCs/>
          <w:color w:val="3B3838" w:themeColor="background2" w:themeShade="40"/>
          <w:sz w:val="24"/>
          <w:szCs w:val="24"/>
        </w:rPr>
        <w:t>Diagnostic and statistical manual of mental disorders: DSM-5</w:t>
      </w:r>
      <w:r w:rsidRPr="00B86132">
        <w:rPr>
          <w:rFonts w:eastAsia="Arial Unicode MS" w:cs="Arial"/>
          <w:color w:val="3B3838" w:themeColor="background2" w:themeShade="40"/>
          <w:sz w:val="24"/>
          <w:szCs w:val="24"/>
        </w:rPr>
        <w:t>. Arlington, VA, American Psychiatric Association.</w:t>
      </w:r>
    </w:p>
    <w:p w14:paraId="183986D6" w14:textId="77777777" w:rsidR="00FE659D" w:rsidRPr="00B86132" w:rsidRDefault="00FE659D" w:rsidP="00FE659D">
      <w:pPr>
        <w:shd w:val="clear" w:color="auto" w:fill="FFFFFF"/>
        <w:spacing w:after="150"/>
        <w:rPr>
          <w:rFonts w:eastAsia="Arial Unicode MS" w:cs="Arial"/>
          <w:color w:val="3B3838" w:themeColor="background2" w:themeShade="40"/>
          <w:sz w:val="24"/>
          <w:szCs w:val="24"/>
        </w:rPr>
      </w:pPr>
      <w:r w:rsidRPr="00B86132">
        <w:rPr>
          <w:rFonts w:cs="Arial"/>
          <w:color w:val="3B3838" w:themeColor="background2" w:themeShade="40"/>
          <w:sz w:val="24"/>
          <w:szCs w:val="24"/>
          <w:shd w:val="clear" w:color="auto" w:fill="FFFFFF"/>
        </w:rPr>
        <w:t>Badenoch, B. (2017) </w:t>
      </w:r>
      <w:r w:rsidRPr="00B86132">
        <w:rPr>
          <w:rFonts w:cs="Arial"/>
          <w:i/>
          <w:iCs/>
          <w:color w:val="3B3838" w:themeColor="background2" w:themeShade="40"/>
          <w:sz w:val="24"/>
          <w:szCs w:val="24"/>
          <w:shd w:val="clear" w:color="auto" w:fill="FFFFFF"/>
        </w:rPr>
        <w:t>The Heart of Trauma: Healing the Embodied Brain in the Context of Relationships (Norton Series on Interpersonal Neurobiology)</w:t>
      </w:r>
      <w:r w:rsidRPr="00B86132">
        <w:rPr>
          <w:rFonts w:cs="Arial"/>
          <w:color w:val="3B3838" w:themeColor="background2" w:themeShade="40"/>
          <w:sz w:val="24"/>
          <w:szCs w:val="24"/>
          <w:shd w:val="clear" w:color="auto" w:fill="FFFFFF"/>
        </w:rPr>
        <w:t>. WW Norton &amp; Company.</w:t>
      </w:r>
    </w:p>
    <w:p w14:paraId="71F6759D" w14:textId="2F811237"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Barrett, L. F. (2017) </w:t>
      </w:r>
      <w:r w:rsidRPr="00B86132">
        <w:rPr>
          <w:rFonts w:cs="Arial"/>
          <w:i/>
          <w:iCs/>
          <w:color w:val="3B3838" w:themeColor="background2" w:themeShade="40"/>
          <w:sz w:val="24"/>
          <w:szCs w:val="24"/>
        </w:rPr>
        <w:t>How Emotions are Made: The Secret Life of the Brain.</w:t>
      </w:r>
      <w:r w:rsidRPr="00B86132">
        <w:rPr>
          <w:rFonts w:cs="Arial"/>
          <w:color w:val="3B3838" w:themeColor="background2" w:themeShade="40"/>
          <w:sz w:val="24"/>
          <w:szCs w:val="24"/>
        </w:rPr>
        <w:t xml:space="preserve"> London: Pan Books. </w:t>
      </w:r>
    </w:p>
    <w:p w14:paraId="05A497DC" w14:textId="77777777" w:rsidR="00B86132" w:rsidRPr="00B86132" w:rsidRDefault="00B86132" w:rsidP="00FE659D">
      <w:pPr>
        <w:rPr>
          <w:rFonts w:cs="Arial"/>
          <w:color w:val="3B3838" w:themeColor="background2" w:themeShade="40"/>
          <w:sz w:val="24"/>
          <w:szCs w:val="24"/>
        </w:rPr>
      </w:pPr>
    </w:p>
    <w:p w14:paraId="170AF8E1" w14:textId="77777777" w:rsidR="00FE659D" w:rsidRPr="00B86132" w:rsidRDefault="00FE659D" w:rsidP="00FE659D">
      <w:pPr>
        <w:shd w:val="clear" w:color="auto" w:fill="FFFFFF"/>
        <w:spacing w:afterAutospacing="1"/>
        <w:rPr>
          <w:rFonts w:cs="Arial"/>
          <w:color w:val="3B3838" w:themeColor="background2" w:themeShade="40"/>
          <w:sz w:val="24"/>
          <w:szCs w:val="24"/>
        </w:rPr>
      </w:pPr>
      <w:r w:rsidRPr="00B86132">
        <w:rPr>
          <w:rFonts w:cs="Arial"/>
          <w:color w:val="3B3838" w:themeColor="background2" w:themeShade="40"/>
          <w:sz w:val="24"/>
          <w:szCs w:val="24"/>
        </w:rPr>
        <w:t>Beebe B. and Lachmann F. (2003) ‘The Relational Turn in Psychoanalysis’, </w:t>
      </w:r>
      <w:r w:rsidRPr="00B86132">
        <w:rPr>
          <w:rFonts w:cs="Arial"/>
          <w:i/>
          <w:iCs/>
          <w:color w:val="3B3838" w:themeColor="background2" w:themeShade="40"/>
          <w:sz w:val="24"/>
          <w:szCs w:val="24"/>
        </w:rPr>
        <w:t>Contemporary Psychoanalysis</w:t>
      </w:r>
      <w:r w:rsidRPr="00B86132">
        <w:rPr>
          <w:rFonts w:cs="Arial"/>
          <w:color w:val="3B3838" w:themeColor="background2" w:themeShade="40"/>
          <w:sz w:val="24"/>
          <w:szCs w:val="24"/>
        </w:rPr>
        <w:t>, 39:3, 379 409, DOI: </w:t>
      </w:r>
      <w:hyperlink r:id="rId7" w:history="1">
        <w:r w:rsidRPr="00B86132">
          <w:rPr>
            <w:rFonts w:cs="Arial"/>
            <w:color w:val="3B3838" w:themeColor="background2" w:themeShade="40"/>
            <w:sz w:val="24"/>
            <w:szCs w:val="24"/>
            <w:u w:val="single"/>
          </w:rPr>
          <w:t>10.1080/00107530.2003.10747213</w:t>
        </w:r>
      </w:hyperlink>
    </w:p>
    <w:p w14:paraId="1AFA987F" w14:textId="1662782A" w:rsidR="00FE659D" w:rsidRDefault="00FE659D" w:rsidP="00FE659D">
      <w:pPr>
        <w:rPr>
          <w:rFonts w:cs="Arial"/>
          <w:color w:val="3B3838" w:themeColor="background2" w:themeShade="40"/>
          <w:sz w:val="24"/>
          <w:szCs w:val="24"/>
          <w:u w:val="single"/>
        </w:rPr>
      </w:pPr>
      <w:r w:rsidRPr="00B86132">
        <w:rPr>
          <w:rFonts w:cs="Arial"/>
          <w:color w:val="3B3838" w:themeColor="background2" w:themeShade="40"/>
          <w:sz w:val="24"/>
          <w:szCs w:val="24"/>
          <w:shd w:val="clear" w:color="auto" w:fill="FFFFFF"/>
        </w:rPr>
        <w:t xml:space="preserve">Bisson, et al. (2020) ‘Non-pharmacological and non-psychological approaches to the treatment of PTSD: results of a systematic review and meta-analyses’, </w:t>
      </w:r>
      <w:r w:rsidRPr="00B86132">
        <w:rPr>
          <w:rFonts w:cs="Arial"/>
          <w:i/>
          <w:iCs/>
          <w:color w:val="3B3838" w:themeColor="background2" w:themeShade="40"/>
          <w:sz w:val="24"/>
          <w:szCs w:val="24"/>
          <w:shd w:val="clear" w:color="auto" w:fill="FFFFFF"/>
        </w:rPr>
        <w:t>European Journal of Psychotraumatology</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11</w:t>
      </w:r>
      <w:r w:rsidRPr="00B86132">
        <w:rPr>
          <w:rFonts w:cs="Arial"/>
          <w:color w:val="3B3838" w:themeColor="background2" w:themeShade="40"/>
          <w:sz w:val="24"/>
          <w:szCs w:val="24"/>
          <w:shd w:val="clear" w:color="auto" w:fill="FFFFFF"/>
        </w:rPr>
        <w:t xml:space="preserve">(1), p.1795361. </w:t>
      </w:r>
      <w:hyperlink r:id="rId8" w:history="1">
        <w:r w:rsidRPr="00B86132">
          <w:rPr>
            <w:rFonts w:cs="Arial"/>
            <w:color w:val="3B3838" w:themeColor="background2" w:themeShade="40"/>
            <w:sz w:val="24"/>
            <w:szCs w:val="24"/>
            <w:u w:val="single"/>
          </w:rPr>
          <w:t>https://doi.org/10.1080/20008198.2020.1795361</w:t>
        </w:r>
      </w:hyperlink>
    </w:p>
    <w:p w14:paraId="5AA8A14C" w14:textId="77777777" w:rsidR="00B86132" w:rsidRPr="00B86132" w:rsidRDefault="00B86132" w:rsidP="00FE659D">
      <w:pPr>
        <w:rPr>
          <w:rFonts w:cs="Arial"/>
          <w:color w:val="3B3838" w:themeColor="background2" w:themeShade="40"/>
          <w:sz w:val="24"/>
          <w:szCs w:val="24"/>
        </w:rPr>
      </w:pPr>
    </w:p>
    <w:p w14:paraId="1AB901ED" w14:textId="2A3C6ADC" w:rsidR="00FE659D" w:rsidRDefault="00FE659D" w:rsidP="00FE659D">
      <w:pPr>
        <w:rPr>
          <w:rFonts w:cs="Arial"/>
          <w:color w:val="3B3838" w:themeColor="background2" w:themeShade="40"/>
          <w:sz w:val="24"/>
          <w:szCs w:val="24"/>
          <w:shd w:val="clear" w:color="auto" w:fill="FFFFFF"/>
        </w:rPr>
      </w:pPr>
      <w:bookmarkStart w:id="1" w:name="_Hlk89176770"/>
      <w:r w:rsidRPr="00B86132">
        <w:rPr>
          <w:rFonts w:cs="Arial"/>
          <w:color w:val="3B3838" w:themeColor="background2" w:themeShade="40"/>
          <w:sz w:val="24"/>
          <w:szCs w:val="24"/>
          <w:shd w:val="clear" w:color="auto" w:fill="FFFFFF"/>
        </w:rPr>
        <w:t xml:space="preserve">Björkstrand, J. et al. (2019) </w:t>
      </w:r>
      <w:bookmarkEnd w:id="1"/>
      <w:r w:rsidRPr="00B86132">
        <w:rPr>
          <w:rFonts w:cs="Arial"/>
          <w:color w:val="3B3838" w:themeColor="background2" w:themeShade="40"/>
          <w:sz w:val="24"/>
          <w:szCs w:val="24"/>
          <w:shd w:val="clear" w:color="auto" w:fill="FFFFFF"/>
        </w:rPr>
        <w:t xml:space="preserve">‘The effect of mindfulness training on extinction retention’, </w:t>
      </w:r>
      <w:r w:rsidRPr="00B86132">
        <w:rPr>
          <w:rFonts w:cs="Arial"/>
          <w:i/>
          <w:iCs/>
          <w:color w:val="3B3838" w:themeColor="background2" w:themeShade="40"/>
          <w:sz w:val="24"/>
          <w:szCs w:val="24"/>
          <w:shd w:val="clear" w:color="auto" w:fill="FFFFFF"/>
        </w:rPr>
        <w:t>Scientific reports</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9</w:t>
      </w:r>
      <w:r w:rsidRPr="00B86132">
        <w:rPr>
          <w:rFonts w:cs="Arial"/>
          <w:color w:val="3B3838" w:themeColor="background2" w:themeShade="40"/>
          <w:sz w:val="24"/>
          <w:szCs w:val="24"/>
          <w:shd w:val="clear" w:color="auto" w:fill="FFFFFF"/>
        </w:rPr>
        <w:t xml:space="preserve">(1), pp.1-9. </w:t>
      </w:r>
    </w:p>
    <w:p w14:paraId="6ADC5675" w14:textId="77777777" w:rsidR="00B86132" w:rsidRPr="00B86132" w:rsidRDefault="00B86132" w:rsidP="00FE659D">
      <w:pPr>
        <w:rPr>
          <w:rFonts w:cs="Arial"/>
          <w:color w:val="3B3838" w:themeColor="background2" w:themeShade="40"/>
          <w:sz w:val="24"/>
          <w:szCs w:val="24"/>
          <w:shd w:val="clear" w:color="auto" w:fill="FFFFFF"/>
        </w:rPr>
      </w:pPr>
    </w:p>
    <w:p w14:paraId="468BA701" w14:textId="1240C9BD"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Boadella, D. (2016) ‘Common Ground and Different Approaches in Psychotherapy–Biosynthesis a Somatic Psychotherapy’. Available at: </w:t>
      </w:r>
      <w:hyperlink r:id="rId9" w:history="1">
        <w:r w:rsidRPr="00B86132">
          <w:rPr>
            <w:rStyle w:val="Hyperlink"/>
            <w:rFonts w:eastAsiaTheme="majorEastAsia" w:cs="Arial"/>
            <w:color w:val="3B3838" w:themeColor="background2" w:themeShade="40"/>
            <w:sz w:val="24"/>
            <w:szCs w:val="24"/>
          </w:rPr>
          <w:t>http://www.biosynthesis-institute.com/print/boadella.pdf</w:t>
        </w:r>
      </w:hyperlink>
      <w:r w:rsidRPr="00B86132">
        <w:rPr>
          <w:rFonts w:cs="Arial"/>
          <w:color w:val="3B3838" w:themeColor="background2" w:themeShade="40"/>
          <w:sz w:val="24"/>
          <w:szCs w:val="24"/>
        </w:rPr>
        <w:t xml:space="preserve"> (Accessed: 04 December 2020). </w:t>
      </w:r>
    </w:p>
    <w:p w14:paraId="5A880511" w14:textId="77777777" w:rsidR="00B86132" w:rsidRPr="00B86132" w:rsidRDefault="00B86132" w:rsidP="00FE659D">
      <w:pPr>
        <w:rPr>
          <w:rFonts w:cs="Arial"/>
          <w:color w:val="3B3838" w:themeColor="background2" w:themeShade="40"/>
          <w:sz w:val="24"/>
          <w:szCs w:val="24"/>
        </w:rPr>
      </w:pPr>
    </w:p>
    <w:p w14:paraId="7692BD42" w14:textId="21EDACDC" w:rsidR="00FE659D" w:rsidRDefault="00FE659D" w:rsidP="00FE659D">
      <w:pPr>
        <w:rPr>
          <w:rFonts w:cs="Arial"/>
          <w:color w:val="3B3838" w:themeColor="background2" w:themeShade="40"/>
          <w:sz w:val="24"/>
          <w:szCs w:val="24"/>
          <w:u w:val="single"/>
        </w:rPr>
      </w:pPr>
      <w:r w:rsidRPr="00B86132">
        <w:rPr>
          <w:rFonts w:cs="Arial"/>
          <w:color w:val="3B3838" w:themeColor="background2" w:themeShade="40"/>
          <w:sz w:val="24"/>
          <w:szCs w:val="24"/>
          <w:shd w:val="clear" w:color="auto" w:fill="FFFFFF"/>
        </w:rPr>
        <w:t xml:space="preserve">Bonanno, G. (2021) ‘The resilience paradox’, </w:t>
      </w:r>
      <w:r w:rsidRPr="00B86132">
        <w:rPr>
          <w:rFonts w:cs="Arial"/>
          <w:i/>
          <w:iCs/>
          <w:color w:val="3B3838" w:themeColor="background2" w:themeShade="40"/>
          <w:sz w:val="24"/>
          <w:szCs w:val="24"/>
          <w:shd w:val="clear" w:color="auto" w:fill="FFFFFF"/>
        </w:rPr>
        <w:t>European journal of Psychotraumatology</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12</w:t>
      </w:r>
      <w:r w:rsidRPr="00B86132">
        <w:rPr>
          <w:rFonts w:cs="Arial"/>
          <w:color w:val="3B3838" w:themeColor="background2" w:themeShade="40"/>
          <w:sz w:val="24"/>
          <w:szCs w:val="24"/>
          <w:shd w:val="clear" w:color="auto" w:fill="FFFFFF"/>
        </w:rPr>
        <w:t xml:space="preserve">(1), p.1942642. </w:t>
      </w:r>
      <w:hyperlink r:id="rId10" w:history="1">
        <w:r w:rsidRPr="00B86132">
          <w:rPr>
            <w:rFonts w:cs="Arial"/>
            <w:color w:val="3B3838" w:themeColor="background2" w:themeShade="40"/>
            <w:sz w:val="24"/>
            <w:szCs w:val="24"/>
            <w:u w:val="single"/>
          </w:rPr>
          <w:t>https://doi.org/10.1080/20008198.2021.1942642</w:t>
        </w:r>
      </w:hyperlink>
    </w:p>
    <w:p w14:paraId="360D2C32" w14:textId="77777777" w:rsidR="00B86132" w:rsidRPr="00B86132" w:rsidRDefault="00B86132" w:rsidP="00FE659D">
      <w:pPr>
        <w:rPr>
          <w:rFonts w:cs="Arial"/>
          <w:color w:val="3B3838" w:themeColor="background2" w:themeShade="40"/>
          <w:sz w:val="24"/>
          <w:szCs w:val="24"/>
        </w:rPr>
      </w:pPr>
    </w:p>
    <w:p w14:paraId="76737C64" w14:textId="32653D73"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Bowers, M. and Yehuda, R. (2016) ‘Intergenerational transmission of stress in humans’, </w:t>
      </w:r>
      <w:r w:rsidRPr="00B86132">
        <w:rPr>
          <w:rFonts w:cs="Arial"/>
          <w:i/>
          <w:iCs/>
          <w:color w:val="3B3838" w:themeColor="background2" w:themeShade="40"/>
          <w:sz w:val="24"/>
          <w:szCs w:val="24"/>
        </w:rPr>
        <w:t>Neuropsychopharmacology</w:t>
      </w:r>
      <w:r w:rsidRPr="00B86132">
        <w:rPr>
          <w:rFonts w:cs="Arial"/>
          <w:color w:val="3B3838" w:themeColor="background2" w:themeShade="40"/>
          <w:sz w:val="24"/>
          <w:szCs w:val="24"/>
        </w:rPr>
        <w:t xml:space="preserve">, 41(1), pp.232-244. Available at: </w:t>
      </w:r>
      <w:hyperlink r:id="rId11" w:history="1">
        <w:r w:rsidRPr="00B86132">
          <w:rPr>
            <w:rStyle w:val="Hyperlink"/>
            <w:rFonts w:eastAsiaTheme="majorEastAsia" w:cs="Arial"/>
            <w:color w:val="3B3838" w:themeColor="background2" w:themeShade="40"/>
            <w:sz w:val="24"/>
            <w:szCs w:val="24"/>
          </w:rPr>
          <w:t>https://www.nature.com/articles/npp2015247</w:t>
        </w:r>
      </w:hyperlink>
      <w:r w:rsidRPr="00B86132">
        <w:rPr>
          <w:rFonts w:cs="Arial"/>
          <w:color w:val="3B3838" w:themeColor="background2" w:themeShade="40"/>
          <w:sz w:val="24"/>
          <w:szCs w:val="24"/>
        </w:rPr>
        <w:t xml:space="preserve"> (Accessed: 04 December 2020).</w:t>
      </w:r>
    </w:p>
    <w:p w14:paraId="70F342F6" w14:textId="77777777" w:rsidR="00B86132" w:rsidRPr="00B86132" w:rsidRDefault="00B86132" w:rsidP="00FE659D">
      <w:pPr>
        <w:rPr>
          <w:rFonts w:cs="Arial"/>
          <w:color w:val="3B3838" w:themeColor="background2" w:themeShade="40"/>
          <w:sz w:val="24"/>
          <w:szCs w:val="24"/>
        </w:rPr>
      </w:pPr>
    </w:p>
    <w:p w14:paraId="47780C6D" w14:textId="3F5CBD92" w:rsidR="00FE659D" w:rsidRDefault="00FE659D" w:rsidP="00FE659D">
      <w:pPr>
        <w:rPr>
          <w:rStyle w:val="Hyperlink"/>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Bowlby, J. (1982) Attachment and loss: retrospect and prospect. </w:t>
      </w:r>
      <w:r w:rsidRPr="00B86132">
        <w:rPr>
          <w:rFonts w:cs="Arial"/>
          <w:i/>
          <w:iCs/>
          <w:color w:val="3B3838" w:themeColor="background2" w:themeShade="40"/>
          <w:sz w:val="24"/>
          <w:szCs w:val="24"/>
          <w:shd w:val="clear" w:color="auto" w:fill="FFFFFF"/>
        </w:rPr>
        <w:t>American journal of Orthopsychiatry</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52</w:t>
      </w:r>
      <w:r w:rsidRPr="00B86132">
        <w:rPr>
          <w:rFonts w:cs="Arial"/>
          <w:color w:val="3B3838" w:themeColor="background2" w:themeShade="40"/>
          <w:sz w:val="24"/>
          <w:szCs w:val="24"/>
          <w:shd w:val="clear" w:color="auto" w:fill="FFFFFF"/>
        </w:rPr>
        <w:t xml:space="preserve">(4), p.664. </w:t>
      </w:r>
      <w:hyperlink r:id="rId12" w:history="1">
        <w:r w:rsidRPr="00B86132">
          <w:rPr>
            <w:rStyle w:val="Hyperlink"/>
            <w:rFonts w:eastAsiaTheme="majorEastAsia" w:cs="Arial"/>
            <w:color w:val="3B3838" w:themeColor="background2" w:themeShade="40"/>
            <w:sz w:val="24"/>
            <w:szCs w:val="24"/>
            <w:shd w:val="clear" w:color="auto" w:fill="FFFFFF"/>
          </w:rPr>
          <w:t>https://doi.org/10.1111/jcpp.12640</w:t>
        </w:r>
      </w:hyperlink>
    </w:p>
    <w:p w14:paraId="63E15A96" w14:textId="77777777" w:rsidR="00B86132" w:rsidRPr="00B86132" w:rsidRDefault="00B86132" w:rsidP="00FE659D">
      <w:pPr>
        <w:rPr>
          <w:rFonts w:cs="Arial"/>
          <w:color w:val="3B3838" w:themeColor="background2" w:themeShade="40"/>
          <w:sz w:val="24"/>
          <w:szCs w:val="24"/>
        </w:rPr>
      </w:pPr>
    </w:p>
    <w:p w14:paraId="6381946D" w14:textId="575D1072" w:rsidR="00FE659D" w:rsidRDefault="00FE659D" w:rsidP="00FE659D">
      <w:pPr>
        <w:rPr>
          <w:rStyle w:val="Hyperlink"/>
          <w:rFonts w:cs="Arial"/>
          <w:color w:val="3B3838" w:themeColor="background2" w:themeShade="40"/>
          <w:sz w:val="24"/>
          <w:szCs w:val="24"/>
        </w:rPr>
      </w:pPr>
      <w:r w:rsidRPr="00B86132">
        <w:rPr>
          <w:rFonts w:cs="Arial"/>
          <w:color w:val="3B3838" w:themeColor="background2" w:themeShade="40"/>
          <w:sz w:val="24"/>
          <w:szCs w:val="24"/>
        </w:rPr>
        <w:t>Boyd, J., Lanius, R. and McKinnon, M. (2018) ‘Mindfulness-based treatments for posttraumatic stress disorder: a review of the treatment literature and neurobiological evidence’, </w:t>
      </w:r>
      <w:r w:rsidRPr="00B86132">
        <w:rPr>
          <w:rFonts w:cs="Arial"/>
          <w:i/>
          <w:iCs/>
          <w:color w:val="3B3838" w:themeColor="background2" w:themeShade="40"/>
          <w:sz w:val="24"/>
          <w:szCs w:val="24"/>
        </w:rPr>
        <w:t>Journal of Psychiatry and Neuroscience</w:t>
      </w:r>
      <w:r w:rsidRPr="00B86132">
        <w:rPr>
          <w:rFonts w:cs="Arial"/>
          <w:color w:val="3B3838" w:themeColor="background2" w:themeShade="40"/>
          <w:sz w:val="24"/>
          <w:szCs w:val="24"/>
        </w:rPr>
        <w:t xml:space="preserve">. </w:t>
      </w:r>
      <w:hyperlink r:id="rId13" w:tgtFrame="_blank" w:history="1">
        <w:r w:rsidRPr="00B86132">
          <w:rPr>
            <w:rStyle w:val="Hyperlink"/>
            <w:rFonts w:eastAsiaTheme="majorEastAsia" w:cs="Arial"/>
            <w:color w:val="3B3838" w:themeColor="background2" w:themeShade="40"/>
            <w:sz w:val="24"/>
            <w:szCs w:val="24"/>
          </w:rPr>
          <w:t>https://doi.org/10.1503/jpn.170021</w:t>
        </w:r>
      </w:hyperlink>
    </w:p>
    <w:p w14:paraId="284CCB18" w14:textId="77777777" w:rsidR="00B86132" w:rsidRPr="00B86132" w:rsidRDefault="00B86132" w:rsidP="00FE659D">
      <w:pPr>
        <w:rPr>
          <w:rFonts w:cs="Arial"/>
          <w:color w:val="3B3838" w:themeColor="background2" w:themeShade="40"/>
          <w:sz w:val="24"/>
          <w:szCs w:val="24"/>
        </w:rPr>
      </w:pPr>
    </w:p>
    <w:p w14:paraId="7D2809D6"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Brantbjerg, M. (2009) ‘Hyporesponse -the Hidden Challenge in Coping with Stress’, </w:t>
      </w:r>
      <w:r w:rsidRPr="00B86132">
        <w:rPr>
          <w:rFonts w:cs="Arial"/>
          <w:i/>
          <w:iCs/>
          <w:color w:val="3B3838" w:themeColor="background2" w:themeShade="40"/>
          <w:sz w:val="24"/>
          <w:szCs w:val="24"/>
        </w:rPr>
        <w:t>International Body Psychotherapy Journal</w:t>
      </w:r>
      <w:r w:rsidRPr="00B86132">
        <w:rPr>
          <w:rFonts w:cs="Arial"/>
          <w:color w:val="3B3838" w:themeColor="background2" w:themeShade="40"/>
          <w:sz w:val="24"/>
          <w:szCs w:val="24"/>
        </w:rPr>
        <w:t xml:space="preserve">. Available at: </w:t>
      </w:r>
      <w:hyperlink r:id="rId14" w:history="1">
        <w:r w:rsidRPr="00B86132">
          <w:rPr>
            <w:rStyle w:val="Hyperlink"/>
            <w:rFonts w:eastAsiaTheme="majorEastAsia" w:cs="Arial"/>
            <w:color w:val="3B3838" w:themeColor="background2" w:themeShade="40"/>
            <w:sz w:val="24"/>
            <w:szCs w:val="24"/>
          </w:rPr>
          <w:t>https://www.ibpj.org/issues/articles/Holm%20Brantbjerg%20-%20Hyporesponse.pdf</w:t>
        </w:r>
      </w:hyperlink>
      <w:r w:rsidRPr="00B86132">
        <w:rPr>
          <w:rFonts w:cs="Arial"/>
          <w:color w:val="3B3838" w:themeColor="background2" w:themeShade="40"/>
          <w:sz w:val="24"/>
          <w:szCs w:val="24"/>
        </w:rPr>
        <w:t xml:space="preserve"> (Accessed: 11 September 2021). </w:t>
      </w:r>
    </w:p>
    <w:p w14:paraId="040E5AB2" w14:textId="25181DDB" w:rsidR="00FE659D" w:rsidRDefault="00FE659D" w:rsidP="00FE659D">
      <w:pPr>
        <w:rPr>
          <w:rStyle w:val="Hyperlink"/>
          <w:rFonts w:cs="Arial"/>
          <w:color w:val="3B3838" w:themeColor="background2" w:themeShade="40"/>
          <w:sz w:val="24"/>
          <w:szCs w:val="24"/>
        </w:rPr>
      </w:pPr>
      <w:r w:rsidRPr="00B86132">
        <w:rPr>
          <w:rFonts w:cs="Arial"/>
          <w:color w:val="3B3838" w:themeColor="background2" w:themeShade="40"/>
          <w:sz w:val="24"/>
          <w:szCs w:val="24"/>
        </w:rPr>
        <w:t xml:space="preserve">Brantbjerg, M. (2015) ‘Integrating polarities through regulation of hypo-and hyper-responses to stress–An experiential keynote’, </w:t>
      </w:r>
      <w:r w:rsidRPr="00B86132">
        <w:rPr>
          <w:rFonts w:cs="Arial"/>
          <w:i/>
          <w:iCs/>
          <w:color w:val="3B3838" w:themeColor="background2" w:themeShade="40"/>
          <w:sz w:val="24"/>
          <w:szCs w:val="24"/>
        </w:rPr>
        <w:t xml:space="preserve">Body, Movement and </w:t>
      </w:r>
      <w:r w:rsidRPr="00B86132">
        <w:rPr>
          <w:rFonts w:cs="Arial"/>
          <w:i/>
          <w:iCs/>
          <w:color w:val="3B3838" w:themeColor="background2" w:themeShade="40"/>
          <w:sz w:val="24"/>
          <w:szCs w:val="24"/>
        </w:rPr>
        <w:lastRenderedPageBreak/>
        <w:t>Dance in Psychotherapy</w:t>
      </w:r>
      <w:r w:rsidRPr="00B86132">
        <w:rPr>
          <w:rFonts w:cs="Arial"/>
          <w:color w:val="3B3838" w:themeColor="background2" w:themeShade="40"/>
          <w:sz w:val="24"/>
          <w:szCs w:val="24"/>
        </w:rPr>
        <w:t xml:space="preserve">, 10(1), pp.39-50. </w:t>
      </w:r>
      <w:hyperlink r:id="rId15" w:history="1">
        <w:r w:rsidRPr="00B86132">
          <w:rPr>
            <w:rStyle w:val="Hyperlink"/>
            <w:rFonts w:eastAsiaTheme="majorEastAsia" w:cs="Arial"/>
            <w:color w:val="3B3838" w:themeColor="background2" w:themeShade="40"/>
            <w:sz w:val="24"/>
            <w:szCs w:val="24"/>
          </w:rPr>
          <w:t>https://doi.org/10.1080/17432979.2014.947323</w:t>
        </w:r>
      </w:hyperlink>
    </w:p>
    <w:p w14:paraId="293E0EA3" w14:textId="77777777" w:rsidR="00B86132" w:rsidRPr="00B86132" w:rsidRDefault="00B86132" w:rsidP="00FE659D">
      <w:pPr>
        <w:rPr>
          <w:rFonts w:cs="Arial"/>
          <w:color w:val="3B3838" w:themeColor="background2" w:themeShade="40"/>
          <w:sz w:val="24"/>
          <w:szCs w:val="24"/>
        </w:rPr>
      </w:pPr>
    </w:p>
    <w:p w14:paraId="35BA0D32" w14:textId="4CC43FE8" w:rsidR="00FE659D" w:rsidRDefault="00FE659D" w:rsidP="00FE659D">
      <w:pPr>
        <w:rPr>
          <w:rStyle w:val="Hyperlink"/>
          <w:rFonts w:cs="Arial"/>
          <w:color w:val="3B3838" w:themeColor="background2" w:themeShade="40"/>
          <w:sz w:val="24"/>
          <w:szCs w:val="24"/>
        </w:rPr>
      </w:pPr>
      <w:r w:rsidRPr="00B86132">
        <w:rPr>
          <w:rFonts w:cs="Arial"/>
          <w:color w:val="3B3838" w:themeColor="background2" w:themeShade="40"/>
          <w:sz w:val="24"/>
          <w:szCs w:val="24"/>
        </w:rPr>
        <w:t>Brantbjerg, M. (2018) ‘From autonomic reactivity to empathic resonance in psychotherapy mutual regulation of post-traumatic stress (PTS)–What does that take in the role as psychotherapist?’, </w:t>
      </w:r>
      <w:r w:rsidRPr="00B86132">
        <w:rPr>
          <w:rFonts w:cs="Arial"/>
          <w:i/>
          <w:iCs/>
          <w:color w:val="3B3838" w:themeColor="background2" w:themeShade="40"/>
          <w:sz w:val="24"/>
          <w:szCs w:val="24"/>
        </w:rPr>
        <w:t>Body, Movement and dance in Psychotherapy</w:t>
      </w:r>
      <w:r w:rsidRPr="00B86132">
        <w:rPr>
          <w:rFonts w:cs="Arial"/>
          <w:color w:val="3B3838" w:themeColor="background2" w:themeShade="40"/>
          <w:sz w:val="24"/>
          <w:szCs w:val="24"/>
        </w:rPr>
        <w:t xml:space="preserve">, 13(2), pp.87-99. </w:t>
      </w:r>
      <w:hyperlink r:id="rId16" w:history="1">
        <w:r w:rsidRPr="00B86132">
          <w:rPr>
            <w:rStyle w:val="Hyperlink"/>
            <w:rFonts w:eastAsiaTheme="majorEastAsia" w:cs="Arial"/>
            <w:color w:val="3B3838" w:themeColor="background2" w:themeShade="40"/>
            <w:sz w:val="24"/>
            <w:szCs w:val="24"/>
          </w:rPr>
          <w:t>https://doi.org/10.1080/17432979.2018.1437079</w:t>
        </w:r>
      </w:hyperlink>
    </w:p>
    <w:p w14:paraId="1FD48611" w14:textId="77777777" w:rsidR="00B86132" w:rsidRPr="00B86132" w:rsidRDefault="00B86132" w:rsidP="00FE659D">
      <w:pPr>
        <w:rPr>
          <w:rFonts w:cs="Arial"/>
          <w:color w:val="3B3838" w:themeColor="background2" w:themeShade="40"/>
          <w:sz w:val="24"/>
          <w:szCs w:val="24"/>
        </w:rPr>
      </w:pPr>
    </w:p>
    <w:p w14:paraId="3D990949" w14:textId="37280B66" w:rsidR="00FE659D" w:rsidRDefault="00FE659D" w:rsidP="00FE659D">
      <w:pPr>
        <w:rPr>
          <w:rStyle w:val="Hyperlink"/>
          <w:rFonts w:cs="Arial"/>
          <w:color w:val="3B3838" w:themeColor="background2" w:themeShade="40"/>
          <w:sz w:val="24"/>
          <w:szCs w:val="24"/>
        </w:rPr>
      </w:pPr>
      <w:r w:rsidRPr="00B86132">
        <w:rPr>
          <w:rFonts w:cs="Arial"/>
          <w:color w:val="3B3838" w:themeColor="background2" w:themeShade="40"/>
          <w:sz w:val="24"/>
          <w:szCs w:val="24"/>
        </w:rPr>
        <w:t>Brantbjerg, M. (2020) ‘Widening the map of hypo-states: A methodology to modify muscular hypo-response and support regulation of autonomic nervous system arousal’, </w:t>
      </w:r>
      <w:r w:rsidRPr="00B86132">
        <w:rPr>
          <w:rFonts w:cs="Arial"/>
          <w:i/>
          <w:iCs/>
          <w:color w:val="3B3838" w:themeColor="background2" w:themeShade="40"/>
          <w:sz w:val="24"/>
          <w:szCs w:val="24"/>
        </w:rPr>
        <w:t>Body, Movement and Dance in Psychotherapy</w:t>
      </w:r>
      <w:r w:rsidRPr="00B86132">
        <w:rPr>
          <w:rFonts w:cs="Arial"/>
          <w:color w:val="3B3838" w:themeColor="background2" w:themeShade="40"/>
          <w:sz w:val="24"/>
          <w:szCs w:val="24"/>
        </w:rPr>
        <w:t xml:space="preserve">, 15(1), pp.53-67. </w:t>
      </w:r>
      <w:hyperlink r:id="rId17" w:history="1">
        <w:r w:rsidRPr="00B86132">
          <w:rPr>
            <w:rStyle w:val="Hyperlink"/>
            <w:rFonts w:eastAsiaTheme="majorEastAsia" w:cs="Arial"/>
            <w:color w:val="3B3838" w:themeColor="background2" w:themeShade="40"/>
            <w:sz w:val="24"/>
            <w:szCs w:val="24"/>
          </w:rPr>
          <w:t>https://doi.org/10.1080/17432979.2019.1699604</w:t>
        </w:r>
      </w:hyperlink>
    </w:p>
    <w:p w14:paraId="164A1E00" w14:textId="77777777" w:rsidR="00B86132" w:rsidRPr="00B86132" w:rsidRDefault="00B86132" w:rsidP="00FE659D">
      <w:pPr>
        <w:rPr>
          <w:rFonts w:cs="Arial"/>
          <w:color w:val="3B3838" w:themeColor="background2" w:themeShade="40"/>
          <w:sz w:val="24"/>
          <w:szCs w:val="24"/>
        </w:rPr>
      </w:pPr>
    </w:p>
    <w:p w14:paraId="3306125B" w14:textId="346DA697" w:rsidR="00FE659D" w:rsidRDefault="00FE659D" w:rsidP="00FE659D">
      <w:pPr>
        <w:rPr>
          <w:rStyle w:val="Hyperlink"/>
          <w:rFonts w:cs="Arial"/>
          <w:color w:val="3B3838" w:themeColor="background2" w:themeShade="40"/>
          <w:sz w:val="24"/>
          <w:szCs w:val="24"/>
        </w:rPr>
      </w:pPr>
      <w:r w:rsidRPr="00B86132">
        <w:rPr>
          <w:rFonts w:cs="Arial"/>
          <w:color w:val="3B3838" w:themeColor="background2" w:themeShade="40"/>
          <w:sz w:val="24"/>
          <w:szCs w:val="24"/>
        </w:rPr>
        <w:t xml:space="preserve">Brantbjerg, M. (2021) ‘Sitting on the edge of an abyss together. A methodology for working with hypo-arousal as part of trauma therapy’, </w:t>
      </w:r>
      <w:r w:rsidRPr="00B86132">
        <w:rPr>
          <w:rFonts w:cs="Arial"/>
          <w:i/>
          <w:iCs/>
          <w:color w:val="3B3838" w:themeColor="background2" w:themeShade="40"/>
          <w:sz w:val="24"/>
          <w:szCs w:val="24"/>
        </w:rPr>
        <w:t>Body, Movement and Dance in Psychotherapy</w:t>
      </w:r>
      <w:r w:rsidRPr="00B86132">
        <w:rPr>
          <w:rFonts w:cs="Arial"/>
          <w:color w:val="3B3838" w:themeColor="background2" w:themeShade="40"/>
          <w:sz w:val="24"/>
          <w:szCs w:val="24"/>
        </w:rPr>
        <w:t xml:space="preserve">, 16(2), pp.120-135. </w:t>
      </w:r>
      <w:hyperlink r:id="rId18" w:history="1">
        <w:r w:rsidRPr="00B86132">
          <w:rPr>
            <w:rStyle w:val="Hyperlink"/>
            <w:rFonts w:eastAsiaTheme="majorEastAsia" w:cs="Arial"/>
            <w:color w:val="3B3838" w:themeColor="background2" w:themeShade="40"/>
            <w:sz w:val="24"/>
            <w:szCs w:val="24"/>
          </w:rPr>
          <w:t>https://doi.org/10.1080/17432979.2021.1876768</w:t>
        </w:r>
      </w:hyperlink>
    </w:p>
    <w:p w14:paraId="6D9CB85C" w14:textId="77777777" w:rsidR="00B86132" w:rsidRPr="00B86132" w:rsidRDefault="00B86132" w:rsidP="00FE659D">
      <w:pPr>
        <w:rPr>
          <w:rStyle w:val="Hyperlink"/>
          <w:rFonts w:eastAsiaTheme="majorEastAsia" w:cs="Arial"/>
          <w:color w:val="3B3838" w:themeColor="background2" w:themeShade="40"/>
          <w:sz w:val="24"/>
          <w:szCs w:val="24"/>
        </w:rPr>
      </w:pPr>
    </w:p>
    <w:p w14:paraId="0AFB08ED" w14:textId="30598288"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 xml:space="preserve">Bremness, A. and Polzin, W. (2014) Commentary: Developmental trauma disorder: A missed opportunity in DSM V’, </w:t>
      </w:r>
      <w:r w:rsidRPr="00B86132">
        <w:rPr>
          <w:rFonts w:cs="Arial"/>
          <w:i/>
          <w:iCs/>
          <w:color w:val="3B3838" w:themeColor="background2" w:themeShade="40"/>
          <w:sz w:val="24"/>
          <w:szCs w:val="24"/>
          <w:shd w:val="clear" w:color="auto" w:fill="FFFFFF"/>
        </w:rPr>
        <w:t>Journal of the Canadian Academy of Child and Adolescent Psychiatry</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23</w:t>
      </w:r>
      <w:r w:rsidRPr="00B86132">
        <w:rPr>
          <w:rFonts w:cs="Arial"/>
          <w:color w:val="3B3838" w:themeColor="background2" w:themeShade="40"/>
          <w:sz w:val="24"/>
          <w:szCs w:val="24"/>
          <w:shd w:val="clear" w:color="auto" w:fill="FFFFFF"/>
        </w:rPr>
        <w:t xml:space="preserve">(2), p.142. Available at: </w:t>
      </w:r>
      <w:hyperlink r:id="rId19" w:history="1">
        <w:r w:rsidRPr="00B86132">
          <w:rPr>
            <w:rStyle w:val="Hyperlink"/>
            <w:rFonts w:eastAsiaTheme="majorEastAsia" w:cs="Arial"/>
            <w:color w:val="3B3838" w:themeColor="background2" w:themeShade="40"/>
            <w:sz w:val="24"/>
            <w:szCs w:val="24"/>
            <w:shd w:val="clear" w:color="auto" w:fill="FFFFFF"/>
          </w:rPr>
          <w:t>https://www.ncbi.nlm.nih.gov/pmc/articles/PMC4032083/pdf/ccap_23_p0142.pdf</w:t>
        </w:r>
      </w:hyperlink>
      <w:r w:rsidRPr="00B86132">
        <w:rPr>
          <w:rFonts w:cs="Arial"/>
          <w:color w:val="3B3838" w:themeColor="background2" w:themeShade="40"/>
          <w:sz w:val="24"/>
          <w:szCs w:val="24"/>
          <w:shd w:val="clear" w:color="auto" w:fill="FFFFFF"/>
        </w:rPr>
        <w:t xml:space="preserve"> (Accessed: 26 November 2021).</w:t>
      </w:r>
    </w:p>
    <w:p w14:paraId="74F15E77" w14:textId="77777777" w:rsidR="00B86132" w:rsidRPr="00B86132" w:rsidRDefault="00B86132" w:rsidP="00FE659D">
      <w:pPr>
        <w:rPr>
          <w:rFonts w:cs="Arial"/>
          <w:color w:val="3B3838" w:themeColor="background2" w:themeShade="40"/>
          <w:sz w:val="24"/>
          <w:szCs w:val="24"/>
        </w:rPr>
      </w:pPr>
    </w:p>
    <w:p w14:paraId="5B9213BC" w14:textId="6AC1EADF" w:rsidR="00FE659D" w:rsidRDefault="00FE659D" w:rsidP="00FE659D">
      <w:pPr>
        <w:rPr>
          <w:rFonts w:cs="Arial"/>
          <w:color w:val="3B3838" w:themeColor="background2" w:themeShade="40"/>
          <w:sz w:val="24"/>
          <w:szCs w:val="24"/>
          <w:u w:val="single"/>
          <w:shd w:val="clear" w:color="auto" w:fill="FFFFFF"/>
        </w:rPr>
      </w:pPr>
      <w:r w:rsidRPr="00B86132">
        <w:rPr>
          <w:rFonts w:cs="Arial"/>
          <w:color w:val="3B3838" w:themeColor="background2" w:themeShade="40"/>
          <w:sz w:val="24"/>
          <w:szCs w:val="24"/>
          <w:shd w:val="clear" w:color="auto" w:fill="FFFFFF"/>
        </w:rPr>
        <w:t>Brewin, C. (2016) ‘Coherence, disorganization, and fragmentation in traumatic memory reconsidered: A response to Rubin et al. (2016)’, </w:t>
      </w:r>
      <w:r w:rsidRPr="00B86132">
        <w:rPr>
          <w:rFonts w:cs="Arial"/>
          <w:i/>
          <w:iCs/>
          <w:color w:val="3B3838" w:themeColor="background2" w:themeShade="40"/>
          <w:sz w:val="24"/>
          <w:szCs w:val="24"/>
          <w:shd w:val="clear" w:color="auto" w:fill="FFFFFF"/>
        </w:rPr>
        <w:t>Journal of Abnormal Psychology, 125</w:t>
      </w:r>
      <w:r w:rsidRPr="00B86132">
        <w:rPr>
          <w:rFonts w:cs="Arial"/>
          <w:color w:val="3B3838" w:themeColor="background2" w:themeShade="40"/>
          <w:sz w:val="24"/>
          <w:szCs w:val="24"/>
          <w:shd w:val="clear" w:color="auto" w:fill="FFFFFF"/>
        </w:rPr>
        <w:t>(7), 1011–1017. </w:t>
      </w:r>
      <w:hyperlink r:id="rId20" w:tgtFrame="_blank" w:history="1">
        <w:r w:rsidRPr="00B86132">
          <w:rPr>
            <w:rFonts w:cs="Arial"/>
            <w:color w:val="3B3838" w:themeColor="background2" w:themeShade="40"/>
            <w:sz w:val="24"/>
            <w:szCs w:val="24"/>
            <w:u w:val="single"/>
            <w:shd w:val="clear" w:color="auto" w:fill="FFFFFF"/>
          </w:rPr>
          <w:t>https://doi.org/10.1037/abn0000154</w:t>
        </w:r>
      </w:hyperlink>
    </w:p>
    <w:p w14:paraId="2C5C5FBA" w14:textId="77777777" w:rsidR="00B86132" w:rsidRPr="00B86132" w:rsidRDefault="00B86132" w:rsidP="00FE659D">
      <w:pPr>
        <w:rPr>
          <w:rFonts w:cs="Arial"/>
          <w:color w:val="3B3838" w:themeColor="background2" w:themeShade="40"/>
          <w:sz w:val="24"/>
          <w:szCs w:val="24"/>
        </w:rPr>
      </w:pPr>
    </w:p>
    <w:p w14:paraId="0E0BF083"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Brewin, C. (2020) ‘Complex post-traumatic stress disorder: a new diagnosis in ICD-11’, </w:t>
      </w:r>
      <w:r w:rsidRPr="00B86132">
        <w:rPr>
          <w:rFonts w:cs="Arial"/>
          <w:i/>
          <w:iCs/>
          <w:color w:val="3B3838" w:themeColor="background2" w:themeShade="40"/>
          <w:sz w:val="24"/>
          <w:szCs w:val="24"/>
        </w:rPr>
        <w:t>BJPsych Advances</w:t>
      </w:r>
      <w:r w:rsidRPr="00B86132">
        <w:rPr>
          <w:rFonts w:cs="Arial"/>
          <w:color w:val="3B3838" w:themeColor="background2" w:themeShade="40"/>
          <w:sz w:val="24"/>
          <w:szCs w:val="24"/>
        </w:rPr>
        <w:t>, 26(3), pp.145-153. doi: 10.1192/bja.2019.48</w:t>
      </w:r>
    </w:p>
    <w:p w14:paraId="7B168390" w14:textId="6ED13FEE"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Brewin, C. et al. (2017) ‘Evidence regarding the ICD-11 proposals for diagnosing PTSD and complex PTSD’, </w:t>
      </w:r>
      <w:r w:rsidRPr="00B86132">
        <w:rPr>
          <w:rFonts w:cs="Arial"/>
          <w:i/>
          <w:iCs/>
          <w:color w:val="3B3838" w:themeColor="background2" w:themeShade="40"/>
          <w:sz w:val="24"/>
          <w:szCs w:val="24"/>
        </w:rPr>
        <w:t>Clinical Psychology Review</w:t>
      </w:r>
      <w:r w:rsidRPr="00B86132">
        <w:rPr>
          <w:rFonts w:cs="Arial"/>
          <w:color w:val="3B3838" w:themeColor="background2" w:themeShade="40"/>
          <w:sz w:val="24"/>
          <w:szCs w:val="24"/>
        </w:rPr>
        <w:t>, 58, 1-15. doi.org/10.1016/j.cpr.2017.09.001</w:t>
      </w:r>
    </w:p>
    <w:p w14:paraId="6C8E73BC" w14:textId="77777777" w:rsidR="00B86132" w:rsidRPr="00B86132" w:rsidRDefault="00B86132" w:rsidP="00FE659D">
      <w:pPr>
        <w:rPr>
          <w:rFonts w:cs="Arial"/>
          <w:color w:val="3B3838" w:themeColor="background2" w:themeShade="40"/>
          <w:sz w:val="24"/>
          <w:szCs w:val="24"/>
        </w:rPr>
      </w:pPr>
    </w:p>
    <w:p w14:paraId="29C23170" w14:textId="2FFAF141" w:rsidR="00FE659D" w:rsidRDefault="00FE659D" w:rsidP="00FE659D">
      <w:pPr>
        <w:rPr>
          <w:rStyle w:val="Hyperlink"/>
          <w:rFonts w:cs="Arial"/>
          <w:color w:val="3B3838" w:themeColor="background2" w:themeShade="40"/>
          <w:sz w:val="24"/>
          <w:szCs w:val="24"/>
        </w:rPr>
      </w:pPr>
      <w:r w:rsidRPr="00B86132">
        <w:rPr>
          <w:rFonts w:cs="Arial"/>
          <w:color w:val="3B3838" w:themeColor="background2" w:themeShade="40"/>
          <w:sz w:val="24"/>
          <w:szCs w:val="24"/>
        </w:rPr>
        <w:t>Britton, W. et al. (2012) ‘Mindfulness-based cognitive therapy improves emotional reactivity to social stress: results from a randomized controlled trial’, </w:t>
      </w:r>
      <w:r w:rsidRPr="00B86132">
        <w:rPr>
          <w:rFonts w:cs="Arial"/>
          <w:i/>
          <w:iCs/>
          <w:color w:val="3B3838" w:themeColor="background2" w:themeShade="40"/>
          <w:sz w:val="24"/>
          <w:szCs w:val="24"/>
        </w:rPr>
        <w:t>Behavior therapy</w:t>
      </w:r>
      <w:r w:rsidRPr="00B86132">
        <w:rPr>
          <w:rFonts w:cs="Arial"/>
          <w:color w:val="3B3838" w:themeColor="background2" w:themeShade="40"/>
          <w:sz w:val="24"/>
          <w:szCs w:val="24"/>
        </w:rPr>
        <w:t xml:space="preserve">, 43(2), pp.365-380. </w:t>
      </w:r>
      <w:hyperlink r:id="rId21" w:tgtFrame="_blank" w:tooltip="Persistent link using digital object identifier" w:history="1">
        <w:r w:rsidRPr="00B86132">
          <w:rPr>
            <w:rStyle w:val="Hyperlink"/>
            <w:rFonts w:eastAsiaTheme="majorEastAsia" w:cs="Arial"/>
            <w:color w:val="3B3838" w:themeColor="background2" w:themeShade="40"/>
            <w:sz w:val="24"/>
            <w:szCs w:val="24"/>
          </w:rPr>
          <w:t>https://doi.org/10.1016/j.beth.2011.08.006</w:t>
        </w:r>
      </w:hyperlink>
    </w:p>
    <w:p w14:paraId="49060B20" w14:textId="77777777" w:rsidR="00B86132" w:rsidRPr="00B86132" w:rsidRDefault="00B86132" w:rsidP="00FE659D">
      <w:pPr>
        <w:rPr>
          <w:rFonts w:cs="Arial"/>
          <w:color w:val="3B3838" w:themeColor="background2" w:themeShade="40"/>
          <w:sz w:val="24"/>
          <w:szCs w:val="24"/>
        </w:rPr>
      </w:pPr>
    </w:p>
    <w:p w14:paraId="19EF4E90" w14:textId="07E5B387"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Brom, D. et al. (2017) ‘Somatic Experiencing for Posttraumatic Stress Disorder: A Randomized Controlled Outcome Study’, </w:t>
      </w:r>
      <w:r w:rsidRPr="00B86132">
        <w:rPr>
          <w:rFonts w:cs="Arial"/>
          <w:i/>
          <w:iCs/>
          <w:color w:val="3B3838" w:themeColor="background2" w:themeShade="40"/>
          <w:sz w:val="24"/>
          <w:szCs w:val="24"/>
        </w:rPr>
        <w:t>Journal of traumatic stress</w:t>
      </w:r>
      <w:r w:rsidRPr="00B86132">
        <w:rPr>
          <w:rFonts w:cs="Arial"/>
          <w:color w:val="3B3838" w:themeColor="background2" w:themeShade="40"/>
          <w:sz w:val="24"/>
          <w:szCs w:val="24"/>
        </w:rPr>
        <w:t>, 30(3), pp.304–312. DOI: 10.1002/jts.22189</w:t>
      </w:r>
    </w:p>
    <w:p w14:paraId="122500E9" w14:textId="77777777" w:rsidR="00B86132" w:rsidRPr="00B86132" w:rsidRDefault="00B86132" w:rsidP="00FE659D">
      <w:pPr>
        <w:rPr>
          <w:rFonts w:cs="Arial"/>
          <w:color w:val="3B3838" w:themeColor="background2" w:themeShade="40"/>
          <w:sz w:val="24"/>
          <w:szCs w:val="24"/>
        </w:rPr>
      </w:pPr>
    </w:p>
    <w:p w14:paraId="0CA5989F" w14:textId="77777777" w:rsidR="00FE659D" w:rsidRPr="00B86132"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Brown, L. and Courtois, C. (2019) ‘Trauma treatment: The need for ongoing innovation’, </w:t>
      </w:r>
      <w:r w:rsidRPr="00B86132">
        <w:rPr>
          <w:rFonts w:cs="Arial"/>
          <w:i/>
          <w:iCs/>
          <w:color w:val="3B3838" w:themeColor="background2" w:themeShade="40"/>
          <w:sz w:val="24"/>
          <w:szCs w:val="24"/>
          <w:shd w:val="clear" w:color="auto" w:fill="FFFFFF"/>
        </w:rPr>
        <w:t>Practice Innovations</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4</w:t>
      </w:r>
      <w:r w:rsidRPr="00B86132">
        <w:rPr>
          <w:rFonts w:cs="Arial"/>
          <w:color w:val="3B3838" w:themeColor="background2" w:themeShade="40"/>
          <w:sz w:val="24"/>
          <w:szCs w:val="24"/>
          <w:shd w:val="clear" w:color="auto" w:fill="FFFFFF"/>
        </w:rPr>
        <w:t xml:space="preserve">(3), p.133. </w:t>
      </w:r>
      <w:hyperlink r:id="rId22" w:history="1">
        <w:r w:rsidRPr="00B86132">
          <w:rPr>
            <w:rStyle w:val="Hyperlink"/>
            <w:rFonts w:eastAsiaTheme="majorEastAsia" w:cs="Arial"/>
            <w:color w:val="3B3838" w:themeColor="background2" w:themeShade="40"/>
            <w:sz w:val="24"/>
            <w:szCs w:val="24"/>
            <w:shd w:val="clear" w:color="auto" w:fill="FFFFFF"/>
          </w:rPr>
          <w:t>http://dx.doi.org/10.1037/pri0000097</w:t>
        </w:r>
      </w:hyperlink>
    </w:p>
    <w:p w14:paraId="47DCC8FA" w14:textId="78215F2E"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Christiansen, D., and Hansen, M. (2015) ‘Accounting for sex differences in PTSD: A multi-variable mediation model’, </w:t>
      </w:r>
      <w:r w:rsidRPr="00B86132">
        <w:rPr>
          <w:rFonts w:cs="Arial"/>
          <w:i/>
          <w:iCs/>
          <w:color w:val="3B3838" w:themeColor="background2" w:themeShade="40"/>
          <w:sz w:val="24"/>
          <w:szCs w:val="24"/>
        </w:rPr>
        <w:t>European journal of psychotraumatology</w:t>
      </w:r>
      <w:r w:rsidRPr="00B86132">
        <w:rPr>
          <w:rFonts w:cs="Arial"/>
          <w:color w:val="3B3838" w:themeColor="background2" w:themeShade="40"/>
          <w:sz w:val="24"/>
          <w:szCs w:val="24"/>
        </w:rPr>
        <w:t xml:space="preserve">, 6, 26068. </w:t>
      </w:r>
      <w:hyperlink r:id="rId23" w:history="1">
        <w:r w:rsidR="00FD1755" w:rsidRPr="00CB4B38">
          <w:rPr>
            <w:rStyle w:val="Hyperlink"/>
            <w:rFonts w:cs="Arial"/>
            <w:sz w:val="24"/>
            <w:szCs w:val="24"/>
            <w14:textFill>
              <w14:solidFill>
                <w14:srgbClr w14:val="0000FF">
                  <w14:lumMod w14:val="25000"/>
                </w14:srgbClr>
              </w14:solidFill>
            </w14:textFill>
          </w:rPr>
          <w:t>https://doi.org/10.3402/ejpt.v6.26068</w:t>
        </w:r>
      </w:hyperlink>
    </w:p>
    <w:p w14:paraId="73D9B635" w14:textId="77777777" w:rsidR="00FD1755" w:rsidRPr="00B86132" w:rsidRDefault="00FD1755" w:rsidP="00FE659D">
      <w:pPr>
        <w:rPr>
          <w:rFonts w:cs="Arial"/>
          <w:color w:val="3B3838" w:themeColor="background2" w:themeShade="40"/>
          <w:sz w:val="24"/>
          <w:szCs w:val="24"/>
        </w:rPr>
      </w:pPr>
    </w:p>
    <w:p w14:paraId="7C170804" w14:textId="245DB2ED"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Classen, C. et al. (2021) ‘A pilot RCT of a body-oriented group therapy for complex trauma survivors: an adaptation of sensorimotor psychotherapy’, </w:t>
      </w:r>
      <w:r w:rsidRPr="00B86132">
        <w:rPr>
          <w:rFonts w:cs="Arial"/>
          <w:i/>
          <w:iCs/>
          <w:color w:val="3B3838" w:themeColor="background2" w:themeShade="40"/>
          <w:sz w:val="24"/>
          <w:szCs w:val="24"/>
        </w:rPr>
        <w:t>Journal of Trauma and Dissociation</w:t>
      </w:r>
      <w:r w:rsidRPr="00B86132">
        <w:rPr>
          <w:rFonts w:cs="Arial"/>
          <w:color w:val="3B3838" w:themeColor="background2" w:themeShade="40"/>
          <w:sz w:val="24"/>
          <w:szCs w:val="24"/>
        </w:rPr>
        <w:t xml:space="preserve">, 22(1), pp.52-68. Available at: </w:t>
      </w:r>
      <w:hyperlink r:id="rId24" w:history="1">
        <w:r w:rsidRPr="00B86132">
          <w:rPr>
            <w:rStyle w:val="Hyperlink"/>
            <w:rFonts w:eastAsiaTheme="majorEastAsia" w:cs="Arial"/>
            <w:color w:val="3B3838" w:themeColor="background2" w:themeShade="40"/>
            <w:sz w:val="24"/>
            <w:szCs w:val="24"/>
          </w:rPr>
          <w:t>https://sensorimotorpsychotherapy.org/wp-content/uploads/2020/10/A-Pilot-RCT-of-A-Body-Oriented-Group-Therapy-For-Complex-Trauma-Survivors-An-Adaptation-of-Sensorimotor-Psychotherapy.pdf</w:t>
        </w:r>
      </w:hyperlink>
      <w:r w:rsidRPr="00B86132">
        <w:rPr>
          <w:rFonts w:cs="Arial"/>
          <w:color w:val="3B3838" w:themeColor="background2" w:themeShade="40"/>
          <w:sz w:val="24"/>
          <w:szCs w:val="24"/>
        </w:rPr>
        <w:t xml:space="preserve"> (Accessed: 03 September 2021).</w:t>
      </w:r>
    </w:p>
    <w:p w14:paraId="39A5EEB0" w14:textId="77777777" w:rsidR="00FD1755" w:rsidRPr="00B86132" w:rsidRDefault="00FD1755" w:rsidP="00FE659D">
      <w:pPr>
        <w:rPr>
          <w:rFonts w:cs="Arial"/>
          <w:color w:val="3B3838" w:themeColor="background2" w:themeShade="40"/>
          <w:sz w:val="24"/>
          <w:szCs w:val="24"/>
        </w:rPr>
      </w:pPr>
    </w:p>
    <w:p w14:paraId="1A9B828F" w14:textId="2DC29F72"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Cloitre, M. et al. (2011) ‘Treatment of complex PTSD: Results of the ISTSS expert clinician survey on best practices’, </w:t>
      </w:r>
      <w:r w:rsidRPr="00B86132">
        <w:rPr>
          <w:rFonts w:cs="Arial"/>
          <w:i/>
          <w:iCs/>
          <w:color w:val="3B3838" w:themeColor="background2" w:themeShade="40"/>
          <w:sz w:val="24"/>
          <w:szCs w:val="24"/>
        </w:rPr>
        <w:t>Journal of traumatic stress</w:t>
      </w:r>
      <w:r w:rsidRPr="00B86132">
        <w:rPr>
          <w:rFonts w:cs="Arial"/>
          <w:color w:val="3B3838" w:themeColor="background2" w:themeShade="40"/>
          <w:sz w:val="24"/>
          <w:szCs w:val="24"/>
        </w:rPr>
        <w:t xml:space="preserve">, 24(6), pp.615-627. </w:t>
      </w:r>
      <w:hyperlink r:id="rId25" w:history="1">
        <w:r w:rsidRPr="00B86132">
          <w:rPr>
            <w:rStyle w:val="Hyperlink"/>
            <w:rFonts w:eastAsiaTheme="majorEastAsia" w:cs="Arial"/>
            <w:color w:val="3B3838" w:themeColor="background2" w:themeShade="40"/>
            <w:sz w:val="24"/>
            <w:szCs w:val="24"/>
          </w:rPr>
          <w:t>https://doi.org/10.1002/jts.20697</w:t>
        </w:r>
      </w:hyperlink>
    </w:p>
    <w:p w14:paraId="1E6B9329" w14:textId="77777777" w:rsidR="00FD1755" w:rsidRPr="00B86132" w:rsidRDefault="00FD1755" w:rsidP="00FE659D">
      <w:pPr>
        <w:rPr>
          <w:rFonts w:cs="Arial"/>
          <w:color w:val="3B3838" w:themeColor="background2" w:themeShade="40"/>
          <w:sz w:val="24"/>
          <w:szCs w:val="24"/>
        </w:rPr>
      </w:pPr>
    </w:p>
    <w:p w14:paraId="5AEC5A3A" w14:textId="77777777" w:rsidR="00FE659D" w:rsidRPr="00B86132" w:rsidRDefault="00FE659D" w:rsidP="00FE659D">
      <w:pPr>
        <w:autoSpaceDE w:val="0"/>
        <w:autoSpaceDN w:val="0"/>
        <w:adjustRightInd w:val="0"/>
        <w:rPr>
          <w:rFonts w:cs="Arial"/>
          <w:color w:val="3B3838" w:themeColor="background2" w:themeShade="40"/>
          <w:sz w:val="24"/>
          <w:szCs w:val="24"/>
        </w:rPr>
      </w:pPr>
      <w:r w:rsidRPr="00B86132">
        <w:rPr>
          <w:rFonts w:cs="Arial"/>
          <w:color w:val="3B3838" w:themeColor="background2" w:themeShade="40"/>
          <w:sz w:val="24"/>
          <w:szCs w:val="24"/>
        </w:rPr>
        <w:t xml:space="preserve">Cloitre M. et al. (2013) ‘Evidence for proposed ICD-11 PTSD and complex PTSD: a latent profile analysis’, </w:t>
      </w:r>
      <w:r w:rsidRPr="00B86132">
        <w:rPr>
          <w:rFonts w:cs="Arial"/>
          <w:i/>
          <w:iCs/>
          <w:color w:val="3B3838" w:themeColor="background2" w:themeShade="40"/>
          <w:sz w:val="24"/>
          <w:szCs w:val="24"/>
        </w:rPr>
        <w:t>European Journal of Psychotraumatology</w:t>
      </w:r>
      <w:r w:rsidRPr="00B86132">
        <w:rPr>
          <w:rFonts w:cs="Arial"/>
          <w:color w:val="3B3838" w:themeColor="background2" w:themeShade="40"/>
          <w:sz w:val="24"/>
          <w:szCs w:val="24"/>
        </w:rPr>
        <w:t>, 4:74–78. doi:10.3402/ejpt.v4i0.20706.</w:t>
      </w:r>
    </w:p>
    <w:p w14:paraId="384E3857" w14:textId="77777777" w:rsidR="00FE659D" w:rsidRPr="00B86132" w:rsidRDefault="00FE659D" w:rsidP="00FE659D">
      <w:pPr>
        <w:autoSpaceDE w:val="0"/>
        <w:autoSpaceDN w:val="0"/>
        <w:adjustRightInd w:val="0"/>
        <w:rPr>
          <w:rFonts w:cs="Arial"/>
          <w:color w:val="3B3838" w:themeColor="background2" w:themeShade="40"/>
          <w:sz w:val="24"/>
          <w:szCs w:val="24"/>
        </w:rPr>
      </w:pPr>
    </w:p>
    <w:p w14:paraId="2BD43035" w14:textId="1FF94EF5"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Cloitre, M. et al. (2014) ‘Distinguishing PTSD, complex PTSD, and borderline personality disorder: A latent class analysis’, </w:t>
      </w:r>
      <w:r w:rsidRPr="00B86132">
        <w:rPr>
          <w:rFonts w:cs="Arial"/>
          <w:i/>
          <w:iCs/>
          <w:color w:val="3B3838" w:themeColor="background2" w:themeShade="40"/>
          <w:sz w:val="24"/>
          <w:szCs w:val="24"/>
        </w:rPr>
        <w:t>European Journal of Psychotraumatology</w:t>
      </w:r>
      <w:r w:rsidRPr="00B86132">
        <w:rPr>
          <w:rFonts w:cs="Arial"/>
          <w:color w:val="3B3838" w:themeColor="background2" w:themeShade="40"/>
          <w:sz w:val="24"/>
          <w:szCs w:val="24"/>
        </w:rPr>
        <w:t>, 5(1), p.25097.</w:t>
      </w:r>
    </w:p>
    <w:p w14:paraId="3A56D649" w14:textId="77777777" w:rsidR="00FD1755" w:rsidRPr="00B86132" w:rsidRDefault="00FD1755" w:rsidP="00FE659D">
      <w:pPr>
        <w:rPr>
          <w:rFonts w:cs="Arial"/>
          <w:color w:val="3B3838" w:themeColor="background2" w:themeShade="40"/>
          <w:sz w:val="24"/>
          <w:szCs w:val="24"/>
        </w:rPr>
      </w:pPr>
    </w:p>
    <w:p w14:paraId="064A297D" w14:textId="30677AB9" w:rsidR="00FE659D" w:rsidRDefault="00FE659D" w:rsidP="00FE659D">
      <w:pPr>
        <w:rPr>
          <w:rFonts w:cs="Arial"/>
          <w:color w:val="3B3838" w:themeColor="background2" w:themeShade="40"/>
          <w:sz w:val="24"/>
          <w:szCs w:val="24"/>
          <w:u w:val="single"/>
          <w:shd w:val="clear" w:color="auto" w:fill="FFFFFF"/>
        </w:rPr>
      </w:pPr>
      <w:r w:rsidRPr="00B86132">
        <w:rPr>
          <w:rFonts w:cs="Arial"/>
          <w:color w:val="3B3838" w:themeColor="background2" w:themeShade="40"/>
          <w:sz w:val="24"/>
          <w:szCs w:val="24"/>
          <w:shd w:val="clear" w:color="auto" w:fill="FFFFFF"/>
        </w:rPr>
        <w:t>Cloitre, M., et al. (2019) ICD</w:t>
      </w:r>
      <w:r w:rsidRPr="00B86132">
        <w:rPr>
          <w:rFonts w:ascii="Cambria Math" w:hAnsi="Cambria Math" w:cs="Cambria Math"/>
          <w:color w:val="3B3838" w:themeColor="background2" w:themeShade="40"/>
          <w:sz w:val="24"/>
          <w:szCs w:val="24"/>
          <w:shd w:val="clear" w:color="auto" w:fill="FFFFFF"/>
        </w:rPr>
        <w:t>‐</w:t>
      </w:r>
      <w:r w:rsidRPr="00B86132">
        <w:rPr>
          <w:rFonts w:cs="Arial"/>
          <w:color w:val="3B3838" w:themeColor="background2" w:themeShade="40"/>
          <w:sz w:val="24"/>
          <w:szCs w:val="24"/>
          <w:shd w:val="clear" w:color="auto" w:fill="FFFFFF"/>
        </w:rPr>
        <w:t>11 posttraumatic stress disorder and complex posttraumatic stress disorder in the United States: A population</w:t>
      </w:r>
      <w:r w:rsidRPr="00B86132">
        <w:rPr>
          <w:rFonts w:ascii="Cambria Math" w:hAnsi="Cambria Math" w:cs="Cambria Math"/>
          <w:color w:val="3B3838" w:themeColor="background2" w:themeShade="40"/>
          <w:sz w:val="24"/>
          <w:szCs w:val="24"/>
          <w:shd w:val="clear" w:color="auto" w:fill="FFFFFF"/>
        </w:rPr>
        <w:t>‐</w:t>
      </w:r>
      <w:r w:rsidRPr="00B86132">
        <w:rPr>
          <w:rFonts w:cs="Arial"/>
          <w:color w:val="3B3838" w:themeColor="background2" w:themeShade="40"/>
          <w:sz w:val="24"/>
          <w:szCs w:val="24"/>
          <w:shd w:val="clear" w:color="auto" w:fill="FFFFFF"/>
        </w:rPr>
        <w:t>based study. </w:t>
      </w:r>
      <w:r w:rsidRPr="00B86132">
        <w:rPr>
          <w:rFonts w:cs="Arial"/>
          <w:i/>
          <w:iCs/>
          <w:color w:val="3B3838" w:themeColor="background2" w:themeShade="40"/>
          <w:sz w:val="24"/>
          <w:szCs w:val="24"/>
          <w:shd w:val="clear" w:color="auto" w:fill="FFFFFF"/>
        </w:rPr>
        <w:t>Journal of Traumatic Stress</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32</w:t>
      </w:r>
      <w:r w:rsidRPr="00B86132">
        <w:rPr>
          <w:rFonts w:cs="Arial"/>
          <w:color w:val="3B3838" w:themeColor="background2" w:themeShade="40"/>
          <w:sz w:val="24"/>
          <w:szCs w:val="24"/>
          <w:shd w:val="clear" w:color="auto" w:fill="FFFFFF"/>
        </w:rPr>
        <w:t xml:space="preserve">(6), pp.833-842. </w:t>
      </w:r>
      <w:hyperlink r:id="rId26" w:history="1">
        <w:r w:rsidRPr="00B86132">
          <w:rPr>
            <w:rFonts w:cs="Arial"/>
            <w:color w:val="3B3838" w:themeColor="background2" w:themeShade="40"/>
            <w:sz w:val="24"/>
            <w:szCs w:val="24"/>
            <w:u w:val="single"/>
            <w:shd w:val="clear" w:color="auto" w:fill="FFFFFF"/>
          </w:rPr>
          <w:t>https://doi.org/10.1002/jts.22454</w:t>
        </w:r>
      </w:hyperlink>
    </w:p>
    <w:p w14:paraId="0CDBDAA2" w14:textId="77777777" w:rsidR="00FD1755" w:rsidRPr="00B86132" w:rsidRDefault="00FD1755" w:rsidP="00FE659D">
      <w:pPr>
        <w:rPr>
          <w:rFonts w:cs="Arial"/>
          <w:color w:val="3B3838" w:themeColor="background2" w:themeShade="40"/>
          <w:sz w:val="24"/>
          <w:szCs w:val="24"/>
        </w:rPr>
      </w:pPr>
    </w:p>
    <w:p w14:paraId="662657C8" w14:textId="6FDE88A6"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Cohen, B., Nelson, L., &amp; Smith, N. (2008) </w:t>
      </w:r>
      <w:r w:rsidRPr="00B86132">
        <w:rPr>
          <w:rFonts w:cs="Arial"/>
          <w:i/>
          <w:iCs/>
          <w:color w:val="3B3838" w:themeColor="background2" w:themeShade="40"/>
          <w:sz w:val="24"/>
          <w:szCs w:val="24"/>
        </w:rPr>
        <w:t xml:space="preserve">Sensing, feeling, and action: the experiential anatomy of body-mind centering. </w:t>
      </w:r>
      <w:r w:rsidRPr="00B86132">
        <w:rPr>
          <w:rFonts w:cs="Arial"/>
          <w:color w:val="3B3838" w:themeColor="background2" w:themeShade="40"/>
          <w:sz w:val="24"/>
          <w:szCs w:val="24"/>
        </w:rPr>
        <w:t>2nd Ed. Northampton, MA: Contact Editions.</w:t>
      </w:r>
    </w:p>
    <w:p w14:paraId="472D3134" w14:textId="77777777" w:rsidR="00FD1755" w:rsidRPr="00B86132" w:rsidRDefault="00FD1755" w:rsidP="00FE659D">
      <w:pPr>
        <w:rPr>
          <w:rFonts w:cs="Arial"/>
          <w:color w:val="3B3838" w:themeColor="background2" w:themeShade="40"/>
          <w:sz w:val="24"/>
          <w:szCs w:val="24"/>
        </w:rPr>
      </w:pPr>
    </w:p>
    <w:p w14:paraId="68027669" w14:textId="695F4101"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Cohen, J. </w:t>
      </w:r>
      <w:r w:rsidRPr="00B86132">
        <w:rPr>
          <w:rFonts w:cs="Arial"/>
          <w:i/>
          <w:iCs/>
          <w:color w:val="3B3838" w:themeColor="background2" w:themeShade="40"/>
          <w:sz w:val="24"/>
          <w:szCs w:val="24"/>
          <w:shd w:val="clear" w:color="auto" w:fill="FFFFFF"/>
        </w:rPr>
        <w:t>et al.</w:t>
      </w:r>
      <w:r w:rsidRPr="00B86132">
        <w:rPr>
          <w:rFonts w:cs="Arial"/>
          <w:color w:val="3B3838" w:themeColor="background2" w:themeShade="40"/>
          <w:sz w:val="24"/>
          <w:szCs w:val="24"/>
          <w:shd w:val="clear" w:color="auto" w:fill="FFFFFF"/>
        </w:rPr>
        <w:t> (2012) ‘Trauma-focused CBT for youth with complex trauma’, </w:t>
      </w:r>
      <w:r w:rsidRPr="00B86132">
        <w:rPr>
          <w:rFonts w:cs="Arial"/>
          <w:i/>
          <w:iCs/>
          <w:color w:val="3B3838" w:themeColor="background2" w:themeShade="40"/>
          <w:sz w:val="24"/>
          <w:szCs w:val="24"/>
          <w:shd w:val="clear" w:color="auto" w:fill="FFFFFF"/>
        </w:rPr>
        <w:t>Child abuse &amp; neglect</w:t>
      </w:r>
      <w:r w:rsidRPr="00B86132">
        <w:rPr>
          <w:rFonts w:cs="Arial"/>
          <w:color w:val="3B3838" w:themeColor="background2" w:themeShade="40"/>
          <w:sz w:val="24"/>
          <w:szCs w:val="24"/>
          <w:shd w:val="clear" w:color="auto" w:fill="FFFFFF"/>
        </w:rPr>
        <w:t>, 36(6), pp. 528–541. doi:10.1016/j.chiabu.2012.03.007.</w:t>
      </w:r>
    </w:p>
    <w:p w14:paraId="064DC07F" w14:textId="77777777" w:rsidR="00FD1755" w:rsidRPr="00B86132" w:rsidRDefault="00FD1755" w:rsidP="00FE659D">
      <w:pPr>
        <w:rPr>
          <w:rFonts w:cs="Arial"/>
          <w:color w:val="3B3838" w:themeColor="background2" w:themeShade="40"/>
          <w:sz w:val="24"/>
          <w:szCs w:val="24"/>
        </w:rPr>
      </w:pPr>
    </w:p>
    <w:p w14:paraId="4185836B" w14:textId="2BC57D1F" w:rsidR="00FE659D" w:rsidRDefault="00FE659D" w:rsidP="00FE659D">
      <w:pPr>
        <w:rPr>
          <w:rFonts w:cs="Arial"/>
          <w:color w:val="3B3838" w:themeColor="background2" w:themeShade="40"/>
          <w:sz w:val="24"/>
          <w:szCs w:val="24"/>
          <w:u w:val="single"/>
        </w:rPr>
      </w:pPr>
      <w:r w:rsidRPr="00B86132">
        <w:rPr>
          <w:rFonts w:cs="Arial"/>
          <w:color w:val="3B3838" w:themeColor="background2" w:themeShade="40"/>
          <w:sz w:val="24"/>
          <w:szCs w:val="24"/>
          <w:shd w:val="clear" w:color="auto" w:fill="FFFFFF"/>
        </w:rPr>
        <w:t xml:space="preserve">Corrigan, F. and Christie-Sands, J. (2020) ‘An innate brainstem self-other system involving orienting, affective responding, and polyvalent relational seeking: Some clinical implications for a “Deep Brain Reorienting” trauma psychotherapy approach’, </w:t>
      </w:r>
      <w:r w:rsidRPr="00B86132">
        <w:rPr>
          <w:rFonts w:cs="Arial"/>
          <w:i/>
          <w:iCs/>
          <w:color w:val="3B3838" w:themeColor="background2" w:themeShade="40"/>
          <w:sz w:val="24"/>
          <w:szCs w:val="24"/>
          <w:shd w:val="clear" w:color="auto" w:fill="FFFFFF"/>
        </w:rPr>
        <w:t>Medical hypotheses</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136</w:t>
      </w:r>
      <w:r w:rsidRPr="00B86132">
        <w:rPr>
          <w:rFonts w:cs="Arial"/>
          <w:color w:val="3B3838" w:themeColor="background2" w:themeShade="40"/>
          <w:sz w:val="24"/>
          <w:szCs w:val="24"/>
          <w:shd w:val="clear" w:color="auto" w:fill="FFFFFF"/>
        </w:rPr>
        <w:t xml:space="preserve">, p.109502. </w:t>
      </w:r>
      <w:hyperlink r:id="rId27" w:tgtFrame="_blank" w:tooltip="Persistent link using digital object identifier" w:history="1">
        <w:r w:rsidRPr="00B86132">
          <w:rPr>
            <w:rFonts w:cs="Arial"/>
            <w:color w:val="3B3838" w:themeColor="background2" w:themeShade="40"/>
            <w:sz w:val="24"/>
            <w:szCs w:val="24"/>
            <w:u w:val="single"/>
          </w:rPr>
          <w:t>https://doi.org/10.1016/j.mehy.2019.109502</w:t>
        </w:r>
      </w:hyperlink>
    </w:p>
    <w:p w14:paraId="525DD0F2" w14:textId="77777777" w:rsidR="00FD1755" w:rsidRPr="00B86132" w:rsidRDefault="00FD1755" w:rsidP="00FE659D">
      <w:pPr>
        <w:rPr>
          <w:rFonts w:cs="Arial"/>
          <w:color w:val="3B3838" w:themeColor="background2" w:themeShade="40"/>
          <w:sz w:val="24"/>
          <w:szCs w:val="24"/>
        </w:rPr>
      </w:pPr>
    </w:p>
    <w:p w14:paraId="3A0F8194" w14:textId="7425C713"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Corrigan, F., Fisher, J. and Nutt, D. (2011) ‘Autonomic dysregulation and the window of tolerance model of the effects of complex emotional trauma’, </w:t>
      </w:r>
      <w:r w:rsidRPr="00B86132">
        <w:rPr>
          <w:rFonts w:cs="Arial"/>
          <w:i/>
          <w:iCs/>
          <w:color w:val="3B3838" w:themeColor="background2" w:themeShade="40"/>
          <w:sz w:val="24"/>
          <w:szCs w:val="24"/>
        </w:rPr>
        <w:t>Journal of Psychopharmacology</w:t>
      </w:r>
      <w:r w:rsidRPr="00B86132">
        <w:rPr>
          <w:rFonts w:cs="Arial"/>
          <w:color w:val="3B3838" w:themeColor="background2" w:themeShade="40"/>
          <w:sz w:val="24"/>
          <w:szCs w:val="24"/>
        </w:rPr>
        <w:t>, 25(1), pp.17-25. DOI: 10.1177/0269881109354930</w:t>
      </w:r>
    </w:p>
    <w:p w14:paraId="68532B12" w14:textId="77777777" w:rsidR="00FD1755" w:rsidRPr="00B86132" w:rsidRDefault="00FD1755" w:rsidP="00FE659D">
      <w:pPr>
        <w:rPr>
          <w:rFonts w:cs="Arial"/>
          <w:color w:val="3B3838" w:themeColor="background2" w:themeShade="40"/>
          <w:sz w:val="24"/>
          <w:szCs w:val="24"/>
        </w:rPr>
      </w:pPr>
    </w:p>
    <w:p w14:paraId="7FEADF35"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Corrigan, F. and Grand, D. (2013) ‘Brainspotting: Recruiting the midbrain for accessing and healing sensorimotor memories of traumatic activation’, </w:t>
      </w:r>
      <w:r w:rsidRPr="00B86132">
        <w:rPr>
          <w:rFonts w:cs="Arial"/>
          <w:i/>
          <w:iCs/>
          <w:color w:val="3B3838" w:themeColor="background2" w:themeShade="40"/>
          <w:sz w:val="24"/>
          <w:szCs w:val="24"/>
        </w:rPr>
        <w:t>Medical hypotheses</w:t>
      </w:r>
      <w:r w:rsidRPr="00B86132">
        <w:rPr>
          <w:rFonts w:cs="Arial"/>
          <w:color w:val="3B3838" w:themeColor="background2" w:themeShade="40"/>
          <w:sz w:val="24"/>
          <w:szCs w:val="24"/>
        </w:rPr>
        <w:t xml:space="preserve">, 80(6), pp.759–766. </w:t>
      </w:r>
      <w:hyperlink r:id="rId28" w:tgtFrame="_blank" w:tooltip="Persistent link using digital object identifier" w:history="1">
        <w:r w:rsidRPr="00B86132">
          <w:rPr>
            <w:rStyle w:val="Hyperlink"/>
            <w:rFonts w:eastAsiaTheme="majorEastAsia" w:cs="Arial"/>
            <w:color w:val="3B3838" w:themeColor="background2" w:themeShade="40"/>
            <w:sz w:val="24"/>
            <w:szCs w:val="24"/>
          </w:rPr>
          <w:t>https://doi.org/10.1016/j.mehy.2013.03.005</w:t>
        </w:r>
      </w:hyperlink>
    </w:p>
    <w:p w14:paraId="7081E94A" w14:textId="59A84574"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Corrigan, F., Grand, D and Raju, R (2015) ‘Brainspotting: Sustained attention, spinothalamic tracts, thalamocortical processing, and the healing of adaptive </w:t>
      </w:r>
      <w:r w:rsidRPr="00B86132">
        <w:rPr>
          <w:rFonts w:cs="Arial"/>
          <w:color w:val="3B3838" w:themeColor="background2" w:themeShade="40"/>
          <w:sz w:val="24"/>
          <w:szCs w:val="24"/>
        </w:rPr>
        <w:lastRenderedPageBreak/>
        <w:t xml:space="preserve">orientation truncated by traumatic experience’, </w:t>
      </w:r>
      <w:r w:rsidRPr="00B86132">
        <w:rPr>
          <w:rFonts w:cs="Arial"/>
          <w:i/>
          <w:iCs/>
          <w:color w:val="3B3838" w:themeColor="background2" w:themeShade="40"/>
          <w:sz w:val="24"/>
          <w:szCs w:val="24"/>
        </w:rPr>
        <w:t>Medical hypotheses</w:t>
      </w:r>
      <w:r w:rsidRPr="00B86132">
        <w:rPr>
          <w:rFonts w:cs="Arial"/>
          <w:color w:val="3B3838" w:themeColor="background2" w:themeShade="40"/>
          <w:sz w:val="24"/>
          <w:szCs w:val="24"/>
        </w:rPr>
        <w:t xml:space="preserve">, 84(4), pp.384–394. </w:t>
      </w:r>
      <w:hyperlink r:id="rId29" w:tgtFrame="_blank" w:tooltip="Persistent link using digital object identifier" w:history="1">
        <w:r w:rsidRPr="00B86132">
          <w:rPr>
            <w:rStyle w:val="Hyperlink"/>
            <w:rFonts w:eastAsiaTheme="majorEastAsia" w:cs="Arial"/>
            <w:color w:val="3B3838" w:themeColor="background2" w:themeShade="40"/>
            <w:sz w:val="24"/>
            <w:szCs w:val="24"/>
          </w:rPr>
          <w:t>https://doi.org/10.1016/j.mehy.2015.01.028</w:t>
        </w:r>
      </w:hyperlink>
    </w:p>
    <w:p w14:paraId="277D4CE8" w14:textId="77777777" w:rsidR="00FD1755" w:rsidRPr="00B86132" w:rsidRDefault="00FD1755" w:rsidP="00FE659D">
      <w:pPr>
        <w:rPr>
          <w:rStyle w:val="Hyperlink"/>
          <w:rFonts w:eastAsiaTheme="majorEastAsia" w:cs="Arial"/>
          <w:color w:val="3B3838" w:themeColor="background2" w:themeShade="40"/>
          <w:sz w:val="24"/>
          <w:szCs w:val="24"/>
        </w:rPr>
      </w:pPr>
    </w:p>
    <w:p w14:paraId="42DFB198" w14:textId="0CFC2AFD"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Corrigan, F. and Hull, A. (2015a) ‘Recognition of the neurobiological insults imposed by complex trauma and the implications for psychotherapeutic interventions’, </w:t>
      </w:r>
      <w:r w:rsidRPr="00B86132">
        <w:rPr>
          <w:rFonts w:cs="Arial"/>
          <w:i/>
          <w:iCs/>
          <w:color w:val="3B3838" w:themeColor="background2" w:themeShade="40"/>
          <w:sz w:val="24"/>
          <w:szCs w:val="24"/>
        </w:rPr>
        <w:t>BJPsych bulletin</w:t>
      </w:r>
      <w:r w:rsidRPr="00B86132">
        <w:rPr>
          <w:rFonts w:cs="Arial"/>
          <w:color w:val="3B3838" w:themeColor="background2" w:themeShade="40"/>
          <w:sz w:val="24"/>
          <w:szCs w:val="24"/>
        </w:rPr>
        <w:t>, 39(2), pp.79-86. doi: 10.1192/pb.bp.114.047134</w:t>
      </w:r>
    </w:p>
    <w:p w14:paraId="4109E30F" w14:textId="77777777" w:rsidR="00FD1755" w:rsidRPr="00B86132" w:rsidRDefault="00FD1755" w:rsidP="00FE659D">
      <w:pPr>
        <w:rPr>
          <w:rFonts w:cs="Arial"/>
          <w:color w:val="3B3838" w:themeColor="background2" w:themeShade="40"/>
          <w:sz w:val="24"/>
          <w:szCs w:val="24"/>
        </w:rPr>
      </w:pPr>
    </w:p>
    <w:p w14:paraId="1AACFBD9" w14:textId="3358844D"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Corrigan, F. and Hull, A. (2015b) ‘Neglect of the complex: Why psychotherapy for post-traumatic clinical presentations is often ineffective’,</w:t>
      </w:r>
      <w:r w:rsidRPr="00B86132">
        <w:rPr>
          <w:rFonts w:cs="Arial"/>
          <w:i/>
          <w:iCs/>
          <w:color w:val="3B3838" w:themeColor="background2" w:themeShade="40"/>
          <w:sz w:val="24"/>
          <w:szCs w:val="24"/>
        </w:rPr>
        <w:t>BJPsych Bulletin</w:t>
      </w:r>
      <w:r w:rsidRPr="00B86132">
        <w:rPr>
          <w:rFonts w:cs="Arial"/>
          <w:color w:val="3B3838" w:themeColor="background2" w:themeShade="40"/>
          <w:sz w:val="24"/>
          <w:szCs w:val="24"/>
        </w:rPr>
        <w:t>, 39(2), 86-89. doi:10.1192/pb.bp.114.046995</w:t>
      </w:r>
    </w:p>
    <w:p w14:paraId="65D84D3F" w14:textId="77777777" w:rsidR="00FD1755" w:rsidRPr="00B86132" w:rsidRDefault="00FD1755" w:rsidP="00FE659D">
      <w:pPr>
        <w:rPr>
          <w:rFonts w:cs="Arial"/>
          <w:color w:val="3B3838" w:themeColor="background2" w:themeShade="40"/>
          <w:sz w:val="24"/>
          <w:szCs w:val="24"/>
        </w:rPr>
      </w:pPr>
    </w:p>
    <w:p w14:paraId="79466F52" w14:textId="36184A78"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Cortizo, R. (2020) ‘Hidden Trauma and Dissociation: Prenatal Assessment within the Calming Womb Model’, </w:t>
      </w:r>
      <w:r w:rsidRPr="00B86132">
        <w:rPr>
          <w:rFonts w:cs="Arial"/>
          <w:i/>
          <w:iCs/>
          <w:color w:val="3B3838" w:themeColor="background2" w:themeShade="40"/>
          <w:sz w:val="24"/>
          <w:szCs w:val="24"/>
        </w:rPr>
        <w:t>Journal of Prenatal &amp; Perinatal Psychology &amp; Health</w:t>
      </w:r>
      <w:r w:rsidRPr="00B86132">
        <w:rPr>
          <w:rFonts w:cs="Arial"/>
          <w:color w:val="3B3838" w:themeColor="background2" w:themeShade="40"/>
          <w:sz w:val="24"/>
          <w:szCs w:val="24"/>
        </w:rPr>
        <w:t xml:space="preserve">, 34(6), pp. 469-481. Available at: </w:t>
      </w:r>
      <w:hyperlink r:id="rId30" w:history="1">
        <w:r w:rsidRPr="00B86132">
          <w:rPr>
            <w:rStyle w:val="Hyperlink"/>
            <w:rFonts w:eastAsiaTheme="majorEastAsia" w:cs="Arial"/>
            <w:color w:val="3B3838" w:themeColor="background2" w:themeShade="40"/>
            <w:sz w:val="24"/>
            <w:szCs w:val="24"/>
          </w:rPr>
          <w:t>https://www.proquest.com/scholarly-journals/hidden-trauma-dissociation-prenatal-assessment/docview/2514747623/se-2?accountid=130472</w:t>
        </w:r>
      </w:hyperlink>
      <w:r w:rsidRPr="00B86132">
        <w:rPr>
          <w:rFonts w:cs="Arial"/>
          <w:color w:val="3B3838" w:themeColor="background2" w:themeShade="40"/>
          <w:sz w:val="24"/>
          <w:szCs w:val="24"/>
        </w:rPr>
        <w:t xml:space="preserve"> (Accessed: 10 October 2021). </w:t>
      </w:r>
    </w:p>
    <w:p w14:paraId="5CEDBC9A" w14:textId="77777777" w:rsidR="00FD1755" w:rsidRPr="00B86132" w:rsidRDefault="00FD1755" w:rsidP="00FE659D">
      <w:pPr>
        <w:rPr>
          <w:rFonts w:cs="Arial"/>
          <w:color w:val="3B3838" w:themeColor="background2" w:themeShade="40"/>
          <w:sz w:val="24"/>
          <w:szCs w:val="24"/>
        </w:rPr>
      </w:pPr>
    </w:p>
    <w:p w14:paraId="1E29A589" w14:textId="27694613"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Cozolino, L. (2014) </w:t>
      </w:r>
      <w:r w:rsidRPr="00B86132">
        <w:rPr>
          <w:rFonts w:cs="Arial"/>
          <w:i/>
          <w:iCs/>
          <w:color w:val="3B3838" w:themeColor="background2" w:themeShade="40"/>
          <w:sz w:val="24"/>
          <w:szCs w:val="24"/>
        </w:rPr>
        <w:t>The neuroscience of human relationships: Attachment and the developing social brain</w:t>
      </w:r>
      <w:r w:rsidRPr="00B86132">
        <w:rPr>
          <w:rFonts w:cs="Arial"/>
          <w:color w:val="3B3838" w:themeColor="background2" w:themeShade="40"/>
          <w:sz w:val="24"/>
          <w:szCs w:val="24"/>
        </w:rPr>
        <w:t>. New York: WW Norton and Company.</w:t>
      </w:r>
    </w:p>
    <w:p w14:paraId="0CB2107C" w14:textId="77777777" w:rsidR="00FD1755" w:rsidRPr="00B86132" w:rsidRDefault="00FD1755" w:rsidP="00FE659D">
      <w:pPr>
        <w:rPr>
          <w:rFonts w:cs="Arial"/>
          <w:color w:val="3B3838" w:themeColor="background2" w:themeShade="40"/>
          <w:sz w:val="24"/>
          <w:szCs w:val="24"/>
        </w:rPr>
      </w:pPr>
    </w:p>
    <w:p w14:paraId="3EC03F47" w14:textId="262F26C3"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Dalenberg, C. et al. (2020) ‘Inviting Scientific Discourse on Traumatic Dissociation: Progress Made and Obstacles to Further Resolution’, </w:t>
      </w:r>
      <w:r w:rsidRPr="00B86132">
        <w:rPr>
          <w:rFonts w:cs="Arial"/>
          <w:i/>
          <w:iCs/>
          <w:color w:val="3B3838" w:themeColor="background2" w:themeShade="40"/>
          <w:sz w:val="24"/>
          <w:szCs w:val="24"/>
        </w:rPr>
        <w:t>Psychological injury and law</w:t>
      </w:r>
      <w:r w:rsidRPr="00B86132">
        <w:rPr>
          <w:rFonts w:cs="Arial"/>
          <w:color w:val="3B3838" w:themeColor="background2" w:themeShade="40"/>
          <w:sz w:val="24"/>
          <w:szCs w:val="24"/>
        </w:rPr>
        <w:t>, 13(2), pp.135–154.</w:t>
      </w:r>
    </w:p>
    <w:p w14:paraId="79EEC5C7" w14:textId="77777777" w:rsidR="00FD1755" w:rsidRPr="00B86132" w:rsidRDefault="00FD1755" w:rsidP="00FE659D">
      <w:pPr>
        <w:rPr>
          <w:rFonts w:cs="Arial"/>
          <w:color w:val="3B3838" w:themeColor="background2" w:themeShade="40"/>
          <w:sz w:val="24"/>
          <w:szCs w:val="24"/>
        </w:rPr>
      </w:pPr>
    </w:p>
    <w:p w14:paraId="70485DB5" w14:textId="5826534F"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Dana, D. (2018) </w:t>
      </w:r>
      <w:r w:rsidRPr="00B86132">
        <w:rPr>
          <w:rFonts w:cs="Arial"/>
          <w:i/>
          <w:iCs/>
          <w:color w:val="3B3838" w:themeColor="background2" w:themeShade="40"/>
          <w:sz w:val="24"/>
          <w:szCs w:val="24"/>
        </w:rPr>
        <w:t>The Polyvagal Theory in Therapy: Engaging the Rhythm of Regulation</w:t>
      </w:r>
      <w:r w:rsidRPr="00B86132">
        <w:rPr>
          <w:rFonts w:cs="Arial"/>
          <w:color w:val="3B3838" w:themeColor="background2" w:themeShade="40"/>
          <w:sz w:val="24"/>
          <w:szCs w:val="24"/>
        </w:rPr>
        <w:t>. New York: WW Norton and Company.</w:t>
      </w:r>
    </w:p>
    <w:p w14:paraId="5156ECD1" w14:textId="77777777" w:rsidR="00FD1755" w:rsidRPr="00B86132" w:rsidRDefault="00FD1755" w:rsidP="00FE659D">
      <w:pPr>
        <w:rPr>
          <w:rFonts w:cs="Arial"/>
          <w:color w:val="3B3838" w:themeColor="background2" w:themeShade="40"/>
          <w:sz w:val="24"/>
          <w:szCs w:val="24"/>
        </w:rPr>
      </w:pPr>
    </w:p>
    <w:p w14:paraId="233FDD92" w14:textId="0EC7F614"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D'Andrea, W. et al. (2012) ‘Understanding Interpersonal Trauma in Children: Why We Need a Developmentally Appropriate Trauma Diagnosis’, </w:t>
      </w:r>
      <w:r w:rsidRPr="00B86132">
        <w:rPr>
          <w:rFonts w:cs="Arial"/>
          <w:i/>
          <w:iCs/>
          <w:color w:val="3B3838" w:themeColor="background2" w:themeShade="40"/>
          <w:sz w:val="24"/>
          <w:szCs w:val="24"/>
        </w:rPr>
        <w:t>American journal of orthopsychiatry</w:t>
      </w:r>
      <w:r w:rsidRPr="00B86132">
        <w:rPr>
          <w:rFonts w:cs="Arial"/>
          <w:color w:val="3B3838" w:themeColor="background2" w:themeShade="40"/>
          <w:sz w:val="24"/>
          <w:szCs w:val="24"/>
        </w:rPr>
        <w:t>, 82(2), pp.187–200. doi: 10.1111/j.1939-0025.2012.01154.x.</w:t>
      </w:r>
    </w:p>
    <w:p w14:paraId="2838232D" w14:textId="77777777" w:rsidR="00FD1755" w:rsidRPr="00B86132" w:rsidRDefault="00FD1755" w:rsidP="00FE659D">
      <w:pPr>
        <w:rPr>
          <w:rFonts w:cs="Arial"/>
          <w:color w:val="3B3838" w:themeColor="background2" w:themeShade="40"/>
          <w:sz w:val="24"/>
          <w:szCs w:val="24"/>
        </w:rPr>
      </w:pPr>
    </w:p>
    <w:p w14:paraId="6423E468" w14:textId="0CAA3AE2"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Danese, A. and Lewis, S. (2017) ‘Psychoneuroimmunology of Early-Life Stress: The Hidden Wounds of Childhood Trauma?’, </w:t>
      </w:r>
      <w:r w:rsidRPr="00B86132">
        <w:rPr>
          <w:rFonts w:cs="Arial"/>
          <w:i/>
          <w:iCs/>
          <w:color w:val="3B3838" w:themeColor="background2" w:themeShade="40"/>
          <w:sz w:val="24"/>
          <w:szCs w:val="24"/>
        </w:rPr>
        <w:t>Neuropsychopharmacology</w:t>
      </w:r>
      <w:r w:rsidRPr="00B86132">
        <w:rPr>
          <w:rFonts w:cs="Arial"/>
          <w:color w:val="3B3838" w:themeColor="background2" w:themeShade="40"/>
          <w:sz w:val="24"/>
          <w:szCs w:val="24"/>
        </w:rPr>
        <w:t xml:space="preserve"> (New York, N.Y.), 42(1), pp.99–114.</w:t>
      </w:r>
    </w:p>
    <w:p w14:paraId="79A1B927" w14:textId="77777777" w:rsidR="00FD1755" w:rsidRPr="00B86132" w:rsidRDefault="00FD1755" w:rsidP="00FE659D">
      <w:pPr>
        <w:rPr>
          <w:rFonts w:cs="Arial"/>
          <w:color w:val="3B3838" w:themeColor="background2" w:themeShade="40"/>
          <w:sz w:val="24"/>
          <w:szCs w:val="24"/>
        </w:rPr>
      </w:pPr>
    </w:p>
    <w:p w14:paraId="4FFE56BA" w14:textId="4C491131"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Davies, J. (2013) </w:t>
      </w:r>
      <w:r w:rsidRPr="00B86132">
        <w:rPr>
          <w:rFonts w:cs="Arial"/>
          <w:i/>
          <w:iCs/>
          <w:color w:val="3B3838" w:themeColor="background2" w:themeShade="40"/>
          <w:sz w:val="24"/>
          <w:szCs w:val="24"/>
          <w:shd w:val="clear" w:color="auto" w:fill="FFFFFF"/>
        </w:rPr>
        <w:t>Cracked: Why psychiatry is doing more harm than good</w:t>
      </w:r>
      <w:r w:rsidRPr="00B86132">
        <w:rPr>
          <w:rFonts w:cs="Arial"/>
          <w:color w:val="3B3838" w:themeColor="background2" w:themeShade="40"/>
          <w:sz w:val="24"/>
          <w:szCs w:val="24"/>
          <w:shd w:val="clear" w:color="auto" w:fill="FFFFFF"/>
        </w:rPr>
        <w:t>. Icon Books Ltd.</w:t>
      </w:r>
    </w:p>
    <w:p w14:paraId="2A2560BD" w14:textId="77777777" w:rsidR="00FD1755" w:rsidRPr="00B86132" w:rsidRDefault="00FD1755" w:rsidP="00FE659D">
      <w:pPr>
        <w:rPr>
          <w:rFonts w:cs="Arial"/>
          <w:color w:val="3B3838" w:themeColor="background2" w:themeShade="40"/>
          <w:sz w:val="24"/>
          <w:szCs w:val="24"/>
        </w:rPr>
      </w:pPr>
    </w:p>
    <w:p w14:paraId="6B51FB74"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Day, E. (2016) ‘Field Attunement for a Strong Therapeutic Alliance’, </w:t>
      </w:r>
      <w:r w:rsidRPr="00B86132">
        <w:rPr>
          <w:rFonts w:cs="Arial"/>
          <w:i/>
          <w:iCs/>
          <w:color w:val="3B3838" w:themeColor="background2" w:themeShade="40"/>
          <w:sz w:val="24"/>
          <w:szCs w:val="24"/>
        </w:rPr>
        <w:t>The Journal of humanistic psychology</w:t>
      </w:r>
      <w:r w:rsidRPr="00B86132">
        <w:rPr>
          <w:rFonts w:cs="Arial"/>
          <w:color w:val="3B3838" w:themeColor="background2" w:themeShade="40"/>
          <w:sz w:val="24"/>
          <w:szCs w:val="24"/>
        </w:rPr>
        <w:t>, 56(1), pp.77–94. DOI: 10.1177/0022167815569534</w:t>
      </w:r>
    </w:p>
    <w:p w14:paraId="432881D5" w14:textId="76FD07A0"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De Jongh, A. et al. (2016) ‘Critical analysis of the current treatment guidelines for complex PTSD in adults’, </w:t>
      </w:r>
      <w:r w:rsidRPr="00B86132">
        <w:rPr>
          <w:rFonts w:cs="Arial"/>
          <w:i/>
          <w:iCs/>
          <w:color w:val="3B3838" w:themeColor="background2" w:themeShade="40"/>
          <w:sz w:val="24"/>
          <w:szCs w:val="24"/>
        </w:rPr>
        <w:t>Depression and anxiety</w:t>
      </w:r>
      <w:r w:rsidRPr="00B86132">
        <w:rPr>
          <w:rFonts w:cs="Arial"/>
          <w:color w:val="3B3838" w:themeColor="background2" w:themeShade="40"/>
          <w:sz w:val="24"/>
          <w:szCs w:val="24"/>
        </w:rPr>
        <w:t xml:space="preserve">, 33(5), pp.359-369. </w:t>
      </w:r>
      <w:hyperlink r:id="rId31" w:history="1">
        <w:r w:rsidRPr="00B86132">
          <w:rPr>
            <w:rStyle w:val="Hyperlink"/>
            <w:rFonts w:eastAsiaTheme="majorEastAsia" w:cs="Arial"/>
            <w:color w:val="3B3838" w:themeColor="background2" w:themeShade="40"/>
            <w:sz w:val="24"/>
            <w:szCs w:val="24"/>
          </w:rPr>
          <w:t>https://doi.org/10.1002/da.22469</w:t>
        </w:r>
      </w:hyperlink>
    </w:p>
    <w:p w14:paraId="641A8493" w14:textId="77777777" w:rsidR="00FD1755" w:rsidRPr="00B86132" w:rsidRDefault="00FD1755" w:rsidP="00FE659D">
      <w:pPr>
        <w:rPr>
          <w:rFonts w:cs="Arial"/>
          <w:color w:val="3B3838" w:themeColor="background2" w:themeShade="40"/>
          <w:sz w:val="24"/>
          <w:szCs w:val="24"/>
        </w:rPr>
      </w:pPr>
    </w:p>
    <w:p w14:paraId="0409A96A" w14:textId="685CFA8E"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Dusenbery, M. (2018) </w:t>
      </w:r>
      <w:r w:rsidRPr="00B86132">
        <w:rPr>
          <w:rFonts w:cs="Arial"/>
          <w:i/>
          <w:iCs/>
          <w:color w:val="3B3838" w:themeColor="background2" w:themeShade="40"/>
          <w:sz w:val="24"/>
          <w:szCs w:val="24"/>
        </w:rPr>
        <w:t>Doing harm: The truth about how bad medicine and lazy science leave women dismissed, misdiagnosed, and sick</w:t>
      </w:r>
      <w:r w:rsidRPr="00B86132">
        <w:rPr>
          <w:rFonts w:cs="Arial"/>
          <w:color w:val="3B3838" w:themeColor="background2" w:themeShade="40"/>
          <w:sz w:val="24"/>
          <w:szCs w:val="24"/>
        </w:rPr>
        <w:t>. HarperCollins.</w:t>
      </w:r>
    </w:p>
    <w:p w14:paraId="5204FCCA" w14:textId="77777777" w:rsidR="00FD1755" w:rsidRPr="00B86132" w:rsidRDefault="00FD1755" w:rsidP="00FE659D">
      <w:pPr>
        <w:rPr>
          <w:rFonts w:cs="Arial"/>
          <w:color w:val="3B3838" w:themeColor="background2" w:themeShade="40"/>
          <w:sz w:val="24"/>
          <w:szCs w:val="24"/>
        </w:rPr>
      </w:pPr>
    </w:p>
    <w:p w14:paraId="01B5039B" w14:textId="2462BE1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lastRenderedPageBreak/>
        <w:t>Edwards, E., Shivaji, S. and Wupperman, P. (2018) ‘The Emotion Mapping Activity: Preliminary evaluation of a mindfulness</w:t>
      </w:r>
      <w:r w:rsidRPr="00B86132">
        <w:rPr>
          <w:rFonts w:ascii="Cambria Math" w:hAnsi="Cambria Math" w:cs="Cambria Math"/>
          <w:color w:val="3B3838" w:themeColor="background2" w:themeShade="40"/>
          <w:sz w:val="24"/>
          <w:szCs w:val="24"/>
        </w:rPr>
        <w:t>‐</w:t>
      </w:r>
      <w:r w:rsidRPr="00B86132">
        <w:rPr>
          <w:rFonts w:cs="Arial"/>
          <w:color w:val="3B3838" w:themeColor="background2" w:themeShade="40"/>
          <w:sz w:val="24"/>
          <w:szCs w:val="24"/>
        </w:rPr>
        <w:t>informed exercise to improve emotion labeling in alexithymic persons’, </w:t>
      </w:r>
      <w:r w:rsidRPr="00B86132">
        <w:rPr>
          <w:rFonts w:cs="Arial"/>
          <w:i/>
          <w:iCs/>
          <w:color w:val="3B3838" w:themeColor="background2" w:themeShade="40"/>
          <w:sz w:val="24"/>
          <w:szCs w:val="24"/>
        </w:rPr>
        <w:t>Scandinavian journal of psychology</w:t>
      </w:r>
      <w:r w:rsidRPr="00B86132">
        <w:rPr>
          <w:rFonts w:cs="Arial"/>
          <w:color w:val="3B3838" w:themeColor="background2" w:themeShade="40"/>
          <w:sz w:val="24"/>
          <w:szCs w:val="24"/>
        </w:rPr>
        <w:t>, 59(3), pp.319–327. DOI: 10.1111/sjop.12438</w:t>
      </w:r>
    </w:p>
    <w:p w14:paraId="7B23DAC9" w14:textId="77777777" w:rsidR="00FD1755" w:rsidRPr="00B86132" w:rsidRDefault="00FD1755" w:rsidP="00FE659D">
      <w:pPr>
        <w:rPr>
          <w:rFonts w:cs="Arial"/>
          <w:color w:val="3B3838" w:themeColor="background2" w:themeShade="40"/>
          <w:sz w:val="24"/>
          <w:szCs w:val="24"/>
        </w:rPr>
      </w:pPr>
    </w:p>
    <w:p w14:paraId="1857F859" w14:textId="298D4E14"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Ehring, T. et al. (2014) ‘Meta-analysis of psychological treatments for posttraumatic stress disorder in adult survivors of childhood abuse’, </w:t>
      </w:r>
      <w:r w:rsidRPr="00B86132">
        <w:rPr>
          <w:rFonts w:cs="Arial"/>
          <w:i/>
          <w:iCs/>
          <w:color w:val="3B3838" w:themeColor="background2" w:themeShade="40"/>
          <w:sz w:val="24"/>
          <w:szCs w:val="24"/>
        </w:rPr>
        <w:t>Clinical psychology review</w:t>
      </w:r>
      <w:r w:rsidRPr="00B86132">
        <w:rPr>
          <w:rFonts w:cs="Arial"/>
          <w:color w:val="3B3838" w:themeColor="background2" w:themeShade="40"/>
          <w:sz w:val="24"/>
          <w:szCs w:val="24"/>
        </w:rPr>
        <w:t xml:space="preserve">, 34(8), pp.645-657. </w:t>
      </w:r>
      <w:hyperlink r:id="rId32" w:tgtFrame="_blank" w:tooltip="Persistent link using digital object identifier" w:history="1">
        <w:r w:rsidRPr="00B86132">
          <w:rPr>
            <w:rStyle w:val="Hyperlink"/>
            <w:rFonts w:eastAsiaTheme="majorEastAsia" w:cs="Arial"/>
            <w:color w:val="3B3838" w:themeColor="background2" w:themeShade="40"/>
            <w:sz w:val="24"/>
            <w:szCs w:val="24"/>
          </w:rPr>
          <w:t>https://doi.org/10.1016/j.cpr.2014.10.004</w:t>
        </w:r>
      </w:hyperlink>
    </w:p>
    <w:p w14:paraId="2CF90EE3" w14:textId="77777777" w:rsidR="00FD1755" w:rsidRPr="00B86132" w:rsidRDefault="00FD1755" w:rsidP="00FE659D">
      <w:pPr>
        <w:rPr>
          <w:rFonts w:cs="Arial"/>
          <w:color w:val="3B3838" w:themeColor="background2" w:themeShade="40"/>
          <w:sz w:val="24"/>
          <w:szCs w:val="24"/>
        </w:rPr>
      </w:pPr>
    </w:p>
    <w:p w14:paraId="01DF3A2A" w14:textId="69BCE817"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Ellert R., Nijenhuis and Onno van der Hart (2011) Dissociation in Trauma: A New Definition and Comparison with Previous Formulations, </w:t>
      </w:r>
      <w:r w:rsidRPr="00B86132">
        <w:rPr>
          <w:rFonts w:cs="Arial"/>
          <w:i/>
          <w:iCs/>
          <w:color w:val="3B3838" w:themeColor="background2" w:themeShade="40"/>
          <w:sz w:val="24"/>
          <w:szCs w:val="24"/>
        </w:rPr>
        <w:t>Journal of Trauma and Dissociation</w:t>
      </w:r>
      <w:r w:rsidRPr="00B86132">
        <w:rPr>
          <w:rFonts w:cs="Arial"/>
          <w:color w:val="3B3838" w:themeColor="background2" w:themeShade="40"/>
          <w:sz w:val="24"/>
          <w:szCs w:val="24"/>
        </w:rPr>
        <w:t>, 12:4, 416-445, DOI: </w:t>
      </w:r>
      <w:hyperlink r:id="rId33" w:history="1">
        <w:r w:rsidRPr="00B86132">
          <w:rPr>
            <w:rStyle w:val="Hyperlink"/>
            <w:rFonts w:eastAsiaTheme="majorEastAsia" w:cs="Arial"/>
            <w:color w:val="3B3838" w:themeColor="background2" w:themeShade="40"/>
            <w:sz w:val="24"/>
            <w:szCs w:val="24"/>
          </w:rPr>
          <w:t>10.1080/15299732.2011.570592</w:t>
        </w:r>
      </w:hyperlink>
    </w:p>
    <w:p w14:paraId="0F209B17" w14:textId="77777777" w:rsidR="00FD1755" w:rsidRPr="00B86132" w:rsidRDefault="00FD1755" w:rsidP="00FE659D">
      <w:pPr>
        <w:rPr>
          <w:rStyle w:val="Hyperlink"/>
          <w:rFonts w:eastAsiaTheme="majorEastAsia" w:cs="Arial"/>
          <w:color w:val="3B3838" w:themeColor="background2" w:themeShade="40"/>
          <w:sz w:val="24"/>
          <w:szCs w:val="24"/>
        </w:rPr>
      </w:pPr>
    </w:p>
    <w:p w14:paraId="6BC720D7" w14:textId="70EA87EF"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Elliott, R. et al. (2004) </w:t>
      </w:r>
      <w:r w:rsidRPr="00B86132">
        <w:rPr>
          <w:rFonts w:cs="Arial"/>
          <w:i/>
          <w:iCs/>
          <w:color w:val="3B3838" w:themeColor="background2" w:themeShade="40"/>
          <w:sz w:val="24"/>
          <w:szCs w:val="24"/>
        </w:rPr>
        <w:t>Learning emotion-focused therapy: The process-experiential approach to change</w:t>
      </w:r>
      <w:r w:rsidRPr="00B86132">
        <w:rPr>
          <w:rFonts w:cs="Arial"/>
          <w:color w:val="3B3838" w:themeColor="background2" w:themeShade="40"/>
          <w:sz w:val="24"/>
          <w:szCs w:val="24"/>
        </w:rPr>
        <w:t>. Washington: American Psychological Association.</w:t>
      </w:r>
    </w:p>
    <w:p w14:paraId="706DE012" w14:textId="77777777" w:rsidR="00FD1755" w:rsidRPr="00B86132" w:rsidRDefault="00FD1755" w:rsidP="00FE659D">
      <w:pPr>
        <w:rPr>
          <w:rFonts w:cs="Arial"/>
          <w:color w:val="3B3838" w:themeColor="background2" w:themeShade="40"/>
          <w:sz w:val="24"/>
          <w:szCs w:val="24"/>
        </w:rPr>
      </w:pPr>
    </w:p>
    <w:p w14:paraId="5143D22A" w14:textId="423A034E"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Emerson, D. (2015) </w:t>
      </w:r>
      <w:r w:rsidRPr="00B86132">
        <w:rPr>
          <w:rFonts w:cs="Arial"/>
          <w:i/>
          <w:iCs/>
          <w:color w:val="3B3838" w:themeColor="background2" w:themeShade="40"/>
          <w:sz w:val="24"/>
          <w:szCs w:val="24"/>
        </w:rPr>
        <w:t>Trauma-sensitive yoga in therapy: Bringing the body into treatment.</w:t>
      </w:r>
      <w:r w:rsidRPr="00B86132">
        <w:rPr>
          <w:rFonts w:cs="Arial"/>
          <w:color w:val="3B3838" w:themeColor="background2" w:themeShade="40"/>
          <w:sz w:val="24"/>
          <w:szCs w:val="24"/>
        </w:rPr>
        <w:t xml:space="preserve"> New York: WW Norton and Company.</w:t>
      </w:r>
    </w:p>
    <w:p w14:paraId="469DAF69" w14:textId="77777777" w:rsidR="00FD1755" w:rsidRPr="00B86132" w:rsidRDefault="00FD1755" w:rsidP="00FE659D">
      <w:pPr>
        <w:rPr>
          <w:rFonts w:cs="Arial"/>
          <w:color w:val="3B3838" w:themeColor="background2" w:themeShade="40"/>
          <w:sz w:val="24"/>
          <w:szCs w:val="24"/>
        </w:rPr>
      </w:pPr>
    </w:p>
    <w:p w14:paraId="31E281FB" w14:textId="2A5F3473"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Emerson, D. and Hopper, E. (2012) </w:t>
      </w:r>
      <w:r w:rsidRPr="00B86132">
        <w:rPr>
          <w:rFonts w:cs="Arial"/>
          <w:i/>
          <w:iCs/>
          <w:color w:val="3B3838" w:themeColor="background2" w:themeShade="40"/>
          <w:sz w:val="24"/>
          <w:szCs w:val="24"/>
        </w:rPr>
        <w:t>Overcoming trauma through yoga: Reclaiming your body</w:t>
      </w:r>
      <w:r w:rsidRPr="00B86132">
        <w:rPr>
          <w:rFonts w:cs="Arial"/>
          <w:color w:val="3B3838" w:themeColor="background2" w:themeShade="40"/>
          <w:sz w:val="24"/>
          <w:szCs w:val="24"/>
        </w:rPr>
        <w:t>. California: North Atlantic Books.</w:t>
      </w:r>
    </w:p>
    <w:p w14:paraId="216BE96F" w14:textId="77777777" w:rsidR="00FD1755" w:rsidRPr="00B86132" w:rsidRDefault="00FD1755" w:rsidP="00FE659D">
      <w:pPr>
        <w:rPr>
          <w:rFonts w:cs="Arial"/>
          <w:color w:val="3B3838" w:themeColor="background2" w:themeShade="40"/>
          <w:sz w:val="24"/>
          <w:szCs w:val="24"/>
        </w:rPr>
      </w:pPr>
    </w:p>
    <w:p w14:paraId="59A1432A" w14:textId="43E71001" w:rsidR="00FE659D" w:rsidRDefault="00FE659D" w:rsidP="00FE659D">
      <w:pPr>
        <w:rPr>
          <w:rFonts w:cs="Arial"/>
          <w:color w:val="3B3838" w:themeColor="background2" w:themeShade="40"/>
          <w:sz w:val="24"/>
          <w:szCs w:val="24"/>
          <w:u w:val="single"/>
          <w:shd w:val="clear" w:color="auto" w:fill="FFFFFF"/>
        </w:rPr>
      </w:pPr>
      <w:r w:rsidRPr="00B86132">
        <w:rPr>
          <w:rFonts w:cs="Arial"/>
          <w:color w:val="3B3838" w:themeColor="background2" w:themeShade="40"/>
          <w:sz w:val="24"/>
          <w:szCs w:val="24"/>
          <w:shd w:val="clear" w:color="auto" w:fill="FFFFFF"/>
        </w:rPr>
        <w:t xml:space="preserve">Engelhard, I. et al. (2019) ‘Retrieving and modifying traumatic memories: Recent research relevant to three controversies’, </w:t>
      </w:r>
      <w:r w:rsidRPr="00B86132">
        <w:rPr>
          <w:rFonts w:cs="Arial"/>
          <w:i/>
          <w:iCs/>
          <w:color w:val="3B3838" w:themeColor="background2" w:themeShade="40"/>
          <w:sz w:val="24"/>
          <w:szCs w:val="24"/>
          <w:shd w:val="clear" w:color="auto" w:fill="FFFFFF"/>
        </w:rPr>
        <w:t>Current Directions in Psychological Science</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28</w:t>
      </w:r>
      <w:r w:rsidRPr="00B86132">
        <w:rPr>
          <w:rFonts w:cs="Arial"/>
          <w:color w:val="3B3838" w:themeColor="background2" w:themeShade="40"/>
          <w:sz w:val="24"/>
          <w:szCs w:val="24"/>
          <w:shd w:val="clear" w:color="auto" w:fill="FFFFFF"/>
        </w:rPr>
        <w:t xml:space="preserve">(1), pp.91-96. </w:t>
      </w:r>
      <w:hyperlink r:id="rId34" w:history="1">
        <w:r w:rsidRPr="00B86132">
          <w:rPr>
            <w:rFonts w:cs="Arial"/>
            <w:color w:val="3B3838" w:themeColor="background2" w:themeShade="40"/>
            <w:sz w:val="24"/>
            <w:szCs w:val="24"/>
            <w:u w:val="single"/>
            <w:shd w:val="clear" w:color="auto" w:fill="FFFFFF"/>
          </w:rPr>
          <w:t>https://doi.org/10.1177/0963721418807728</w:t>
        </w:r>
      </w:hyperlink>
    </w:p>
    <w:p w14:paraId="125DD78C" w14:textId="77777777" w:rsidR="00FD1755" w:rsidRPr="00B86132" w:rsidRDefault="00FD1755" w:rsidP="00FE659D">
      <w:pPr>
        <w:rPr>
          <w:rFonts w:cs="Arial"/>
          <w:color w:val="3B3838" w:themeColor="background2" w:themeShade="40"/>
          <w:sz w:val="24"/>
          <w:szCs w:val="24"/>
          <w:u w:val="single"/>
          <w:shd w:val="clear" w:color="auto" w:fill="FFFFFF"/>
        </w:rPr>
      </w:pPr>
    </w:p>
    <w:p w14:paraId="1A9A78F4" w14:textId="3522DFE4" w:rsidR="00FE659D" w:rsidRDefault="00FE659D" w:rsidP="00FE659D">
      <w:pPr>
        <w:rPr>
          <w:rFonts w:cs="Arial"/>
          <w:color w:val="3B3838" w:themeColor="background2" w:themeShade="40"/>
          <w:sz w:val="24"/>
          <w:szCs w:val="24"/>
          <w:shd w:val="clear" w:color="auto" w:fill="FFFFFF"/>
        </w:rPr>
      </w:pPr>
      <w:bookmarkStart w:id="2" w:name="_Hlk89591201"/>
      <w:r w:rsidRPr="00B86132">
        <w:rPr>
          <w:rFonts w:cs="Arial"/>
          <w:color w:val="3B3838" w:themeColor="background2" w:themeShade="40"/>
          <w:sz w:val="24"/>
          <w:szCs w:val="24"/>
          <w:shd w:val="clear" w:color="auto" w:fill="FFFFFF"/>
        </w:rPr>
        <w:t>Faris, A. and Ooijen, E. van. (2012</w:t>
      </w:r>
      <w:bookmarkEnd w:id="2"/>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Integrative counselling &amp; psychotherapy a relational approach</w:t>
      </w:r>
      <w:r w:rsidRPr="00B86132">
        <w:rPr>
          <w:rFonts w:cs="Arial"/>
          <w:color w:val="3B3838" w:themeColor="background2" w:themeShade="40"/>
          <w:sz w:val="24"/>
          <w:szCs w:val="24"/>
          <w:shd w:val="clear" w:color="auto" w:fill="FFFFFF"/>
        </w:rPr>
        <w:t>. Los Angeles: SAGE.</w:t>
      </w:r>
    </w:p>
    <w:p w14:paraId="15F3F2FD" w14:textId="77777777" w:rsidR="00FD1755" w:rsidRPr="00B86132" w:rsidRDefault="00FD1755" w:rsidP="00FE659D">
      <w:pPr>
        <w:rPr>
          <w:rFonts w:cs="Arial"/>
          <w:color w:val="3B3838" w:themeColor="background2" w:themeShade="40"/>
          <w:sz w:val="24"/>
          <w:szCs w:val="24"/>
          <w:shd w:val="clear" w:color="auto" w:fill="FFFFFF"/>
        </w:rPr>
      </w:pPr>
    </w:p>
    <w:p w14:paraId="331EE230" w14:textId="319981FA" w:rsidR="00FE659D" w:rsidRDefault="00FE659D" w:rsidP="00FE659D">
      <w:pPr>
        <w:shd w:val="clear" w:color="auto" w:fill="FFFFFF"/>
        <w:rPr>
          <w:rFonts w:cs="Arial"/>
          <w:color w:val="3B3838" w:themeColor="background2" w:themeShade="40"/>
          <w:sz w:val="24"/>
          <w:szCs w:val="24"/>
        </w:rPr>
      </w:pPr>
      <w:r w:rsidRPr="00B86132">
        <w:rPr>
          <w:rFonts w:cs="Arial"/>
          <w:color w:val="3B3838" w:themeColor="background2" w:themeShade="40"/>
          <w:sz w:val="24"/>
          <w:szCs w:val="24"/>
        </w:rPr>
        <w:t>Feigenbaum, K. and Smith, R. (2020) ‘Historical Narratives: Abraham Maslow and Blackfoot Interpretations’, </w:t>
      </w:r>
      <w:r w:rsidRPr="00B86132">
        <w:rPr>
          <w:rFonts w:cs="Arial"/>
          <w:i/>
          <w:iCs/>
          <w:color w:val="3B3838" w:themeColor="background2" w:themeShade="40"/>
          <w:sz w:val="24"/>
          <w:szCs w:val="24"/>
        </w:rPr>
        <w:t>The Humanistic psychologist</w:t>
      </w:r>
      <w:r w:rsidRPr="00B86132">
        <w:rPr>
          <w:rFonts w:cs="Arial"/>
          <w:color w:val="3B3838" w:themeColor="background2" w:themeShade="40"/>
          <w:sz w:val="24"/>
          <w:szCs w:val="24"/>
        </w:rPr>
        <w:t>, 48(3), pp. 232–243. doi:10.1037/hum0000145.</w:t>
      </w:r>
    </w:p>
    <w:p w14:paraId="691C2C75" w14:textId="77777777" w:rsidR="00FD1755" w:rsidRPr="00B86132" w:rsidRDefault="00FD1755" w:rsidP="00FE659D">
      <w:pPr>
        <w:shd w:val="clear" w:color="auto" w:fill="FFFFFF"/>
        <w:rPr>
          <w:rFonts w:cs="Arial"/>
          <w:color w:val="3B3838" w:themeColor="background2" w:themeShade="40"/>
          <w:sz w:val="24"/>
          <w:szCs w:val="24"/>
        </w:rPr>
      </w:pPr>
    </w:p>
    <w:p w14:paraId="42D81218" w14:textId="78E28022"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Feldman, R. (2017) ‘The neurobiology of human attachments’</w:t>
      </w:r>
      <w:r w:rsidRPr="00B86132">
        <w:rPr>
          <w:rFonts w:cs="Arial"/>
          <w:i/>
          <w:iCs/>
          <w:color w:val="3B3838" w:themeColor="background2" w:themeShade="40"/>
          <w:sz w:val="24"/>
          <w:szCs w:val="24"/>
        </w:rPr>
        <w:t>, Trends in cognitive sciences</w:t>
      </w:r>
      <w:r w:rsidRPr="00B86132">
        <w:rPr>
          <w:rFonts w:cs="Arial"/>
          <w:color w:val="3B3838" w:themeColor="background2" w:themeShade="40"/>
          <w:sz w:val="24"/>
          <w:szCs w:val="24"/>
        </w:rPr>
        <w:t xml:space="preserve">, 21(2), pp.80-99. </w:t>
      </w:r>
    </w:p>
    <w:p w14:paraId="245A8D51" w14:textId="77777777" w:rsidR="00FD1755" w:rsidRPr="00B86132" w:rsidRDefault="00FD1755" w:rsidP="00FE659D">
      <w:pPr>
        <w:rPr>
          <w:rFonts w:cs="Arial"/>
          <w:color w:val="3B3838" w:themeColor="background2" w:themeShade="40"/>
          <w:sz w:val="24"/>
          <w:szCs w:val="24"/>
        </w:rPr>
      </w:pPr>
    </w:p>
    <w:p w14:paraId="763B0792" w14:textId="40EC24BB"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Felitti, V. et al. (1998) ‘Relationship of childhood abuse and household dysfunction to many of the leading causes of death in adults: The Adverse Childhood Experiences (ACE) Study’, </w:t>
      </w:r>
      <w:r w:rsidRPr="00B86132">
        <w:rPr>
          <w:rFonts w:cs="Arial"/>
          <w:i/>
          <w:iCs/>
          <w:color w:val="3B3838" w:themeColor="background2" w:themeShade="40"/>
          <w:sz w:val="24"/>
          <w:szCs w:val="24"/>
        </w:rPr>
        <w:t>American journal of preventive medicine</w:t>
      </w:r>
      <w:r w:rsidRPr="00B86132">
        <w:rPr>
          <w:rFonts w:cs="Arial"/>
          <w:color w:val="3B3838" w:themeColor="background2" w:themeShade="40"/>
          <w:sz w:val="24"/>
          <w:szCs w:val="24"/>
        </w:rPr>
        <w:t xml:space="preserve">, 14(4), pp.245-258. </w:t>
      </w:r>
      <w:hyperlink r:id="rId35" w:tgtFrame="_blank" w:tooltip="Persistent link using digital object identifier" w:history="1">
        <w:r w:rsidRPr="00B86132">
          <w:rPr>
            <w:rStyle w:val="Hyperlink"/>
            <w:rFonts w:eastAsiaTheme="majorEastAsia" w:cs="Arial"/>
            <w:color w:val="3B3838" w:themeColor="background2" w:themeShade="40"/>
            <w:sz w:val="24"/>
            <w:szCs w:val="24"/>
          </w:rPr>
          <w:t>https://doi.org/10.1016/S0749-3797(98)00017-8</w:t>
        </w:r>
      </w:hyperlink>
    </w:p>
    <w:p w14:paraId="3E49FEA3" w14:textId="77777777" w:rsidR="00FD1755" w:rsidRPr="00B86132" w:rsidRDefault="00FD1755" w:rsidP="00FE659D">
      <w:pPr>
        <w:rPr>
          <w:rFonts w:cs="Arial"/>
          <w:color w:val="3B3838" w:themeColor="background2" w:themeShade="40"/>
          <w:sz w:val="24"/>
          <w:szCs w:val="24"/>
        </w:rPr>
      </w:pPr>
    </w:p>
    <w:p w14:paraId="519E589C"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Fisher, J. (2001) ‘Dissociative phenomena in the everyday lives of trauma survivors’, Boston University Medical School Psychological Trauma Conference, May 2001.</w:t>
      </w:r>
    </w:p>
    <w:p w14:paraId="42BA3A27" w14:textId="37BA91DA"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Fisher, J. (2017) </w:t>
      </w:r>
      <w:r w:rsidRPr="00B86132">
        <w:rPr>
          <w:rFonts w:cs="Arial"/>
          <w:i/>
          <w:iCs/>
          <w:color w:val="3B3838" w:themeColor="background2" w:themeShade="40"/>
          <w:sz w:val="24"/>
          <w:szCs w:val="24"/>
          <w:shd w:val="clear" w:color="auto" w:fill="FFFFFF"/>
        </w:rPr>
        <w:t>Healing the fragmented selves of trauma survivors: Overcoming internal self-alienation</w:t>
      </w:r>
      <w:r w:rsidRPr="00B86132">
        <w:rPr>
          <w:rFonts w:cs="Arial"/>
          <w:color w:val="3B3838" w:themeColor="background2" w:themeShade="40"/>
          <w:sz w:val="24"/>
          <w:szCs w:val="24"/>
          <w:shd w:val="clear" w:color="auto" w:fill="FFFFFF"/>
        </w:rPr>
        <w:t>. Taylor &amp; Francis.</w:t>
      </w:r>
    </w:p>
    <w:p w14:paraId="0B7A1B7C" w14:textId="77777777" w:rsidR="00FD1755" w:rsidRPr="00B86132" w:rsidRDefault="00FD1755" w:rsidP="00FE659D">
      <w:pPr>
        <w:rPr>
          <w:rFonts w:cs="Arial"/>
          <w:color w:val="3B3838" w:themeColor="background2" w:themeShade="40"/>
          <w:sz w:val="24"/>
          <w:szCs w:val="24"/>
        </w:rPr>
      </w:pPr>
    </w:p>
    <w:p w14:paraId="7D55D011" w14:textId="4F57F0BE"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lastRenderedPageBreak/>
        <w:t xml:space="preserve">Fisher, J. (2019) ‘Sensorimotor psychotherapy in the treatment of trauma’, </w:t>
      </w:r>
      <w:r w:rsidRPr="00B86132">
        <w:rPr>
          <w:rFonts w:cs="Arial"/>
          <w:i/>
          <w:iCs/>
          <w:color w:val="3B3838" w:themeColor="background2" w:themeShade="40"/>
          <w:sz w:val="24"/>
          <w:szCs w:val="24"/>
        </w:rPr>
        <w:t>Practice Innovations</w:t>
      </w:r>
      <w:r w:rsidRPr="00B86132">
        <w:rPr>
          <w:rFonts w:cs="Arial"/>
          <w:color w:val="3B3838" w:themeColor="background2" w:themeShade="40"/>
          <w:sz w:val="24"/>
          <w:szCs w:val="24"/>
        </w:rPr>
        <w:t xml:space="preserve">, 4(3), pp.156-166. </w:t>
      </w:r>
      <w:hyperlink r:id="rId36" w:tgtFrame="_blank" w:history="1">
        <w:r w:rsidRPr="00B86132">
          <w:rPr>
            <w:rStyle w:val="Hyperlink"/>
            <w:rFonts w:eastAsiaTheme="majorEastAsia" w:cs="Arial"/>
            <w:color w:val="3B3838" w:themeColor="background2" w:themeShade="40"/>
            <w:sz w:val="24"/>
            <w:szCs w:val="24"/>
          </w:rPr>
          <w:t>https://doi.org/10.1037/pri0000096</w:t>
        </w:r>
      </w:hyperlink>
    </w:p>
    <w:p w14:paraId="7BBB8CF9" w14:textId="77777777" w:rsidR="00FD1755" w:rsidRPr="00B86132" w:rsidRDefault="00FD1755" w:rsidP="00FE659D">
      <w:pPr>
        <w:rPr>
          <w:rFonts w:cs="Arial"/>
          <w:color w:val="3B3838" w:themeColor="background2" w:themeShade="40"/>
          <w:sz w:val="24"/>
          <w:szCs w:val="24"/>
        </w:rPr>
      </w:pPr>
    </w:p>
    <w:p w14:paraId="601C1D93" w14:textId="667D1BDE"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Fisher J. and Ogden P. (2007) Sensorimotor psychotherapy. In: Courtois CA, Ford JD (eds) Treating Complex Post-traumatic Disorders, 312–328. New York: Guilford Press, </w:t>
      </w:r>
    </w:p>
    <w:p w14:paraId="68A2F9D9" w14:textId="77777777" w:rsidR="00FD1755" w:rsidRPr="00B86132" w:rsidRDefault="00FD1755" w:rsidP="00FE659D">
      <w:pPr>
        <w:rPr>
          <w:rFonts w:cs="Arial"/>
          <w:color w:val="3B3838" w:themeColor="background2" w:themeShade="40"/>
          <w:sz w:val="24"/>
          <w:szCs w:val="24"/>
        </w:rPr>
      </w:pPr>
    </w:p>
    <w:p w14:paraId="31A784EB" w14:textId="651C387F"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Fonagy, P. and Bateman, A. (2016) ‘Adversity, attachment, and mentalizing’, </w:t>
      </w:r>
      <w:r w:rsidRPr="00B86132">
        <w:rPr>
          <w:rFonts w:cs="Arial"/>
          <w:i/>
          <w:iCs/>
          <w:color w:val="3B3838" w:themeColor="background2" w:themeShade="40"/>
          <w:sz w:val="24"/>
          <w:szCs w:val="24"/>
        </w:rPr>
        <w:t>Comprehensive Psychiatry</w:t>
      </w:r>
      <w:r w:rsidRPr="00B86132">
        <w:rPr>
          <w:rFonts w:cs="Arial"/>
          <w:color w:val="3B3838" w:themeColor="background2" w:themeShade="40"/>
          <w:sz w:val="24"/>
          <w:szCs w:val="24"/>
        </w:rPr>
        <w:t xml:space="preserve">, 64, pp.59–66. </w:t>
      </w:r>
      <w:hyperlink r:id="rId37" w:tgtFrame="_blank" w:tooltip="Persistent link using digital object identifier" w:history="1">
        <w:r w:rsidRPr="00B86132">
          <w:rPr>
            <w:rStyle w:val="Hyperlink"/>
            <w:rFonts w:eastAsiaTheme="majorEastAsia" w:cs="Arial"/>
            <w:color w:val="3B3838" w:themeColor="background2" w:themeShade="40"/>
            <w:sz w:val="24"/>
            <w:szCs w:val="24"/>
          </w:rPr>
          <w:t>doi.org/10.1016/j.comppsych.2015.11.006</w:t>
        </w:r>
      </w:hyperlink>
    </w:p>
    <w:p w14:paraId="06B04CB6" w14:textId="77777777" w:rsidR="00FD1755" w:rsidRPr="00B86132" w:rsidRDefault="00FD1755" w:rsidP="00FE659D">
      <w:pPr>
        <w:rPr>
          <w:rFonts w:cs="Arial"/>
          <w:color w:val="3B3838" w:themeColor="background2" w:themeShade="40"/>
          <w:sz w:val="24"/>
          <w:szCs w:val="24"/>
        </w:rPr>
      </w:pPr>
    </w:p>
    <w:p w14:paraId="02A2F029" w14:textId="347B9D29"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Fonagy, P. et al. (2016) ‘Development and Validation of a Self-Report Measure of Mentalizing: The Reflective Functioning Questionnaire’, </w:t>
      </w:r>
      <w:r w:rsidRPr="00B86132">
        <w:rPr>
          <w:rFonts w:cs="Arial"/>
          <w:i/>
          <w:iCs/>
          <w:color w:val="3B3838" w:themeColor="background2" w:themeShade="40"/>
          <w:sz w:val="24"/>
          <w:szCs w:val="24"/>
        </w:rPr>
        <w:t>PLoS One</w:t>
      </w:r>
      <w:r w:rsidRPr="00B86132">
        <w:rPr>
          <w:rFonts w:cs="Arial"/>
          <w:color w:val="3B3838" w:themeColor="background2" w:themeShade="40"/>
          <w:sz w:val="24"/>
          <w:szCs w:val="24"/>
        </w:rPr>
        <w:t>, 11(7), doi:10.1371/journal.pone.0158678</w:t>
      </w:r>
    </w:p>
    <w:p w14:paraId="05490CD5" w14:textId="77777777" w:rsidR="00FD1755" w:rsidRPr="00B86132" w:rsidRDefault="00FD1755" w:rsidP="00FE659D">
      <w:pPr>
        <w:rPr>
          <w:rFonts w:cs="Arial"/>
          <w:color w:val="3B3838" w:themeColor="background2" w:themeShade="40"/>
          <w:sz w:val="24"/>
          <w:szCs w:val="24"/>
        </w:rPr>
      </w:pPr>
    </w:p>
    <w:p w14:paraId="3FE3FEA1" w14:textId="5E7E002C"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Fonagy, P. et al. (2018) </w:t>
      </w:r>
      <w:r w:rsidRPr="00B86132">
        <w:rPr>
          <w:rFonts w:cs="Arial"/>
          <w:i/>
          <w:iCs/>
          <w:color w:val="3B3838" w:themeColor="background2" w:themeShade="40"/>
          <w:sz w:val="24"/>
          <w:szCs w:val="24"/>
        </w:rPr>
        <w:t>Affect regulation, mentalization, and the development of the self</w:t>
      </w:r>
      <w:r w:rsidRPr="00B86132">
        <w:rPr>
          <w:rFonts w:cs="Arial"/>
          <w:color w:val="3B3838" w:themeColor="background2" w:themeShade="40"/>
          <w:sz w:val="24"/>
          <w:szCs w:val="24"/>
        </w:rPr>
        <w:t>. Routledge.</w:t>
      </w:r>
    </w:p>
    <w:p w14:paraId="22D98C0D" w14:textId="77777777" w:rsidR="00FD1755" w:rsidRPr="00B86132" w:rsidRDefault="00FD1755" w:rsidP="00FE659D">
      <w:pPr>
        <w:rPr>
          <w:rFonts w:cs="Arial"/>
          <w:color w:val="3B3838" w:themeColor="background2" w:themeShade="40"/>
          <w:sz w:val="24"/>
          <w:szCs w:val="24"/>
        </w:rPr>
      </w:pPr>
    </w:p>
    <w:p w14:paraId="28AC4700" w14:textId="0EDE9010"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Ford, J. (2005) ‘Treatment Implications of Altered Affect Regulation and Information Processing Following Child Maltreatment’, </w:t>
      </w:r>
      <w:r w:rsidRPr="00B86132">
        <w:rPr>
          <w:rFonts w:cs="Arial"/>
          <w:i/>
          <w:iCs/>
          <w:color w:val="3B3838" w:themeColor="background2" w:themeShade="40"/>
          <w:sz w:val="24"/>
          <w:szCs w:val="24"/>
        </w:rPr>
        <w:t>Psychiatric Annals</w:t>
      </w:r>
      <w:r w:rsidRPr="00B86132">
        <w:rPr>
          <w:rFonts w:cs="Arial"/>
          <w:color w:val="3B3838" w:themeColor="background2" w:themeShade="40"/>
          <w:sz w:val="24"/>
          <w:szCs w:val="24"/>
        </w:rPr>
        <w:t>, 35(5), pp. 410-419. DOI:10.3928/00485713-20050501-07</w:t>
      </w:r>
    </w:p>
    <w:p w14:paraId="0B497847" w14:textId="77777777" w:rsidR="00FD1755" w:rsidRPr="00B86132" w:rsidRDefault="00FD1755" w:rsidP="00FE659D">
      <w:pPr>
        <w:rPr>
          <w:rFonts w:cs="Arial"/>
          <w:color w:val="3B3838" w:themeColor="background2" w:themeShade="40"/>
          <w:sz w:val="24"/>
          <w:szCs w:val="24"/>
        </w:rPr>
      </w:pPr>
    </w:p>
    <w:p w14:paraId="742C93AD" w14:textId="1C97F3B1"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Ford, J. (2021) ‘Progress and Limitations in the Treatment of Complex PTSD and Developmental Trauma Disorder’, </w:t>
      </w:r>
      <w:r w:rsidRPr="00B86132">
        <w:rPr>
          <w:rFonts w:cs="Arial"/>
          <w:i/>
          <w:iCs/>
          <w:color w:val="3B3838" w:themeColor="background2" w:themeShade="40"/>
          <w:sz w:val="24"/>
          <w:szCs w:val="24"/>
        </w:rPr>
        <w:t>Current treatment options in psychiatry</w:t>
      </w:r>
      <w:r w:rsidRPr="00B86132">
        <w:rPr>
          <w:rFonts w:cs="Arial"/>
          <w:color w:val="3B3838" w:themeColor="background2" w:themeShade="40"/>
          <w:sz w:val="24"/>
          <w:szCs w:val="24"/>
        </w:rPr>
        <w:t>, pp. 1-17, 2021–02-09. DOI 10.1007/s40501-020-00236-6</w:t>
      </w:r>
    </w:p>
    <w:p w14:paraId="0C6C941D" w14:textId="77777777" w:rsidR="00FD1755" w:rsidRPr="00B86132" w:rsidRDefault="00FD1755" w:rsidP="00FE659D">
      <w:pPr>
        <w:rPr>
          <w:rFonts w:cs="Arial"/>
          <w:color w:val="3B3838" w:themeColor="background2" w:themeShade="40"/>
          <w:sz w:val="24"/>
          <w:szCs w:val="24"/>
        </w:rPr>
      </w:pPr>
    </w:p>
    <w:p w14:paraId="6D2A5B64" w14:textId="3C7AC299"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Ford, J., Spinazzola, J. and van der Kolk, B. (2021) ‘Psychiatric comorbidity of developmental trauma disorder and posttraumatic Stress disorder: findings from the DTD field trial replication (DTDFT-R)’, </w:t>
      </w:r>
      <w:r w:rsidRPr="00B86132">
        <w:rPr>
          <w:rFonts w:cs="Arial"/>
          <w:i/>
          <w:iCs/>
          <w:color w:val="3B3838" w:themeColor="background2" w:themeShade="40"/>
          <w:sz w:val="24"/>
          <w:szCs w:val="24"/>
        </w:rPr>
        <w:t>European Journal of Psychotraumatology</w:t>
      </w:r>
      <w:r w:rsidRPr="00B86132">
        <w:rPr>
          <w:rFonts w:cs="Arial"/>
          <w:color w:val="3B3838" w:themeColor="background2" w:themeShade="40"/>
          <w:sz w:val="24"/>
          <w:szCs w:val="24"/>
        </w:rPr>
        <w:t>, 12:1, DOI: </w:t>
      </w:r>
      <w:hyperlink r:id="rId38" w:history="1">
        <w:r w:rsidRPr="00B86132">
          <w:rPr>
            <w:rStyle w:val="Hyperlink"/>
            <w:rFonts w:eastAsiaTheme="majorEastAsia" w:cs="Arial"/>
            <w:color w:val="3B3838" w:themeColor="background2" w:themeShade="40"/>
            <w:sz w:val="24"/>
            <w:szCs w:val="24"/>
          </w:rPr>
          <w:t>10.1080/20008198.2021.1929028</w:t>
        </w:r>
      </w:hyperlink>
    </w:p>
    <w:p w14:paraId="4C884BE9" w14:textId="77777777" w:rsidR="00FD1755" w:rsidRPr="00B86132" w:rsidRDefault="00FD1755" w:rsidP="00FE659D">
      <w:pPr>
        <w:rPr>
          <w:rFonts w:cs="Arial"/>
          <w:color w:val="3B3838" w:themeColor="background2" w:themeShade="40"/>
          <w:sz w:val="24"/>
          <w:szCs w:val="24"/>
        </w:rPr>
      </w:pPr>
    </w:p>
    <w:p w14:paraId="0D00FBCD" w14:textId="23D50BCD"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Ford, J. et al. (2012) ‘Randomized Trial Comparison of Emotion Regulation and Relational Psychotherapies for PTSD with Girls Involved in Delinquency’, </w:t>
      </w:r>
      <w:r w:rsidRPr="00B86132">
        <w:rPr>
          <w:rFonts w:cs="Arial"/>
          <w:i/>
          <w:iCs/>
          <w:color w:val="3B3838" w:themeColor="background2" w:themeShade="40"/>
          <w:sz w:val="24"/>
          <w:szCs w:val="24"/>
        </w:rPr>
        <w:t>Journal of clinical child and adolescent psychology</w:t>
      </w:r>
      <w:r w:rsidRPr="00B86132">
        <w:rPr>
          <w:rFonts w:cs="Arial"/>
          <w:color w:val="3B3838" w:themeColor="background2" w:themeShade="40"/>
          <w:sz w:val="24"/>
          <w:szCs w:val="24"/>
        </w:rPr>
        <w:t>, 41 (1), pp. 27–37. DOI: 10.1080/15374416.2012.632343</w:t>
      </w:r>
    </w:p>
    <w:p w14:paraId="3F328F5D" w14:textId="77777777" w:rsidR="00FD1755" w:rsidRPr="00B86132" w:rsidRDefault="00FD1755" w:rsidP="00FE659D">
      <w:pPr>
        <w:rPr>
          <w:rFonts w:cs="Arial"/>
          <w:color w:val="3B3838" w:themeColor="background2" w:themeShade="40"/>
          <w:sz w:val="24"/>
          <w:szCs w:val="24"/>
        </w:rPr>
      </w:pPr>
    </w:p>
    <w:p w14:paraId="79C88D4F" w14:textId="11B2BF1A"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Gendlin, E. T. (2003) </w:t>
      </w:r>
      <w:r w:rsidRPr="00B86132">
        <w:rPr>
          <w:rFonts w:cs="Arial"/>
          <w:i/>
          <w:iCs/>
          <w:color w:val="3B3838" w:themeColor="background2" w:themeShade="40"/>
          <w:sz w:val="24"/>
          <w:szCs w:val="24"/>
        </w:rPr>
        <w:t>Focusing: How to gain direct access to your body’s knowledge</w:t>
      </w:r>
      <w:r w:rsidRPr="00B86132">
        <w:rPr>
          <w:rFonts w:cs="Arial"/>
          <w:color w:val="3B3838" w:themeColor="background2" w:themeShade="40"/>
          <w:sz w:val="24"/>
          <w:szCs w:val="24"/>
        </w:rPr>
        <w:t>. London: Random House.</w:t>
      </w:r>
    </w:p>
    <w:p w14:paraId="1159F388" w14:textId="77777777" w:rsidR="00FD1755" w:rsidRPr="00B86132" w:rsidRDefault="00FD1755" w:rsidP="00FE659D">
      <w:pPr>
        <w:rPr>
          <w:rFonts w:cs="Arial"/>
          <w:color w:val="3B3838" w:themeColor="background2" w:themeShade="40"/>
          <w:sz w:val="24"/>
          <w:szCs w:val="24"/>
        </w:rPr>
      </w:pPr>
    </w:p>
    <w:p w14:paraId="1DE2057D" w14:textId="42E06CE4" w:rsidR="00FE659D" w:rsidRDefault="00FE659D" w:rsidP="00FE659D">
      <w:pPr>
        <w:rPr>
          <w:rStyle w:val="Hyperlink"/>
          <w:rFonts w:eastAsiaTheme="majorEastAsia"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 xml:space="preserve">Gilbert, P. (2019) ‘Psychotherapy for the 21st century: An integrative, evolutionary, contextual, biopsychosocial approach’, Psychology and Psychotherapy, Theory Research and Practice, 92: 164-189. </w:t>
      </w:r>
      <w:hyperlink r:id="rId39" w:history="1">
        <w:r w:rsidRPr="00B86132">
          <w:rPr>
            <w:rStyle w:val="Hyperlink"/>
            <w:rFonts w:eastAsiaTheme="majorEastAsia" w:cs="Arial"/>
            <w:color w:val="3B3838" w:themeColor="background2" w:themeShade="40"/>
            <w:sz w:val="24"/>
            <w:szCs w:val="24"/>
            <w:shd w:val="clear" w:color="auto" w:fill="FFFFFF"/>
          </w:rPr>
          <w:t>https://doi.org/10.1111/papt.12226</w:t>
        </w:r>
      </w:hyperlink>
    </w:p>
    <w:p w14:paraId="36BE416B" w14:textId="77777777" w:rsidR="00FD1755" w:rsidRPr="00B86132" w:rsidRDefault="00FD1755" w:rsidP="00FE659D">
      <w:pPr>
        <w:rPr>
          <w:rFonts w:cs="Arial"/>
          <w:color w:val="3B3838" w:themeColor="background2" w:themeShade="40"/>
          <w:sz w:val="24"/>
          <w:szCs w:val="24"/>
        </w:rPr>
      </w:pPr>
    </w:p>
    <w:p w14:paraId="02F95492" w14:textId="7C5638F7"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Goldberg, L. and Freyd J. (2006) ‘Self-Reports of Potentially Traumatic Experiences in an Adult Community Sample: Gender Differences and Test-Retest Stabilities of the Items in a Brief Betrayal-Trauma Survey’, </w:t>
      </w:r>
      <w:r w:rsidRPr="00B86132">
        <w:rPr>
          <w:rFonts w:cs="Arial"/>
          <w:i/>
          <w:iCs/>
          <w:color w:val="3B3838" w:themeColor="background2" w:themeShade="40"/>
          <w:sz w:val="24"/>
          <w:szCs w:val="24"/>
        </w:rPr>
        <w:t>Journal of Trauma and Dissociation</w:t>
      </w:r>
      <w:r w:rsidRPr="00B86132">
        <w:rPr>
          <w:rFonts w:cs="Arial"/>
          <w:color w:val="3B3838" w:themeColor="background2" w:themeShade="40"/>
          <w:sz w:val="24"/>
          <w:szCs w:val="24"/>
        </w:rPr>
        <w:t>, 7:3, 39-63, DOI: </w:t>
      </w:r>
      <w:hyperlink r:id="rId40" w:history="1">
        <w:r w:rsidRPr="00B86132">
          <w:rPr>
            <w:rStyle w:val="Hyperlink"/>
            <w:rFonts w:eastAsiaTheme="majorEastAsia" w:cs="Arial"/>
            <w:color w:val="3B3838" w:themeColor="background2" w:themeShade="40"/>
            <w:sz w:val="24"/>
            <w:szCs w:val="24"/>
          </w:rPr>
          <w:t>10.1300/J229v07n03_04</w:t>
        </w:r>
      </w:hyperlink>
    </w:p>
    <w:p w14:paraId="12D450FF" w14:textId="77777777" w:rsidR="00FD1755" w:rsidRPr="00B86132" w:rsidRDefault="00FD1755" w:rsidP="00FE659D">
      <w:pPr>
        <w:rPr>
          <w:rFonts w:cs="Arial"/>
          <w:color w:val="3B3838" w:themeColor="background2" w:themeShade="40"/>
          <w:sz w:val="24"/>
          <w:szCs w:val="24"/>
        </w:rPr>
      </w:pPr>
    </w:p>
    <w:p w14:paraId="322E1572" w14:textId="3BE07080"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lastRenderedPageBreak/>
        <w:t>Goldfried, M. (2019) ‘Obtaining consensus in psychotherapy: What holds us back?’, American Psychologist, 74(4), p.484.</w:t>
      </w:r>
    </w:p>
    <w:p w14:paraId="2C48B50B" w14:textId="77777777" w:rsidR="00FD1755" w:rsidRPr="00B86132" w:rsidRDefault="00FD1755" w:rsidP="00FE659D">
      <w:pPr>
        <w:rPr>
          <w:rFonts w:cs="Arial"/>
          <w:color w:val="3B3838" w:themeColor="background2" w:themeShade="40"/>
          <w:sz w:val="24"/>
          <w:szCs w:val="24"/>
        </w:rPr>
      </w:pPr>
    </w:p>
    <w:p w14:paraId="2CF976EE" w14:textId="76340473"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Grabbe, L. and Miller-Karas, E. (2018) ‘The trauma resiliency model: a “bottom-up” intervention for trauma psychotherapy’, </w:t>
      </w:r>
      <w:r w:rsidRPr="00B86132">
        <w:rPr>
          <w:rFonts w:cs="Arial"/>
          <w:i/>
          <w:iCs/>
          <w:color w:val="3B3838" w:themeColor="background2" w:themeShade="40"/>
          <w:sz w:val="24"/>
          <w:szCs w:val="24"/>
        </w:rPr>
        <w:t>Journal of the American Psychiatric Nurses Association</w:t>
      </w:r>
      <w:r w:rsidRPr="00B86132">
        <w:rPr>
          <w:rFonts w:cs="Arial"/>
          <w:color w:val="3B3838" w:themeColor="background2" w:themeShade="40"/>
          <w:sz w:val="24"/>
          <w:szCs w:val="24"/>
        </w:rPr>
        <w:t>, 24(1), pp.76-84. DOI: </w:t>
      </w:r>
      <w:hyperlink r:id="rId41" w:history="1">
        <w:r w:rsidRPr="00B86132">
          <w:rPr>
            <w:rStyle w:val="Hyperlink"/>
            <w:rFonts w:eastAsiaTheme="majorEastAsia" w:cs="Arial"/>
            <w:color w:val="3B3838" w:themeColor="background2" w:themeShade="40"/>
            <w:sz w:val="24"/>
            <w:szCs w:val="24"/>
          </w:rPr>
          <w:t>10.1177/1078390317745133</w:t>
        </w:r>
      </w:hyperlink>
    </w:p>
    <w:p w14:paraId="449BAA5C" w14:textId="77777777" w:rsidR="00FD1755" w:rsidRPr="00B86132" w:rsidRDefault="00FD1755" w:rsidP="00FE659D">
      <w:pPr>
        <w:rPr>
          <w:rFonts w:cs="Arial"/>
          <w:color w:val="3B3838" w:themeColor="background2" w:themeShade="40"/>
          <w:sz w:val="24"/>
          <w:szCs w:val="24"/>
        </w:rPr>
      </w:pPr>
    </w:p>
    <w:p w14:paraId="795461FF" w14:textId="22E36B8F"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Grand, D. (2013) </w:t>
      </w:r>
      <w:r w:rsidRPr="00B86132">
        <w:rPr>
          <w:rFonts w:cs="Arial"/>
          <w:i/>
          <w:iCs/>
          <w:color w:val="3B3838" w:themeColor="background2" w:themeShade="40"/>
          <w:sz w:val="24"/>
          <w:szCs w:val="24"/>
        </w:rPr>
        <w:t>Brainspotting: The revolutionary new therapy for rapid and effective change</w:t>
      </w:r>
      <w:r w:rsidRPr="00B86132">
        <w:rPr>
          <w:rFonts w:cs="Arial"/>
          <w:color w:val="3B3838" w:themeColor="background2" w:themeShade="40"/>
          <w:sz w:val="24"/>
          <w:szCs w:val="24"/>
        </w:rPr>
        <w:t>. Sounds True.</w:t>
      </w:r>
    </w:p>
    <w:p w14:paraId="09A20227" w14:textId="77777777" w:rsidR="00FD1755" w:rsidRPr="00B86132" w:rsidRDefault="00FD1755" w:rsidP="00FE659D">
      <w:pPr>
        <w:rPr>
          <w:rFonts w:cs="Arial"/>
          <w:color w:val="3B3838" w:themeColor="background2" w:themeShade="40"/>
          <w:sz w:val="24"/>
          <w:szCs w:val="24"/>
        </w:rPr>
      </w:pPr>
    </w:p>
    <w:p w14:paraId="3540762A" w14:textId="2739444C"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Greene, C. et al. (2020) ‘Intergenerational effects of childhood maltreatment: A systematic review of the parenting practices of adult survivors of childhood abuse, neglect, and violence’, </w:t>
      </w:r>
      <w:r w:rsidRPr="00B86132">
        <w:rPr>
          <w:rFonts w:cs="Arial"/>
          <w:i/>
          <w:iCs/>
          <w:color w:val="3B3838" w:themeColor="background2" w:themeShade="40"/>
          <w:sz w:val="24"/>
          <w:szCs w:val="24"/>
        </w:rPr>
        <w:t>Clinical Psychology Review</w:t>
      </w:r>
      <w:r w:rsidRPr="00B86132">
        <w:rPr>
          <w:rFonts w:cs="Arial"/>
          <w:color w:val="3B3838" w:themeColor="background2" w:themeShade="40"/>
          <w:sz w:val="24"/>
          <w:szCs w:val="24"/>
        </w:rPr>
        <w:t xml:space="preserve">, 80, 101891. </w:t>
      </w:r>
      <w:hyperlink r:id="rId42" w:history="1">
        <w:r w:rsidRPr="00B86132">
          <w:rPr>
            <w:rStyle w:val="Hyperlink"/>
            <w:rFonts w:eastAsiaTheme="majorEastAsia" w:cs="Arial"/>
            <w:color w:val="3B3838" w:themeColor="background2" w:themeShade="40"/>
            <w:sz w:val="24"/>
            <w:szCs w:val="24"/>
          </w:rPr>
          <w:t>https://doi.org/10.1016/j.cpr.2020.101891</w:t>
        </w:r>
      </w:hyperlink>
    </w:p>
    <w:p w14:paraId="5AFDDEF1" w14:textId="77777777" w:rsidR="00FD1755" w:rsidRPr="00B86132" w:rsidRDefault="00FD1755" w:rsidP="00FE659D">
      <w:pPr>
        <w:rPr>
          <w:rFonts w:cs="Arial"/>
          <w:color w:val="3B3838" w:themeColor="background2" w:themeShade="40"/>
          <w:sz w:val="24"/>
          <w:szCs w:val="24"/>
        </w:rPr>
      </w:pPr>
    </w:p>
    <w:p w14:paraId="0501ECEC" w14:textId="585E9A64"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Habib, M. et al. (2003) ‘Alexithymia as impaired callosal function: evidence from multiple sclerosis patients and normal individuals’, The parallel brain: The cognitive neuroscience of the corpus callosum, ed. Zaidel, E. and Iacoboni, M. pp.415-422. </w:t>
      </w:r>
    </w:p>
    <w:p w14:paraId="4055DC2C" w14:textId="77777777" w:rsidR="00FD1755" w:rsidRPr="00B86132" w:rsidRDefault="00FD1755" w:rsidP="00FE659D">
      <w:pPr>
        <w:rPr>
          <w:rFonts w:cs="Arial"/>
          <w:color w:val="3B3838" w:themeColor="background2" w:themeShade="40"/>
          <w:sz w:val="24"/>
          <w:szCs w:val="24"/>
        </w:rPr>
      </w:pPr>
    </w:p>
    <w:p w14:paraId="35EACE09" w14:textId="38EC68C4"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Hambrick, E., Brawner, T. and Perry, B. (2019) ‘Timing of early-life stress and the development of brain-related capacities’, </w:t>
      </w:r>
      <w:r w:rsidRPr="00B86132">
        <w:rPr>
          <w:rFonts w:cs="Arial"/>
          <w:i/>
          <w:iCs/>
          <w:color w:val="3B3838" w:themeColor="background2" w:themeShade="40"/>
          <w:sz w:val="24"/>
          <w:szCs w:val="24"/>
        </w:rPr>
        <w:t>Frontiers in behavioral neuroscience</w:t>
      </w:r>
      <w:r w:rsidRPr="00B86132">
        <w:rPr>
          <w:rFonts w:cs="Arial"/>
          <w:color w:val="3B3838" w:themeColor="background2" w:themeShade="40"/>
          <w:sz w:val="24"/>
          <w:szCs w:val="24"/>
        </w:rPr>
        <w:t xml:space="preserve">, 13, p.183. </w:t>
      </w:r>
      <w:hyperlink r:id="rId43" w:history="1">
        <w:r w:rsidRPr="00B86132">
          <w:rPr>
            <w:rStyle w:val="Hyperlink"/>
            <w:rFonts w:eastAsiaTheme="majorEastAsia" w:cs="Arial"/>
            <w:color w:val="3B3838" w:themeColor="background2" w:themeShade="40"/>
            <w:sz w:val="24"/>
            <w:szCs w:val="24"/>
          </w:rPr>
          <w:t>https://doi.org/10.3389/fnbeh.2019.00183</w:t>
        </w:r>
      </w:hyperlink>
    </w:p>
    <w:p w14:paraId="607BE671" w14:textId="77777777" w:rsidR="00FD1755" w:rsidRPr="00B86132" w:rsidRDefault="00FD1755" w:rsidP="00FE659D">
      <w:pPr>
        <w:rPr>
          <w:rFonts w:cs="Arial"/>
          <w:color w:val="3B3838" w:themeColor="background2" w:themeShade="40"/>
          <w:sz w:val="24"/>
          <w:szCs w:val="24"/>
        </w:rPr>
      </w:pPr>
    </w:p>
    <w:p w14:paraId="0BEF00DF" w14:textId="0C446295" w:rsidR="00FE659D" w:rsidRDefault="00FE659D" w:rsidP="00FE659D">
      <w:pPr>
        <w:rPr>
          <w:rFonts w:cs="Arial"/>
          <w:color w:val="3B3838" w:themeColor="background2" w:themeShade="40"/>
          <w:sz w:val="24"/>
          <w:szCs w:val="24"/>
        </w:rPr>
      </w:pPr>
      <w:bookmarkStart w:id="3" w:name="_Hlk76453814"/>
      <w:r w:rsidRPr="00B86132">
        <w:rPr>
          <w:rFonts w:cs="Arial"/>
          <w:color w:val="3B3838" w:themeColor="background2" w:themeShade="40"/>
          <w:sz w:val="24"/>
          <w:szCs w:val="24"/>
        </w:rPr>
        <w:t xml:space="preserve">Hart, S. and Jacobsen, S. (2018) </w:t>
      </w:r>
      <w:bookmarkEnd w:id="3"/>
      <w:r w:rsidRPr="00B86132">
        <w:rPr>
          <w:rFonts w:cs="Arial"/>
          <w:color w:val="3B3838" w:themeColor="background2" w:themeShade="40"/>
          <w:sz w:val="24"/>
          <w:szCs w:val="24"/>
        </w:rPr>
        <w:t xml:space="preserve">‘The Neuroaffective Triangle and Organising Intervention as a Conceptual Framework for Family Therapy’, </w:t>
      </w:r>
      <w:r w:rsidRPr="00B86132">
        <w:rPr>
          <w:rFonts w:cs="Arial"/>
          <w:i/>
          <w:iCs/>
          <w:color w:val="3B3838" w:themeColor="background2" w:themeShade="40"/>
          <w:sz w:val="24"/>
          <w:szCs w:val="24"/>
        </w:rPr>
        <w:t>Australian and New Zealand journal of family therapy</w:t>
      </w:r>
      <w:r w:rsidRPr="00B86132">
        <w:rPr>
          <w:rFonts w:cs="Arial"/>
          <w:color w:val="3B3838" w:themeColor="background2" w:themeShade="40"/>
          <w:sz w:val="24"/>
          <w:szCs w:val="24"/>
        </w:rPr>
        <w:t>, 39(4), pp.421–435. doi: 10.1002/anzf.1333</w:t>
      </w:r>
    </w:p>
    <w:p w14:paraId="3686A653" w14:textId="77777777" w:rsidR="00FD1755" w:rsidRPr="00B86132" w:rsidRDefault="00FD1755" w:rsidP="00FE659D">
      <w:pPr>
        <w:rPr>
          <w:rFonts w:cs="Arial"/>
          <w:color w:val="3B3838" w:themeColor="background2" w:themeShade="40"/>
          <w:sz w:val="24"/>
          <w:szCs w:val="24"/>
        </w:rPr>
      </w:pPr>
    </w:p>
    <w:p w14:paraId="6B011711" w14:textId="5B983867"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Heller, L. and LaPierre, A. (2012) </w:t>
      </w:r>
      <w:r w:rsidRPr="00B86132">
        <w:rPr>
          <w:rFonts w:cs="Arial"/>
          <w:i/>
          <w:iCs/>
          <w:color w:val="3B3838" w:themeColor="background2" w:themeShade="40"/>
          <w:sz w:val="24"/>
          <w:szCs w:val="24"/>
        </w:rPr>
        <w:t>Healing developmental trauma: How early trauma affects self-regulation, self-image, and the capacity for relationship.</w:t>
      </w:r>
      <w:r w:rsidRPr="00B86132">
        <w:rPr>
          <w:rFonts w:cs="Arial"/>
          <w:color w:val="3B3838" w:themeColor="background2" w:themeShade="40"/>
          <w:sz w:val="24"/>
          <w:szCs w:val="24"/>
        </w:rPr>
        <w:t xml:space="preserve"> North Atlantic Books.</w:t>
      </w:r>
    </w:p>
    <w:p w14:paraId="79B89B7C" w14:textId="77777777" w:rsidR="00FD1755" w:rsidRPr="00B86132" w:rsidRDefault="00FD1755" w:rsidP="00FE659D">
      <w:pPr>
        <w:rPr>
          <w:rFonts w:cs="Arial"/>
          <w:color w:val="3B3838" w:themeColor="background2" w:themeShade="40"/>
          <w:sz w:val="24"/>
          <w:szCs w:val="24"/>
        </w:rPr>
      </w:pPr>
    </w:p>
    <w:p w14:paraId="23DEDFE3" w14:textId="3A31DC9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Herman, J. (1992) </w:t>
      </w:r>
      <w:r w:rsidRPr="00B86132">
        <w:rPr>
          <w:rFonts w:cs="Arial"/>
          <w:i/>
          <w:iCs/>
          <w:color w:val="3B3838" w:themeColor="background2" w:themeShade="40"/>
          <w:sz w:val="24"/>
          <w:szCs w:val="24"/>
        </w:rPr>
        <w:t>Trauma and recovery: The aftermath of violence--from domestic abuse to political terror</w:t>
      </w:r>
      <w:r w:rsidRPr="00B86132">
        <w:rPr>
          <w:rFonts w:cs="Arial"/>
          <w:color w:val="3B3838" w:themeColor="background2" w:themeShade="40"/>
          <w:sz w:val="24"/>
          <w:szCs w:val="24"/>
        </w:rPr>
        <w:t>. UK: Basic Books.</w:t>
      </w:r>
    </w:p>
    <w:p w14:paraId="25E90A31" w14:textId="77777777" w:rsidR="00FD1755" w:rsidRPr="00B86132" w:rsidRDefault="00FD1755" w:rsidP="00FE659D">
      <w:pPr>
        <w:rPr>
          <w:rFonts w:cs="Arial"/>
          <w:color w:val="3B3838" w:themeColor="background2" w:themeShade="40"/>
          <w:sz w:val="24"/>
          <w:szCs w:val="24"/>
        </w:rPr>
      </w:pPr>
    </w:p>
    <w:p w14:paraId="383FD2EB" w14:textId="7838B225"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Hildebrand, A., Grand, D. and Stemmler, M. (2017) ‘Brainspotting–the efficacy of a new therapy approach for the treatment of Posttraumatic Stress Disorder in comparison to Eye Movement Desensitization and Reprocessing’, </w:t>
      </w:r>
      <w:r w:rsidRPr="00B86132">
        <w:rPr>
          <w:rFonts w:cs="Arial"/>
          <w:i/>
          <w:iCs/>
          <w:color w:val="3B3838" w:themeColor="background2" w:themeShade="40"/>
          <w:sz w:val="24"/>
          <w:szCs w:val="24"/>
        </w:rPr>
        <w:t>Mediterranean Journal of Clinical Psychology</w:t>
      </w:r>
      <w:r w:rsidRPr="00B86132">
        <w:rPr>
          <w:rFonts w:cs="Arial"/>
          <w:color w:val="3B3838" w:themeColor="background2" w:themeShade="40"/>
          <w:sz w:val="24"/>
          <w:szCs w:val="24"/>
        </w:rPr>
        <w:t xml:space="preserve">, 5(1), pp. </w:t>
      </w:r>
    </w:p>
    <w:p w14:paraId="3217260F" w14:textId="77777777" w:rsidR="00FD1755" w:rsidRPr="00B86132" w:rsidRDefault="00FD1755" w:rsidP="00FE659D">
      <w:pPr>
        <w:rPr>
          <w:rFonts w:cs="Arial"/>
          <w:color w:val="3B3838" w:themeColor="background2" w:themeShade="40"/>
          <w:sz w:val="24"/>
          <w:szCs w:val="24"/>
        </w:rPr>
      </w:pPr>
    </w:p>
    <w:p w14:paraId="038B57D8" w14:textId="3D1BE797"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Hopenwasser, K. (2008). ‘Being in rhythm: Dissociative attunement in therapeutic process’, </w:t>
      </w:r>
      <w:r w:rsidRPr="00B86132">
        <w:rPr>
          <w:rFonts w:cs="Arial"/>
          <w:i/>
          <w:iCs/>
          <w:color w:val="3B3838" w:themeColor="background2" w:themeShade="40"/>
          <w:sz w:val="24"/>
          <w:szCs w:val="24"/>
        </w:rPr>
        <w:t>Journal of Trauma and Dissociation</w:t>
      </w:r>
      <w:r w:rsidRPr="00B86132">
        <w:rPr>
          <w:rFonts w:cs="Arial"/>
          <w:color w:val="3B3838" w:themeColor="background2" w:themeShade="40"/>
          <w:sz w:val="24"/>
          <w:szCs w:val="24"/>
        </w:rPr>
        <w:t>, 9(3), pp. 349–367. </w:t>
      </w:r>
      <w:hyperlink r:id="rId44" w:tgtFrame="_blank" w:history="1">
        <w:r w:rsidRPr="00B86132">
          <w:rPr>
            <w:rStyle w:val="Hyperlink"/>
            <w:rFonts w:eastAsiaTheme="majorEastAsia" w:cs="Arial"/>
            <w:color w:val="3B3838" w:themeColor="background2" w:themeShade="40"/>
            <w:sz w:val="24"/>
            <w:szCs w:val="24"/>
          </w:rPr>
          <w:t>https://doi.org/10.1080/15299730802139212</w:t>
        </w:r>
      </w:hyperlink>
    </w:p>
    <w:p w14:paraId="72905309" w14:textId="77777777" w:rsidR="00FD1755" w:rsidRPr="00B86132" w:rsidRDefault="00FD1755" w:rsidP="00FE659D">
      <w:pPr>
        <w:rPr>
          <w:rFonts w:cs="Arial"/>
          <w:color w:val="3B3838" w:themeColor="background2" w:themeShade="40"/>
          <w:sz w:val="24"/>
          <w:szCs w:val="24"/>
        </w:rPr>
      </w:pPr>
    </w:p>
    <w:p w14:paraId="13B59E1D" w14:textId="25CE6F8A"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Hull, A. et al. (2016) ‘Identifying patients with complex PTSD’, </w:t>
      </w:r>
      <w:r w:rsidRPr="00B86132">
        <w:rPr>
          <w:rFonts w:cs="Arial"/>
          <w:i/>
          <w:iCs/>
          <w:color w:val="3B3838" w:themeColor="background2" w:themeShade="40"/>
          <w:sz w:val="24"/>
          <w:szCs w:val="24"/>
        </w:rPr>
        <w:t>Practitioner</w:t>
      </w:r>
      <w:r w:rsidRPr="00B86132">
        <w:rPr>
          <w:rFonts w:cs="Arial"/>
          <w:color w:val="3B3838" w:themeColor="background2" w:themeShade="40"/>
          <w:sz w:val="24"/>
          <w:szCs w:val="24"/>
        </w:rPr>
        <w:t xml:space="preserve">, 260(1795), pp. 31-38. Available at: </w:t>
      </w:r>
      <w:r w:rsidRPr="00B86132">
        <w:rPr>
          <w:rFonts w:cs="Arial"/>
          <w:color w:val="3B3838" w:themeColor="background2" w:themeShade="40"/>
          <w:sz w:val="24"/>
          <w:szCs w:val="24"/>
        </w:rPr>
        <w:br/>
      </w:r>
      <w:hyperlink r:id="rId45" w:history="1">
        <w:r w:rsidRPr="00B86132">
          <w:rPr>
            <w:rStyle w:val="Hyperlink"/>
            <w:rFonts w:eastAsiaTheme="majorEastAsia" w:cs="Arial"/>
            <w:color w:val="3B3838" w:themeColor="background2" w:themeShade="40"/>
            <w:sz w:val="24"/>
            <w:szCs w:val="24"/>
          </w:rPr>
          <w:t>https://www-proquest-com.ezproxy.uwtsd.ac.uk/trade-journals/identifying-patients-with-complex-ptsd/docview/1844330907/se-2?accountid=130472</w:t>
        </w:r>
      </w:hyperlink>
      <w:r w:rsidRPr="00B86132">
        <w:rPr>
          <w:rFonts w:cs="Arial"/>
          <w:color w:val="3B3838" w:themeColor="background2" w:themeShade="40"/>
          <w:sz w:val="24"/>
          <w:szCs w:val="24"/>
        </w:rPr>
        <w:t xml:space="preserve"> (Accessed: 08 June 2021)</w:t>
      </w:r>
    </w:p>
    <w:p w14:paraId="7B99D0EE" w14:textId="77777777" w:rsidR="00FD1755" w:rsidRPr="00B86132" w:rsidRDefault="00FD1755" w:rsidP="00FE659D">
      <w:pPr>
        <w:rPr>
          <w:rFonts w:cs="Arial"/>
          <w:color w:val="3B3838" w:themeColor="background2" w:themeShade="40"/>
          <w:sz w:val="24"/>
          <w:szCs w:val="24"/>
        </w:rPr>
      </w:pPr>
    </w:p>
    <w:p w14:paraId="397F6B31" w14:textId="56F12575"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International Society of Traumatic Stress Studies (ISTSS) [Online]. (2018a, November 26). New ISTSS prevention and treatment guidelines. Available at: </w:t>
      </w:r>
      <w:hyperlink r:id="rId46" w:history="1">
        <w:r w:rsidRPr="00B86132">
          <w:rPr>
            <w:rStyle w:val="Hyperlink"/>
            <w:rFonts w:eastAsiaTheme="majorEastAsia" w:cs="Arial"/>
            <w:color w:val="3B3838" w:themeColor="background2" w:themeShade="40"/>
            <w:sz w:val="24"/>
            <w:szCs w:val="24"/>
          </w:rPr>
          <w:t>https://istss.org/getattachment/Treating-Trauma/New-ISTSS-Prevention-and-Treatment-Guidelines/ISTSS_PreventionTreatmentGuidelines_FNL-March-19-2019.pdf.aspx</w:t>
        </w:r>
      </w:hyperlink>
      <w:r w:rsidRPr="00B86132">
        <w:rPr>
          <w:rFonts w:cs="Arial"/>
          <w:color w:val="3B3838" w:themeColor="background2" w:themeShade="40"/>
          <w:sz w:val="24"/>
          <w:szCs w:val="24"/>
        </w:rPr>
        <w:t xml:space="preserve"> (Accessed: 06 December 2021). </w:t>
      </w:r>
    </w:p>
    <w:p w14:paraId="7C36E207" w14:textId="77777777" w:rsidR="00FD1755" w:rsidRPr="00B86132" w:rsidRDefault="00FD1755" w:rsidP="00FE659D">
      <w:pPr>
        <w:rPr>
          <w:rFonts w:cs="Arial"/>
          <w:color w:val="3B3838" w:themeColor="background2" w:themeShade="40"/>
          <w:sz w:val="24"/>
          <w:szCs w:val="24"/>
        </w:rPr>
      </w:pPr>
    </w:p>
    <w:p w14:paraId="68401A87" w14:textId="608A0F4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International Society of Traumatic Stress Studies (ISTSS) [Online]. (2018b, November 26). Position paper on complex PTSD in adults. Available at: </w:t>
      </w:r>
      <w:hyperlink r:id="rId47" w:history="1">
        <w:r w:rsidRPr="00B86132">
          <w:rPr>
            <w:rStyle w:val="Hyperlink"/>
            <w:rFonts w:eastAsiaTheme="majorEastAsia" w:cs="Arial"/>
            <w:color w:val="3B3838" w:themeColor="background2" w:themeShade="40"/>
            <w:sz w:val="24"/>
            <w:szCs w:val="24"/>
          </w:rPr>
          <w:t>https://istss.org/getattachment/Treating-Trauma/New-ISTSS-Prevention-and-Treatment-Guidelines/ISTSS_CPTSD-Position-Paper-(Adults)_FNL.pdf.aspx</w:t>
        </w:r>
      </w:hyperlink>
      <w:r w:rsidRPr="00B86132">
        <w:rPr>
          <w:rFonts w:cs="Arial"/>
          <w:color w:val="3B3838" w:themeColor="background2" w:themeShade="40"/>
          <w:sz w:val="24"/>
          <w:szCs w:val="24"/>
        </w:rPr>
        <w:t xml:space="preserve"> (Accessed: 06 December 2021).</w:t>
      </w:r>
    </w:p>
    <w:p w14:paraId="2B7987B0" w14:textId="77777777" w:rsidR="00FD1755" w:rsidRPr="00B86132" w:rsidRDefault="00FD1755" w:rsidP="00FE659D">
      <w:pPr>
        <w:rPr>
          <w:rFonts w:cs="Arial"/>
          <w:color w:val="3B3838" w:themeColor="background2" w:themeShade="40"/>
          <w:sz w:val="24"/>
          <w:szCs w:val="24"/>
        </w:rPr>
      </w:pPr>
    </w:p>
    <w:p w14:paraId="7E46A42D" w14:textId="705743CD"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International Trauma Consortium (2021) International Trauma Questionnaire. Available at: </w:t>
      </w:r>
      <w:hyperlink r:id="rId48" w:history="1">
        <w:r w:rsidRPr="00B86132">
          <w:rPr>
            <w:rStyle w:val="Hyperlink"/>
            <w:rFonts w:eastAsiaTheme="majorEastAsia" w:cs="Arial"/>
            <w:color w:val="3B3838" w:themeColor="background2" w:themeShade="40"/>
            <w:sz w:val="24"/>
            <w:szCs w:val="24"/>
          </w:rPr>
          <w:t>https://www.traumameasuresglobal.com/itq</w:t>
        </w:r>
      </w:hyperlink>
      <w:r w:rsidRPr="00B86132">
        <w:rPr>
          <w:rFonts w:cs="Arial"/>
          <w:color w:val="3B3838" w:themeColor="background2" w:themeShade="40"/>
          <w:sz w:val="24"/>
          <w:szCs w:val="24"/>
        </w:rPr>
        <w:t xml:space="preserve"> (Accessed: 17 February 2021). </w:t>
      </w:r>
    </w:p>
    <w:p w14:paraId="5ED0F9A5" w14:textId="77777777" w:rsidR="00FD1755" w:rsidRPr="00B86132" w:rsidRDefault="00FD1755" w:rsidP="00FE659D">
      <w:pPr>
        <w:rPr>
          <w:rFonts w:cs="Arial"/>
          <w:color w:val="3B3838" w:themeColor="background2" w:themeShade="40"/>
          <w:sz w:val="24"/>
          <w:szCs w:val="24"/>
        </w:rPr>
      </w:pPr>
    </w:p>
    <w:p w14:paraId="77154B34" w14:textId="1206179F" w:rsidR="00FE659D" w:rsidRDefault="00FE659D" w:rsidP="00FE659D">
      <w:pPr>
        <w:rPr>
          <w:rFonts w:cs="Arial"/>
          <w:color w:val="3B3838" w:themeColor="background2" w:themeShade="40"/>
          <w:sz w:val="24"/>
          <w:szCs w:val="24"/>
          <w:u w:val="single"/>
          <w:shd w:val="clear" w:color="auto" w:fill="FFFFFF"/>
        </w:rPr>
      </w:pPr>
      <w:r w:rsidRPr="00B86132">
        <w:rPr>
          <w:rFonts w:cs="Arial"/>
          <w:color w:val="3B3838" w:themeColor="background2" w:themeShade="40"/>
          <w:sz w:val="24"/>
          <w:szCs w:val="24"/>
          <w:shd w:val="clear" w:color="auto" w:fill="FFFFFF"/>
        </w:rPr>
        <w:t xml:space="preserve">Johnstone, L. (2018) ‘Psychological formulation as an alternative to psychiatric diagnosis’, </w:t>
      </w:r>
      <w:r w:rsidRPr="00B86132">
        <w:rPr>
          <w:rFonts w:cs="Arial"/>
          <w:i/>
          <w:iCs/>
          <w:color w:val="3B3838" w:themeColor="background2" w:themeShade="40"/>
          <w:sz w:val="24"/>
          <w:szCs w:val="24"/>
          <w:shd w:val="clear" w:color="auto" w:fill="FFFFFF"/>
        </w:rPr>
        <w:t>Journal of Humanistic Psychology</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58</w:t>
      </w:r>
      <w:r w:rsidRPr="00B86132">
        <w:rPr>
          <w:rFonts w:cs="Arial"/>
          <w:color w:val="3B3838" w:themeColor="background2" w:themeShade="40"/>
          <w:sz w:val="24"/>
          <w:szCs w:val="24"/>
          <w:shd w:val="clear" w:color="auto" w:fill="FFFFFF"/>
        </w:rPr>
        <w:t xml:space="preserve">(1), pp.30-46. </w:t>
      </w:r>
      <w:hyperlink r:id="rId49" w:history="1">
        <w:r w:rsidRPr="00B86132">
          <w:rPr>
            <w:rFonts w:cs="Arial"/>
            <w:color w:val="3B3838" w:themeColor="background2" w:themeShade="40"/>
            <w:sz w:val="24"/>
            <w:szCs w:val="24"/>
            <w:u w:val="single"/>
            <w:shd w:val="clear" w:color="auto" w:fill="FFFFFF"/>
          </w:rPr>
          <w:t>https://doi.org/10.1177/0022167817722230</w:t>
        </w:r>
      </w:hyperlink>
    </w:p>
    <w:p w14:paraId="0EC4D8BA" w14:textId="77777777" w:rsidR="00FD1755" w:rsidRPr="00B86132" w:rsidRDefault="00FD1755" w:rsidP="00FE659D">
      <w:pPr>
        <w:rPr>
          <w:rFonts w:cs="Arial"/>
          <w:color w:val="3B3838" w:themeColor="background2" w:themeShade="40"/>
          <w:sz w:val="24"/>
          <w:szCs w:val="24"/>
        </w:rPr>
      </w:pPr>
    </w:p>
    <w:p w14:paraId="06F309A6"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Kaffman, A. (2009) ‘The silent epidemic of neurodevelopmental injuries’, Biological Psychiatry, 66(7), pp.624-626. doi:10.1016/j.biopsych.2009.08.002</w:t>
      </w:r>
    </w:p>
    <w:p w14:paraId="34C5CD3E" w14:textId="30BB0042"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Kaiser, S. et al. (2018) ‘Recognition of attachment difficulties and developmental trauma is the responsibility of all paediatricians’, </w:t>
      </w:r>
      <w:r w:rsidRPr="00B86132">
        <w:rPr>
          <w:rFonts w:cs="Arial"/>
          <w:i/>
          <w:iCs/>
          <w:color w:val="3B3838" w:themeColor="background2" w:themeShade="40"/>
          <w:sz w:val="24"/>
          <w:szCs w:val="24"/>
        </w:rPr>
        <w:t>Journal of paediatrics and child health</w:t>
      </w:r>
      <w:r w:rsidRPr="00B86132">
        <w:rPr>
          <w:rFonts w:cs="Arial"/>
          <w:color w:val="3B3838" w:themeColor="background2" w:themeShade="40"/>
          <w:sz w:val="24"/>
          <w:szCs w:val="24"/>
        </w:rPr>
        <w:t xml:space="preserve">, 54(10), pp.1110-1116. </w:t>
      </w:r>
      <w:hyperlink r:id="rId50" w:history="1">
        <w:r w:rsidRPr="00B86132">
          <w:rPr>
            <w:rStyle w:val="Hyperlink"/>
            <w:rFonts w:eastAsiaTheme="majorEastAsia" w:cs="Arial"/>
            <w:color w:val="3B3838" w:themeColor="background2" w:themeShade="40"/>
            <w:sz w:val="24"/>
            <w:szCs w:val="24"/>
          </w:rPr>
          <w:t>https://doi-org.ezproxy.uwtsd.ac.uk/10.1111/jpc.14154</w:t>
        </w:r>
      </w:hyperlink>
    </w:p>
    <w:p w14:paraId="1105AFA8" w14:textId="77777777" w:rsidR="00FD1755" w:rsidRPr="00B86132" w:rsidRDefault="00FD1755" w:rsidP="00FE659D">
      <w:pPr>
        <w:rPr>
          <w:rStyle w:val="Hyperlink"/>
          <w:rFonts w:eastAsiaTheme="majorEastAsia" w:cs="Arial"/>
          <w:color w:val="3B3838" w:themeColor="background2" w:themeShade="40"/>
          <w:sz w:val="24"/>
          <w:szCs w:val="24"/>
        </w:rPr>
      </w:pPr>
    </w:p>
    <w:p w14:paraId="235F963F" w14:textId="2230850B" w:rsidR="00FE659D" w:rsidRDefault="00FE659D" w:rsidP="00FE659D">
      <w:pPr>
        <w:rPr>
          <w:rFonts w:cs="Arial"/>
          <w:color w:val="3B3838" w:themeColor="background2" w:themeShade="40"/>
          <w:sz w:val="24"/>
          <w:szCs w:val="24"/>
          <w:u w:val="single"/>
        </w:rPr>
      </w:pPr>
      <w:r w:rsidRPr="00B86132">
        <w:rPr>
          <w:rFonts w:cs="Arial"/>
          <w:color w:val="3B3838" w:themeColor="background2" w:themeShade="40"/>
          <w:sz w:val="24"/>
          <w:szCs w:val="24"/>
          <w:shd w:val="clear" w:color="auto" w:fill="FFFFFF"/>
        </w:rPr>
        <w:t xml:space="preserve">Kang, S., Sponheim, S.R. and Lim, K.O. (2021) Interoception Underlies Therapeutic Effects of Mindfulness Meditation for Post-Traumatic Stress Disorder: A Randomized Clinical Trial’, </w:t>
      </w:r>
      <w:r w:rsidRPr="00B86132">
        <w:rPr>
          <w:rFonts w:cs="Arial"/>
          <w:i/>
          <w:iCs/>
          <w:color w:val="3B3838" w:themeColor="background2" w:themeShade="40"/>
          <w:sz w:val="24"/>
          <w:szCs w:val="24"/>
          <w:shd w:val="clear" w:color="auto" w:fill="FFFFFF"/>
        </w:rPr>
        <w:t>Biological Psychiatry: Cognitive Neuroscience and Neuroimaging</w:t>
      </w:r>
      <w:r w:rsidRPr="00B86132">
        <w:rPr>
          <w:rFonts w:cs="Arial"/>
          <w:color w:val="3B3838" w:themeColor="background2" w:themeShade="40"/>
          <w:sz w:val="24"/>
          <w:szCs w:val="24"/>
          <w:shd w:val="clear" w:color="auto" w:fill="FFFFFF"/>
        </w:rPr>
        <w:t xml:space="preserve">. </w:t>
      </w:r>
      <w:hyperlink r:id="rId51" w:tgtFrame="_blank" w:tooltip="Persistent link using digital object identifier" w:history="1">
        <w:r w:rsidRPr="00B86132">
          <w:rPr>
            <w:rFonts w:cs="Arial"/>
            <w:color w:val="3B3838" w:themeColor="background2" w:themeShade="40"/>
            <w:sz w:val="24"/>
            <w:szCs w:val="24"/>
            <w:u w:val="single"/>
          </w:rPr>
          <w:t>https://doi.org/10.1016/j.bpsc.2021.10.005</w:t>
        </w:r>
      </w:hyperlink>
    </w:p>
    <w:p w14:paraId="3A6CB5A3" w14:textId="77777777" w:rsidR="00FD1755" w:rsidRPr="00B86132" w:rsidRDefault="00FD1755" w:rsidP="00FE659D">
      <w:pPr>
        <w:rPr>
          <w:rFonts w:cs="Arial"/>
          <w:color w:val="3B3838" w:themeColor="background2" w:themeShade="40"/>
          <w:sz w:val="24"/>
          <w:szCs w:val="24"/>
        </w:rPr>
      </w:pPr>
    </w:p>
    <w:p w14:paraId="2513B6BF" w14:textId="7781025B"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Karatzias, T. et al. (2017) ‘PTSD and Complex PTSD: ICD-11 updates on concept and measurement in the UK, USA, Germany and Lithuania’, </w:t>
      </w:r>
      <w:r w:rsidRPr="00B86132">
        <w:rPr>
          <w:rFonts w:cs="Arial"/>
          <w:i/>
          <w:iCs/>
          <w:color w:val="3B3838" w:themeColor="background2" w:themeShade="40"/>
          <w:sz w:val="24"/>
          <w:szCs w:val="24"/>
        </w:rPr>
        <w:t>European Journal of Psychotraumatology</w:t>
      </w:r>
      <w:r w:rsidRPr="00B86132">
        <w:rPr>
          <w:rFonts w:cs="Arial"/>
          <w:color w:val="3B3838" w:themeColor="background2" w:themeShade="40"/>
          <w:sz w:val="24"/>
          <w:szCs w:val="24"/>
        </w:rPr>
        <w:t xml:space="preserve">, 8(sup7), p.1418103. </w:t>
      </w:r>
      <w:hyperlink r:id="rId52" w:history="1">
        <w:r w:rsidRPr="00B86132">
          <w:rPr>
            <w:rStyle w:val="Hyperlink"/>
            <w:rFonts w:eastAsiaTheme="majorEastAsia" w:cs="Arial"/>
            <w:color w:val="3B3838" w:themeColor="background2" w:themeShade="40"/>
            <w:sz w:val="24"/>
            <w:szCs w:val="24"/>
          </w:rPr>
          <w:t>https://doi.org/10.1080/20008198.2017.1418103</w:t>
        </w:r>
      </w:hyperlink>
    </w:p>
    <w:p w14:paraId="2B445C97" w14:textId="77777777" w:rsidR="00FD1755" w:rsidRPr="00B86132" w:rsidRDefault="00FD1755" w:rsidP="00FE659D">
      <w:pPr>
        <w:rPr>
          <w:rFonts w:cs="Arial"/>
          <w:color w:val="3B3838" w:themeColor="background2" w:themeShade="40"/>
          <w:sz w:val="24"/>
          <w:szCs w:val="24"/>
        </w:rPr>
      </w:pPr>
    </w:p>
    <w:p w14:paraId="00567849" w14:textId="78A0C653"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Karatzias, T. et al. (2019) ‘Psychological interventions for ICD-11 complex PTSD symptoms: systematic review and meta-analysis’, </w:t>
      </w:r>
      <w:r w:rsidRPr="00B86132">
        <w:rPr>
          <w:rFonts w:cs="Arial"/>
          <w:i/>
          <w:iCs/>
          <w:color w:val="3B3838" w:themeColor="background2" w:themeShade="40"/>
          <w:sz w:val="24"/>
          <w:szCs w:val="24"/>
        </w:rPr>
        <w:t>Psychological medicine</w:t>
      </w:r>
      <w:r w:rsidRPr="00B86132">
        <w:rPr>
          <w:rFonts w:cs="Arial"/>
          <w:color w:val="3B3838" w:themeColor="background2" w:themeShade="40"/>
          <w:sz w:val="24"/>
          <w:szCs w:val="24"/>
        </w:rPr>
        <w:t>, 49(11), pp.1761-1775.</w:t>
      </w:r>
    </w:p>
    <w:p w14:paraId="4AE54434" w14:textId="77777777" w:rsidR="00FD1755" w:rsidRPr="00B86132" w:rsidRDefault="00FD1755" w:rsidP="00FE659D">
      <w:pPr>
        <w:rPr>
          <w:rFonts w:cs="Arial"/>
          <w:color w:val="3B3838" w:themeColor="background2" w:themeShade="40"/>
          <w:sz w:val="24"/>
          <w:szCs w:val="24"/>
        </w:rPr>
      </w:pPr>
    </w:p>
    <w:p w14:paraId="10513328" w14:textId="58766804"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 xml:space="preserve">Kaufman, S. (2020) </w:t>
      </w:r>
      <w:r w:rsidRPr="00B86132">
        <w:rPr>
          <w:rFonts w:cs="Arial"/>
          <w:i/>
          <w:iCs/>
          <w:color w:val="3B3838" w:themeColor="background2" w:themeShade="40"/>
          <w:sz w:val="24"/>
          <w:szCs w:val="24"/>
          <w:shd w:val="clear" w:color="auto" w:fill="FFFFFF"/>
        </w:rPr>
        <w:t>Transcend: The New Science of Self-Actualization</w:t>
      </w:r>
      <w:r w:rsidRPr="00B86132">
        <w:rPr>
          <w:rFonts w:cs="Arial"/>
          <w:color w:val="3B3838" w:themeColor="background2" w:themeShade="40"/>
          <w:sz w:val="24"/>
          <w:szCs w:val="24"/>
          <w:shd w:val="clear" w:color="auto" w:fill="FFFFFF"/>
        </w:rPr>
        <w:t>. New York: Tarcher Perigee.</w:t>
      </w:r>
    </w:p>
    <w:p w14:paraId="51813539" w14:textId="77777777" w:rsidR="00FD1755" w:rsidRPr="00B86132" w:rsidRDefault="00FD1755" w:rsidP="00FE659D">
      <w:pPr>
        <w:rPr>
          <w:rFonts w:cs="Arial"/>
          <w:color w:val="3B3838" w:themeColor="background2" w:themeShade="40"/>
          <w:sz w:val="24"/>
          <w:szCs w:val="24"/>
          <w:shd w:val="clear" w:color="auto" w:fill="FFFFFF"/>
        </w:rPr>
      </w:pPr>
    </w:p>
    <w:p w14:paraId="16244693" w14:textId="4204F60F"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shd w:val="clear" w:color="auto" w:fill="FFFFFF"/>
        </w:rPr>
        <w:t>Kenofer, P. (2015) ‘Developing Gestalt Case Conceptualization’, </w:t>
      </w:r>
      <w:r w:rsidRPr="00B86132">
        <w:rPr>
          <w:rFonts w:cs="Arial"/>
          <w:i/>
          <w:iCs/>
          <w:color w:val="3B3838" w:themeColor="background2" w:themeShade="40"/>
          <w:sz w:val="24"/>
          <w:szCs w:val="24"/>
          <w:shd w:val="clear" w:color="auto" w:fill="FFFFFF"/>
        </w:rPr>
        <w:t>Gestalt review</w:t>
      </w:r>
      <w:r w:rsidRPr="00B86132">
        <w:rPr>
          <w:rFonts w:cs="Arial"/>
          <w:color w:val="3B3838" w:themeColor="background2" w:themeShade="40"/>
          <w:sz w:val="24"/>
          <w:szCs w:val="24"/>
          <w:shd w:val="clear" w:color="auto" w:fill="FFFFFF"/>
        </w:rPr>
        <w:t>, 19(2), pp. 110–132. doi:10.5325/gestaltreview.19.2.0110.</w:t>
      </w:r>
    </w:p>
    <w:p w14:paraId="08B42A5D" w14:textId="145A1DC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Kepner, J. (2008) </w:t>
      </w:r>
      <w:r w:rsidRPr="00B86132">
        <w:rPr>
          <w:rFonts w:cs="Arial"/>
          <w:i/>
          <w:iCs/>
          <w:color w:val="3B3838" w:themeColor="background2" w:themeShade="40"/>
          <w:sz w:val="24"/>
          <w:szCs w:val="24"/>
        </w:rPr>
        <w:t>Body Process: A Gestalt Approach to Working with the Body in Psychotherapy</w:t>
      </w:r>
      <w:r w:rsidRPr="00B86132">
        <w:rPr>
          <w:rFonts w:cs="Arial"/>
          <w:color w:val="3B3838" w:themeColor="background2" w:themeShade="40"/>
          <w:sz w:val="24"/>
          <w:szCs w:val="24"/>
        </w:rPr>
        <w:t xml:space="preserve">, Santa Cruz, CA: Gestalt Press, </w:t>
      </w:r>
    </w:p>
    <w:p w14:paraId="6035A419" w14:textId="77777777" w:rsidR="00FD1755" w:rsidRPr="00B86132" w:rsidRDefault="00FD1755" w:rsidP="00FE659D">
      <w:pPr>
        <w:rPr>
          <w:rFonts w:cs="Arial"/>
          <w:color w:val="3B3838" w:themeColor="background2" w:themeShade="40"/>
          <w:sz w:val="24"/>
          <w:szCs w:val="24"/>
        </w:rPr>
      </w:pPr>
    </w:p>
    <w:p w14:paraId="02C9D6DC" w14:textId="536078C9"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lastRenderedPageBreak/>
        <w:t xml:space="preserve">Kerig, P., Mozley, M. and Mendez, L. (2020) ‘Forensic assessment of PTSD via DSM-5 versus ICD-11 criteria: Implications for current practice and future research’, </w:t>
      </w:r>
      <w:r w:rsidRPr="00B86132">
        <w:rPr>
          <w:rFonts w:cs="Arial"/>
          <w:i/>
          <w:iCs/>
          <w:color w:val="3B3838" w:themeColor="background2" w:themeShade="40"/>
          <w:sz w:val="24"/>
          <w:szCs w:val="24"/>
          <w:shd w:val="clear" w:color="auto" w:fill="FFFFFF"/>
        </w:rPr>
        <w:t>Psychological Injury and Law</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13</w:t>
      </w:r>
      <w:r w:rsidRPr="00B86132">
        <w:rPr>
          <w:rFonts w:cs="Arial"/>
          <w:color w:val="3B3838" w:themeColor="background2" w:themeShade="40"/>
          <w:sz w:val="24"/>
          <w:szCs w:val="24"/>
          <w:shd w:val="clear" w:color="auto" w:fill="FFFFFF"/>
        </w:rPr>
        <w:t>(4), pp.383-411.</w:t>
      </w:r>
    </w:p>
    <w:p w14:paraId="3706A0F8" w14:textId="77777777" w:rsidR="00FD1755" w:rsidRPr="00B86132" w:rsidRDefault="00FD1755" w:rsidP="00FE659D">
      <w:pPr>
        <w:rPr>
          <w:rFonts w:cs="Arial"/>
          <w:color w:val="3B3838" w:themeColor="background2" w:themeShade="40"/>
          <w:sz w:val="24"/>
          <w:szCs w:val="24"/>
        </w:rPr>
      </w:pPr>
    </w:p>
    <w:p w14:paraId="14446DE1" w14:textId="04E54B7F"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Kozlowska, K. et al. (2015) ‘Fear and the Defense Cascade’, </w:t>
      </w:r>
      <w:r w:rsidRPr="00B86132">
        <w:rPr>
          <w:rFonts w:cs="Arial"/>
          <w:i/>
          <w:iCs/>
          <w:color w:val="3B3838" w:themeColor="background2" w:themeShade="40"/>
          <w:sz w:val="24"/>
          <w:szCs w:val="24"/>
        </w:rPr>
        <w:t>Harvard Review of Psychiatry</w:t>
      </w:r>
      <w:r w:rsidRPr="00B86132">
        <w:rPr>
          <w:rFonts w:cs="Arial"/>
          <w:color w:val="3B3838" w:themeColor="background2" w:themeShade="40"/>
          <w:sz w:val="24"/>
          <w:szCs w:val="24"/>
        </w:rPr>
        <w:t>, 23 (4), p. 263-287, doi: 10.1097/HRP.0000000000000065</w:t>
      </w:r>
    </w:p>
    <w:p w14:paraId="6B8DF6A4" w14:textId="77777777" w:rsidR="00FD1755" w:rsidRPr="00B86132" w:rsidRDefault="00FD1755" w:rsidP="00FE659D">
      <w:pPr>
        <w:rPr>
          <w:rFonts w:cs="Arial"/>
          <w:color w:val="3B3838" w:themeColor="background2" w:themeShade="40"/>
          <w:sz w:val="24"/>
          <w:szCs w:val="24"/>
        </w:rPr>
      </w:pPr>
    </w:p>
    <w:p w14:paraId="20380001" w14:textId="403BD190"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Kurtz, R. (1990) </w:t>
      </w:r>
      <w:r w:rsidRPr="00B86132">
        <w:rPr>
          <w:rFonts w:cs="Arial"/>
          <w:i/>
          <w:iCs/>
          <w:color w:val="3B3838" w:themeColor="background2" w:themeShade="40"/>
          <w:sz w:val="24"/>
          <w:szCs w:val="24"/>
        </w:rPr>
        <w:t>Body-centered psychotherapy: The Hakomi method: The integrated use of mindfulness, nonviolence, and the body</w:t>
      </w:r>
      <w:r w:rsidRPr="00B86132">
        <w:rPr>
          <w:rFonts w:cs="Arial"/>
          <w:color w:val="3B3838" w:themeColor="background2" w:themeShade="40"/>
          <w:sz w:val="24"/>
          <w:szCs w:val="24"/>
        </w:rPr>
        <w:t>. California: Life Rhythm.</w:t>
      </w:r>
    </w:p>
    <w:p w14:paraId="51E34F03" w14:textId="77777777" w:rsidR="00FD1755" w:rsidRPr="00B86132" w:rsidRDefault="00FD1755" w:rsidP="00FE659D">
      <w:pPr>
        <w:rPr>
          <w:rFonts w:cs="Arial"/>
          <w:color w:val="3B3838" w:themeColor="background2" w:themeShade="40"/>
          <w:sz w:val="24"/>
          <w:szCs w:val="24"/>
        </w:rPr>
      </w:pPr>
    </w:p>
    <w:p w14:paraId="1F64E9EF" w14:textId="185B0DC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Lanius, R., Terpou, B. and McKinnon, M. (2020) ‘The sense of self in the aftermath of trauma: lessons from the default mode network in posttraumatic stress disorder’, </w:t>
      </w:r>
      <w:r w:rsidRPr="00B86132">
        <w:rPr>
          <w:rFonts w:cs="Arial"/>
          <w:i/>
          <w:iCs/>
          <w:color w:val="3B3838" w:themeColor="background2" w:themeShade="40"/>
          <w:sz w:val="24"/>
          <w:szCs w:val="24"/>
        </w:rPr>
        <w:t>European Journal of Psychotraumatology</w:t>
      </w:r>
      <w:r w:rsidRPr="00B86132">
        <w:rPr>
          <w:rFonts w:cs="Arial"/>
          <w:color w:val="3B3838" w:themeColor="background2" w:themeShade="40"/>
          <w:sz w:val="24"/>
          <w:szCs w:val="24"/>
        </w:rPr>
        <w:t>, 11(1), p.1807703.</w:t>
      </w:r>
    </w:p>
    <w:p w14:paraId="782CE734" w14:textId="77777777" w:rsidR="00FD1755" w:rsidRPr="00B86132" w:rsidRDefault="00FD1755" w:rsidP="00FE659D">
      <w:pPr>
        <w:rPr>
          <w:rFonts w:cs="Arial"/>
          <w:color w:val="3B3838" w:themeColor="background2" w:themeShade="40"/>
          <w:sz w:val="24"/>
          <w:szCs w:val="24"/>
        </w:rPr>
      </w:pPr>
    </w:p>
    <w:p w14:paraId="7D6F2B05" w14:textId="6DAEBA83" w:rsidR="00FE659D" w:rsidRDefault="00FE659D" w:rsidP="00FE659D">
      <w:pPr>
        <w:rPr>
          <w:rFonts w:cs="Arial"/>
          <w:color w:val="3B3838" w:themeColor="background2" w:themeShade="40"/>
          <w:sz w:val="24"/>
          <w:szCs w:val="24"/>
          <w:u w:val="single"/>
          <w:shd w:val="clear" w:color="auto" w:fill="FFFFFF"/>
        </w:rPr>
      </w:pPr>
      <w:r w:rsidRPr="00B86132">
        <w:rPr>
          <w:rFonts w:cs="Arial"/>
          <w:color w:val="3B3838" w:themeColor="background2" w:themeShade="40"/>
          <w:sz w:val="24"/>
          <w:szCs w:val="24"/>
          <w:shd w:val="clear" w:color="auto" w:fill="FFFFFF"/>
        </w:rPr>
        <w:t xml:space="preserve">Lawson, D., Davis, D. and Brandon, S. (2013) ‘Treating complex trauma: Critical interventions with adults who experienced ongoing trauma in childhood’, </w:t>
      </w:r>
      <w:r w:rsidRPr="00B86132">
        <w:rPr>
          <w:rFonts w:cs="Arial"/>
          <w:i/>
          <w:iCs/>
          <w:color w:val="3B3838" w:themeColor="background2" w:themeShade="40"/>
          <w:sz w:val="24"/>
          <w:szCs w:val="24"/>
          <w:shd w:val="clear" w:color="auto" w:fill="FFFFFF"/>
        </w:rPr>
        <w:t>Psychotherapy</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50</w:t>
      </w:r>
      <w:r w:rsidRPr="00B86132">
        <w:rPr>
          <w:rFonts w:cs="Arial"/>
          <w:color w:val="3B3838" w:themeColor="background2" w:themeShade="40"/>
          <w:sz w:val="24"/>
          <w:szCs w:val="24"/>
          <w:shd w:val="clear" w:color="auto" w:fill="FFFFFF"/>
        </w:rPr>
        <w:t xml:space="preserve">(3), p.331. </w:t>
      </w:r>
      <w:hyperlink r:id="rId53" w:tgtFrame="_blank" w:history="1">
        <w:r w:rsidRPr="00B86132">
          <w:rPr>
            <w:rFonts w:cs="Arial"/>
            <w:color w:val="3B3838" w:themeColor="background2" w:themeShade="40"/>
            <w:sz w:val="24"/>
            <w:szCs w:val="24"/>
            <w:u w:val="single"/>
            <w:shd w:val="clear" w:color="auto" w:fill="FFFFFF"/>
          </w:rPr>
          <w:t>https://doi.org/10.1037/a0032677</w:t>
        </w:r>
      </w:hyperlink>
    </w:p>
    <w:p w14:paraId="633620E9" w14:textId="77777777" w:rsidR="00FD1755" w:rsidRPr="00B86132" w:rsidRDefault="00FD1755" w:rsidP="00FE659D">
      <w:pPr>
        <w:rPr>
          <w:rFonts w:cs="Arial"/>
          <w:color w:val="3B3838" w:themeColor="background2" w:themeShade="40"/>
          <w:sz w:val="24"/>
          <w:szCs w:val="24"/>
        </w:rPr>
      </w:pPr>
    </w:p>
    <w:p w14:paraId="2CD25DAC" w14:textId="2E996516"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Lazar, S. et al. (2005) ‘Meditation experience is associated with increased cortical thickness’, Neuroreport, 16(17), p.1893. doi: 10.1097/01.wnr.0000186598.66243.19</w:t>
      </w:r>
    </w:p>
    <w:p w14:paraId="4DC7B9AF" w14:textId="77777777" w:rsidR="00FD1755" w:rsidRPr="00B86132" w:rsidRDefault="00FD1755" w:rsidP="00FE659D">
      <w:pPr>
        <w:rPr>
          <w:rFonts w:cs="Arial"/>
          <w:color w:val="3B3838" w:themeColor="background2" w:themeShade="40"/>
          <w:sz w:val="24"/>
          <w:szCs w:val="24"/>
        </w:rPr>
      </w:pPr>
    </w:p>
    <w:p w14:paraId="1D6056E5" w14:textId="022B4D5D"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LeDoux, J. (2012) ‘A neuroscientist’s perspective on debates about the nature of emotion’, </w:t>
      </w:r>
      <w:r w:rsidRPr="00B86132">
        <w:rPr>
          <w:rFonts w:cs="Arial"/>
          <w:i/>
          <w:iCs/>
          <w:color w:val="3B3838" w:themeColor="background2" w:themeShade="40"/>
          <w:sz w:val="24"/>
          <w:szCs w:val="24"/>
        </w:rPr>
        <w:t>Emotion Review</w:t>
      </w:r>
      <w:r w:rsidRPr="00B86132">
        <w:rPr>
          <w:rFonts w:cs="Arial"/>
          <w:color w:val="3B3838" w:themeColor="background2" w:themeShade="40"/>
          <w:sz w:val="24"/>
          <w:szCs w:val="24"/>
        </w:rPr>
        <w:t>, 4(4), pp.375-379. DOI: 10.1177/1754073912445822</w:t>
      </w:r>
    </w:p>
    <w:p w14:paraId="524393A5" w14:textId="77777777" w:rsidR="00FD1755" w:rsidRPr="00B86132" w:rsidRDefault="00FD1755" w:rsidP="00FE659D">
      <w:pPr>
        <w:rPr>
          <w:rFonts w:cs="Arial"/>
          <w:color w:val="3B3838" w:themeColor="background2" w:themeShade="40"/>
          <w:sz w:val="24"/>
          <w:szCs w:val="24"/>
        </w:rPr>
      </w:pPr>
    </w:p>
    <w:p w14:paraId="13F246A4" w14:textId="0583F6E4"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LeDoux, J. and Pine, D. (2016) ‘Using neuroscience to help understand fear and anxiety: a two-system framework’, </w:t>
      </w:r>
      <w:r w:rsidRPr="00B86132">
        <w:rPr>
          <w:rFonts w:cs="Arial"/>
          <w:i/>
          <w:iCs/>
          <w:color w:val="3B3838" w:themeColor="background2" w:themeShade="40"/>
          <w:sz w:val="24"/>
          <w:szCs w:val="24"/>
        </w:rPr>
        <w:t>American journal of psychiatry</w:t>
      </w:r>
      <w:r w:rsidRPr="00B86132">
        <w:rPr>
          <w:rFonts w:cs="Arial"/>
          <w:color w:val="3B3838" w:themeColor="background2" w:themeShade="40"/>
          <w:sz w:val="24"/>
          <w:szCs w:val="24"/>
        </w:rPr>
        <w:t xml:space="preserve">, 173(11), pp. 1083-1093, </w:t>
      </w:r>
      <w:hyperlink r:id="rId54" w:history="1">
        <w:r w:rsidRPr="00B86132">
          <w:rPr>
            <w:rStyle w:val="Hyperlink"/>
            <w:rFonts w:eastAsiaTheme="majorEastAsia" w:cs="Arial"/>
            <w:color w:val="3B3838" w:themeColor="background2" w:themeShade="40"/>
            <w:sz w:val="24"/>
            <w:szCs w:val="24"/>
          </w:rPr>
          <w:t>https://doi.org/10.1176/appi.ajp.2016.16030353</w:t>
        </w:r>
      </w:hyperlink>
    </w:p>
    <w:p w14:paraId="32A33A0F" w14:textId="77777777" w:rsidR="00FD1755" w:rsidRPr="00B86132" w:rsidRDefault="00FD1755" w:rsidP="00FE659D">
      <w:pPr>
        <w:rPr>
          <w:rStyle w:val="Hyperlink"/>
          <w:rFonts w:eastAsiaTheme="majorEastAsia" w:cs="Arial"/>
          <w:color w:val="3B3838" w:themeColor="background2" w:themeShade="40"/>
          <w:sz w:val="24"/>
          <w:szCs w:val="24"/>
        </w:rPr>
      </w:pPr>
    </w:p>
    <w:p w14:paraId="508CC4F0" w14:textId="3AF711E3" w:rsidR="00FE659D" w:rsidRDefault="00FE659D" w:rsidP="00FE659D">
      <w:pPr>
        <w:rPr>
          <w:rStyle w:val="Hyperlink"/>
          <w:rFonts w:eastAsiaTheme="majorEastAsia"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Leonidaki, V. (2021) Moving beyond a single-model philosophy: Integrating relational therapies in front-line psychological therapy services in England. </w:t>
      </w:r>
      <w:r w:rsidRPr="00B86132">
        <w:rPr>
          <w:rFonts w:cs="Arial"/>
          <w:i/>
          <w:iCs/>
          <w:color w:val="3B3838" w:themeColor="background2" w:themeShade="40"/>
          <w:sz w:val="24"/>
          <w:szCs w:val="24"/>
          <w:shd w:val="clear" w:color="auto" w:fill="FFFFFF"/>
        </w:rPr>
        <w:t>Journal of Psychotherapy Integration, 31</w:t>
      </w:r>
      <w:r w:rsidRPr="00B86132">
        <w:rPr>
          <w:rFonts w:cs="Arial"/>
          <w:color w:val="3B3838" w:themeColor="background2" w:themeShade="40"/>
          <w:sz w:val="24"/>
          <w:szCs w:val="24"/>
          <w:shd w:val="clear" w:color="auto" w:fill="FFFFFF"/>
        </w:rPr>
        <w:t xml:space="preserve">(1), pp. 70–85. </w:t>
      </w:r>
      <w:hyperlink r:id="rId55" w:history="1">
        <w:r w:rsidRPr="00B86132">
          <w:rPr>
            <w:rStyle w:val="Hyperlink"/>
            <w:rFonts w:eastAsiaTheme="majorEastAsia" w:cs="Arial"/>
            <w:color w:val="3B3838" w:themeColor="background2" w:themeShade="40"/>
            <w:sz w:val="24"/>
            <w:szCs w:val="24"/>
            <w:shd w:val="clear" w:color="auto" w:fill="FFFFFF"/>
          </w:rPr>
          <w:t>https://doi.org/10.1037/int0000192</w:t>
        </w:r>
      </w:hyperlink>
    </w:p>
    <w:p w14:paraId="33761366" w14:textId="77777777" w:rsidR="00FD1755" w:rsidRPr="00B86132" w:rsidRDefault="00FD1755" w:rsidP="00FE659D">
      <w:pPr>
        <w:rPr>
          <w:rFonts w:cs="Arial"/>
          <w:color w:val="3B3838" w:themeColor="background2" w:themeShade="40"/>
          <w:sz w:val="24"/>
          <w:szCs w:val="24"/>
        </w:rPr>
      </w:pPr>
    </w:p>
    <w:p w14:paraId="436C1057" w14:textId="53D2F30A"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Levine, P. (2010) </w:t>
      </w:r>
      <w:r w:rsidRPr="00B86132">
        <w:rPr>
          <w:rFonts w:cs="Arial"/>
          <w:i/>
          <w:iCs/>
          <w:color w:val="3B3838" w:themeColor="background2" w:themeShade="40"/>
          <w:sz w:val="24"/>
          <w:szCs w:val="24"/>
        </w:rPr>
        <w:t>In an unspoken voice: How the body releases trauma and restores goodness</w:t>
      </w:r>
      <w:r w:rsidRPr="00B86132">
        <w:rPr>
          <w:rFonts w:cs="Arial"/>
          <w:color w:val="3B3838" w:themeColor="background2" w:themeShade="40"/>
          <w:sz w:val="24"/>
          <w:szCs w:val="24"/>
        </w:rPr>
        <w:t>. California: North Atlantic Books.</w:t>
      </w:r>
    </w:p>
    <w:p w14:paraId="5EC2AF4E" w14:textId="77777777" w:rsidR="00FD1755" w:rsidRPr="00B86132" w:rsidRDefault="00FD1755" w:rsidP="00FE659D">
      <w:pPr>
        <w:rPr>
          <w:rFonts w:cs="Arial"/>
          <w:color w:val="3B3838" w:themeColor="background2" w:themeShade="40"/>
          <w:sz w:val="24"/>
          <w:szCs w:val="24"/>
        </w:rPr>
      </w:pPr>
    </w:p>
    <w:p w14:paraId="23BBBBB0" w14:textId="6DCC3A05"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Levine, P. and Frederick, A. (1997) </w:t>
      </w:r>
      <w:r w:rsidRPr="00B86132">
        <w:rPr>
          <w:rFonts w:cs="Arial"/>
          <w:i/>
          <w:iCs/>
          <w:color w:val="3B3838" w:themeColor="background2" w:themeShade="40"/>
          <w:sz w:val="24"/>
          <w:szCs w:val="24"/>
        </w:rPr>
        <w:t>Waking the tiger: Healing trauma: The innate capacity to transform overwhelming experiences</w:t>
      </w:r>
      <w:r w:rsidRPr="00B86132">
        <w:rPr>
          <w:rFonts w:cs="Arial"/>
          <w:color w:val="3B3838" w:themeColor="background2" w:themeShade="40"/>
          <w:sz w:val="24"/>
          <w:szCs w:val="24"/>
        </w:rPr>
        <w:t>. California: North Atlantic Books.</w:t>
      </w:r>
    </w:p>
    <w:p w14:paraId="4EDAC73A" w14:textId="77777777" w:rsidR="00FD1755" w:rsidRPr="00B86132" w:rsidRDefault="00FD1755" w:rsidP="00FE659D">
      <w:pPr>
        <w:rPr>
          <w:rFonts w:cs="Arial"/>
          <w:color w:val="3B3838" w:themeColor="background2" w:themeShade="40"/>
          <w:sz w:val="24"/>
          <w:szCs w:val="24"/>
        </w:rPr>
      </w:pPr>
    </w:p>
    <w:p w14:paraId="741C1FDB"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Levine, P., Blakeslee, A. and Sylvae, J. (2018) ‘Reintegrating Fragmentation of the Primitive Self: Discussion of "Somatic Experiencing"’, </w:t>
      </w:r>
      <w:r w:rsidRPr="00B86132">
        <w:rPr>
          <w:rFonts w:cs="Arial"/>
          <w:i/>
          <w:iCs/>
          <w:color w:val="3B3838" w:themeColor="background2" w:themeShade="40"/>
          <w:sz w:val="24"/>
          <w:szCs w:val="24"/>
        </w:rPr>
        <w:t>Psychoanalytic dialogues</w:t>
      </w:r>
      <w:r w:rsidRPr="00B86132">
        <w:rPr>
          <w:rFonts w:cs="Arial"/>
          <w:color w:val="3B3838" w:themeColor="background2" w:themeShade="40"/>
          <w:sz w:val="24"/>
          <w:szCs w:val="24"/>
        </w:rPr>
        <w:t>, 28(5), pp.620–628. DOI: 10.1080/10481885.2018.1506216</w:t>
      </w:r>
    </w:p>
    <w:p w14:paraId="75FF1B5A" w14:textId="3DFF8A64"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Lim, B., Hodges, M. and Lilly, M. (2020) ‘The differential effects of insecure attachment on post-traumatic stress: A systematic review of extant findings and explanatory mechanisms’, </w:t>
      </w:r>
      <w:r w:rsidRPr="00B86132">
        <w:rPr>
          <w:rFonts w:cs="Arial"/>
          <w:i/>
          <w:iCs/>
          <w:color w:val="3B3838" w:themeColor="background2" w:themeShade="40"/>
          <w:sz w:val="24"/>
          <w:szCs w:val="24"/>
        </w:rPr>
        <w:t>Trauma, Violence, and Abuse</w:t>
      </w:r>
      <w:r w:rsidRPr="00B86132">
        <w:rPr>
          <w:rFonts w:cs="Arial"/>
          <w:color w:val="3B3838" w:themeColor="background2" w:themeShade="40"/>
          <w:sz w:val="24"/>
          <w:szCs w:val="24"/>
        </w:rPr>
        <w:t xml:space="preserve">, 21(5), pp.1044-1060. </w:t>
      </w:r>
    </w:p>
    <w:p w14:paraId="0F6CF2DA" w14:textId="77777777" w:rsidR="00FD1755" w:rsidRPr="00B86132" w:rsidRDefault="00FD1755" w:rsidP="00FE659D">
      <w:pPr>
        <w:rPr>
          <w:rFonts w:cs="Arial"/>
          <w:color w:val="3B3838" w:themeColor="background2" w:themeShade="40"/>
          <w:sz w:val="24"/>
          <w:szCs w:val="24"/>
        </w:rPr>
      </w:pPr>
    </w:p>
    <w:p w14:paraId="56C94334" w14:textId="3A19EE30"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lastRenderedPageBreak/>
        <w:t>Lloyd, S. and Larivée, A. (2020) ‘Time, trauma, and the brain: How suicide came to have no significant precipitating event’, </w:t>
      </w:r>
      <w:r w:rsidRPr="00B86132">
        <w:rPr>
          <w:rFonts w:cs="Arial"/>
          <w:i/>
          <w:iCs/>
          <w:color w:val="3B3838" w:themeColor="background2" w:themeShade="40"/>
          <w:sz w:val="24"/>
          <w:szCs w:val="24"/>
        </w:rPr>
        <w:t>Science in Context</w:t>
      </w:r>
      <w:r w:rsidRPr="00B86132">
        <w:rPr>
          <w:rFonts w:cs="Arial"/>
          <w:color w:val="3B3838" w:themeColor="background2" w:themeShade="40"/>
          <w:sz w:val="24"/>
          <w:szCs w:val="24"/>
        </w:rPr>
        <w:t>, 33(3), pp. 299-327. DOI:10.1017/S0269889721000065</w:t>
      </w:r>
    </w:p>
    <w:p w14:paraId="0FD3736B" w14:textId="77777777" w:rsidR="00FD1755" w:rsidRPr="00B86132" w:rsidRDefault="00FD1755" w:rsidP="00FE659D">
      <w:pPr>
        <w:rPr>
          <w:rFonts w:cs="Arial"/>
          <w:color w:val="3B3838" w:themeColor="background2" w:themeShade="40"/>
          <w:sz w:val="24"/>
          <w:szCs w:val="24"/>
        </w:rPr>
      </w:pPr>
    </w:p>
    <w:p w14:paraId="0224174F" w14:textId="77777777" w:rsidR="00FE659D" w:rsidRPr="00B86132"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Lohrasbe, R. and Ogden, P. (2017) ‘Somatic Resources: Sensorimotor Psychotherapy Approach to Stabilising Arousal in Child and Family Treatment’, </w:t>
      </w:r>
      <w:r w:rsidRPr="00B86132">
        <w:rPr>
          <w:rFonts w:cs="Arial"/>
          <w:i/>
          <w:iCs/>
          <w:color w:val="3B3838" w:themeColor="background2" w:themeShade="40"/>
          <w:sz w:val="24"/>
          <w:szCs w:val="24"/>
        </w:rPr>
        <w:t>Australian and New Zealand journal of family therapy</w:t>
      </w:r>
      <w:r w:rsidRPr="00B86132">
        <w:rPr>
          <w:rFonts w:cs="Arial"/>
          <w:color w:val="3B3838" w:themeColor="background2" w:themeShade="40"/>
          <w:sz w:val="24"/>
          <w:szCs w:val="24"/>
        </w:rPr>
        <w:t xml:space="preserve">, 38(4), pp.573–581. </w:t>
      </w:r>
      <w:hyperlink r:id="rId56" w:history="1">
        <w:r w:rsidRPr="00B86132">
          <w:rPr>
            <w:rStyle w:val="Hyperlink"/>
            <w:rFonts w:eastAsiaTheme="majorEastAsia" w:cs="Arial"/>
            <w:color w:val="3B3838" w:themeColor="background2" w:themeShade="40"/>
            <w:sz w:val="24"/>
            <w:szCs w:val="24"/>
          </w:rPr>
          <w:t>https://doi-org.ezproxy.uwtsd.ac.uk/10.1002/anzf.1270</w:t>
        </w:r>
      </w:hyperlink>
    </w:p>
    <w:p w14:paraId="3D9ED704" w14:textId="6A766E0B" w:rsidR="00FE659D" w:rsidRDefault="00FE659D" w:rsidP="00FE659D">
      <w:pPr>
        <w:rPr>
          <w:rFonts w:cs="Arial"/>
          <w:color w:val="3B3838" w:themeColor="background2" w:themeShade="40"/>
          <w:sz w:val="24"/>
          <w:szCs w:val="24"/>
          <w:u w:val="single"/>
        </w:rPr>
      </w:pPr>
      <w:r w:rsidRPr="00B86132">
        <w:rPr>
          <w:rFonts w:cs="Arial"/>
          <w:color w:val="3B3838" w:themeColor="background2" w:themeShade="40"/>
          <w:sz w:val="24"/>
          <w:szCs w:val="24"/>
          <w:shd w:val="clear" w:color="auto" w:fill="FFFFFF"/>
        </w:rPr>
        <w:t xml:space="preserve">Lonergan, M. (2014) ‘Cognitive behavioral therapy for PTSD: The role of complex PTSD on treatment outcome’, </w:t>
      </w:r>
      <w:r w:rsidRPr="00B86132">
        <w:rPr>
          <w:rFonts w:cs="Arial"/>
          <w:i/>
          <w:iCs/>
          <w:color w:val="3B3838" w:themeColor="background2" w:themeShade="40"/>
          <w:sz w:val="24"/>
          <w:szCs w:val="24"/>
          <w:shd w:val="clear" w:color="auto" w:fill="FFFFFF"/>
        </w:rPr>
        <w:t>Journal of Aggression, Maltreatment &amp;</w:t>
      </w:r>
      <w:r w:rsidR="00FD1755">
        <w:rPr>
          <w:rFonts w:cs="Arial"/>
          <w:i/>
          <w:iCs/>
          <w:color w:val="3B3838" w:themeColor="background2" w:themeShade="40"/>
          <w:sz w:val="24"/>
          <w:szCs w:val="24"/>
          <w:shd w:val="clear" w:color="auto" w:fill="FFFFFF"/>
        </w:rPr>
        <w:t xml:space="preserve"> </w:t>
      </w:r>
      <w:r w:rsidRPr="00B86132">
        <w:rPr>
          <w:rFonts w:cs="Arial"/>
          <w:i/>
          <w:iCs/>
          <w:color w:val="3B3838" w:themeColor="background2" w:themeShade="40"/>
          <w:sz w:val="24"/>
          <w:szCs w:val="24"/>
          <w:shd w:val="clear" w:color="auto" w:fill="FFFFFF"/>
        </w:rPr>
        <w:t>Trauma</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23</w:t>
      </w:r>
      <w:r w:rsidRPr="00B86132">
        <w:rPr>
          <w:rFonts w:cs="Arial"/>
          <w:color w:val="3B3838" w:themeColor="background2" w:themeShade="40"/>
          <w:sz w:val="24"/>
          <w:szCs w:val="24"/>
          <w:shd w:val="clear" w:color="auto" w:fill="FFFFFF"/>
        </w:rPr>
        <w:t xml:space="preserve">(5), pp.494-512. </w:t>
      </w:r>
      <w:hyperlink r:id="rId57" w:history="1">
        <w:r w:rsidRPr="00B86132">
          <w:rPr>
            <w:rFonts w:cs="Arial"/>
            <w:color w:val="3B3838" w:themeColor="background2" w:themeShade="40"/>
            <w:sz w:val="24"/>
            <w:szCs w:val="24"/>
            <w:u w:val="single"/>
          </w:rPr>
          <w:t>https://doi.org/10.1080/10926771.2014.904467</w:t>
        </w:r>
      </w:hyperlink>
    </w:p>
    <w:p w14:paraId="5C687B9A" w14:textId="77777777" w:rsidR="00FD1755" w:rsidRPr="00B86132" w:rsidRDefault="00FD1755" w:rsidP="00FE659D">
      <w:pPr>
        <w:rPr>
          <w:rFonts w:cs="Arial"/>
          <w:color w:val="3B3838" w:themeColor="background2" w:themeShade="40"/>
          <w:sz w:val="24"/>
          <w:szCs w:val="24"/>
        </w:rPr>
      </w:pPr>
    </w:p>
    <w:p w14:paraId="11AB7978" w14:textId="2F5ABA75"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Lyssenko, L. et al. (2018) ‘Dissociation in psychiatric disorders: a meta-analysis of studies using the dissociative experiences scale’, </w:t>
      </w:r>
      <w:r w:rsidRPr="00B86132">
        <w:rPr>
          <w:rFonts w:cs="Arial"/>
          <w:i/>
          <w:iCs/>
          <w:color w:val="3B3838" w:themeColor="background2" w:themeShade="40"/>
          <w:sz w:val="24"/>
          <w:szCs w:val="24"/>
        </w:rPr>
        <w:t>American Journal of Psychiatry</w:t>
      </w:r>
      <w:r w:rsidRPr="00B86132">
        <w:rPr>
          <w:rFonts w:cs="Arial"/>
          <w:color w:val="3B3838" w:themeColor="background2" w:themeShade="40"/>
          <w:sz w:val="24"/>
          <w:szCs w:val="24"/>
        </w:rPr>
        <w:t xml:space="preserve">, 175(1), pp.37-46. </w:t>
      </w:r>
      <w:hyperlink r:id="rId58" w:history="1">
        <w:r w:rsidRPr="00B86132">
          <w:rPr>
            <w:rStyle w:val="Hyperlink"/>
            <w:rFonts w:eastAsiaTheme="majorEastAsia" w:cs="Arial"/>
            <w:color w:val="3B3838" w:themeColor="background2" w:themeShade="40"/>
            <w:sz w:val="24"/>
            <w:szCs w:val="24"/>
          </w:rPr>
          <w:t>https://doi.org/10.1176/appi.ajp.2017.17010025</w:t>
        </w:r>
      </w:hyperlink>
    </w:p>
    <w:p w14:paraId="46AFE97A" w14:textId="77777777" w:rsidR="00FD1755" w:rsidRPr="00B86132" w:rsidRDefault="00FD1755" w:rsidP="00FE659D">
      <w:pPr>
        <w:rPr>
          <w:rFonts w:cs="Arial"/>
          <w:color w:val="3B3838" w:themeColor="background2" w:themeShade="40"/>
          <w:sz w:val="24"/>
          <w:szCs w:val="24"/>
        </w:rPr>
      </w:pPr>
    </w:p>
    <w:p w14:paraId="7A5F9FDF" w14:textId="659CD864"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Lynn, S. et al. (2019) ‘Dissociation and its disorders: Competing models, future directions, and a way forward’, </w:t>
      </w:r>
      <w:r w:rsidRPr="00B86132">
        <w:rPr>
          <w:rFonts w:cs="Arial"/>
          <w:i/>
          <w:iCs/>
          <w:color w:val="3B3838" w:themeColor="background2" w:themeShade="40"/>
          <w:sz w:val="24"/>
          <w:szCs w:val="24"/>
        </w:rPr>
        <w:t>Clinical psychology review</w:t>
      </w:r>
      <w:r w:rsidRPr="00B86132">
        <w:rPr>
          <w:rFonts w:cs="Arial"/>
          <w:color w:val="3B3838" w:themeColor="background2" w:themeShade="40"/>
          <w:sz w:val="24"/>
          <w:szCs w:val="24"/>
        </w:rPr>
        <w:t xml:space="preserve">, 73, p.101755. </w:t>
      </w:r>
      <w:hyperlink r:id="rId59" w:tgtFrame="_blank" w:tooltip="Persistent link using digital object identifier" w:history="1">
        <w:r w:rsidRPr="00B86132">
          <w:rPr>
            <w:rStyle w:val="Hyperlink"/>
            <w:rFonts w:eastAsiaTheme="majorEastAsia" w:cs="Arial"/>
            <w:color w:val="3B3838" w:themeColor="background2" w:themeShade="40"/>
            <w:sz w:val="24"/>
            <w:szCs w:val="24"/>
          </w:rPr>
          <w:t>https://doi.org/10.1016/j.cpr.2019.101755</w:t>
        </w:r>
      </w:hyperlink>
    </w:p>
    <w:p w14:paraId="4D2663D2" w14:textId="77777777" w:rsidR="00FD1755" w:rsidRPr="00B86132" w:rsidRDefault="00FD1755" w:rsidP="00FE659D">
      <w:pPr>
        <w:rPr>
          <w:rFonts w:cs="Arial"/>
          <w:color w:val="3B3838" w:themeColor="background2" w:themeShade="40"/>
          <w:sz w:val="24"/>
          <w:szCs w:val="24"/>
        </w:rPr>
      </w:pPr>
    </w:p>
    <w:p w14:paraId="41851F74" w14:textId="54D053E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Ma, E. and Li, F. (2014) ‘Developmental trauma and its correlates: A study of Chinese children with repeated familial physical and sexual abuse in Hong Kong’, </w:t>
      </w:r>
      <w:r w:rsidRPr="00B86132">
        <w:rPr>
          <w:rFonts w:cs="Arial"/>
          <w:i/>
          <w:iCs/>
          <w:color w:val="3B3838" w:themeColor="background2" w:themeShade="40"/>
          <w:sz w:val="24"/>
          <w:szCs w:val="24"/>
        </w:rPr>
        <w:t>Journal of traumatic stress</w:t>
      </w:r>
      <w:r w:rsidRPr="00B86132">
        <w:rPr>
          <w:rFonts w:cs="Arial"/>
          <w:color w:val="3B3838" w:themeColor="background2" w:themeShade="40"/>
          <w:sz w:val="24"/>
          <w:szCs w:val="24"/>
        </w:rPr>
        <w:t>, 27(4), pp.454-460. DOI: 10.1002/jts.21944</w:t>
      </w:r>
    </w:p>
    <w:p w14:paraId="57303609" w14:textId="77777777" w:rsidR="00FD1755" w:rsidRPr="00B86132" w:rsidRDefault="00FD1755" w:rsidP="00FE659D">
      <w:pPr>
        <w:rPr>
          <w:rFonts w:cs="Arial"/>
          <w:color w:val="3B3838" w:themeColor="background2" w:themeShade="40"/>
          <w:sz w:val="24"/>
          <w:szCs w:val="24"/>
        </w:rPr>
      </w:pPr>
    </w:p>
    <w:p w14:paraId="2B147F48"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Mackewn, J. (1997) </w:t>
      </w:r>
      <w:r w:rsidRPr="00B86132">
        <w:rPr>
          <w:rFonts w:cs="Arial"/>
          <w:i/>
          <w:iCs/>
          <w:color w:val="3B3838" w:themeColor="background2" w:themeShade="40"/>
          <w:sz w:val="24"/>
          <w:szCs w:val="24"/>
        </w:rPr>
        <w:t>Developing gestalt counselling</w:t>
      </w:r>
      <w:r w:rsidRPr="00B86132">
        <w:rPr>
          <w:rFonts w:cs="Arial"/>
          <w:color w:val="3B3838" w:themeColor="background2" w:themeShade="40"/>
          <w:sz w:val="24"/>
          <w:szCs w:val="24"/>
        </w:rPr>
        <w:t> (Vol. 8). London: Sage.</w:t>
      </w:r>
    </w:p>
    <w:p w14:paraId="4C63B456" w14:textId="6F95E509"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McFerran, K. et al. (2020) ‘Music, Rhythm and Trauma: A Critical Interpretive Synthesis of Research Literature’, </w:t>
      </w:r>
      <w:r w:rsidRPr="00B86132">
        <w:rPr>
          <w:rFonts w:cs="Arial"/>
          <w:i/>
          <w:iCs/>
          <w:color w:val="3B3838" w:themeColor="background2" w:themeShade="40"/>
          <w:sz w:val="24"/>
          <w:szCs w:val="24"/>
        </w:rPr>
        <w:t>Frontiers in Psychology</w:t>
      </w:r>
      <w:r w:rsidRPr="00B86132">
        <w:rPr>
          <w:rFonts w:cs="Arial"/>
          <w:color w:val="3B3838" w:themeColor="background2" w:themeShade="40"/>
          <w:sz w:val="24"/>
          <w:szCs w:val="24"/>
        </w:rPr>
        <w:t>, 11, p.324.  </w:t>
      </w:r>
      <w:hyperlink r:id="rId60" w:history="1">
        <w:r w:rsidRPr="00B86132">
          <w:rPr>
            <w:rStyle w:val="Hyperlink"/>
            <w:rFonts w:eastAsiaTheme="majorEastAsia" w:cs="Arial"/>
            <w:color w:val="3B3838" w:themeColor="background2" w:themeShade="40"/>
            <w:sz w:val="24"/>
            <w:szCs w:val="24"/>
          </w:rPr>
          <w:t>https://doi.org/10.3389/fpsyg.2020.00324</w:t>
        </w:r>
      </w:hyperlink>
    </w:p>
    <w:p w14:paraId="64808E71" w14:textId="77777777" w:rsidR="00FD1755" w:rsidRPr="00B86132" w:rsidRDefault="00FD1755" w:rsidP="00FE659D">
      <w:pPr>
        <w:rPr>
          <w:rFonts w:cs="Arial"/>
          <w:color w:val="3B3838" w:themeColor="background2" w:themeShade="40"/>
          <w:sz w:val="24"/>
          <w:szCs w:val="24"/>
        </w:rPr>
      </w:pPr>
    </w:p>
    <w:p w14:paraId="280A3683" w14:textId="32E56EC7"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McNally, R. (2005a) ‘Debunking Myths About Trauma and Memory’, </w:t>
      </w:r>
      <w:r w:rsidRPr="00B86132">
        <w:rPr>
          <w:rFonts w:cs="Arial"/>
          <w:i/>
          <w:iCs/>
          <w:color w:val="3B3838" w:themeColor="background2" w:themeShade="40"/>
          <w:sz w:val="24"/>
          <w:szCs w:val="24"/>
        </w:rPr>
        <w:t>Canadian Journal of Psychiatry</w:t>
      </w:r>
      <w:r w:rsidRPr="00B86132">
        <w:rPr>
          <w:rFonts w:cs="Arial"/>
          <w:color w:val="3B3838" w:themeColor="background2" w:themeShade="40"/>
          <w:sz w:val="24"/>
          <w:szCs w:val="24"/>
        </w:rPr>
        <w:t xml:space="preserve">, 50(13), pp. 817-22. Available at: </w:t>
      </w:r>
      <w:hyperlink r:id="rId61" w:history="1">
        <w:r w:rsidRPr="00B86132">
          <w:rPr>
            <w:rStyle w:val="Hyperlink"/>
            <w:rFonts w:eastAsiaTheme="majorEastAsia" w:cs="Arial"/>
            <w:color w:val="3B3838" w:themeColor="background2" w:themeShade="40"/>
            <w:sz w:val="24"/>
            <w:szCs w:val="24"/>
          </w:rPr>
          <w:t>https://www-proquest-com.ezproxy.uwtsd.ac.uk/docview/222850490?accountid=130472&amp;pq-origsite=primo</w:t>
        </w:r>
      </w:hyperlink>
      <w:r w:rsidRPr="00B86132">
        <w:rPr>
          <w:rFonts w:cs="Arial"/>
          <w:color w:val="3B3838" w:themeColor="background2" w:themeShade="40"/>
          <w:sz w:val="24"/>
          <w:szCs w:val="24"/>
        </w:rPr>
        <w:t xml:space="preserve"> (Accessed: 03 September 2021).</w:t>
      </w:r>
    </w:p>
    <w:p w14:paraId="26D78716" w14:textId="77777777" w:rsidR="00FD1755" w:rsidRPr="00B86132" w:rsidRDefault="00FD1755" w:rsidP="00FE659D">
      <w:pPr>
        <w:rPr>
          <w:rFonts w:cs="Arial"/>
          <w:color w:val="3B3838" w:themeColor="background2" w:themeShade="40"/>
          <w:sz w:val="24"/>
          <w:szCs w:val="24"/>
        </w:rPr>
      </w:pPr>
    </w:p>
    <w:p w14:paraId="2ADA0F51" w14:textId="77777777" w:rsidR="00FE659D" w:rsidRPr="00B86132"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McNally, R. (2005b) </w:t>
      </w:r>
      <w:r w:rsidRPr="00B86132">
        <w:rPr>
          <w:rFonts w:cs="Arial"/>
          <w:i/>
          <w:iCs/>
          <w:color w:val="3B3838" w:themeColor="background2" w:themeShade="40"/>
          <w:sz w:val="24"/>
          <w:szCs w:val="24"/>
          <w:shd w:val="clear" w:color="auto" w:fill="FFFFFF"/>
        </w:rPr>
        <w:t>Remembering trauma</w:t>
      </w:r>
      <w:r w:rsidRPr="00B86132">
        <w:rPr>
          <w:rFonts w:cs="Arial"/>
          <w:color w:val="3B3838" w:themeColor="background2" w:themeShade="40"/>
          <w:sz w:val="24"/>
          <w:szCs w:val="24"/>
          <w:shd w:val="clear" w:color="auto" w:fill="FFFFFF"/>
        </w:rPr>
        <w:t>. Harvard University Press.</w:t>
      </w:r>
    </w:p>
    <w:p w14:paraId="0A8A5418" w14:textId="356612B6"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 xml:space="preserve">McNally, R. (2009) ‘Can we fix PTSD in DSM-V?’, </w:t>
      </w:r>
      <w:r w:rsidRPr="00B86132">
        <w:rPr>
          <w:rFonts w:cs="Arial"/>
          <w:i/>
          <w:iCs/>
          <w:color w:val="3B3838" w:themeColor="background2" w:themeShade="40"/>
          <w:sz w:val="24"/>
          <w:szCs w:val="24"/>
          <w:shd w:val="clear" w:color="auto" w:fill="FFFFFF"/>
        </w:rPr>
        <w:t>Depression and anxiety</w:t>
      </w:r>
      <w:r w:rsidRPr="00B86132">
        <w:rPr>
          <w:rFonts w:cs="Arial"/>
          <w:color w:val="3B3838" w:themeColor="background2" w:themeShade="40"/>
          <w:sz w:val="24"/>
          <w:szCs w:val="24"/>
          <w:shd w:val="clear" w:color="auto" w:fill="FFFFFF"/>
        </w:rPr>
        <w:t xml:space="preserve">, 26, 597-600. Available at: </w:t>
      </w:r>
      <w:hyperlink r:id="rId62" w:history="1">
        <w:r w:rsidRPr="00B86132">
          <w:rPr>
            <w:rStyle w:val="Hyperlink"/>
            <w:rFonts w:eastAsiaTheme="majorEastAsia" w:cs="Arial"/>
            <w:color w:val="3B3838" w:themeColor="background2" w:themeShade="40"/>
            <w:sz w:val="24"/>
            <w:szCs w:val="24"/>
            <w:shd w:val="clear" w:color="auto" w:fill="FFFFFF"/>
          </w:rPr>
          <w:t>https://onlinelibrary.wiley.com/doi/10.1002/da.20586</w:t>
        </w:r>
      </w:hyperlink>
      <w:r w:rsidRPr="00B86132">
        <w:rPr>
          <w:rFonts w:cs="Arial"/>
          <w:color w:val="3B3838" w:themeColor="background2" w:themeShade="40"/>
          <w:sz w:val="24"/>
          <w:szCs w:val="24"/>
          <w:shd w:val="clear" w:color="auto" w:fill="FFFFFF"/>
        </w:rPr>
        <w:t xml:space="preserve"> (Accessed: 06 December 2021). </w:t>
      </w:r>
    </w:p>
    <w:p w14:paraId="27E8A10B" w14:textId="77777777" w:rsidR="00FD1755" w:rsidRPr="00B86132" w:rsidRDefault="00FD1755" w:rsidP="00FE659D">
      <w:pPr>
        <w:rPr>
          <w:rFonts w:cs="Arial"/>
          <w:color w:val="3B3838" w:themeColor="background2" w:themeShade="40"/>
          <w:sz w:val="24"/>
          <w:szCs w:val="24"/>
        </w:rPr>
      </w:pPr>
    </w:p>
    <w:p w14:paraId="77C8E300" w14:textId="2276DD11"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McRae, K. et al. (2011) ‘Bottom-up and top-down emotion generation: implications for emotion regulation’, </w:t>
      </w:r>
      <w:r w:rsidRPr="00B86132">
        <w:rPr>
          <w:rFonts w:cs="Arial"/>
          <w:i/>
          <w:iCs/>
          <w:color w:val="3B3838" w:themeColor="background2" w:themeShade="40"/>
          <w:sz w:val="24"/>
          <w:szCs w:val="24"/>
        </w:rPr>
        <w:t>Social cognitive and affective neuroscience</w:t>
      </w:r>
      <w:r w:rsidRPr="00B86132">
        <w:rPr>
          <w:rFonts w:cs="Arial"/>
          <w:color w:val="3B3838" w:themeColor="background2" w:themeShade="40"/>
          <w:sz w:val="24"/>
          <w:szCs w:val="24"/>
        </w:rPr>
        <w:t>, 7(3), pp.253-262. doi:10.1093/scan/nsq103</w:t>
      </w:r>
    </w:p>
    <w:p w14:paraId="450BA640" w14:textId="77777777" w:rsidR="00FD1755" w:rsidRPr="00B86132" w:rsidRDefault="00FD1755" w:rsidP="00FE659D">
      <w:pPr>
        <w:rPr>
          <w:rFonts w:cs="Arial"/>
          <w:color w:val="3B3838" w:themeColor="background2" w:themeShade="40"/>
          <w:sz w:val="24"/>
          <w:szCs w:val="24"/>
        </w:rPr>
      </w:pPr>
    </w:p>
    <w:p w14:paraId="70B95F5F" w14:textId="6AF5AD41"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Mahoney, A., Karatzias, T., Hutton, P. (2019) ‘A systematic review and meta-analysis of group treatments for adults with symptoms associated with complex post-traumatic stress disorder’, </w:t>
      </w:r>
      <w:r w:rsidRPr="00B86132">
        <w:rPr>
          <w:rFonts w:cs="Arial"/>
          <w:i/>
          <w:iCs/>
          <w:color w:val="3B3838" w:themeColor="background2" w:themeShade="40"/>
          <w:sz w:val="24"/>
          <w:szCs w:val="24"/>
        </w:rPr>
        <w:t>Journal of Affective Disorders</w:t>
      </w:r>
      <w:r w:rsidRPr="00B86132">
        <w:rPr>
          <w:rFonts w:cs="Arial"/>
          <w:color w:val="3B3838" w:themeColor="background2" w:themeShade="40"/>
          <w:sz w:val="24"/>
          <w:szCs w:val="24"/>
        </w:rPr>
        <w:t xml:space="preserve">, Volume 243, Pages 305-321, </w:t>
      </w:r>
      <w:hyperlink r:id="rId63" w:history="1">
        <w:r w:rsidRPr="00B86132">
          <w:rPr>
            <w:rStyle w:val="Hyperlink"/>
            <w:rFonts w:eastAsiaTheme="majorEastAsia" w:cs="Arial"/>
            <w:color w:val="3B3838" w:themeColor="background2" w:themeShade="40"/>
            <w:sz w:val="24"/>
            <w:szCs w:val="24"/>
          </w:rPr>
          <w:t>https://doi.org/10.1016/j.jad.2018.09.059</w:t>
        </w:r>
      </w:hyperlink>
      <w:r w:rsidRPr="00B86132">
        <w:rPr>
          <w:rFonts w:cs="Arial"/>
          <w:color w:val="3B3838" w:themeColor="background2" w:themeShade="40"/>
          <w:sz w:val="24"/>
          <w:szCs w:val="24"/>
        </w:rPr>
        <w:t>.</w:t>
      </w:r>
    </w:p>
    <w:p w14:paraId="6E0485CE" w14:textId="77777777" w:rsidR="00FD1755" w:rsidRPr="00B86132" w:rsidRDefault="00FD1755" w:rsidP="00FE659D">
      <w:pPr>
        <w:rPr>
          <w:rFonts w:cs="Arial"/>
          <w:color w:val="3B3838" w:themeColor="background2" w:themeShade="40"/>
          <w:sz w:val="24"/>
          <w:szCs w:val="24"/>
        </w:rPr>
      </w:pPr>
    </w:p>
    <w:p w14:paraId="128CC0C4"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shd w:val="clear" w:color="auto" w:fill="FFFFFF"/>
        </w:rPr>
        <w:t>Malchiodi, C. (2020) </w:t>
      </w:r>
      <w:r w:rsidRPr="00B86132">
        <w:rPr>
          <w:rFonts w:cs="Arial"/>
          <w:i/>
          <w:iCs/>
          <w:color w:val="3B3838" w:themeColor="background2" w:themeShade="40"/>
          <w:sz w:val="24"/>
          <w:szCs w:val="24"/>
          <w:shd w:val="clear" w:color="auto" w:fill="FFFFFF"/>
        </w:rPr>
        <w:t>Trauma and expressive arts therapy: Brain, body, and imagination in the healing process</w:t>
      </w:r>
      <w:r w:rsidRPr="00B86132">
        <w:rPr>
          <w:rFonts w:cs="Arial"/>
          <w:color w:val="3B3838" w:themeColor="background2" w:themeShade="40"/>
          <w:sz w:val="24"/>
          <w:szCs w:val="24"/>
          <w:shd w:val="clear" w:color="auto" w:fill="FFFFFF"/>
        </w:rPr>
        <w:t>. New York: Guilford Publications.</w:t>
      </w:r>
    </w:p>
    <w:p w14:paraId="3CCBDF6B" w14:textId="3E8E1EF4"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lastRenderedPageBreak/>
        <w:t xml:space="preserve">Malchiodi, C. (2021) </w:t>
      </w:r>
      <w:hyperlink r:id="rId64" w:history="1">
        <w:r w:rsidRPr="00B86132">
          <w:rPr>
            <w:rStyle w:val="Hyperlink"/>
            <w:rFonts w:eastAsiaTheme="majorEastAsia" w:cs="Arial"/>
            <w:color w:val="3B3838" w:themeColor="background2" w:themeShade="40"/>
            <w:sz w:val="24"/>
            <w:szCs w:val="24"/>
          </w:rPr>
          <w:t>www.pscyhologytoday.com</w:t>
        </w:r>
      </w:hyperlink>
      <w:r w:rsidRPr="00B86132">
        <w:rPr>
          <w:rFonts w:cs="Arial"/>
          <w:color w:val="3B3838" w:themeColor="background2" w:themeShade="40"/>
          <w:sz w:val="24"/>
          <w:szCs w:val="24"/>
        </w:rPr>
        <w:t xml:space="preserve"> [Online] Available at: </w:t>
      </w:r>
      <w:hyperlink r:id="rId65" w:history="1">
        <w:r w:rsidRPr="00B86132">
          <w:rPr>
            <w:rStyle w:val="Hyperlink"/>
            <w:rFonts w:eastAsiaTheme="majorEastAsia" w:cs="Arial"/>
            <w:color w:val="3B3838" w:themeColor="background2" w:themeShade="40"/>
            <w:sz w:val="24"/>
            <w:szCs w:val="24"/>
          </w:rPr>
          <w:t>https://www.psychologytoday.com/intl/blog/arts-and-health/202109/traumatic-stress-and-the-circle-capacity</w:t>
        </w:r>
      </w:hyperlink>
      <w:r w:rsidRPr="00B86132">
        <w:rPr>
          <w:rFonts w:cs="Arial"/>
          <w:color w:val="3B3838" w:themeColor="background2" w:themeShade="40"/>
          <w:sz w:val="24"/>
          <w:szCs w:val="24"/>
        </w:rPr>
        <w:t xml:space="preserve"> (Accessed: 23 September 2021). </w:t>
      </w:r>
    </w:p>
    <w:p w14:paraId="6D465EDD" w14:textId="77777777" w:rsidR="00FD1755" w:rsidRPr="00B86132" w:rsidRDefault="00FD1755" w:rsidP="00FE659D">
      <w:pPr>
        <w:rPr>
          <w:rFonts w:cs="Arial"/>
          <w:color w:val="3B3838" w:themeColor="background2" w:themeShade="40"/>
          <w:sz w:val="24"/>
          <w:szCs w:val="24"/>
        </w:rPr>
      </w:pPr>
    </w:p>
    <w:p w14:paraId="7446D8E5" w14:textId="3FB23786"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Marsh, T. et al. (2018) ‘The Sweat Lodge Ceremony: A Healing Intervention for Intergenerational Trauma and Substance Use’, International indigenous policy journal, 9(2). doi:10.18584/iipj.2018.9.2.2.</w:t>
      </w:r>
    </w:p>
    <w:p w14:paraId="3308F79B" w14:textId="77777777" w:rsidR="00FD1755" w:rsidRPr="00B86132" w:rsidRDefault="00FD1755" w:rsidP="00FE659D">
      <w:pPr>
        <w:rPr>
          <w:rFonts w:cs="Arial"/>
          <w:color w:val="3B3838" w:themeColor="background2" w:themeShade="40"/>
          <w:sz w:val="24"/>
          <w:szCs w:val="24"/>
        </w:rPr>
      </w:pPr>
    </w:p>
    <w:p w14:paraId="5CFBBEE7" w14:textId="7A0FCCAC"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Mate, G. (2005) ‘The science of psychoneuroimmunology’ [Response to review article: When The Body Says No. The Cost of Hidden Stress, 2005; 51:248], </w:t>
      </w:r>
      <w:r w:rsidRPr="00B86132">
        <w:rPr>
          <w:rFonts w:cs="Arial"/>
          <w:i/>
          <w:iCs/>
          <w:color w:val="3B3838" w:themeColor="background2" w:themeShade="40"/>
          <w:sz w:val="24"/>
          <w:szCs w:val="24"/>
        </w:rPr>
        <w:t>Canadian family physician</w:t>
      </w:r>
      <w:r w:rsidRPr="00B86132">
        <w:rPr>
          <w:rFonts w:cs="Arial"/>
          <w:color w:val="3B3838" w:themeColor="background2" w:themeShade="40"/>
          <w:sz w:val="24"/>
          <w:szCs w:val="24"/>
        </w:rPr>
        <w:t xml:space="preserve">, 51, p.489. </w:t>
      </w:r>
    </w:p>
    <w:p w14:paraId="4B2BDABE" w14:textId="77777777" w:rsidR="00FD1755" w:rsidRPr="00B86132" w:rsidRDefault="00FD1755" w:rsidP="00FE659D">
      <w:pPr>
        <w:rPr>
          <w:rFonts w:cs="Arial"/>
          <w:color w:val="3B3838" w:themeColor="background2" w:themeShade="40"/>
          <w:sz w:val="24"/>
          <w:szCs w:val="24"/>
        </w:rPr>
      </w:pPr>
    </w:p>
    <w:p w14:paraId="40D78B8B" w14:textId="6C739964"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Matthews, C. (2003) </w:t>
      </w:r>
      <w:r w:rsidRPr="00B86132">
        <w:rPr>
          <w:rFonts w:cs="Arial"/>
          <w:i/>
          <w:iCs/>
          <w:color w:val="3B3838" w:themeColor="background2" w:themeShade="40"/>
          <w:sz w:val="24"/>
          <w:szCs w:val="24"/>
          <w:shd w:val="clear" w:color="auto" w:fill="FFFFFF"/>
        </w:rPr>
        <w:t>Singing the soul back home: Shamanism in daily life</w:t>
      </w:r>
      <w:r w:rsidRPr="00B86132">
        <w:rPr>
          <w:rFonts w:cs="Arial"/>
          <w:color w:val="3B3838" w:themeColor="background2" w:themeShade="40"/>
          <w:sz w:val="24"/>
          <w:szCs w:val="24"/>
          <w:shd w:val="clear" w:color="auto" w:fill="FFFFFF"/>
        </w:rPr>
        <w:t>. Red Wheel Weiser.</w:t>
      </w:r>
    </w:p>
    <w:p w14:paraId="29D08086" w14:textId="77777777" w:rsidR="00FD1755" w:rsidRPr="00B86132" w:rsidRDefault="00FD1755" w:rsidP="00FE659D">
      <w:pPr>
        <w:rPr>
          <w:rFonts w:cs="Arial"/>
          <w:color w:val="3B3838" w:themeColor="background2" w:themeShade="40"/>
          <w:sz w:val="24"/>
          <w:szCs w:val="24"/>
          <w:shd w:val="clear" w:color="auto" w:fill="FFFFFF"/>
        </w:rPr>
      </w:pPr>
    </w:p>
    <w:p w14:paraId="2811355B" w14:textId="0289DDF9"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Mawere, M. (2014) </w:t>
      </w:r>
      <w:r w:rsidRPr="00B86132">
        <w:rPr>
          <w:rFonts w:cs="Arial"/>
          <w:i/>
          <w:iCs/>
          <w:color w:val="3B3838" w:themeColor="background2" w:themeShade="40"/>
          <w:sz w:val="24"/>
          <w:szCs w:val="24"/>
        </w:rPr>
        <w:t>Culture, Indigenous Knowledge and Development in Africa: Reviving Interconnections for Sustainable Development</w:t>
      </w:r>
      <w:r w:rsidRPr="00B86132">
        <w:rPr>
          <w:rFonts w:cs="Arial"/>
          <w:color w:val="3B3838" w:themeColor="background2" w:themeShade="40"/>
          <w:sz w:val="24"/>
          <w:szCs w:val="24"/>
        </w:rPr>
        <w:t>. Cameroon: Langaa RPCIG.</w:t>
      </w:r>
    </w:p>
    <w:p w14:paraId="7E153C25" w14:textId="77777777" w:rsidR="00FD1755" w:rsidRPr="00FD1755" w:rsidRDefault="00FD1755" w:rsidP="00FE659D">
      <w:pPr>
        <w:rPr>
          <w:rFonts w:cs="Arial"/>
          <w:i/>
          <w:iCs/>
          <w:color w:val="3B3838" w:themeColor="background2" w:themeShade="40"/>
          <w:sz w:val="24"/>
          <w:szCs w:val="24"/>
        </w:rPr>
      </w:pPr>
    </w:p>
    <w:p w14:paraId="3738A014" w14:textId="70442E29"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Mawere, M. et al. (2016) Chapter Three Maslow’s Theory of Human Motivation and its Deep Roots in Individualism: Interrogating Maslow’s Applicability in Africa. </w:t>
      </w:r>
      <w:r w:rsidRPr="00B86132">
        <w:rPr>
          <w:rFonts w:cs="Arial"/>
          <w:i/>
          <w:iCs/>
          <w:color w:val="3B3838" w:themeColor="background2" w:themeShade="40"/>
          <w:sz w:val="24"/>
          <w:szCs w:val="24"/>
          <w:shd w:val="clear" w:color="auto" w:fill="FFFFFF"/>
        </w:rPr>
        <w:t>Theory, knowledge, development and politics: What role for the academy in the sustainability of Africa</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55</w:t>
      </w:r>
      <w:r w:rsidRPr="00B86132">
        <w:rPr>
          <w:rFonts w:cs="Arial"/>
          <w:color w:val="3B3838" w:themeColor="background2" w:themeShade="40"/>
          <w:sz w:val="24"/>
          <w:szCs w:val="24"/>
          <w:shd w:val="clear" w:color="auto" w:fill="FFFFFF"/>
        </w:rPr>
        <w:t>.</w:t>
      </w:r>
    </w:p>
    <w:p w14:paraId="02ABBF87" w14:textId="77777777" w:rsidR="005A7DEE" w:rsidRPr="00B86132" w:rsidRDefault="005A7DEE" w:rsidP="00FE659D">
      <w:pPr>
        <w:rPr>
          <w:rFonts w:cs="Arial"/>
          <w:color w:val="3B3838" w:themeColor="background2" w:themeShade="40"/>
          <w:sz w:val="24"/>
          <w:szCs w:val="24"/>
          <w:shd w:val="clear" w:color="auto" w:fill="FFFFFF"/>
        </w:rPr>
      </w:pPr>
    </w:p>
    <w:p w14:paraId="1261E5B4" w14:textId="11DF4F6D"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Mengel E. (2012) (pp. 143-176) Trauma and Genre in the Contemporary South African Novel in Mengel, E. and Borzaga, M. eds., 2012. </w:t>
      </w:r>
      <w:r w:rsidRPr="00B86132">
        <w:rPr>
          <w:rFonts w:cs="Arial"/>
          <w:i/>
          <w:iCs/>
          <w:color w:val="3B3838" w:themeColor="background2" w:themeShade="40"/>
          <w:sz w:val="24"/>
          <w:szCs w:val="24"/>
          <w:shd w:val="clear" w:color="auto" w:fill="FFFFFF"/>
        </w:rPr>
        <w:t>Trauma, memory, and narrative in the contemporary South African novel: essays</w:t>
      </w:r>
      <w:r w:rsidRPr="00B86132">
        <w:rPr>
          <w:rFonts w:cs="Arial"/>
          <w:color w:val="3B3838" w:themeColor="background2" w:themeShade="40"/>
          <w:sz w:val="24"/>
          <w:szCs w:val="24"/>
          <w:shd w:val="clear" w:color="auto" w:fill="FFFFFF"/>
        </w:rPr>
        <w:t> (Vol. 153). New York: Rodopi.</w:t>
      </w:r>
    </w:p>
    <w:p w14:paraId="3EF6B09D" w14:textId="77777777" w:rsidR="005A7DEE" w:rsidRPr="00B86132" w:rsidRDefault="005A7DEE" w:rsidP="00FE659D">
      <w:pPr>
        <w:rPr>
          <w:rFonts w:cs="Arial"/>
          <w:color w:val="3B3838" w:themeColor="background2" w:themeShade="40"/>
          <w:sz w:val="24"/>
          <w:szCs w:val="24"/>
        </w:rPr>
      </w:pPr>
    </w:p>
    <w:p w14:paraId="50B5D3FA" w14:textId="18E2415E"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Miller-Karas, E. (2015) </w:t>
      </w:r>
      <w:r w:rsidRPr="00B86132">
        <w:rPr>
          <w:rFonts w:cs="Arial"/>
          <w:i/>
          <w:iCs/>
          <w:color w:val="3B3838" w:themeColor="background2" w:themeShade="40"/>
          <w:sz w:val="24"/>
          <w:szCs w:val="24"/>
        </w:rPr>
        <w:t>Building resilience to trauma: The trauma and community resiliency models.</w:t>
      </w:r>
      <w:r w:rsidRPr="00B86132">
        <w:rPr>
          <w:rFonts w:cs="Arial"/>
          <w:color w:val="3B3838" w:themeColor="background2" w:themeShade="40"/>
          <w:sz w:val="24"/>
          <w:szCs w:val="24"/>
        </w:rPr>
        <w:t xml:space="preserve"> New York: Routledge.</w:t>
      </w:r>
    </w:p>
    <w:p w14:paraId="3AF26DD1" w14:textId="77777777" w:rsidR="005A7DEE" w:rsidRPr="00B86132" w:rsidRDefault="005A7DEE" w:rsidP="00FE659D">
      <w:pPr>
        <w:rPr>
          <w:rFonts w:cs="Arial"/>
          <w:color w:val="3B3838" w:themeColor="background2" w:themeShade="40"/>
          <w:sz w:val="24"/>
          <w:szCs w:val="24"/>
        </w:rPr>
      </w:pPr>
    </w:p>
    <w:p w14:paraId="6A91F064" w14:textId="016BCD63"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MIND (2021) Complex Post-traumatic stress disorder. Available at: </w:t>
      </w:r>
      <w:hyperlink r:id="rId66" w:anchor=".XIkykij7SUl" w:history="1">
        <w:r w:rsidRPr="00B86132">
          <w:rPr>
            <w:rStyle w:val="Hyperlink"/>
            <w:rFonts w:eastAsiaTheme="majorEastAsia" w:cs="Arial"/>
            <w:color w:val="3B3838" w:themeColor="background2" w:themeShade="40"/>
            <w:sz w:val="24"/>
            <w:szCs w:val="24"/>
          </w:rPr>
          <w:t>https://www.mind.org.uk/information-support/types-of-mental-health-problems/post-traumatic-stress-disorder-ptsd-and-complex-ptsd/complex-ptsd/#.XIkykij7SUl</w:t>
        </w:r>
      </w:hyperlink>
      <w:r w:rsidRPr="00B86132">
        <w:rPr>
          <w:rFonts w:cs="Arial"/>
          <w:color w:val="3B3838" w:themeColor="background2" w:themeShade="40"/>
          <w:sz w:val="24"/>
          <w:szCs w:val="24"/>
        </w:rPr>
        <w:t xml:space="preserve"> (Accessed: 18 March 2021).</w:t>
      </w:r>
    </w:p>
    <w:p w14:paraId="1FB2F601" w14:textId="77777777" w:rsidR="005A7DEE" w:rsidRPr="00B86132" w:rsidRDefault="005A7DEE" w:rsidP="00FE659D">
      <w:pPr>
        <w:rPr>
          <w:rFonts w:cs="Arial"/>
          <w:color w:val="3B3838" w:themeColor="background2" w:themeShade="40"/>
          <w:sz w:val="24"/>
          <w:szCs w:val="24"/>
        </w:rPr>
      </w:pPr>
    </w:p>
    <w:p w14:paraId="7BC00C9C"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Minuchin, P. (2002) ‘Cross</w:t>
      </w:r>
      <w:r w:rsidRPr="00B86132">
        <w:rPr>
          <w:rFonts w:ascii="Cambria Math" w:hAnsi="Cambria Math" w:cs="Cambria Math"/>
          <w:color w:val="3B3838" w:themeColor="background2" w:themeShade="40"/>
          <w:sz w:val="24"/>
          <w:szCs w:val="24"/>
        </w:rPr>
        <w:t>‐</w:t>
      </w:r>
      <w:r w:rsidRPr="00B86132">
        <w:rPr>
          <w:rFonts w:cs="Arial"/>
          <w:color w:val="3B3838" w:themeColor="background2" w:themeShade="40"/>
          <w:sz w:val="24"/>
          <w:szCs w:val="24"/>
        </w:rPr>
        <w:t xml:space="preserve">Cultural Perspectives: Implications for Attachment Theory and Family Therapy’, </w:t>
      </w:r>
      <w:r w:rsidRPr="00B86132">
        <w:rPr>
          <w:rFonts w:cs="Arial"/>
          <w:i/>
          <w:iCs/>
          <w:color w:val="3B3838" w:themeColor="background2" w:themeShade="40"/>
          <w:sz w:val="24"/>
          <w:szCs w:val="24"/>
        </w:rPr>
        <w:t>Family process</w:t>
      </w:r>
      <w:r w:rsidRPr="00B86132">
        <w:rPr>
          <w:rFonts w:cs="Arial"/>
          <w:color w:val="3B3838" w:themeColor="background2" w:themeShade="40"/>
          <w:sz w:val="24"/>
          <w:szCs w:val="24"/>
        </w:rPr>
        <w:t>, 41(3), pp.546-550.</w:t>
      </w:r>
    </w:p>
    <w:p w14:paraId="11B0A62D" w14:textId="2F945031"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Moore T. et al. (2017) ‘The First Thousand Days: An Evidence Paper. Melbourne: Centre for Community Child Health’, </w:t>
      </w:r>
      <w:r w:rsidRPr="00B86132">
        <w:rPr>
          <w:rFonts w:cs="Arial"/>
          <w:i/>
          <w:iCs/>
          <w:color w:val="3B3838" w:themeColor="background2" w:themeShade="40"/>
          <w:sz w:val="24"/>
          <w:szCs w:val="24"/>
        </w:rPr>
        <w:t>Murdoch Children’s Research Institute</w:t>
      </w:r>
      <w:r w:rsidRPr="00B86132">
        <w:rPr>
          <w:rFonts w:cs="Arial"/>
          <w:color w:val="3B3838" w:themeColor="background2" w:themeShade="40"/>
          <w:sz w:val="24"/>
          <w:szCs w:val="24"/>
        </w:rPr>
        <w:t>.</w:t>
      </w:r>
    </w:p>
    <w:p w14:paraId="67D5463F" w14:textId="77777777" w:rsidR="005A7DEE" w:rsidRPr="00B86132" w:rsidRDefault="005A7DEE" w:rsidP="00FE659D">
      <w:pPr>
        <w:rPr>
          <w:rFonts w:cs="Arial"/>
          <w:color w:val="3B3838" w:themeColor="background2" w:themeShade="40"/>
          <w:sz w:val="24"/>
          <w:szCs w:val="24"/>
        </w:rPr>
      </w:pPr>
    </w:p>
    <w:p w14:paraId="40E3B63C" w14:textId="4D9F787D"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Moran P. et al. (2016) ‘Chapter 7: Personality disorder’ in McManus S, Bebbington P, Jenkins R, Brugha T. (eds.) Mental health and wellbeing in England: Adult Psychiatric Morbidity Survey 2014. Leeds: NHS Digital</w:t>
      </w:r>
    </w:p>
    <w:p w14:paraId="79DE29A6" w14:textId="77777777" w:rsidR="005A7DEE" w:rsidRPr="00B86132" w:rsidRDefault="005A7DEE" w:rsidP="00FE659D">
      <w:pPr>
        <w:rPr>
          <w:rFonts w:cs="Arial"/>
          <w:color w:val="3B3838" w:themeColor="background2" w:themeShade="40"/>
          <w:sz w:val="24"/>
          <w:szCs w:val="24"/>
        </w:rPr>
      </w:pPr>
    </w:p>
    <w:p w14:paraId="7AD2E3E0" w14:textId="7BF4CA4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Naviaux, R. (2014) ‘Metabolic features of the cell danger response’, </w:t>
      </w:r>
      <w:r w:rsidRPr="00B86132">
        <w:rPr>
          <w:rFonts w:cs="Arial"/>
          <w:i/>
          <w:iCs/>
          <w:color w:val="3B3838" w:themeColor="background2" w:themeShade="40"/>
          <w:sz w:val="24"/>
          <w:szCs w:val="24"/>
        </w:rPr>
        <w:t>Mitochondrion</w:t>
      </w:r>
      <w:r w:rsidRPr="00B86132">
        <w:rPr>
          <w:rFonts w:cs="Arial"/>
          <w:color w:val="3B3838" w:themeColor="background2" w:themeShade="40"/>
          <w:sz w:val="24"/>
          <w:szCs w:val="24"/>
        </w:rPr>
        <w:t>, 16, pp.7–17.</w:t>
      </w:r>
    </w:p>
    <w:p w14:paraId="79019AE0" w14:textId="77777777" w:rsidR="005A7DEE" w:rsidRPr="00B86132" w:rsidRDefault="005A7DEE" w:rsidP="00FE659D">
      <w:pPr>
        <w:rPr>
          <w:rFonts w:cs="Arial"/>
          <w:color w:val="3B3838" w:themeColor="background2" w:themeShade="40"/>
          <w:sz w:val="24"/>
          <w:szCs w:val="24"/>
        </w:rPr>
      </w:pPr>
    </w:p>
    <w:p w14:paraId="077CFE8A" w14:textId="5AF0C821"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lastRenderedPageBreak/>
        <w:t xml:space="preserve">Naviaux, R. (2019) ‘Metabolic features and regulation of the healing cycle - A new model for chronic disease pathogenesis and treatment’, </w:t>
      </w:r>
      <w:r w:rsidRPr="00B86132">
        <w:rPr>
          <w:rFonts w:cs="Arial"/>
          <w:i/>
          <w:iCs/>
          <w:color w:val="3B3838" w:themeColor="background2" w:themeShade="40"/>
          <w:sz w:val="24"/>
          <w:szCs w:val="24"/>
        </w:rPr>
        <w:t>Mitochondrion</w:t>
      </w:r>
      <w:r w:rsidRPr="00B86132">
        <w:rPr>
          <w:rFonts w:cs="Arial"/>
          <w:color w:val="3B3838" w:themeColor="background2" w:themeShade="40"/>
          <w:sz w:val="24"/>
          <w:szCs w:val="24"/>
        </w:rPr>
        <w:t>, 46, pp.278–297.</w:t>
      </w:r>
    </w:p>
    <w:p w14:paraId="623A7985" w14:textId="77777777" w:rsidR="005A7DEE" w:rsidRPr="00B86132" w:rsidRDefault="005A7DEE" w:rsidP="00FE659D">
      <w:pPr>
        <w:rPr>
          <w:rFonts w:cs="Arial"/>
          <w:color w:val="3B3838" w:themeColor="background2" w:themeShade="40"/>
          <w:sz w:val="24"/>
          <w:szCs w:val="24"/>
        </w:rPr>
      </w:pPr>
    </w:p>
    <w:p w14:paraId="613DB8D7" w14:textId="7854D3DB" w:rsidR="00FE659D" w:rsidRDefault="00FE659D" w:rsidP="00FE659D">
      <w:pPr>
        <w:rPr>
          <w:rFonts w:cs="Arial"/>
          <w:color w:val="3B3838" w:themeColor="background2" w:themeShade="40"/>
          <w:sz w:val="24"/>
          <w:szCs w:val="24"/>
          <w:u w:val="single"/>
        </w:rPr>
      </w:pPr>
      <w:r w:rsidRPr="00B86132">
        <w:rPr>
          <w:rFonts w:cs="Arial"/>
          <w:color w:val="3B3838" w:themeColor="background2" w:themeShade="40"/>
          <w:sz w:val="24"/>
          <w:szCs w:val="24"/>
          <w:shd w:val="clear" w:color="auto" w:fill="FFFFFF"/>
        </w:rPr>
        <w:t xml:space="preserve">Naviaux, R. (2020) ‘Perspective: Cell danger response Biology—The new science that connects environmental health with mitochondria and the rising tide of chronic illness’, </w:t>
      </w:r>
      <w:r w:rsidRPr="00B86132">
        <w:rPr>
          <w:rFonts w:cs="Arial"/>
          <w:i/>
          <w:iCs/>
          <w:color w:val="3B3838" w:themeColor="background2" w:themeShade="40"/>
          <w:sz w:val="24"/>
          <w:szCs w:val="24"/>
          <w:shd w:val="clear" w:color="auto" w:fill="FFFFFF"/>
        </w:rPr>
        <w:t>Mitochondrion</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51</w:t>
      </w:r>
      <w:r w:rsidRPr="00B86132">
        <w:rPr>
          <w:rFonts w:cs="Arial"/>
          <w:color w:val="3B3838" w:themeColor="background2" w:themeShade="40"/>
          <w:sz w:val="24"/>
          <w:szCs w:val="24"/>
          <w:shd w:val="clear" w:color="auto" w:fill="FFFFFF"/>
        </w:rPr>
        <w:t xml:space="preserve">, pp.40-45. </w:t>
      </w:r>
      <w:hyperlink r:id="rId67" w:tgtFrame="_blank" w:tooltip="Persistent link using digital object identifier" w:history="1">
        <w:r w:rsidRPr="00B86132">
          <w:rPr>
            <w:rFonts w:cs="Arial"/>
            <w:color w:val="3B3838" w:themeColor="background2" w:themeShade="40"/>
            <w:sz w:val="24"/>
            <w:szCs w:val="24"/>
            <w:u w:val="single"/>
          </w:rPr>
          <w:t>https://doi.org/10.1016/j.mito.2019.12.005</w:t>
        </w:r>
      </w:hyperlink>
    </w:p>
    <w:p w14:paraId="69507204" w14:textId="77777777" w:rsidR="005A7DEE" w:rsidRPr="00B86132" w:rsidRDefault="005A7DEE" w:rsidP="00FE659D">
      <w:pPr>
        <w:rPr>
          <w:rFonts w:cs="Arial"/>
          <w:color w:val="3B3838" w:themeColor="background2" w:themeShade="40"/>
          <w:sz w:val="24"/>
          <w:szCs w:val="24"/>
        </w:rPr>
      </w:pPr>
    </w:p>
    <w:p w14:paraId="17E8FF9A" w14:textId="4E32EE3A"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NHS (2018) Complex PTSD – Post-traumatic stress disorder. Available at: </w:t>
      </w:r>
      <w:hyperlink r:id="rId68" w:history="1">
        <w:r w:rsidRPr="00B86132">
          <w:rPr>
            <w:rStyle w:val="Hyperlink"/>
            <w:rFonts w:eastAsiaTheme="majorEastAsia" w:cs="Arial"/>
            <w:color w:val="3B3838" w:themeColor="background2" w:themeShade="40"/>
            <w:sz w:val="24"/>
            <w:szCs w:val="24"/>
          </w:rPr>
          <w:t>https://www.nhs.uk/mental-health/conditions/post-traumatic-stress-disorder-ptsd/complex/</w:t>
        </w:r>
      </w:hyperlink>
      <w:r w:rsidRPr="00B86132">
        <w:rPr>
          <w:rFonts w:cs="Arial"/>
          <w:color w:val="3B3838" w:themeColor="background2" w:themeShade="40"/>
          <w:sz w:val="24"/>
          <w:szCs w:val="24"/>
        </w:rPr>
        <w:t xml:space="preserve"> (Accessed: 21 February 2021). </w:t>
      </w:r>
    </w:p>
    <w:p w14:paraId="12E9FAB2" w14:textId="77777777" w:rsidR="005A7DEE" w:rsidRPr="00B86132" w:rsidRDefault="005A7DEE" w:rsidP="00FE659D">
      <w:pPr>
        <w:rPr>
          <w:rFonts w:cs="Arial"/>
          <w:color w:val="3B3838" w:themeColor="background2" w:themeShade="40"/>
          <w:sz w:val="24"/>
          <w:szCs w:val="24"/>
        </w:rPr>
      </w:pPr>
    </w:p>
    <w:p w14:paraId="60A27536" w14:textId="3543270D"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NICE (2018) Post-traumatic stress disorder. Available at:  </w:t>
      </w:r>
      <w:hyperlink r:id="rId69" w:history="1">
        <w:r w:rsidRPr="00B86132">
          <w:rPr>
            <w:rStyle w:val="Hyperlink"/>
            <w:rFonts w:eastAsiaTheme="majorEastAsia" w:cs="Arial"/>
            <w:color w:val="3B3838" w:themeColor="background2" w:themeShade="40"/>
            <w:sz w:val="24"/>
            <w:szCs w:val="24"/>
          </w:rPr>
          <w:t>https://www.nice.org.uk/guidance/ng116/chapter/Recommendations</w:t>
        </w:r>
      </w:hyperlink>
      <w:r w:rsidRPr="00B86132">
        <w:rPr>
          <w:rFonts w:cs="Arial"/>
          <w:color w:val="3B3838" w:themeColor="background2" w:themeShade="40"/>
          <w:sz w:val="24"/>
          <w:szCs w:val="24"/>
        </w:rPr>
        <w:t xml:space="preserve"> (Accessed: 02 December 2020). </w:t>
      </w:r>
    </w:p>
    <w:p w14:paraId="6C3DF3E3" w14:textId="77777777" w:rsidR="005A7DEE" w:rsidRPr="00B86132" w:rsidRDefault="005A7DEE" w:rsidP="00FE659D">
      <w:pPr>
        <w:rPr>
          <w:rFonts w:cs="Arial"/>
          <w:color w:val="3B3838" w:themeColor="background2" w:themeShade="40"/>
          <w:sz w:val="24"/>
          <w:szCs w:val="24"/>
        </w:rPr>
      </w:pPr>
    </w:p>
    <w:p w14:paraId="53777048" w14:textId="1FC24753"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 xml:space="preserve">Nijenhuis, E., van der Hart, O. and Steele, K. (2010) ‘Trauma-related structural dissociation of the personality’, </w:t>
      </w:r>
      <w:r w:rsidRPr="00B86132">
        <w:rPr>
          <w:rFonts w:cs="Arial"/>
          <w:i/>
          <w:iCs/>
          <w:color w:val="3B3838" w:themeColor="background2" w:themeShade="40"/>
          <w:sz w:val="24"/>
          <w:szCs w:val="24"/>
          <w:shd w:val="clear" w:color="auto" w:fill="FFFFFF"/>
        </w:rPr>
        <w:t>Activitas Nervosa Superior</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52</w:t>
      </w:r>
      <w:r w:rsidRPr="00B86132">
        <w:rPr>
          <w:rFonts w:cs="Arial"/>
          <w:color w:val="3B3838" w:themeColor="background2" w:themeShade="40"/>
          <w:sz w:val="24"/>
          <w:szCs w:val="24"/>
          <w:shd w:val="clear" w:color="auto" w:fill="FFFFFF"/>
        </w:rPr>
        <w:t xml:space="preserve">(1), pp.1-23. Available at: </w:t>
      </w:r>
      <w:hyperlink r:id="rId70" w:history="1">
        <w:r w:rsidRPr="00B86132">
          <w:rPr>
            <w:rStyle w:val="Hyperlink"/>
            <w:rFonts w:eastAsiaTheme="majorEastAsia" w:cs="Arial"/>
            <w:color w:val="3B3838" w:themeColor="background2" w:themeShade="40"/>
            <w:sz w:val="24"/>
            <w:szCs w:val="24"/>
            <w:shd w:val="clear" w:color="auto" w:fill="FFFFFF"/>
          </w:rPr>
          <w:t>https://link.springer.com/content/pdf/10.1007/BF03379560.pdf</w:t>
        </w:r>
      </w:hyperlink>
      <w:r w:rsidRPr="00B86132">
        <w:rPr>
          <w:rFonts w:cs="Arial"/>
          <w:color w:val="3B3838" w:themeColor="background2" w:themeShade="40"/>
          <w:sz w:val="24"/>
          <w:szCs w:val="24"/>
          <w:shd w:val="clear" w:color="auto" w:fill="FFFFFF"/>
        </w:rPr>
        <w:t xml:space="preserve"> (Accessed: 06 December 2021).</w:t>
      </w:r>
    </w:p>
    <w:p w14:paraId="7B36F85E" w14:textId="77777777" w:rsidR="005A7DEE" w:rsidRPr="00B86132" w:rsidRDefault="005A7DEE" w:rsidP="00FE659D">
      <w:pPr>
        <w:rPr>
          <w:rFonts w:cs="Arial"/>
          <w:color w:val="3B3838" w:themeColor="background2" w:themeShade="40"/>
          <w:sz w:val="24"/>
          <w:szCs w:val="24"/>
          <w:shd w:val="clear" w:color="auto" w:fill="FFFFFF"/>
        </w:rPr>
      </w:pPr>
    </w:p>
    <w:p w14:paraId="281B67EE" w14:textId="06E3175A"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Nyamnjoh, F. (2017) ‘Incompleteness: Frontier Africa and the Currency of Conviviality’, </w:t>
      </w:r>
      <w:r w:rsidRPr="00B86132">
        <w:rPr>
          <w:rFonts w:cs="Arial"/>
          <w:i/>
          <w:iCs/>
          <w:color w:val="3B3838" w:themeColor="background2" w:themeShade="40"/>
          <w:sz w:val="24"/>
          <w:szCs w:val="24"/>
          <w:shd w:val="clear" w:color="auto" w:fill="FFFFFF"/>
        </w:rPr>
        <w:t>Journal of Asian and African Studies</w:t>
      </w:r>
      <w:r w:rsidRPr="00B86132">
        <w:rPr>
          <w:rFonts w:cs="Arial"/>
          <w:color w:val="3B3838" w:themeColor="background2" w:themeShade="40"/>
          <w:sz w:val="24"/>
          <w:szCs w:val="24"/>
          <w:shd w:val="clear" w:color="auto" w:fill="FFFFFF"/>
        </w:rPr>
        <w:t>, 52(3), pp. 253–270. doi: </w:t>
      </w:r>
      <w:hyperlink r:id="rId71" w:history="1">
        <w:r w:rsidRPr="00B86132">
          <w:rPr>
            <w:rFonts w:cs="Arial"/>
            <w:color w:val="3B3838" w:themeColor="background2" w:themeShade="40"/>
            <w:sz w:val="24"/>
            <w:szCs w:val="24"/>
            <w:u w:val="single"/>
            <w:shd w:val="clear" w:color="auto" w:fill="FFFFFF"/>
          </w:rPr>
          <w:t>10.1177/0021909615580867</w:t>
        </w:r>
      </w:hyperlink>
      <w:r w:rsidRPr="00B86132">
        <w:rPr>
          <w:rFonts w:cs="Arial"/>
          <w:color w:val="3B3838" w:themeColor="background2" w:themeShade="40"/>
          <w:sz w:val="24"/>
          <w:szCs w:val="24"/>
          <w:shd w:val="clear" w:color="auto" w:fill="FFFFFF"/>
        </w:rPr>
        <w:t>.</w:t>
      </w:r>
    </w:p>
    <w:p w14:paraId="51038C12" w14:textId="77777777" w:rsidR="005A7DEE" w:rsidRPr="00B86132" w:rsidRDefault="005A7DEE" w:rsidP="00FE659D">
      <w:pPr>
        <w:rPr>
          <w:rFonts w:cs="Arial"/>
          <w:color w:val="3B3838" w:themeColor="background2" w:themeShade="40"/>
          <w:sz w:val="24"/>
          <w:szCs w:val="24"/>
        </w:rPr>
      </w:pPr>
    </w:p>
    <w:p w14:paraId="3E6ECCE9" w14:textId="1021671C"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 xml:space="preserve">Ogden, P. (2020) ‘The different impact of trauma and relational stress on physiology, posture, and movement: Implications for treatment’, </w:t>
      </w:r>
      <w:r w:rsidRPr="00B86132">
        <w:rPr>
          <w:rFonts w:cs="Arial"/>
          <w:i/>
          <w:iCs/>
          <w:color w:val="3B3838" w:themeColor="background2" w:themeShade="40"/>
          <w:sz w:val="24"/>
          <w:szCs w:val="24"/>
          <w:shd w:val="clear" w:color="auto" w:fill="FFFFFF"/>
        </w:rPr>
        <w:t>European Journal of Trauma &amp; Dissociation</w:t>
      </w:r>
      <w:r w:rsidRPr="00B86132">
        <w:rPr>
          <w:rFonts w:cs="Arial"/>
          <w:color w:val="3B3838" w:themeColor="background2" w:themeShade="40"/>
          <w:sz w:val="24"/>
          <w:szCs w:val="24"/>
          <w:shd w:val="clear" w:color="auto" w:fill="FFFFFF"/>
        </w:rPr>
        <w:t>,  5:4, p.100172.</w:t>
      </w:r>
    </w:p>
    <w:p w14:paraId="6C7D451B" w14:textId="77777777" w:rsidR="005A7DEE" w:rsidRPr="00B86132" w:rsidRDefault="005A7DEE" w:rsidP="00FE659D">
      <w:pPr>
        <w:rPr>
          <w:rFonts w:cs="Arial"/>
          <w:color w:val="3B3838" w:themeColor="background2" w:themeShade="40"/>
          <w:sz w:val="24"/>
          <w:szCs w:val="24"/>
        </w:rPr>
      </w:pPr>
    </w:p>
    <w:p w14:paraId="3BB7CA01" w14:textId="77777777" w:rsidR="00FE659D" w:rsidRPr="00B86132" w:rsidRDefault="00FE659D" w:rsidP="00FE659D">
      <w:pPr>
        <w:rPr>
          <w:rFonts w:cs="Arial"/>
          <w:color w:val="3B3838" w:themeColor="background2" w:themeShade="40"/>
          <w:sz w:val="24"/>
          <w:szCs w:val="24"/>
        </w:rPr>
      </w:pPr>
      <w:bookmarkStart w:id="4" w:name="_Hlk90290130"/>
      <w:r w:rsidRPr="00B86132">
        <w:rPr>
          <w:rFonts w:cs="Arial"/>
          <w:color w:val="3B3838" w:themeColor="background2" w:themeShade="40"/>
          <w:sz w:val="24"/>
          <w:szCs w:val="24"/>
        </w:rPr>
        <w:t>Ogden, P. and Fisher, J. (2015</w:t>
      </w:r>
      <w:bookmarkEnd w:id="4"/>
      <w:r w:rsidRPr="00B86132">
        <w:rPr>
          <w:rFonts w:cs="Arial"/>
          <w:color w:val="3B3838" w:themeColor="background2" w:themeShade="40"/>
          <w:sz w:val="24"/>
          <w:szCs w:val="24"/>
        </w:rPr>
        <w:t>) </w:t>
      </w:r>
      <w:r w:rsidRPr="00B86132">
        <w:rPr>
          <w:rFonts w:cs="Arial"/>
          <w:i/>
          <w:iCs/>
          <w:color w:val="3B3838" w:themeColor="background2" w:themeShade="40"/>
          <w:sz w:val="24"/>
          <w:szCs w:val="24"/>
        </w:rPr>
        <w:t>Sensorimotor psychotherapy: Interventions for trauma and attachment</w:t>
      </w:r>
      <w:r w:rsidRPr="00B86132">
        <w:rPr>
          <w:rFonts w:cs="Arial"/>
          <w:color w:val="3B3838" w:themeColor="background2" w:themeShade="40"/>
          <w:sz w:val="24"/>
          <w:szCs w:val="24"/>
        </w:rPr>
        <w:t>. New York: WW Norton and Company</w:t>
      </w:r>
    </w:p>
    <w:p w14:paraId="14CD6D85" w14:textId="1CD115E5"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Ogden, P. and Minton, K. (2000) ‘Sensorimotor Psychotherapy: One Method for Processing Traumatic Memory’, </w:t>
      </w:r>
      <w:r w:rsidRPr="00B86132">
        <w:rPr>
          <w:rFonts w:cs="Arial"/>
          <w:i/>
          <w:iCs/>
          <w:color w:val="3B3838" w:themeColor="background2" w:themeShade="40"/>
          <w:sz w:val="24"/>
          <w:szCs w:val="24"/>
        </w:rPr>
        <w:t>Traumatology</w:t>
      </w:r>
      <w:r w:rsidRPr="00B86132">
        <w:rPr>
          <w:rFonts w:cs="Arial"/>
          <w:color w:val="3B3838" w:themeColor="background2" w:themeShade="40"/>
          <w:sz w:val="24"/>
          <w:szCs w:val="24"/>
        </w:rPr>
        <w:t xml:space="preserve">, 6(3), pp.149–173. </w:t>
      </w:r>
      <w:hyperlink r:id="rId72" w:tgtFrame="_blank" w:history="1">
        <w:r w:rsidRPr="00B86132">
          <w:rPr>
            <w:rStyle w:val="Hyperlink"/>
            <w:rFonts w:eastAsiaTheme="majorEastAsia" w:cs="Arial"/>
            <w:color w:val="3B3838" w:themeColor="background2" w:themeShade="40"/>
            <w:sz w:val="24"/>
            <w:szCs w:val="24"/>
          </w:rPr>
          <w:t>https://doi.org/10.1177/153476560000600302</w:t>
        </w:r>
      </w:hyperlink>
    </w:p>
    <w:p w14:paraId="1C41BA0D" w14:textId="77777777" w:rsidR="005A7DEE" w:rsidRPr="00B86132" w:rsidRDefault="005A7DEE" w:rsidP="00FE659D">
      <w:pPr>
        <w:rPr>
          <w:rStyle w:val="Hyperlink"/>
          <w:rFonts w:eastAsiaTheme="majorEastAsia" w:cs="Arial"/>
          <w:color w:val="3B3838" w:themeColor="background2" w:themeShade="40"/>
          <w:sz w:val="24"/>
          <w:szCs w:val="24"/>
        </w:rPr>
      </w:pPr>
    </w:p>
    <w:p w14:paraId="27EF4309" w14:textId="3DE94718"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Ogden, P., Minton, K. and Pain, C. (2006) </w:t>
      </w:r>
      <w:r w:rsidRPr="00B86132">
        <w:rPr>
          <w:rFonts w:cs="Arial"/>
          <w:i/>
          <w:iCs/>
          <w:color w:val="3B3838" w:themeColor="background2" w:themeShade="40"/>
          <w:sz w:val="24"/>
          <w:szCs w:val="24"/>
          <w:shd w:val="clear" w:color="auto" w:fill="FFFFFF"/>
        </w:rPr>
        <w:t>Trauma and the body: A sensorimotor approach to psychotherapy</w:t>
      </w:r>
      <w:r w:rsidRPr="00B86132">
        <w:rPr>
          <w:rFonts w:cs="Arial"/>
          <w:color w:val="3B3838" w:themeColor="background2" w:themeShade="40"/>
          <w:sz w:val="24"/>
          <w:szCs w:val="24"/>
          <w:shd w:val="clear" w:color="auto" w:fill="FFFFFF"/>
        </w:rPr>
        <w:t>. WW Norton &amp; Company.</w:t>
      </w:r>
    </w:p>
    <w:p w14:paraId="395930AC" w14:textId="77777777" w:rsidR="005A7DEE" w:rsidRPr="00B86132" w:rsidRDefault="005A7DEE" w:rsidP="00FE659D">
      <w:pPr>
        <w:rPr>
          <w:rFonts w:cs="Arial"/>
          <w:color w:val="3B3838" w:themeColor="background2" w:themeShade="40"/>
          <w:sz w:val="24"/>
          <w:szCs w:val="24"/>
        </w:rPr>
      </w:pPr>
    </w:p>
    <w:p w14:paraId="20EB8132"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Olff M. (2017) ‘Sex and gender differences in post-traumatic stress disorder: an update’, </w:t>
      </w:r>
      <w:r w:rsidRPr="00B86132">
        <w:rPr>
          <w:rFonts w:cs="Arial"/>
          <w:i/>
          <w:iCs/>
          <w:color w:val="3B3838" w:themeColor="background2" w:themeShade="40"/>
          <w:sz w:val="24"/>
          <w:szCs w:val="24"/>
        </w:rPr>
        <w:t>European Journal of Psychotraumatology</w:t>
      </w:r>
      <w:r w:rsidRPr="00B86132">
        <w:rPr>
          <w:rFonts w:cs="Arial"/>
          <w:color w:val="3B3838" w:themeColor="background2" w:themeShade="40"/>
          <w:sz w:val="24"/>
          <w:szCs w:val="24"/>
        </w:rPr>
        <w:t>, 8(sup4), 1351204. https://doi.org/10.1080/20008198.2017.1351204</w:t>
      </w:r>
    </w:p>
    <w:p w14:paraId="05C8153D" w14:textId="2DACFEDE"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Payne, P., Levine, P. and Crane-Godreau, M. (2015) ‘Somatic experiencing: using interoception and proprioception as core elements of trauma therapy’, </w:t>
      </w:r>
      <w:r w:rsidRPr="00B86132">
        <w:rPr>
          <w:rFonts w:cs="Arial"/>
          <w:i/>
          <w:iCs/>
          <w:color w:val="3B3838" w:themeColor="background2" w:themeShade="40"/>
          <w:sz w:val="24"/>
          <w:szCs w:val="24"/>
        </w:rPr>
        <w:t>Frontiers in psychology</w:t>
      </w:r>
      <w:r w:rsidRPr="00B86132">
        <w:rPr>
          <w:rFonts w:cs="Arial"/>
          <w:color w:val="3B3838" w:themeColor="background2" w:themeShade="40"/>
          <w:sz w:val="24"/>
          <w:szCs w:val="24"/>
        </w:rPr>
        <w:t>, 6, pp.1 - 18.  </w:t>
      </w:r>
      <w:hyperlink r:id="rId73" w:history="1">
        <w:r w:rsidRPr="00B86132">
          <w:rPr>
            <w:rStyle w:val="Hyperlink"/>
            <w:rFonts w:eastAsiaTheme="majorEastAsia" w:cs="Arial"/>
            <w:color w:val="3B3838" w:themeColor="background2" w:themeShade="40"/>
            <w:sz w:val="24"/>
            <w:szCs w:val="24"/>
          </w:rPr>
          <w:t>https://doi.org/10.3389/fpsyg.2015.00093</w:t>
        </w:r>
      </w:hyperlink>
    </w:p>
    <w:p w14:paraId="60BA4FF5" w14:textId="77777777" w:rsidR="005A7DEE" w:rsidRPr="00B86132" w:rsidRDefault="005A7DEE" w:rsidP="00FE659D">
      <w:pPr>
        <w:rPr>
          <w:rFonts w:cs="Arial"/>
          <w:color w:val="3B3838" w:themeColor="background2" w:themeShade="40"/>
          <w:sz w:val="24"/>
          <w:szCs w:val="24"/>
        </w:rPr>
      </w:pPr>
    </w:p>
    <w:p w14:paraId="67E36FDE" w14:textId="669A4484"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Pechtel, P. and Pizzagalli, D. (2011) ‘Effects of early life stress on cognitive and affective function: an integrated review of human literature’, </w:t>
      </w:r>
      <w:r w:rsidRPr="00B86132">
        <w:rPr>
          <w:rFonts w:cs="Arial"/>
          <w:i/>
          <w:iCs/>
          <w:color w:val="3B3838" w:themeColor="background2" w:themeShade="40"/>
          <w:sz w:val="24"/>
          <w:szCs w:val="24"/>
        </w:rPr>
        <w:t>Psychopharmacology</w:t>
      </w:r>
      <w:r w:rsidRPr="00B86132">
        <w:rPr>
          <w:rFonts w:cs="Arial"/>
          <w:color w:val="3B3838" w:themeColor="background2" w:themeShade="40"/>
          <w:sz w:val="24"/>
          <w:szCs w:val="24"/>
        </w:rPr>
        <w:t>, 214(1), pp. 55-70.</w:t>
      </w:r>
    </w:p>
    <w:p w14:paraId="474365FA" w14:textId="77777777" w:rsidR="005A7DEE" w:rsidRPr="00B86132" w:rsidRDefault="005A7DEE" w:rsidP="00FE659D">
      <w:pPr>
        <w:rPr>
          <w:rFonts w:cs="Arial"/>
          <w:color w:val="3B3838" w:themeColor="background2" w:themeShade="40"/>
          <w:sz w:val="24"/>
          <w:szCs w:val="24"/>
        </w:rPr>
      </w:pPr>
    </w:p>
    <w:p w14:paraId="1B478605" w14:textId="7FAC027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lastRenderedPageBreak/>
        <w:t>Perls, F. (1973) </w:t>
      </w:r>
      <w:r w:rsidRPr="00B86132">
        <w:rPr>
          <w:rFonts w:cs="Arial"/>
          <w:i/>
          <w:iCs/>
          <w:color w:val="3B3838" w:themeColor="background2" w:themeShade="40"/>
          <w:sz w:val="24"/>
          <w:szCs w:val="24"/>
        </w:rPr>
        <w:t>The gestalt approach and eyewitness to therapy</w:t>
      </w:r>
      <w:r w:rsidRPr="00B86132">
        <w:rPr>
          <w:rFonts w:cs="Arial"/>
          <w:color w:val="3B3838" w:themeColor="background2" w:themeShade="40"/>
          <w:sz w:val="24"/>
          <w:szCs w:val="24"/>
        </w:rPr>
        <w:t>. USA: Science and Behavior Books.</w:t>
      </w:r>
      <w:bookmarkStart w:id="5" w:name="_Hlk81741967"/>
    </w:p>
    <w:p w14:paraId="04E820A6" w14:textId="77777777" w:rsidR="005A7DEE" w:rsidRPr="00B86132" w:rsidRDefault="005A7DEE" w:rsidP="00FE659D">
      <w:pPr>
        <w:rPr>
          <w:rFonts w:cs="Arial"/>
          <w:color w:val="3B3838" w:themeColor="background2" w:themeShade="40"/>
          <w:sz w:val="24"/>
          <w:szCs w:val="24"/>
        </w:rPr>
      </w:pPr>
    </w:p>
    <w:p w14:paraId="21ED36A6" w14:textId="77777777" w:rsidR="00FE659D" w:rsidRPr="00B86132" w:rsidRDefault="00FE659D" w:rsidP="00FE659D">
      <w:pPr>
        <w:autoSpaceDE w:val="0"/>
        <w:autoSpaceDN w:val="0"/>
        <w:adjustRightInd w:val="0"/>
        <w:rPr>
          <w:rFonts w:cs="Arial"/>
          <w:color w:val="3B3838" w:themeColor="background2" w:themeShade="40"/>
          <w:sz w:val="24"/>
          <w:szCs w:val="24"/>
        </w:rPr>
      </w:pPr>
      <w:bookmarkStart w:id="6" w:name="_Hlk90455010"/>
      <w:r w:rsidRPr="00B86132">
        <w:rPr>
          <w:rFonts w:cs="Arial"/>
          <w:color w:val="3B3838" w:themeColor="background2" w:themeShade="40"/>
          <w:sz w:val="24"/>
          <w:szCs w:val="24"/>
        </w:rPr>
        <w:t>Perls, F. S., Hefferline, R. F., &amp; Goodman, P. (1951</w:t>
      </w:r>
      <w:bookmarkEnd w:id="6"/>
      <w:r w:rsidRPr="00B86132">
        <w:rPr>
          <w:rFonts w:cs="Arial"/>
          <w:color w:val="3B3838" w:themeColor="background2" w:themeShade="40"/>
          <w:sz w:val="24"/>
          <w:szCs w:val="24"/>
        </w:rPr>
        <w:t xml:space="preserve">). </w:t>
      </w:r>
      <w:r w:rsidRPr="00B86132">
        <w:rPr>
          <w:rFonts w:cs="Arial"/>
          <w:i/>
          <w:iCs/>
          <w:color w:val="3B3838" w:themeColor="background2" w:themeShade="40"/>
          <w:sz w:val="24"/>
          <w:szCs w:val="24"/>
        </w:rPr>
        <w:t xml:space="preserve">Gestalt therapy: Excitement and growth in the human personality. </w:t>
      </w:r>
      <w:r w:rsidRPr="00B86132">
        <w:rPr>
          <w:rFonts w:cs="Arial"/>
          <w:color w:val="3B3838" w:themeColor="background2" w:themeShade="40"/>
          <w:sz w:val="24"/>
          <w:szCs w:val="24"/>
        </w:rPr>
        <w:t>New York: The Julian Press.</w:t>
      </w:r>
    </w:p>
    <w:p w14:paraId="24564710" w14:textId="77777777" w:rsidR="00FE659D" w:rsidRPr="00B86132" w:rsidRDefault="00FE659D" w:rsidP="00FE659D">
      <w:pPr>
        <w:autoSpaceDE w:val="0"/>
        <w:autoSpaceDN w:val="0"/>
        <w:adjustRightInd w:val="0"/>
        <w:rPr>
          <w:rFonts w:cs="Arial"/>
          <w:i/>
          <w:iCs/>
          <w:color w:val="3B3838" w:themeColor="background2" w:themeShade="40"/>
          <w:sz w:val="24"/>
          <w:szCs w:val="24"/>
        </w:rPr>
      </w:pPr>
    </w:p>
    <w:p w14:paraId="1CF0F29A" w14:textId="3E4A9AD1"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Perry, B. (2002) ‘Childhood experience and the expression of genetic potential: What childhood neglect tells us about nature and nurture’, </w:t>
      </w:r>
      <w:r w:rsidRPr="00B86132">
        <w:rPr>
          <w:rFonts w:cs="Arial"/>
          <w:i/>
          <w:iCs/>
          <w:color w:val="3B3838" w:themeColor="background2" w:themeShade="40"/>
          <w:sz w:val="24"/>
          <w:szCs w:val="24"/>
        </w:rPr>
        <w:t>Brain and mind</w:t>
      </w:r>
      <w:r w:rsidRPr="00B86132">
        <w:rPr>
          <w:rFonts w:cs="Arial"/>
          <w:color w:val="3B3838" w:themeColor="background2" w:themeShade="40"/>
          <w:sz w:val="24"/>
          <w:szCs w:val="24"/>
        </w:rPr>
        <w:t xml:space="preserve">, 3(1), pp.79-100. Available at: </w:t>
      </w:r>
      <w:hyperlink r:id="rId74" w:history="1">
        <w:r w:rsidRPr="00B86132">
          <w:rPr>
            <w:rStyle w:val="Hyperlink"/>
            <w:rFonts w:eastAsiaTheme="majorEastAsia" w:cs="Arial"/>
            <w:color w:val="3B3838" w:themeColor="background2" w:themeShade="40"/>
            <w:sz w:val="24"/>
            <w:szCs w:val="24"/>
          </w:rPr>
          <w:t>https://www.proquest.com/scholarly-journals/childhood-experience-expression-genetic-potential/docview/212231554/se-2?accountid=130472</w:t>
        </w:r>
      </w:hyperlink>
      <w:r w:rsidRPr="00B86132">
        <w:rPr>
          <w:rFonts w:cs="Arial"/>
          <w:color w:val="3B3838" w:themeColor="background2" w:themeShade="40"/>
          <w:sz w:val="24"/>
          <w:szCs w:val="24"/>
        </w:rPr>
        <w:t xml:space="preserve"> (Accessed: 10 October 2021). </w:t>
      </w:r>
    </w:p>
    <w:p w14:paraId="4F222854" w14:textId="77777777" w:rsidR="005A7DEE" w:rsidRPr="00B86132" w:rsidRDefault="005A7DEE" w:rsidP="00FE659D">
      <w:pPr>
        <w:rPr>
          <w:rFonts w:cs="Arial"/>
          <w:color w:val="3B3838" w:themeColor="background2" w:themeShade="40"/>
          <w:sz w:val="24"/>
          <w:szCs w:val="24"/>
        </w:rPr>
      </w:pPr>
    </w:p>
    <w:p w14:paraId="6297C3DA" w14:textId="12AD1D2C"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PESI Inc. (2016) Energy Psychology &amp; Brainspotting Under the Microscope: The New Era of Brain-Based Psychotherapy [Video]. Available at: </w:t>
      </w:r>
      <w:hyperlink r:id="rId75" w:history="1">
        <w:r w:rsidRPr="00B86132">
          <w:rPr>
            <w:rStyle w:val="Hyperlink"/>
            <w:rFonts w:eastAsiaTheme="majorEastAsia" w:cs="Arial"/>
            <w:color w:val="3B3838" w:themeColor="background2" w:themeShade="40"/>
            <w:sz w:val="24"/>
            <w:szCs w:val="24"/>
          </w:rPr>
          <w:t>https://video.alexanderstreet.com/watch/energy-psychology-brainspotting-under-the-microscope-the-new-era-of-brain-based-psychotherapy</w:t>
        </w:r>
      </w:hyperlink>
      <w:r w:rsidRPr="00B86132">
        <w:rPr>
          <w:rFonts w:cs="Arial"/>
          <w:color w:val="3B3838" w:themeColor="background2" w:themeShade="40"/>
          <w:sz w:val="24"/>
          <w:szCs w:val="24"/>
        </w:rPr>
        <w:t xml:space="preserve"> (Accessed: 03 October 2021).</w:t>
      </w:r>
    </w:p>
    <w:p w14:paraId="1644D690" w14:textId="77777777" w:rsidR="005A7DEE" w:rsidRPr="00B86132" w:rsidRDefault="005A7DEE" w:rsidP="00FE659D">
      <w:pPr>
        <w:rPr>
          <w:rFonts w:cs="Arial"/>
          <w:color w:val="3B3838" w:themeColor="background2" w:themeShade="40"/>
          <w:sz w:val="24"/>
          <w:szCs w:val="24"/>
        </w:rPr>
      </w:pPr>
    </w:p>
    <w:p w14:paraId="73416E17" w14:textId="69E800EA"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Pietrzak</w:t>
      </w:r>
      <w:bookmarkEnd w:id="5"/>
      <w:r w:rsidRPr="00B86132">
        <w:rPr>
          <w:rFonts w:cs="Arial"/>
          <w:color w:val="3B3838" w:themeColor="background2" w:themeShade="40"/>
          <w:sz w:val="24"/>
          <w:szCs w:val="24"/>
        </w:rPr>
        <w:t xml:space="preserve">, R. et al. (2021) ‘Subthreshold post-traumatic stress disorder as a risk factor for post-traumatic stress disorder: results from a sample of USA veterans’, </w:t>
      </w:r>
      <w:r w:rsidRPr="00B86132">
        <w:rPr>
          <w:rFonts w:cs="Arial"/>
          <w:i/>
          <w:iCs/>
          <w:color w:val="3B3838" w:themeColor="background2" w:themeShade="40"/>
          <w:sz w:val="24"/>
          <w:szCs w:val="24"/>
        </w:rPr>
        <w:t>The British Journal of Psychiatry</w:t>
      </w:r>
      <w:r w:rsidRPr="00B86132">
        <w:rPr>
          <w:rFonts w:cs="Arial"/>
          <w:color w:val="3B3838" w:themeColor="background2" w:themeShade="40"/>
          <w:sz w:val="24"/>
          <w:szCs w:val="24"/>
        </w:rPr>
        <w:t>, pp.1-4. DOI: </w:t>
      </w:r>
      <w:hyperlink r:id="rId76" w:tgtFrame="_blank" w:history="1">
        <w:r w:rsidRPr="00B86132">
          <w:rPr>
            <w:rStyle w:val="Hyperlink"/>
            <w:rFonts w:eastAsiaTheme="majorEastAsia" w:cs="Arial"/>
            <w:color w:val="3B3838" w:themeColor="background2" w:themeShade="40"/>
            <w:sz w:val="24"/>
            <w:szCs w:val="24"/>
          </w:rPr>
          <w:t>https://doi.org/10.1192/bjp.2021.17</w:t>
        </w:r>
      </w:hyperlink>
    </w:p>
    <w:p w14:paraId="04781077" w14:textId="77777777" w:rsidR="005A7DEE" w:rsidRPr="00B86132" w:rsidRDefault="005A7DEE" w:rsidP="00FE659D">
      <w:pPr>
        <w:rPr>
          <w:rFonts w:cs="Arial"/>
          <w:color w:val="3B3838" w:themeColor="background2" w:themeShade="40"/>
          <w:sz w:val="24"/>
          <w:szCs w:val="24"/>
        </w:rPr>
      </w:pPr>
    </w:p>
    <w:p w14:paraId="302957C6" w14:textId="0D1C5796"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Porges, S. (2011) </w:t>
      </w:r>
      <w:r w:rsidRPr="00B86132">
        <w:rPr>
          <w:rFonts w:cs="Arial"/>
          <w:i/>
          <w:iCs/>
          <w:color w:val="3B3838" w:themeColor="background2" w:themeShade="40"/>
          <w:sz w:val="24"/>
          <w:szCs w:val="24"/>
        </w:rPr>
        <w:t>The polyvagal theory: neurophysiological foundations of emotions, attachment, communication, and self-regulation</w:t>
      </w:r>
      <w:r w:rsidRPr="00B86132">
        <w:rPr>
          <w:rFonts w:cs="Arial"/>
          <w:color w:val="3B3838" w:themeColor="background2" w:themeShade="40"/>
          <w:sz w:val="24"/>
          <w:szCs w:val="24"/>
        </w:rPr>
        <w:t>. New York: WW Norton and Company.</w:t>
      </w:r>
    </w:p>
    <w:p w14:paraId="1358CB5E" w14:textId="77777777" w:rsidR="005A7DEE" w:rsidRPr="00B86132" w:rsidRDefault="005A7DEE" w:rsidP="00FE659D">
      <w:pPr>
        <w:rPr>
          <w:rFonts w:cs="Arial"/>
          <w:color w:val="3B3838" w:themeColor="background2" w:themeShade="40"/>
          <w:sz w:val="24"/>
          <w:szCs w:val="24"/>
        </w:rPr>
      </w:pPr>
    </w:p>
    <w:p w14:paraId="3D1924AA" w14:textId="507E9FA0" w:rsidR="00FE659D" w:rsidRDefault="00FE659D" w:rsidP="00FE659D">
      <w:pPr>
        <w:rPr>
          <w:rFonts w:cs="Arial"/>
          <w:color w:val="3B3838" w:themeColor="background2" w:themeShade="40"/>
          <w:sz w:val="24"/>
          <w:szCs w:val="24"/>
        </w:rPr>
      </w:pPr>
      <w:bookmarkStart w:id="7" w:name="_Hlk29898318"/>
      <w:r w:rsidRPr="00B86132">
        <w:rPr>
          <w:rFonts w:cs="Arial"/>
          <w:color w:val="3B3838" w:themeColor="background2" w:themeShade="40"/>
          <w:sz w:val="24"/>
          <w:szCs w:val="24"/>
        </w:rPr>
        <w:t>Porges, S. and Dana, D. (2018</w:t>
      </w:r>
      <w:bookmarkEnd w:id="7"/>
      <w:r w:rsidRPr="00B86132">
        <w:rPr>
          <w:rFonts w:cs="Arial"/>
          <w:color w:val="3B3838" w:themeColor="background2" w:themeShade="40"/>
          <w:sz w:val="24"/>
          <w:szCs w:val="24"/>
        </w:rPr>
        <w:t>) </w:t>
      </w:r>
      <w:r w:rsidRPr="00B86132">
        <w:rPr>
          <w:rFonts w:cs="Arial"/>
          <w:i/>
          <w:iCs/>
          <w:color w:val="3B3838" w:themeColor="background2" w:themeShade="40"/>
          <w:sz w:val="24"/>
          <w:szCs w:val="24"/>
        </w:rPr>
        <w:t>Clinical Applications of the Polyvagal Theory: The Emergence of Polyvagal-Informed Therapies</w:t>
      </w:r>
      <w:r w:rsidRPr="00B86132">
        <w:rPr>
          <w:rFonts w:cs="Arial"/>
          <w:color w:val="3B3838" w:themeColor="background2" w:themeShade="40"/>
          <w:sz w:val="24"/>
          <w:szCs w:val="24"/>
        </w:rPr>
        <w:t xml:space="preserve">. New York: WW Norton and Company. </w:t>
      </w:r>
    </w:p>
    <w:p w14:paraId="24BEAC19" w14:textId="77777777" w:rsidR="005A7DEE" w:rsidRPr="00B86132" w:rsidRDefault="005A7DEE" w:rsidP="00FE659D">
      <w:pPr>
        <w:rPr>
          <w:rFonts w:cs="Arial"/>
          <w:color w:val="3B3838" w:themeColor="background2" w:themeShade="40"/>
          <w:sz w:val="24"/>
          <w:szCs w:val="24"/>
        </w:rPr>
      </w:pPr>
    </w:p>
    <w:p w14:paraId="08A07084" w14:textId="77777777" w:rsidR="00FE659D" w:rsidRPr="00B86132"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rPr>
        <w:t>Quinn, N. and Mageo, J. eds., 2013. Attachment reconsidered: Cultural perspectives on a Western theory. Springer.</w:t>
      </w:r>
      <w:r w:rsidRPr="00B86132">
        <w:rPr>
          <w:rFonts w:cs="Arial"/>
          <w:color w:val="3B3838" w:themeColor="background2" w:themeShade="40"/>
          <w:sz w:val="24"/>
          <w:szCs w:val="24"/>
          <w:shd w:val="clear" w:color="auto" w:fill="FFFFFF"/>
        </w:rPr>
        <w:t xml:space="preserve"> </w:t>
      </w:r>
    </w:p>
    <w:p w14:paraId="0E093ADE" w14:textId="177C7F9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shd w:val="clear" w:color="auto" w:fill="FFFFFF"/>
        </w:rPr>
        <w:t xml:space="preserve">Rambo, S. (2019) ‘The Posture of Words’, </w:t>
      </w:r>
      <w:r w:rsidRPr="00B86132">
        <w:rPr>
          <w:rFonts w:cs="Arial"/>
          <w:i/>
          <w:iCs/>
          <w:color w:val="3B3838" w:themeColor="background2" w:themeShade="40"/>
          <w:sz w:val="24"/>
          <w:szCs w:val="24"/>
          <w:shd w:val="clear" w:color="auto" w:fill="FFFFFF"/>
        </w:rPr>
        <w:t>Literature &amp; theology</w:t>
      </w:r>
      <w:r w:rsidRPr="00B86132">
        <w:rPr>
          <w:rFonts w:cs="Arial"/>
          <w:color w:val="3B3838" w:themeColor="background2" w:themeShade="40"/>
          <w:sz w:val="24"/>
          <w:szCs w:val="24"/>
          <w:shd w:val="clear" w:color="auto" w:fill="FFFFFF"/>
        </w:rPr>
        <w:t xml:space="preserve">. [Online] 33 (3), 255–261. </w:t>
      </w:r>
      <w:r w:rsidRPr="00B86132">
        <w:rPr>
          <w:rFonts w:cs="Arial"/>
          <w:color w:val="3B3838" w:themeColor="background2" w:themeShade="40"/>
          <w:sz w:val="24"/>
          <w:szCs w:val="24"/>
        </w:rPr>
        <w:t>doi:10.1093/litthe/frz021</w:t>
      </w:r>
    </w:p>
    <w:p w14:paraId="1E382D69" w14:textId="77777777" w:rsidR="005A7DEE" w:rsidRPr="00B86132" w:rsidRDefault="005A7DEE" w:rsidP="00FE659D">
      <w:pPr>
        <w:rPr>
          <w:rFonts w:cs="Arial"/>
          <w:color w:val="3B3838" w:themeColor="background2" w:themeShade="40"/>
          <w:sz w:val="24"/>
          <w:szCs w:val="24"/>
        </w:rPr>
      </w:pPr>
    </w:p>
    <w:p w14:paraId="132411FF" w14:textId="77777777" w:rsidR="00FE659D" w:rsidRPr="00B86132"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Reinders, A. et al. (2014) ‘Opposite brain emotion-regulation patterns in identity states of dissociative identity disorder: A PET study and neurobiological model’, </w:t>
      </w:r>
      <w:r w:rsidRPr="00B86132">
        <w:rPr>
          <w:rFonts w:cs="Arial"/>
          <w:i/>
          <w:iCs/>
          <w:color w:val="3B3838" w:themeColor="background2" w:themeShade="40"/>
          <w:sz w:val="24"/>
          <w:szCs w:val="24"/>
        </w:rPr>
        <w:t>Psychiatry Research: Neuroimaging</w:t>
      </w:r>
      <w:r w:rsidRPr="00B86132">
        <w:rPr>
          <w:rFonts w:cs="Arial"/>
          <w:color w:val="3B3838" w:themeColor="background2" w:themeShade="40"/>
          <w:sz w:val="24"/>
          <w:szCs w:val="24"/>
        </w:rPr>
        <w:t xml:space="preserve">, 223(3), pp.236-243. </w:t>
      </w:r>
      <w:hyperlink r:id="rId77" w:tgtFrame="_blank" w:tooltip="Persistent link using digital object identifier" w:history="1">
        <w:r w:rsidRPr="00B86132">
          <w:rPr>
            <w:rStyle w:val="Hyperlink"/>
            <w:rFonts w:eastAsiaTheme="majorEastAsia" w:cs="Arial"/>
            <w:color w:val="3B3838" w:themeColor="background2" w:themeShade="40"/>
            <w:sz w:val="24"/>
            <w:szCs w:val="24"/>
          </w:rPr>
          <w:t>https://doi.org/10.1016/j.pscychresns.2014.05.005</w:t>
        </w:r>
      </w:hyperlink>
    </w:p>
    <w:p w14:paraId="69D311B7" w14:textId="6C32CF49"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Resick, P. et al. (2012) ‘A critical evaluation of the complex PTSD literature: Implications for DSM</w:t>
      </w:r>
      <w:r w:rsidRPr="00B86132">
        <w:rPr>
          <w:rFonts w:ascii="Cambria Math" w:hAnsi="Cambria Math" w:cs="Cambria Math"/>
          <w:color w:val="3B3838" w:themeColor="background2" w:themeShade="40"/>
          <w:sz w:val="24"/>
          <w:szCs w:val="24"/>
          <w:shd w:val="clear" w:color="auto" w:fill="FFFFFF"/>
        </w:rPr>
        <w:t>‐</w:t>
      </w:r>
      <w:r w:rsidRPr="00B86132">
        <w:rPr>
          <w:rFonts w:cs="Arial"/>
          <w:color w:val="3B3838" w:themeColor="background2" w:themeShade="40"/>
          <w:sz w:val="24"/>
          <w:szCs w:val="24"/>
          <w:shd w:val="clear" w:color="auto" w:fill="FFFFFF"/>
        </w:rPr>
        <w:t xml:space="preserve">5’, </w:t>
      </w:r>
      <w:r w:rsidRPr="00B86132">
        <w:rPr>
          <w:rFonts w:cs="Arial"/>
          <w:i/>
          <w:iCs/>
          <w:color w:val="3B3838" w:themeColor="background2" w:themeShade="40"/>
          <w:sz w:val="24"/>
          <w:szCs w:val="24"/>
          <w:shd w:val="clear" w:color="auto" w:fill="FFFFFF"/>
        </w:rPr>
        <w:t>Journal of traumatic stress</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25</w:t>
      </w:r>
      <w:r w:rsidRPr="00B86132">
        <w:rPr>
          <w:rFonts w:cs="Arial"/>
          <w:color w:val="3B3838" w:themeColor="background2" w:themeShade="40"/>
          <w:sz w:val="24"/>
          <w:szCs w:val="24"/>
          <w:shd w:val="clear" w:color="auto" w:fill="FFFFFF"/>
        </w:rPr>
        <w:t>(3), pp.241-251. DOI: 10.1002/jts.2169</w:t>
      </w:r>
    </w:p>
    <w:p w14:paraId="744721EC" w14:textId="77777777" w:rsidR="005A7DEE" w:rsidRPr="00B86132" w:rsidRDefault="005A7DEE" w:rsidP="00FE659D">
      <w:pPr>
        <w:rPr>
          <w:rFonts w:cs="Arial"/>
          <w:color w:val="3B3838" w:themeColor="background2" w:themeShade="40"/>
          <w:sz w:val="24"/>
          <w:szCs w:val="24"/>
        </w:rPr>
      </w:pPr>
    </w:p>
    <w:p w14:paraId="615B8E84" w14:textId="6C163B1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Rhodes, A., Spinazzola, J. and van der Kolk, B. (2016) ‘Yoga for adult women with chronic PTSD: A long-term follow-up study’, </w:t>
      </w:r>
      <w:r w:rsidRPr="00B86132">
        <w:rPr>
          <w:rFonts w:cs="Arial"/>
          <w:i/>
          <w:iCs/>
          <w:color w:val="3B3838" w:themeColor="background2" w:themeShade="40"/>
          <w:sz w:val="24"/>
          <w:szCs w:val="24"/>
        </w:rPr>
        <w:t>The journal of alternative and complementary medicine</w:t>
      </w:r>
      <w:r w:rsidRPr="00B86132">
        <w:rPr>
          <w:rFonts w:cs="Arial"/>
          <w:color w:val="3B3838" w:themeColor="background2" w:themeShade="40"/>
          <w:sz w:val="24"/>
          <w:szCs w:val="24"/>
        </w:rPr>
        <w:t>, 22(3), pp.189-196. DOI: 10.1089/acm.2014.0407</w:t>
      </w:r>
    </w:p>
    <w:p w14:paraId="2BE670F9" w14:textId="77777777" w:rsidR="005A7DEE" w:rsidRPr="00B86132" w:rsidRDefault="005A7DEE" w:rsidP="00FE659D">
      <w:pPr>
        <w:rPr>
          <w:rFonts w:cs="Arial"/>
          <w:color w:val="3B3838" w:themeColor="background2" w:themeShade="40"/>
          <w:sz w:val="24"/>
          <w:szCs w:val="24"/>
        </w:rPr>
      </w:pPr>
    </w:p>
    <w:p w14:paraId="10775385" w14:textId="67ED450E"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Robinson, D. (2013) </w:t>
      </w:r>
      <w:r w:rsidRPr="00B86132">
        <w:rPr>
          <w:rFonts w:cs="Arial"/>
          <w:i/>
          <w:iCs/>
          <w:color w:val="3B3838" w:themeColor="background2" w:themeShade="40"/>
          <w:sz w:val="24"/>
          <w:szCs w:val="24"/>
        </w:rPr>
        <w:t>Displacement and the Somatics of Postcolonial Culture.</w:t>
      </w:r>
      <w:r w:rsidRPr="00B86132">
        <w:rPr>
          <w:rFonts w:cs="Arial"/>
          <w:color w:val="3B3838" w:themeColor="background2" w:themeShade="40"/>
          <w:sz w:val="24"/>
          <w:szCs w:val="24"/>
        </w:rPr>
        <w:t xml:space="preserve"> Columbus: Ohio State University Press.</w:t>
      </w:r>
    </w:p>
    <w:p w14:paraId="147F20B3" w14:textId="77777777" w:rsidR="005A7DEE" w:rsidRPr="00B86132" w:rsidRDefault="005A7DEE" w:rsidP="00FE659D">
      <w:pPr>
        <w:rPr>
          <w:rFonts w:cs="Arial"/>
          <w:color w:val="3B3838" w:themeColor="background2" w:themeShade="40"/>
          <w:sz w:val="24"/>
          <w:szCs w:val="24"/>
        </w:rPr>
      </w:pPr>
    </w:p>
    <w:p w14:paraId="4CCBC891" w14:textId="4288C52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Röhricht, F. (2009) ‘Body oriented psychotherapy. The state of the art in empirical research and evidence-based practice: A clinical perspective’, </w:t>
      </w:r>
      <w:r w:rsidRPr="00B86132">
        <w:rPr>
          <w:rFonts w:cs="Arial"/>
          <w:i/>
          <w:iCs/>
          <w:color w:val="3B3838" w:themeColor="background2" w:themeShade="40"/>
          <w:sz w:val="24"/>
          <w:szCs w:val="24"/>
        </w:rPr>
        <w:t>Body, Movement and Dance in Psychotherapy</w:t>
      </w:r>
      <w:r w:rsidRPr="00B86132">
        <w:rPr>
          <w:rFonts w:cs="Arial"/>
          <w:color w:val="3B3838" w:themeColor="background2" w:themeShade="40"/>
          <w:sz w:val="24"/>
          <w:szCs w:val="24"/>
        </w:rPr>
        <w:t xml:space="preserve">, 4(2), pp.135-156. </w:t>
      </w:r>
    </w:p>
    <w:p w14:paraId="1400CBC1" w14:textId="77777777" w:rsidR="005A7DEE" w:rsidRPr="00B86132" w:rsidRDefault="005A7DEE" w:rsidP="00FE659D">
      <w:pPr>
        <w:rPr>
          <w:rFonts w:cs="Arial"/>
          <w:color w:val="3B3838" w:themeColor="background2" w:themeShade="40"/>
          <w:sz w:val="24"/>
          <w:szCs w:val="24"/>
        </w:rPr>
      </w:pPr>
    </w:p>
    <w:p w14:paraId="40DA45CE" w14:textId="7D956960"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Rothschild, B. (2000) </w:t>
      </w:r>
      <w:r w:rsidRPr="00B86132">
        <w:rPr>
          <w:rFonts w:cs="Arial"/>
          <w:i/>
          <w:iCs/>
          <w:color w:val="3B3838" w:themeColor="background2" w:themeShade="40"/>
          <w:sz w:val="24"/>
          <w:szCs w:val="24"/>
        </w:rPr>
        <w:t>The Body Remembers: The Psychophysiology of trauma and trauma treatment</w:t>
      </w:r>
      <w:r w:rsidRPr="00B86132">
        <w:rPr>
          <w:rFonts w:cs="Arial"/>
          <w:color w:val="3B3838" w:themeColor="background2" w:themeShade="40"/>
          <w:sz w:val="24"/>
          <w:szCs w:val="24"/>
        </w:rPr>
        <w:t xml:space="preserve">. New York: WW Norton and Company. </w:t>
      </w:r>
    </w:p>
    <w:p w14:paraId="67F885E7" w14:textId="77777777" w:rsidR="005A7DEE" w:rsidRPr="00B86132" w:rsidRDefault="005A7DEE" w:rsidP="00FE659D">
      <w:pPr>
        <w:rPr>
          <w:rFonts w:cs="Arial"/>
          <w:color w:val="3B3838" w:themeColor="background2" w:themeShade="40"/>
          <w:sz w:val="24"/>
          <w:szCs w:val="24"/>
        </w:rPr>
      </w:pPr>
    </w:p>
    <w:p w14:paraId="10B4D597" w14:textId="4435DCD6"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Rothschild, B. (2003) </w:t>
      </w:r>
      <w:r w:rsidRPr="00B86132">
        <w:rPr>
          <w:rFonts w:cs="Arial"/>
          <w:i/>
          <w:iCs/>
          <w:color w:val="3B3838" w:themeColor="background2" w:themeShade="40"/>
          <w:sz w:val="24"/>
          <w:szCs w:val="24"/>
          <w:shd w:val="clear" w:color="auto" w:fill="FFFFFF"/>
        </w:rPr>
        <w:t>The body remembers casebook: Unifying methods and models in the treatment of trauma and PTSD</w:t>
      </w:r>
      <w:r w:rsidRPr="00B86132">
        <w:rPr>
          <w:rFonts w:cs="Arial"/>
          <w:color w:val="3B3838" w:themeColor="background2" w:themeShade="40"/>
          <w:sz w:val="24"/>
          <w:szCs w:val="24"/>
          <w:shd w:val="clear" w:color="auto" w:fill="FFFFFF"/>
        </w:rPr>
        <w:t>. New York: WW Norton &amp; Company.</w:t>
      </w:r>
    </w:p>
    <w:p w14:paraId="6165E97D" w14:textId="77777777" w:rsidR="005A7DEE" w:rsidRPr="00B86132" w:rsidRDefault="005A7DEE" w:rsidP="00FE659D">
      <w:pPr>
        <w:rPr>
          <w:rFonts w:cs="Arial"/>
          <w:color w:val="3B3838" w:themeColor="background2" w:themeShade="40"/>
          <w:sz w:val="24"/>
          <w:szCs w:val="24"/>
        </w:rPr>
      </w:pPr>
    </w:p>
    <w:p w14:paraId="0472CEF6" w14:textId="1DBB41E5"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Rothschild, B. (2017) </w:t>
      </w:r>
      <w:r w:rsidRPr="00B86132">
        <w:rPr>
          <w:rFonts w:cs="Arial"/>
          <w:i/>
          <w:iCs/>
          <w:color w:val="3B3838" w:themeColor="background2" w:themeShade="40"/>
          <w:sz w:val="24"/>
          <w:szCs w:val="24"/>
        </w:rPr>
        <w:t>The Body Remembers volume 2: Revolutionizing trauma treatment</w:t>
      </w:r>
      <w:r w:rsidRPr="00B86132">
        <w:rPr>
          <w:rFonts w:cs="Arial"/>
          <w:color w:val="3B3838" w:themeColor="background2" w:themeShade="40"/>
          <w:sz w:val="24"/>
          <w:szCs w:val="24"/>
        </w:rPr>
        <w:t>. New York: WW Norton and Company.</w:t>
      </w:r>
    </w:p>
    <w:p w14:paraId="33DBADBB" w14:textId="77777777" w:rsidR="005A7DEE" w:rsidRPr="00B86132" w:rsidRDefault="005A7DEE" w:rsidP="00FE659D">
      <w:pPr>
        <w:rPr>
          <w:rFonts w:cs="Arial"/>
          <w:color w:val="3B3838" w:themeColor="background2" w:themeShade="40"/>
          <w:sz w:val="24"/>
          <w:szCs w:val="24"/>
        </w:rPr>
      </w:pPr>
    </w:p>
    <w:p w14:paraId="437A6352" w14:textId="0DA4B9FA" w:rsidR="00FE659D" w:rsidRDefault="00FE659D" w:rsidP="00FE659D">
      <w:pPr>
        <w:rPr>
          <w:rFonts w:cs="Arial"/>
          <w:color w:val="3B3838" w:themeColor="background2" w:themeShade="40"/>
          <w:sz w:val="24"/>
          <w:szCs w:val="24"/>
          <w:u w:val="single"/>
          <w:shd w:val="clear" w:color="auto" w:fill="FFFFFF"/>
        </w:rPr>
      </w:pPr>
      <w:r w:rsidRPr="00B86132">
        <w:rPr>
          <w:rFonts w:cs="Arial"/>
          <w:color w:val="3B3838" w:themeColor="background2" w:themeShade="40"/>
          <w:sz w:val="24"/>
          <w:szCs w:val="24"/>
          <w:shd w:val="clear" w:color="auto" w:fill="FFFFFF"/>
        </w:rPr>
        <w:t xml:space="preserve">Rubin, D. et al. (2016) ‘Scientific evidence versus outdated beliefs: A response to Brewin (2016)’, </w:t>
      </w:r>
      <w:r w:rsidRPr="00B86132">
        <w:rPr>
          <w:rFonts w:cs="Arial"/>
          <w:i/>
          <w:iCs/>
          <w:color w:val="3B3838" w:themeColor="background2" w:themeShade="40"/>
          <w:sz w:val="24"/>
          <w:szCs w:val="24"/>
          <w:shd w:val="clear" w:color="auto" w:fill="FFFFFF"/>
        </w:rPr>
        <w:t>Journal of Abnormal Psychology, 125</w:t>
      </w:r>
      <w:r w:rsidRPr="00B86132">
        <w:rPr>
          <w:rFonts w:cs="Arial"/>
          <w:color w:val="3B3838" w:themeColor="background2" w:themeShade="40"/>
          <w:sz w:val="24"/>
          <w:szCs w:val="24"/>
          <w:shd w:val="clear" w:color="auto" w:fill="FFFFFF"/>
        </w:rPr>
        <w:t>(7), 1018–1021. </w:t>
      </w:r>
      <w:hyperlink r:id="rId78" w:tgtFrame="_blank" w:history="1">
        <w:r w:rsidRPr="00B86132">
          <w:rPr>
            <w:rFonts w:cs="Arial"/>
            <w:color w:val="3B3838" w:themeColor="background2" w:themeShade="40"/>
            <w:sz w:val="24"/>
            <w:szCs w:val="24"/>
            <w:u w:val="single"/>
            <w:shd w:val="clear" w:color="auto" w:fill="FFFFFF"/>
          </w:rPr>
          <w:t>https://doi.org/10.1037/abn0000211</w:t>
        </w:r>
      </w:hyperlink>
    </w:p>
    <w:p w14:paraId="037F5389" w14:textId="77777777" w:rsidR="005A7DEE" w:rsidRPr="00B86132" w:rsidRDefault="005A7DEE" w:rsidP="00FE659D">
      <w:pPr>
        <w:rPr>
          <w:rFonts w:cs="Arial"/>
          <w:color w:val="3B3838" w:themeColor="background2" w:themeShade="40"/>
          <w:sz w:val="24"/>
          <w:szCs w:val="24"/>
          <w:u w:val="single"/>
          <w:shd w:val="clear" w:color="auto" w:fill="FFFFFF"/>
        </w:rPr>
      </w:pPr>
    </w:p>
    <w:p w14:paraId="49412438" w14:textId="46B46C96" w:rsidR="00FE659D" w:rsidRDefault="00FE659D" w:rsidP="00FE659D">
      <w:pPr>
        <w:rPr>
          <w:rFonts w:cs="Arial"/>
          <w:color w:val="3B3838" w:themeColor="background2" w:themeShade="40"/>
          <w:sz w:val="24"/>
          <w:szCs w:val="24"/>
          <w:u w:val="single"/>
          <w:shd w:val="clear" w:color="auto" w:fill="FFFFFF"/>
        </w:rPr>
      </w:pPr>
      <w:bookmarkStart w:id="8" w:name="_Hlk90452998"/>
      <w:r w:rsidRPr="00B86132">
        <w:rPr>
          <w:rFonts w:cs="Arial"/>
          <w:color w:val="3B3838" w:themeColor="background2" w:themeShade="40"/>
          <w:sz w:val="24"/>
          <w:szCs w:val="24"/>
          <w:shd w:val="clear" w:color="auto" w:fill="FFFFFF"/>
        </w:rPr>
        <w:t>Sachser, C., Keller, F. and Goldbeck, L. (201</w:t>
      </w:r>
      <w:bookmarkEnd w:id="8"/>
      <w:r w:rsidRPr="00B86132">
        <w:rPr>
          <w:rFonts w:cs="Arial"/>
          <w:color w:val="3B3838" w:themeColor="background2" w:themeShade="40"/>
          <w:sz w:val="24"/>
          <w:szCs w:val="24"/>
          <w:shd w:val="clear" w:color="auto" w:fill="FFFFFF"/>
        </w:rPr>
        <w:t>6) Complex PTSD as proposed for ICD</w:t>
      </w:r>
      <w:r w:rsidRPr="00B86132">
        <w:rPr>
          <w:rFonts w:ascii="Cambria Math" w:hAnsi="Cambria Math" w:cs="Cambria Math"/>
          <w:color w:val="3B3838" w:themeColor="background2" w:themeShade="40"/>
          <w:sz w:val="24"/>
          <w:szCs w:val="24"/>
          <w:shd w:val="clear" w:color="auto" w:fill="FFFFFF"/>
        </w:rPr>
        <w:t>‐</w:t>
      </w:r>
      <w:r w:rsidRPr="00B86132">
        <w:rPr>
          <w:rFonts w:cs="Arial"/>
          <w:color w:val="3B3838" w:themeColor="background2" w:themeShade="40"/>
          <w:sz w:val="24"/>
          <w:szCs w:val="24"/>
          <w:shd w:val="clear" w:color="auto" w:fill="FFFFFF"/>
        </w:rPr>
        <w:t>11: Validation of a new disorder in children and adolescents and their response to Trauma</w:t>
      </w:r>
      <w:r w:rsidRPr="00B86132">
        <w:rPr>
          <w:rFonts w:ascii="Cambria Math" w:hAnsi="Cambria Math" w:cs="Cambria Math"/>
          <w:color w:val="3B3838" w:themeColor="background2" w:themeShade="40"/>
          <w:sz w:val="24"/>
          <w:szCs w:val="24"/>
          <w:shd w:val="clear" w:color="auto" w:fill="FFFFFF"/>
        </w:rPr>
        <w:t>‐</w:t>
      </w:r>
      <w:r w:rsidRPr="00B86132">
        <w:rPr>
          <w:rFonts w:cs="Arial"/>
          <w:color w:val="3B3838" w:themeColor="background2" w:themeShade="40"/>
          <w:sz w:val="24"/>
          <w:szCs w:val="24"/>
          <w:shd w:val="clear" w:color="auto" w:fill="FFFFFF"/>
        </w:rPr>
        <w:t>Focused Cognitive Behavioral Therapy. </w:t>
      </w:r>
      <w:r w:rsidRPr="00B86132">
        <w:rPr>
          <w:rFonts w:cs="Arial"/>
          <w:i/>
          <w:iCs/>
          <w:color w:val="3B3838" w:themeColor="background2" w:themeShade="40"/>
          <w:sz w:val="24"/>
          <w:szCs w:val="24"/>
          <w:shd w:val="clear" w:color="auto" w:fill="FFFFFF"/>
        </w:rPr>
        <w:t>Journal of Child Psychology and Psychiatry</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58</w:t>
      </w:r>
      <w:r w:rsidRPr="00B86132">
        <w:rPr>
          <w:rFonts w:cs="Arial"/>
          <w:color w:val="3B3838" w:themeColor="background2" w:themeShade="40"/>
          <w:sz w:val="24"/>
          <w:szCs w:val="24"/>
          <w:shd w:val="clear" w:color="auto" w:fill="FFFFFF"/>
        </w:rPr>
        <w:t xml:space="preserve">(2), pp.160-168. </w:t>
      </w:r>
      <w:hyperlink r:id="rId79" w:history="1">
        <w:r w:rsidRPr="00B86132">
          <w:rPr>
            <w:rFonts w:cs="Arial"/>
            <w:color w:val="3B3838" w:themeColor="background2" w:themeShade="40"/>
            <w:sz w:val="24"/>
            <w:szCs w:val="24"/>
            <w:u w:val="single"/>
            <w:shd w:val="clear" w:color="auto" w:fill="FFFFFF"/>
          </w:rPr>
          <w:t>https://doi.org/10.1111/jcpp.12640</w:t>
        </w:r>
      </w:hyperlink>
    </w:p>
    <w:p w14:paraId="12B68AB7" w14:textId="77777777" w:rsidR="005A7DEE" w:rsidRPr="00B86132" w:rsidRDefault="005A7DEE" w:rsidP="00FE659D">
      <w:pPr>
        <w:rPr>
          <w:rFonts w:cs="Arial"/>
          <w:color w:val="3B3838" w:themeColor="background2" w:themeShade="40"/>
          <w:sz w:val="24"/>
          <w:szCs w:val="24"/>
          <w:u w:val="single"/>
          <w:shd w:val="clear" w:color="auto" w:fill="FFFFFF"/>
        </w:rPr>
      </w:pPr>
    </w:p>
    <w:p w14:paraId="6317539B" w14:textId="77777777" w:rsidR="00FE659D" w:rsidRPr="00B86132" w:rsidRDefault="00FE659D" w:rsidP="00FE659D">
      <w:pPr>
        <w:shd w:val="clear" w:color="auto" w:fill="FFFFFF"/>
        <w:spacing w:afterAutospacing="1"/>
        <w:rPr>
          <w:rFonts w:cs="Arial"/>
          <w:color w:val="3B3838" w:themeColor="background2" w:themeShade="40"/>
          <w:sz w:val="24"/>
          <w:szCs w:val="24"/>
        </w:rPr>
      </w:pPr>
      <w:r w:rsidRPr="00B86132">
        <w:rPr>
          <w:rFonts w:cs="Arial"/>
          <w:color w:val="3B3838" w:themeColor="background2" w:themeShade="40"/>
          <w:sz w:val="24"/>
          <w:szCs w:val="24"/>
        </w:rPr>
        <w:t>Safran, J. (2003) ‘The Relational Turn, the Therapeutic Alliance, and Psychotherapy Research’, </w:t>
      </w:r>
      <w:r w:rsidRPr="00B86132">
        <w:rPr>
          <w:rFonts w:cs="Arial"/>
          <w:i/>
          <w:iCs/>
          <w:color w:val="3B3838" w:themeColor="background2" w:themeShade="40"/>
          <w:sz w:val="24"/>
          <w:szCs w:val="24"/>
        </w:rPr>
        <w:t>Contemporary Psychoanalysis</w:t>
      </w:r>
      <w:r w:rsidRPr="00B86132">
        <w:rPr>
          <w:rFonts w:cs="Arial"/>
          <w:color w:val="3B3838" w:themeColor="background2" w:themeShade="40"/>
          <w:sz w:val="24"/>
          <w:szCs w:val="24"/>
        </w:rPr>
        <w:t>, 39:3, 449-475, DOI: </w:t>
      </w:r>
      <w:hyperlink r:id="rId80" w:history="1">
        <w:r w:rsidRPr="00B86132">
          <w:rPr>
            <w:rFonts w:cs="Arial"/>
            <w:color w:val="3B3838" w:themeColor="background2" w:themeShade="40"/>
            <w:sz w:val="24"/>
            <w:szCs w:val="24"/>
            <w:u w:val="single"/>
          </w:rPr>
          <w:t>10.1080/00107530.2003.10747215</w:t>
        </w:r>
      </w:hyperlink>
    </w:p>
    <w:p w14:paraId="10EF444B" w14:textId="4F33F634"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Scaer, Robert C. (2001) ‘The Neurophysiology of Dissociation and Chronic Disease’, </w:t>
      </w:r>
      <w:r w:rsidRPr="00B86132">
        <w:rPr>
          <w:rFonts w:cs="Arial"/>
          <w:i/>
          <w:iCs/>
          <w:color w:val="3B3838" w:themeColor="background2" w:themeShade="40"/>
          <w:sz w:val="24"/>
          <w:szCs w:val="24"/>
        </w:rPr>
        <w:t>Applied Psychophysiology and Biofeedback</w:t>
      </w:r>
      <w:r w:rsidRPr="00B86132">
        <w:rPr>
          <w:rFonts w:cs="Arial"/>
          <w:color w:val="3B3838" w:themeColor="background2" w:themeShade="40"/>
          <w:sz w:val="24"/>
          <w:szCs w:val="24"/>
        </w:rPr>
        <w:t xml:space="preserve">, 26(1), pp.73–92. Available at: </w:t>
      </w:r>
      <w:hyperlink r:id="rId81" w:history="1">
        <w:r w:rsidRPr="00B86132">
          <w:rPr>
            <w:rStyle w:val="Hyperlink"/>
            <w:rFonts w:eastAsiaTheme="majorEastAsia" w:cs="Arial"/>
            <w:color w:val="3B3838" w:themeColor="background2" w:themeShade="40"/>
            <w:sz w:val="24"/>
            <w:szCs w:val="24"/>
          </w:rPr>
          <w:t>https://link-springer-com.ezproxy.uwtsd.ac.uk/content/pdf/10.1023/A:1009571806136.pdf</w:t>
        </w:r>
      </w:hyperlink>
      <w:r w:rsidRPr="00B86132">
        <w:rPr>
          <w:rFonts w:cs="Arial"/>
          <w:color w:val="3B3838" w:themeColor="background2" w:themeShade="40"/>
          <w:sz w:val="24"/>
          <w:szCs w:val="24"/>
        </w:rPr>
        <w:t xml:space="preserve"> (Accessed: 01 December 2020). </w:t>
      </w:r>
    </w:p>
    <w:p w14:paraId="1778FE29" w14:textId="77777777" w:rsidR="005A7DEE" w:rsidRPr="00B86132" w:rsidRDefault="005A7DEE" w:rsidP="00FE659D">
      <w:pPr>
        <w:rPr>
          <w:rFonts w:cs="Arial"/>
          <w:color w:val="3B3838" w:themeColor="background2" w:themeShade="40"/>
          <w:sz w:val="24"/>
          <w:szCs w:val="24"/>
        </w:rPr>
      </w:pPr>
    </w:p>
    <w:p w14:paraId="461BA2B3" w14:textId="17BB397F" w:rsidR="00FE659D" w:rsidRDefault="00FE659D" w:rsidP="00FE659D">
      <w:pPr>
        <w:rPr>
          <w:rStyle w:val="Hyperlink"/>
          <w:rFonts w:eastAsiaTheme="majorEastAsia" w:cs="Arial"/>
          <w:color w:val="3B3838" w:themeColor="background2" w:themeShade="40"/>
          <w:sz w:val="24"/>
          <w:szCs w:val="24"/>
        </w:rPr>
      </w:pPr>
      <w:bookmarkStart w:id="9" w:name="_Hlk88907341"/>
      <w:r w:rsidRPr="00B86132">
        <w:rPr>
          <w:rFonts w:cs="Arial"/>
          <w:color w:val="3B3838" w:themeColor="background2" w:themeShade="40"/>
          <w:sz w:val="24"/>
          <w:szCs w:val="24"/>
        </w:rPr>
        <w:t>Schimmenti, A. and Caretti, V. (2016</w:t>
      </w:r>
      <w:bookmarkEnd w:id="9"/>
      <w:r w:rsidRPr="00B86132">
        <w:rPr>
          <w:rFonts w:cs="Arial"/>
          <w:color w:val="3B3838" w:themeColor="background2" w:themeShade="40"/>
          <w:sz w:val="24"/>
          <w:szCs w:val="24"/>
        </w:rPr>
        <w:t xml:space="preserve">) ‘Linking the overwhelming with the unbearable’, Psychoanalytic psychology, 33(1), pp.106–128. </w:t>
      </w:r>
      <w:hyperlink r:id="rId82" w:history="1">
        <w:r w:rsidRPr="00B86132">
          <w:rPr>
            <w:rStyle w:val="Hyperlink"/>
            <w:rFonts w:eastAsiaTheme="majorEastAsia" w:cs="Arial"/>
            <w:color w:val="3B3838" w:themeColor="background2" w:themeShade="40"/>
            <w:sz w:val="24"/>
            <w:szCs w:val="24"/>
          </w:rPr>
          <w:t>https://doi.apa.org/doiLanding?doi=10.1037%2Fa0038019</w:t>
        </w:r>
      </w:hyperlink>
    </w:p>
    <w:p w14:paraId="0499855F" w14:textId="77777777" w:rsidR="005A7DEE" w:rsidRPr="00B86132" w:rsidRDefault="005A7DEE" w:rsidP="00FE659D">
      <w:pPr>
        <w:rPr>
          <w:rFonts w:cs="Arial"/>
          <w:color w:val="3B3838" w:themeColor="background2" w:themeShade="40"/>
          <w:sz w:val="24"/>
          <w:szCs w:val="24"/>
        </w:rPr>
      </w:pPr>
    </w:p>
    <w:p w14:paraId="2D3D825F"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Schore, A. (2009) Attachment trauma and the developing right brain: Origins of pathological dissociation. In P. F. Dell and J. A. O'Neil (Eds.), Dissociation and the dissociative disorders: DSM-V and beyond (p. 107–141). Routledge/Taylor and Francis Group</w:t>
      </w:r>
    </w:p>
    <w:p w14:paraId="2BBF4C15" w14:textId="0C20DED6" w:rsidR="00FE659D" w:rsidRDefault="00FE659D" w:rsidP="00FE659D">
      <w:pPr>
        <w:rPr>
          <w:rFonts w:cs="Arial"/>
          <w:color w:val="3B3838" w:themeColor="background2" w:themeShade="40"/>
          <w:sz w:val="24"/>
          <w:szCs w:val="24"/>
          <w:u w:val="single"/>
          <w:shd w:val="clear" w:color="auto" w:fill="FFFFFF"/>
        </w:rPr>
      </w:pPr>
      <w:r w:rsidRPr="00B86132">
        <w:rPr>
          <w:rFonts w:cs="Arial"/>
          <w:color w:val="3B3838" w:themeColor="background2" w:themeShade="40"/>
          <w:sz w:val="24"/>
          <w:szCs w:val="24"/>
          <w:shd w:val="clear" w:color="auto" w:fill="FFFFFF"/>
        </w:rPr>
        <w:t xml:space="preserve">Schore, A. (2021) The Interpersonal Neurobiology of Intersubjectivity, </w:t>
      </w:r>
      <w:r w:rsidRPr="00B86132">
        <w:rPr>
          <w:rFonts w:cs="Arial"/>
          <w:i/>
          <w:iCs/>
          <w:color w:val="3B3838" w:themeColor="background2" w:themeShade="40"/>
          <w:sz w:val="24"/>
          <w:szCs w:val="24"/>
          <w:shd w:val="clear" w:color="auto" w:fill="FFFFFF"/>
        </w:rPr>
        <w:t>Frontiers in Psychology</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12</w:t>
      </w:r>
      <w:r w:rsidRPr="00B86132">
        <w:rPr>
          <w:rFonts w:cs="Arial"/>
          <w:color w:val="3B3838" w:themeColor="background2" w:themeShade="40"/>
          <w:sz w:val="24"/>
          <w:szCs w:val="24"/>
          <w:shd w:val="clear" w:color="auto" w:fill="FFFFFF"/>
        </w:rPr>
        <w:t xml:space="preserve">, p.1366. </w:t>
      </w:r>
      <w:hyperlink r:id="rId83" w:history="1">
        <w:r w:rsidRPr="00B86132">
          <w:rPr>
            <w:rFonts w:cs="Arial"/>
            <w:color w:val="3B3838" w:themeColor="background2" w:themeShade="40"/>
            <w:sz w:val="24"/>
            <w:szCs w:val="24"/>
            <w:u w:val="single"/>
            <w:shd w:val="clear" w:color="auto" w:fill="FFFFFF"/>
          </w:rPr>
          <w:t>https://doi.org/10.3389/fpsyg.2021.648616</w:t>
        </w:r>
      </w:hyperlink>
    </w:p>
    <w:p w14:paraId="64117315" w14:textId="77777777" w:rsidR="005A7DEE" w:rsidRPr="00B86132" w:rsidRDefault="005A7DEE" w:rsidP="00FE659D">
      <w:pPr>
        <w:rPr>
          <w:rFonts w:cs="Arial"/>
          <w:color w:val="3B3838" w:themeColor="background2" w:themeShade="40"/>
          <w:sz w:val="24"/>
          <w:szCs w:val="24"/>
        </w:rPr>
      </w:pPr>
    </w:p>
    <w:p w14:paraId="64D685BD" w14:textId="0C78E771"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Schore, J. and Schore, A. (2008) ‘Modern Attachment Theory: The Central Role of Affect Regulation in Development and Treatment’, </w:t>
      </w:r>
      <w:r w:rsidRPr="00B86132">
        <w:rPr>
          <w:rFonts w:cs="Arial"/>
          <w:i/>
          <w:iCs/>
          <w:color w:val="3B3838" w:themeColor="background2" w:themeShade="40"/>
          <w:sz w:val="24"/>
          <w:szCs w:val="24"/>
        </w:rPr>
        <w:t>Clinical Social Work Journal</w:t>
      </w:r>
      <w:r w:rsidRPr="00B86132">
        <w:rPr>
          <w:rFonts w:cs="Arial"/>
          <w:color w:val="3B3838" w:themeColor="background2" w:themeShade="40"/>
          <w:sz w:val="24"/>
          <w:szCs w:val="24"/>
        </w:rPr>
        <w:t>, 36(1), pp.9–20. DOI 10.1007/s10615-007-0111-7</w:t>
      </w:r>
    </w:p>
    <w:p w14:paraId="1553825D" w14:textId="77777777" w:rsidR="005A7DEE" w:rsidRPr="00B86132" w:rsidRDefault="005A7DEE" w:rsidP="00FE659D">
      <w:pPr>
        <w:rPr>
          <w:rFonts w:cs="Arial"/>
          <w:color w:val="3B3838" w:themeColor="background2" w:themeShade="40"/>
          <w:sz w:val="24"/>
          <w:szCs w:val="24"/>
        </w:rPr>
      </w:pPr>
    </w:p>
    <w:p w14:paraId="14D581C6" w14:textId="3FBCF8FC"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lastRenderedPageBreak/>
        <w:t xml:space="preserve">Schore A. (2005) ‘Back to basics: Attachment, affect regulation, and the developing right brain: Linking developmental neuroscience to paediatrics’, </w:t>
      </w:r>
      <w:r w:rsidRPr="00B86132">
        <w:rPr>
          <w:rFonts w:cs="Arial"/>
          <w:i/>
          <w:iCs/>
          <w:color w:val="3B3838" w:themeColor="background2" w:themeShade="40"/>
          <w:sz w:val="24"/>
          <w:szCs w:val="24"/>
        </w:rPr>
        <w:t>Paediatric Review</w:t>
      </w:r>
      <w:r w:rsidRPr="00B86132">
        <w:rPr>
          <w:rFonts w:cs="Arial"/>
          <w:color w:val="3B3838" w:themeColor="background2" w:themeShade="40"/>
          <w:sz w:val="24"/>
          <w:szCs w:val="24"/>
        </w:rPr>
        <w:t>, 26: 204–17.</w:t>
      </w:r>
    </w:p>
    <w:p w14:paraId="4FA8B529" w14:textId="77777777" w:rsidR="005A7DEE" w:rsidRPr="00B86132" w:rsidRDefault="005A7DEE" w:rsidP="00FE659D">
      <w:pPr>
        <w:rPr>
          <w:rFonts w:cs="Arial"/>
          <w:color w:val="3B3838" w:themeColor="background2" w:themeShade="40"/>
          <w:sz w:val="24"/>
          <w:szCs w:val="24"/>
        </w:rPr>
      </w:pPr>
    </w:p>
    <w:p w14:paraId="5DE041CC" w14:textId="163AC907" w:rsidR="00FE659D" w:rsidRDefault="00FE659D" w:rsidP="00FE659D">
      <w:pPr>
        <w:rPr>
          <w:rFonts w:cs="Arial"/>
          <w:color w:val="3B3838" w:themeColor="background2" w:themeShade="40"/>
          <w:sz w:val="24"/>
          <w:szCs w:val="24"/>
        </w:rPr>
      </w:pPr>
      <w:bookmarkStart w:id="10" w:name="_Hlk89594444"/>
      <w:r w:rsidRPr="00B86132">
        <w:rPr>
          <w:rFonts w:cs="Arial"/>
          <w:color w:val="3B3838" w:themeColor="background2" w:themeShade="40"/>
          <w:sz w:val="24"/>
          <w:szCs w:val="24"/>
        </w:rPr>
        <w:t>Schwarz, L. et al. (2017) </w:t>
      </w:r>
      <w:r w:rsidRPr="00B86132">
        <w:rPr>
          <w:rFonts w:cs="Arial"/>
          <w:i/>
          <w:iCs/>
          <w:color w:val="3B3838" w:themeColor="background2" w:themeShade="40"/>
          <w:sz w:val="24"/>
          <w:szCs w:val="24"/>
        </w:rPr>
        <w:t>Explorations in Mental Health Series. The comprehensive resource model: Effective therapeutic techniques for the healing of complex trauma</w:t>
      </w:r>
      <w:r w:rsidRPr="00B86132">
        <w:rPr>
          <w:rFonts w:cs="Arial"/>
          <w:color w:val="3B3838" w:themeColor="background2" w:themeShade="40"/>
          <w:sz w:val="24"/>
          <w:szCs w:val="24"/>
        </w:rPr>
        <w:t>.</w:t>
      </w:r>
      <w:bookmarkEnd w:id="10"/>
      <w:r w:rsidRPr="00B86132">
        <w:rPr>
          <w:rFonts w:cs="Arial"/>
          <w:color w:val="3B3838" w:themeColor="background2" w:themeShade="40"/>
          <w:sz w:val="24"/>
          <w:szCs w:val="24"/>
        </w:rPr>
        <w:t> Routledge/Taylor and Francis Group.</w:t>
      </w:r>
    </w:p>
    <w:p w14:paraId="683ED0EE" w14:textId="77777777" w:rsidR="005A7DEE" w:rsidRPr="00B86132" w:rsidRDefault="005A7DEE" w:rsidP="00FE659D">
      <w:pPr>
        <w:rPr>
          <w:rFonts w:cs="Arial"/>
          <w:color w:val="3B3838" w:themeColor="background2" w:themeShade="40"/>
          <w:sz w:val="24"/>
          <w:szCs w:val="24"/>
        </w:rPr>
      </w:pPr>
    </w:p>
    <w:p w14:paraId="7F492A23" w14:textId="14D7CCF1"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Schwartz, R. (2013) ‘Moving from Acceptance Toward Transformation With Internal Family Systems Therapy (IFS)’, </w:t>
      </w:r>
      <w:r w:rsidRPr="00B86132">
        <w:rPr>
          <w:rFonts w:cs="Arial"/>
          <w:i/>
          <w:iCs/>
          <w:color w:val="3B3838" w:themeColor="background2" w:themeShade="40"/>
          <w:sz w:val="24"/>
          <w:szCs w:val="24"/>
        </w:rPr>
        <w:t>Journal of clinical psychology</w:t>
      </w:r>
      <w:r w:rsidRPr="00B86132">
        <w:rPr>
          <w:rFonts w:cs="Arial"/>
          <w:color w:val="3B3838" w:themeColor="background2" w:themeShade="40"/>
          <w:sz w:val="24"/>
          <w:szCs w:val="24"/>
        </w:rPr>
        <w:t xml:space="preserve">, 69(8), pp.805–816. </w:t>
      </w:r>
      <w:hyperlink r:id="rId84" w:history="1">
        <w:r w:rsidRPr="00B86132">
          <w:rPr>
            <w:rStyle w:val="Hyperlink"/>
            <w:rFonts w:eastAsiaTheme="majorEastAsia" w:cs="Arial"/>
            <w:color w:val="3B3838" w:themeColor="background2" w:themeShade="40"/>
            <w:sz w:val="24"/>
            <w:szCs w:val="24"/>
          </w:rPr>
          <w:t>https://doi-org.ezproxy.uwtsd.ac.uk/10.1002/jclp.22016</w:t>
        </w:r>
      </w:hyperlink>
    </w:p>
    <w:p w14:paraId="35DDEE73" w14:textId="77777777" w:rsidR="005A7DEE" w:rsidRPr="00B86132" w:rsidRDefault="005A7DEE" w:rsidP="00FE659D">
      <w:pPr>
        <w:rPr>
          <w:rFonts w:cs="Arial"/>
          <w:color w:val="3B3838" w:themeColor="background2" w:themeShade="40"/>
          <w:sz w:val="24"/>
          <w:szCs w:val="24"/>
        </w:rPr>
      </w:pPr>
    </w:p>
    <w:p w14:paraId="34E28AA9" w14:textId="1E1194C3"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Siegel, D. (2010) </w:t>
      </w:r>
      <w:r w:rsidRPr="00B86132">
        <w:rPr>
          <w:rFonts w:cs="Arial"/>
          <w:i/>
          <w:iCs/>
          <w:color w:val="3B3838" w:themeColor="background2" w:themeShade="40"/>
          <w:sz w:val="24"/>
          <w:szCs w:val="24"/>
        </w:rPr>
        <w:t>The mindful therapist: A clinician's guide to mindsight and neural integration.</w:t>
      </w:r>
      <w:r w:rsidRPr="00B86132">
        <w:rPr>
          <w:rFonts w:cs="Arial"/>
          <w:color w:val="3B3838" w:themeColor="background2" w:themeShade="40"/>
          <w:sz w:val="24"/>
          <w:szCs w:val="24"/>
        </w:rPr>
        <w:t> New York: W W Norton and Co.</w:t>
      </w:r>
    </w:p>
    <w:p w14:paraId="2384AE4B" w14:textId="77777777" w:rsidR="005A7DEE" w:rsidRPr="00B86132" w:rsidRDefault="005A7DEE" w:rsidP="00FE659D">
      <w:pPr>
        <w:rPr>
          <w:rFonts w:cs="Arial"/>
          <w:color w:val="3B3838" w:themeColor="background2" w:themeShade="40"/>
          <w:sz w:val="24"/>
          <w:szCs w:val="24"/>
        </w:rPr>
      </w:pPr>
    </w:p>
    <w:p w14:paraId="71EE384E" w14:textId="341F4897"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Siegel, D. (2015) ‘Interpersonal Neurobiology as a Lens into the Development of Wellbeing and Reslience’, </w:t>
      </w:r>
      <w:r w:rsidRPr="00B86132">
        <w:rPr>
          <w:rFonts w:cs="Arial"/>
          <w:i/>
          <w:iCs/>
          <w:color w:val="3B3838" w:themeColor="background2" w:themeShade="40"/>
          <w:sz w:val="24"/>
          <w:szCs w:val="24"/>
        </w:rPr>
        <w:t>Children Australia</w:t>
      </w:r>
      <w:r w:rsidRPr="00B86132">
        <w:rPr>
          <w:rFonts w:cs="Arial"/>
          <w:color w:val="3B3838" w:themeColor="background2" w:themeShade="40"/>
          <w:sz w:val="24"/>
          <w:szCs w:val="24"/>
        </w:rPr>
        <w:t>, 40(2), pp. 160-164. DOI:10.1017/cha.2015.7</w:t>
      </w:r>
    </w:p>
    <w:p w14:paraId="2F309E6D" w14:textId="77777777" w:rsidR="005A7DEE" w:rsidRPr="00B86132" w:rsidRDefault="005A7DEE" w:rsidP="00FE659D">
      <w:pPr>
        <w:rPr>
          <w:rFonts w:cs="Arial"/>
          <w:color w:val="3B3838" w:themeColor="background2" w:themeShade="40"/>
          <w:sz w:val="24"/>
          <w:szCs w:val="24"/>
        </w:rPr>
      </w:pPr>
    </w:p>
    <w:p w14:paraId="5AF2EA0B" w14:textId="773A7FB4"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Siegel, D. (2020) </w:t>
      </w:r>
      <w:r w:rsidRPr="00B86132">
        <w:rPr>
          <w:rFonts w:cs="Arial"/>
          <w:i/>
          <w:iCs/>
          <w:color w:val="3B3838" w:themeColor="background2" w:themeShade="40"/>
          <w:sz w:val="24"/>
          <w:szCs w:val="24"/>
        </w:rPr>
        <w:t>The developing mind: How relationships and the brain interact to shape who we are.</w:t>
      </w:r>
      <w:r w:rsidRPr="00B86132">
        <w:rPr>
          <w:rFonts w:cs="Arial"/>
          <w:color w:val="3B3838" w:themeColor="background2" w:themeShade="40"/>
          <w:sz w:val="24"/>
          <w:szCs w:val="24"/>
        </w:rPr>
        <w:t xml:space="preserve"> New York, Guilford Publications.</w:t>
      </w:r>
    </w:p>
    <w:p w14:paraId="1A4220DE" w14:textId="77777777" w:rsidR="005A7DEE" w:rsidRPr="00B86132" w:rsidRDefault="005A7DEE" w:rsidP="00FE659D">
      <w:pPr>
        <w:rPr>
          <w:rFonts w:cs="Arial"/>
          <w:color w:val="3B3838" w:themeColor="background2" w:themeShade="40"/>
          <w:sz w:val="24"/>
          <w:szCs w:val="24"/>
        </w:rPr>
      </w:pPr>
    </w:p>
    <w:p w14:paraId="34097C71"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Smith, A. et al. (2020) ‘Epigenome-wide meta-analysis of PTSD across 10 military and civilian cohorts identifies methylation changes in AHRR’, </w:t>
      </w:r>
      <w:r w:rsidRPr="00B86132">
        <w:rPr>
          <w:rFonts w:cs="Arial"/>
          <w:i/>
          <w:iCs/>
          <w:color w:val="3B3838" w:themeColor="background2" w:themeShade="40"/>
          <w:sz w:val="24"/>
          <w:szCs w:val="24"/>
        </w:rPr>
        <w:t>Nature communications,</w:t>
      </w:r>
      <w:r w:rsidRPr="00B86132">
        <w:rPr>
          <w:rFonts w:cs="Arial"/>
          <w:color w:val="3B3838" w:themeColor="background2" w:themeShade="40"/>
          <w:sz w:val="24"/>
          <w:szCs w:val="24"/>
        </w:rPr>
        <w:t xml:space="preserve"> 11(1), p.5965. DOI:10.1038/s41467-020-19615-x</w:t>
      </w:r>
    </w:p>
    <w:p w14:paraId="1DEECBFD" w14:textId="77777777" w:rsidR="005A7DEE"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SOS Internationale (2021) The Curriculum. Available at: </w:t>
      </w:r>
      <w:hyperlink r:id="rId85" w:history="1">
        <w:r w:rsidRPr="00B86132">
          <w:rPr>
            <w:rStyle w:val="Hyperlink"/>
            <w:rFonts w:eastAsiaTheme="majorEastAsia" w:cs="Arial"/>
            <w:color w:val="3B3838" w:themeColor="background2" w:themeShade="40"/>
            <w:sz w:val="24"/>
            <w:szCs w:val="24"/>
          </w:rPr>
          <w:t>https://sosinternationale.org/curriculum</w:t>
        </w:r>
      </w:hyperlink>
      <w:r w:rsidRPr="00B86132">
        <w:rPr>
          <w:rFonts w:cs="Arial"/>
          <w:color w:val="3B3838" w:themeColor="background2" w:themeShade="40"/>
          <w:sz w:val="24"/>
          <w:szCs w:val="24"/>
        </w:rPr>
        <w:t xml:space="preserve"> (Accessed: 31 October 2021).</w:t>
      </w:r>
    </w:p>
    <w:p w14:paraId="6AF7C9B9" w14:textId="75F39D84"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 </w:t>
      </w:r>
    </w:p>
    <w:p w14:paraId="3F02B3C5" w14:textId="6D146646"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Soth, M. (2013) ‘We are all relational, but are some more relational than others? Completing the paradigm shift toward relationality’</w:t>
      </w:r>
      <w:r w:rsidRPr="00B86132">
        <w:rPr>
          <w:rFonts w:cs="Arial"/>
          <w:i/>
          <w:iCs/>
          <w:color w:val="3B3838" w:themeColor="background2" w:themeShade="40"/>
          <w:sz w:val="24"/>
          <w:szCs w:val="24"/>
        </w:rPr>
        <w:t>, Transactional Analysis Journal</w:t>
      </w:r>
      <w:r w:rsidRPr="00B86132">
        <w:rPr>
          <w:rFonts w:cs="Arial"/>
          <w:color w:val="3B3838" w:themeColor="background2" w:themeShade="40"/>
          <w:sz w:val="24"/>
          <w:szCs w:val="24"/>
        </w:rPr>
        <w:t xml:space="preserve">, 43(2), pp.122-137. </w:t>
      </w:r>
      <w:hyperlink r:id="rId86" w:history="1">
        <w:r w:rsidRPr="00B86132">
          <w:rPr>
            <w:rStyle w:val="Hyperlink"/>
            <w:rFonts w:eastAsiaTheme="majorEastAsia" w:cs="Arial"/>
            <w:color w:val="3B3838" w:themeColor="background2" w:themeShade="40"/>
            <w:sz w:val="24"/>
            <w:szCs w:val="24"/>
          </w:rPr>
          <w:t>https://doi.org/10.1177/0362153713499542</w:t>
        </w:r>
      </w:hyperlink>
    </w:p>
    <w:p w14:paraId="42A48291" w14:textId="77777777" w:rsidR="005A7DEE" w:rsidRPr="00B86132" w:rsidRDefault="005A7DEE" w:rsidP="00FE659D">
      <w:pPr>
        <w:rPr>
          <w:rFonts w:cs="Arial"/>
          <w:color w:val="3B3838" w:themeColor="background2" w:themeShade="40"/>
          <w:sz w:val="24"/>
          <w:szCs w:val="24"/>
        </w:rPr>
      </w:pPr>
    </w:p>
    <w:p w14:paraId="65B76641"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Spagnuolo Lobb, M. (2021) ‘Toward a Developmental Perspective in Gestalt Therapy Theory and Practice: The Polyphonic Development of Domains’, </w:t>
      </w:r>
      <w:r w:rsidRPr="00B86132">
        <w:rPr>
          <w:rFonts w:cs="Arial"/>
          <w:i/>
          <w:iCs/>
          <w:color w:val="3B3838" w:themeColor="background2" w:themeShade="40"/>
          <w:sz w:val="24"/>
          <w:szCs w:val="24"/>
        </w:rPr>
        <w:t>Gestalt review</w:t>
      </w:r>
      <w:r w:rsidRPr="00B86132">
        <w:rPr>
          <w:rFonts w:cs="Arial"/>
          <w:color w:val="3B3838" w:themeColor="background2" w:themeShade="40"/>
          <w:sz w:val="24"/>
          <w:szCs w:val="24"/>
        </w:rPr>
        <w:t xml:space="preserve">, 16(3), p.222. Available at: </w:t>
      </w:r>
      <w:hyperlink r:id="rId87" w:history="1">
        <w:r w:rsidRPr="00B86132">
          <w:rPr>
            <w:rStyle w:val="Hyperlink"/>
            <w:rFonts w:eastAsiaTheme="majorEastAsia" w:cs="Arial"/>
            <w:color w:val="3B3838" w:themeColor="background2" w:themeShade="40"/>
            <w:sz w:val="24"/>
            <w:szCs w:val="24"/>
          </w:rPr>
          <w:t>https://www-proquest-com.ezproxy.uwtsd.ac.uk/docview/1284595122?OpenUrlRefId=info:xri/sid:primo&amp;accountid=130472</w:t>
        </w:r>
      </w:hyperlink>
      <w:r w:rsidRPr="00B86132">
        <w:rPr>
          <w:rFonts w:cs="Arial"/>
          <w:color w:val="3B3838" w:themeColor="background2" w:themeShade="40"/>
          <w:sz w:val="24"/>
          <w:szCs w:val="24"/>
        </w:rPr>
        <w:t xml:space="preserve"> (Accessed on 01 March 2021). </w:t>
      </w:r>
    </w:p>
    <w:p w14:paraId="47DAB5B6" w14:textId="3C31C752"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Spagnuolo Lobb, M. (2020) ‘Gestalt therapy during coronavirus: Sensing the experiential ground and “dancing” with reciprocity’, </w:t>
      </w:r>
      <w:r w:rsidRPr="00B86132">
        <w:rPr>
          <w:rFonts w:cs="Arial"/>
          <w:i/>
          <w:iCs/>
          <w:color w:val="3B3838" w:themeColor="background2" w:themeShade="40"/>
          <w:sz w:val="24"/>
          <w:szCs w:val="24"/>
        </w:rPr>
        <w:t>The Humanistic psychologist</w:t>
      </w:r>
      <w:r w:rsidRPr="00B86132">
        <w:rPr>
          <w:rFonts w:cs="Arial"/>
          <w:color w:val="3B3838" w:themeColor="background2" w:themeShade="40"/>
          <w:sz w:val="24"/>
          <w:szCs w:val="24"/>
        </w:rPr>
        <w:t xml:space="preserve">, 48(4), pp.397–409.  </w:t>
      </w:r>
      <w:hyperlink r:id="rId88" w:history="1">
        <w:r w:rsidRPr="00B86132">
          <w:rPr>
            <w:rStyle w:val="Hyperlink"/>
            <w:rFonts w:eastAsiaTheme="majorEastAsia" w:cs="Arial"/>
            <w:color w:val="3B3838" w:themeColor="background2" w:themeShade="40"/>
            <w:sz w:val="24"/>
            <w:szCs w:val="24"/>
          </w:rPr>
          <w:t>https://doi.org/10.1037/hum0000228</w:t>
        </w:r>
      </w:hyperlink>
    </w:p>
    <w:p w14:paraId="5CB87C0A" w14:textId="77777777" w:rsidR="005A7DEE" w:rsidRPr="00B86132" w:rsidRDefault="005A7DEE" w:rsidP="00FE659D">
      <w:pPr>
        <w:rPr>
          <w:rFonts w:cs="Arial"/>
          <w:color w:val="3B3838" w:themeColor="background2" w:themeShade="40"/>
          <w:sz w:val="24"/>
          <w:szCs w:val="24"/>
        </w:rPr>
      </w:pPr>
    </w:p>
    <w:p w14:paraId="2C79E8C0" w14:textId="2C7B7103" w:rsidR="00FE659D" w:rsidRDefault="00FE659D" w:rsidP="00FE659D">
      <w:pPr>
        <w:rPr>
          <w:rFonts w:cs="Arial"/>
          <w:color w:val="3B3838" w:themeColor="background2" w:themeShade="40"/>
          <w:sz w:val="24"/>
          <w:szCs w:val="24"/>
        </w:rPr>
      </w:pPr>
      <w:bookmarkStart w:id="11" w:name="_Hlk74122806"/>
      <w:r w:rsidRPr="00B86132">
        <w:rPr>
          <w:rFonts w:cs="Arial"/>
          <w:color w:val="3B3838" w:themeColor="background2" w:themeShade="40"/>
          <w:sz w:val="24"/>
          <w:szCs w:val="24"/>
        </w:rPr>
        <w:t>Spinazzola</w:t>
      </w:r>
      <w:bookmarkEnd w:id="11"/>
      <w:r w:rsidRPr="00B86132">
        <w:rPr>
          <w:rFonts w:cs="Arial"/>
          <w:color w:val="3B3838" w:themeColor="background2" w:themeShade="40"/>
          <w:sz w:val="24"/>
          <w:szCs w:val="24"/>
        </w:rPr>
        <w:t xml:space="preserve">, J., Kolk, B. and Ford, J. (2021) ‘Developmental Trauma Disorder: A Legacy of Attachment Trauma in Victimized Children’, </w:t>
      </w:r>
      <w:r w:rsidRPr="00B86132">
        <w:rPr>
          <w:rFonts w:cs="Arial"/>
          <w:i/>
          <w:iCs/>
          <w:color w:val="3B3838" w:themeColor="background2" w:themeShade="40"/>
          <w:sz w:val="24"/>
          <w:szCs w:val="24"/>
        </w:rPr>
        <w:t>Journal of traumatic stress</w:t>
      </w:r>
      <w:r w:rsidRPr="00B86132">
        <w:rPr>
          <w:rFonts w:cs="Arial"/>
          <w:color w:val="3B3838" w:themeColor="background2" w:themeShade="40"/>
          <w:sz w:val="24"/>
          <w:szCs w:val="24"/>
        </w:rPr>
        <w:t>, pp.–05-28. DOI 10.1002/jts</w:t>
      </w:r>
    </w:p>
    <w:p w14:paraId="16AB50B7" w14:textId="77777777" w:rsidR="005A7DEE" w:rsidRPr="00B86132" w:rsidRDefault="005A7DEE" w:rsidP="00FE659D">
      <w:pPr>
        <w:rPr>
          <w:rFonts w:cs="Arial"/>
          <w:color w:val="3B3838" w:themeColor="background2" w:themeShade="40"/>
          <w:sz w:val="24"/>
          <w:szCs w:val="24"/>
        </w:rPr>
      </w:pPr>
    </w:p>
    <w:p w14:paraId="5BE2DB39" w14:textId="5747644F"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Stauffer, K., Medina, L. and Chipperfield, D. (2007) ‘Relational psychotherapy and the wounded healer’, An Invitation to the CABP Conference ‘The Client and I: Relational Dilemmas and Opportunities in Psychotherapy. Available at: </w:t>
      </w:r>
      <w:hyperlink r:id="rId89" w:history="1">
        <w:r w:rsidRPr="00B86132">
          <w:rPr>
            <w:rStyle w:val="Hyperlink"/>
            <w:rFonts w:eastAsiaTheme="majorEastAsia" w:cs="Arial"/>
            <w:color w:val="3B3838" w:themeColor="background2" w:themeShade="40"/>
            <w:sz w:val="24"/>
            <w:szCs w:val="24"/>
          </w:rPr>
          <w:t>http://www.brantbjerg.dk/moaikuenglish/englishlitterature/articles_pdf/a4/Relational.pdf</w:t>
        </w:r>
      </w:hyperlink>
      <w:r w:rsidRPr="00B86132">
        <w:rPr>
          <w:rFonts w:cs="Arial"/>
          <w:color w:val="3B3838" w:themeColor="background2" w:themeShade="40"/>
          <w:sz w:val="24"/>
          <w:szCs w:val="24"/>
        </w:rPr>
        <w:t xml:space="preserve"> (Accessed: 6 October 2021). </w:t>
      </w:r>
    </w:p>
    <w:p w14:paraId="68E0019D" w14:textId="77777777" w:rsidR="005A7DEE" w:rsidRPr="00B86132" w:rsidRDefault="005A7DEE" w:rsidP="00FE659D">
      <w:pPr>
        <w:rPr>
          <w:rFonts w:cs="Arial"/>
          <w:color w:val="3B3838" w:themeColor="background2" w:themeShade="40"/>
          <w:sz w:val="24"/>
          <w:szCs w:val="24"/>
        </w:rPr>
      </w:pPr>
    </w:p>
    <w:p w14:paraId="290112DE" w14:textId="74AAD8D8"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Straub, R. et al. (2018) ‘Psychoneuroimmunology—developments in stress research’</w:t>
      </w:r>
      <w:r w:rsidRPr="00B86132">
        <w:rPr>
          <w:rFonts w:cs="Arial"/>
          <w:i/>
          <w:iCs/>
          <w:color w:val="3B3838" w:themeColor="background2" w:themeShade="40"/>
          <w:sz w:val="24"/>
          <w:szCs w:val="24"/>
        </w:rPr>
        <w:t>, Wiener medizinische Wochenschrift</w:t>
      </w:r>
      <w:r w:rsidRPr="00B86132">
        <w:rPr>
          <w:rFonts w:cs="Arial"/>
          <w:color w:val="3B3838" w:themeColor="background2" w:themeShade="40"/>
          <w:sz w:val="24"/>
          <w:szCs w:val="24"/>
        </w:rPr>
        <w:t>, 168(3), pp.76–84.</w:t>
      </w:r>
    </w:p>
    <w:p w14:paraId="594DDD7D" w14:textId="77777777" w:rsidR="005A7DEE" w:rsidRPr="00B86132" w:rsidRDefault="005A7DEE" w:rsidP="00FE659D">
      <w:pPr>
        <w:rPr>
          <w:rFonts w:cs="Arial"/>
          <w:color w:val="3B3838" w:themeColor="background2" w:themeShade="40"/>
          <w:sz w:val="24"/>
          <w:szCs w:val="24"/>
        </w:rPr>
      </w:pPr>
    </w:p>
    <w:p w14:paraId="293D9D7A" w14:textId="1B36EA8A"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Taylor, M. (2014) </w:t>
      </w:r>
      <w:r w:rsidRPr="00B86132">
        <w:rPr>
          <w:rFonts w:cs="Arial"/>
          <w:i/>
          <w:iCs/>
          <w:color w:val="3B3838" w:themeColor="background2" w:themeShade="40"/>
          <w:sz w:val="24"/>
          <w:szCs w:val="24"/>
        </w:rPr>
        <w:t>Trauma therapy and clinical practice: Neuroscience, Gestalt and the body</w:t>
      </w:r>
      <w:r w:rsidRPr="00B86132">
        <w:rPr>
          <w:rFonts w:cs="Arial"/>
          <w:color w:val="3B3838" w:themeColor="background2" w:themeShade="40"/>
          <w:sz w:val="24"/>
          <w:szCs w:val="24"/>
        </w:rPr>
        <w:t>. UK: McGraw-Hill Education.</w:t>
      </w:r>
    </w:p>
    <w:p w14:paraId="24D079B7" w14:textId="77777777" w:rsidR="005A7DEE" w:rsidRPr="00B86132" w:rsidRDefault="005A7DEE" w:rsidP="00FE659D">
      <w:pPr>
        <w:rPr>
          <w:rFonts w:cs="Arial"/>
          <w:color w:val="3B3838" w:themeColor="background2" w:themeShade="40"/>
          <w:sz w:val="24"/>
          <w:szCs w:val="24"/>
        </w:rPr>
      </w:pPr>
    </w:p>
    <w:p w14:paraId="3BCF0818" w14:textId="6CDA2331"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Taylor, M. (2019) ‘In the Face of Trauma: Relationship, Ethics, and the Possibility of Presence’, </w:t>
      </w:r>
      <w:r w:rsidRPr="00B86132">
        <w:rPr>
          <w:rFonts w:cs="Arial"/>
          <w:i/>
          <w:iCs/>
          <w:color w:val="3B3838" w:themeColor="background2" w:themeShade="40"/>
          <w:sz w:val="24"/>
          <w:szCs w:val="24"/>
        </w:rPr>
        <w:t>Gestalt Review</w:t>
      </w:r>
      <w:r w:rsidRPr="00B86132">
        <w:rPr>
          <w:rFonts w:cs="Arial"/>
          <w:color w:val="3B3838" w:themeColor="background2" w:themeShade="40"/>
          <w:sz w:val="24"/>
          <w:szCs w:val="24"/>
        </w:rPr>
        <w:t xml:space="preserve">, 23(3), pp.261-277. </w:t>
      </w:r>
      <w:hyperlink r:id="rId90" w:tgtFrame="_blank" w:tooltip="This link opens in a new window" w:history="1">
        <w:r w:rsidRPr="00B86132">
          <w:rPr>
            <w:rStyle w:val="Hyperlink"/>
            <w:rFonts w:eastAsiaTheme="majorEastAsia" w:cs="Arial"/>
            <w:color w:val="3B3838" w:themeColor="background2" w:themeShade="40"/>
            <w:sz w:val="24"/>
            <w:szCs w:val="24"/>
          </w:rPr>
          <w:t>https://doi.org/10.5325/gestaltreview.23.3.0261</w:t>
        </w:r>
      </w:hyperlink>
    </w:p>
    <w:p w14:paraId="0784F41C" w14:textId="77777777" w:rsidR="005A7DEE" w:rsidRPr="00B86132" w:rsidRDefault="005A7DEE" w:rsidP="00FE659D">
      <w:pPr>
        <w:rPr>
          <w:rFonts w:cs="Arial"/>
          <w:color w:val="3B3838" w:themeColor="background2" w:themeShade="40"/>
          <w:sz w:val="24"/>
          <w:szCs w:val="24"/>
        </w:rPr>
      </w:pPr>
    </w:p>
    <w:p w14:paraId="10765218" w14:textId="12957977"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Terr, L. (1994</w:t>
      </w:r>
      <w:r w:rsidRPr="00B86132">
        <w:rPr>
          <w:rFonts w:cs="Arial"/>
          <w:i/>
          <w:iCs/>
          <w:color w:val="3B3838" w:themeColor="background2" w:themeShade="40"/>
          <w:sz w:val="24"/>
          <w:szCs w:val="24"/>
        </w:rPr>
        <w:t>) Unchained memories: True stories of traumatic memories lost and found.</w:t>
      </w:r>
      <w:r w:rsidRPr="00B86132">
        <w:rPr>
          <w:rFonts w:cs="Arial"/>
          <w:color w:val="3B3838" w:themeColor="background2" w:themeShade="40"/>
          <w:sz w:val="24"/>
          <w:szCs w:val="24"/>
        </w:rPr>
        <w:t xml:space="preserve"> Basic Books.</w:t>
      </w:r>
    </w:p>
    <w:p w14:paraId="0B6192EA" w14:textId="77777777" w:rsidR="005A7DEE" w:rsidRPr="00B86132" w:rsidRDefault="005A7DEE" w:rsidP="00FE659D">
      <w:pPr>
        <w:rPr>
          <w:rFonts w:cs="Arial"/>
          <w:color w:val="3B3838" w:themeColor="background2" w:themeShade="40"/>
          <w:sz w:val="24"/>
          <w:szCs w:val="24"/>
        </w:rPr>
      </w:pPr>
    </w:p>
    <w:p w14:paraId="2638203D" w14:textId="394DD5D4"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Totton, N. (2014) ‘Embodied Relating: The Ground of Psychotherapy’, </w:t>
      </w:r>
      <w:r w:rsidRPr="00B86132">
        <w:rPr>
          <w:rFonts w:cs="Arial"/>
          <w:i/>
          <w:iCs/>
          <w:color w:val="3B3838" w:themeColor="background2" w:themeShade="40"/>
          <w:sz w:val="24"/>
          <w:szCs w:val="24"/>
        </w:rPr>
        <w:t>International Body Psychotherapy Journal</w:t>
      </w:r>
      <w:r w:rsidRPr="00B86132">
        <w:rPr>
          <w:rFonts w:cs="Arial"/>
          <w:color w:val="3B3838" w:themeColor="background2" w:themeShade="40"/>
          <w:sz w:val="24"/>
          <w:szCs w:val="24"/>
        </w:rPr>
        <w:t xml:space="preserve">, 13(2), pp.88–104. Available at: </w:t>
      </w:r>
      <w:hyperlink r:id="rId91" w:anchor="page=4" w:history="1">
        <w:r w:rsidRPr="00B86132">
          <w:rPr>
            <w:rStyle w:val="Hyperlink"/>
            <w:rFonts w:eastAsiaTheme="majorEastAsia" w:cs="Arial"/>
            <w:color w:val="3B3838" w:themeColor="background2" w:themeShade="40"/>
            <w:sz w:val="24"/>
            <w:szCs w:val="24"/>
          </w:rPr>
          <w:t>https://ibpj.org/issues/articles/Somatic%20Colloquium%20-%20Embodied%20Relating%20IBPJ%20volume%2013_2%202014.pdf#page=4</w:t>
        </w:r>
      </w:hyperlink>
      <w:r w:rsidRPr="00B86132">
        <w:rPr>
          <w:rFonts w:cs="Arial"/>
          <w:color w:val="3B3838" w:themeColor="background2" w:themeShade="40"/>
          <w:sz w:val="24"/>
          <w:szCs w:val="24"/>
        </w:rPr>
        <w:t xml:space="preserve"> (Accessed: 08 February 2021).</w:t>
      </w:r>
    </w:p>
    <w:p w14:paraId="7A10F00B" w14:textId="77777777" w:rsidR="005A7DEE" w:rsidRPr="00B86132" w:rsidRDefault="005A7DEE" w:rsidP="00FE659D">
      <w:pPr>
        <w:rPr>
          <w:rFonts w:cs="Arial"/>
          <w:color w:val="3B3838" w:themeColor="background2" w:themeShade="40"/>
          <w:sz w:val="24"/>
          <w:szCs w:val="24"/>
        </w:rPr>
      </w:pPr>
    </w:p>
    <w:p w14:paraId="52397C81" w14:textId="76D5C184"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Treleaven, D. (2018) </w:t>
      </w:r>
      <w:r w:rsidRPr="00B86132">
        <w:rPr>
          <w:rFonts w:cs="Arial"/>
          <w:i/>
          <w:iCs/>
          <w:color w:val="3B3838" w:themeColor="background2" w:themeShade="40"/>
          <w:sz w:val="24"/>
          <w:szCs w:val="24"/>
        </w:rPr>
        <w:t>Trauma-sensitive mindfulness: Practices for safe and transformative healing</w:t>
      </w:r>
      <w:r w:rsidRPr="00B86132">
        <w:rPr>
          <w:rFonts w:cs="Arial"/>
          <w:color w:val="3B3838" w:themeColor="background2" w:themeShade="40"/>
          <w:sz w:val="24"/>
          <w:szCs w:val="24"/>
        </w:rPr>
        <w:t>. New York: WW Norton and Company.</w:t>
      </w:r>
    </w:p>
    <w:p w14:paraId="016DD7F9" w14:textId="77777777" w:rsidR="005A7DEE" w:rsidRPr="00B86132" w:rsidRDefault="005A7DEE" w:rsidP="00FE659D">
      <w:pPr>
        <w:rPr>
          <w:rFonts w:cs="Arial"/>
          <w:color w:val="3B3838" w:themeColor="background2" w:themeShade="40"/>
          <w:sz w:val="24"/>
          <w:szCs w:val="24"/>
        </w:rPr>
      </w:pPr>
    </w:p>
    <w:p w14:paraId="026A517C" w14:textId="6E031809"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Tronick, E. (2017) ‘The caregiver–infant dyad as a buffer or transducer of resource enhancing or depleting factors that shape psychobiological development’, </w:t>
      </w:r>
      <w:r w:rsidRPr="00B86132">
        <w:rPr>
          <w:rFonts w:cs="Arial"/>
          <w:i/>
          <w:iCs/>
          <w:color w:val="3B3838" w:themeColor="background2" w:themeShade="40"/>
          <w:sz w:val="24"/>
          <w:szCs w:val="24"/>
        </w:rPr>
        <w:t>Australian and New Zealand Journal of Family Therapy</w:t>
      </w:r>
      <w:r w:rsidRPr="00B86132">
        <w:rPr>
          <w:rFonts w:cs="Arial"/>
          <w:color w:val="3B3838" w:themeColor="background2" w:themeShade="40"/>
          <w:sz w:val="24"/>
          <w:szCs w:val="24"/>
        </w:rPr>
        <w:t>, 38(4), pp.561-572. doi: 10.1002/anzf.1274</w:t>
      </w:r>
    </w:p>
    <w:p w14:paraId="07BE1466" w14:textId="77777777" w:rsidR="005A7DEE" w:rsidRPr="00B86132" w:rsidRDefault="005A7DEE" w:rsidP="00FE659D">
      <w:pPr>
        <w:rPr>
          <w:rFonts w:cs="Arial"/>
          <w:color w:val="3B3838" w:themeColor="background2" w:themeShade="40"/>
          <w:sz w:val="24"/>
          <w:szCs w:val="24"/>
        </w:rPr>
      </w:pPr>
    </w:p>
    <w:p w14:paraId="43C4B5BF" w14:textId="354658E6"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van der Kolk, B. (1989) ‘The compulsion to repeat the trauma: Re-enactment, revictimization, and masochism’, </w:t>
      </w:r>
      <w:r w:rsidRPr="00B86132">
        <w:rPr>
          <w:rFonts w:cs="Arial"/>
          <w:i/>
          <w:iCs/>
          <w:color w:val="3B3838" w:themeColor="background2" w:themeShade="40"/>
          <w:sz w:val="24"/>
          <w:szCs w:val="24"/>
        </w:rPr>
        <w:t>Psychiatric Clinics of North America</w:t>
      </w:r>
      <w:r w:rsidRPr="00B86132">
        <w:rPr>
          <w:rFonts w:cs="Arial"/>
          <w:color w:val="3B3838" w:themeColor="background2" w:themeShade="40"/>
          <w:sz w:val="24"/>
          <w:szCs w:val="24"/>
        </w:rPr>
        <w:t xml:space="preserve">, 12(2), 389–411. </w:t>
      </w:r>
      <w:hyperlink r:id="rId92" w:history="1">
        <w:r w:rsidR="005A7DEE" w:rsidRPr="00CB4B38">
          <w:rPr>
            <w:rStyle w:val="Hyperlink"/>
            <w:rFonts w:cs="Arial"/>
            <w:sz w:val="24"/>
            <w:szCs w:val="24"/>
            <w14:textFill>
              <w14:solidFill>
                <w14:srgbClr w14:val="0000FF">
                  <w14:lumMod w14:val="25000"/>
                </w14:srgbClr>
              </w14:solidFill>
            </w14:textFill>
          </w:rPr>
          <w:t>https://doi.org/10.1016/S0193-953X(18)30439-8</w:t>
        </w:r>
      </w:hyperlink>
    </w:p>
    <w:p w14:paraId="71B267B2" w14:textId="77777777" w:rsidR="005A7DEE" w:rsidRPr="00B86132" w:rsidRDefault="005A7DEE" w:rsidP="00FE659D">
      <w:pPr>
        <w:rPr>
          <w:rFonts w:cs="Arial"/>
          <w:color w:val="3B3838" w:themeColor="background2" w:themeShade="40"/>
          <w:sz w:val="24"/>
          <w:szCs w:val="24"/>
        </w:rPr>
      </w:pPr>
    </w:p>
    <w:p w14:paraId="6C7D46F7"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van der Kolk, B. (2005) ‘Developmental trauma disorder: towards a rational diagnosis for chronically traumatized children’, </w:t>
      </w:r>
      <w:r w:rsidRPr="00B86132">
        <w:rPr>
          <w:rFonts w:cs="Arial"/>
          <w:i/>
          <w:iCs/>
          <w:color w:val="3B3838" w:themeColor="background2" w:themeShade="40"/>
          <w:sz w:val="24"/>
          <w:szCs w:val="24"/>
        </w:rPr>
        <w:t>Psychiatric annals</w:t>
      </w:r>
      <w:r w:rsidRPr="00B86132">
        <w:rPr>
          <w:rFonts w:cs="Arial"/>
          <w:color w:val="3B3838" w:themeColor="background2" w:themeShade="40"/>
          <w:sz w:val="24"/>
          <w:szCs w:val="24"/>
        </w:rPr>
        <w:t xml:space="preserve">, 35 (5), 401-408. Available at: </w:t>
      </w:r>
      <w:hyperlink r:id="rId93" w:history="1">
        <w:r w:rsidRPr="00B86132">
          <w:rPr>
            <w:rStyle w:val="Hyperlink"/>
            <w:rFonts w:eastAsiaTheme="majorEastAsia" w:cs="Arial"/>
            <w:color w:val="3B3838" w:themeColor="background2" w:themeShade="40"/>
            <w:sz w:val="24"/>
            <w:szCs w:val="24"/>
          </w:rPr>
          <w:t>https://www.proquest.com/scholarly-journals/developmental-trauma-disorder/docview/217061643/se-2?accountid=130472</w:t>
        </w:r>
      </w:hyperlink>
      <w:r w:rsidRPr="00B86132">
        <w:rPr>
          <w:rFonts w:cs="Arial"/>
          <w:color w:val="3B3838" w:themeColor="background2" w:themeShade="40"/>
          <w:sz w:val="24"/>
          <w:szCs w:val="24"/>
        </w:rPr>
        <w:t xml:space="preserve"> (Accessed: 08 February 2021). </w:t>
      </w:r>
    </w:p>
    <w:p w14:paraId="1D1855C3" w14:textId="152385DB"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van der Kolk, B. (2006) ‘Clinical Implications of Neuroscience Research in PTSD’, </w:t>
      </w:r>
      <w:r w:rsidRPr="00B86132">
        <w:rPr>
          <w:rFonts w:cs="Arial"/>
          <w:i/>
          <w:iCs/>
          <w:color w:val="3B3838" w:themeColor="background2" w:themeShade="40"/>
          <w:sz w:val="24"/>
          <w:szCs w:val="24"/>
        </w:rPr>
        <w:t>Annals of the New York Academy of Sciences</w:t>
      </w:r>
      <w:r w:rsidRPr="00B86132">
        <w:rPr>
          <w:rFonts w:cs="Arial"/>
          <w:color w:val="3B3838" w:themeColor="background2" w:themeShade="40"/>
          <w:sz w:val="24"/>
          <w:szCs w:val="24"/>
        </w:rPr>
        <w:t>, 1071: pp. 277-293. doi:</w:t>
      </w:r>
      <w:hyperlink r:id="rId94" w:history="1">
        <w:r w:rsidRPr="00B86132">
          <w:rPr>
            <w:rStyle w:val="Hyperlink"/>
            <w:rFonts w:eastAsiaTheme="majorEastAsia" w:cs="Arial"/>
            <w:color w:val="3B3838" w:themeColor="background2" w:themeShade="40"/>
            <w:sz w:val="24"/>
            <w:szCs w:val="24"/>
          </w:rPr>
          <w:t>10.1196/annals.1364.022</w:t>
        </w:r>
      </w:hyperlink>
    </w:p>
    <w:p w14:paraId="0ED2CF5E" w14:textId="77777777" w:rsidR="005A7DEE" w:rsidRPr="00B86132" w:rsidRDefault="005A7DEE" w:rsidP="00FE659D">
      <w:pPr>
        <w:rPr>
          <w:rFonts w:cs="Arial"/>
          <w:color w:val="3B3838" w:themeColor="background2" w:themeShade="40"/>
          <w:sz w:val="24"/>
          <w:szCs w:val="24"/>
        </w:rPr>
      </w:pPr>
    </w:p>
    <w:p w14:paraId="499EE032" w14:textId="486A1474"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van der Kolk, et al. (2009) ‘Proposal to include a developmental trauma disorder diagnosis for children and adolescents in DSM-V’. Available at: </w:t>
      </w:r>
      <w:hyperlink r:id="rId95" w:history="1">
        <w:r w:rsidRPr="00B86132">
          <w:rPr>
            <w:rStyle w:val="Hyperlink"/>
            <w:rFonts w:eastAsiaTheme="majorEastAsia" w:cs="Arial"/>
            <w:color w:val="3B3838" w:themeColor="background2" w:themeShade="40"/>
            <w:sz w:val="24"/>
            <w:szCs w:val="24"/>
          </w:rPr>
          <w:t>https://complextrauma.org/wp-content/uploads/2019/03/Complex-Trauma-Resource-3-Joseph-Spinazzola.pdf</w:t>
        </w:r>
      </w:hyperlink>
      <w:r w:rsidRPr="00B86132">
        <w:rPr>
          <w:rFonts w:cs="Arial"/>
          <w:color w:val="3B3838" w:themeColor="background2" w:themeShade="40"/>
          <w:sz w:val="24"/>
          <w:szCs w:val="24"/>
        </w:rPr>
        <w:t xml:space="preserve"> (Accessed: 02 February 2021). </w:t>
      </w:r>
    </w:p>
    <w:p w14:paraId="289F6EAC" w14:textId="77777777" w:rsidR="005A7DEE" w:rsidRPr="00B86132" w:rsidRDefault="005A7DEE" w:rsidP="00FE659D">
      <w:pPr>
        <w:rPr>
          <w:rFonts w:cs="Arial"/>
          <w:color w:val="3B3838" w:themeColor="background2" w:themeShade="40"/>
          <w:sz w:val="24"/>
          <w:szCs w:val="24"/>
        </w:rPr>
      </w:pPr>
    </w:p>
    <w:p w14:paraId="6F0BCD81" w14:textId="07658FBC"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van der Kolk, B. (2014) </w:t>
      </w:r>
      <w:r w:rsidRPr="00B86132">
        <w:rPr>
          <w:rFonts w:cs="Arial"/>
          <w:i/>
          <w:iCs/>
          <w:color w:val="3B3838" w:themeColor="background2" w:themeShade="40"/>
          <w:sz w:val="24"/>
          <w:szCs w:val="24"/>
        </w:rPr>
        <w:t>The body keeps the score: Mind, brain and body in the transformation of trauma.</w:t>
      </w:r>
      <w:r w:rsidRPr="00B86132">
        <w:rPr>
          <w:rFonts w:cs="Arial"/>
          <w:color w:val="3B3838" w:themeColor="background2" w:themeShade="40"/>
          <w:sz w:val="24"/>
          <w:szCs w:val="24"/>
        </w:rPr>
        <w:t xml:space="preserve"> UK: Penguin.</w:t>
      </w:r>
    </w:p>
    <w:p w14:paraId="5E47CB34" w14:textId="77777777" w:rsidR="005A7DEE" w:rsidRPr="00B86132" w:rsidRDefault="005A7DEE" w:rsidP="00FE659D">
      <w:pPr>
        <w:rPr>
          <w:rFonts w:cs="Arial"/>
          <w:color w:val="3B3838" w:themeColor="background2" w:themeShade="40"/>
          <w:sz w:val="24"/>
          <w:szCs w:val="24"/>
        </w:rPr>
      </w:pPr>
    </w:p>
    <w:p w14:paraId="32D7CAEB" w14:textId="034B74AB"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lastRenderedPageBreak/>
        <w:t xml:space="preserve">van der Kolk et al. (2014) ‘Yoga as an adjunctive treatment for posttraumatic stress disorder: A randomized controlled trial’, </w:t>
      </w:r>
      <w:r w:rsidRPr="00B86132">
        <w:rPr>
          <w:rFonts w:cs="Arial"/>
          <w:i/>
          <w:iCs/>
          <w:color w:val="3B3838" w:themeColor="background2" w:themeShade="40"/>
          <w:sz w:val="24"/>
          <w:szCs w:val="24"/>
        </w:rPr>
        <w:t>J Clin Psychiatry</w:t>
      </w:r>
      <w:r w:rsidRPr="00B86132">
        <w:rPr>
          <w:rFonts w:cs="Arial"/>
          <w:color w:val="3B3838" w:themeColor="background2" w:themeShade="40"/>
          <w:sz w:val="24"/>
          <w:szCs w:val="24"/>
        </w:rPr>
        <w:t>, 75(6), pp.e559-65. DOI: 10.4088/JCP.13m08561</w:t>
      </w:r>
    </w:p>
    <w:p w14:paraId="00C77162" w14:textId="77777777" w:rsidR="005A7DEE" w:rsidRPr="00B86132" w:rsidRDefault="005A7DEE" w:rsidP="00FE659D">
      <w:pPr>
        <w:rPr>
          <w:rFonts w:cs="Arial"/>
          <w:color w:val="3B3838" w:themeColor="background2" w:themeShade="40"/>
          <w:sz w:val="24"/>
          <w:szCs w:val="24"/>
        </w:rPr>
      </w:pPr>
    </w:p>
    <w:p w14:paraId="1B90795B" w14:textId="7E5564FD"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van Dijke, A. et al. (2018) ‘Affect dysregulation, psychoform dissociation, and adult relational fears mediate the relationship between childhood trauma and complex posttraumatic stress disorder independent of the symptoms of borderline personality disorder’, </w:t>
      </w:r>
      <w:r w:rsidRPr="00B86132">
        <w:rPr>
          <w:rFonts w:cs="Arial"/>
          <w:i/>
          <w:iCs/>
          <w:color w:val="3B3838" w:themeColor="background2" w:themeShade="40"/>
          <w:sz w:val="24"/>
          <w:szCs w:val="24"/>
        </w:rPr>
        <w:t>European journal of psychotraumatology</w:t>
      </w:r>
      <w:r w:rsidRPr="00B86132">
        <w:rPr>
          <w:rFonts w:cs="Arial"/>
          <w:color w:val="3B3838" w:themeColor="background2" w:themeShade="40"/>
          <w:sz w:val="24"/>
          <w:szCs w:val="24"/>
        </w:rPr>
        <w:t xml:space="preserve">, 9(1), pp.1400878–13. </w:t>
      </w:r>
    </w:p>
    <w:p w14:paraId="2D102B14" w14:textId="77777777" w:rsidR="005A7DEE" w:rsidRPr="00B86132" w:rsidRDefault="005A7DEE" w:rsidP="00FE659D">
      <w:pPr>
        <w:rPr>
          <w:rFonts w:cs="Arial"/>
          <w:color w:val="3B3838" w:themeColor="background2" w:themeShade="40"/>
          <w:sz w:val="24"/>
          <w:szCs w:val="24"/>
        </w:rPr>
      </w:pPr>
    </w:p>
    <w:p w14:paraId="108C65B0" w14:textId="60515796"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Vardal, K. (2021) ‘Developing Relational Trauma Therapy: From breakdown of ‘the running technique’ to a new trauma methodology’, Including and Awakening Hyporesponse, Online training course material. Unpublished. </w:t>
      </w:r>
    </w:p>
    <w:p w14:paraId="2B99ED9C" w14:textId="77777777" w:rsidR="005A7DEE" w:rsidRPr="00B86132" w:rsidRDefault="005A7DEE" w:rsidP="00FE659D">
      <w:pPr>
        <w:rPr>
          <w:rFonts w:cs="Arial"/>
          <w:color w:val="3B3838" w:themeColor="background2" w:themeShade="40"/>
          <w:sz w:val="24"/>
          <w:szCs w:val="24"/>
        </w:rPr>
      </w:pPr>
    </w:p>
    <w:p w14:paraId="7525CB4E" w14:textId="4B3D4486" w:rsidR="00FE659D" w:rsidRDefault="00FE659D" w:rsidP="00FE659D">
      <w:pPr>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 xml:space="preserve">Vickers, P. and Moyers, R. (2020) ‘Healing Complex Trauma 1: A unity of minds, hearts, and culture’, </w:t>
      </w:r>
      <w:r w:rsidRPr="00B86132">
        <w:rPr>
          <w:rFonts w:cs="Arial"/>
          <w:i/>
          <w:iCs/>
          <w:color w:val="3B3838" w:themeColor="background2" w:themeShade="40"/>
          <w:sz w:val="24"/>
          <w:szCs w:val="24"/>
          <w:shd w:val="clear" w:color="auto" w:fill="FFFFFF"/>
        </w:rPr>
        <w:t>Journal of Indigenous Wellbeing</w:t>
      </w:r>
      <w:r w:rsidRPr="00B86132">
        <w:rPr>
          <w:rFonts w:cs="Arial"/>
          <w:color w:val="3B3838" w:themeColor="background2" w:themeShade="40"/>
          <w:sz w:val="24"/>
          <w:szCs w:val="24"/>
          <w:shd w:val="clear" w:color="auto" w:fill="FFFFFF"/>
        </w:rPr>
        <w:t xml:space="preserve">, 5:1, pp. 3-15. Available at: </w:t>
      </w:r>
      <w:hyperlink r:id="rId96" w:history="1">
        <w:r w:rsidRPr="00B86132">
          <w:rPr>
            <w:rStyle w:val="Hyperlink"/>
            <w:rFonts w:eastAsiaTheme="majorEastAsia" w:cs="Arial"/>
            <w:color w:val="3B3838" w:themeColor="background2" w:themeShade="40"/>
            <w:sz w:val="24"/>
            <w:szCs w:val="24"/>
            <w:shd w:val="clear" w:color="auto" w:fill="FFFFFF"/>
          </w:rPr>
          <w:t>https://core.ac.uk/download/pdf/327191746.pdf</w:t>
        </w:r>
      </w:hyperlink>
      <w:r w:rsidRPr="00B86132">
        <w:rPr>
          <w:rFonts w:cs="Arial"/>
          <w:color w:val="3B3838" w:themeColor="background2" w:themeShade="40"/>
          <w:sz w:val="24"/>
          <w:szCs w:val="24"/>
          <w:shd w:val="clear" w:color="auto" w:fill="FFFFFF"/>
        </w:rPr>
        <w:t xml:space="preserve"> (Accessed: 12 December 2021). </w:t>
      </w:r>
    </w:p>
    <w:p w14:paraId="087AB421" w14:textId="77777777" w:rsidR="005A7DEE" w:rsidRPr="00B86132" w:rsidRDefault="005A7DEE" w:rsidP="00FE659D">
      <w:pPr>
        <w:rPr>
          <w:rFonts w:cs="Arial"/>
          <w:color w:val="3B3838" w:themeColor="background2" w:themeShade="40"/>
          <w:sz w:val="24"/>
          <w:szCs w:val="24"/>
          <w:shd w:val="clear" w:color="auto" w:fill="FFFFFF"/>
        </w:rPr>
      </w:pPr>
    </w:p>
    <w:p w14:paraId="45F55C48" w14:textId="665D1B98"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shd w:val="clear" w:color="auto" w:fill="FFFFFF"/>
        </w:rPr>
        <w:t xml:space="preserve">Visser, I. (2015) ‘Decolonizing trauma theory: retrospect and prospects’, </w:t>
      </w:r>
      <w:r w:rsidRPr="00B86132">
        <w:rPr>
          <w:rFonts w:cs="Arial"/>
          <w:i/>
          <w:iCs/>
          <w:color w:val="3B3838" w:themeColor="background2" w:themeShade="40"/>
          <w:sz w:val="24"/>
          <w:szCs w:val="24"/>
          <w:shd w:val="clear" w:color="auto" w:fill="FFFFFF"/>
        </w:rPr>
        <w:t>Humanities</w:t>
      </w:r>
      <w:r w:rsidRPr="00B86132">
        <w:rPr>
          <w:rFonts w:cs="Arial"/>
          <w:color w:val="3B3838" w:themeColor="background2" w:themeShade="40"/>
          <w:sz w:val="24"/>
          <w:szCs w:val="24"/>
          <w:shd w:val="clear" w:color="auto" w:fill="FFFFFF"/>
        </w:rPr>
        <w:t>, </w:t>
      </w:r>
      <w:r w:rsidRPr="00B86132">
        <w:rPr>
          <w:rFonts w:cs="Arial"/>
          <w:i/>
          <w:iCs/>
          <w:color w:val="3B3838" w:themeColor="background2" w:themeShade="40"/>
          <w:sz w:val="24"/>
          <w:szCs w:val="24"/>
          <w:shd w:val="clear" w:color="auto" w:fill="FFFFFF"/>
        </w:rPr>
        <w:t>4</w:t>
      </w:r>
      <w:r w:rsidRPr="00B86132">
        <w:rPr>
          <w:rFonts w:cs="Arial"/>
          <w:color w:val="3B3838" w:themeColor="background2" w:themeShade="40"/>
          <w:sz w:val="24"/>
          <w:szCs w:val="24"/>
          <w:shd w:val="clear" w:color="auto" w:fill="FFFFFF"/>
        </w:rPr>
        <w:t xml:space="preserve">(2), pp.250-265. </w:t>
      </w:r>
      <w:r w:rsidRPr="00B86132">
        <w:rPr>
          <w:rFonts w:cs="Arial"/>
          <w:color w:val="3B3838" w:themeColor="background2" w:themeShade="40"/>
          <w:sz w:val="24"/>
          <w:szCs w:val="24"/>
        </w:rPr>
        <w:t>doi:10.3390/h4020250</w:t>
      </w:r>
    </w:p>
    <w:p w14:paraId="1CF88C9C" w14:textId="77777777" w:rsidR="005A7DEE" w:rsidRPr="00B86132" w:rsidRDefault="005A7DEE" w:rsidP="00FE659D">
      <w:pPr>
        <w:rPr>
          <w:rFonts w:cs="Arial"/>
          <w:color w:val="3B3838" w:themeColor="background2" w:themeShade="40"/>
          <w:sz w:val="24"/>
          <w:szCs w:val="24"/>
        </w:rPr>
      </w:pPr>
    </w:p>
    <w:p w14:paraId="70E21430" w14:textId="0636EFDA"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Walker, P. (2013) </w:t>
      </w:r>
      <w:r w:rsidRPr="00B86132">
        <w:rPr>
          <w:rFonts w:cs="Arial"/>
          <w:i/>
          <w:iCs/>
          <w:color w:val="3B3838" w:themeColor="background2" w:themeShade="40"/>
          <w:sz w:val="24"/>
          <w:szCs w:val="24"/>
        </w:rPr>
        <w:t>Complex PTSD: From surviving to thriving: A guide and map for recovering from childhood trauma</w:t>
      </w:r>
      <w:r w:rsidRPr="00B86132">
        <w:rPr>
          <w:rFonts w:cs="Arial"/>
          <w:color w:val="3B3838" w:themeColor="background2" w:themeShade="40"/>
          <w:sz w:val="24"/>
          <w:szCs w:val="24"/>
        </w:rPr>
        <w:t>. California: Createspace Independent Publishing.</w:t>
      </w:r>
    </w:p>
    <w:p w14:paraId="049C33FF" w14:textId="77777777" w:rsidR="005A7DEE" w:rsidRPr="00B86132" w:rsidRDefault="005A7DEE" w:rsidP="00FE659D">
      <w:pPr>
        <w:rPr>
          <w:rFonts w:cs="Arial"/>
          <w:color w:val="3B3838" w:themeColor="background2" w:themeShade="40"/>
          <w:sz w:val="24"/>
          <w:szCs w:val="24"/>
        </w:rPr>
      </w:pPr>
    </w:p>
    <w:p w14:paraId="2C2D7411" w14:textId="77838125"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Wallin, D. (2007) Attachment in Psychotherapy. Narrated by Bob Souer. New York: The Guildford Press. [audiobook] Available from: https://www.audible.co.uk/ (Downloaded: 07 November 2017).</w:t>
      </w:r>
    </w:p>
    <w:p w14:paraId="0AFE5B89" w14:textId="77777777" w:rsidR="005A7DEE" w:rsidRPr="00B86132" w:rsidRDefault="005A7DEE" w:rsidP="00FE659D">
      <w:pPr>
        <w:rPr>
          <w:rFonts w:cs="Arial"/>
          <w:color w:val="3B3838" w:themeColor="background2" w:themeShade="40"/>
          <w:sz w:val="24"/>
          <w:szCs w:val="24"/>
        </w:rPr>
      </w:pPr>
    </w:p>
    <w:p w14:paraId="66CA891D" w14:textId="5B0A4A3E"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Wampold, B. (2015) ‘How important are the common factors in psychotherapy? An update’, </w:t>
      </w:r>
      <w:r w:rsidRPr="00B86132">
        <w:rPr>
          <w:rFonts w:cs="Arial"/>
          <w:i/>
          <w:iCs/>
          <w:color w:val="3B3838" w:themeColor="background2" w:themeShade="40"/>
          <w:sz w:val="24"/>
          <w:szCs w:val="24"/>
        </w:rPr>
        <w:t>World Psychiatry</w:t>
      </w:r>
      <w:r w:rsidRPr="00B86132">
        <w:rPr>
          <w:rFonts w:cs="Arial"/>
          <w:color w:val="3B3838" w:themeColor="background2" w:themeShade="40"/>
          <w:sz w:val="24"/>
          <w:szCs w:val="24"/>
        </w:rPr>
        <w:t>, 14(3), pp.270-277.</w:t>
      </w:r>
    </w:p>
    <w:p w14:paraId="34CF248F" w14:textId="77777777" w:rsidR="005A7DEE" w:rsidRPr="00B86132" w:rsidRDefault="005A7DEE" w:rsidP="00FE659D">
      <w:pPr>
        <w:rPr>
          <w:rFonts w:cs="Arial"/>
          <w:color w:val="3B3838" w:themeColor="background2" w:themeShade="40"/>
          <w:sz w:val="24"/>
          <w:szCs w:val="24"/>
        </w:rPr>
      </w:pPr>
    </w:p>
    <w:p w14:paraId="02FB0EAE" w14:textId="09BA5B58"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Westfall, N. and Nemeroff, C. (2016) ‘State-of-the-Art Prevention and Treatment of PTSD: Pharmacotherapy, Psychotherapy, and Nonpharmacological Somatic Therapies’, </w:t>
      </w:r>
      <w:r w:rsidRPr="00B86132">
        <w:rPr>
          <w:rFonts w:cs="Arial"/>
          <w:i/>
          <w:iCs/>
          <w:color w:val="3B3838" w:themeColor="background2" w:themeShade="40"/>
          <w:sz w:val="24"/>
          <w:szCs w:val="24"/>
        </w:rPr>
        <w:t>Psychiatric Annals</w:t>
      </w:r>
      <w:r w:rsidRPr="00B86132">
        <w:rPr>
          <w:rFonts w:cs="Arial"/>
          <w:color w:val="3B3838" w:themeColor="background2" w:themeShade="40"/>
          <w:sz w:val="24"/>
          <w:szCs w:val="24"/>
        </w:rPr>
        <w:t>, 46(9), pp. 533-549.</w:t>
      </w:r>
    </w:p>
    <w:p w14:paraId="4D4EE6D5" w14:textId="77777777" w:rsidR="005A7DEE" w:rsidRPr="00B86132" w:rsidRDefault="005A7DEE" w:rsidP="00FE659D">
      <w:pPr>
        <w:rPr>
          <w:rFonts w:cs="Arial"/>
          <w:color w:val="3B3838" w:themeColor="background2" w:themeShade="40"/>
          <w:sz w:val="24"/>
          <w:szCs w:val="24"/>
        </w:rPr>
      </w:pPr>
    </w:p>
    <w:p w14:paraId="746EE753"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Wolynn, M. (2017) </w:t>
      </w:r>
      <w:r w:rsidRPr="00B86132">
        <w:rPr>
          <w:rFonts w:cs="Arial"/>
          <w:i/>
          <w:iCs/>
          <w:color w:val="3B3838" w:themeColor="background2" w:themeShade="40"/>
          <w:sz w:val="24"/>
          <w:szCs w:val="24"/>
        </w:rPr>
        <w:t>It didn't start with you: How inherited family trauma shapes who we are and how to end the cycle</w:t>
      </w:r>
      <w:r w:rsidRPr="00B86132">
        <w:rPr>
          <w:rFonts w:cs="Arial"/>
          <w:color w:val="3B3838" w:themeColor="background2" w:themeShade="40"/>
          <w:sz w:val="24"/>
          <w:szCs w:val="24"/>
        </w:rPr>
        <w:t>. London: Penguin.</w:t>
      </w:r>
    </w:p>
    <w:p w14:paraId="5DAD4B3F" w14:textId="77777777" w:rsidR="00FE659D" w:rsidRPr="00B86132" w:rsidRDefault="00FE659D" w:rsidP="00FE659D">
      <w:pPr>
        <w:jc w:val="both"/>
        <w:rPr>
          <w:rFonts w:cs="Arial"/>
          <w:color w:val="3B3838" w:themeColor="background2" w:themeShade="40"/>
          <w:sz w:val="24"/>
          <w:szCs w:val="24"/>
          <w:shd w:val="clear" w:color="auto" w:fill="FFFFFF"/>
        </w:rPr>
      </w:pPr>
      <w:r w:rsidRPr="00B86132">
        <w:rPr>
          <w:rFonts w:cs="Arial"/>
          <w:color w:val="3B3838" w:themeColor="background2" w:themeShade="40"/>
          <w:sz w:val="24"/>
          <w:szCs w:val="24"/>
          <w:shd w:val="clear" w:color="auto" w:fill="FFFFFF"/>
        </w:rPr>
        <w:t xml:space="preserve">World Health Organisation (2018) </w:t>
      </w:r>
      <w:r w:rsidRPr="00B86132">
        <w:rPr>
          <w:rFonts w:cs="Arial"/>
          <w:i/>
          <w:color w:val="3B3838" w:themeColor="background2" w:themeShade="40"/>
          <w:sz w:val="24"/>
          <w:szCs w:val="24"/>
          <w:shd w:val="clear" w:color="auto" w:fill="FFFFFF"/>
        </w:rPr>
        <w:t xml:space="preserve">ICD-11. </w:t>
      </w:r>
      <w:r w:rsidRPr="00B86132">
        <w:rPr>
          <w:rFonts w:cs="Arial"/>
          <w:color w:val="3B3838" w:themeColor="background2" w:themeShade="40"/>
          <w:sz w:val="24"/>
          <w:szCs w:val="24"/>
          <w:shd w:val="clear" w:color="auto" w:fill="FFFFFF"/>
        </w:rPr>
        <w:t xml:space="preserve">Available at: </w:t>
      </w:r>
      <w:hyperlink r:id="rId97" w:history="1">
        <w:r w:rsidRPr="00B86132">
          <w:rPr>
            <w:rFonts w:cs="Arial"/>
            <w:color w:val="3B3838" w:themeColor="background2" w:themeShade="40"/>
            <w:sz w:val="24"/>
            <w:szCs w:val="24"/>
            <w:u w:val="single"/>
          </w:rPr>
          <w:t>https://icd.who.int/</w:t>
        </w:r>
      </w:hyperlink>
      <w:r w:rsidRPr="00B86132">
        <w:rPr>
          <w:rFonts w:cs="Arial"/>
          <w:color w:val="3B3838" w:themeColor="background2" w:themeShade="40"/>
          <w:sz w:val="24"/>
          <w:szCs w:val="24"/>
        </w:rPr>
        <w:t xml:space="preserve"> </w:t>
      </w:r>
      <w:r w:rsidRPr="00B86132">
        <w:rPr>
          <w:rFonts w:cs="Arial"/>
          <w:color w:val="3B3838" w:themeColor="background2" w:themeShade="40"/>
          <w:sz w:val="24"/>
          <w:szCs w:val="24"/>
          <w:shd w:val="clear" w:color="auto" w:fill="FFFFFF"/>
        </w:rPr>
        <w:t xml:space="preserve">(Accessed 26 November 2021). </w:t>
      </w:r>
    </w:p>
    <w:p w14:paraId="5C2C969D" w14:textId="77777777" w:rsidR="00FE659D" w:rsidRPr="00B86132" w:rsidRDefault="00FE659D" w:rsidP="00FE659D">
      <w:pPr>
        <w:jc w:val="both"/>
        <w:rPr>
          <w:rFonts w:cs="Arial"/>
          <w:color w:val="3B3838" w:themeColor="background2" w:themeShade="40"/>
          <w:sz w:val="24"/>
          <w:szCs w:val="24"/>
          <w:shd w:val="clear" w:color="auto" w:fill="FFFFFF"/>
        </w:rPr>
      </w:pPr>
    </w:p>
    <w:p w14:paraId="359AE000" w14:textId="66FA4521" w:rsidR="00FE659D"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 xml:space="preserve">Yontef, G. (2002) ‘The Relational Attitude in Gestalt Therapy Theory and Practice’, </w:t>
      </w:r>
      <w:r w:rsidRPr="00B86132">
        <w:rPr>
          <w:rFonts w:cs="Arial"/>
          <w:i/>
          <w:iCs/>
          <w:color w:val="3B3838" w:themeColor="background2" w:themeShade="40"/>
          <w:sz w:val="24"/>
          <w:szCs w:val="24"/>
        </w:rPr>
        <w:t>International Gestalt Journal</w:t>
      </w:r>
      <w:r w:rsidRPr="00B86132">
        <w:rPr>
          <w:rFonts w:cs="Arial"/>
          <w:color w:val="3B3838" w:themeColor="background2" w:themeShade="40"/>
          <w:sz w:val="24"/>
          <w:szCs w:val="24"/>
        </w:rPr>
        <w:t xml:space="preserve">, 25(1), pp.15-34. Available at </w:t>
      </w:r>
      <w:hyperlink r:id="rId98" w:history="1">
        <w:r w:rsidRPr="00B86132">
          <w:rPr>
            <w:rStyle w:val="Hyperlink"/>
            <w:rFonts w:eastAsiaTheme="majorEastAsia" w:cs="Arial"/>
            <w:color w:val="3B3838" w:themeColor="background2" w:themeShade="40"/>
            <w:sz w:val="24"/>
            <w:szCs w:val="24"/>
          </w:rPr>
          <w:t>https://ngfo.no/wp-content/uploads/2017/06/relational-attitude-yontef.pdf</w:t>
        </w:r>
      </w:hyperlink>
      <w:r w:rsidRPr="00B86132">
        <w:rPr>
          <w:rFonts w:cs="Arial"/>
          <w:color w:val="3B3838" w:themeColor="background2" w:themeShade="40"/>
          <w:sz w:val="24"/>
          <w:szCs w:val="24"/>
        </w:rPr>
        <w:t xml:space="preserve"> (Accessed 01 March 2021).</w:t>
      </w:r>
    </w:p>
    <w:p w14:paraId="2A3AF555" w14:textId="77777777" w:rsidR="005A7DEE" w:rsidRPr="00B86132" w:rsidRDefault="005A7DEE" w:rsidP="00FE659D">
      <w:pPr>
        <w:rPr>
          <w:rFonts w:cs="Arial"/>
          <w:color w:val="3B3838" w:themeColor="background2" w:themeShade="40"/>
          <w:sz w:val="24"/>
          <w:szCs w:val="24"/>
        </w:rPr>
      </w:pPr>
    </w:p>
    <w:p w14:paraId="1190271C" w14:textId="32E27866" w:rsidR="00FE659D" w:rsidRDefault="00FE659D" w:rsidP="00FE659D">
      <w:pPr>
        <w:rPr>
          <w:rStyle w:val="Hyperlink"/>
          <w:rFonts w:eastAsiaTheme="majorEastAsia" w:cs="Arial"/>
          <w:color w:val="3B3838" w:themeColor="background2" w:themeShade="40"/>
          <w:sz w:val="24"/>
          <w:szCs w:val="24"/>
        </w:rPr>
      </w:pPr>
      <w:r w:rsidRPr="00B86132">
        <w:rPr>
          <w:rFonts w:cs="Arial"/>
          <w:color w:val="3B3838" w:themeColor="background2" w:themeShade="40"/>
          <w:sz w:val="24"/>
          <w:szCs w:val="24"/>
        </w:rPr>
        <w:t xml:space="preserve">Young, C. (2008) ‘The history and development of Body-Psychotherapy: The American legacy of Reich’, </w:t>
      </w:r>
      <w:r w:rsidRPr="00B86132">
        <w:rPr>
          <w:rFonts w:cs="Arial"/>
          <w:i/>
          <w:iCs/>
          <w:color w:val="3B3838" w:themeColor="background2" w:themeShade="40"/>
          <w:sz w:val="24"/>
          <w:szCs w:val="24"/>
        </w:rPr>
        <w:t>Body, Movement and Dance in Psychotherapy</w:t>
      </w:r>
      <w:r w:rsidRPr="00B86132">
        <w:rPr>
          <w:rFonts w:cs="Arial"/>
          <w:color w:val="3B3838" w:themeColor="background2" w:themeShade="40"/>
          <w:sz w:val="24"/>
          <w:szCs w:val="24"/>
        </w:rPr>
        <w:t xml:space="preserve">, 3(1), pp.5-18. </w:t>
      </w:r>
      <w:hyperlink r:id="rId99" w:history="1">
        <w:r w:rsidRPr="00B86132">
          <w:rPr>
            <w:rStyle w:val="Hyperlink"/>
            <w:rFonts w:eastAsiaTheme="majorEastAsia" w:cs="Arial"/>
            <w:color w:val="3B3838" w:themeColor="background2" w:themeShade="40"/>
            <w:sz w:val="24"/>
            <w:szCs w:val="24"/>
          </w:rPr>
          <w:t>https://doi.org/10.1080/17432970701717783</w:t>
        </w:r>
      </w:hyperlink>
    </w:p>
    <w:p w14:paraId="3531B593" w14:textId="77777777" w:rsidR="005A7DEE" w:rsidRPr="00B86132" w:rsidRDefault="005A7DEE" w:rsidP="00FE659D">
      <w:pPr>
        <w:rPr>
          <w:rFonts w:cs="Arial"/>
          <w:color w:val="3B3838" w:themeColor="background2" w:themeShade="40"/>
          <w:sz w:val="24"/>
          <w:szCs w:val="24"/>
          <w:u w:val="single"/>
        </w:rPr>
      </w:pPr>
    </w:p>
    <w:p w14:paraId="62391F1B" w14:textId="77777777" w:rsidR="00FE659D" w:rsidRPr="00B86132" w:rsidRDefault="00FE659D" w:rsidP="00FE659D">
      <w:pPr>
        <w:rPr>
          <w:rFonts w:cs="Arial"/>
          <w:color w:val="3B3838" w:themeColor="background2" w:themeShade="40"/>
          <w:sz w:val="24"/>
          <w:szCs w:val="24"/>
        </w:rPr>
      </w:pPr>
      <w:r w:rsidRPr="00B86132">
        <w:rPr>
          <w:rFonts w:cs="Arial"/>
          <w:color w:val="3B3838" w:themeColor="background2" w:themeShade="40"/>
          <w:sz w:val="24"/>
          <w:szCs w:val="24"/>
        </w:rPr>
        <w:t>Zeifman, R. et al. (2020) ‘The independent roles of mindfulness and distress tolerance in treatment outcomes in dialectical behavior therapy skills training’, </w:t>
      </w:r>
      <w:r w:rsidRPr="00B86132">
        <w:rPr>
          <w:rFonts w:cs="Arial"/>
          <w:i/>
          <w:iCs/>
          <w:color w:val="3B3838" w:themeColor="background2" w:themeShade="40"/>
          <w:sz w:val="24"/>
          <w:szCs w:val="24"/>
        </w:rPr>
        <w:t>Personality Disorders: Theory, Research, and Treatment</w:t>
      </w:r>
      <w:r w:rsidRPr="00B86132">
        <w:rPr>
          <w:rFonts w:cs="Arial"/>
          <w:color w:val="3B3838" w:themeColor="background2" w:themeShade="40"/>
          <w:sz w:val="24"/>
          <w:szCs w:val="24"/>
        </w:rPr>
        <w:t>, 11(3), 181–190. </w:t>
      </w:r>
      <w:hyperlink r:id="rId100" w:tgtFrame="_blank" w:history="1">
        <w:r w:rsidRPr="00B86132">
          <w:rPr>
            <w:rStyle w:val="Hyperlink"/>
            <w:rFonts w:eastAsiaTheme="majorEastAsia" w:cs="Arial"/>
            <w:color w:val="3B3838" w:themeColor="background2" w:themeShade="40"/>
            <w:sz w:val="24"/>
            <w:szCs w:val="24"/>
          </w:rPr>
          <w:t>https://doi.org/10.1037/per0000368</w:t>
        </w:r>
      </w:hyperlink>
    </w:p>
    <w:p w14:paraId="446B4904" w14:textId="77777777" w:rsidR="00FE659D" w:rsidRPr="00B86132" w:rsidRDefault="00FE659D" w:rsidP="00FE659D">
      <w:pPr>
        <w:rPr>
          <w:rFonts w:cs="Arial"/>
          <w:color w:val="3B3838" w:themeColor="background2" w:themeShade="40"/>
          <w:sz w:val="24"/>
          <w:szCs w:val="24"/>
        </w:rPr>
      </w:pPr>
    </w:p>
    <w:p w14:paraId="5410ACCF" w14:textId="77777777" w:rsidR="00FE659D" w:rsidRPr="00B86132" w:rsidRDefault="00FE659D" w:rsidP="00AE51CA">
      <w:pPr>
        <w:rPr>
          <w:color w:val="3B3838" w:themeColor="background2" w:themeShade="40"/>
        </w:rPr>
      </w:pPr>
    </w:p>
    <w:sectPr w:rsidR="00FE659D" w:rsidRPr="00B86132" w:rsidSect="00AA5C20">
      <w:footerReference w:type="default" r:id="rId101"/>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AED40" w14:textId="77777777" w:rsidR="00704E10" w:rsidRDefault="00704E10">
      <w:r>
        <w:separator/>
      </w:r>
    </w:p>
  </w:endnote>
  <w:endnote w:type="continuationSeparator" w:id="0">
    <w:p w14:paraId="24BFB9F2" w14:textId="77777777" w:rsidR="00704E10" w:rsidRDefault="00704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Garamond">
    <w:altName w:val="AGaramond"/>
    <w:charset w:val="00"/>
    <w:family w:val="roman"/>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8746547"/>
      <w:docPartObj>
        <w:docPartGallery w:val="Page Numbers (Bottom of Page)"/>
        <w:docPartUnique/>
      </w:docPartObj>
    </w:sdtPr>
    <w:sdtEndPr>
      <w:rPr>
        <w:noProof/>
      </w:rPr>
    </w:sdtEndPr>
    <w:sdtContent>
      <w:p w14:paraId="750D1587" w14:textId="77777777" w:rsidR="001D4B7E" w:rsidRDefault="005A7DEE">
        <w:pPr>
          <w:jc w:val="center"/>
        </w:pPr>
        <w:r>
          <w:fldChar w:fldCharType="begin"/>
        </w:r>
        <w:r>
          <w:instrText xml:space="preserve"> PAGE   \* MERGEFORMAT </w:instrText>
        </w:r>
        <w:r>
          <w:fldChar w:fldCharType="separate"/>
        </w:r>
        <w:r>
          <w:rPr>
            <w:noProof/>
          </w:rPr>
          <w:t>2</w:t>
        </w:r>
        <w:r>
          <w:rPr>
            <w:noProof/>
          </w:rPr>
          <w:fldChar w:fldCharType="end"/>
        </w:r>
      </w:p>
    </w:sdtContent>
  </w:sdt>
  <w:p w14:paraId="11FFCCAA" w14:textId="77777777" w:rsidR="001D4B7E" w:rsidRDefault="00704E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E3A12" w14:textId="77777777" w:rsidR="00704E10" w:rsidRDefault="00704E10">
      <w:r>
        <w:separator/>
      </w:r>
    </w:p>
  </w:footnote>
  <w:footnote w:type="continuationSeparator" w:id="0">
    <w:p w14:paraId="069F9AD7" w14:textId="77777777" w:rsidR="00704E10" w:rsidRDefault="00704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47AA"/>
    <w:multiLevelType w:val="hybridMultilevel"/>
    <w:tmpl w:val="F6106FB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76735B"/>
    <w:multiLevelType w:val="hybridMultilevel"/>
    <w:tmpl w:val="8E5E50E2"/>
    <w:lvl w:ilvl="0" w:tplc="FC529E1C">
      <w:start w:val="1"/>
      <w:numFmt w:val="bullet"/>
      <w:lvlText w:val=""/>
      <w:lvlJc w:val="left"/>
      <w:pPr>
        <w:tabs>
          <w:tab w:val="num" w:pos="720"/>
        </w:tabs>
        <w:ind w:left="720" w:hanging="360"/>
      </w:pPr>
      <w:rPr>
        <w:rFonts w:ascii="Symbol" w:hAnsi="Symbol" w:hint="default"/>
        <w:sz w:val="20"/>
        <w:szCs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061A00"/>
    <w:multiLevelType w:val="multilevel"/>
    <w:tmpl w:val="2B4A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A3C1E"/>
    <w:multiLevelType w:val="hybridMultilevel"/>
    <w:tmpl w:val="74B6F722"/>
    <w:lvl w:ilvl="0" w:tplc="718460A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47333"/>
    <w:multiLevelType w:val="multilevel"/>
    <w:tmpl w:val="5D308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D52E7B"/>
    <w:multiLevelType w:val="multilevel"/>
    <w:tmpl w:val="B62A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28343B"/>
    <w:multiLevelType w:val="hybridMultilevel"/>
    <w:tmpl w:val="0734A696"/>
    <w:lvl w:ilvl="0" w:tplc="AC804030">
      <w:start w:val="1"/>
      <w:numFmt w:val="bullet"/>
      <w:lvlText w:val=""/>
      <w:lvlJc w:val="left"/>
      <w:pPr>
        <w:ind w:left="720" w:hanging="360"/>
      </w:pPr>
      <w:rPr>
        <w:rFonts w:ascii="Wingdings 2" w:hAnsi="Wingdings 2" w:hint="default"/>
        <w:color w:val="auto"/>
        <w:u w:color="00B0F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CAE008E"/>
    <w:multiLevelType w:val="multilevel"/>
    <w:tmpl w:val="F75A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3C101A"/>
    <w:multiLevelType w:val="multilevel"/>
    <w:tmpl w:val="C7BE4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EF7E9F"/>
    <w:multiLevelType w:val="hybridMultilevel"/>
    <w:tmpl w:val="67209B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1605E71"/>
    <w:multiLevelType w:val="hybridMultilevel"/>
    <w:tmpl w:val="C0AC3E7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77D0536"/>
    <w:multiLevelType w:val="multilevel"/>
    <w:tmpl w:val="3DFEC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7D7F40"/>
    <w:multiLevelType w:val="multilevel"/>
    <w:tmpl w:val="35CC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4A3BD0"/>
    <w:multiLevelType w:val="multilevel"/>
    <w:tmpl w:val="C322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6"/>
  </w:num>
  <w:num w:numId="4">
    <w:abstractNumId w:val="0"/>
  </w:num>
  <w:num w:numId="5">
    <w:abstractNumId w:val="3"/>
  </w:num>
  <w:num w:numId="6">
    <w:abstractNumId w:val="1"/>
  </w:num>
  <w:num w:numId="7">
    <w:abstractNumId w:val="5"/>
  </w:num>
  <w:num w:numId="8">
    <w:abstractNumId w:val="7"/>
  </w:num>
  <w:num w:numId="9">
    <w:abstractNumId w:val="4"/>
  </w:num>
  <w:num w:numId="10">
    <w:abstractNumId w:val="12"/>
  </w:num>
  <w:num w:numId="11">
    <w:abstractNumId w:val="13"/>
  </w:num>
  <w:num w:numId="12">
    <w:abstractNumId w:val="11"/>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1CA"/>
    <w:rsid w:val="005A7DEE"/>
    <w:rsid w:val="00704E10"/>
    <w:rsid w:val="009E536B"/>
    <w:rsid w:val="00AE51CA"/>
    <w:rsid w:val="00B52176"/>
    <w:rsid w:val="00B86132"/>
    <w:rsid w:val="00FD1755"/>
    <w:rsid w:val="00FE6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F5080"/>
  <w15:chartTrackingRefBased/>
  <w15:docId w15:val="{E7D21A0B-959F-489C-B681-6E987834B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1CA"/>
    <w:pPr>
      <w:spacing w:after="0" w:line="240" w:lineRule="auto"/>
    </w:pPr>
    <w:rPr>
      <w:rFonts w:ascii="Arial" w:eastAsia="Times New Roman" w:hAnsi="Arial" w:cs="Times New Roman"/>
      <w:sz w:val="20"/>
      <w:szCs w:val="20"/>
      <w:lang w:eastAsia="en-GB"/>
    </w:rPr>
  </w:style>
  <w:style w:type="paragraph" w:styleId="Heading1">
    <w:name w:val="heading 1"/>
    <w:basedOn w:val="Normal"/>
    <w:next w:val="Normal"/>
    <w:link w:val="Heading1Char"/>
    <w:uiPriority w:val="9"/>
    <w:qFormat/>
    <w:rsid w:val="00AE51C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E659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1CA"/>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rsid w:val="00FE659D"/>
    <w:rPr>
      <w:rFonts w:asciiTheme="majorHAnsi" w:eastAsiaTheme="majorEastAsia" w:hAnsiTheme="majorHAnsi" w:cstheme="majorBidi"/>
      <w:color w:val="1F3763" w:themeColor="accent1" w:themeShade="7F"/>
      <w:sz w:val="24"/>
      <w:szCs w:val="24"/>
      <w:lang w:eastAsia="en-GB"/>
    </w:rPr>
  </w:style>
  <w:style w:type="paragraph" w:styleId="CommentText">
    <w:name w:val="annotation text"/>
    <w:basedOn w:val="Normal"/>
    <w:link w:val="CommentTextChar"/>
    <w:uiPriority w:val="99"/>
    <w:semiHidden/>
    <w:unhideWhenUsed/>
    <w:rsid w:val="00AE51CA"/>
    <w:rPr>
      <w:lang w:val="x-none" w:eastAsia="x-none"/>
    </w:rPr>
  </w:style>
  <w:style w:type="character" w:customStyle="1" w:styleId="CommentTextChar">
    <w:name w:val="Comment Text Char"/>
    <w:basedOn w:val="DefaultParagraphFont"/>
    <w:link w:val="CommentText"/>
    <w:uiPriority w:val="99"/>
    <w:semiHidden/>
    <w:rsid w:val="00AE51CA"/>
    <w:rPr>
      <w:rFonts w:ascii="Arial" w:eastAsia="Times New Roman" w:hAnsi="Arial" w:cs="Times New Roman"/>
      <w:sz w:val="20"/>
      <w:szCs w:val="20"/>
      <w:lang w:val="x-none" w:eastAsia="x-none"/>
    </w:rPr>
  </w:style>
  <w:style w:type="paragraph" w:styleId="ListParagraph">
    <w:name w:val="List Paragraph"/>
    <w:basedOn w:val="Normal"/>
    <w:uiPriority w:val="34"/>
    <w:qFormat/>
    <w:rsid w:val="00AE51CA"/>
    <w:pPr>
      <w:ind w:left="720"/>
    </w:pPr>
  </w:style>
  <w:style w:type="character" w:styleId="CommentReference">
    <w:name w:val="annotation reference"/>
    <w:uiPriority w:val="99"/>
    <w:semiHidden/>
    <w:unhideWhenUsed/>
    <w:rsid w:val="00AE51CA"/>
    <w:rPr>
      <w:sz w:val="16"/>
      <w:szCs w:val="16"/>
    </w:rPr>
  </w:style>
  <w:style w:type="character" w:customStyle="1" w:styleId="A3">
    <w:name w:val="A3"/>
    <w:uiPriority w:val="99"/>
    <w:rsid w:val="00AE51CA"/>
    <w:rPr>
      <w:rFonts w:cs="AGaramond"/>
      <w:color w:val="000000"/>
      <w:sz w:val="20"/>
      <w:szCs w:val="20"/>
    </w:rPr>
  </w:style>
  <w:style w:type="character" w:customStyle="1" w:styleId="A11">
    <w:name w:val="A11"/>
    <w:uiPriority w:val="99"/>
    <w:rsid w:val="00AE51CA"/>
    <w:rPr>
      <w:rFonts w:cs="AGaramond"/>
      <w:color w:val="000000"/>
      <w:sz w:val="20"/>
      <w:szCs w:val="20"/>
    </w:rPr>
  </w:style>
  <w:style w:type="paragraph" w:styleId="Header">
    <w:name w:val="header"/>
    <w:basedOn w:val="Normal"/>
    <w:link w:val="HeaderChar"/>
    <w:uiPriority w:val="99"/>
    <w:unhideWhenUsed/>
    <w:rsid w:val="00AE51CA"/>
    <w:pPr>
      <w:tabs>
        <w:tab w:val="center" w:pos="4513"/>
        <w:tab w:val="right" w:pos="9026"/>
      </w:tabs>
    </w:pPr>
  </w:style>
  <w:style w:type="character" w:customStyle="1" w:styleId="HeaderChar">
    <w:name w:val="Header Char"/>
    <w:basedOn w:val="DefaultParagraphFont"/>
    <w:link w:val="Header"/>
    <w:uiPriority w:val="99"/>
    <w:rsid w:val="00AE51CA"/>
    <w:rPr>
      <w:rFonts w:ascii="Arial" w:eastAsia="Times New Roman" w:hAnsi="Arial" w:cs="Times New Roman"/>
      <w:sz w:val="20"/>
      <w:szCs w:val="20"/>
      <w:lang w:eastAsia="en-GB"/>
    </w:rPr>
  </w:style>
  <w:style w:type="paragraph" w:styleId="Footer">
    <w:name w:val="footer"/>
    <w:basedOn w:val="Normal"/>
    <w:link w:val="FooterChar"/>
    <w:uiPriority w:val="99"/>
    <w:unhideWhenUsed/>
    <w:rsid w:val="00AE51CA"/>
    <w:pPr>
      <w:tabs>
        <w:tab w:val="center" w:pos="4513"/>
        <w:tab w:val="right" w:pos="9026"/>
      </w:tabs>
    </w:pPr>
  </w:style>
  <w:style w:type="character" w:customStyle="1" w:styleId="FooterChar">
    <w:name w:val="Footer Char"/>
    <w:basedOn w:val="DefaultParagraphFont"/>
    <w:link w:val="Footer"/>
    <w:uiPriority w:val="99"/>
    <w:rsid w:val="00AE51CA"/>
    <w:rPr>
      <w:rFonts w:ascii="Arial" w:eastAsia="Times New Roman" w:hAnsi="Arial" w:cs="Times New Roman"/>
      <w:sz w:val="20"/>
      <w:szCs w:val="20"/>
      <w:lang w:eastAsia="en-GB"/>
    </w:rPr>
  </w:style>
  <w:style w:type="character" w:styleId="Hyperlink">
    <w:name w:val="Hyperlink"/>
    <w:uiPriority w:val="99"/>
    <w:rsid w:val="00FE659D"/>
    <w:rPr>
      <w:color w:val="0000FF"/>
      <w:u w:val="single"/>
    </w:rPr>
  </w:style>
  <w:style w:type="character" w:styleId="Emphasis">
    <w:name w:val="Emphasis"/>
    <w:basedOn w:val="DefaultParagraphFont"/>
    <w:uiPriority w:val="20"/>
    <w:qFormat/>
    <w:rsid w:val="00FE659D"/>
    <w:rPr>
      <w:i/>
      <w:iCs/>
    </w:rPr>
  </w:style>
  <w:style w:type="character" w:customStyle="1" w:styleId="authors">
    <w:name w:val="authors"/>
    <w:basedOn w:val="DefaultParagraphFont"/>
    <w:rsid w:val="00FE659D"/>
  </w:style>
  <w:style w:type="character" w:customStyle="1" w:styleId="Date1">
    <w:name w:val="Date1"/>
    <w:basedOn w:val="DefaultParagraphFont"/>
    <w:rsid w:val="00FE659D"/>
  </w:style>
  <w:style w:type="character" w:customStyle="1" w:styleId="arttitle">
    <w:name w:val="art_title"/>
    <w:basedOn w:val="DefaultParagraphFont"/>
    <w:rsid w:val="00FE659D"/>
  </w:style>
  <w:style w:type="character" w:customStyle="1" w:styleId="serialtitle">
    <w:name w:val="serial_title"/>
    <w:basedOn w:val="DefaultParagraphFont"/>
    <w:rsid w:val="00FE659D"/>
  </w:style>
  <w:style w:type="character" w:customStyle="1" w:styleId="volumeissue">
    <w:name w:val="volume_issue"/>
    <w:basedOn w:val="DefaultParagraphFont"/>
    <w:rsid w:val="00FE659D"/>
  </w:style>
  <w:style w:type="character" w:customStyle="1" w:styleId="pagerange">
    <w:name w:val="page_range"/>
    <w:basedOn w:val="DefaultParagraphFont"/>
    <w:rsid w:val="00FE659D"/>
  </w:style>
  <w:style w:type="character" w:customStyle="1" w:styleId="doilink">
    <w:name w:val="doi_link"/>
    <w:basedOn w:val="DefaultParagraphFont"/>
    <w:rsid w:val="00FE659D"/>
  </w:style>
  <w:style w:type="paragraph" w:styleId="NormalWeb">
    <w:name w:val="Normal (Web)"/>
    <w:basedOn w:val="Normal"/>
    <w:uiPriority w:val="99"/>
    <w:unhideWhenUsed/>
    <w:rsid w:val="00FE659D"/>
    <w:pPr>
      <w:spacing w:before="100" w:beforeAutospacing="1" w:after="100" w:afterAutospacing="1"/>
    </w:pPr>
    <w:rPr>
      <w:rFonts w:ascii="Times New Roman" w:hAnsi="Times New Roman"/>
      <w:sz w:val="24"/>
      <w:szCs w:val="24"/>
    </w:rPr>
  </w:style>
  <w:style w:type="character" w:customStyle="1" w:styleId="text">
    <w:name w:val="text"/>
    <w:basedOn w:val="DefaultParagraphFont"/>
    <w:rsid w:val="00FE659D"/>
  </w:style>
  <w:style w:type="paragraph" w:customStyle="1" w:styleId="dx-doi">
    <w:name w:val="dx-doi"/>
    <w:basedOn w:val="Normal"/>
    <w:rsid w:val="00FE659D"/>
    <w:pPr>
      <w:spacing w:before="100" w:beforeAutospacing="1" w:after="100" w:afterAutospacing="1"/>
    </w:pPr>
    <w:rPr>
      <w:rFonts w:ascii="Times New Roman" w:hAnsi="Times New Roman"/>
      <w:sz w:val="24"/>
      <w:szCs w:val="24"/>
    </w:rPr>
  </w:style>
  <w:style w:type="paragraph" w:customStyle="1" w:styleId="citation">
    <w:name w:val="citation"/>
    <w:basedOn w:val="Normal"/>
    <w:rsid w:val="00FE659D"/>
    <w:pPr>
      <w:spacing w:before="100" w:beforeAutospacing="1" w:after="100" w:afterAutospacing="1"/>
    </w:pPr>
    <w:rPr>
      <w:rFonts w:ascii="Times New Roman" w:hAnsi="Times New Roman"/>
      <w:sz w:val="24"/>
      <w:szCs w:val="24"/>
    </w:rPr>
  </w:style>
  <w:style w:type="character" w:styleId="UnresolvedMention">
    <w:name w:val="Unresolved Mention"/>
    <w:basedOn w:val="DefaultParagraphFont"/>
    <w:uiPriority w:val="99"/>
    <w:semiHidden/>
    <w:unhideWhenUsed/>
    <w:rsid w:val="00FD17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27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2/jts.22454" TargetMode="External"/><Relationship Id="rId21" Type="http://schemas.openxmlformats.org/officeDocument/2006/relationships/hyperlink" Target="https://doi.org/10.1016/j.beth.2011.08.006" TargetMode="External"/><Relationship Id="rId42" Type="http://schemas.openxmlformats.org/officeDocument/2006/relationships/hyperlink" Target="https://doi.org/10.1016/j.cpr.2020.101891" TargetMode="External"/><Relationship Id="rId47" Type="http://schemas.openxmlformats.org/officeDocument/2006/relationships/hyperlink" Target="https://istss.org/getattachment/Treating-Trauma/New-ISTSS-Prevention-and-Treatment-Guidelines/ISTSS_CPTSD-Position-Paper-(Adults)_FNL.pdf.aspx" TargetMode="External"/><Relationship Id="rId63" Type="http://schemas.openxmlformats.org/officeDocument/2006/relationships/hyperlink" Target="https://doi.org/10.1016/j.jad.2018.09.059" TargetMode="External"/><Relationship Id="rId68" Type="http://schemas.openxmlformats.org/officeDocument/2006/relationships/hyperlink" Target="https://www.nhs.uk/mental-health/conditions/post-traumatic-stress-disorder-ptsd/complex/" TargetMode="External"/><Relationship Id="rId84" Type="http://schemas.openxmlformats.org/officeDocument/2006/relationships/hyperlink" Target="https://doi-org.ezproxy.uwtsd.ac.uk/10.1002/jclp.22016" TargetMode="External"/><Relationship Id="rId89" Type="http://schemas.openxmlformats.org/officeDocument/2006/relationships/hyperlink" Target="http://www.brantbjerg.dk/moaikuenglish/englishlitterature/articles_pdf/a4/Relational.pdf" TargetMode="External"/><Relationship Id="rId7" Type="http://schemas.openxmlformats.org/officeDocument/2006/relationships/hyperlink" Target="https://doi.org/10.1080/00107530.2003.10747213" TargetMode="External"/><Relationship Id="rId71" Type="http://schemas.openxmlformats.org/officeDocument/2006/relationships/hyperlink" Target="https://doi.org/10.1177/0021909615580867" TargetMode="External"/><Relationship Id="rId92" Type="http://schemas.openxmlformats.org/officeDocument/2006/relationships/hyperlink" Target="https://doi.org/10.1016/S0193-953X(18)30439-8" TargetMode="External"/><Relationship Id="rId2" Type="http://schemas.openxmlformats.org/officeDocument/2006/relationships/styles" Target="styles.xml"/><Relationship Id="rId16" Type="http://schemas.openxmlformats.org/officeDocument/2006/relationships/hyperlink" Target="https://doi.org/10.1080/17432979.2018.1437079" TargetMode="External"/><Relationship Id="rId29" Type="http://schemas.openxmlformats.org/officeDocument/2006/relationships/hyperlink" Target="https://doi-org.ezproxy.uwtsd.ac.uk/10.1016/j.mehy.2015.01.028" TargetMode="External"/><Relationship Id="rId11" Type="http://schemas.openxmlformats.org/officeDocument/2006/relationships/hyperlink" Target="https://www.nature.com/articles/npp2015247" TargetMode="External"/><Relationship Id="rId24" Type="http://schemas.openxmlformats.org/officeDocument/2006/relationships/hyperlink" Target="https://sensorimotorpsychotherapy.org/wp-content/uploads/2020/10/A-Pilot-RCT-of-A-Body-Oriented-Group-Therapy-For-Complex-Trauma-Survivors-An-Adaptation-of-Sensorimotor-Psychotherapy.pdf" TargetMode="External"/><Relationship Id="rId32" Type="http://schemas.openxmlformats.org/officeDocument/2006/relationships/hyperlink" Target="https://doi.org/10.1016/j.cpr.2014.10.004" TargetMode="External"/><Relationship Id="rId37" Type="http://schemas.openxmlformats.org/officeDocument/2006/relationships/hyperlink" Target="https://doi-org.ezproxy.uwtsd.ac.uk/10.1016/j.comppsych.2015.11.006" TargetMode="External"/><Relationship Id="rId40" Type="http://schemas.openxmlformats.org/officeDocument/2006/relationships/hyperlink" Target="https://doi.org/10.1300/J229v07n03_04" TargetMode="External"/><Relationship Id="rId45" Type="http://schemas.openxmlformats.org/officeDocument/2006/relationships/hyperlink" Target="https://www-proquest-com.ezproxy.uwtsd.ac.uk/trade-journals/identifying-patients-with-complex-ptsd/docview/1844330907/se-2?accountid=130472" TargetMode="External"/><Relationship Id="rId53" Type="http://schemas.openxmlformats.org/officeDocument/2006/relationships/hyperlink" Target="https://psycnet.apa.org/doi/10.1037/a0032677" TargetMode="External"/><Relationship Id="rId58" Type="http://schemas.openxmlformats.org/officeDocument/2006/relationships/hyperlink" Target="https://doi.org/10.1176/appi.ajp.2017.17010025" TargetMode="External"/><Relationship Id="rId66" Type="http://schemas.openxmlformats.org/officeDocument/2006/relationships/hyperlink" Target="https://www.mind.org.uk/information-support/types-of-mental-health-problems/post-traumatic-stress-disorder-ptsd-and-complex-ptsd/complex-ptsd/" TargetMode="External"/><Relationship Id="rId74" Type="http://schemas.openxmlformats.org/officeDocument/2006/relationships/hyperlink" Target="https://www.proquest.com/scholarly-journals/childhood-experience-expression-genetic-potential/docview/212231554/se-2?accountid=130472" TargetMode="External"/><Relationship Id="rId79" Type="http://schemas.openxmlformats.org/officeDocument/2006/relationships/hyperlink" Target="https://doi.org/10.1111/jcpp.12640" TargetMode="External"/><Relationship Id="rId87" Type="http://schemas.openxmlformats.org/officeDocument/2006/relationships/hyperlink" Target="https://www-proquest-com.ezproxy.uwtsd.ac.uk/docview/1284595122?OpenUrlRefId=info:xri/sid:primo&amp;accountid=130472" TargetMode="External"/><Relationship Id="rId102"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proquest-com.ezproxy.uwtsd.ac.uk/docview/222850490?accountid=130472&amp;pq-origsite=primo" TargetMode="External"/><Relationship Id="rId82" Type="http://schemas.openxmlformats.org/officeDocument/2006/relationships/hyperlink" Target="https://doi.apa.org/doiLanding?doi=10.1037%2Fa0038019" TargetMode="External"/><Relationship Id="rId90" Type="http://schemas.openxmlformats.org/officeDocument/2006/relationships/hyperlink" Target="https://doi.org/10.5325/gestaltreview.23.3.0261" TargetMode="External"/><Relationship Id="rId95" Type="http://schemas.openxmlformats.org/officeDocument/2006/relationships/hyperlink" Target="https://complextrauma.org/wp-content/uploads/2019/03/Complex-Trauma-Resource-3-Joseph-Spinazzola.pdf" TargetMode="External"/><Relationship Id="rId19" Type="http://schemas.openxmlformats.org/officeDocument/2006/relationships/hyperlink" Target="https://www.ncbi.nlm.nih.gov/pmc/articles/PMC4032083/pdf/ccap_23_p0142.pdf" TargetMode="External"/><Relationship Id="rId14" Type="http://schemas.openxmlformats.org/officeDocument/2006/relationships/hyperlink" Target="https://www.ibpj.org/issues/articles/Holm%20Brantbjerg%20-%20Hyporesponse.pdf" TargetMode="External"/><Relationship Id="rId22" Type="http://schemas.openxmlformats.org/officeDocument/2006/relationships/hyperlink" Target="http://dx.doi.org/10.1037/pri0000097" TargetMode="External"/><Relationship Id="rId27" Type="http://schemas.openxmlformats.org/officeDocument/2006/relationships/hyperlink" Target="https://doi.org/10.1016/j.mehy.2019.109502" TargetMode="External"/><Relationship Id="rId30" Type="http://schemas.openxmlformats.org/officeDocument/2006/relationships/hyperlink" Target="https://www.proquest.com/scholarly-journals/hidden-trauma-dissociation-prenatal-assessment/docview/2514747623/se-2?accountid=130472" TargetMode="External"/><Relationship Id="rId35" Type="http://schemas.openxmlformats.org/officeDocument/2006/relationships/hyperlink" Target="https://doi.org/10.1016/S0749-3797(98)00017-8" TargetMode="External"/><Relationship Id="rId43" Type="http://schemas.openxmlformats.org/officeDocument/2006/relationships/hyperlink" Target="https://doi.org/10.3389/fnbeh.2019.00183" TargetMode="External"/><Relationship Id="rId48" Type="http://schemas.openxmlformats.org/officeDocument/2006/relationships/hyperlink" Target="https://www.traumameasuresglobal.com/itq" TargetMode="External"/><Relationship Id="rId56" Type="http://schemas.openxmlformats.org/officeDocument/2006/relationships/hyperlink" Target="https://doi-org.ezproxy.uwtsd.ac.uk/10.1002/anzf.1270" TargetMode="External"/><Relationship Id="rId64" Type="http://schemas.openxmlformats.org/officeDocument/2006/relationships/hyperlink" Target="http://www.pscyhologytoday.com" TargetMode="External"/><Relationship Id="rId69" Type="http://schemas.openxmlformats.org/officeDocument/2006/relationships/hyperlink" Target="https://www.nice.org.uk/guidance/ng116/chapter/Recommendations" TargetMode="External"/><Relationship Id="rId77" Type="http://schemas.openxmlformats.org/officeDocument/2006/relationships/hyperlink" Target="https://doi.org/10.1016/j.pscychresns.2014.05.005" TargetMode="External"/><Relationship Id="rId100" Type="http://schemas.openxmlformats.org/officeDocument/2006/relationships/hyperlink" Target="https://psycnet.apa.org/doi/10.1037/per0000368" TargetMode="External"/><Relationship Id="rId8" Type="http://schemas.openxmlformats.org/officeDocument/2006/relationships/hyperlink" Target="https://doi.org/10.1080/20008198.2020.1795361" TargetMode="External"/><Relationship Id="rId51" Type="http://schemas.openxmlformats.org/officeDocument/2006/relationships/hyperlink" Target="https://doi.org/10.1016/j.bpsc.2021.10.005" TargetMode="External"/><Relationship Id="rId72" Type="http://schemas.openxmlformats.org/officeDocument/2006/relationships/hyperlink" Target="https://psycnet.apa.org/doi/10.1177/153476560000600302" TargetMode="External"/><Relationship Id="rId80" Type="http://schemas.openxmlformats.org/officeDocument/2006/relationships/hyperlink" Target="https://doi.org/10.1080/00107530.2003.10747215" TargetMode="External"/><Relationship Id="rId85" Type="http://schemas.openxmlformats.org/officeDocument/2006/relationships/hyperlink" Target="https://sosinternationale.org/curriculum" TargetMode="External"/><Relationship Id="rId93" Type="http://schemas.openxmlformats.org/officeDocument/2006/relationships/hyperlink" Target="https://www.proquest.com/scholarly-journals/developmental-trauma-disorder/docview/217061643/se-2?accountid=130472" TargetMode="External"/><Relationship Id="rId98" Type="http://schemas.openxmlformats.org/officeDocument/2006/relationships/hyperlink" Target="https://ngfo.no/wp-content/uploads/2017/06/relational-attitude-yontef.pdf" TargetMode="External"/><Relationship Id="rId3" Type="http://schemas.openxmlformats.org/officeDocument/2006/relationships/settings" Target="settings.xml"/><Relationship Id="rId12" Type="http://schemas.openxmlformats.org/officeDocument/2006/relationships/hyperlink" Target="https://doi.org/10.1111/jcpp.12640" TargetMode="External"/><Relationship Id="rId17" Type="http://schemas.openxmlformats.org/officeDocument/2006/relationships/hyperlink" Target="https://doi.org/10.1080/17432979.2019.1699604" TargetMode="External"/><Relationship Id="rId25" Type="http://schemas.openxmlformats.org/officeDocument/2006/relationships/hyperlink" Target="https://doi.org/10.1002/jts.20697" TargetMode="External"/><Relationship Id="rId33" Type="http://schemas.openxmlformats.org/officeDocument/2006/relationships/hyperlink" Target="https://doi.org/10.1080/15299732.2011.570592" TargetMode="External"/><Relationship Id="rId38" Type="http://schemas.openxmlformats.org/officeDocument/2006/relationships/hyperlink" Target="https://doi-org.ezproxy.uwtsd.ac.uk/10.1080/20008198.2021.1929028" TargetMode="External"/><Relationship Id="rId46" Type="http://schemas.openxmlformats.org/officeDocument/2006/relationships/hyperlink" Target="https://istss.org/getattachment/Treating-Trauma/New-ISTSS-Prevention-and-Treatment-Guidelines/ISTSS_PreventionTreatmentGuidelines_FNL-March-19-2019.pdf.aspx" TargetMode="External"/><Relationship Id="rId59" Type="http://schemas.openxmlformats.org/officeDocument/2006/relationships/hyperlink" Target="https://doi.org/10.1016/j.cpr.2019.101755" TargetMode="External"/><Relationship Id="rId67" Type="http://schemas.openxmlformats.org/officeDocument/2006/relationships/hyperlink" Target="https://doi.org/10.1016/j.mito.2019.12.005" TargetMode="External"/><Relationship Id="rId103" Type="http://schemas.openxmlformats.org/officeDocument/2006/relationships/theme" Target="theme/theme1.xml"/><Relationship Id="rId20" Type="http://schemas.openxmlformats.org/officeDocument/2006/relationships/hyperlink" Target="https://psycnet.apa.org/doi/10.1037/abn0000154" TargetMode="External"/><Relationship Id="rId41" Type="http://schemas.openxmlformats.org/officeDocument/2006/relationships/hyperlink" Target="https://doi.org/10.1177/1078390317745133" TargetMode="External"/><Relationship Id="rId54" Type="http://schemas.openxmlformats.org/officeDocument/2006/relationships/hyperlink" Target="https://doi.org/10.1176/appi.ajp.2016.16030353" TargetMode="External"/><Relationship Id="rId62" Type="http://schemas.openxmlformats.org/officeDocument/2006/relationships/hyperlink" Target="https://onlinelibrary.wiley.com/doi/10.1002/da.20586" TargetMode="External"/><Relationship Id="rId70" Type="http://schemas.openxmlformats.org/officeDocument/2006/relationships/hyperlink" Target="https://link.springer.com/content/pdf/10.1007/BF03379560.pdf" TargetMode="External"/><Relationship Id="rId75" Type="http://schemas.openxmlformats.org/officeDocument/2006/relationships/hyperlink" Target="https://video.alexanderstreet.com/watch/energy-psychology-brainspotting-under-the-microscope-the-new-era-of-brain-based-psychotherapy" TargetMode="External"/><Relationship Id="rId83" Type="http://schemas.openxmlformats.org/officeDocument/2006/relationships/hyperlink" Target="https://doi.org/10.3389/fpsyg.2021.648616" TargetMode="External"/><Relationship Id="rId88" Type="http://schemas.openxmlformats.org/officeDocument/2006/relationships/hyperlink" Target="https://doi.org/10.1037/hum0000228" TargetMode="External"/><Relationship Id="rId91" Type="http://schemas.openxmlformats.org/officeDocument/2006/relationships/hyperlink" Target="https://ibpj.org/issues/articles/Somatic%20Colloquium%20-%20Embodied%20Relating%20IBPJ%20volume%2013_2%202014.pdf" TargetMode="External"/><Relationship Id="rId96" Type="http://schemas.openxmlformats.org/officeDocument/2006/relationships/hyperlink" Target="https://core.ac.uk/download/pdf/327191746.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80/17432979.2014.947323" TargetMode="External"/><Relationship Id="rId23" Type="http://schemas.openxmlformats.org/officeDocument/2006/relationships/hyperlink" Target="https://doi.org/10.3402/ejpt.v6.26068" TargetMode="External"/><Relationship Id="rId28" Type="http://schemas.openxmlformats.org/officeDocument/2006/relationships/hyperlink" Target="https://doi.org/10.1016/j.mehy.2013.03.005" TargetMode="External"/><Relationship Id="rId36" Type="http://schemas.openxmlformats.org/officeDocument/2006/relationships/hyperlink" Target="https://psycnet.apa.org/doi/10.1037/pri0000096" TargetMode="External"/><Relationship Id="rId49" Type="http://schemas.openxmlformats.org/officeDocument/2006/relationships/hyperlink" Target="https://doi.org/10.1177%2F0022167817722230" TargetMode="External"/><Relationship Id="rId57" Type="http://schemas.openxmlformats.org/officeDocument/2006/relationships/hyperlink" Target="https://doi.org/10.1080/10926771.2014.904467" TargetMode="External"/><Relationship Id="rId10" Type="http://schemas.openxmlformats.org/officeDocument/2006/relationships/hyperlink" Target="https://doi.org/10.1080/20008198.2021.1942642" TargetMode="External"/><Relationship Id="rId31" Type="http://schemas.openxmlformats.org/officeDocument/2006/relationships/hyperlink" Target="https://doi.org/10.1002/da.22469" TargetMode="External"/><Relationship Id="rId44" Type="http://schemas.openxmlformats.org/officeDocument/2006/relationships/hyperlink" Target="https://psycnet.apa.org/doi/10.1080/15299730802139212" TargetMode="External"/><Relationship Id="rId52" Type="http://schemas.openxmlformats.org/officeDocument/2006/relationships/hyperlink" Target="https://doi.org/10.1080/20008198.2017.1418103" TargetMode="External"/><Relationship Id="rId60" Type="http://schemas.openxmlformats.org/officeDocument/2006/relationships/hyperlink" Target="https://doi.org/10.3389/fpsyg.2020.00324" TargetMode="External"/><Relationship Id="rId65" Type="http://schemas.openxmlformats.org/officeDocument/2006/relationships/hyperlink" Target="https://www.psychologytoday.com/intl/blog/arts-and-health/202109/traumatic-stress-and-the-circle-capacity" TargetMode="External"/><Relationship Id="rId73" Type="http://schemas.openxmlformats.org/officeDocument/2006/relationships/hyperlink" Target="https://doi.org/10.3389/fpsyg.2015.00093" TargetMode="External"/><Relationship Id="rId78" Type="http://schemas.openxmlformats.org/officeDocument/2006/relationships/hyperlink" Target="https://psycnet.apa.org/doi/10.1037/abn0000211" TargetMode="External"/><Relationship Id="rId81" Type="http://schemas.openxmlformats.org/officeDocument/2006/relationships/hyperlink" Target="https://link-springer-com.ezproxy.uwtsd.ac.uk/content/pdf/10.1023/A:1009571806136.pdf" TargetMode="External"/><Relationship Id="rId86" Type="http://schemas.openxmlformats.org/officeDocument/2006/relationships/hyperlink" Target="https://doi.org/10.1177%2F0362153713499542" TargetMode="External"/><Relationship Id="rId94" Type="http://schemas.openxmlformats.org/officeDocument/2006/relationships/hyperlink" Target="https://doi.org/10.1196/annals.1364.022" TargetMode="External"/><Relationship Id="rId99" Type="http://schemas.openxmlformats.org/officeDocument/2006/relationships/hyperlink" Target="https://doi.org/10.1080/17432970701717783" TargetMode="External"/><Relationship Id="rId10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iosynthesis-institute.com/print/boadella.pdf" TargetMode="External"/><Relationship Id="rId13" Type="http://schemas.openxmlformats.org/officeDocument/2006/relationships/hyperlink" Target="https://psycnet.apa.org/doi/10.1503/jpn.170021" TargetMode="External"/><Relationship Id="rId18" Type="http://schemas.openxmlformats.org/officeDocument/2006/relationships/hyperlink" Target="https://doi.org/10.1080/17432979.2021.1876768" TargetMode="External"/><Relationship Id="rId39" Type="http://schemas.openxmlformats.org/officeDocument/2006/relationships/hyperlink" Target="https://doi.org/10.1111/papt.12226" TargetMode="External"/><Relationship Id="rId34" Type="http://schemas.openxmlformats.org/officeDocument/2006/relationships/hyperlink" Target="https://doi.org/10.1177%2F0963721418807728" TargetMode="External"/><Relationship Id="rId50" Type="http://schemas.openxmlformats.org/officeDocument/2006/relationships/hyperlink" Target="https://doi-org.ezproxy.uwtsd.ac.uk/10.1111/jpc.14154" TargetMode="External"/><Relationship Id="rId55" Type="http://schemas.openxmlformats.org/officeDocument/2006/relationships/hyperlink" Target="https://doi.org/10.1037/int0000192" TargetMode="External"/><Relationship Id="rId76" Type="http://schemas.openxmlformats.org/officeDocument/2006/relationships/hyperlink" Target="https://doi.org/10.1192/bjp.2021.17" TargetMode="External"/><Relationship Id="rId97" Type="http://schemas.openxmlformats.org/officeDocument/2006/relationships/hyperlink" Target="https://icd.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61</Pages>
  <Words>22047</Words>
  <Characters>125671</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Thorndycraft (1704766)</dc:creator>
  <cp:keywords/>
  <dc:description/>
  <cp:lastModifiedBy>Louise Thorndycraft</cp:lastModifiedBy>
  <cp:revision>5</cp:revision>
  <dcterms:created xsi:type="dcterms:W3CDTF">2021-12-15T16:28:00Z</dcterms:created>
  <dcterms:modified xsi:type="dcterms:W3CDTF">2021-12-15T16:48:00Z</dcterms:modified>
</cp:coreProperties>
</file>