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B6941" w14:textId="77777777" w:rsidR="001237AE" w:rsidRDefault="001237AE" w:rsidP="001237AE">
      <w:pPr>
        <w:jc w:val="center"/>
        <w:rPr>
          <w:rFonts w:ascii="Times New Roman" w:hAnsi="Times New Roman" w:cs="Times New Roman"/>
          <w:b/>
          <w:sz w:val="32"/>
          <w:szCs w:val="32"/>
        </w:rPr>
      </w:pPr>
    </w:p>
    <w:p w14:paraId="63F2B804" w14:textId="77777777" w:rsidR="00220923" w:rsidRDefault="00220923" w:rsidP="00220923">
      <w:pPr>
        <w:spacing w:line="360" w:lineRule="auto"/>
        <w:jc w:val="both"/>
        <w:rPr>
          <w:rFonts w:ascii="Times New Roman" w:eastAsia="Times New Roman" w:hAnsi="Times New Roman" w:cs="Times New Roman"/>
          <w:b/>
          <w:sz w:val="24"/>
          <w:szCs w:val="24"/>
        </w:rPr>
      </w:pPr>
    </w:p>
    <w:p w14:paraId="718A6CB5" w14:textId="77777777" w:rsidR="00220923" w:rsidRDefault="00220923" w:rsidP="00220923">
      <w:pPr>
        <w:spacing w:line="360" w:lineRule="auto"/>
        <w:jc w:val="both"/>
        <w:rPr>
          <w:rFonts w:ascii="Times New Roman" w:eastAsia="Times New Roman" w:hAnsi="Times New Roman" w:cs="Times New Roman"/>
          <w:b/>
          <w:sz w:val="24"/>
          <w:szCs w:val="24"/>
        </w:rPr>
      </w:pPr>
    </w:p>
    <w:p w14:paraId="6679543D" w14:textId="77777777" w:rsidR="00220923" w:rsidRDefault="00220923" w:rsidP="00220923">
      <w:pPr>
        <w:spacing w:line="360" w:lineRule="auto"/>
        <w:jc w:val="both"/>
        <w:rPr>
          <w:rFonts w:ascii="Times New Roman" w:eastAsia="Times New Roman" w:hAnsi="Times New Roman" w:cs="Times New Roman"/>
          <w:b/>
          <w:sz w:val="24"/>
          <w:szCs w:val="24"/>
        </w:rPr>
      </w:pPr>
      <w:r w:rsidRPr="00642D5B">
        <w:rPr>
          <w:rFonts w:ascii="Times New Roman" w:eastAsia="Times New Roman" w:hAnsi="Times New Roman" w:cs="Times New Roman"/>
          <w:b/>
          <w:noProof/>
          <w:sz w:val="24"/>
          <w:szCs w:val="24"/>
          <w:lang w:val="en-IN"/>
        </w:rPr>
        <w:drawing>
          <wp:inline distT="0" distB="0" distL="0" distR="0" wp14:anchorId="50F85C38" wp14:editId="62F6A3BD">
            <wp:extent cx="5733415" cy="2183765"/>
            <wp:effectExtent l="0" t="0" r="635" b="6985"/>
            <wp:docPr id="194520051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200517" name="Picture 1" descr="A close-up of a sign&#10;&#10;Description automatically generated"/>
                    <pic:cNvPicPr/>
                  </pic:nvPicPr>
                  <pic:blipFill>
                    <a:blip r:embed="rId7"/>
                    <a:stretch>
                      <a:fillRect/>
                    </a:stretch>
                  </pic:blipFill>
                  <pic:spPr>
                    <a:xfrm>
                      <a:off x="0" y="0"/>
                      <a:ext cx="5733415" cy="2183765"/>
                    </a:xfrm>
                    <a:prstGeom prst="rect">
                      <a:avLst/>
                    </a:prstGeom>
                  </pic:spPr>
                </pic:pic>
              </a:graphicData>
            </a:graphic>
          </wp:inline>
        </w:drawing>
      </w:r>
    </w:p>
    <w:p w14:paraId="57A184FF" w14:textId="77777777" w:rsidR="00220923" w:rsidRDefault="00220923" w:rsidP="00220923">
      <w:pPr>
        <w:spacing w:line="360" w:lineRule="auto"/>
        <w:jc w:val="both"/>
        <w:rPr>
          <w:rFonts w:ascii="Times New Roman" w:eastAsia="Times New Roman" w:hAnsi="Times New Roman" w:cs="Times New Roman"/>
          <w:b/>
          <w:sz w:val="24"/>
          <w:szCs w:val="24"/>
        </w:rPr>
      </w:pPr>
    </w:p>
    <w:p w14:paraId="6A78067F" w14:textId="77777777" w:rsidR="00220923" w:rsidRDefault="00220923" w:rsidP="00220923">
      <w:pPr>
        <w:spacing w:line="360" w:lineRule="auto"/>
        <w:jc w:val="both"/>
        <w:rPr>
          <w:rFonts w:ascii="Times New Roman" w:eastAsia="Times New Roman" w:hAnsi="Times New Roman" w:cs="Times New Roman"/>
          <w:b/>
          <w:sz w:val="24"/>
          <w:szCs w:val="24"/>
        </w:rPr>
      </w:pPr>
    </w:p>
    <w:p w14:paraId="199E2A81" w14:textId="77777777" w:rsidR="00220923" w:rsidRPr="00A137FE" w:rsidRDefault="00220923" w:rsidP="00220923">
      <w:pPr>
        <w:spacing w:line="360" w:lineRule="auto"/>
        <w:jc w:val="center"/>
        <w:rPr>
          <w:rFonts w:ascii="Times New Roman" w:eastAsia="Times New Roman" w:hAnsi="Times New Roman" w:cs="Times New Roman"/>
          <w:b/>
          <w:sz w:val="36"/>
          <w:szCs w:val="36"/>
        </w:rPr>
      </w:pPr>
      <w:r w:rsidRPr="00A137FE">
        <w:rPr>
          <w:rFonts w:ascii="Times New Roman" w:eastAsia="Times New Roman" w:hAnsi="Times New Roman" w:cs="Times New Roman"/>
          <w:b/>
          <w:sz w:val="36"/>
          <w:szCs w:val="36"/>
        </w:rPr>
        <w:t xml:space="preserve">Title: </w:t>
      </w:r>
      <w:r w:rsidRPr="00A137FE">
        <w:rPr>
          <w:sz w:val="32"/>
          <w:szCs w:val="32"/>
        </w:rPr>
        <w:t>Assessment 1</w:t>
      </w:r>
      <w:r>
        <w:rPr>
          <w:sz w:val="32"/>
          <w:szCs w:val="32"/>
        </w:rPr>
        <w:t>:</w:t>
      </w:r>
      <w:r w:rsidRPr="00A137FE">
        <w:rPr>
          <w:sz w:val="32"/>
          <w:szCs w:val="32"/>
        </w:rPr>
        <w:t xml:space="preserve"> Human Resource Management</w:t>
      </w:r>
    </w:p>
    <w:p w14:paraId="63D14DB5" w14:textId="77777777" w:rsidR="00220923" w:rsidRDefault="00220923" w:rsidP="00220923">
      <w:pPr>
        <w:spacing w:line="360" w:lineRule="auto"/>
        <w:rPr>
          <w:b/>
          <w:bCs/>
        </w:rPr>
      </w:pPr>
    </w:p>
    <w:p w14:paraId="6F9F1774" w14:textId="77777777" w:rsidR="00220923" w:rsidRDefault="00220923" w:rsidP="00220923">
      <w:pPr>
        <w:spacing w:line="360" w:lineRule="auto"/>
        <w:rPr>
          <w:b/>
          <w:bCs/>
        </w:rPr>
      </w:pPr>
    </w:p>
    <w:p w14:paraId="4553C343" w14:textId="77777777" w:rsidR="00220923" w:rsidRDefault="00220923" w:rsidP="00220923">
      <w:pPr>
        <w:spacing w:line="360" w:lineRule="auto"/>
        <w:rPr>
          <w:b/>
          <w:bCs/>
        </w:rPr>
      </w:pPr>
    </w:p>
    <w:p w14:paraId="3976C093" w14:textId="77777777" w:rsidR="00220923" w:rsidRDefault="00220923" w:rsidP="00220923">
      <w:pPr>
        <w:spacing w:line="360" w:lineRule="auto"/>
        <w:rPr>
          <w:b/>
          <w:bCs/>
        </w:rPr>
      </w:pPr>
    </w:p>
    <w:p w14:paraId="1BC69C13" w14:textId="77777777" w:rsidR="00220923" w:rsidRDefault="00220923" w:rsidP="00220923">
      <w:pPr>
        <w:spacing w:line="360" w:lineRule="auto"/>
        <w:rPr>
          <w:b/>
          <w:bCs/>
        </w:rPr>
      </w:pPr>
    </w:p>
    <w:p w14:paraId="2D5E421F" w14:textId="77777777" w:rsidR="00220923" w:rsidRDefault="00220923" w:rsidP="00220923">
      <w:pPr>
        <w:spacing w:line="360" w:lineRule="auto"/>
        <w:rPr>
          <w:b/>
          <w:bCs/>
        </w:rPr>
      </w:pPr>
    </w:p>
    <w:p w14:paraId="141B621A" w14:textId="77777777" w:rsidR="00220923" w:rsidRDefault="00220923" w:rsidP="00220923">
      <w:pPr>
        <w:spacing w:line="360" w:lineRule="auto"/>
        <w:rPr>
          <w:b/>
          <w:bCs/>
        </w:rPr>
      </w:pPr>
    </w:p>
    <w:p w14:paraId="798F33D1" w14:textId="77777777" w:rsidR="00220923" w:rsidRDefault="00220923" w:rsidP="00220923">
      <w:pPr>
        <w:spacing w:line="360" w:lineRule="auto"/>
        <w:rPr>
          <w:b/>
          <w:bCs/>
        </w:rPr>
      </w:pPr>
    </w:p>
    <w:p w14:paraId="05C3D7DC" w14:textId="77777777" w:rsidR="00220923" w:rsidRDefault="00220923" w:rsidP="00220923">
      <w:pPr>
        <w:spacing w:line="360" w:lineRule="auto"/>
        <w:rPr>
          <w:b/>
          <w:bCs/>
        </w:rPr>
      </w:pPr>
    </w:p>
    <w:p w14:paraId="453CBB02" w14:textId="77777777" w:rsidR="00220923" w:rsidRDefault="00220923" w:rsidP="00220923">
      <w:pPr>
        <w:spacing w:line="360" w:lineRule="auto"/>
        <w:rPr>
          <w:b/>
          <w:bCs/>
        </w:rPr>
      </w:pPr>
    </w:p>
    <w:p w14:paraId="45DF1C62" w14:textId="6743A391" w:rsidR="00220923" w:rsidRPr="00220923" w:rsidRDefault="00220923" w:rsidP="00220923">
      <w:pPr>
        <w:spacing w:line="360" w:lineRule="auto"/>
        <w:rPr>
          <w:bCs/>
        </w:rPr>
      </w:pPr>
      <w:r w:rsidRPr="00A137FE">
        <w:rPr>
          <w:b/>
          <w:bCs/>
        </w:rPr>
        <w:t xml:space="preserve">Student name: </w:t>
      </w:r>
      <w:r w:rsidRPr="00220923">
        <w:rPr>
          <w:bCs/>
        </w:rPr>
        <w:t>JaydipKumar Rathod</w:t>
      </w:r>
    </w:p>
    <w:p w14:paraId="1B50C195" w14:textId="2C84BEA3" w:rsidR="00220923" w:rsidRPr="00A137FE" w:rsidRDefault="00220923" w:rsidP="00220923">
      <w:pPr>
        <w:spacing w:line="360" w:lineRule="auto"/>
        <w:rPr>
          <w:b/>
          <w:bCs/>
        </w:rPr>
      </w:pPr>
      <w:r w:rsidRPr="00A137FE">
        <w:rPr>
          <w:b/>
          <w:bCs/>
        </w:rPr>
        <w:t xml:space="preserve">Student ID: </w:t>
      </w:r>
      <w:r w:rsidRPr="00220923">
        <w:rPr>
          <w:bCs/>
        </w:rPr>
        <w:t>2239384</w:t>
      </w:r>
    </w:p>
    <w:p w14:paraId="041F2CC7" w14:textId="38C1E97C" w:rsidR="00220923" w:rsidRPr="00A137FE" w:rsidRDefault="00220923" w:rsidP="00220923">
      <w:pPr>
        <w:spacing w:line="360" w:lineRule="auto"/>
        <w:rPr>
          <w:b/>
          <w:bCs/>
        </w:rPr>
      </w:pPr>
      <w:r w:rsidRPr="00A137FE">
        <w:rPr>
          <w:b/>
          <w:bCs/>
        </w:rPr>
        <w:t xml:space="preserve">Program: </w:t>
      </w:r>
      <w:r w:rsidRPr="00220923">
        <w:t>MBA GENERAL MANAGEMENT</w:t>
      </w:r>
    </w:p>
    <w:p w14:paraId="3B0571E2" w14:textId="77777777" w:rsidR="00220923" w:rsidRPr="00A137FE" w:rsidRDefault="00220923" w:rsidP="00220923">
      <w:pPr>
        <w:spacing w:line="360" w:lineRule="auto"/>
        <w:rPr>
          <w:b/>
          <w:bCs/>
        </w:rPr>
      </w:pPr>
      <w:r w:rsidRPr="00A137FE">
        <w:rPr>
          <w:b/>
          <w:bCs/>
        </w:rPr>
        <w:t xml:space="preserve">Module: </w:t>
      </w:r>
      <w:r>
        <w:t>Human Resource Management</w:t>
      </w:r>
    </w:p>
    <w:p w14:paraId="5AEECFA7" w14:textId="77777777" w:rsidR="00220923" w:rsidRPr="00A137FE" w:rsidRDefault="00220923" w:rsidP="00220923">
      <w:pPr>
        <w:spacing w:line="360" w:lineRule="auto"/>
        <w:rPr>
          <w:b/>
          <w:bCs/>
        </w:rPr>
      </w:pPr>
      <w:r w:rsidRPr="00A137FE">
        <w:rPr>
          <w:b/>
          <w:bCs/>
        </w:rPr>
        <w:t>Module Code:</w:t>
      </w:r>
      <w:r w:rsidRPr="00A137FE">
        <w:t xml:space="preserve"> LCMB7000</w:t>
      </w:r>
    </w:p>
    <w:p w14:paraId="16A130BB" w14:textId="77777777" w:rsidR="00220923" w:rsidRDefault="00220923" w:rsidP="00220923">
      <w:pPr>
        <w:spacing w:line="360" w:lineRule="auto"/>
      </w:pPr>
      <w:r w:rsidRPr="00A137FE">
        <w:rPr>
          <w:b/>
          <w:bCs/>
        </w:rPr>
        <w:t xml:space="preserve">Lecturer Name: </w:t>
      </w:r>
      <w:r>
        <w:t xml:space="preserve">Gladius Kulothungan-GP1 </w:t>
      </w:r>
    </w:p>
    <w:p w14:paraId="40D74176" w14:textId="2BC83499" w:rsidR="00220923" w:rsidRPr="00A137FE" w:rsidRDefault="00220923" w:rsidP="00220923">
      <w:pPr>
        <w:spacing w:line="360" w:lineRule="auto"/>
        <w:ind w:left="1440"/>
        <w:rPr>
          <w:b/>
          <w:bCs/>
        </w:rPr>
      </w:pPr>
      <w:r>
        <w:t xml:space="preserve">   </w:t>
      </w:r>
    </w:p>
    <w:p w14:paraId="01A64F4B" w14:textId="66DC7D2B" w:rsidR="001237AE" w:rsidRPr="00220923" w:rsidRDefault="00220923" w:rsidP="00220923">
      <w:pPr>
        <w:spacing w:line="360" w:lineRule="auto"/>
        <w:rPr>
          <w:rFonts w:ascii="Times New Roman" w:eastAsia="Times New Roman" w:hAnsi="Times New Roman" w:cs="Times New Roman"/>
          <w:b/>
          <w:sz w:val="38"/>
          <w:szCs w:val="38"/>
        </w:rPr>
      </w:pPr>
      <w:r w:rsidRPr="00A137FE">
        <w:rPr>
          <w:b/>
          <w:bCs/>
        </w:rPr>
        <w:t xml:space="preserve">DATE: </w:t>
      </w:r>
      <w:r w:rsidRPr="00A137FE">
        <w:t>23/08/2023</w:t>
      </w:r>
      <w:r>
        <w:br w:type="page"/>
      </w:r>
    </w:p>
    <w:sdt>
      <w:sdtPr>
        <w:rPr>
          <w:rFonts w:ascii="Arial" w:eastAsia="Arial" w:hAnsi="Arial" w:cs="Arial"/>
          <w:color w:val="auto"/>
          <w:sz w:val="22"/>
          <w:szCs w:val="22"/>
          <w:lang w:val=""/>
        </w:rPr>
        <w:id w:val="-603109630"/>
        <w:docPartObj>
          <w:docPartGallery w:val="Table of Contents"/>
          <w:docPartUnique/>
        </w:docPartObj>
      </w:sdtPr>
      <w:sdtEndPr>
        <w:rPr>
          <w:b/>
          <w:bCs/>
          <w:noProof/>
        </w:rPr>
      </w:sdtEndPr>
      <w:sdtContent>
        <w:p w14:paraId="17B739A4" w14:textId="03F52132" w:rsidR="001237AE" w:rsidRPr="001237AE" w:rsidRDefault="001237AE" w:rsidP="001237AE">
          <w:pPr>
            <w:pStyle w:val="TOCHeading"/>
            <w:spacing w:line="360" w:lineRule="auto"/>
            <w:jc w:val="center"/>
            <w:rPr>
              <w:rFonts w:ascii="Times New Roman" w:hAnsi="Times New Roman" w:cs="Times New Roman"/>
              <w:b/>
              <w:color w:val="auto"/>
              <w:sz w:val="28"/>
              <w:szCs w:val="24"/>
            </w:rPr>
          </w:pPr>
          <w:r w:rsidRPr="001237AE">
            <w:rPr>
              <w:rFonts w:ascii="Times New Roman" w:hAnsi="Times New Roman" w:cs="Times New Roman"/>
              <w:b/>
              <w:color w:val="auto"/>
              <w:sz w:val="28"/>
              <w:szCs w:val="24"/>
            </w:rPr>
            <w:t>Table of Contents</w:t>
          </w:r>
        </w:p>
        <w:p w14:paraId="7F4A633E" w14:textId="2E5B1EE2" w:rsidR="001237AE" w:rsidRPr="001237AE" w:rsidRDefault="001237AE" w:rsidP="001237AE">
          <w:pPr>
            <w:pStyle w:val="TOC1"/>
            <w:tabs>
              <w:tab w:val="right" w:leader="dot" w:pos="9019"/>
            </w:tabs>
            <w:spacing w:line="360" w:lineRule="auto"/>
            <w:jc w:val="both"/>
            <w:rPr>
              <w:rFonts w:ascii="Times New Roman" w:hAnsi="Times New Roman" w:cs="Times New Roman"/>
              <w:noProof/>
              <w:sz w:val="24"/>
              <w:szCs w:val="24"/>
            </w:rPr>
          </w:pPr>
          <w:r w:rsidRPr="001237AE">
            <w:rPr>
              <w:rFonts w:ascii="Times New Roman" w:hAnsi="Times New Roman" w:cs="Times New Roman"/>
              <w:sz w:val="24"/>
              <w:szCs w:val="24"/>
            </w:rPr>
            <w:fldChar w:fldCharType="begin"/>
          </w:r>
          <w:r w:rsidRPr="001237AE">
            <w:rPr>
              <w:rFonts w:ascii="Times New Roman" w:hAnsi="Times New Roman" w:cs="Times New Roman"/>
              <w:sz w:val="24"/>
              <w:szCs w:val="24"/>
            </w:rPr>
            <w:instrText xml:space="preserve"> TOC \o "1-3" \h \z \u </w:instrText>
          </w:r>
          <w:r w:rsidRPr="001237AE">
            <w:rPr>
              <w:rFonts w:ascii="Times New Roman" w:hAnsi="Times New Roman" w:cs="Times New Roman"/>
              <w:sz w:val="24"/>
              <w:szCs w:val="24"/>
            </w:rPr>
            <w:fldChar w:fldCharType="separate"/>
          </w:r>
          <w:hyperlink w:anchor="_Toc142925046" w:history="1">
            <w:r w:rsidRPr="001237AE">
              <w:rPr>
                <w:rStyle w:val="Hyperlink"/>
                <w:rFonts w:ascii="Times New Roman" w:hAnsi="Times New Roman" w:cs="Times New Roman"/>
                <w:noProof/>
                <w:color w:val="auto"/>
                <w:sz w:val="24"/>
                <w:szCs w:val="24"/>
              </w:rPr>
              <w:t>1. Introduction</w:t>
            </w:r>
            <w:r w:rsidRPr="001237AE">
              <w:rPr>
                <w:rFonts w:ascii="Times New Roman" w:hAnsi="Times New Roman" w:cs="Times New Roman"/>
                <w:noProof/>
                <w:webHidden/>
                <w:sz w:val="24"/>
                <w:szCs w:val="24"/>
              </w:rPr>
              <w:tab/>
            </w:r>
            <w:r w:rsidRPr="001237AE">
              <w:rPr>
                <w:rFonts w:ascii="Times New Roman" w:hAnsi="Times New Roman" w:cs="Times New Roman"/>
                <w:noProof/>
                <w:webHidden/>
                <w:sz w:val="24"/>
                <w:szCs w:val="24"/>
              </w:rPr>
              <w:fldChar w:fldCharType="begin"/>
            </w:r>
            <w:r w:rsidRPr="001237AE">
              <w:rPr>
                <w:rFonts w:ascii="Times New Roman" w:hAnsi="Times New Roman" w:cs="Times New Roman"/>
                <w:noProof/>
                <w:webHidden/>
                <w:sz w:val="24"/>
                <w:szCs w:val="24"/>
              </w:rPr>
              <w:instrText xml:space="preserve"> PAGEREF _Toc142925046 \h </w:instrText>
            </w:r>
            <w:r w:rsidRPr="001237AE">
              <w:rPr>
                <w:rFonts w:ascii="Times New Roman" w:hAnsi="Times New Roman" w:cs="Times New Roman"/>
                <w:noProof/>
                <w:webHidden/>
                <w:sz w:val="24"/>
                <w:szCs w:val="24"/>
              </w:rPr>
            </w:r>
            <w:r w:rsidRPr="001237AE">
              <w:rPr>
                <w:rFonts w:ascii="Times New Roman" w:hAnsi="Times New Roman" w:cs="Times New Roman"/>
                <w:noProof/>
                <w:webHidden/>
                <w:sz w:val="24"/>
                <w:szCs w:val="24"/>
              </w:rPr>
              <w:fldChar w:fldCharType="separate"/>
            </w:r>
            <w:r w:rsidRPr="001237AE">
              <w:rPr>
                <w:rFonts w:ascii="Times New Roman" w:hAnsi="Times New Roman" w:cs="Times New Roman"/>
                <w:noProof/>
                <w:webHidden/>
                <w:sz w:val="24"/>
                <w:szCs w:val="24"/>
              </w:rPr>
              <w:t>3</w:t>
            </w:r>
            <w:r w:rsidRPr="001237AE">
              <w:rPr>
                <w:rFonts w:ascii="Times New Roman" w:hAnsi="Times New Roman" w:cs="Times New Roman"/>
                <w:noProof/>
                <w:webHidden/>
                <w:sz w:val="24"/>
                <w:szCs w:val="24"/>
              </w:rPr>
              <w:fldChar w:fldCharType="end"/>
            </w:r>
          </w:hyperlink>
        </w:p>
        <w:p w14:paraId="63CE37FC" w14:textId="59675895" w:rsidR="001237AE" w:rsidRPr="001237AE" w:rsidRDefault="009940AB" w:rsidP="001237AE">
          <w:pPr>
            <w:pStyle w:val="TOC1"/>
            <w:tabs>
              <w:tab w:val="right" w:leader="dot" w:pos="9019"/>
            </w:tabs>
            <w:spacing w:line="360" w:lineRule="auto"/>
            <w:jc w:val="both"/>
            <w:rPr>
              <w:rFonts w:ascii="Times New Roman" w:hAnsi="Times New Roman" w:cs="Times New Roman"/>
              <w:noProof/>
              <w:sz w:val="24"/>
              <w:szCs w:val="24"/>
            </w:rPr>
          </w:pPr>
          <w:hyperlink w:anchor="_Toc142925047" w:history="1">
            <w:r w:rsidR="001237AE" w:rsidRPr="001237AE">
              <w:rPr>
                <w:rStyle w:val="Hyperlink"/>
                <w:rFonts w:ascii="Times New Roman" w:hAnsi="Times New Roman" w:cs="Times New Roman"/>
                <w:noProof/>
                <w:color w:val="auto"/>
                <w:sz w:val="24"/>
                <w:szCs w:val="24"/>
              </w:rPr>
              <w:t>2. Task 1: The current state of the labour market in the UK</w:t>
            </w:r>
            <w:r w:rsidR="001237AE" w:rsidRPr="001237AE">
              <w:rPr>
                <w:rFonts w:ascii="Times New Roman" w:hAnsi="Times New Roman" w:cs="Times New Roman"/>
                <w:noProof/>
                <w:webHidden/>
                <w:sz w:val="24"/>
                <w:szCs w:val="24"/>
              </w:rPr>
              <w:tab/>
            </w:r>
            <w:r w:rsidR="001237AE" w:rsidRPr="001237AE">
              <w:rPr>
                <w:rFonts w:ascii="Times New Roman" w:hAnsi="Times New Roman" w:cs="Times New Roman"/>
                <w:noProof/>
                <w:webHidden/>
                <w:sz w:val="24"/>
                <w:szCs w:val="24"/>
              </w:rPr>
              <w:fldChar w:fldCharType="begin"/>
            </w:r>
            <w:r w:rsidR="001237AE" w:rsidRPr="001237AE">
              <w:rPr>
                <w:rFonts w:ascii="Times New Roman" w:hAnsi="Times New Roman" w:cs="Times New Roman"/>
                <w:noProof/>
                <w:webHidden/>
                <w:sz w:val="24"/>
                <w:szCs w:val="24"/>
              </w:rPr>
              <w:instrText xml:space="preserve"> PAGEREF _Toc142925047 \h </w:instrText>
            </w:r>
            <w:r w:rsidR="001237AE" w:rsidRPr="001237AE">
              <w:rPr>
                <w:rFonts w:ascii="Times New Roman" w:hAnsi="Times New Roman" w:cs="Times New Roman"/>
                <w:noProof/>
                <w:webHidden/>
                <w:sz w:val="24"/>
                <w:szCs w:val="24"/>
              </w:rPr>
            </w:r>
            <w:r w:rsidR="001237AE" w:rsidRPr="001237AE">
              <w:rPr>
                <w:rFonts w:ascii="Times New Roman" w:hAnsi="Times New Roman" w:cs="Times New Roman"/>
                <w:noProof/>
                <w:webHidden/>
                <w:sz w:val="24"/>
                <w:szCs w:val="24"/>
              </w:rPr>
              <w:fldChar w:fldCharType="separate"/>
            </w:r>
            <w:r w:rsidR="001237AE" w:rsidRPr="001237AE">
              <w:rPr>
                <w:rFonts w:ascii="Times New Roman" w:hAnsi="Times New Roman" w:cs="Times New Roman"/>
                <w:noProof/>
                <w:webHidden/>
                <w:sz w:val="24"/>
                <w:szCs w:val="24"/>
              </w:rPr>
              <w:t>3</w:t>
            </w:r>
            <w:r w:rsidR="001237AE" w:rsidRPr="001237AE">
              <w:rPr>
                <w:rFonts w:ascii="Times New Roman" w:hAnsi="Times New Roman" w:cs="Times New Roman"/>
                <w:noProof/>
                <w:webHidden/>
                <w:sz w:val="24"/>
                <w:szCs w:val="24"/>
              </w:rPr>
              <w:fldChar w:fldCharType="end"/>
            </w:r>
          </w:hyperlink>
        </w:p>
        <w:p w14:paraId="79469F20" w14:textId="7119C4E7" w:rsidR="001237AE" w:rsidRPr="001237AE" w:rsidRDefault="009940AB" w:rsidP="001237AE">
          <w:pPr>
            <w:pStyle w:val="TOC2"/>
            <w:tabs>
              <w:tab w:val="right" w:leader="dot" w:pos="9019"/>
            </w:tabs>
            <w:spacing w:line="360" w:lineRule="auto"/>
            <w:jc w:val="both"/>
            <w:rPr>
              <w:rFonts w:ascii="Times New Roman" w:hAnsi="Times New Roman" w:cs="Times New Roman"/>
              <w:noProof/>
              <w:sz w:val="24"/>
              <w:szCs w:val="24"/>
            </w:rPr>
          </w:pPr>
          <w:hyperlink w:anchor="_Toc142925048" w:history="1">
            <w:r w:rsidR="001237AE" w:rsidRPr="001237AE">
              <w:rPr>
                <w:rStyle w:val="Hyperlink"/>
                <w:rFonts w:ascii="Times New Roman" w:hAnsi="Times New Roman" w:cs="Times New Roman"/>
                <w:noProof/>
                <w:color w:val="auto"/>
                <w:sz w:val="24"/>
                <w:szCs w:val="24"/>
              </w:rPr>
              <w:t>2.1 Current trends, challenges and opportunities</w:t>
            </w:r>
            <w:r w:rsidR="001237AE" w:rsidRPr="001237AE">
              <w:rPr>
                <w:rFonts w:ascii="Times New Roman" w:hAnsi="Times New Roman" w:cs="Times New Roman"/>
                <w:noProof/>
                <w:webHidden/>
                <w:sz w:val="24"/>
                <w:szCs w:val="24"/>
              </w:rPr>
              <w:tab/>
            </w:r>
            <w:r w:rsidR="001237AE" w:rsidRPr="001237AE">
              <w:rPr>
                <w:rFonts w:ascii="Times New Roman" w:hAnsi="Times New Roman" w:cs="Times New Roman"/>
                <w:noProof/>
                <w:webHidden/>
                <w:sz w:val="24"/>
                <w:szCs w:val="24"/>
              </w:rPr>
              <w:fldChar w:fldCharType="begin"/>
            </w:r>
            <w:r w:rsidR="001237AE" w:rsidRPr="001237AE">
              <w:rPr>
                <w:rFonts w:ascii="Times New Roman" w:hAnsi="Times New Roman" w:cs="Times New Roman"/>
                <w:noProof/>
                <w:webHidden/>
                <w:sz w:val="24"/>
                <w:szCs w:val="24"/>
              </w:rPr>
              <w:instrText xml:space="preserve"> PAGEREF _Toc142925048 \h </w:instrText>
            </w:r>
            <w:r w:rsidR="001237AE" w:rsidRPr="001237AE">
              <w:rPr>
                <w:rFonts w:ascii="Times New Roman" w:hAnsi="Times New Roman" w:cs="Times New Roman"/>
                <w:noProof/>
                <w:webHidden/>
                <w:sz w:val="24"/>
                <w:szCs w:val="24"/>
              </w:rPr>
            </w:r>
            <w:r w:rsidR="001237AE" w:rsidRPr="001237AE">
              <w:rPr>
                <w:rFonts w:ascii="Times New Roman" w:hAnsi="Times New Roman" w:cs="Times New Roman"/>
                <w:noProof/>
                <w:webHidden/>
                <w:sz w:val="24"/>
                <w:szCs w:val="24"/>
              </w:rPr>
              <w:fldChar w:fldCharType="separate"/>
            </w:r>
            <w:r w:rsidR="001237AE" w:rsidRPr="001237AE">
              <w:rPr>
                <w:rFonts w:ascii="Times New Roman" w:hAnsi="Times New Roman" w:cs="Times New Roman"/>
                <w:noProof/>
                <w:webHidden/>
                <w:sz w:val="24"/>
                <w:szCs w:val="24"/>
              </w:rPr>
              <w:t>3</w:t>
            </w:r>
            <w:r w:rsidR="001237AE" w:rsidRPr="001237AE">
              <w:rPr>
                <w:rFonts w:ascii="Times New Roman" w:hAnsi="Times New Roman" w:cs="Times New Roman"/>
                <w:noProof/>
                <w:webHidden/>
                <w:sz w:val="24"/>
                <w:szCs w:val="24"/>
              </w:rPr>
              <w:fldChar w:fldCharType="end"/>
            </w:r>
          </w:hyperlink>
        </w:p>
        <w:p w14:paraId="25539400" w14:textId="52CEDF4B" w:rsidR="001237AE" w:rsidRPr="001237AE" w:rsidRDefault="009940AB" w:rsidP="001237AE">
          <w:pPr>
            <w:pStyle w:val="TOC2"/>
            <w:tabs>
              <w:tab w:val="right" w:leader="dot" w:pos="9019"/>
            </w:tabs>
            <w:spacing w:line="360" w:lineRule="auto"/>
            <w:jc w:val="both"/>
            <w:rPr>
              <w:rFonts w:ascii="Times New Roman" w:hAnsi="Times New Roman" w:cs="Times New Roman"/>
              <w:noProof/>
              <w:sz w:val="24"/>
              <w:szCs w:val="24"/>
            </w:rPr>
          </w:pPr>
          <w:hyperlink w:anchor="_Toc142925049" w:history="1">
            <w:r w:rsidR="001237AE" w:rsidRPr="001237AE">
              <w:rPr>
                <w:rStyle w:val="Hyperlink"/>
                <w:rFonts w:ascii="Times New Roman" w:hAnsi="Times New Roman" w:cs="Times New Roman"/>
                <w:noProof/>
                <w:color w:val="auto"/>
                <w:sz w:val="24"/>
                <w:szCs w:val="24"/>
              </w:rPr>
              <w:t>2.2 The effect of Covid- 19 on the Labour market</w:t>
            </w:r>
            <w:r w:rsidR="001237AE" w:rsidRPr="001237AE">
              <w:rPr>
                <w:rFonts w:ascii="Times New Roman" w:hAnsi="Times New Roman" w:cs="Times New Roman"/>
                <w:noProof/>
                <w:webHidden/>
                <w:sz w:val="24"/>
                <w:szCs w:val="24"/>
              </w:rPr>
              <w:tab/>
            </w:r>
            <w:r w:rsidR="001237AE" w:rsidRPr="001237AE">
              <w:rPr>
                <w:rFonts w:ascii="Times New Roman" w:hAnsi="Times New Roman" w:cs="Times New Roman"/>
                <w:noProof/>
                <w:webHidden/>
                <w:sz w:val="24"/>
                <w:szCs w:val="24"/>
              </w:rPr>
              <w:fldChar w:fldCharType="begin"/>
            </w:r>
            <w:r w:rsidR="001237AE" w:rsidRPr="001237AE">
              <w:rPr>
                <w:rFonts w:ascii="Times New Roman" w:hAnsi="Times New Roman" w:cs="Times New Roman"/>
                <w:noProof/>
                <w:webHidden/>
                <w:sz w:val="24"/>
                <w:szCs w:val="24"/>
              </w:rPr>
              <w:instrText xml:space="preserve"> PAGEREF _Toc142925049 \h </w:instrText>
            </w:r>
            <w:r w:rsidR="001237AE" w:rsidRPr="001237AE">
              <w:rPr>
                <w:rFonts w:ascii="Times New Roman" w:hAnsi="Times New Roman" w:cs="Times New Roman"/>
                <w:noProof/>
                <w:webHidden/>
                <w:sz w:val="24"/>
                <w:szCs w:val="24"/>
              </w:rPr>
            </w:r>
            <w:r w:rsidR="001237AE" w:rsidRPr="001237AE">
              <w:rPr>
                <w:rFonts w:ascii="Times New Roman" w:hAnsi="Times New Roman" w:cs="Times New Roman"/>
                <w:noProof/>
                <w:webHidden/>
                <w:sz w:val="24"/>
                <w:szCs w:val="24"/>
              </w:rPr>
              <w:fldChar w:fldCharType="separate"/>
            </w:r>
            <w:r w:rsidR="001237AE" w:rsidRPr="001237AE">
              <w:rPr>
                <w:rFonts w:ascii="Times New Roman" w:hAnsi="Times New Roman" w:cs="Times New Roman"/>
                <w:noProof/>
                <w:webHidden/>
                <w:sz w:val="24"/>
                <w:szCs w:val="24"/>
              </w:rPr>
              <w:t>4</w:t>
            </w:r>
            <w:r w:rsidR="001237AE" w:rsidRPr="001237AE">
              <w:rPr>
                <w:rFonts w:ascii="Times New Roman" w:hAnsi="Times New Roman" w:cs="Times New Roman"/>
                <w:noProof/>
                <w:webHidden/>
                <w:sz w:val="24"/>
                <w:szCs w:val="24"/>
              </w:rPr>
              <w:fldChar w:fldCharType="end"/>
            </w:r>
          </w:hyperlink>
        </w:p>
        <w:p w14:paraId="126183C4" w14:textId="3C34EA12" w:rsidR="001237AE" w:rsidRPr="001237AE" w:rsidRDefault="009940AB" w:rsidP="001237AE">
          <w:pPr>
            <w:pStyle w:val="TOC2"/>
            <w:tabs>
              <w:tab w:val="right" w:leader="dot" w:pos="9019"/>
            </w:tabs>
            <w:spacing w:line="360" w:lineRule="auto"/>
            <w:jc w:val="both"/>
            <w:rPr>
              <w:rFonts w:ascii="Times New Roman" w:hAnsi="Times New Roman" w:cs="Times New Roman"/>
              <w:noProof/>
              <w:sz w:val="24"/>
              <w:szCs w:val="24"/>
            </w:rPr>
          </w:pPr>
          <w:hyperlink w:anchor="_Toc142925050" w:history="1">
            <w:r w:rsidR="001237AE" w:rsidRPr="001237AE">
              <w:rPr>
                <w:rStyle w:val="Hyperlink"/>
                <w:rFonts w:ascii="Times New Roman" w:hAnsi="Times New Roman" w:cs="Times New Roman"/>
                <w:noProof/>
                <w:color w:val="auto"/>
                <w:sz w:val="24"/>
                <w:szCs w:val="24"/>
              </w:rPr>
              <w:t>2.3 The effect of Brexit on the labour market</w:t>
            </w:r>
            <w:r w:rsidR="001237AE" w:rsidRPr="001237AE">
              <w:rPr>
                <w:rFonts w:ascii="Times New Roman" w:hAnsi="Times New Roman" w:cs="Times New Roman"/>
                <w:noProof/>
                <w:webHidden/>
                <w:sz w:val="24"/>
                <w:szCs w:val="24"/>
              </w:rPr>
              <w:tab/>
            </w:r>
            <w:r w:rsidR="001237AE" w:rsidRPr="001237AE">
              <w:rPr>
                <w:rFonts w:ascii="Times New Roman" w:hAnsi="Times New Roman" w:cs="Times New Roman"/>
                <w:noProof/>
                <w:webHidden/>
                <w:sz w:val="24"/>
                <w:szCs w:val="24"/>
              </w:rPr>
              <w:fldChar w:fldCharType="begin"/>
            </w:r>
            <w:r w:rsidR="001237AE" w:rsidRPr="001237AE">
              <w:rPr>
                <w:rFonts w:ascii="Times New Roman" w:hAnsi="Times New Roman" w:cs="Times New Roman"/>
                <w:noProof/>
                <w:webHidden/>
                <w:sz w:val="24"/>
                <w:szCs w:val="24"/>
              </w:rPr>
              <w:instrText xml:space="preserve"> PAGEREF _Toc142925050 \h </w:instrText>
            </w:r>
            <w:r w:rsidR="001237AE" w:rsidRPr="001237AE">
              <w:rPr>
                <w:rFonts w:ascii="Times New Roman" w:hAnsi="Times New Roman" w:cs="Times New Roman"/>
                <w:noProof/>
                <w:webHidden/>
                <w:sz w:val="24"/>
                <w:szCs w:val="24"/>
              </w:rPr>
            </w:r>
            <w:r w:rsidR="001237AE" w:rsidRPr="001237AE">
              <w:rPr>
                <w:rFonts w:ascii="Times New Roman" w:hAnsi="Times New Roman" w:cs="Times New Roman"/>
                <w:noProof/>
                <w:webHidden/>
                <w:sz w:val="24"/>
                <w:szCs w:val="24"/>
              </w:rPr>
              <w:fldChar w:fldCharType="separate"/>
            </w:r>
            <w:r w:rsidR="001237AE" w:rsidRPr="001237AE">
              <w:rPr>
                <w:rFonts w:ascii="Times New Roman" w:hAnsi="Times New Roman" w:cs="Times New Roman"/>
                <w:noProof/>
                <w:webHidden/>
                <w:sz w:val="24"/>
                <w:szCs w:val="24"/>
              </w:rPr>
              <w:t>5</w:t>
            </w:r>
            <w:r w:rsidR="001237AE" w:rsidRPr="001237AE">
              <w:rPr>
                <w:rFonts w:ascii="Times New Roman" w:hAnsi="Times New Roman" w:cs="Times New Roman"/>
                <w:noProof/>
                <w:webHidden/>
                <w:sz w:val="24"/>
                <w:szCs w:val="24"/>
              </w:rPr>
              <w:fldChar w:fldCharType="end"/>
            </w:r>
          </w:hyperlink>
        </w:p>
        <w:p w14:paraId="4208BFC8" w14:textId="3F1D4533" w:rsidR="001237AE" w:rsidRPr="001237AE" w:rsidRDefault="009940AB" w:rsidP="001237AE">
          <w:pPr>
            <w:pStyle w:val="TOC1"/>
            <w:tabs>
              <w:tab w:val="right" w:leader="dot" w:pos="9019"/>
            </w:tabs>
            <w:spacing w:line="360" w:lineRule="auto"/>
            <w:jc w:val="both"/>
            <w:rPr>
              <w:rFonts w:ascii="Times New Roman" w:hAnsi="Times New Roman" w:cs="Times New Roman"/>
              <w:noProof/>
              <w:sz w:val="24"/>
              <w:szCs w:val="24"/>
            </w:rPr>
          </w:pPr>
          <w:hyperlink w:anchor="_Toc142925051" w:history="1">
            <w:r w:rsidR="001237AE" w:rsidRPr="001237AE">
              <w:rPr>
                <w:rStyle w:val="Hyperlink"/>
                <w:rFonts w:ascii="Times New Roman" w:hAnsi="Times New Roman" w:cs="Times New Roman"/>
                <w:noProof/>
                <w:color w:val="auto"/>
                <w:sz w:val="24"/>
                <w:szCs w:val="24"/>
              </w:rPr>
              <w:t>3. Task 2: The emerging changes in Human Resourcing Strategies in the post-Covid, post-Brexit external environment</w:t>
            </w:r>
            <w:r w:rsidR="001237AE" w:rsidRPr="001237AE">
              <w:rPr>
                <w:rFonts w:ascii="Times New Roman" w:hAnsi="Times New Roman" w:cs="Times New Roman"/>
                <w:noProof/>
                <w:webHidden/>
                <w:sz w:val="24"/>
                <w:szCs w:val="24"/>
              </w:rPr>
              <w:tab/>
            </w:r>
            <w:r w:rsidR="001237AE" w:rsidRPr="001237AE">
              <w:rPr>
                <w:rFonts w:ascii="Times New Roman" w:hAnsi="Times New Roman" w:cs="Times New Roman"/>
                <w:noProof/>
                <w:webHidden/>
                <w:sz w:val="24"/>
                <w:szCs w:val="24"/>
              </w:rPr>
              <w:fldChar w:fldCharType="begin"/>
            </w:r>
            <w:r w:rsidR="001237AE" w:rsidRPr="001237AE">
              <w:rPr>
                <w:rFonts w:ascii="Times New Roman" w:hAnsi="Times New Roman" w:cs="Times New Roman"/>
                <w:noProof/>
                <w:webHidden/>
                <w:sz w:val="24"/>
                <w:szCs w:val="24"/>
              </w:rPr>
              <w:instrText xml:space="preserve"> PAGEREF _Toc142925051 \h </w:instrText>
            </w:r>
            <w:r w:rsidR="001237AE" w:rsidRPr="001237AE">
              <w:rPr>
                <w:rFonts w:ascii="Times New Roman" w:hAnsi="Times New Roman" w:cs="Times New Roman"/>
                <w:noProof/>
                <w:webHidden/>
                <w:sz w:val="24"/>
                <w:szCs w:val="24"/>
              </w:rPr>
            </w:r>
            <w:r w:rsidR="001237AE" w:rsidRPr="001237AE">
              <w:rPr>
                <w:rFonts w:ascii="Times New Roman" w:hAnsi="Times New Roman" w:cs="Times New Roman"/>
                <w:noProof/>
                <w:webHidden/>
                <w:sz w:val="24"/>
                <w:szCs w:val="24"/>
              </w:rPr>
              <w:fldChar w:fldCharType="separate"/>
            </w:r>
            <w:r w:rsidR="001237AE" w:rsidRPr="001237AE">
              <w:rPr>
                <w:rFonts w:ascii="Times New Roman" w:hAnsi="Times New Roman" w:cs="Times New Roman"/>
                <w:noProof/>
                <w:webHidden/>
                <w:sz w:val="24"/>
                <w:szCs w:val="24"/>
              </w:rPr>
              <w:t>6</w:t>
            </w:r>
            <w:r w:rsidR="001237AE" w:rsidRPr="001237AE">
              <w:rPr>
                <w:rFonts w:ascii="Times New Roman" w:hAnsi="Times New Roman" w:cs="Times New Roman"/>
                <w:noProof/>
                <w:webHidden/>
                <w:sz w:val="24"/>
                <w:szCs w:val="24"/>
              </w:rPr>
              <w:fldChar w:fldCharType="end"/>
            </w:r>
          </w:hyperlink>
        </w:p>
        <w:p w14:paraId="64B243BB" w14:textId="266B7CF7" w:rsidR="001237AE" w:rsidRPr="001237AE" w:rsidRDefault="009940AB" w:rsidP="001237AE">
          <w:pPr>
            <w:pStyle w:val="TOC2"/>
            <w:tabs>
              <w:tab w:val="right" w:leader="dot" w:pos="9019"/>
            </w:tabs>
            <w:spacing w:line="360" w:lineRule="auto"/>
            <w:jc w:val="both"/>
            <w:rPr>
              <w:rFonts w:ascii="Times New Roman" w:hAnsi="Times New Roman" w:cs="Times New Roman"/>
              <w:noProof/>
              <w:sz w:val="24"/>
              <w:szCs w:val="24"/>
            </w:rPr>
          </w:pPr>
          <w:hyperlink w:anchor="_Toc142925052" w:history="1">
            <w:r w:rsidR="001237AE" w:rsidRPr="001237AE">
              <w:rPr>
                <w:rStyle w:val="Hyperlink"/>
                <w:rFonts w:ascii="Times New Roman" w:hAnsi="Times New Roman" w:cs="Times New Roman"/>
                <w:noProof/>
                <w:color w:val="auto"/>
                <w:sz w:val="24"/>
                <w:szCs w:val="24"/>
              </w:rPr>
              <w:t>3.1 Emerging human resources strategies</w:t>
            </w:r>
            <w:r w:rsidR="001237AE" w:rsidRPr="001237AE">
              <w:rPr>
                <w:rFonts w:ascii="Times New Roman" w:hAnsi="Times New Roman" w:cs="Times New Roman"/>
                <w:noProof/>
                <w:webHidden/>
                <w:sz w:val="24"/>
                <w:szCs w:val="24"/>
              </w:rPr>
              <w:tab/>
            </w:r>
            <w:r w:rsidR="001237AE" w:rsidRPr="001237AE">
              <w:rPr>
                <w:rFonts w:ascii="Times New Roman" w:hAnsi="Times New Roman" w:cs="Times New Roman"/>
                <w:noProof/>
                <w:webHidden/>
                <w:sz w:val="24"/>
                <w:szCs w:val="24"/>
              </w:rPr>
              <w:fldChar w:fldCharType="begin"/>
            </w:r>
            <w:r w:rsidR="001237AE" w:rsidRPr="001237AE">
              <w:rPr>
                <w:rFonts w:ascii="Times New Roman" w:hAnsi="Times New Roman" w:cs="Times New Roman"/>
                <w:noProof/>
                <w:webHidden/>
                <w:sz w:val="24"/>
                <w:szCs w:val="24"/>
              </w:rPr>
              <w:instrText xml:space="preserve"> PAGEREF _Toc142925052 \h </w:instrText>
            </w:r>
            <w:r w:rsidR="001237AE" w:rsidRPr="001237AE">
              <w:rPr>
                <w:rFonts w:ascii="Times New Roman" w:hAnsi="Times New Roman" w:cs="Times New Roman"/>
                <w:noProof/>
                <w:webHidden/>
                <w:sz w:val="24"/>
                <w:szCs w:val="24"/>
              </w:rPr>
            </w:r>
            <w:r w:rsidR="001237AE" w:rsidRPr="001237AE">
              <w:rPr>
                <w:rFonts w:ascii="Times New Roman" w:hAnsi="Times New Roman" w:cs="Times New Roman"/>
                <w:noProof/>
                <w:webHidden/>
                <w:sz w:val="24"/>
                <w:szCs w:val="24"/>
              </w:rPr>
              <w:fldChar w:fldCharType="separate"/>
            </w:r>
            <w:r w:rsidR="001237AE" w:rsidRPr="001237AE">
              <w:rPr>
                <w:rFonts w:ascii="Times New Roman" w:hAnsi="Times New Roman" w:cs="Times New Roman"/>
                <w:noProof/>
                <w:webHidden/>
                <w:sz w:val="24"/>
                <w:szCs w:val="24"/>
              </w:rPr>
              <w:t>6</w:t>
            </w:r>
            <w:r w:rsidR="001237AE" w:rsidRPr="001237AE">
              <w:rPr>
                <w:rFonts w:ascii="Times New Roman" w:hAnsi="Times New Roman" w:cs="Times New Roman"/>
                <w:noProof/>
                <w:webHidden/>
                <w:sz w:val="24"/>
                <w:szCs w:val="24"/>
              </w:rPr>
              <w:fldChar w:fldCharType="end"/>
            </w:r>
          </w:hyperlink>
        </w:p>
        <w:p w14:paraId="25DD423D" w14:textId="173496C7" w:rsidR="001237AE" w:rsidRPr="001237AE" w:rsidRDefault="009940AB" w:rsidP="001237AE">
          <w:pPr>
            <w:pStyle w:val="TOC2"/>
            <w:tabs>
              <w:tab w:val="right" w:leader="dot" w:pos="9019"/>
            </w:tabs>
            <w:spacing w:line="360" w:lineRule="auto"/>
            <w:jc w:val="both"/>
            <w:rPr>
              <w:rFonts w:ascii="Times New Roman" w:hAnsi="Times New Roman" w:cs="Times New Roman"/>
              <w:noProof/>
              <w:sz w:val="24"/>
              <w:szCs w:val="24"/>
            </w:rPr>
          </w:pPr>
          <w:hyperlink w:anchor="_Toc142925053" w:history="1">
            <w:r w:rsidR="001237AE" w:rsidRPr="001237AE">
              <w:rPr>
                <w:rStyle w:val="Hyperlink"/>
                <w:rFonts w:ascii="Times New Roman" w:hAnsi="Times New Roman" w:cs="Times New Roman"/>
                <w:noProof/>
                <w:color w:val="auto"/>
                <w:sz w:val="24"/>
                <w:szCs w:val="24"/>
              </w:rPr>
              <w:t>3.2 Human resourcing strategies post covid and post-Brexit</w:t>
            </w:r>
            <w:r w:rsidR="001237AE" w:rsidRPr="001237AE">
              <w:rPr>
                <w:rFonts w:ascii="Times New Roman" w:hAnsi="Times New Roman" w:cs="Times New Roman"/>
                <w:noProof/>
                <w:webHidden/>
                <w:sz w:val="24"/>
                <w:szCs w:val="24"/>
              </w:rPr>
              <w:tab/>
            </w:r>
            <w:r w:rsidR="001237AE" w:rsidRPr="001237AE">
              <w:rPr>
                <w:rFonts w:ascii="Times New Roman" w:hAnsi="Times New Roman" w:cs="Times New Roman"/>
                <w:noProof/>
                <w:webHidden/>
                <w:sz w:val="24"/>
                <w:szCs w:val="24"/>
              </w:rPr>
              <w:fldChar w:fldCharType="begin"/>
            </w:r>
            <w:r w:rsidR="001237AE" w:rsidRPr="001237AE">
              <w:rPr>
                <w:rFonts w:ascii="Times New Roman" w:hAnsi="Times New Roman" w:cs="Times New Roman"/>
                <w:noProof/>
                <w:webHidden/>
                <w:sz w:val="24"/>
                <w:szCs w:val="24"/>
              </w:rPr>
              <w:instrText xml:space="preserve"> PAGEREF _Toc142925053 \h </w:instrText>
            </w:r>
            <w:r w:rsidR="001237AE" w:rsidRPr="001237AE">
              <w:rPr>
                <w:rFonts w:ascii="Times New Roman" w:hAnsi="Times New Roman" w:cs="Times New Roman"/>
                <w:noProof/>
                <w:webHidden/>
                <w:sz w:val="24"/>
                <w:szCs w:val="24"/>
              </w:rPr>
            </w:r>
            <w:r w:rsidR="001237AE" w:rsidRPr="001237AE">
              <w:rPr>
                <w:rFonts w:ascii="Times New Roman" w:hAnsi="Times New Roman" w:cs="Times New Roman"/>
                <w:noProof/>
                <w:webHidden/>
                <w:sz w:val="24"/>
                <w:szCs w:val="24"/>
              </w:rPr>
              <w:fldChar w:fldCharType="separate"/>
            </w:r>
            <w:r w:rsidR="001237AE" w:rsidRPr="001237AE">
              <w:rPr>
                <w:rFonts w:ascii="Times New Roman" w:hAnsi="Times New Roman" w:cs="Times New Roman"/>
                <w:noProof/>
                <w:webHidden/>
                <w:sz w:val="24"/>
                <w:szCs w:val="24"/>
              </w:rPr>
              <w:t>7</w:t>
            </w:r>
            <w:r w:rsidR="001237AE" w:rsidRPr="001237AE">
              <w:rPr>
                <w:rFonts w:ascii="Times New Roman" w:hAnsi="Times New Roman" w:cs="Times New Roman"/>
                <w:noProof/>
                <w:webHidden/>
                <w:sz w:val="24"/>
                <w:szCs w:val="24"/>
              </w:rPr>
              <w:fldChar w:fldCharType="end"/>
            </w:r>
          </w:hyperlink>
        </w:p>
        <w:p w14:paraId="3442E7D1" w14:textId="29780AFC" w:rsidR="001237AE" w:rsidRPr="001237AE" w:rsidRDefault="009940AB" w:rsidP="001237AE">
          <w:pPr>
            <w:pStyle w:val="TOC1"/>
            <w:tabs>
              <w:tab w:val="right" w:leader="dot" w:pos="9019"/>
            </w:tabs>
            <w:spacing w:line="360" w:lineRule="auto"/>
            <w:jc w:val="both"/>
            <w:rPr>
              <w:rFonts w:ascii="Times New Roman" w:hAnsi="Times New Roman" w:cs="Times New Roman"/>
              <w:noProof/>
              <w:sz w:val="24"/>
              <w:szCs w:val="24"/>
            </w:rPr>
          </w:pPr>
          <w:hyperlink w:anchor="_Toc142925054" w:history="1">
            <w:r w:rsidR="001237AE" w:rsidRPr="001237AE">
              <w:rPr>
                <w:rStyle w:val="Hyperlink"/>
                <w:rFonts w:ascii="Times New Roman" w:hAnsi="Times New Roman" w:cs="Times New Roman"/>
                <w:noProof/>
                <w:color w:val="auto"/>
                <w:sz w:val="24"/>
                <w:szCs w:val="24"/>
              </w:rPr>
              <w:t>4. Conclusion</w:t>
            </w:r>
            <w:r w:rsidR="001237AE" w:rsidRPr="001237AE">
              <w:rPr>
                <w:rFonts w:ascii="Times New Roman" w:hAnsi="Times New Roman" w:cs="Times New Roman"/>
                <w:noProof/>
                <w:webHidden/>
                <w:sz w:val="24"/>
                <w:szCs w:val="24"/>
              </w:rPr>
              <w:tab/>
            </w:r>
            <w:r w:rsidR="001237AE" w:rsidRPr="001237AE">
              <w:rPr>
                <w:rFonts w:ascii="Times New Roman" w:hAnsi="Times New Roman" w:cs="Times New Roman"/>
                <w:noProof/>
                <w:webHidden/>
                <w:sz w:val="24"/>
                <w:szCs w:val="24"/>
              </w:rPr>
              <w:fldChar w:fldCharType="begin"/>
            </w:r>
            <w:r w:rsidR="001237AE" w:rsidRPr="001237AE">
              <w:rPr>
                <w:rFonts w:ascii="Times New Roman" w:hAnsi="Times New Roman" w:cs="Times New Roman"/>
                <w:noProof/>
                <w:webHidden/>
                <w:sz w:val="24"/>
                <w:szCs w:val="24"/>
              </w:rPr>
              <w:instrText xml:space="preserve"> PAGEREF _Toc142925054 \h </w:instrText>
            </w:r>
            <w:r w:rsidR="001237AE" w:rsidRPr="001237AE">
              <w:rPr>
                <w:rFonts w:ascii="Times New Roman" w:hAnsi="Times New Roman" w:cs="Times New Roman"/>
                <w:noProof/>
                <w:webHidden/>
                <w:sz w:val="24"/>
                <w:szCs w:val="24"/>
              </w:rPr>
            </w:r>
            <w:r w:rsidR="001237AE" w:rsidRPr="001237AE">
              <w:rPr>
                <w:rFonts w:ascii="Times New Roman" w:hAnsi="Times New Roman" w:cs="Times New Roman"/>
                <w:noProof/>
                <w:webHidden/>
                <w:sz w:val="24"/>
                <w:szCs w:val="24"/>
              </w:rPr>
              <w:fldChar w:fldCharType="separate"/>
            </w:r>
            <w:r w:rsidR="001237AE" w:rsidRPr="001237AE">
              <w:rPr>
                <w:rFonts w:ascii="Times New Roman" w:hAnsi="Times New Roman" w:cs="Times New Roman"/>
                <w:noProof/>
                <w:webHidden/>
                <w:sz w:val="24"/>
                <w:szCs w:val="24"/>
              </w:rPr>
              <w:t>8</w:t>
            </w:r>
            <w:r w:rsidR="001237AE" w:rsidRPr="001237AE">
              <w:rPr>
                <w:rFonts w:ascii="Times New Roman" w:hAnsi="Times New Roman" w:cs="Times New Roman"/>
                <w:noProof/>
                <w:webHidden/>
                <w:sz w:val="24"/>
                <w:szCs w:val="24"/>
              </w:rPr>
              <w:fldChar w:fldCharType="end"/>
            </w:r>
          </w:hyperlink>
        </w:p>
        <w:p w14:paraId="05C4059C" w14:textId="63E8D312" w:rsidR="001237AE" w:rsidRPr="001237AE" w:rsidRDefault="009940AB" w:rsidP="001237AE">
          <w:pPr>
            <w:pStyle w:val="TOC1"/>
            <w:tabs>
              <w:tab w:val="right" w:leader="dot" w:pos="9019"/>
            </w:tabs>
            <w:spacing w:line="360" w:lineRule="auto"/>
            <w:jc w:val="both"/>
            <w:rPr>
              <w:rFonts w:ascii="Times New Roman" w:hAnsi="Times New Roman" w:cs="Times New Roman"/>
              <w:noProof/>
              <w:sz w:val="24"/>
              <w:szCs w:val="24"/>
            </w:rPr>
          </w:pPr>
          <w:hyperlink w:anchor="_Toc142925055" w:history="1">
            <w:r w:rsidR="001237AE" w:rsidRPr="001237AE">
              <w:rPr>
                <w:rStyle w:val="Hyperlink"/>
                <w:rFonts w:ascii="Times New Roman" w:hAnsi="Times New Roman" w:cs="Times New Roman"/>
                <w:noProof/>
                <w:color w:val="auto"/>
                <w:sz w:val="24"/>
                <w:szCs w:val="24"/>
              </w:rPr>
              <w:t>Reference List</w:t>
            </w:r>
            <w:r w:rsidR="001237AE" w:rsidRPr="001237AE">
              <w:rPr>
                <w:rFonts w:ascii="Times New Roman" w:hAnsi="Times New Roman" w:cs="Times New Roman"/>
                <w:noProof/>
                <w:webHidden/>
                <w:sz w:val="24"/>
                <w:szCs w:val="24"/>
              </w:rPr>
              <w:tab/>
            </w:r>
            <w:r w:rsidR="001237AE" w:rsidRPr="001237AE">
              <w:rPr>
                <w:rFonts w:ascii="Times New Roman" w:hAnsi="Times New Roman" w:cs="Times New Roman"/>
                <w:noProof/>
                <w:webHidden/>
                <w:sz w:val="24"/>
                <w:szCs w:val="24"/>
              </w:rPr>
              <w:fldChar w:fldCharType="begin"/>
            </w:r>
            <w:r w:rsidR="001237AE" w:rsidRPr="001237AE">
              <w:rPr>
                <w:rFonts w:ascii="Times New Roman" w:hAnsi="Times New Roman" w:cs="Times New Roman"/>
                <w:noProof/>
                <w:webHidden/>
                <w:sz w:val="24"/>
                <w:szCs w:val="24"/>
              </w:rPr>
              <w:instrText xml:space="preserve"> PAGEREF _Toc142925055 \h </w:instrText>
            </w:r>
            <w:r w:rsidR="001237AE" w:rsidRPr="001237AE">
              <w:rPr>
                <w:rFonts w:ascii="Times New Roman" w:hAnsi="Times New Roman" w:cs="Times New Roman"/>
                <w:noProof/>
                <w:webHidden/>
                <w:sz w:val="24"/>
                <w:szCs w:val="24"/>
              </w:rPr>
            </w:r>
            <w:r w:rsidR="001237AE" w:rsidRPr="001237AE">
              <w:rPr>
                <w:rFonts w:ascii="Times New Roman" w:hAnsi="Times New Roman" w:cs="Times New Roman"/>
                <w:noProof/>
                <w:webHidden/>
                <w:sz w:val="24"/>
                <w:szCs w:val="24"/>
              </w:rPr>
              <w:fldChar w:fldCharType="separate"/>
            </w:r>
            <w:r w:rsidR="001237AE" w:rsidRPr="001237AE">
              <w:rPr>
                <w:rFonts w:ascii="Times New Roman" w:hAnsi="Times New Roman" w:cs="Times New Roman"/>
                <w:noProof/>
                <w:webHidden/>
                <w:sz w:val="24"/>
                <w:szCs w:val="24"/>
              </w:rPr>
              <w:t>9</w:t>
            </w:r>
            <w:r w:rsidR="001237AE" w:rsidRPr="001237AE">
              <w:rPr>
                <w:rFonts w:ascii="Times New Roman" w:hAnsi="Times New Roman" w:cs="Times New Roman"/>
                <w:noProof/>
                <w:webHidden/>
                <w:sz w:val="24"/>
                <w:szCs w:val="24"/>
              </w:rPr>
              <w:fldChar w:fldCharType="end"/>
            </w:r>
          </w:hyperlink>
        </w:p>
        <w:p w14:paraId="6B2AF78E" w14:textId="75F64655" w:rsidR="001237AE" w:rsidRDefault="001237AE" w:rsidP="001237AE">
          <w:pPr>
            <w:spacing w:line="360" w:lineRule="auto"/>
            <w:jc w:val="both"/>
          </w:pPr>
          <w:r w:rsidRPr="001237AE">
            <w:rPr>
              <w:rFonts w:ascii="Times New Roman" w:hAnsi="Times New Roman" w:cs="Times New Roman"/>
              <w:b/>
              <w:bCs/>
              <w:noProof/>
              <w:sz w:val="24"/>
              <w:szCs w:val="24"/>
            </w:rPr>
            <w:fldChar w:fldCharType="end"/>
          </w:r>
        </w:p>
      </w:sdtContent>
    </w:sdt>
    <w:p w14:paraId="578359BE" w14:textId="77473417" w:rsidR="001237AE" w:rsidRPr="001237AE" w:rsidRDefault="001237AE" w:rsidP="001237AE">
      <w:pPr>
        <w:jc w:val="center"/>
        <w:rPr>
          <w:rFonts w:ascii="Times New Roman" w:eastAsia="Times New Roman" w:hAnsi="Times New Roman" w:cs="Times New Roman"/>
          <w:b/>
          <w:sz w:val="32"/>
          <w:szCs w:val="32"/>
        </w:rPr>
      </w:pPr>
      <w:r w:rsidRPr="001237AE">
        <w:rPr>
          <w:rFonts w:ascii="Times New Roman" w:hAnsi="Times New Roman" w:cs="Times New Roman"/>
          <w:b/>
          <w:sz w:val="32"/>
          <w:szCs w:val="32"/>
        </w:rPr>
        <w:br w:type="page"/>
      </w:r>
    </w:p>
    <w:p w14:paraId="00000001" w14:textId="216FC272" w:rsidR="008215C7" w:rsidRDefault="0087010A">
      <w:pPr>
        <w:pStyle w:val="Heading1"/>
      </w:pPr>
      <w:bookmarkStart w:id="0" w:name="_Toc142925046"/>
      <w:r>
        <w:t>1. Introduction</w:t>
      </w:r>
      <w:bookmarkEnd w:id="0"/>
    </w:p>
    <w:p w14:paraId="00000002"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industries like technology and healthcare on the rise, the UK labour market has shown to be resilient and diverse. The pandemic's difficulties and Brexit's effects have caused disruption, underscoring the necessity for a flexible labour policy. The future terrain will be shaped in growing measures by remote work and skill development. The characteristics of the post-Covid and post-Brexit periods are reflected in the present situation of the UK labour market. The epidemic has sped up remote work and digital adoption, changing employment procedures and placing a stronger emphasis on skill development. Talent flows and labour mobility have been impacted by Brexit uncertainty. In response, new shifts in human resource strategy now place a higher priority on adaptation, remote management, and skill development to successfully negotiate this altered environment. Examining the combined effects of post-Covid and post-Brexit issues on the UK labour market, this paper looks at the evolving shifts in human resource strategy that are necessary to successfully navigate this new environment.</w:t>
      </w:r>
    </w:p>
    <w:p w14:paraId="00000003" w14:textId="77777777" w:rsidR="008215C7" w:rsidRDefault="0087010A">
      <w:pPr>
        <w:pStyle w:val="Heading1"/>
      </w:pPr>
      <w:bookmarkStart w:id="1" w:name="_2043sga8ohp" w:colFirst="0" w:colLast="0"/>
      <w:bookmarkStart w:id="2" w:name="_Toc142925047"/>
      <w:bookmarkEnd w:id="1"/>
      <w:r>
        <w:t>2. Task 1: The current state of the labour market in the UK</w:t>
      </w:r>
      <w:bookmarkEnd w:id="2"/>
    </w:p>
    <w:p w14:paraId="00000004" w14:textId="77777777" w:rsidR="008215C7" w:rsidRDefault="0087010A">
      <w:pPr>
        <w:pStyle w:val="Heading2"/>
      </w:pPr>
      <w:bookmarkStart w:id="3" w:name="_auymokefq9gh" w:colFirst="0" w:colLast="0"/>
      <w:bookmarkStart w:id="4" w:name="_Toc142925048"/>
      <w:bookmarkEnd w:id="3"/>
      <w:r>
        <w:t>2.1 Current trends, challenges and opportunities</w:t>
      </w:r>
      <w:bookmarkEnd w:id="4"/>
    </w:p>
    <w:p w14:paraId="00000005"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substantial upheaval brought on by the confluence of post-Covid and post-Brexit forces, the UK labour market is now facing a dynamic spectrum of trends, problems, and possibilities. The quick uptake of digitalisation and teleworking is a significant trend. The epidemic has compelled businesses to adopt remote working practices as rapidly as possible, revolutionising the dynamics of the conventional workplace. A new freedom is provided by this change, but it also raises issues with employee engagement, mental health, and the need for a strong digital infrastructure. Additionally, Brexit-related events have added another level of complexity to the problems and prospects (</w:t>
      </w:r>
      <w:r>
        <w:rPr>
          <w:rFonts w:ascii="Times New Roman" w:eastAsia="Times New Roman" w:hAnsi="Times New Roman" w:cs="Times New Roman"/>
          <w:color w:val="222222"/>
          <w:sz w:val="24"/>
          <w:szCs w:val="24"/>
          <w:highlight w:val="white"/>
        </w:rPr>
        <w:t>Bell and Blanchflower, 2020</w:t>
      </w:r>
      <w:r>
        <w:rPr>
          <w:rFonts w:ascii="Times New Roman" w:eastAsia="Times New Roman" w:hAnsi="Times New Roman" w:cs="Times New Roman"/>
          <w:sz w:val="24"/>
          <w:szCs w:val="24"/>
        </w:rPr>
        <w:t>). The labour market and talent pool have changed as a result of the EU's exit, affecting industries that rely on European labour. Companies today face changes to cross-border laws, work visa policies, and immigration laws, necessitating creative workforce planning and recruiting techniques. However, this difficulty also offers the UK a chance to engage in nurturing homegrown talent and restructuring its labour force for long-term viability.</w:t>
      </w:r>
    </w:p>
    <w:p w14:paraId="00000006"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regions have notably grown throughout these changes. As businesses digitise their processes and e-commerce methods advance, for instance, the IT sector has prospered. As a result, there is now a greater need for technology specialists, which has raised salaries in the industry and opened up employment prospects for trained people. In addition, the pandemic has brought attention to the healthcare and life sciences industries, which has raised the demand for healthcare workers, researchers, and support employees (</w:t>
      </w:r>
      <w:r>
        <w:rPr>
          <w:rFonts w:ascii="Times New Roman" w:eastAsia="Times New Roman" w:hAnsi="Times New Roman" w:cs="Times New Roman"/>
          <w:color w:val="222222"/>
          <w:sz w:val="24"/>
          <w:szCs w:val="24"/>
          <w:highlight w:val="white"/>
        </w:rPr>
        <w:t xml:space="preserve">Brell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However, these changes coexist with enduring difficulties. Many employees still lack the skills necessary to succeed in their professional duties, and the skills gap is a serious problem. To close this gap, upskilling and retraining must be approached holistically, requiring cooperation between businesses, educational institutions, and governmental programmes. A concerted effort is needed to guarantee that everyone in the workforce has access to opportunities and is treated fairly, as concerns of diversity, fairness, and inclusion have also risen to the forefront. Human resource management tactics are changing in response to these trends and problems. Employers are reassessing their hiring practices, putting more of a focus on virtual referrals, performance monitoring, and employee wellness programmes (</w:t>
      </w:r>
      <w:r>
        <w:rPr>
          <w:rFonts w:ascii="Times New Roman" w:eastAsia="Times New Roman" w:hAnsi="Times New Roman" w:cs="Times New Roman"/>
          <w:color w:val="222222"/>
          <w:sz w:val="24"/>
          <w:szCs w:val="24"/>
          <w:highlight w:val="white"/>
        </w:rPr>
        <w:t>Hupkau and Petrongolo, 2020</w:t>
      </w:r>
      <w:r>
        <w:rPr>
          <w:rFonts w:ascii="Times New Roman" w:eastAsia="Times New Roman" w:hAnsi="Times New Roman" w:cs="Times New Roman"/>
          <w:sz w:val="24"/>
          <w:szCs w:val="24"/>
        </w:rPr>
        <w:t>). Plans for talent development include upskilling and continual learning to keep employees current with the labour market's fast change. Adaptability, remote management, and the development of diverse and inclusive teams that represent the changing social context are being prioritised in the redesign of strategies.</w:t>
      </w:r>
    </w:p>
    <w:p w14:paraId="00000007" w14:textId="77777777" w:rsidR="008215C7" w:rsidRDefault="0087010A">
      <w:pPr>
        <w:pStyle w:val="Heading2"/>
      </w:pPr>
      <w:bookmarkStart w:id="5" w:name="_mhn7xfvcy0g0" w:colFirst="0" w:colLast="0"/>
      <w:bookmarkStart w:id="6" w:name="_Toc142925049"/>
      <w:bookmarkEnd w:id="5"/>
      <w:r>
        <w:t>2.2 The effect of Covid- 19 on the Labour market</w:t>
      </w:r>
      <w:bookmarkEnd w:id="6"/>
    </w:p>
    <w:p w14:paraId="00000008"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Covid-19 pandemic has affected the UK labour market in a way that has never been seen before, changing the nature of work and the job environment. As businesses employ containment strategies and social segregation policies in response to the epidemic, teleworking has seen an abrupt and broad change. This quick shift has revealed how adaptable both businesses and employees are, highlighting the potential for remote work to play a significant role in the labour market of the future. However, the adoption of telecommuting has not been uniform across industries; as a result, sectors including healthcare, retail, and hospitality have been severely disrupted, leading to the loss of jobs. Consumer spending decreases. The epidemic has had a significant negative effect on both job security and financial stability (</w:t>
      </w:r>
      <w:r>
        <w:rPr>
          <w:rFonts w:ascii="Times New Roman" w:eastAsia="Times New Roman" w:hAnsi="Times New Roman" w:cs="Times New Roman"/>
          <w:color w:val="222222"/>
          <w:sz w:val="24"/>
          <w:szCs w:val="24"/>
          <w:highlight w:val="white"/>
        </w:rPr>
        <w:t xml:space="preserve">Watermeyer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Particularly in fields that place a high value on physical presence, many have experienced furloughs, decreased hours, or even job losses. Due to a decline in the demand for services, the gig economy, which is constantly expanding, is also experiencing serious problems. These difficulties show how vulnerable employees with erratic working circumstances are and emphasise the need for social safety nets that can provide economic stability in difficult times.</w:t>
      </w:r>
    </w:p>
    <w:p w14:paraId="00000009"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significance of crucial workers, such as healthcare professionals, delivery drivers, and grocery store employees, who are crucial to preserving health, is also highlighted by Covid-19. Keep up key services during the epidemic. Discussions concerning the respect and pay these employees receive often arise as a result of the greater health risks and workloads they often encounter. The way crucial occupations are valued and compensated in the labour market has been re-evaluated in response to the crisis. Inequalities already in place have been made worse by the epidemic (</w:t>
      </w:r>
      <w:r>
        <w:rPr>
          <w:rFonts w:ascii="Times New Roman" w:eastAsia="Times New Roman" w:hAnsi="Times New Roman" w:cs="Times New Roman"/>
          <w:color w:val="222222"/>
          <w:sz w:val="24"/>
          <w:szCs w:val="24"/>
          <w:highlight w:val="white"/>
        </w:rPr>
        <w:t xml:space="preserve">Keogh-Brown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Women and members of racial and ethnic minorities are disproportionately impacted since they often work in the industries most severely affected by the crisis and have to take on more caregiving duties as a result of closures. This demonstrates the need to address racial and gender inequalities in the workforce and provide equitable opportunities for everyone.</w:t>
      </w:r>
    </w:p>
    <w:p w14:paraId="0000000A"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Positively, the epidemic has spurred the deployment of automation and digital technology. Online platforms, e-commerce, and digital communication technologies have all been swiftly embraced by businesses to support their operations. The need for technology-related jobs has increased as a result of this shift, which also highlights the value of digital literacy. The crisis has also inspired a resurgence in interest in upskilling and reskilling, with people and organisations realising the need to acquire transferable skill sets for success in the future. The Coronavirus Pandemic Job Retention Scheme (temporary scheme) and allowances for self-employed employees are only two of the initiatives the UK government has implemented to strengthen the labour market in response to these difficulties (</w:t>
      </w:r>
      <w:r>
        <w:rPr>
          <w:rFonts w:ascii="Times New Roman" w:eastAsia="Times New Roman" w:hAnsi="Times New Roman" w:cs="Times New Roman"/>
          <w:color w:val="222222"/>
          <w:sz w:val="24"/>
          <w:szCs w:val="24"/>
          <w:highlight w:val="white"/>
        </w:rPr>
        <w:t xml:space="preserve">Fana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These therapies provide just short-term solace but immediately stop a more harmful effect. However, there is ongoing discussion and adaptation over the pandemic's long-term consequences on work organisation, job security, and the proportion of remote and on-site labour.</w:t>
      </w:r>
    </w:p>
    <w:p w14:paraId="0000000B" w14:textId="77777777" w:rsidR="008215C7" w:rsidRDefault="0087010A">
      <w:pPr>
        <w:pStyle w:val="Heading2"/>
      </w:pPr>
      <w:bookmarkStart w:id="7" w:name="_pzf844vhaury" w:colFirst="0" w:colLast="0"/>
      <w:bookmarkStart w:id="8" w:name="_Toc142925050"/>
      <w:bookmarkEnd w:id="7"/>
      <w:r>
        <w:t>2.3 The effect of Brexit on the labour market</w:t>
      </w:r>
      <w:bookmarkEnd w:id="8"/>
    </w:p>
    <w:p w14:paraId="0000000C"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UK's withdrawal from the European Union, known as Brexit, has significantly changed the dynamics of the labour market in the nation and presented both possibilities and problems. Immigration and labour mobility are two of the most noticeable effects. Changes in the hiring of personnel from EU member states have been brought on by the termination of free movement between the UK and the EU. Historically dependent on European labour, industries including agriculture, healthcare, and hospitality have experienced labour shortages and disruptions. This move necessitates researching fresh hiring tactics and putting more of an emphasis on national workforce development. Investor and company confidence changed as a result of the uncertainties surrounding Brexit (</w:t>
      </w:r>
      <w:r>
        <w:rPr>
          <w:rFonts w:ascii="Times New Roman" w:eastAsia="Times New Roman" w:hAnsi="Times New Roman" w:cs="Times New Roman"/>
          <w:color w:val="222222"/>
          <w:sz w:val="24"/>
          <w:szCs w:val="24"/>
          <w:highlight w:val="white"/>
        </w:rPr>
        <w:t>Lloyd and Payne, 2019</w:t>
      </w:r>
      <w:r>
        <w:rPr>
          <w:rFonts w:ascii="Times New Roman" w:eastAsia="Times New Roman" w:hAnsi="Times New Roman" w:cs="Times New Roman"/>
          <w:sz w:val="24"/>
          <w:szCs w:val="24"/>
        </w:rPr>
        <w:t>). With some businesses delaying growth plans or re-evaluating operations, this instability has impacted employment choices. All industries' labour planning and investment choices are now complicated and unclear due to the difficult process of dismantling EU trade agreements and regulations.</w:t>
      </w:r>
    </w:p>
    <w:p w14:paraId="0000000D"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labour market has been affected in two ways by the renegotiation of regulatory and trade agreements. Others have battled with trade obstacles and rising administrative requirements, while other businesses have benefited from new possibilities and customers. For instance, the logistics and transportation industries now have to comply with new paperwork and customs procedures, which might cause delays and raise prices. Workers at various levels of production and distribution are impacted by these developments, which have an effect on supply networks and labour demand (</w:t>
      </w:r>
      <w:r>
        <w:rPr>
          <w:rFonts w:ascii="Times New Roman" w:eastAsia="Times New Roman" w:hAnsi="Times New Roman" w:cs="Times New Roman"/>
          <w:color w:val="222222"/>
          <w:sz w:val="24"/>
          <w:szCs w:val="24"/>
          <w:highlight w:val="white"/>
        </w:rPr>
        <w:t xml:space="preserve">Webster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Renewing interest in talent and skill development has also been generated by Brexit. Since there is less access to the larger European labour population, there is a higher emphasis on retraining and upskilling the local workers to match the shifting demands of the sector. In order to provide employees with the skills required by the shifting labour market, this has led to investment in job training programmes and education initiatives. Future workforces are becoming more and more shaped by the need to innovate and adapt. Brexit has also spurred debates about the importance of the UK's global identity and ties abroad (</w:t>
      </w:r>
      <w:r>
        <w:rPr>
          <w:rFonts w:ascii="Times New Roman" w:eastAsia="Times New Roman" w:hAnsi="Times New Roman" w:cs="Times New Roman"/>
          <w:color w:val="222222"/>
          <w:sz w:val="24"/>
          <w:szCs w:val="24"/>
          <w:highlight w:val="white"/>
        </w:rPr>
        <w:t xml:space="preserve">Luppi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New market access and collaboration possibilities are developing as the nation tries to forge its own commercial links outside of the EU. Sectors that are expected to spur development and diversify the labour market, such as finance, technology, and the creative industries, are affected by this trend.</w:t>
      </w:r>
    </w:p>
    <w:p w14:paraId="0000000E" w14:textId="77777777" w:rsidR="008215C7" w:rsidRDefault="0087010A">
      <w:pPr>
        <w:pStyle w:val="Heading1"/>
      </w:pPr>
      <w:bookmarkStart w:id="9" w:name="_ea1mmf2dvf7k" w:colFirst="0" w:colLast="0"/>
      <w:bookmarkStart w:id="10" w:name="_Toc142925051"/>
      <w:bookmarkEnd w:id="9"/>
      <w:r>
        <w:t>3. Task 2: The emerging changes in Human Resourcing Strategies in the post-Covid, post-Brexit external environment</w:t>
      </w:r>
      <w:bookmarkEnd w:id="10"/>
    </w:p>
    <w:p w14:paraId="0000000F" w14:textId="77777777" w:rsidR="008215C7" w:rsidRDefault="0087010A">
      <w:pPr>
        <w:pStyle w:val="Heading2"/>
      </w:pPr>
      <w:bookmarkStart w:id="11" w:name="_dg5bx1u4yigh" w:colFirst="0" w:colLast="0"/>
      <w:bookmarkStart w:id="12" w:name="_Toc142925052"/>
      <w:bookmarkEnd w:id="11"/>
      <w:r>
        <w:t>3.1 Emerging human resources strategies</w:t>
      </w:r>
      <w:bookmarkEnd w:id="12"/>
    </w:p>
    <w:p w14:paraId="00000010"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response to shifting workplace dynamics and technology improvements, emerging human resource (HR) strategies are influencing how organisations recruit, manage, and retain personnel. The focus on flexible scheduling and remote work is one discernible trend. Organisations are now re-evaluating conventional office-centric strategies as a result of the Covid-19 epidemic, which has hastened the uptake of telework. The fundamental goal of HR strategies is to provide the resources, infrastructure, and assistance required to facilitate smooth remote collaboration while maintaining employee satisfaction and engagement. The increased emphasis on employee well-being in new HR practices is another significant factor (</w:t>
      </w:r>
      <w:r>
        <w:rPr>
          <w:rFonts w:ascii="Times New Roman" w:eastAsia="Times New Roman" w:hAnsi="Times New Roman" w:cs="Times New Roman"/>
          <w:color w:val="222222"/>
          <w:sz w:val="24"/>
          <w:szCs w:val="24"/>
          <w:highlight w:val="white"/>
        </w:rPr>
        <w:t xml:space="preserve">Moradlou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2022</w:t>
      </w:r>
      <w:r>
        <w:rPr>
          <w:rFonts w:ascii="Times New Roman" w:eastAsia="Times New Roman" w:hAnsi="Times New Roman" w:cs="Times New Roman"/>
          <w:sz w:val="24"/>
          <w:szCs w:val="24"/>
        </w:rPr>
        <w:t>). Organisations understand the importance of an engaged and healthy staff for productivity and employee retention. To address the special difficulties brought on by remote work and the blending of work and home life, strategies include mental health initiatives, flexible working hours, and wellness programmes.</w:t>
      </w:r>
    </w:p>
    <w:p w14:paraId="00000011"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organisations use analytics to make wise personnel decisions, data-driven HR decisions are becoming more popular. HR specialists may use data analytics to identify trends, foresee talent shortages, and improve the recruiting process (</w:t>
      </w:r>
      <w:r>
        <w:rPr>
          <w:rFonts w:ascii="Times New Roman" w:eastAsia="Times New Roman" w:hAnsi="Times New Roman" w:cs="Times New Roman"/>
          <w:color w:val="222222"/>
          <w:sz w:val="24"/>
          <w:szCs w:val="24"/>
          <w:highlight w:val="white"/>
        </w:rPr>
        <w:t>Arnold, 2020</w:t>
      </w:r>
      <w:r>
        <w:rPr>
          <w:rFonts w:ascii="Times New Roman" w:eastAsia="Times New Roman" w:hAnsi="Times New Roman" w:cs="Times New Roman"/>
          <w:sz w:val="24"/>
          <w:szCs w:val="24"/>
        </w:rPr>
        <w:t>). With the appropriate people in the right jobs, organisations can better prepare their workforces to meet future demands. This is made possible by predictive analytics. The cornerstone of HR strategies to satisfy the quickly shifting skill requirements of the contemporary workplace is now upskilling and reskilling. Employees may gain new skills that are appropriate for shifting job paths thanks to the promotion of lifelong learning. Businesses may increase their workforce's flexibility and competitiveness by putting money into continuous learning. As a result of technological development, HR is using automation and artificial intelligence (AI) to simplify procedures (</w:t>
      </w:r>
      <w:r>
        <w:rPr>
          <w:rFonts w:ascii="Times New Roman" w:eastAsia="Times New Roman" w:hAnsi="Times New Roman" w:cs="Times New Roman"/>
          <w:color w:val="222222"/>
          <w:sz w:val="24"/>
          <w:szCs w:val="24"/>
          <w:highlight w:val="white"/>
        </w:rPr>
        <w:t xml:space="preserve">Gupta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Employee engagement surveys, recruitment screening, and departure risk modelling are all made easier by AI-powered technologies. Automating administrative tasks frees up HR experts to concentrate on strategic projects that promote organisational success.</w:t>
      </w:r>
    </w:p>
    <w:p w14:paraId="00000012" w14:textId="77777777" w:rsidR="008215C7" w:rsidRDefault="0087010A">
      <w:pPr>
        <w:pStyle w:val="Heading2"/>
      </w:pPr>
      <w:bookmarkStart w:id="13" w:name="_brn0awpskfbt" w:colFirst="0" w:colLast="0"/>
      <w:bookmarkStart w:id="14" w:name="_Toc142925053"/>
      <w:bookmarkEnd w:id="13"/>
      <w:r>
        <w:t>3.2 Human resourcing strategies post covid and post-Brexit</w:t>
      </w:r>
      <w:bookmarkEnd w:id="14"/>
    </w:p>
    <w:p w14:paraId="00000013"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Covid-19 epidemic and the UK's withdrawal from the European Union (Brexit) have both had a big impact on HR strategy. These opposing dynamics have forced organisations to reconsider how they go about hiring, managing, and developing people. Telecommuting and flexible scheduling have taken the stage in HR policies since COVID-19. Since remote work is viable, businesses are implementing hybrid models that blend in-person and remote working choices. At the moment, HR strategies are concentrated on assuring remote workers' engagement, pleasure, and productive cooperation, which calls for novel methods of virtual onboarding, communication, and performance management. Revisions to talent acquisition strategies are necessary due to the effects of Brexit (</w:t>
      </w:r>
      <w:r>
        <w:rPr>
          <w:rFonts w:ascii="Times New Roman" w:eastAsia="Times New Roman" w:hAnsi="Times New Roman" w:cs="Times New Roman"/>
          <w:color w:val="222222"/>
          <w:sz w:val="24"/>
          <w:szCs w:val="24"/>
          <w:highlight w:val="white"/>
        </w:rPr>
        <w:t>Deshmukh, 2022</w:t>
      </w:r>
      <w:r>
        <w:rPr>
          <w:rFonts w:ascii="Times New Roman" w:eastAsia="Times New Roman" w:hAnsi="Times New Roman" w:cs="Times New Roman"/>
          <w:sz w:val="24"/>
          <w:szCs w:val="24"/>
        </w:rPr>
        <w:t>). As organisations work to find and keep talent from both local and international sources, the loss of freedom of movement has resulted in changes to recruiting practices. HR strategies maintain compliance while fostering diversity and global knowledge, and they adapt to changing visa requirements, immigration laws, and skills evaluation procedures.</w:t>
      </w:r>
    </w:p>
    <w:p w14:paraId="00000014"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Covid and Brexit, upskilling and retraining have taken the front stage in human resource strategy. The confluence of these occurrences has brought attention to the need for a workforce that is adaptable and can deal with the shifting industrial environment. Organisations are investing in programmes that promote continuous learning to provide workers with the tools they need to adapt to shifting roles and technology and increase their marketability as job candidates are quickly evolving (</w:t>
      </w:r>
      <w:r>
        <w:rPr>
          <w:rFonts w:ascii="Times New Roman" w:eastAsia="Times New Roman" w:hAnsi="Times New Roman" w:cs="Times New Roman"/>
          <w:color w:val="222222"/>
          <w:sz w:val="24"/>
          <w:szCs w:val="24"/>
          <w:highlight w:val="white"/>
        </w:rPr>
        <w:t xml:space="preserve">McCann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Diversity and inclusivity have grown in significance. The importance of having different viewpoints and inclusive workplaces is highlighted by both Brexit and the epidemic. The human resource strategy gives fair, impartial recruiting practices top priority and cultivates an atmosphere that encourages cooperation and creativity among staff members from all backgrounds. The key tenets of a contemporary human resource strategy are digitisation and data-driven decision-making (</w:t>
      </w:r>
      <w:r>
        <w:rPr>
          <w:rFonts w:ascii="Times New Roman" w:eastAsia="Times New Roman" w:hAnsi="Times New Roman" w:cs="Times New Roman"/>
          <w:color w:val="222222"/>
          <w:sz w:val="24"/>
          <w:szCs w:val="24"/>
          <w:highlight w:val="white"/>
        </w:rPr>
        <w:t>Pilotti, 2023</w:t>
      </w:r>
      <w:r>
        <w:rPr>
          <w:rFonts w:ascii="Times New Roman" w:eastAsia="Times New Roman" w:hAnsi="Times New Roman" w:cs="Times New Roman"/>
          <w:sz w:val="24"/>
          <w:szCs w:val="24"/>
        </w:rPr>
        <w:t>). To improve personnel management procedures, HR professionals make use of cutting-edge technology like analytics and artificial intelligence. By facilitating applicant screening, performance reviews, and workforce trend forecasts, these technologies help businesses make smart HR choices.</w:t>
      </w:r>
    </w:p>
    <w:p w14:paraId="00000015" w14:textId="77777777" w:rsidR="008215C7" w:rsidRDefault="0087010A">
      <w:pPr>
        <w:pStyle w:val="Heading1"/>
      </w:pPr>
      <w:bookmarkStart w:id="15" w:name="_14x3xz1o7xoa" w:colFirst="0" w:colLast="0"/>
      <w:bookmarkStart w:id="16" w:name="_Toc142925054"/>
      <w:bookmarkEnd w:id="15"/>
      <w:r>
        <w:t>4. Conclusion</w:t>
      </w:r>
      <w:bookmarkEnd w:id="16"/>
    </w:p>
    <w:p w14:paraId="00000016" w14:textId="77777777" w:rsidR="008215C7" w:rsidRDefault="0087010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concluded from the above discussion that a thorough reevaluation of human resource (HR) strategy has been necessitated by the confluence of the Covid-19 epidemic and Brexit, which has ushered in a period of change for the UK labour market. Due to the pandemic's quick embrace of telework and digitalisation, workplace norms have changed, and HR has been compelled to innovate in areas like hiring, engagement, and welfare. A strategic change has been made in the approach to acquiring and developing talent as a result of the effects of Brexit on labour mobility and company dynamics. Modern HR strategies prioritise flexibility, resilience, and adaptation while also supporting employee mental health and well-being, promoting uplift programmes, and retraining workforce personnel with scalable key skills. HR practitioners are given the ability to make well-informed recruiting and performance management decisions by using technology and data-driven decision-making, including automation and artificial intelligence. The development of creative and collaborative workplaces is also emphasised by a strong commitment to diversity, equality, and inclusion. HR strategies act as compass points for organisations as they manage uncertainties, seize new insights, and develop their workforces in the aftermath of COVID-19 and Brexit. Strong and adaptable dynamics for a workplace that is evolving quickly.</w:t>
      </w:r>
      <w:r>
        <w:br w:type="page"/>
      </w:r>
    </w:p>
    <w:p w14:paraId="00000017" w14:textId="77777777" w:rsidR="008215C7" w:rsidRDefault="0087010A">
      <w:pPr>
        <w:pStyle w:val="Heading1"/>
      </w:pPr>
      <w:bookmarkStart w:id="17" w:name="_nmpmmljknnuc" w:colFirst="0" w:colLast="0"/>
      <w:bookmarkStart w:id="18" w:name="_Toc142925055"/>
      <w:bookmarkEnd w:id="17"/>
      <w:r>
        <w:t>Reference List</w:t>
      </w:r>
      <w:bookmarkEnd w:id="18"/>
    </w:p>
    <w:p w14:paraId="0AE2D3B4"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Arnold, T., 2020. Policies for Agriculture and the Environment on the Island of Ireland in the Post-Brexit World. </w:t>
      </w:r>
      <w:r>
        <w:rPr>
          <w:rFonts w:ascii="Times New Roman" w:eastAsia="Times New Roman" w:hAnsi="Times New Roman" w:cs="Times New Roman"/>
          <w:i/>
          <w:color w:val="222222"/>
          <w:sz w:val="24"/>
          <w:szCs w:val="24"/>
          <w:highlight w:val="white"/>
        </w:rPr>
        <w:t>The Journal of Cross Border Studies in Ireland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w:t>
      </w:r>
      <w:r>
        <w:rPr>
          <w:rFonts w:ascii="Times New Roman" w:eastAsia="Times New Roman" w:hAnsi="Times New Roman" w:cs="Times New Roman"/>
          <w:color w:val="222222"/>
          <w:sz w:val="24"/>
          <w:szCs w:val="24"/>
          <w:highlight w:val="white"/>
        </w:rPr>
        <w:t xml:space="preserve">, pp.123-136. </w:t>
      </w:r>
      <w:hyperlink r:id="rId8" w:anchor="page=126">
        <w:r>
          <w:rPr>
            <w:rFonts w:ascii="Times New Roman" w:eastAsia="Times New Roman" w:hAnsi="Times New Roman" w:cs="Times New Roman"/>
            <w:color w:val="1155CC"/>
            <w:sz w:val="24"/>
            <w:szCs w:val="24"/>
            <w:highlight w:val="white"/>
            <w:u w:val="single"/>
          </w:rPr>
          <w:t>https://thecannproject.org/wp-content/uploads/2020/10/Final-Digital-Journal-Cross-Border-Studies.pdf#page=126</w:t>
        </w:r>
      </w:hyperlink>
    </w:p>
    <w:p w14:paraId="3AE04EFF"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Bell, D.N. and Blanchflower, D.G., 2020. US and UK labour markets before and during the Covid-19 crash. </w:t>
      </w:r>
      <w:r>
        <w:rPr>
          <w:rFonts w:ascii="Times New Roman" w:eastAsia="Times New Roman" w:hAnsi="Times New Roman" w:cs="Times New Roman"/>
          <w:i/>
          <w:color w:val="222222"/>
          <w:sz w:val="24"/>
          <w:szCs w:val="24"/>
          <w:highlight w:val="white"/>
        </w:rPr>
        <w:t>National Institute Economic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252</w:t>
      </w:r>
      <w:r>
        <w:rPr>
          <w:rFonts w:ascii="Times New Roman" w:eastAsia="Times New Roman" w:hAnsi="Times New Roman" w:cs="Times New Roman"/>
          <w:color w:val="222222"/>
          <w:sz w:val="24"/>
          <w:szCs w:val="24"/>
          <w:highlight w:val="white"/>
        </w:rPr>
        <w:t xml:space="preserve">, pp.R52-R69. </w:t>
      </w:r>
      <w:hyperlink r:id="rId9">
        <w:r>
          <w:rPr>
            <w:rFonts w:ascii="Times New Roman" w:eastAsia="Times New Roman" w:hAnsi="Times New Roman" w:cs="Times New Roman"/>
            <w:color w:val="1155CC"/>
            <w:sz w:val="24"/>
            <w:szCs w:val="24"/>
            <w:highlight w:val="white"/>
            <w:u w:val="single"/>
          </w:rPr>
          <w:t>https://dspace.stir.ac.uk/bitstream/1893/31481/1/final%20NIESR%20April%2017th%20covid-19%20bell%20blanchflower%202-3.pdf</w:t>
        </w:r>
      </w:hyperlink>
    </w:p>
    <w:p w14:paraId="4A4365BA"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Brell, C., Dustmann, C. and Preston, I., 2020. The labor market integration of refugee migrants in high-income countries. </w:t>
      </w:r>
      <w:r>
        <w:rPr>
          <w:rFonts w:ascii="Times New Roman" w:eastAsia="Times New Roman" w:hAnsi="Times New Roman" w:cs="Times New Roman"/>
          <w:i/>
          <w:color w:val="222222"/>
          <w:sz w:val="24"/>
          <w:szCs w:val="24"/>
          <w:highlight w:val="white"/>
        </w:rPr>
        <w:t>Journal of Economic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xml:space="preserve">(1), pp.94-121. </w:t>
      </w:r>
      <w:hyperlink r:id="rId10">
        <w:r>
          <w:rPr>
            <w:rFonts w:ascii="Times New Roman" w:eastAsia="Times New Roman" w:hAnsi="Times New Roman" w:cs="Times New Roman"/>
            <w:color w:val="1155CC"/>
            <w:sz w:val="24"/>
            <w:szCs w:val="24"/>
            <w:highlight w:val="white"/>
            <w:u w:val="single"/>
          </w:rPr>
          <w:t>https://pubs.aeaweb.org/doi/pdf/10.1257/jep.34.1.94?section=review%3Fs%3Fs%3Fsection%3Dreview%3Fs%3Fs%3Fsection%3Dreview%3Fs%3Fs%3Fsection%3Dreview%3Fs%3Fs</w:t>
        </w:r>
      </w:hyperlink>
    </w:p>
    <w:p w14:paraId="16A2694A"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Deshmukh, G., 2022. Integrated Strategic Factors Framework. </w:t>
      </w:r>
      <w:r>
        <w:rPr>
          <w:rFonts w:ascii="Times New Roman" w:eastAsia="Times New Roman" w:hAnsi="Times New Roman" w:cs="Times New Roman"/>
          <w:i/>
          <w:color w:val="222222"/>
          <w:sz w:val="24"/>
          <w:szCs w:val="24"/>
          <w:highlight w:val="white"/>
        </w:rPr>
        <w:t>Journal of Positive School Psychology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 xml:space="preserve">(8), pp.3318-3333. </w:t>
      </w:r>
      <w:hyperlink r:id="rId11">
        <w:r>
          <w:rPr>
            <w:rFonts w:ascii="Times New Roman" w:eastAsia="Times New Roman" w:hAnsi="Times New Roman" w:cs="Times New Roman"/>
            <w:color w:val="1155CC"/>
            <w:sz w:val="24"/>
            <w:szCs w:val="24"/>
            <w:highlight w:val="white"/>
            <w:u w:val="single"/>
          </w:rPr>
          <w:t>http://mail.journalppw.com/index.php/jpsp/article/download/10406/6735</w:t>
        </w:r>
      </w:hyperlink>
    </w:p>
    <w:p w14:paraId="6FADF1C1"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Fana, M., Torrejón Pérez, S. and Fernández-Macías, E., 2020. Employment impact of Covid-19 crisis: from short term effects to long terms prospects. </w:t>
      </w:r>
      <w:r>
        <w:rPr>
          <w:rFonts w:ascii="Times New Roman" w:eastAsia="Times New Roman" w:hAnsi="Times New Roman" w:cs="Times New Roman"/>
          <w:i/>
          <w:color w:val="222222"/>
          <w:sz w:val="24"/>
          <w:szCs w:val="24"/>
          <w:highlight w:val="white"/>
        </w:rPr>
        <w:t>Journal of Industrial and Business Economics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 xml:space="preserve">, pp.391-410. </w:t>
      </w:r>
      <w:hyperlink r:id="rId12">
        <w:r>
          <w:rPr>
            <w:rFonts w:ascii="Times New Roman" w:eastAsia="Times New Roman" w:hAnsi="Times New Roman" w:cs="Times New Roman"/>
            <w:color w:val="1155CC"/>
            <w:sz w:val="24"/>
            <w:szCs w:val="24"/>
            <w:highlight w:val="white"/>
            <w:u w:val="single"/>
          </w:rPr>
          <w:t>https://link.springer.com/article/10.1007/s40812-020-00168-5</w:t>
        </w:r>
      </w:hyperlink>
    </w:p>
    <w:p w14:paraId="7F2069F4"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Gupta, R., Hasan, M.M., Islam, S.Z., Yasmin, T. and Uddin, J., 2023. Evaluating the Brexit and COVID-19’s influence on the UK economy: A data analysis. </w:t>
      </w:r>
      <w:r>
        <w:rPr>
          <w:rFonts w:ascii="Times New Roman" w:eastAsia="Times New Roman" w:hAnsi="Times New Roman" w:cs="Times New Roman"/>
          <w:i/>
          <w:color w:val="222222"/>
          <w:sz w:val="24"/>
          <w:szCs w:val="24"/>
          <w:highlight w:val="white"/>
        </w:rPr>
        <w:t>Plos one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18</w:t>
      </w:r>
      <w:r>
        <w:rPr>
          <w:rFonts w:ascii="Times New Roman" w:eastAsia="Times New Roman" w:hAnsi="Times New Roman" w:cs="Times New Roman"/>
          <w:color w:val="222222"/>
          <w:sz w:val="24"/>
          <w:szCs w:val="24"/>
          <w:highlight w:val="white"/>
        </w:rPr>
        <w:t xml:space="preserve">(6), p.e0287342. </w:t>
      </w:r>
      <w:hyperlink r:id="rId13">
        <w:r>
          <w:rPr>
            <w:rFonts w:ascii="Times New Roman" w:eastAsia="Times New Roman" w:hAnsi="Times New Roman" w:cs="Times New Roman"/>
            <w:color w:val="1155CC"/>
            <w:sz w:val="24"/>
            <w:szCs w:val="24"/>
            <w:highlight w:val="white"/>
            <w:u w:val="single"/>
          </w:rPr>
          <w:t>https://journals.plos.org/plosone/article?id=10.1371/journal.pone.0287342</w:t>
        </w:r>
      </w:hyperlink>
    </w:p>
    <w:p w14:paraId="198DA4C3"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Hupkau, C. and Petrongolo, B., 2020. COVID-19 and gender gaps: Latest evidence and lessons from the UK. </w:t>
      </w:r>
      <w:r>
        <w:rPr>
          <w:rFonts w:ascii="Times New Roman" w:eastAsia="Times New Roman" w:hAnsi="Times New Roman" w:cs="Times New Roman"/>
          <w:i/>
          <w:color w:val="222222"/>
          <w:sz w:val="24"/>
          <w:szCs w:val="24"/>
          <w:highlight w:val="white"/>
        </w:rPr>
        <w:t>VoxEU. org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 </w:t>
      </w:r>
      <w:hyperlink r:id="rId14">
        <w:r>
          <w:rPr>
            <w:rFonts w:ascii="Times New Roman" w:eastAsia="Times New Roman" w:hAnsi="Times New Roman" w:cs="Times New Roman"/>
            <w:color w:val="1155CC"/>
            <w:sz w:val="24"/>
            <w:szCs w:val="24"/>
            <w:highlight w:val="white"/>
            <w:u w:val="single"/>
          </w:rPr>
          <w:t>https://haqqi.s3.eu-north-1.amazonaws.com/2020-06/COVID.pdf</w:t>
        </w:r>
      </w:hyperlink>
    </w:p>
    <w:p w14:paraId="69F68EB3"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Keogh-Brown, M.R., Jensen, H.T., Edmunds, W.J. and Smith, R.D., 2020. The impact of Covid-19, associated behaviours and policies on the UK economy: A computable general equilibrium model. </w:t>
      </w:r>
      <w:r>
        <w:rPr>
          <w:rFonts w:ascii="Times New Roman" w:eastAsia="Times New Roman" w:hAnsi="Times New Roman" w:cs="Times New Roman"/>
          <w:i/>
          <w:color w:val="222222"/>
          <w:sz w:val="24"/>
          <w:szCs w:val="24"/>
          <w:highlight w:val="white"/>
        </w:rPr>
        <w:t>SSM-population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xml:space="preserve">, p.100651. </w:t>
      </w:r>
      <w:hyperlink r:id="rId15">
        <w:r>
          <w:rPr>
            <w:rFonts w:ascii="Times New Roman" w:eastAsia="Times New Roman" w:hAnsi="Times New Roman" w:cs="Times New Roman"/>
            <w:color w:val="1155CC"/>
            <w:sz w:val="24"/>
            <w:szCs w:val="24"/>
            <w:highlight w:val="white"/>
            <w:u w:val="single"/>
          </w:rPr>
          <w:t>https://www.sciencedirect.com/science/article/pii/S2352827320302883</w:t>
        </w:r>
      </w:hyperlink>
    </w:p>
    <w:p w14:paraId="32CD5C45"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Lloyd, C. and Payne, J., 2019. Rethinking country effects: Robotics, AI and work futures in Norway and the UK. </w:t>
      </w:r>
      <w:r>
        <w:rPr>
          <w:rFonts w:ascii="Times New Roman" w:eastAsia="Times New Roman" w:hAnsi="Times New Roman" w:cs="Times New Roman"/>
          <w:i/>
          <w:color w:val="222222"/>
          <w:sz w:val="24"/>
          <w:szCs w:val="24"/>
          <w:highlight w:val="white"/>
        </w:rPr>
        <w:t>New Technology, Work and Employment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34</w:t>
      </w:r>
      <w:r>
        <w:rPr>
          <w:rFonts w:ascii="Times New Roman" w:eastAsia="Times New Roman" w:hAnsi="Times New Roman" w:cs="Times New Roman"/>
          <w:color w:val="222222"/>
          <w:sz w:val="24"/>
          <w:szCs w:val="24"/>
          <w:highlight w:val="white"/>
        </w:rPr>
        <w:t xml:space="preserve">(3), pp.208-225. </w:t>
      </w:r>
      <w:hyperlink r:id="rId16">
        <w:r>
          <w:rPr>
            <w:rFonts w:ascii="Times New Roman" w:eastAsia="Times New Roman" w:hAnsi="Times New Roman" w:cs="Times New Roman"/>
            <w:color w:val="1155CC"/>
            <w:sz w:val="24"/>
            <w:szCs w:val="24"/>
            <w:highlight w:val="white"/>
            <w:u w:val="single"/>
          </w:rPr>
          <w:t>https://orca.cardiff.ac.uk/id/eprint/125500/1/NTWE%20Lloyd%20and%20Payne%20pre-proofs.pdf</w:t>
        </w:r>
      </w:hyperlink>
    </w:p>
    <w:p w14:paraId="0B59847B"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Luppi, F., Arpino, B. and Rosina, A., 2020. The impact of COVID-19 on fertility plans in Italy, Germany, France, Spain, and the United Kingdom. </w:t>
      </w:r>
      <w:r>
        <w:rPr>
          <w:rFonts w:ascii="Times New Roman" w:eastAsia="Times New Roman" w:hAnsi="Times New Roman" w:cs="Times New Roman"/>
          <w:i/>
          <w:color w:val="222222"/>
          <w:sz w:val="24"/>
          <w:szCs w:val="24"/>
          <w:highlight w:val="white"/>
        </w:rPr>
        <w:t>Demographic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 xml:space="preserve">, pp.1399-1412. </w:t>
      </w:r>
      <w:hyperlink r:id="rId17">
        <w:r>
          <w:rPr>
            <w:rFonts w:ascii="Times New Roman" w:eastAsia="Times New Roman" w:hAnsi="Times New Roman" w:cs="Times New Roman"/>
            <w:color w:val="1155CC"/>
            <w:sz w:val="24"/>
            <w:szCs w:val="24"/>
            <w:highlight w:val="white"/>
            <w:u w:val="single"/>
          </w:rPr>
          <w:t>https://www.demographic-research.org/volumes/vol43/47/43-47.pdf</w:t>
        </w:r>
      </w:hyperlink>
    </w:p>
    <w:p w14:paraId="043C2C1E"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McCann, P., Ortega-Argilés, R., Sevinc, D. and Cepeda-Zorrilla, M., 2023. Rebalancing UK regional and industrial policy post-Brexit and post-Covid-19: Lessons learned and priorities for the future. </w:t>
      </w:r>
      <w:r>
        <w:rPr>
          <w:rFonts w:ascii="Times New Roman" w:eastAsia="Times New Roman" w:hAnsi="Times New Roman" w:cs="Times New Roman"/>
          <w:i/>
          <w:color w:val="222222"/>
          <w:sz w:val="24"/>
          <w:szCs w:val="24"/>
          <w:highlight w:val="white"/>
        </w:rPr>
        <w:t>Regional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57</w:t>
      </w:r>
      <w:r>
        <w:rPr>
          <w:rFonts w:ascii="Times New Roman" w:eastAsia="Times New Roman" w:hAnsi="Times New Roman" w:cs="Times New Roman"/>
          <w:color w:val="222222"/>
          <w:sz w:val="24"/>
          <w:szCs w:val="24"/>
          <w:highlight w:val="white"/>
        </w:rPr>
        <w:t xml:space="preserve">(6), pp.1113-1125. </w:t>
      </w:r>
      <w:hyperlink r:id="rId18">
        <w:r>
          <w:rPr>
            <w:rFonts w:ascii="Times New Roman" w:eastAsia="Times New Roman" w:hAnsi="Times New Roman" w:cs="Times New Roman"/>
            <w:color w:val="1155CC"/>
            <w:sz w:val="24"/>
            <w:szCs w:val="24"/>
            <w:highlight w:val="white"/>
            <w:u w:val="single"/>
          </w:rPr>
          <w:t>https://www.tandfonline.com/doi/pdf/10.1080/00343404.2021.1922663</w:t>
        </w:r>
      </w:hyperlink>
    </w:p>
    <w:p w14:paraId="13752EAD"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Moradlou, H., Fratocchi, L., Skipworth, H. and Ghadge, A., 2022. Post-Brexit back-shoring strategies: what UK manufacturing companies could learn from the past?. </w:t>
      </w:r>
      <w:r>
        <w:rPr>
          <w:rFonts w:ascii="Times New Roman" w:eastAsia="Times New Roman" w:hAnsi="Times New Roman" w:cs="Times New Roman"/>
          <w:i/>
          <w:color w:val="222222"/>
          <w:sz w:val="24"/>
          <w:szCs w:val="24"/>
          <w:highlight w:val="white"/>
        </w:rPr>
        <w:t>Production Planning &amp; Control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 xml:space="preserve">(14), pp.1319-1336. </w:t>
      </w:r>
      <w:hyperlink r:id="rId19">
        <w:r>
          <w:rPr>
            <w:rFonts w:ascii="Times New Roman" w:eastAsia="Times New Roman" w:hAnsi="Times New Roman" w:cs="Times New Roman"/>
            <w:color w:val="1155CC"/>
            <w:sz w:val="24"/>
            <w:szCs w:val="24"/>
            <w:highlight w:val="white"/>
            <w:u w:val="single"/>
          </w:rPr>
          <w:t>https://dspace.lib.cranfield.ac.uk/bitstream/handle/1826/16276/Post-Brexit_back-shoring_strategies-2021.pdf?sequence=6&amp;isAllowed=y</w:t>
        </w:r>
      </w:hyperlink>
    </w:p>
    <w:p w14:paraId="118C6A08" w14:textId="77777777" w:rsidR="000947C2" w:rsidRDefault="000947C2">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Pilotti, L., 2023. Crisis and resilience in the post pandemic age in searching of emergent trust and commons goods. SME’s strategies of adaptation in European Green New Deal for peace, equity and inclusive flourishing in a new multilateralism. </w:t>
      </w:r>
      <w:r>
        <w:rPr>
          <w:rFonts w:ascii="Times New Roman" w:eastAsia="Times New Roman" w:hAnsi="Times New Roman" w:cs="Times New Roman"/>
          <w:i/>
          <w:color w:val="222222"/>
          <w:sz w:val="24"/>
          <w:szCs w:val="24"/>
          <w:highlight w:val="white"/>
        </w:rPr>
        <w:t>Piccola Impresa/Small Business</w:t>
      </w:r>
      <w:r>
        <w:rPr>
          <w:rFonts w:ascii="Times New Roman" w:eastAsia="Times New Roman" w:hAnsi="Times New Roman" w:cs="Times New Roman"/>
          <w:color w:val="222222"/>
          <w:sz w:val="24"/>
          <w:szCs w:val="24"/>
          <w:highlight w:val="white"/>
        </w:rPr>
        <w:t xml:space="preserve">, (1). </w:t>
      </w:r>
      <w:hyperlink r:id="rId20">
        <w:r>
          <w:rPr>
            <w:rFonts w:ascii="Times New Roman" w:eastAsia="Times New Roman" w:hAnsi="Times New Roman" w:cs="Times New Roman"/>
            <w:color w:val="1155CC"/>
            <w:sz w:val="24"/>
            <w:szCs w:val="24"/>
            <w:highlight w:val="white"/>
            <w:u w:val="single"/>
          </w:rPr>
          <w:t>https://journals.uniurb.it/index.php/piccola/article/download/3207/3636</w:t>
        </w:r>
      </w:hyperlink>
      <w:r>
        <w:rPr>
          <w:rFonts w:ascii="Times New Roman" w:eastAsia="Times New Roman" w:hAnsi="Times New Roman" w:cs="Times New Roman"/>
          <w:color w:val="222222"/>
          <w:sz w:val="24"/>
          <w:szCs w:val="24"/>
          <w:highlight w:val="white"/>
        </w:rPr>
        <w:t xml:space="preserve"> </w:t>
      </w:r>
    </w:p>
    <w:p w14:paraId="52CC7DD0"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Watermeyer, R., Crick, T., Knight, C. and Goodall, J., 2021. COVID-19 and digital disruption in UK universities: Afflictions and affordances of emergency online migration. </w:t>
      </w:r>
      <w:r>
        <w:rPr>
          <w:rFonts w:ascii="Times New Roman" w:eastAsia="Times New Roman" w:hAnsi="Times New Roman" w:cs="Times New Roman"/>
          <w:i/>
          <w:color w:val="222222"/>
          <w:sz w:val="24"/>
          <w:szCs w:val="24"/>
          <w:highlight w:val="white"/>
        </w:rPr>
        <w:t>Higher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81</w:t>
      </w:r>
      <w:r>
        <w:rPr>
          <w:rFonts w:ascii="Times New Roman" w:eastAsia="Times New Roman" w:hAnsi="Times New Roman" w:cs="Times New Roman"/>
          <w:color w:val="222222"/>
          <w:sz w:val="24"/>
          <w:szCs w:val="24"/>
          <w:highlight w:val="white"/>
        </w:rPr>
        <w:t xml:space="preserve">, pp.623-641. </w:t>
      </w:r>
      <w:hyperlink r:id="rId21">
        <w:r>
          <w:rPr>
            <w:rFonts w:ascii="Times New Roman" w:eastAsia="Times New Roman" w:hAnsi="Times New Roman" w:cs="Times New Roman"/>
            <w:color w:val="1155CC"/>
            <w:sz w:val="24"/>
            <w:szCs w:val="24"/>
            <w:highlight w:val="white"/>
            <w:u w:val="single"/>
          </w:rPr>
          <w:t>https://link.springer.com/article/10.1007/s10734-020-00561-y</w:t>
        </w:r>
      </w:hyperlink>
    </w:p>
    <w:p w14:paraId="0A03644A" w14:textId="77777777" w:rsidR="000947C2" w:rsidRDefault="000947C2">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Webster, A., Khorana, S. and Pastore, F., 2021. The labour market impact of COVID-19: early evidence for a sample of enterprises from Southern Europe. </w:t>
      </w:r>
      <w:r>
        <w:rPr>
          <w:rFonts w:ascii="Times New Roman" w:eastAsia="Times New Roman" w:hAnsi="Times New Roman" w:cs="Times New Roman"/>
          <w:i/>
          <w:color w:val="222222"/>
          <w:sz w:val="24"/>
          <w:szCs w:val="24"/>
          <w:highlight w:val="white"/>
        </w:rPr>
        <w:t>International Journal of Manpower</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43</w:t>
      </w:r>
      <w:r>
        <w:rPr>
          <w:rFonts w:ascii="Times New Roman" w:eastAsia="Times New Roman" w:hAnsi="Times New Roman" w:cs="Times New Roman"/>
          <w:color w:val="222222"/>
          <w:sz w:val="24"/>
          <w:szCs w:val="24"/>
          <w:highlight w:val="white"/>
        </w:rPr>
        <w:t xml:space="preserve">(4), pp.1054-1082. </w:t>
      </w:r>
      <w:hyperlink r:id="rId22">
        <w:r>
          <w:rPr>
            <w:rFonts w:ascii="Times New Roman" w:eastAsia="Times New Roman" w:hAnsi="Times New Roman" w:cs="Times New Roman"/>
            <w:color w:val="1155CC"/>
            <w:sz w:val="24"/>
            <w:szCs w:val="24"/>
            <w:highlight w:val="white"/>
            <w:u w:val="single"/>
          </w:rPr>
          <w:t>http://eprints.bournemouth.ac.uk/36248/1/JManpower%20PDF_Proof.PDF</w:t>
        </w:r>
      </w:hyperlink>
    </w:p>
    <w:sectPr w:rsidR="000947C2" w:rsidSect="001237AE">
      <w:headerReference w:type="even" r:id="rId23"/>
      <w:headerReference w:type="default" r:id="rId24"/>
      <w:footerReference w:type="even" r:id="rId25"/>
      <w:footerReference w:type="default" r:id="rId26"/>
      <w:headerReference w:type="first" r:id="rId27"/>
      <w:footerReference w:type="first" r:id="rId28"/>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5AA39" w14:textId="77777777" w:rsidR="00A81C1B" w:rsidRDefault="00A81C1B" w:rsidP="001237AE">
      <w:pPr>
        <w:spacing w:line="240" w:lineRule="auto"/>
      </w:pPr>
      <w:r>
        <w:separator/>
      </w:r>
    </w:p>
  </w:endnote>
  <w:endnote w:type="continuationSeparator" w:id="0">
    <w:p w14:paraId="47EB81C7" w14:textId="77777777" w:rsidR="00A81C1B" w:rsidRDefault="00A81C1B" w:rsidP="001237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12D48" w14:textId="77777777" w:rsidR="00073C62" w:rsidRDefault="00073C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0602029"/>
      <w:docPartObj>
        <w:docPartGallery w:val="Page Numbers (Bottom of Page)"/>
        <w:docPartUnique/>
      </w:docPartObj>
    </w:sdtPr>
    <w:sdtEndPr>
      <w:rPr>
        <w:noProof/>
      </w:rPr>
    </w:sdtEndPr>
    <w:sdtContent>
      <w:p w14:paraId="1CA82382" w14:textId="7D390888" w:rsidR="001237AE" w:rsidRDefault="001237AE">
        <w:pPr>
          <w:pStyle w:val="Footer"/>
          <w:jc w:val="right"/>
        </w:pPr>
        <w:r>
          <w:fldChar w:fldCharType="begin"/>
        </w:r>
        <w:r>
          <w:instrText xml:space="preserve"> PAGE   \* MERGEFORMAT </w:instrText>
        </w:r>
        <w:r>
          <w:fldChar w:fldCharType="separate"/>
        </w:r>
        <w:r w:rsidR="00073C62">
          <w:rPr>
            <w:noProof/>
          </w:rPr>
          <w:t>10</w:t>
        </w:r>
        <w:r>
          <w:rPr>
            <w:noProof/>
          </w:rPr>
          <w:fldChar w:fldCharType="end"/>
        </w:r>
      </w:p>
    </w:sdtContent>
  </w:sdt>
  <w:p w14:paraId="06690F1A" w14:textId="77777777" w:rsidR="001237AE" w:rsidRDefault="001237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23A7B" w14:textId="77777777" w:rsidR="00073C62" w:rsidRDefault="00073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8DBEE" w14:textId="77777777" w:rsidR="00A81C1B" w:rsidRDefault="00A81C1B" w:rsidP="001237AE">
      <w:pPr>
        <w:spacing w:line="240" w:lineRule="auto"/>
      </w:pPr>
      <w:r>
        <w:separator/>
      </w:r>
    </w:p>
  </w:footnote>
  <w:footnote w:type="continuationSeparator" w:id="0">
    <w:p w14:paraId="424FAA55" w14:textId="77777777" w:rsidR="00A81C1B" w:rsidRDefault="00A81C1B" w:rsidP="001237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7257B" w14:textId="77777777" w:rsidR="00073C62" w:rsidRDefault="00073C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E05A0" w14:textId="77777777" w:rsidR="00073C62" w:rsidRDefault="00073C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70657" w14:textId="77777777" w:rsidR="00073C62" w:rsidRDefault="00073C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5C7"/>
    <w:rsid w:val="00073C62"/>
    <w:rsid w:val="000947C2"/>
    <w:rsid w:val="001237AE"/>
    <w:rsid w:val="00220923"/>
    <w:rsid w:val="00425CEB"/>
    <w:rsid w:val="004B1CB5"/>
    <w:rsid w:val="006755E8"/>
    <w:rsid w:val="008215C7"/>
    <w:rsid w:val="0087010A"/>
    <w:rsid w:val="008A6EC9"/>
    <w:rsid w:val="009940AB"/>
    <w:rsid w:val="00A81C1B"/>
    <w:rsid w:val="00D8562C"/>
    <w:rsid w:val="00FA64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6A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pPr>
      <w:keepNext/>
      <w:keepLines/>
      <w:spacing w:before="360" w:after="120" w:line="360" w:lineRule="auto"/>
      <w:jc w:val="both"/>
      <w:outlineLvl w:val="1"/>
    </w:pPr>
    <w:rPr>
      <w:rFonts w:ascii="Times New Roman" w:eastAsia="Times New Roman" w:hAnsi="Times New Roman" w:cs="Times New Roman"/>
      <w:b/>
      <w:sz w:val="26"/>
      <w:szCs w:val="26"/>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1237AE"/>
    <w:pPr>
      <w:tabs>
        <w:tab w:val="center" w:pos="4513"/>
        <w:tab w:val="right" w:pos="9026"/>
      </w:tabs>
      <w:spacing w:line="240" w:lineRule="auto"/>
    </w:pPr>
  </w:style>
  <w:style w:type="character" w:customStyle="1" w:styleId="HeaderChar">
    <w:name w:val="Header Char"/>
    <w:basedOn w:val="DefaultParagraphFont"/>
    <w:link w:val="Header"/>
    <w:uiPriority w:val="99"/>
    <w:rsid w:val="001237AE"/>
  </w:style>
  <w:style w:type="paragraph" w:styleId="Footer">
    <w:name w:val="footer"/>
    <w:basedOn w:val="Normal"/>
    <w:link w:val="FooterChar"/>
    <w:uiPriority w:val="99"/>
    <w:unhideWhenUsed/>
    <w:rsid w:val="001237AE"/>
    <w:pPr>
      <w:tabs>
        <w:tab w:val="center" w:pos="4513"/>
        <w:tab w:val="right" w:pos="9026"/>
      </w:tabs>
      <w:spacing w:line="240" w:lineRule="auto"/>
    </w:pPr>
  </w:style>
  <w:style w:type="character" w:customStyle="1" w:styleId="FooterChar">
    <w:name w:val="Footer Char"/>
    <w:basedOn w:val="DefaultParagraphFont"/>
    <w:link w:val="Footer"/>
    <w:uiPriority w:val="99"/>
    <w:rsid w:val="001237AE"/>
  </w:style>
  <w:style w:type="paragraph" w:styleId="TOCHeading">
    <w:name w:val="TOC Heading"/>
    <w:basedOn w:val="Heading1"/>
    <w:next w:val="Normal"/>
    <w:uiPriority w:val="39"/>
    <w:unhideWhenUsed/>
    <w:qFormat/>
    <w:rsid w:val="001237A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237AE"/>
    <w:pPr>
      <w:spacing w:after="100"/>
    </w:pPr>
  </w:style>
  <w:style w:type="paragraph" w:styleId="TOC2">
    <w:name w:val="toc 2"/>
    <w:basedOn w:val="Normal"/>
    <w:next w:val="Normal"/>
    <w:autoRedefine/>
    <w:uiPriority w:val="39"/>
    <w:unhideWhenUsed/>
    <w:rsid w:val="001237AE"/>
    <w:pPr>
      <w:spacing w:after="100"/>
      <w:ind w:left="220"/>
    </w:pPr>
  </w:style>
  <w:style w:type="character" w:styleId="Hyperlink">
    <w:name w:val="Hyperlink"/>
    <w:basedOn w:val="DefaultParagraphFont"/>
    <w:uiPriority w:val="99"/>
    <w:unhideWhenUsed/>
    <w:rsid w:val="001237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hecannproject.org/wp-content/uploads/2020/10/Final-Digital-Journal-Cross-Border-Studies.pdf" TargetMode="External" /><Relationship Id="rId13" Type="http://schemas.openxmlformats.org/officeDocument/2006/relationships/hyperlink" Target="https://journals.plos.org/plosone/article?id=10.1371/journal.pone.0287342" TargetMode="External" /><Relationship Id="rId18" Type="http://schemas.openxmlformats.org/officeDocument/2006/relationships/hyperlink" Target="https://www.tandfonline.com/doi/pdf/10.1080/00343404.2021.1922663" TargetMode="External" /><Relationship Id="rId26" Type="http://schemas.openxmlformats.org/officeDocument/2006/relationships/footer" Target="footer2.xml" /><Relationship Id="rId3" Type="http://schemas.openxmlformats.org/officeDocument/2006/relationships/settings" Target="settings.xml" /><Relationship Id="rId21" Type="http://schemas.openxmlformats.org/officeDocument/2006/relationships/hyperlink" Target="https://link.springer.com/article/10.1007/s10734-020-00561-y" TargetMode="External" /><Relationship Id="rId7" Type="http://schemas.openxmlformats.org/officeDocument/2006/relationships/image" Target="media/image1.png" /><Relationship Id="rId12" Type="http://schemas.openxmlformats.org/officeDocument/2006/relationships/hyperlink" Target="https://link.springer.com/article/10.1007/s40812-020-00168-5" TargetMode="External" /><Relationship Id="rId17" Type="http://schemas.openxmlformats.org/officeDocument/2006/relationships/hyperlink" Target="https://www.demographic-research.org/volumes/vol43/47/43-47.pdf" TargetMode="External"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orca.cardiff.ac.uk/id/eprint/125500/1/NTWE%20Lloyd%20and%20Payne%20pre-proofs.pdf" TargetMode="External" /><Relationship Id="rId20" Type="http://schemas.openxmlformats.org/officeDocument/2006/relationships/hyperlink" Target="https://journals.uniurb.it/index.php/piccola/article/download/3207/3636"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mail.journalppw.com/index.php/jpsp/article/download/10406/6735" TargetMode="External" /><Relationship Id="rId24"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hyperlink" Target="https://www.sciencedirect.com/science/article/pii/S2352827320302883" TargetMode="External" /><Relationship Id="rId23" Type="http://schemas.openxmlformats.org/officeDocument/2006/relationships/header" Target="header1.xml" /><Relationship Id="rId28" Type="http://schemas.openxmlformats.org/officeDocument/2006/relationships/footer" Target="footer3.xml" /><Relationship Id="rId10" Type="http://schemas.openxmlformats.org/officeDocument/2006/relationships/hyperlink" Target="https://pubs.aeaweb.org/doi/pdf/10.1257/jep.34.1.94?section=review%3Fs%3Fs%3Fsection%3Dreview%3Fs%3Fs%3Fsection%3Dreview%3Fs%3Fs%3Fsection%3Dreview%3Fs%3Fs" TargetMode="External" /><Relationship Id="rId19" Type="http://schemas.openxmlformats.org/officeDocument/2006/relationships/hyperlink" Target="https://dspace.lib.cranfield.ac.uk/bitstream/handle/1826/16276/Post-Brexit_back-shoring_strategies-2021.pdf?sequence=6&amp;isAllowed=y" TargetMode="External" /><Relationship Id="rId4" Type="http://schemas.openxmlformats.org/officeDocument/2006/relationships/webSettings" Target="webSettings.xml" /><Relationship Id="rId9" Type="http://schemas.openxmlformats.org/officeDocument/2006/relationships/hyperlink" Target="https://dspace.stir.ac.uk/bitstream/1893/31481/1/final%20NIESR%20April%2017th%20covid-19%20bell%20blanchflower%202-3.pdf" TargetMode="External" /><Relationship Id="rId14" Type="http://schemas.openxmlformats.org/officeDocument/2006/relationships/hyperlink" Target="https://haqqi.s3.eu-north-1.amazonaws.com/2020-06/COVID.pdf" TargetMode="External" /><Relationship Id="rId22" Type="http://schemas.openxmlformats.org/officeDocument/2006/relationships/hyperlink" Target="http://eprints.bournemouth.ac.uk/36248/1/JManpower%20PDF_Proof.PDF" TargetMode="External" /><Relationship Id="rId27" Type="http://schemas.openxmlformats.org/officeDocument/2006/relationships/header" Target="header3.xml"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1DA8C-8580-4FFB-9673-9D83C2B049B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3526</Words>
  <Characters>20102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2023-08-22T18:39:00Z</dcterms:created>
  <dcterms:modified xsi:type="dcterms:W3CDTF">2023-08-22T18:39:00Z</dcterms:modified>
</cp:coreProperties>
</file>