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C51F9" w14:textId="77777777" w:rsidR="003B2E8F" w:rsidRDefault="0040420C" w:rsidP="000B2DE8">
      <w:pPr>
        <w:spacing w:line="360" w:lineRule="auto"/>
        <w:rPr>
          <w:rFonts w:asciiTheme="minorBidi" w:hAnsiTheme="minorBidi"/>
          <w:b/>
          <w:bCs/>
          <w:sz w:val="28"/>
          <w:szCs w:val="28"/>
        </w:rPr>
      </w:pPr>
      <w:r>
        <w:rPr>
          <w:rFonts w:asciiTheme="minorBidi" w:hAnsiTheme="minorBidi"/>
          <w:b/>
          <w:bCs/>
          <w:sz w:val="28"/>
          <w:szCs w:val="28"/>
        </w:rPr>
        <w:t xml:space="preserve">         </w:t>
      </w:r>
      <w:r w:rsidR="003B2E8F">
        <w:rPr>
          <w:rStyle w:val="wacimagecontainer"/>
          <w:rFonts w:ascii="Segoe UI" w:hAnsi="Segoe UI" w:cs="Segoe UI"/>
          <w:noProof/>
          <w:color w:val="000000"/>
          <w:sz w:val="18"/>
          <w:szCs w:val="18"/>
          <w:shd w:val="clear" w:color="auto" w:fill="FFFFFF"/>
        </w:rPr>
        <w:drawing>
          <wp:inline distT="0" distB="0" distL="0" distR="0" wp14:anchorId="09A3FB53" wp14:editId="72ED5147">
            <wp:extent cx="4783455" cy="3383127"/>
            <wp:effectExtent l="0" t="0" r="0" b="8255"/>
            <wp:docPr id="2" name="Picture 1" descr="A coat of arms with red dragons and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at of arms with red dragons and a shiel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3079" cy="3404079"/>
                    </a:xfrm>
                    <a:prstGeom prst="rect">
                      <a:avLst/>
                    </a:prstGeom>
                    <a:noFill/>
                    <a:ln>
                      <a:noFill/>
                    </a:ln>
                  </pic:spPr>
                </pic:pic>
              </a:graphicData>
            </a:graphic>
          </wp:inline>
        </w:drawing>
      </w:r>
    </w:p>
    <w:p w14:paraId="6649949B" w14:textId="3C0DC0F7" w:rsidR="00306747" w:rsidRPr="00F7246F" w:rsidRDefault="00306747" w:rsidP="00306747">
      <w:pPr>
        <w:rPr>
          <w:rFonts w:asciiTheme="minorBidi" w:hAnsiTheme="minorBidi"/>
          <w:b/>
          <w:bCs/>
          <w:sz w:val="28"/>
          <w:szCs w:val="28"/>
        </w:rPr>
      </w:pPr>
      <w:r>
        <w:rPr>
          <w:rFonts w:asciiTheme="minorBidi" w:hAnsiTheme="minorBidi"/>
          <w:b/>
          <w:bCs/>
          <w:sz w:val="28"/>
          <w:szCs w:val="28"/>
        </w:rPr>
        <w:t xml:space="preserve">                  </w:t>
      </w:r>
      <w:r w:rsidRPr="00F7246F">
        <w:rPr>
          <w:rFonts w:asciiTheme="minorBidi" w:hAnsiTheme="minorBidi"/>
          <w:b/>
          <w:bCs/>
          <w:sz w:val="28"/>
          <w:szCs w:val="28"/>
        </w:rPr>
        <w:t>From Reactive Support to Proactive Leadership</w:t>
      </w:r>
    </w:p>
    <w:p w14:paraId="2FD6E809" w14:textId="77777777" w:rsidR="00306747" w:rsidRPr="00F7246F" w:rsidRDefault="00306747" w:rsidP="00306747">
      <w:pPr>
        <w:jc w:val="center"/>
        <w:rPr>
          <w:rFonts w:asciiTheme="minorBidi" w:hAnsiTheme="minorBidi"/>
          <w:b/>
          <w:bCs/>
          <w:sz w:val="28"/>
          <w:szCs w:val="28"/>
        </w:rPr>
      </w:pPr>
      <w:r w:rsidRPr="00F7246F">
        <w:rPr>
          <w:rFonts w:asciiTheme="minorBidi" w:hAnsiTheme="minorBidi"/>
          <w:b/>
          <w:bCs/>
          <w:sz w:val="28"/>
          <w:szCs w:val="28"/>
        </w:rPr>
        <w:t xml:space="preserve"> University Strategies for Supporting Student Well-Being,</w:t>
      </w:r>
    </w:p>
    <w:p w14:paraId="6290600F" w14:textId="77777777" w:rsidR="00306747" w:rsidRPr="00B14741" w:rsidRDefault="00306747" w:rsidP="00306747">
      <w:pPr>
        <w:spacing w:line="360" w:lineRule="auto"/>
        <w:ind w:left="1440"/>
        <w:jc w:val="both"/>
        <w:rPr>
          <w:rFonts w:asciiTheme="minorBidi" w:hAnsiTheme="minorBidi"/>
          <w:b/>
          <w:bCs/>
          <w:sz w:val="28"/>
          <w:szCs w:val="28"/>
        </w:rPr>
      </w:pPr>
      <w:r w:rsidRPr="00B14741">
        <w:rPr>
          <w:rFonts w:asciiTheme="minorBidi" w:hAnsiTheme="minorBidi"/>
          <w:b/>
          <w:bCs/>
        </w:rPr>
        <w:t xml:space="preserve"> </w:t>
      </w:r>
      <w:r w:rsidRPr="00B14741">
        <w:rPr>
          <w:rFonts w:asciiTheme="minorBidi" w:hAnsiTheme="minorBidi"/>
          <w:b/>
          <w:bCs/>
          <w:sz w:val="28"/>
          <w:szCs w:val="28"/>
        </w:rPr>
        <w:t>Including Chronic Illness and Mental Health.</w:t>
      </w:r>
    </w:p>
    <w:p w14:paraId="71E12B5D" w14:textId="77777777" w:rsidR="00306747" w:rsidRDefault="00306747" w:rsidP="003B2E8F">
      <w:pPr>
        <w:spacing w:line="360" w:lineRule="auto"/>
        <w:ind w:left="720"/>
        <w:rPr>
          <w:rFonts w:asciiTheme="minorBidi" w:hAnsiTheme="minorBidi"/>
          <w:b/>
          <w:bCs/>
        </w:rPr>
      </w:pPr>
    </w:p>
    <w:p w14:paraId="4111A4C9" w14:textId="081402AF" w:rsidR="003B2E8F" w:rsidRPr="007D3BB7" w:rsidRDefault="0064416A" w:rsidP="0064416A">
      <w:pPr>
        <w:spacing w:line="360" w:lineRule="auto"/>
        <w:rPr>
          <w:rFonts w:asciiTheme="minorBidi" w:hAnsiTheme="minorBidi"/>
          <w:b/>
          <w:bCs/>
        </w:rPr>
      </w:pPr>
      <w:r>
        <w:rPr>
          <w:rFonts w:asciiTheme="minorBidi" w:hAnsiTheme="minorBidi"/>
          <w:b/>
          <w:bCs/>
        </w:rPr>
        <w:t xml:space="preserve">                               </w:t>
      </w:r>
      <w:r w:rsidR="003B2E8F" w:rsidRPr="007D3BB7">
        <w:rPr>
          <w:rFonts w:asciiTheme="minorBidi" w:hAnsiTheme="minorBidi"/>
          <w:b/>
          <w:bCs/>
        </w:rPr>
        <w:t>University of Wales Trinity Saint David</w:t>
      </w:r>
    </w:p>
    <w:p w14:paraId="5CEB7913" w14:textId="0B7B372D" w:rsidR="003B2E8F" w:rsidRPr="007D3BB7" w:rsidRDefault="00D32D97" w:rsidP="00D32D97">
      <w:pPr>
        <w:spacing w:line="360" w:lineRule="auto"/>
        <w:rPr>
          <w:rFonts w:asciiTheme="minorBidi" w:hAnsiTheme="minorBidi"/>
          <w:b/>
          <w:bCs/>
        </w:rPr>
      </w:pPr>
      <w:r>
        <w:rPr>
          <w:rFonts w:asciiTheme="minorBidi" w:hAnsiTheme="minorBidi"/>
          <w:b/>
          <w:bCs/>
        </w:rPr>
        <w:t xml:space="preserve">                                 </w:t>
      </w:r>
      <w:r w:rsidR="003B3109">
        <w:rPr>
          <w:rFonts w:asciiTheme="minorBidi" w:hAnsiTheme="minorBidi"/>
          <w:b/>
          <w:bCs/>
        </w:rPr>
        <w:t xml:space="preserve">  </w:t>
      </w:r>
      <w:r w:rsidR="003B2E8F" w:rsidRPr="007D3BB7">
        <w:rPr>
          <w:rFonts w:asciiTheme="minorBidi" w:hAnsiTheme="minorBidi"/>
          <w:b/>
          <w:bCs/>
        </w:rPr>
        <w:t>BA Leadership and Management</w:t>
      </w:r>
    </w:p>
    <w:p w14:paraId="70FCF2C6" w14:textId="4C88D59E" w:rsidR="000F4F4A" w:rsidRPr="000F4F4A" w:rsidRDefault="003B3109" w:rsidP="003B3109">
      <w:pPr>
        <w:spacing w:line="360" w:lineRule="auto"/>
        <w:rPr>
          <w:rFonts w:asciiTheme="minorBidi" w:hAnsiTheme="minorBidi"/>
          <w:b/>
          <w:bCs/>
        </w:rPr>
      </w:pPr>
      <w:r>
        <w:rPr>
          <w:rFonts w:asciiTheme="minorBidi" w:hAnsiTheme="minorBidi"/>
          <w:b/>
          <w:bCs/>
        </w:rPr>
        <w:t xml:space="preserve">                            </w:t>
      </w:r>
      <w:r w:rsidR="003B2E8F" w:rsidRPr="007D3BB7">
        <w:rPr>
          <w:rFonts w:asciiTheme="minorBidi" w:hAnsiTheme="minorBidi"/>
          <w:b/>
          <w:bCs/>
        </w:rPr>
        <w:t>Module:</w:t>
      </w:r>
      <w:r w:rsidR="000F4F4A" w:rsidRPr="000F4F4A">
        <w:rPr>
          <w:rFonts w:ascii="Segoe UI" w:eastAsia="Times New Roman" w:hAnsi="Segoe UI" w:cs="Segoe UI"/>
          <w:b/>
          <w:bCs/>
          <w:color w:val="FFFFFF"/>
          <w:kern w:val="36"/>
          <w:sz w:val="48"/>
          <w:szCs w:val="48"/>
          <w:lang w:eastAsia="en-GB"/>
          <w14:ligatures w14:val="none"/>
        </w:rPr>
        <w:t xml:space="preserve"> </w:t>
      </w:r>
      <w:r w:rsidR="000F4F4A" w:rsidRPr="000F4F4A">
        <w:rPr>
          <w:rFonts w:asciiTheme="minorBidi" w:hAnsiTheme="minorBidi"/>
          <w:b/>
          <w:bCs/>
        </w:rPr>
        <w:t xml:space="preserve">Developing a Research Proposal </w:t>
      </w:r>
    </w:p>
    <w:p w14:paraId="5D4B5E79" w14:textId="4BD3D285" w:rsidR="003B2E8F" w:rsidRPr="007D3BB7" w:rsidRDefault="000F4F4A" w:rsidP="00CC07B3">
      <w:pPr>
        <w:spacing w:line="360" w:lineRule="auto"/>
        <w:ind w:left="720"/>
        <w:rPr>
          <w:rFonts w:asciiTheme="minorBidi" w:hAnsiTheme="minorBidi"/>
          <w:b/>
          <w:bCs/>
        </w:rPr>
      </w:pPr>
      <w:r>
        <w:rPr>
          <w:rFonts w:asciiTheme="minorBidi" w:hAnsiTheme="minorBidi"/>
          <w:b/>
          <w:bCs/>
        </w:rPr>
        <w:t xml:space="preserve">                          </w:t>
      </w:r>
      <w:r w:rsidR="003B3109">
        <w:rPr>
          <w:rFonts w:asciiTheme="minorBidi" w:hAnsiTheme="minorBidi"/>
          <w:b/>
          <w:bCs/>
        </w:rPr>
        <w:t xml:space="preserve"> </w:t>
      </w:r>
      <w:r w:rsidR="003B2E8F" w:rsidRPr="007D3BB7">
        <w:rPr>
          <w:rFonts w:asciiTheme="minorBidi" w:hAnsiTheme="minorBidi"/>
          <w:b/>
          <w:bCs/>
        </w:rPr>
        <w:t xml:space="preserve">Module Tutor: </w:t>
      </w:r>
      <w:r w:rsidR="00215506" w:rsidRPr="00215506">
        <w:rPr>
          <w:rFonts w:asciiTheme="minorBidi" w:hAnsiTheme="minorBidi"/>
          <w:b/>
          <w:bCs/>
        </w:rPr>
        <w:t> Jaliya de Silva</w:t>
      </w:r>
    </w:p>
    <w:p w14:paraId="2F74265E" w14:textId="361D64E0" w:rsidR="003B2E8F" w:rsidRPr="00DE122F" w:rsidRDefault="003B3109" w:rsidP="003B3109">
      <w:pPr>
        <w:spacing w:line="360" w:lineRule="auto"/>
        <w:rPr>
          <w:rFonts w:asciiTheme="minorBidi" w:hAnsiTheme="minorBidi"/>
          <w:b/>
          <w:bCs/>
        </w:rPr>
      </w:pPr>
      <w:r>
        <w:rPr>
          <w:rFonts w:asciiTheme="minorBidi" w:hAnsiTheme="minorBidi"/>
          <w:b/>
          <w:bCs/>
        </w:rPr>
        <w:t xml:space="preserve">                                     </w:t>
      </w:r>
      <w:r w:rsidR="003B2E8F" w:rsidRPr="00DE122F">
        <w:rPr>
          <w:rFonts w:asciiTheme="minorBidi" w:hAnsiTheme="minorBidi"/>
          <w:b/>
          <w:bCs/>
        </w:rPr>
        <w:t>Student Name: Salma Farache</w:t>
      </w:r>
    </w:p>
    <w:p w14:paraId="15F0B8E5" w14:textId="77777777" w:rsidR="003B2E8F" w:rsidRPr="00DE122F" w:rsidRDefault="003B2E8F" w:rsidP="00CC07B3">
      <w:pPr>
        <w:spacing w:line="360" w:lineRule="auto"/>
        <w:ind w:left="2880"/>
        <w:rPr>
          <w:rFonts w:asciiTheme="minorBidi" w:hAnsiTheme="minorBidi"/>
          <w:b/>
          <w:bCs/>
        </w:rPr>
      </w:pPr>
      <w:r w:rsidRPr="00DE122F">
        <w:rPr>
          <w:rFonts w:asciiTheme="minorBidi" w:hAnsiTheme="minorBidi"/>
          <w:b/>
          <w:bCs/>
        </w:rPr>
        <w:t xml:space="preserve">Student ID: </w:t>
      </w:r>
      <w:r>
        <w:rPr>
          <w:rFonts w:asciiTheme="minorBidi" w:hAnsiTheme="minorBidi"/>
          <w:b/>
          <w:bCs/>
        </w:rPr>
        <w:t>2408621</w:t>
      </w:r>
    </w:p>
    <w:p w14:paraId="322C60F4" w14:textId="58CAFD3C" w:rsidR="003B2E8F" w:rsidRPr="00DE122F" w:rsidRDefault="0059186E" w:rsidP="00CC07B3">
      <w:pPr>
        <w:spacing w:line="360" w:lineRule="auto"/>
        <w:ind w:left="2880"/>
        <w:rPr>
          <w:rFonts w:asciiTheme="minorBidi" w:hAnsiTheme="minorBidi"/>
          <w:b/>
          <w:bCs/>
        </w:rPr>
      </w:pPr>
      <w:r>
        <w:rPr>
          <w:rFonts w:asciiTheme="minorBidi" w:hAnsiTheme="minorBidi"/>
          <w:b/>
          <w:bCs/>
        </w:rPr>
        <w:t xml:space="preserve"> </w:t>
      </w:r>
      <w:r w:rsidR="003B2E8F" w:rsidRPr="00DE122F">
        <w:rPr>
          <w:rFonts w:asciiTheme="minorBidi" w:hAnsiTheme="minorBidi"/>
          <w:b/>
          <w:bCs/>
        </w:rPr>
        <w:t xml:space="preserve">Assignment: </w:t>
      </w:r>
      <w:r w:rsidR="003B2E8F">
        <w:rPr>
          <w:rFonts w:asciiTheme="minorBidi" w:hAnsiTheme="minorBidi"/>
          <w:b/>
          <w:bCs/>
        </w:rPr>
        <w:t>Report</w:t>
      </w:r>
    </w:p>
    <w:p w14:paraId="6B904BC0" w14:textId="1D3085DD" w:rsidR="003B2E8F" w:rsidRPr="00DE122F" w:rsidRDefault="0059186E" w:rsidP="00CC07B3">
      <w:pPr>
        <w:spacing w:line="360" w:lineRule="auto"/>
        <w:ind w:left="2880"/>
        <w:rPr>
          <w:rFonts w:asciiTheme="minorBidi" w:hAnsiTheme="minorBidi"/>
          <w:b/>
          <w:bCs/>
        </w:rPr>
      </w:pPr>
      <w:r>
        <w:rPr>
          <w:rFonts w:asciiTheme="minorBidi" w:hAnsiTheme="minorBidi"/>
          <w:b/>
          <w:bCs/>
        </w:rPr>
        <w:t xml:space="preserve">    </w:t>
      </w:r>
      <w:r w:rsidR="003B2E8F" w:rsidRPr="00DE122F">
        <w:rPr>
          <w:rFonts w:asciiTheme="minorBidi" w:hAnsiTheme="minorBidi"/>
          <w:b/>
          <w:bCs/>
        </w:rPr>
        <w:t>Date:</w:t>
      </w:r>
      <w:r w:rsidR="00EA4C97">
        <w:rPr>
          <w:rFonts w:asciiTheme="minorBidi" w:hAnsiTheme="minorBidi"/>
          <w:b/>
          <w:bCs/>
        </w:rPr>
        <w:t>28</w:t>
      </w:r>
      <w:r w:rsidR="003B2E8F">
        <w:rPr>
          <w:rFonts w:asciiTheme="minorBidi" w:hAnsiTheme="minorBidi"/>
          <w:b/>
          <w:bCs/>
        </w:rPr>
        <w:t>/0</w:t>
      </w:r>
      <w:r w:rsidR="00EA4C97">
        <w:rPr>
          <w:rFonts w:asciiTheme="minorBidi" w:hAnsiTheme="minorBidi"/>
          <w:b/>
          <w:bCs/>
        </w:rPr>
        <w:t>6</w:t>
      </w:r>
      <w:r w:rsidR="003B2E8F">
        <w:rPr>
          <w:rFonts w:asciiTheme="minorBidi" w:hAnsiTheme="minorBidi"/>
          <w:b/>
          <w:bCs/>
        </w:rPr>
        <w:t>/2026</w:t>
      </w:r>
    </w:p>
    <w:p w14:paraId="19B70029" w14:textId="3F76072A" w:rsidR="003B2E8F" w:rsidRPr="00DE122F" w:rsidRDefault="0059186E" w:rsidP="00CC07B3">
      <w:pPr>
        <w:spacing w:line="360" w:lineRule="auto"/>
        <w:ind w:left="2880"/>
        <w:rPr>
          <w:rFonts w:asciiTheme="minorBidi" w:hAnsiTheme="minorBidi"/>
          <w:b/>
          <w:bCs/>
        </w:rPr>
      </w:pPr>
      <w:r>
        <w:rPr>
          <w:rFonts w:asciiTheme="minorBidi" w:hAnsiTheme="minorBidi"/>
          <w:b/>
          <w:bCs/>
        </w:rPr>
        <w:t xml:space="preserve">   </w:t>
      </w:r>
      <w:r w:rsidR="003B2E8F" w:rsidRPr="00DE122F">
        <w:rPr>
          <w:rFonts w:asciiTheme="minorBidi" w:hAnsiTheme="minorBidi"/>
          <w:b/>
          <w:bCs/>
        </w:rPr>
        <w:t xml:space="preserve">Word Count: </w:t>
      </w:r>
      <w:r w:rsidR="007D5669">
        <w:rPr>
          <w:rFonts w:asciiTheme="minorBidi" w:hAnsiTheme="minorBidi"/>
          <w:b/>
          <w:bCs/>
        </w:rPr>
        <w:t>2</w:t>
      </w:r>
      <w:r w:rsidR="00386FD9">
        <w:rPr>
          <w:rFonts w:asciiTheme="minorBidi" w:hAnsiTheme="minorBidi"/>
          <w:b/>
          <w:bCs/>
        </w:rPr>
        <w:t>200</w:t>
      </w:r>
    </w:p>
    <w:p w14:paraId="1A0B8D8F" w14:textId="1C8DDEAB" w:rsidR="003B2E8F" w:rsidRDefault="003B2E8F" w:rsidP="00CC07B3">
      <w:pPr>
        <w:ind w:left="720"/>
        <w:rPr>
          <w:rFonts w:asciiTheme="minorBidi" w:hAnsiTheme="minorBidi"/>
          <w:b/>
          <w:bCs/>
          <w:sz w:val="28"/>
          <w:szCs w:val="28"/>
        </w:rPr>
      </w:pPr>
    </w:p>
    <w:p w14:paraId="3898EAF9" w14:textId="77777777" w:rsidR="003B2E8F" w:rsidRDefault="003B2E8F" w:rsidP="00CC07B3">
      <w:pPr>
        <w:rPr>
          <w:rFonts w:asciiTheme="minorBidi" w:hAnsiTheme="minorBidi"/>
          <w:b/>
          <w:bCs/>
          <w:sz w:val="28"/>
          <w:szCs w:val="28"/>
        </w:rPr>
      </w:pPr>
    </w:p>
    <w:p w14:paraId="56AD5052" w14:textId="77777777" w:rsidR="003B2E8F" w:rsidRDefault="003B2E8F" w:rsidP="0040420C">
      <w:pPr>
        <w:rPr>
          <w:rFonts w:asciiTheme="minorBidi" w:hAnsiTheme="minorBidi"/>
          <w:b/>
          <w:bCs/>
          <w:sz w:val="28"/>
          <w:szCs w:val="28"/>
        </w:rPr>
      </w:pPr>
    </w:p>
    <w:p w14:paraId="5F49486B" w14:textId="77777777" w:rsidR="003B2E8F" w:rsidRDefault="003B2E8F" w:rsidP="0040420C">
      <w:pPr>
        <w:rPr>
          <w:rFonts w:asciiTheme="minorBidi" w:hAnsiTheme="minorBidi"/>
          <w:b/>
          <w:bCs/>
          <w:sz w:val="28"/>
          <w:szCs w:val="28"/>
        </w:rPr>
      </w:pPr>
    </w:p>
    <w:p w14:paraId="25EFDC31" w14:textId="77777777" w:rsidR="003B2E8F" w:rsidRDefault="003B2E8F" w:rsidP="0040420C">
      <w:pPr>
        <w:rPr>
          <w:rFonts w:asciiTheme="minorBidi" w:hAnsiTheme="minorBidi"/>
          <w:b/>
          <w:bCs/>
          <w:sz w:val="28"/>
          <w:szCs w:val="28"/>
        </w:rPr>
      </w:pPr>
    </w:p>
    <w:p w14:paraId="373F8817" w14:textId="77777777" w:rsidR="0059186E" w:rsidRDefault="0059186E" w:rsidP="0040420C">
      <w:pPr>
        <w:rPr>
          <w:rFonts w:asciiTheme="minorBidi" w:hAnsiTheme="minorBidi"/>
          <w:b/>
          <w:bCs/>
          <w:sz w:val="28"/>
          <w:szCs w:val="28"/>
        </w:rPr>
      </w:pPr>
    </w:p>
    <w:p w14:paraId="71933486" w14:textId="77777777" w:rsidR="00653B34" w:rsidRDefault="003B2E8F" w:rsidP="0040420C">
      <w:pPr>
        <w:rPr>
          <w:rFonts w:asciiTheme="minorBidi" w:hAnsiTheme="minorBidi"/>
          <w:b/>
          <w:bCs/>
          <w:sz w:val="28"/>
          <w:szCs w:val="28"/>
        </w:rPr>
      </w:pPr>
      <w:r>
        <w:rPr>
          <w:rFonts w:asciiTheme="minorBidi" w:hAnsiTheme="minorBidi"/>
          <w:b/>
          <w:bCs/>
          <w:sz w:val="28"/>
          <w:szCs w:val="28"/>
        </w:rPr>
        <w:t xml:space="preserve">            </w:t>
      </w:r>
    </w:p>
    <w:p w14:paraId="0755D94B" w14:textId="77777777" w:rsidR="00725FEE" w:rsidRDefault="00653B34" w:rsidP="0040420C">
      <w:pPr>
        <w:rPr>
          <w:rFonts w:asciiTheme="minorBidi" w:hAnsiTheme="minorBidi"/>
          <w:b/>
          <w:bCs/>
          <w:sz w:val="28"/>
          <w:szCs w:val="28"/>
        </w:rPr>
      </w:pPr>
      <w:r>
        <w:rPr>
          <w:rFonts w:asciiTheme="minorBidi" w:hAnsiTheme="minorBidi"/>
          <w:b/>
          <w:bCs/>
          <w:sz w:val="28"/>
          <w:szCs w:val="28"/>
        </w:rPr>
        <w:t xml:space="preserve">         </w:t>
      </w:r>
    </w:p>
    <w:sdt>
      <w:sdtPr>
        <w:rPr>
          <w:rFonts w:asciiTheme="minorHAnsi" w:eastAsiaTheme="minorEastAsia" w:hAnsiTheme="minorHAnsi" w:cs="Times New Roman"/>
          <w:color w:val="auto"/>
          <w:sz w:val="22"/>
          <w:szCs w:val="22"/>
        </w:rPr>
        <w:id w:val="765580796"/>
        <w:docPartObj>
          <w:docPartGallery w:val="Table of Contents"/>
          <w:docPartUnique/>
        </w:docPartObj>
      </w:sdtPr>
      <w:sdtEndPr/>
      <w:sdtContent>
        <w:p w14:paraId="037DBB89" w14:textId="24F2EF3F" w:rsidR="00725FEE" w:rsidRDefault="00725FEE">
          <w:pPr>
            <w:pStyle w:val="TOCHeading"/>
          </w:pPr>
          <w:r>
            <w:t>Table of Contents</w:t>
          </w:r>
        </w:p>
        <w:p w14:paraId="344F6F78" w14:textId="4324C87D" w:rsidR="00995936" w:rsidRPr="00995936" w:rsidRDefault="00995936" w:rsidP="003A659D">
          <w:pPr>
            <w:pStyle w:val="TOC1"/>
            <w:numPr>
              <w:ilvl w:val="0"/>
              <w:numId w:val="11"/>
            </w:numPr>
          </w:pPr>
          <w:r w:rsidRPr="00995936">
            <w:t xml:space="preserve"> Introduction </w:t>
          </w:r>
          <w:r w:rsidR="00320170">
            <w:t>………………………………………………………………………………………………….</w:t>
          </w:r>
          <w:r w:rsidR="00EE69BA">
            <w:t>3</w:t>
          </w:r>
        </w:p>
        <w:p w14:paraId="66742728" w14:textId="4CA274EC" w:rsidR="00995936" w:rsidRPr="00995936" w:rsidRDefault="00995936" w:rsidP="00E52199">
          <w:pPr>
            <w:pStyle w:val="TOC1"/>
            <w:numPr>
              <w:ilvl w:val="0"/>
              <w:numId w:val="11"/>
            </w:numPr>
          </w:pPr>
          <w:r w:rsidRPr="00995936">
            <w:t xml:space="preserve"> Aim of the Research</w:t>
          </w:r>
          <w:r w:rsidR="00EE69BA">
            <w:t>……………………………………………………………………………………….4</w:t>
          </w:r>
          <w:r w:rsidRPr="00995936">
            <w:t xml:space="preserve"> </w:t>
          </w:r>
        </w:p>
        <w:p w14:paraId="110F1E33" w14:textId="1EDBCF43" w:rsidR="00995936" w:rsidRPr="00995936" w:rsidRDefault="00995936" w:rsidP="00E52199">
          <w:pPr>
            <w:pStyle w:val="TOC1"/>
            <w:numPr>
              <w:ilvl w:val="0"/>
              <w:numId w:val="11"/>
            </w:numPr>
          </w:pPr>
          <w:r w:rsidRPr="00995936">
            <w:t xml:space="preserve">  Research Objectives </w:t>
          </w:r>
          <w:r w:rsidR="00EE69BA">
            <w:t>…………………………………………………………………………………</w:t>
          </w:r>
          <w:r w:rsidR="00355D1F">
            <w:t>….</w:t>
          </w:r>
          <w:r w:rsidR="00EE69BA">
            <w:t>4</w:t>
          </w:r>
        </w:p>
        <w:p w14:paraId="0C0636E3" w14:textId="225164EC" w:rsidR="00995936" w:rsidRPr="00995936" w:rsidRDefault="00995936" w:rsidP="00E52199">
          <w:pPr>
            <w:pStyle w:val="TOC1"/>
            <w:numPr>
              <w:ilvl w:val="0"/>
              <w:numId w:val="11"/>
            </w:numPr>
          </w:pPr>
          <w:r w:rsidRPr="00995936">
            <w:t xml:space="preserve">  Research Questions </w:t>
          </w:r>
          <w:r w:rsidR="00EE69BA">
            <w:t>………………………………………………………………………………………4</w:t>
          </w:r>
        </w:p>
        <w:p w14:paraId="65746A52" w14:textId="1C66725F" w:rsidR="00995936" w:rsidRPr="00995936" w:rsidRDefault="00995936" w:rsidP="00E52199">
          <w:pPr>
            <w:pStyle w:val="TOC1"/>
            <w:numPr>
              <w:ilvl w:val="0"/>
              <w:numId w:val="11"/>
            </w:numPr>
          </w:pPr>
          <w:r w:rsidRPr="00995936">
            <w:t xml:space="preserve">  Literature Review </w:t>
          </w:r>
          <w:r w:rsidR="00EE69BA">
            <w:t>………………………………………………………………………………………….5</w:t>
          </w:r>
        </w:p>
        <w:p w14:paraId="3E1FAD0C" w14:textId="096A754B" w:rsidR="00995936" w:rsidRPr="00995936" w:rsidRDefault="00995936" w:rsidP="0058151A">
          <w:pPr>
            <w:pStyle w:val="TOC1"/>
            <w:numPr>
              <w:ilvl w:val="0"/>
              <w:numId w:val="11"/>
            </w:numPr>
          </w:pPr>
          <w:r w:rsidRPr="00995936">
            <w:t xml:space="preserve">Research Methodology </w:t>
          </w:r>
          <w:r w:rsidR="00EE69BA">
            <w:t>……………………………………………………………………………………</w:t>
          </w:r>
          <w:r w:rsidR="00E459D0">
            <w:t>7</w:t>
          </w:r>
        </w:p>
        <w:p w14:paraId="603E765B" w14:textId="34EE4673" w:rsidR="00995936" w:rsidRPr="00995936" w:rsidRDefault="00995936" w:rsidP="00354A56">
          <w:pPr>
            <w:pStyle w:val="TOC1"/>
            <w:numPr>
              <w:ilvl w:val="0"/>
              <w:numId w:val="11"/>
            </w:numPr>
          </w:pPr>
          <w:r w:rsidRPr="00995936">
            <w:t xml:space="preserve"> Ethical Considerations</w:t>
          </w:r>
          <w:r w:rsidR="006C29A2">
            <w:t>……………………………………………………………………………………</w:t>
          </w:r>
          <w:r w:rsidR="009A69FB">
            <w:t>9</w:t>
          </w:r>
        </w:p>
        <w:p w14:paraId="574F6875" w14:textId="03691C9D" w:rsidR="00995936" w:rsidRPr="00995936" w:rsidRDefault="00995936" w:rsidP="00354A56">
          <w:pPr>
            <w:pStyle w:val="TOC1"/>
            <w:numPr>
              <w:ilvl w:val="0"/>
              <w:numId w:val="11"/>
            </w:numPr>
          </w:pPr>
          <w:r w:rsidRPr="00995936">
            <w:t xml:space="preserve"> Trustworthiness </w:t>
          </w:r>
          <w:r w:rsidR="006C29A2">
            <w:t>……………………………………………………………………………………………</w:t>
          </w:r>
          <w:r w:rsidR="009A69FB">
            <w:t>10</w:t>
          </w:r>
        </w:p>
        <w:p w14:paraId="1C6743D2" w14:textId="5830DA53" w:rsidR="00995936" w:rsidRPr="00995936" w:rsidRDefault="00995936" w:rsidP="00354A56">
          <w:pPr>
            <w:pStyle w:val="TOC1"/>
            <w:numPr>
              <w:ilvl w:val="0"/>
              <w:numId w:val="11"/>
            </w:numPr>
          </w:pPr>
          <w:r w:rsidRPr="00995936">
            <w:t xml:space="preserve"> Research Limitations </w:t>
          </w:r>
          <w:r w:rsidR="006C29A2">
            <w:t>……………………………………………………………………………………</w:t>
          </w:r>
          <w:r w:rsidR="00202BFF">
            <w:t>.</w:t>
          </w:r>
          <w:r w:rsidR="00A5128B">
            <w:t>10</w:t>
          </w:r>
        </w:p>
        <w:p w14:paraId="40A197AC" w14:textId="21B5D03A" w:rsidR="00995936" w:rsidRPr="00995936" w:rsidRDefault="00995936" w:rsidP="00354A56">
          <w:pPr>
            <w:pStyle w:val="TOC1"/>
            <w:numPr>
              <w:ilvl w:val="0"/>
              <w:numId w:val="11"/>
            </w:numPr>
          </w:pPr>
          <w:r w:rsidRPr="00995936">
            <w:t xml:space="preserve"> Project Plan</w:t>
          </w:r>
          <w:r w:rsidR="00202BFF">
            <w:t>………………………………………………………………………………………………</w:t>
          </w:r>
          <w:r w:rsidR="003213D6">
            <w:t>….</w:t>
          </w:r>
          <w:r w:rsidR="00A5128B">
            <w:t>11</w:t>
          </w:r>
          <w:r w:rsidRPr="00995936">
            <w:t xml:space="preserve"> </w:t>
          </w:r>
        </w:p>
        <w:p w14:paraId="124466CC" w14:textId="028ADF77" w:rsidR="00995936" w:rsidRPr="00995936" w:rsidRDefault="00995936" w:rsidP="00354A56">
          <w:pPr>
            <w:pStyle w:val="TOC1"/>
            <w:numPr>
              <w:ilvl w:val="0"/>
              <w:numId w:val="11"/>
            </w:numPr>
          </w:pPr>
          <w:r w:rsidRPr="00995936">
            <w:t xml:space="preserve"> Timeline/Gantt Chart </w:t>
          </w:r>
          <w:r w:rsidR="003213D6">
            <w:t>…………………………………………………………………………………….1</w:t>
          </w:r>
          <w:r w:rsidR="00A5128B">
            <w:t>1</w:t>
          </w:r>
        </w:p>
        <w:p w14:paraId="75D89274" w14:textId="11CC46FB" w:rsidR="00725FEE" w:rsidRDefault="00995936" w:rsidP="00354A56">
          <w:pPr>
            <w:pStyle w:val="TOC1"/>
            <w:numPr>
              <w:ilvl w:val="0"/>
              <w:numId w:val="11"/>
            </w:numPr>
          </w:pPr>
          <w:r w:rsidRPr="00995936">
            <w:t xml:space="preserve"> References</w:t>
          </w:r>
          <w:r w:rsidR="003213D6">
            <w:t>………………………………………………………………………………………………</w:t>
          </w:r>
          <w:r w:rsidR="00EB69B0">
            <w:t>…</w:t>
          </w:r>
          <w:r w:rsidR="00A5128B">
            <w:t>…12</w:t>
          </w:r>
        </w:p>
      </w:sdtContent>
    </w:sdt>
    <w:p w14:paraId="0AA14F58" w14:textId="77B574FC" w:rsidR="009F6D56" w:rsidRDefault="009F6D56" w:rsidP="0040420C">
      <w:pPr>
        <w:rPr>
          <w:rFonts w:asciiTheme="minorBidi" w:hAnsiTheme="minorBidi"/>
          <w:b/>
          <w:bCs/>
          <w:sz w:val="28"/>
          <w:szCs w:val="28"/>
        </w:rPr>
      </w:pPr>
    </w:p>
    <w:p w14:paraId="2CD53DB7" w14:textId="77777777" w:rsidR="009F6D56" w:rsidRDefault="009F6D56" w:rsidP="0040420C">
      <w:pPr>
        <w:rPr>
          <w:rFonts w:asciiTheme="minorBidi" w:hAnsiTheme="minorBidi"/>
          <w:b/>
          <w:bCs/>
          <w:sz w:val="28"/>
          <w:szCs w:val="28"/>
        </w:rPr>
      </w:pPr>
    </w:p>
    <w:p w14:paraId="16CE1763" w14:textId="77777777" w:rsidR="009F6D56" w:rsidRDefault="009F6D56" w:rsidP="0040420C">
      <w:pPr>
        <w:rPr>
          <w:rFonts w:asciiTheme="minorBidi" w:hAnsiTheme="minorBidi"/>
          <w:b/>
          <w:bCs/>
          <w:sz w:val="28"/>
          <w:szCs w:val="28"/>
        </w:rPr>
      </w:pPr>
    </w:p>
    <w:p w14:paraId="448CDA36" w14:textId="77777777" w:rsidR="009F6D56" w:rsidRDefault="009F6D56" w:rsidP="0040420C">
      <w:pPr>
        <w:rPr>
          <w:rFonts w:asciiTheme="minorBidi" w:hAnsiTheme="minorBidi"/>
          <w:b/>
          <w:bCs/>
          <w:sz w:val="28"/>
          <w:szCs w:val="28"/>
        </w:rPr>
      </w:pPr>
    </w:p>
    <w:p w14:paraId="02DB1340" w14:textId="77777777" w:rsidR="009F6D56" w:rsidRDefault="009F6D56" w:rsidP="0040420C">
      <w:pPr>
        <w:rPr>
          <w:rFonts w:asciiTheme="minorBidi" w:hAnsiTheme="minorBidi"/>
          <w:b/>
          <w:bCs/>
          <w:sz w:val="28"/>
          <w:szCs w:val="28"/>
        </w:rPr>
      </w:pPr>
    </w:p>
    <w:p w14:paraId="679751A4" w14:textId="77777777" w:rsidR="009F6D56" w:rsidRDefault="009F6D56" w:rsidP="0040420C">
      <w:pPr>
        <w:rPr>
          <w:rFonts w:asciiTheme="minorBidi" w:hAnsiTheme="minorBidi"/>
          <w:b/>
          <w:bCs/>
          <w:sz w:val="28"/>
          <w:szCs w:val="28"/>
        </w:rPr>
      </w:pPr>
    </w:p>
    <w:p w14:paraId="0586FE1E" w14:textId="77777777" w:rsidR="009F6D56" w:rsidRDefault="009F6D56" w:rsidP="0040420C">
      <w:pPr>
        <w:rPr>
          <w:rFonts w:asciiTheme="minorBidi" w:hAnsiTheme="minorBidi"/>
          <w:b/>
          <w:bCs/>
          <w:sz w:val="28"/>
          <w:szCs w:val="28"/>
        </w:rPr>
      </w:pPr>
    </w:p>
    <w:p w14:paraId="02B9907D" w14:textId="77777777" w:rsidR="009F6D56" w:rsidRDefault="009F6D56" w:rsidP="0040420C">
      <w:pPr>
        <w:rPr>
          <w:rFonts w:asciiTheme="minorBidi" w:hAnsiTheme="minorBidi"/>
          <w:b/>
          <w:bCs/>
          <w:sz w:val="28"/>
          <w:szCs w:val="28"/>
        </w:rPr>
      </w:pPr>
    </w:p>
    <w:p w14:paraId="3115917B" w14:textId="77777777" w:rsidR="009F6D56" w:rsidRDefault="009F6D56" w:rsidP="0040420C">
      <w:pPr>
        <w:rPr>
          <w:rFonts w:asciiTheme="minorBidi" w:hAnsiTheme="minorBidi"/>
          <w:b/>
          <w:bCs/>
          <w:sz w:val="28"/>
          <w:szCs w:val="28"/>
        </w:rPr>
      </w:pPr>
    </w:p>
    <w:p w14:paraId="7C5AA80A" w14:textId="546CA1DE" w:rsidR="00F7246F" w:rsidRPr="00B14741" w:rsidRDefault="00F7246F" w:rsidP="002C680D">
      <w:pPr>
        <w:rPr>
          <w:rFonts w:asciiTheme="minorBidi" w:hAnsiTheme="minorBidi"/>
          <w:b/>
          <w:bCs/>
          <w:sz w:val="28"/>
          <w:szCs w:val="28"/>
        </w:rPr>
      </w:pPr>
    </w:p>
    <w:p w14:paraId="3022DD02" w14:textId="2D76C6D9" w:rsidR="000D1782" w:rsidRPr="00E61A4B" w:rsidRDefault="00FF6FA6" w:rsidP="00E61A4B">
      <w:pPr>
        <w:pStyle w:val="ListParagraph"/>
        <w:numPr>
          <w:ilvl w:val="0"/>
          <w:numId w:val="12"/>
        </w:numPr>
        <w:spacing w:line="360" w:lineRule="auto"/>
        <w:jc w:val="both"/>
        <w:rPr>
          <w:rFonts w:asciiTheme="minorBidi" w:hAnsiTheme="minorBidi"/>
          <w:b/>
          <w:bCs/>
        </w:rPr>
      </w:pPr>
      <w:r w:rsidRPr="00B14741">
        <w:rPr>
          <w:rFonts w:asciiTheme="minorBidi" w:hAnsiTheme="minorBidi"/>
          <w:b/>
          <w:bCs/>
        </w:rPr>
        <w:lastRenderedPageBreak/>
        <w:t>Introduction</w:t>
      </w:r>
    </w:p>
    <w:p w14:paraId="22E19A3E" w14:textId="7230BBEF" w:rsidR="00E61A4B" w:rsidRPr="00E61A4B" w:rsidRDefault="00E61A4B" w:rsidP="00E61A4B">
      <w:pPr>
        <w:spacing w:line="360" w:lineRule="auto"/>
        <w:jc w:val="both"/>
        <w:rPr>
          <w:rFonts w:asciiTheme="minorBidi" w:hAnsiTheme="minorBidi"/>
        </w:rPr>
      </w:pPr>
      <w:r w:rsidRPr="00E61A4B">
        <w:rPr>
          <w:rFonts w:asciiTheme="minorBidi" w:hAnsiTheme="minorBidi"/>
        </w:rPr>
        <w:t>Student well-being has become an increasingly important concern within higher education institutions due to rising levels of academic stress, mental health difficulties, and chronic health conditions among university students (</w:t>
      </w:r>
      <w:proofErr w:type="spellStart"/>
      <w:r w:rsidRPr="00E61A4B">
        <w:rPr>
          <w:rFonts w:asciiTheme="minorBidi" w:hAnsiTheme="minorBidi"/>
        </w:rPr>
        <w:t>Oades</w:t>
      </w:r>
      <w:proofErr w:type="spellEnd"/>
      <w:r w:rsidRPr="00E61A4B">
        <w:rPr>
          <w:rFonts w:asciiTheme="minorBidi" w:hAnsiTheme="minorBidi"/>
        </w:rPr>
        <w:t xml:space="preserve"> et al., 2011). Contemporary university environments expose students to academic, financial, social, and emotional pressures that may negatively affect academic performance, psychological resilience, and overall well-being (Thomas, 2012). Research suggests that students experiencing long-term physical or psychological health challenges may face additional barriers related to concentration, attendance, motivation, and social engagement, increasing the risk of academic withdrawal and reduced student retention (Stallman, 2010).</w:t>
      </w:r>
    </w:p>
    <w:p w14:paraId="43E6F41F" w14:textId="1A1154C9" w:rsidR="00E61A4B" w:rsidRPr="00E61A4B" w:rsidRDefault="00E61A4B" w:rsidP="00E61A4B">
      <w:pPr>
        <w:spacing w:line="360" w:lineRule="auto"/>
        <w:jc w:val="both"/>
        <w:rPr>
          <w:rFonts w:asciiTheme="minorBidi" w:hAnsiTheme="minorBidi"/>
        </w:rPr>
      </w:pPr>
      <w:r w:rsidRPr="00E61A4B">
        <w:rPr>
          <w:rFonts w:asciiTheme="minorBidi" w:hAnsiTheme="minorBidi"/>
        </w:rPr>
        <w:t>In response to these challenges, many universities have implemented support services such as counselling, academic accommodations, disability support, and mental health resources (Hughes et al., 2018). However, existing literature suggests that institutional responses often remain reactive rather than preventative, with support commonly introduced after students experience significant emotional distress, academic decline, or crisis situations (Hughes et al., 2018). Although these interventions may provide short-term assistance, they may fail to address the organisational and leadership factors influencing student well-being. Consequently, concerns have emerged regarding whether current university leadership strategies adequately promote early intervention, resilience, psychological safety, and inclusive support cultures (Edmondson, 1999).</w:t>
      </w:r>
    </w:p>
    <w:p w14:paraId="0E301A90" w14:textId="3E107F23" w:rsidR="00E61A4B" w:rsidRPr="00E61A4B" w:rsidRDefault="00E61A4B" w:rsidP="00E61A4B">
      <w:pPr>
        <w:spacing w:line="360" w:lineRule="auto"/>
        <w:jc w:val="both"/>
        <w:rPr>
          <w:rFonts w:asciiTheme="minorBidi" w:hAnsiTheme="minorBidi"/>
        </w:rPr>
      </w:pPr>
      <w:r w:rsidRPr="00E61A4B">
        <w:rPr>
          <w:rFonts w:asciiTheme="minorBidi" w:hAnsiTheme="minorBidi"/>
        </w:rPr>
        <w:t xml:space="preserve">Despite growing awareness of student well-being, limited research has examined how proactive leadership strategies can support students experiencing both chronic illness and mental health challenges within higher education environments. This </w:t>
      </w:r>
      <w:r w:rsidR="00026CF5" w:rsidRPr="00E61A4B">
        <w:rPr>
          <w:rFonts w:asciiTheme="minorBidi" w:hAnsiTheme="minorBidi"/>
        </w:rPr>
        <w:t>study explores</w:t>
      </w:r>
      <w:r w:rsidRPr="00E61A4B">
        <w:rPr>
          <w:rFonts w:asciiTheme="minorBidi" w:hAnsiTheme="minorBidi"/>
        </w:rPr>
        <w:t xml:space="preserve"> how universities can move from reactive support to proactive leadership strategies that prioritise student well-being for students experiencing chronic illness and mental health challenges. The </w:t>
      </w:r>
      <w:r w:rsidR="00804251" w:rsidRPr="00E61A4B">
        <w:rPr>
          <w:rFonts w:asciiTheme="minorBidi" w:hAnsiTheme="minorBidi"/>
        </w:rPr>
        <w:t>study examines</w:t>
      </w:r>
      <w:r w:rsidRPr="00E61A4B">
        <w:rPr>
          <w:rFonts w:asciiTheme="minorBidi" w:hAnsiTheme="minorBidi"/>
        </w:rPr>
        <w:t xml:space="preserve"> how proactive leadership </w:t>
      </w:r>
      <w:r w:rsidR="007C36EB" w:rsidRPr="00E61A4B">
        <w:rPr>
          <w:rFonts w:asciiTheme="minorBidi" w:hAnsiTheme="minorBidi"/>
        </w:rPr>
        <w:t>strategies</w:t>
      </w:r>
      <w:r w:rsidR="007C36EB">
        <w:rPr>
          <w:rFonts w:asciiTheme="minorBidi" w:hAnsiTheme="minorBidi"/>
        </w:rPr>
        <w:t xml:space="preserve"> </w:t>
      </w:r>
      <w:r w:rsidR="007C36EB" w:rsidRPr="00E61A4B">
        <w:rPr>
          <w:rFonts w:asciiTheme="minorBidi" w:hAnsiTheme="minorBidi"/>
        </w:rPr>
        <w:t>improve</w:t>
      </w:r>
      <w:r w:rsidRPr="00E61A4B">
        <w:rPr>
          <w:rFonts w:asciiTheme="minorBidi" w:hAnsiTheme="minorBidi"/>
        </w:rPr>
        <w:t xml:space="preserve"> student experiences and academic outcomes.</w:t>
      </w:r>
    </w:p>
    <w:p w14:paraId="558AB3FF" w14:textId="0709306C" w:rsidR="00A00308" w:rsidRPr="00B14741" w:rsidRDefault="00E61A4B" w:rsidP="00E61A4B">
      <w:pPr>
        <w:spacing w:line="360" w:lineRule="auto"/>
        <w:jc w:val="both"/>
        <w:rPr>
          <w:rFonts w:asciiTheme="minorBidi" w:hAnsiTheme="minorBidi"/>
        </w:rPr>
      </w:pPr>
      <w:r w:rsidRPr="00E61A4B">
        <w:rPr>
          <w:rFonts w:asciiTheme="minorBidi" w:hAnsiTheme="minorBidi"/>
        </w:rPr>
        <w:t xml:space="preserve">This topic is relevant because leadership and organisational support are increasingly recognised as important factors influencing student success and retention </w:t>
      </w:r>
      <w:r w:rsidR="0016014B" w:rsidRPr="00E61A4B">
        <w:rPr>
          <w:rFonts w:asciiTheme="minorBidi" w:hAnsiTheme="minorBidi"/>
        </w:rPr>
        <w:t>(Eisenberger</w:t>
      </w:r>
      <w:r w:rsidRPr="00E61A4B">
        <w:rPr>
          <w:rFonts w:asciiTheme="minorBidi" w:hAnsiTheme="minorBidi"/>
        </w:rPr>
        <w:t xml:space="preserve"> et al., 1986).</w:t>
      </w:r>
    </w:p>
    <w:p w14:paraId="25796BB2" w14:textId="30BD0CBD" w:rsidR="00392AFE" w:rsidRPr="00B14741" w:rsidRDefault="00392AFE" w:rsidP="00B14741">
      <w:pPr>
        <w:pStyle w:val="ListParagraph"/>
        <w:numPr>
          <w:ilvl w:val="0"/>
          <w:numId w:val="12"/>
        </w:numPr>
        <w:spacing w:line="360" w:lineRule="auto"/>
        <w:jc w:val="both"/>
        <w:rPr>
          <w:rFonts w:asciiTheme="minorBidi" w:hAnsiTheme="minorBidi"/>
          <w:b/>
          <w:bCs/>
        </w:rPr>
      </w:pPr>
      <w:r w:rsidRPr="00B14741">
        <w:rPr>
          <w:rFonts w:asciiTheme="minorBidi" w:hAnsiTheme="minorBidi"/>
          <w:b/>
          <w:bCs/>
        </w:rPr>
        <w:lastRenderedPageBreak/>
        <w:t>Aim of the Research</w:t>
      </w:r>
    </w:p>
    <w:p w14:paraId="3E25619B" w14:textId="77777777" w:rsidR="00392AFE" w:rsidRPr="00B14741" w:rsidRDefault="00392AFE" w:rsidP="00B14741">
      <w:pPr>
        <w:spacing w:line="360" w:lineRule="auto"/>
        <w:jc w:val="both"/>
        <w:rPr>
          <w:rFonts w:asciiTheme="minorBidi" w:hAnsiTheme="minorBidi"/>
        </w:rPr>
      </w:pPr>
      <w:r w:rsidRPr="00B14741">
        <w:rPr>
          <w:rFonts w:asciiTheme="minorBidi" w:hAnsiTheme="minorBidi"/>
        </w:rPr>
        <w:t>The aim of this research is to explore how proactive university leadership strategies can improve student well-being and strengthen institutional support systems for students experiencing chronic illness and mental health challenges within higher education environments.</w:t>
      </w:r>
    </w:p>
    <w:p w14:paraId="6FD4DCDE" w14:textId="77777777" w:rsidR="00392AFE" w:rsidRPr="00B14741" w:rsidRDefault="00392AFE" w:rsidP="00B14741">
      <w:pPr>
        <w:spacing w:line="360" w:lineRule="auto"/>
        <w:jc w:val="both"/>
        <w:rPr>
          <w:rFonts w:asciiTheme="minorBidi" w:hAnsiTheme="minorBidi"/>
        </w:rPr>
      </w:pPr>
    </w:p>
    <w:p w14:paraId="3B1E5E43" w14:textId="6A8DBE3F" w:rsidR="00392AFE" w:rsidRPr="00B14741" w:rsidRDefault="00392AFE" w:rsidP="00B14741">
      <w:pPr>
        <w:pStyle w:val="ListParagraph"/>
        <w:numPr>
          <w:ilvl w:val="0"/>
          <w:numId w:val="12"/>
        </w:numPr>
        <w:spacing w:line="360" w:lineRule="auto"/>
        <w:jc w:val="both"/>
        <w:rPr>
          <w:rFonts w:asciiTheme="minorBidi" w:hAnsiTheme="minorBidi"/>
          <w:b/>
          <w:bCs/>
        </w:rPr>
      </w:pPr>
      <w:r w:rsidRPr="00B14741">
        <w:rPr>
          <w:rFonts w:asciiTheme="minorBidi" w:hAnsiTheme="minorBidi"/>
          <w:b/>
          <w:bCs/>
        </w:rPr>
        <w:t>Research Objectives</w:t>
      </w:r>
    </w:p>
    <w:p w14:paraId="1712F9D9" w14:textId="77777777" w:rsidR="00392AFE" w:rsidRPr="00B14741" w:rsidRDefault="00392AFE" w:rsidP="00B14741">
      <w:pPr>
        <w:numPr>
          <w:ilvl w:val="0"/>
          <w:numId w:val="8"/>
        </w:numPr>
        <w:spacing w:line="360" w:lineRule="auto"/>
        <w:jc w:val="both"/>
        <w:rPr>
          <w:rFonts w:asciiTheme="minorBidi" w:hAnsiTheme="minorBidi"/>
        </w:rPr>
      </w:pPr>
      <w:r w:rsidRPr="00B14741">
        <w:rPr>
          <w:rFonts w:asciiTheme="minorBidi" w:hAnsiTheme="minorBidi"/>
        </w:rPr>
        <w:t>To explore the main well-being challenges experienced by university students, including chronic illness and mental health difficulties.</w:t>
      </w:r>
    </w:p>
    <w:p w14:paraId="4E07B493" w14:textId="77777777" w:rsidR="00392AFE" w:rsidRPr="00B14741" w:rsidRDefault="00392AFE" w:rsidP="00B14741">
      <w:pPr>
        <w:numPr>
          <w:ilvl w:val="0"/>
          <w:numId w:val="8"/>
        </w:numPr>
        <w:spacing w:line="360" w:lineRule="auto"/>
        <w:jc w:val="both"/>
        <w:rPr>
          <w:rFonts w:asciiTheme="minorBidi" w:hAnsiTheme="minorBidi"/>
        </w:rPr>
      </w:pPr>
      <w:r w:rsidRPr="00B14741">
        <w:rPr>
          <w:rFonts w:asciiTheme="minorBidi" w:hAnsiTheme="minorBidi"/>
        </w:rPr>
        <w:t>To critically examine current university support systems and leadership approaches related to student well-being.</w:t>
      </w:r>
    </w:p>
    <w:p w14:paraId="18A754D4" w14:textId="77777777" w:rsidR="00392AFE" w:rsidRPr="00B14741" w:rsidRDefault="00392AFE" w:rsidP="00B14741">
      <w:pPr>
        <w:numPr>
          <w:ilvl w:val="0"/>
          <w:numId w:val="8"/>
        </w:numPr>
        <w:spacing w:line="360" w:lineRule="auto"/>
        <w:jc w:val="both"/>
        <w:rPr>
          <w:rFonts w:asciiTheme="minorBidi" w:hAnsiTheme="minorBidi"/>
        </w:rPr>
      </w:pPr>
      <w:r w:rsidRPr="00B14741">
        <w:rPr>
          <w:rFonts w:asciiTheme="minorBidi" w:hAnsiTheme="minorBidi"/>
        </w:rPr>
        <w:t>To investigate the limitations of reactive institutional support strategies within higher education.</w:t>
      </w:r>
    </w:p>
    <w:p w14:paraId="666E124B" w14:textId="77777777" w:rsidR="00392AFE" w:rsidRPr="00B14741" w:rsidRDefault="00392AFE" w:rsidP="00B14741">
      <w:pPr>
        <w:numPr>
          <w:ilvl w:val="0"/>
          <w:numId w:val="8"/>
        </w:numPr>
        <w:spacing w:line="360" w:lineRule="auto"/>
        <w:jc w:val="both"/>
        <w:rPr>
          <w:rFonts w:asciiTheme="minorBidi" w:hAnsiTheme="minorBidi"/>
        </w:rPr>
      </w:pPr>
      <w:r w:rsidRPr="00B14741">
        <w:rPr>
          <w:rFonts w:asciiTheme="minorBidi" w:hAnsiTheme="minorBidi"/>
        </w:rPr>
        <w:t>To explore the role of proactive leadership, psychological safety, and inclusive institutional cultures in promoting student well-being and academic resilience.</w:t>
      </w:r>
    </w:p>
    <w:p w14:paraId="27C0B9D0" w14:textId="77777777" w:rsidR="00392AFE" w:rsidRPr="00B14741" w:rsidRDefault="00392AFE" w:rsidP="00B14741">
      <w:pPr>
        <w:numPr>
          <w:ilvl w:val="0"/>
          <w:numId w:val="8"/>
        </w:numPr>
        <w:spacing w:line="360" w:lineRule="auto"/>
        <w:jc w:val="both"/>
        <w:rPr>
          <w:rFonts w:asciiTheme="minorBidi" w:hAnsiTheme="minorBidi"/>
        </w:rPr>
      </w:pPr>
      <w:r w:rsidRPr="00B14741">
        <w:rPr>
          <w:rFonts w:asciiTheme="minorBidi" w:hAnsiTheme="minorBidi"/>
        </w:rPr>
        <w:t>To recommend leadership-driven strategies for developing more supportive and preventative university environments.</w:t>
      </w:r>
    </w:p>
    <w:p w14:paraId="6EFA8B76" w14:textId="77777777" w:rsidR="00392AFE" w:rsidRPr="00B14741" w:rsidRDefault="00392AFE" w:rsidP="00B14741">
      <w:pPr>
        <w:spacing w:line="360" w:lineRule="auto"/>
        <w:ind w:left="720"/>
        <w:jc w:val="both"/>
        <w:rPr>
          <w:rFonts w:asciiTheme="minorBidi" w:hAnsiTheme="minorBidi"/>
        </w:rPr>
      </w:pPr>
    </w:p>
    <w:p w14:paraId="27A52FFD" w14:textId="565E567A" w:rsidR="00392AFE" w:rsidRPr="00B14741" w:rsidRDefault="00392AFE" w:rsidP="00B14741">
      <w:pPr>
        <w:pStyle w:val="ListParagraph"/>
        <w:numPr>
          <w:ilvl w:val="0"/>
          <w:numId w:val="12"/>
        </w:numPr>
        <w:spacing w:line="360" w:lineRule="auto"/>
        <w:jc w:val="both"/>
        <w:rPr>
          <w:rFonts w:asciiTheme="minorBidi" w:hAnsiTheme="minorBidi"/>
          <w:b/>
          <w:bCs/>
        </w:rPr>
      </w:pPr>
      <w:r w:rsidRPr="00B14741">
        <w:rPr>
          <w:rFonts w:asciiTheme="minorBidi" w:hAnsiTheme="minorBidi"/>
          <w:b/>
          <w:bCs/>
        </w:rPr>
        <w:t>Research Questions</w:t>
      </w:r>
    </w:p>
    <w:p w14:paraId="072EC512" w14:textId="77777777" w:rsidR="00392AFE" w:rsidRPr="00B14741" w:rsidRDefault="00392AFE" w:rsidP="00B14741">
      <w:pPr>
        <w:numPr>
          <w:ilvl w:val="0"/>
          <w:numId w:val="9"/>
        </w:numPr>
        <w:spacing w:line="360" w:lineRule="auto"/>
        <w:jc w:val="both"/>
        <w:rPr>
          <w:rFonts w:asciiTheme="minorBidi" w:hAnsiTheme="minorBidi"/>
        </w:rPr>
      </w:pPr>
      <w:r w:rsidRPr="00B14741">
        <w:rPr>
          <w:rFonts w:asciiTheme="minorBidi" w:hAnsiTheme="minorBidi"/>
        </w:rPr>
        <w:t>What well-being challenges do university students experience during their academic journey?</w:t>
      </w:r>
    </w:p>
    <w:p w14:paraId="284AF3F2" w14:textId="77777777" w:rsidR="00392AFE" w:rsidRPr="00B14741" w:rsidRDefault="00392AFE" w:rsidP="00B14741">
      <w:pPr>
        <w:numPr>
          <w:ilvl w:val="0"/>
          <w:numId w:val="9"/>
        </w:numPr>
        <w:spacing w:line="360" w:lineRule="auto"/>
        <w:jc w:val="both"/>
        <w:rPr>
          <w:rFonts w:asciiTheme="minorBidi" w:hAnsiTheme="minorBidi"/>
        </w:rPr>
      </w:pPr>
      <w:r w:rsidRPr="00B14741">
        <w:rPr>
          <w:rFonts w:asciiTheme="minorBidi" w:hAnsiTheme="minorBidi"/>
        </w:rPr>
        <w:t>How do students perceive current university support systems in promoting student well-being?</w:t>
      </w:r>
    </w:p>
    <w:p w14:paraId="5E7D4B6D" w14:textId="77777777" w:rsidR="00392AFE" w:rsidRPr="00B14741" w:rsidRDefault="00392AFE" w:rsidP="00B14741">
      <w:pPr>
        <w:numPr>
          <w:ilvl w:val="0"/>
          <w:numId w:val="9"/>
        </w:numPr>
        <w:spacing w:line="360" w:lineRule="auto"/>
        <w:jc w:val="both"/>
        <w:rPr>
          <w:rFonts w:asciiTheme="minorBidi" w:hAnsiTheme="minorBidi"/>
        </w:rPr>
      </w:pPr>
      <w:r w:rsidRPr="00B14741">
        <w:rPr>
          <w:rFonts w:asciiTheme="minorBidi" w:hAnsiTheme="minorBidi"/>
        </w:rPr>
        <w:t>What limitations exist within reactive support approaches in higher education institutions?</w:t>
      </w:r>
    </w:p>
    <w:p w14:paraId="317EB1E4" w14:textId="0B16D978" w:rsidR="00E82A1B" w:rsidRPr="00875BAA" w:rsidRDefault="002F2071" w:rsidP="00875BAA">
      <w:pPr>
        <w:numPr>
          <w:ilvl w:val="0"/>
          <w:numId w:val="9"/>
        </w:numPr>
        <w:spacing w:line="360" w:lineRule="auto"/>
        <w:jc w:val="both"/>
        <w:rPr>
          <w:rFonts w:asciiTheme="minorBidi" w:hAnsiTheme="minorBidi"/>
        </w:rPr>
      </w:pPr>
      <w:r w:rsidRPr="00B14741">
        <w:rPr>
          <w:rFonts w:asciiTheme="minorBidi" w:hAnsiTheme="minorBidi"/>
        </w:rPr>
        <w:t>How do students perceive the influence of proactive leadership practices on psychological safety, resilience, and their overall well-being within higher education institutions?</w:t>
      </w:r>
    </w:p>
    <w:p w14:paraId="4089105E" w14:textId="68826A75" w:rsidR="0020540A" w:rsidRPr="00B14741" w:rsidRDefault="0020540A" w:rsidP="00B14741">
      <w:pPr>
        <w:pStyle w:val="ListParagraph"/>
        <w:numPr>
          <w:ilvl w:val="0"/>
          <w:numId w:val="9"/>
        </w:numPr>
        <w:spacing w:line="360" w:lineRule="auto"/>
        <w:jc w:val="both"/>
        <w:rPr>
          <w:rFonts w:asciiTheme="minorBidi" w:hAnsiTheme="minorBidi"/>
          <w:b/>
          <w:bCs/>
        </w:rPr>
      </w:pPr>
      <w:r w:rsidRPr="00B14741">
        <w:rPr>
          <w:rFonts w:asciiTheme="minorBidi" w:hAnsiTheme="minorBidi"/>
          <w:b/>
          <w:bCs/>
        </w:rPr>
        <w:lastRenderedPageBreak/>
        <w:t>Literature Review</w:t>
      </w:r>
    </w:p>
    <w:p w14:paraId="6545C9CD" w14:textId="18B32E22" w:rsidR="0020540A" w:rsidRPr="00B14741" w:rsidRDefault="0020540A" w:rsidP="00B14741">
      <w:pPr>
        <w:spacing w:line="360" w:lineRule="auto"/>
        <w:jc w:val="both"/>
        <w:rPr>
          <w:rFonts w:asciiTheme="minorBidi" w:hAnsiTheme="minorBidi"/>
        </w:rPr>
      </w:pPr>
      <w:r w:rsidRPr="00B14741">
        <w:rPr>
          <w:rFonts w:asciiTheme="minorBidi" w:hAnsiTheme="minorBidi"/>
        </w:rPr>
        <w:t>Student well-being has become</w:t>
      </w:r>
      <w:r w:rsidR="00F316CA">
        <w:rPr>
          <w:rFonts w:asciiTheme="minorBidi" w:hAnsiTheme="minorBidi"/>
        </w:rPr>
        <w:t xml:space="preserve"> a</w:t>
      </w:r>
      <w:r w:rsidRPr="00B14741">
        <w:rPr>
          <w:rFonts w:asciiTheme="minorBidi" w:hAnsiTheme="minorBidi"/>
        </w:rPr>
        <w:t xml:space="preserve"> significant issue within higher education due to growing levels of stress, chronic illness, and mental health difficulties among university students. Stallman (2010) found that university students experience higher levels of psychological distress than the general population, largely due to academic pressures, financial concerns, and personal responsibilities. However, the study relied primarily on cross-sectional survey data, limiting the ability to explain how student well-being changes over time. Similarly, Hughes et al. (2018) argue that students experiencing chronic illness and mental health challenges face significant academic, emotional, and social barriers. Nevertheless, their research focuses mainly on students' experiences and provides limited discussion of how institutional leadership may prevent well-being deterioration. </w:t>
      </w:r>
      <w:r w:rsidR="00D1314C" w:rsidRPr="00B14741">
        <w:rPr>
          <w:rFonts w:asciiTheme="minorBidi" w:hAnsiTheme="minorBidi"/>
        </w:rPr>
        <w:t>Both studies emphasise support systems but offer limited insight into preventative leadership approaches, highlighting a gap in existing research</w:t>
      </w:r>
      <w:r w:rsidR="00BB0FD3">
        <w:rPr>
          <w:rFonts w:asciiTheme="minorBidi" w:hAnsiTheme="minorBidi"/>
        </w:rPr>
        <w:t>.</w:t>
      </w:r>
    </w:p>
    <w:p w14:paraId="415BADA4" w14:textId="45478130" w:rsidR="0020540A" w:rsidRPr="00B14741" w:rsidRDefault="0020540A" w:rsidP="00B14741">
      <w:pPr>
        <w:spacing w:line="360" w:lineRule="auto"/>
        <w:jc w:val="both"/>
        <w:rPr>
          <w:rFonts w:asciiTheme="minorBidi" w:hAnsiTheme="minorBidi"/>
        </w:rPr>
      </w:pPr>
      <w:r w:rsidRPr="00B14741">
        <w:rPr>
          <w:rFonts w:asciiTheme="minorBidi" w:hAnsiTheme="minorBidi"/>
        </w:rPr>
        <w:t>In response to increasing mental health concerns, many universities have introduced counselling services, disability accommodations, and student support programmes. However, institutional approaches often remain reactive rather than preventative. Thomas (2012) argues that universities respond after students experience difficulties instead of implementing strategies that promote resilience and long-term well-</w:t>
      </w:r>
      <w:r w:rsidR="00CC64DD" w:rsidRPr="00B14741">
        <w:rPr>
          <w:rFonts w:asciiTheme="minorBidi" w:hAnsiTheme="minorBidi"/>
        </w:rPr>
        <w:t>being.</w:t>
      </w:r>
      <w:r w:rsidR="00CC64DD">
        <w:rPr>
          <w:rFonts w:asciiTheme="minorBidi" w:hAnsiTheme="minorBidi"/>
        </w:rPr>
        <w:t xml:space="preserve"> Similarly,</w:t>
      </w:r>
      <w:r w:rsidRPr="00B14741">
        <w:rPr>
          <w:rFonts w:asciiTheme="minorBidi" w:hAnsiTheme="minorBidi"/>
        </w:rPr>
        <w:t xml:space="preserve"> </w:t>
      </w:r>
      <w:proofErr w:type="spellStart"/>
      <w:r w:rsidRPr="00B14741">
        <w:rPr>
          <w:rFonts w:asciiTheme="minorBidi" w:hAnsiTheme="minorBidi"/>
        </w:rPr>
        <w:t>Oades</w:t>
      </w:r>
      <w:proofErr w:type="spellEnd"/>
      <w:r w:rsidRPr="00B14741">
        <w:rPr>
          <w:rFonts w:asciiTheme="minorBidi" w:hAnsiTheme="minorBidi"/>
        </w:rPr>
        <w:t xml:space="preserve"> et al. (2011) advocate a whole-institution approach that embeds well-being within institutional culture and practice. Although these studies strongly support preventative approaches, they provide limited discussion of leadership behaviours required to encourage early intervention and psychologically safe learning environments. </w:t>
      </w:r>
      <w:r w:rsidR="001A777B" w:rsidRPr="00B14741">
        <w:rPr>
          <w:rFonts w:asciiTheme="minorBidi" w:hAnsiTheme="minorBidi"/>
        </w:rPr>
        <w:t>Existing literature has not reached consensus regarding leadership strategies for supporting students with diverse well-being needs</w:t>
      </w:r>
      <w:r w:rsidR="003D4614" w:rsidRPr="00B14741">
        <w:rPr>
          <w:rFonts w:asciiTheme="minorBidi" w:hAnsiTheme="minorBidi"/>
        </w:rPr>
        <w:t>.</w:t>
      </w:r>
    </w:p>
    <w:p w14:paraId="7424CA6A" w14:textId="77777777" w:rsidR="003C15B8" w:rsidRDefault="0020540A" w:rsidP="00B14741">
      <w:pPr>
        <w:spacing w:line="360" w:lineRule="auto"/>
        <w:jc w:val="both"/>
        <w:rPr>
          <w:rFonts w:asciiTheme="minorBidi" w:hAnsiTheme="minorBidi"/>
        </w:rPr>
      </w:pPr>
      <w:r w:rsidRPr="00B14741">
        <w:rPr>
          <w:rFonts w:asciiTheme="minorBidi" w:hAnsiTheme="minorBidi"/>
        </w:rPr>
        <w:t>Psychological Safety Theory provides an important perspective for understanding student well-being within higher education. Edmondson (1999) defines psychological safety as an environment in which individuals feel comfortable expressing concerns, seeking support, and engaging without fear of negative consequences. Although widely examined within workplace teams, limited research has explored its application within university leadership and student well-being.</w:t>
      </w:r>
    </w:p>
    <w:p w14:paraId="75214331" w14:textId="583E969C" w:rsidR="0020540A" w:rsidRPr="00B14741" w:rsidRDefault="00617A92" w:rsidP="00B14741">
      <w:pPr>
        <w:spacing w:line="360" w:lineRule="auto"/>
        <w:jc w:val="both"/>
        <w:rPr>
          <w:rFonts w:asciiTheme="minorBidi" w:hAnsiTheme="minorBidi"/>
        </w:rPr>
      </w:pPr>
      <w:r w:rsidRPr="00B14741">
        <w:rPr>
          <w:rFonts w:asciiTheme="minorBidi" w:hAnsiTheme="minorBidi"/>
        </w:rPr>
        <w:t xml:space="preserve"> This highlights a </w:t>
      </w:r>
      <w:r w:rsidR="008D45E4" w:rsidRPr="00B14741">
        <w:rPr>
          <w:rFonts w:asciiTheme="minorBidi" w:hAnsiTheme="minorBidi"/>
        </w:rPr>
        <w:t>significant gap</w:t>
      </w:r>
      <w:r w:rsidRPr="00B14741">
        <w:rPr>
          <w:rFonts w:asciiTheme="minorBidi" w:hAnsiTheme="minorBidi"/>
        </w:rPr>
        <w:t xml:space="preserve"> in understanding proactive support within higher education.</w:t>
      </w:r>
      <w:r w:rsidR="0020540A" w:rsidRPr="00B14741">
        <w:rPr>
          <w:rFonts w:asciiTheme="minorBidi" w:hAnsiTheme="minorBidi"/>
        </w:rPr>
        <w:t xml:space="preserve"> However, because the theory was originally developed within </w:t>
      </w:r>
      <w:r w:rsidR="0020540A" w:rsidRPr="00B14741">
        <w:rPr>
          <w:rFonts w:asciiTheme="minorBidi" w:hAnsiTheme="minorBidi"/>
        </w:rPr>
        <w:lastRenderedPageBreak/>
        <w:t>organisational settings, its application to higher education requires further investigation.</w:t>
      </w:r>
    </w:p>
    <w:p w14:paraId="181BAE1B" w14:textId="52F07965" w:rsidR="0020540A" w:rsidRPr="00B14741" w:rsidRDefault="0020540A" w:rsidP="00B14741">
      <w:pPr>
        <w:spacing w:line="360" w:lineRule="auto"/>
        <w:jc w:val="both"/>
        <w:rPr>
          <w:rFonts w:asciiTheme="minorBidi" w:hAnsiTheme="minorBidi"/>
        </w:rPr>
      </w:pPr>
      <w:r w:rsidRPr="00B14741">
        <w:rPr>
          <w:rFonts w:asciiTheme="minorBidi" w:hAnsiTheme="minorBidi"/>
        </w:rPr>
        <w:t>Inclusive Leadership Theory also provides valuable insight into how university leaders can create supportive educational environments. Inclusive leadership emphasises empathy, accessibility, and recognition of diverse individual needs (Northouse, 2021). Research suggests that inclusive institutional cultures can enhance student engagement, resilience, and retention (Kahu and Nelson, 2018).</w:t>
      </w:r>
      <w:r w:rsidR="008D45E4" w:rsidRPr="00B14741">
        <w:rPr>
          <w:rFonts w:asciiTheme="minorBidi" w:hAnsiTheme="minorBidi"/>
        </w:rPr>
        <w:t xml:space="preserve"> Bovill (2020) highlights collaborative and student-centred approaches that foster belonging.</w:t>
      </w:r>
      <w:r w:rsidRPr="00B14741">
        <w:rPr>
          <w:rFonts w:asciiTheme="minorBidi" w:hAnsiTheme="minorBidi"/>
        </w:rPr>
        <w:t xml:space="preserve"> However, critics argue that leadership effectiveness may vary according to institutional culture, available resources, and student diversity, suggesting that inclusive leadership alone may not fully address complex well-being challenges.</w:t>
      </w:r>
    </w:p>
    <w:p w14:paraId="78F30CA9" w14:textId="77777777" w:rsidR="0020540A" w:rsidRPr="00B14741" w:rsidRDefault="0020540A" w:rsidP="00B14741">
      <w:pPr>
        <w:spacing w:line="360" w:lineRule="auto"/>
        <w:jc w:val="both"/>
        <w:rPr>
          <w:rFonts w:asciiTheme="minorBidi" w:hAnsiTheme="minorBidi"/>
        </w:rPr>
      </w:pPr>
      <w:r w:rsidRPr="00B14741">
        <w:rPr>
          <w:rFonts w:asciiTheme="minorBidi" w:hAnsiTheme="minorBidi"/>
        </w:rPr>
        <w:t>Organisational Support Theory further strengthens the theoretical foundation of this research. Eisenberger et al. (1986) argue that individuals are more likely to achieve positive outcomes when they perceive their organisation as supportive and committed to their well-being. Supportive institutional cultures may enhance student resilience, engagement, and retention (Tinto, 2017). Nevertheless, one limitation of the theory is that it was developed primarily to explain employee experiences rather than student experiences. Therefore, its transferability to higher education contexts requires further investigation, particularly when exploring the experiences of students with complex well-being needs.</w:t>
      </w:r>
    </w:p>
    <w:p w14:paraId="0815B8D0" w14:textId="56642138" w:rsidR="00522130" w:rsidRPr="00B14741" w:rsidRDefault="00522130" w:rsidP="00522130">
      <w:pPr>
        <w:spacing w:line="360" w:lineRule="auto"/>
        <w:jc w:val="both"/>
        <w:rPr>
          <w:rFonts w:asciiTheme="minorBidi" w:hAnsiTheme="minorBidi"/>
        </w:rPr>
      </w:pPr>
      <w:r w:rsidRPr="00522130">
        <w:rPr>
          <w:rFonts w:asciiTheme="minorBidi" w:hAnsiTheme="minorBidi"/>
        </w:rPr>
        <w:t>Despite growing awareness of student mental health and well-being, limited research has explored proactive university leadership strategies that prioritise prevention, resilience, and early intervention (Student Minds, 2023). Existing studies tend to focus on counselling services or individual coping mechanisms while giving less attention to leadership-driven institutional culture and preventative organisational approaches. Therefore, this research seeks to address this gap by exploring how proactive leadership, psychological safety, and inclusive institutional strategies can improve student well-being and create more supportive higher education environments</w:t>
      </w:r>
    </w:p>
    <w:p w14:paraId="4BEDCBBD" w14:textId="77777777" w:rsidR="005F4AE6" w:rsidRDefault="005F4AE6" w:rsidP="00B14741">
      <w:pPr>
        <w:spacing w:line="360" w:lineRule="auto"/>
        <w:jc w:val="both"/>
        <w:rPr>
          <w:rFonts w:asciiTheme="minorBidi" w:hAnsiTheme="minorBidi"/>
        </w:rPr>
      </w:pPr>
    </w:p>
    <w:p w14:paraId="245B11BB" w14:textId="77777777" w:rsidR="003C15B8" w:rsidRPr="00B14741" w:rsidRDefault="003C15B8" w:rsidP="00B14741">
      <w:pPr>
        <w:spacing w:line="360" w:lineRule="auto"/>
        <w:jc w:val="both"/>
        <w:rPr>
          <w:rFonts w:asciiTheme="minorBidi" w:hAnsiTheme="minorBidi"/>
        </w:rPr>
      </w:pPr>
    </w:p>
    <w:p w14:paraId="2A16DEC2" w14:textId="6A824B38" w:rsidR="00365C69" w:rsidRPr="00B14741" w:rsidRDefault="00676626" w:rsidP="00B14741">
      <w:pPr>
        <w:pStyle w:val="ListParagraph"/>
        <w:numPr>
          <w:ilvl w:val="0"/>
          <w:numId w:val="9"/>
        </w:numPr>
        <w:spacing w:line="360" w:lineRule="auto"/>
        <w:jc w:val="both"/>
        <w:rPr>
          <w:rFonts w:asciiTheme="minorBidi" w:hAnsiTheme="minorBidi"/>
          <w:b/>
          <w:bCs/>
        </w:rPr>
      </w:pPr>
      <w:r w:rsidRPr="00B14741">
        <w:rPr>
          <w:rFonts w:asciiTheme="minorBidi" w:hAnsiTheme="minorBidi"/>
          <w:b/>
          <w:bCs/>
        </w:rPr>
        <w:t xml:space="preserve"> </w:t>
      </w:r>
      <w:r w:rsidR="005F4AE6" w:rsidRPr="00B14741">
        <w:rPr>
          <w:rFonts w:asciiTheme="minorBidi" w:hAnsiTheme="minorBidi"/>
          <w:b/>
          <w:bCs/>
        </w:rPr>
        <w:t>R</w:t>
      </w:r>
      <w:r w:rsidR="00365C69" w:rsidRPr="00B14741">
        <w:rPr>
          <w:rFonts w:asciiTheme="minorBidi" w:hAnsiTheme="minorBidi"/>
          <w:b/>
          <w:bCs/>
        </w:rPr>
        <w:t>esearch Methodology</w:t>
      </w:r>
    </w:p>
    <w:p w14:paraId="66A4424E" w14:textId="77777777" w:rsidR="00676626" w:rsidRPr="00B14741" w:rsidRDefault="00676626" w:rsidP="00B14741">
      <w:pPr>
        <w:spacing w:line="360" w:lineRule="auto"/>
        <w:jc w:val="both"/>
        <w:rPr>
          <w:rFonts w:asciiTheme="minorBidi" w:hAnsiTheme="minorBidi"/>
          <w:b/>
          <w:bCs/>
        </w:rPr>
      </w:pPr>
    </w:p>
    <w:p w14:paraId="4A6C8DF8" w14:textId="47586F6B" w:rsidR="00365C69" w:rsidRPr="00B14741" w:rsidRDefault="00734107" w:rsidP="00B14741">
      <w:pPr>
        <w:spacing w:line="360" w:lineRule="auto"/>
        <w:jc w:val="both"/>
        <w:rPr>
          <w:rFonts w:asciiTheme="minorBidi" w:hAnsiTheme="minorBidi"/>
          <w:b/>
          <w:bCs/>
        </w:rPr>
      </w:pPr>
      <w:r>
        <w:rPr>
          <w:rFonts w:asciiTheme="minorBidi" w:hAnsiTheme="minorBidi"/>
          <w:b/>
          <w:bCs/>
        </w:rPr>
        <w:t xml:space="preserve"> </w:t>
      </w:r>
      <w:r w:rsidR="00365C69" w:rsidRPr="00B14741">
        <w:rPr>
          <w:rFonts w:asciiTheme="minorBidi" w:hAnsiTheme="minorBidi"/>
          <w:b/>
          <w:bCs/>
        </w:rPr>
        <w:t xml:space="preserve"> Research Philosophy</w:t>
      </w:r>
    </w:p>
    <w:p w14:paraId="418F4699" w14:textId="4A27587C" w:rsidR="00365C69" w:rsidRPr="00B14741" w:rsidRDefault="00365C69" w:rsidP="00B14741">
      <w:pPr>
        <w:spacing w:line="360" w:lineRule="auto"/>
        <w:jc w:val="both"/>
        <w:rPr>
          <w:rFonts w:asciiTheme="minorBidi" w:hAnsiTheme="minorBidi"/>
        </w:rPr>
      </w:pPr>
      <w:r w:rsidRPr="00B14741">
        <w:rPr>
          <w:rFonts w:asciiTheme="minorBidi" w:hAnsiTheme="minorBidi"/>
        </w:rPr>
        <w:t>This study will adopt an interpretivist research philosophy. Interpretivism is considered appropriate because the research aims to explore students' personal experiences, perceptions, and interpretations of university support systems and well-being strategies. Unlike positivist approaches, which focus on objective measurement and statistical analysis, interpretivism enables a deeper understanding of how individuals experience social and organisational environments (Creswell and Creswell, 2023).</w:t>
      </w:r>
      <w:r w:rsidR="00D81A64" w:rsidRPr="00B14741">
        <w:rPr>
          <w:rFonts w:asciiTheme="minorBidi" w:hAnsiTheme="minorBidi"/>
        </w:rPr>
        <w:t xml:space="preserve"> Understanding participants' perspectives is essential to this research.</w:t>
      </w:r>
    </w:p>
    <w:p w14:paraId="30943DD0" w14:textId="099E87E9" w:rsidR="00365C69" w:rsidRPr="00B14741" w:rsidRDefault="00734107" w:rsidP="00B14741">
      <w:pPr>
        <w:spacing w:line="360" w:lineRule="auto"/>
        <w:jc w:val="both"/>
        <w:rPr>
          <w:rFonts w:asciiTheme="minorBidi" w:hAnsiTheme="minorBidi"/>
          <w:b/>
          <w:bCs/>
        </w:rPr>
      </w:pPr>
      <w:r>
        <w:rPr>
          <w:rFonts w:asciiTheme="minorBidi" w:hAnsiTheme="minorBidi"/>
          <w:b/>
          <w:bCs/>
        </w:rPr>
        <w:t xml:space="preserve">   </w:t>
      </w:r>
      <w:r w:rsidR="00365C69" w:rsidRPr="00B14741">
        <w:rPr>
          <w:rFonts w:asciiTheme="minorBidi" w:hAnsiTheme="minorBidi"/>
          <w:b/>
          <w:bCs/>
        </w:rPr>
        <w:t xml:space="preserve"> Research Approach</w:t>
      </w:r>
    </w:p>
    <w:p w14:paraId="1F38027F" w14:textId="77777777" w:rsidR="00150960" w:rsidRPr="00150960" w:rsidRDefault="00150960" w:rsidP="00150960">
      <w:pPr>
        <w:spacing w:line="360" w:lineRule="auto"/>
        <w:jc w:val="both"/>
        <w:rPr>
          <w:rFonts w:asciiTheme="minorBidi" w:hAnsiTheme="minorBidi"/>
        </w:rPr>
      </w:pPr>
      <w:r w:rsidRPr="00150960">
        <w:rPr>
          <w:rFonts w:asciiTheme="minorBidi" w:hAnsiTheme="minorBidi"/>
        </w:rPr>
        <w:t xml:space="preserve">The study will use an </w:t>
      </w:r>
      <w:r w:rsidRPr="000866EB">
        <w:rPr>
          <w:rFonts w:asciiTheme="minorBidi" w:hAnsiTheme="minorBidi"/>
        </w:rPr>
        <w:t>inductive research approach.</w:t>
      </w:r>
      <w:r w:rsidRPr="00150960">
        <w:rPr>
          <w:rFonts w:asciiTheme="minorBidi" w:hAnsiTheme="minorBidi"/>
        </w:rPr>
        <w:t xml:space="preserve"> This approach is appropriate because the research aims to develop an understanding from participants' experiences instead of testing predetermined hypotheses. According to Saunders et al. (2023), inductive research is well suited to qualitative studies that seek to explore social phenomena and generate concepts from the collected data.</w:t>
      </w:r>
    </w:p>
    <w:p w14:paraId="42C47ADC" w14:textId="77777777" w:rsidR="00150960" w:rsidRPr="00150960" w:rsidRDefault="00150960" w:rsidP="00150960">
      <w:pPr>
        <w:spacing w:line="360" w:lineRule="auto"/>
        <w:jc w:val="both"/>
        <w:rPr>
          <w:rFonts w:asciiTheme="minorBidi" w:hAnsiTheme="minorBidi"/>
        </w:rPr>
      </w:pPr>
      <w:r w:rsidRPr="00150960">
        <w:rPr>
          <w:rFonts w:asciiTheme="minorBidi" w:hAnsiTheme="minorBidi"/>
        </w:rPr>
        <w:t>This approach is suitable for the exploratory nature of this study, as limited research has explored proactive leadership strategies and psychological safety within university well-being systems.</w:t>
      </w:r>
    </w:p>
    <w:p w14:paraId="110DDCF3" w14:textId="77777777" w:rsidR="00150960" w:rsidRPr="00B14741" w:rsidRDefault="00150960" w:rsidP="00B14741">
      <w:pPr>
        <w:spacing w:line="360" w:lineRule="auto"/>
        <w:jc w:val="both"/>
        <w:rPr>
          <w:rFonts w:asciiTheme="minorBidi" w:hAnsiTheme="minorBidi"/>
        </w:rPr>
      </w:pPr>
    </w:p>
    <w:p w14:paraId="1C058E6D" w14:textId="507AF168" w:rsidR="00365C69" w:rsidRPr="00B14741" w:rsidRDefault="00734107" w:rsidP="00B14741">
      <w:pPr>
        <w:spacing w:line="360" w:lineRule="auto"/>
        <w:jc w:val="both"/>
        <w:rPr>
          <w:rFonts w:asciiTheme="minorBidi" w:hAnsiTheme="minorBidi"/>
          <w:b/>
          <w:bCs/>
        </w:rPr>
      </w:pPr>
      <w:r>
        <w:rPr>
          <w:rFonts w:asciiTheme="minorBidi" w:hAnsiTheme="minorBidi"/>
          <w:b/>
          <w:bCs/>
        </w:rPr>
        <w:t xml:space="preserve">  </w:t>
      </w:r>
      <w:r w:rsidR="00365C69" w:rsidRPr="00B14741">
        <w:rPr>
          <w:rFonts w:asciiTheme="minorBidi" w:hAnsiTheme="minorBidi"/>
          <w:b/>
          <w:bCs/>
        </w:rPr>
        <w:t xml:space="preserve"> Research Methodology</w:t>
      </w:r>
    </w:p>
    <w:p w14:paraId="1C35BD6C" w14:textId="4D479DDB" w:rsidR="00365C69" w:rsidRDefault="00365C69" w:rsidP="00B14741">
      <w:pPr>
        <w:spacing w:line="360" w:lineRule="auto"/>
        <w:jc w:val="both"/>
        <w:rPr>
          <w:rFonts w:asciiTheme="minorBidi" w:hAnsiTheme="minorBidi"/>
        </w:rPr>
      </w:pPr>
      <w:r w:rsidRPr="00B14741">
        <w:rPr>
          <w:rFonts w:asciiTheme="minorBidi" w:hAnsiTheme="minorBidi"/>
        </w:rPr>
        <w:t>A qualitative research methodology will be used because it enables</w:t>
      </w:r>
      <w:r w:rsidR="0057022B">
        <w:rPr>
          <w:rFonts w:asciiTheme="minorBidi" w:hAnsiTheme="minorBidi"/>
        </w:rPr>
        <w:t xml:space="preserve"> </w:t>
      </w:r>
      <w:r w:rsidRPr="00B14741">
        <w:rPr>
          <w:rFonts w:asciiTheme="minorBidi" w:hAnsiTheme="minorBidi"/>
        </w:rPr>
        <w:t>in-depth exploration of complex emotional, social, and organisational experiences. According to Flick (2023), qualitative methods are particularly effective when research aims to understand participants' experiences and meanings within real-world contexts. Therefore, this methodology is considered appropriate for exploring how students perceive university leadership strategies and institutional support systems related to well-being.</w:t>
      </w:r>
    </w:p>
    <w:p w14:paraId="7BB88CD0" w14:textId="77777777" w:rsidR="003C15B8" w:rsidRPr="00B14741" w:rsidRDefault="003C15B8" w:rsidP="00B14741">
      <w:pPr>
        <w:spacing w:line="360" w:lineRule="auto"/>
        <w:jc w:val="both"/>
        <w:rPr>
          <w:rFonts w:asciiTheme="minorBidi" w:hAnsiTheme="minorBidi"/>
        </w:rPr>
      </w:pPr>
    </w:p>
    <w:p w14:paraId="7E921ADE" w14:textId="77777777" w:rsidR="003C15B8" w:rsidRDefault="003C15B8" w:rsidP="00B14741">
      <w:pPr>
        <w:spacing w:line="360" w:lineRule="auto"/>
        <w:jc w:val="both"/>
        <w:rPr>
          <w:rFonts w:asciiTheme="minorBidi" w:hAnsiTheme="minorBidi"/>
          <w:b/>
          <w:bCs/>
        </w:rPr>
      </w:pPr>
    </w:p>
    <w:p w14:paraId="0B6F4A26" w14:textId="77777777" w:rsidR="00150AB5" w:rsidRDefault="00150AB5" w:rsidP="00B14741">
      <w:pPr>
        <w:spacing w:line="360" w:lineRule="auto"/>
        <w:jc w:val="both"/>
        <w:rPr>
          <w:rFonts w:asciiTheme="minorBidi" w:hAnsiTheme="minorBidi"/>
          <w:b/>
          <w:bCs/>
        </w:rPr>
      </w:pPr>
    </w:p>
    <w:p w14:paraId="54B09932" w14:textId="585F6865" w:rsidR="00365C69" w:rsidRPr="00B14741" w:rsidRDefault="00734107" w:rsidP="00B14741">
      <w:pPr>
        <w:spacing w:line="360" w:lineRule="auto"/>
        <w:jc w:val="both"/>
        <w:rPr>
          <w:rFonts w:asciiTheme="minorBidi" w:hAnsiTheme="minorBidi"/>
          <w:b/>
          <w:bCs/>
        </w:rPr>
      </w:pPr>
      <w:r>
        <w:rPr>
          <w:rFonts w:asciiTheme="minorBidi" w:hAnsiTheme="minorBidi"/>
          <w:b/>
          <w:bCs/>
        </w:rPr>
        <w:t xml:space="preserve">   </w:t>
      </w:r>
      <w:r w:rsidR="00365C69" w:rsidRPr="00B14741">
        <w:rPr>
          <w:rFonts w:asciiTheme="minorBidi" w:hAnsiTheme="minorBidi"/>
          <w:b/>
          <w:bCs/>
        </w:rPr>
        <w:t>Data Collection Methods</w:t>
      </w:r>
    </w:p>
    <w:p w14:paraId="15F1FF83" w14:textId="34A25EA6" w:rsidR="00365C69" w:rsidRPr="00B14741" w:rsidRDefault="00365C69" w:rsidP="00B14741">
      <w:pPr>
        <w:spacing w:line="360" w:lineRule="auto"/>
        <w:jc w:val="both"/>
        <w:rPr>
          <w:rFonts w:asciiTheme="minorBidi" w:hAnsiTheme="minorBidi"/>
        </w:rPr>
      </w:pPr>
      <w:r w:rsidRPr="00B14741">
        <w:rPr>
          <w:rFonts w:asciiTheme="minorBidi" w:hAnsiTheme="minorBidi"/>
        </w:rPr>
        <w:t xml:space="preserve">Data will be collected through semi-structured interviews. This method is appropriate because it provides flexibility for participants to discuss their experiences openly while allowing the </w:t>
      </w:r>
      <w:r w:rsidR="00124D2E" w:rsidRPr="00B14741">
        <w:rPr>
          <w:rFonts w:asciiTheme="minorBidi" w:hAnsiTheme="minorBidi"/>
        </w:rPr>
        <w:t xml:space="preserve">researcher </w:t>
      </w:r>
      <w:r w:rsidR="003075FB" w:rsidRPr="00B14741">
        <w:rPr>
          <w:rFonts w:asciiTheme="minorBidi" w:hAnsiTheme="minorBidi"/>
        </w:rPr>
        <w:t>to explore</w:t>
      </w:r>
      <w:r w:rsidRPr="00B14741">
        <w:rPr>
          <w:rFonts w:asciiTheme="minorBidi" w:hAnsiTheme="minorBidi"/>
        </w:rPr>
        <w:t xml:space="preserve"> key themes relevant to the study (Flick, 2023).</w:t>
      </w:r>
    </w:p>
    <w:p w14:paraId="7FE41117" w14:textId="73D6F0F6" w:rsidR="00365C69" w:rsidRPr="00B14741" w:rsidRDefault="00C93661" w:rsidP="00B14741">
      <w:pPr>
        <w:spacing w:line="360" w:lineRule="auto"/>
        <w:jc w:val="both"/>
        <w:rPr>
          <w:rFonts w:asciiTheme="minorBidi" w:hAnsiTheme="minorBidi"/>
        </w:rPr>
      </w:pPr>
      <w:r w:rsidRPr="00B14741">
        <w:rPr>
          <w:rFonts w:asciiTheme="minorBidi" w:hAnsiTheme="minorBidi"/>
        </w:rPr>
        <w:t xml:space="preserve">Interview questions will focus on student well-being, university support systems, psychological safety, and leadership support. </w:t>
      </w:r>
      <w:r w:rsidR="00A462FF" w:rsidRPr="00B14741">
        <w:rPr>
          <w:rFonts w:asciiTheme="minorBidi" w:hAnsiTheme="minorBidi"/>
        </w:rPr>
        <w:t>Semi-structured interviews encourage detailed discussion and allow participants to explain their experiences in their own words.</w:t>
      </w:r>
      <w:r w:rsidR="00740EB2" w:rsidRPr="00B14741">
        <w:rPr>
          <w:rFonts w:asciiTheme="minorBidi" w:hAnsiTheme="minorBidi"/>
        </w:rPr>
        <w:t xml:space="preserve"> </w:t>
      </w:r>
      <w:r w:rsidR="00365C69" w:rsidRPr="00B14741">
        <w:rPr>
          <w:rFonts w:asciiTheme="minorBidi" w:hAnsiTheme="minorBidi"/>
        </w:rPr>
        <w:t>However, interview responses may be influenced by participants' personal interpretations and require considerable time for transcription and analysis.</w:t>
      </w:r>
    </w:p>
    <w:p w14:paraId="6B708AA7" w14:textId="2104B70F" w:rsidR="00365C69" w:rsidRPr="00B14741" w:rsidRDefault="00734107" w:rsidP="00B14741">
      <w:pPr>
        <w:spacing w:line="360" w:lineRule="auto"/>
        <w:jc w:val="both"/>
        <w:rPr>
          <w:rFonts w:asciiTheme="minorBidi" w:hAnsiTheme="minorBidi"/>
          <w:b/>
          <w:bCs/>
        </w:rPr>
      </w:pPr>
      <w:r>
        <w:rPr>
          <w:rFonts w:asciiTheme="minorBidi" w:hAnsiTheme="minorBidi"/>
          <w:b/>
          <w:bCs/>
        </w:rPr>
        <w:t xml:space="preserve">   </w:t>
      </w:r>
      <w:r w:rsidR="00365C69" w:rsidRPr="00B14741">
        <w:rPr>
          <w:rFonts w:asciiTheme="minorBidi" w:hAnsiTheme="minorBidi"/>
          <w:b/>
          <w:bCs/>
        </w:rPr>
        <w:t>Target Population and Sampling Technique</w:t>
      </w:r>
    </w:p>
    <w:p w14:paraId="578406B4" w14:textId="77777777" w:rsidR="00365C69" w:rsidRPr="00B14741" w:rsidRDefault="00365C69" w:rsidP="00B14741">
      <w:pPr>
        <w:spacing w:line="360" w:lineRule="auto"/>
        <w:jc w:val="both"/>
        <w:rPr>
          <w:rFonts w:asciiTheme="minorBidi" w:hAnsiTheme="minorBidi"/>
        </w:rPr>
      </w:pPr>
      <w:r w:rsidRPr="00B14741">
        <w:rPr>
          <w:rFonts w:asciiTheme="minorBidi" w:hAnsiTheme="minorBidi"/>
        </w:rPr>
        <w:t>The target population for this research will consist of university students experiencing well-being challenges, including academic stress, chronic illness, and mental health difficulties within higher education institutions.</w:t>
      </w:r>
    </w:p>
    <w:p w14:paraId="66183CF8" w14:textId="3400BB65" w:rsidR="00C05A25" w:rsidRPr="00B14741" w:rsidRDefault="00365C69" w:rsidP="003C15B8">
      <w:pPr>
        <w:spacing w:line="360" w:lineRule="auto"/>
        <w:jc w:val="both"/>
        <w:rPr>
          <w:rFonts w:asciiTheme="minorBidi" w:hAnsiTheme="minorBidi"/>
        </w:rPr>
      </w:pPr>
      <w:r w:rsidRPr="00B14741">
        <w:rPr>
          <w:rFonts w:asciiTheme="minorBidi" w:hAnsiTheme="minorBidi"/>
        </w:rPr>
        <w:t>A purposive sampling technique will be adopted to select participants with direct experience relevant to the research topic. Purposive sampling is appropriate because it enables the researcher to recruit information-rich participants capable of providing meaningful insights into student well-being and university support systems (Patton, 2015; Saunders et al., 2023).</w:t>
      </w:r>
    </w:p>
    <w:p w14:paraId="0ABC88B2" w14:textId="58E8739E" w:rsidR="00365C69" w:rsidRDefault="00365C69" w:rsidP="00297313">
      <w:pPr>
        <w:spacing w:line="360" w:lineRule="auto"/>
        <w:jc w:val="both"/>
        <w:rPr>
          <w:rFonts w:asciiTheme="minorBidi" w:hAnsiTheme="minorBidi"/>
        </w:rPr>
      </w:pPr>
      <w:r w:rsidRPr="00B14741">
        <w:rPr>
          <w:rFonts w:asciiTheme="minorBidi" w:hAnsiTheme="minorBidi"/>
        </w:rPr>
        <w:t xml:space="preserve">Approximately 6–10 participants will be recruited, depending on accessibility and ethical considerations. Data collection will continue until thematic saturation is reached, meaning no significant new themes emerge from additional interviews </w:t>
      </w:r>
      <w:r w:rsidR="00297313" w:rsidRPr="00297313">
        <w:rPr>
          <w:rFonts w:asciiTheme="minorBidi" w:hAnsiTheme="minorBidi"/>
        </w:rPr>
        <w:t>(Guest, Bunce and Johnson, 2006)</w:t>
      </w:r>
      <w:r w:rsidRPr="00B14741">
        <w:rPr>
          <w:rFonts w:asciiTheme="minorBidi" w:hAnsiTheme="minorBidi"/>
        </w:rPr>
        <w:t>. However, saturation should not be viewed as a fixed numerical target because the richness of data depends on the complexity of the topic and participants' experiences. Therefore, saturation</w:t>
      </w:r>
      <w:r w:rsidR="005048B4">
        <w:rPr>
          <w:rFonts w:asciiTheme="minorBidi" w:hAnsiTheme="minorBidi"/>
        </w:rPr>
        <w:t xml:space="preserve"> </w:t>
      </w:r>
      <w:r w:rsidRPr="00B14741">
        <w:rPr>
          <w:rFonts w:asciiTheme="minorBidi" w:hAnsiTheme="minorBidi"/>
        </w:rPr>
        <w:t>will be treated as an ongoing process throughout data collection and analysis.</w:t>
      </w:r>
    </w:p>
    <w:p w14:paraId="054EAC44" w14:textId="77777777" w:rsidR="00150AB5" w:rsidRDefault="00150AB5" w:rsidP="00B14741">
      <w:pPr>
        <w:spacing w:line="360" w:lineRule="auto"/>
        <w:jc w:val="both"/>
        <w:rPr>
          <w:rFonts w:asciiTheme="minorBidi" w:hAnsiTheme="minorBidi"/>
        </w:rPr>
      </w:pPr>
    </w:p>
    <w:p w14:paraId="179EB672" w14:textId="77777777" w:rsidR="000866EB" w:rsidRDefault="000866EB" w:rsidP="00B14741">
      <w:pPr>
        <w:spacing w:line="360" w:lineRule="auto"/>
        <w:jc w:val="both"/>
        <w:rPr>
          <w:rFonts w:asciiTheme="minorBidi" w:hAnsiTheme="minorBidi"/>
          <w:b/>
          <w:bCs/>
        </w:rPr>
      </w:pPr>
    </w:p>
    <w:p w14:paraId="7DD4CD88" w14:textId="01C63698" w:rsidR="00365C69" w:rsidRPr="00B14741" w:rsidRDefault="00734107" w:rsidP="00B14741">
      <w:pPr>
        <w:spacing w:line="360" w:lineRule="auto"/>
        <w:jc w:val="both"/>
        <w:rPr>
          <w:rFonts w:asciiTheme="minorBidi" w:hAnsiTheme="minorBidi"/>
          <w:b/>
          <w:bCs/>
        </w:rPr>
      </w:pPr>
      <w:r>
        <w:rPr>
          <w:rFonts w:asciiTheme="minorBidi" w:hAnsiTheme="minorBidi"/>
          <w:b/>
          <w:bCs/>
        </w:rPr>
        <w:t xml:space="preserve">   </w:t>
      </w:r>
      <w:r w:rsidR="00365C69" w:rsidRPr="00B14741">
        <w:rPr>
          <w:rFonts w:asciiTheme="minorBidi" w:hAnsiTheme="minorBidi"/>
          <w:b/>
          <w:bCs/>
        </w:rPr>
        <w:t xml:space="preserve"> Data Analysis Techniques</w:t>
      </w:r>
    </w:p>
    <w:p w14:paraId="67DDD570" w14:textId="77777777" w:rsidR="00365C69" w:rsidRPr="00B14741" w:rsidRDefault="00365C69" w:rsidP="00B14741">
      <w:pPr>
        <w:spacing w:line="360" w:lineRule="auto"/>
        <w:jc w:val="both"/>
        <w:rPr>
          <w:rFonts w:asciiTheme="minorBidi" w:hAnsiTheme="minorBidi"/>
        </w:rPr>
      </w:pPr>
      <w:r w:rsidRPr="00B14741">
        <w:rPr>
          <w:rFonts w:asciiTheme="minorBidi" w:hAnsiTheme="minorBidi"/>
        </w:rPr>
        <w:lastRenderedPageBreak/>
        <w:t>The collected data will be analysed using thematic analysis. Braun and Clarke (2022) describe thematic analysis as a flexible qualitative method used to identify patterns, themes, and meanings within participant responses.</w:t>
      </w:r>
    </w:p>
    <w:p w14:paraId="44520D6B" w14:textId="18A1150B" w:rsidR="00365C69" w:rsidRPr="00B14741" w:rsidRDefault="00365C69" w:rsidP="00B14741">
      <w:pPr>
        <w:spacing w:line="360" w:lineRule="auto"/>
        <w:jc w:val="both"/>
        <w:rPr>
          <w:rFonts w:asciiTheme="minorBidi" w:hAnsiTheme="minorBidi"/>
        </w:rPr>
      </w:pPr>
      <w:r w:rsidRPr="00B14741">
        <w:rPr>
          <w:rFonts w:asciiTheme="minorBidi" w:hAnsiTheme="minorBidi"/>
        </w:rPr>
        <w:t>Interview recordings will first be transcribed and organised systematically</w:t>
      </w:r>
      <w:r w:rsidR="00AB0959" w:rsidRPr="00B14741">
        <w:rPr>
          <w:rFonts w:asciiTheme="minorBidi" w:hAnsiTheme="minorBidi"/>
        </w:rPr>
        <w:t>. The data will then be coded into themes relating to proactive leadership, student well-being, psychological safety, and organisational support.</w:t>
      </w:r>
    </w:p>
    <w:p w14:paraId="1AD992A5" w14:textId="5A15A8F5" w:rsidR="00365C69" w:rsidRPr="00B14741" w:rsidRDefault="00365C69" w:rsidP="00B14741">
      <w:pPr>
        <w:spacing w:line="360" w:lineRule="auto"/>
        <w:jc w:val="both"/>
        <w:rPr>
          <w:rFonts w:asciiTheme="minorBidi" w:hAnsiTheme="minorBidi"/>
        </w:rPr>
      </w:pPr>
      <w:r w:rsidRPr="00B14741">
        <w:rPr>
          <w:rFonts w:asciiTheme="minorBidi" w:hAnsiTheme="minorBidi"/>
        </w:rPr>
        <w:t xml:space="preserve">Thematic analysis is appropriate because it enables detailed interpretation of participants' experiences while maintaining flexibility during data analysis. However, Braun and Clarke (2022) acknowledge that the process </w:t>
      </w:r>
      <w:r w:rsidR="00720B4F" w:rsidRPr="00B14741">
        <w:rPr>
          <w:rFonts w:asciiTheme="minorBidi" w:hAnsiTheme="minorBidi"/>
        </w:rPr>
        <w:t>may influenced</w:t>
      </w:r>
      <w:r w:rsidRPr="00B14741">
        <w:rPr>
          <w:rFonts w:asciiTheme="minorBidi" w:hAnsiTheme="minorBidi"/>
        </w:rPr>
        <w:t xml:space="preserve"> by researcher interpretation during coding and theme development.</w:t>
      </w:r>
    </w:p>
    <w:p w14:paraId="27DB9670" w14:textId="548E462B" w:rsidR="00365C69" w:rsidRPr="00B14741" w:rsidRDefault="00734107" w:rsidP="00B14741">
      <w:pPr>
        <w:spacing w:line="360" w:lineRule="auto"/>
        <w:jc w:val="both"/>
        <w:rPr>
          <w:rFonts w:asciiTheme="minorBidi" w:hAnsiTheme="minorBidi"/>
          <w:b/>
          <w:bCs/>
        </w:rPr>
      </w:pPr>
      <w:r>
        <w:rPr>
          <w:rFonts w:asciiTheme="minorBidi" w:hAnsiTheme="minorBidi"/>
          <w:b/>
          <w:bCs/>
        </w:rPr>
        <w:t xml:space="preserve">   </w:t>
      </w:r>
      <w:r w:rsidR="00365C69" w:rsidRPr="00B14741">
        <w:rPr>
          <w:rFonts w:asciiTheme="minorBidi" w:hAnsiTheme="minorBidi"/>
          <w:b/>
          <w:bCs/>
        </w:rPr>
        <w:t xml:space="preserve"> Researcher Positionality</w:t>
      </w:r>
    </w:p>
    <w:p w14:paraId="2EE7A1D1" w14:textId="28D7164F" w:rsidR="00883B85" w:rsidRPr="00B14741" w:rsidRDefault="00883B85" w:rsidP="00883B85">
      <w:pPr>
        <w:spacing w:line="360" w:lineRule="auto"/>
        <w:jc w:val="both"/>
        <w:rPr>
          <w:rFonts w:asciiTheme="minorBidi" w:hAnsiTheme="minorBidi"/>
        </w:rPr>
      </w:pPr>
      <w:r w:rsidRPr="00883B85">
        <w:rPr>
          <w:rFonts w:asciiTheme="minorBidi" w:hAnsiTheme="minorBidi"/>
        </w:rPr>
        <w:t>The researcher recognises her position as a mature university student with strong interest in student well-being and support within higher education. This perspective may help develop a better understanding of participants' experiences, but it may influence how the data are interpreted. Therefore, reflexivity will be maintained throughout the research process to ensure that the findings are based on participants' perspectives rather than the researcher's personal views.</w:t>
      </w:r>
    </w:p>
    <w:p w14:paraId="32850B2A" w14:textId="77777777" w:rsidR="00365C69" w:rsidRPr="00B14741" w:rsidRDefault="00365C69" w:rsidP="00B14741">
      <w:pPr>
        <w:spacing w:line="360" w:lineRule="auto"/>
        <w:jc w:val="both"/>
        <w:rPr>
          <w:rFonts w:asciiTheme="minorBidi" w:hAnsiTheme="minorBidi"/>
        </w:rPr>
      </w:pPr>
    </w:p>
    <w:p w14:paraId="27B92F7A" w14:textId="77777777" w:rsidR="00C05A25" w:rsidRPr="00B14741" w:rsidRDefault="00C05A25" w:rsidP="00B14741">
      <w:pPr>
        <w:spacing w:line="360" w:lineRule="auto"/>
        <w:jc w:val="both"/>
        <w:rPr>
          <w:rFonts w:asciiTheme="minorBidi" w:hAnsiTheme="minorBidi"/>
        </w:rPr>
      </w:pPr>
    </w:p>
    <w:p w14:paraId="07664629" w14:textId="103A867C" w:rsidR="009A038D" w:rsidRPr="00B14741" w:rsidRDefault="009A038D" w:rsidP="00B14741">
      <w:pPr>
        <w:pStyle w:val="ListParagraph"/>
        <w:numPr>
          <w:ilvl w:val="0"/>
          <w:numId w:val="9"/>
        </w:numPr>
        <w:spacing w:line="360" w:lineRule="auto"/>
        <w:jc w:val="both"/>
        <w:rPr>
          <w:rFonts w:asciiTheme="minorBidi" w:hAnsiTheme="minorBidi"/>
          <w:b/>
          <w:bCs/>
        </w:rPr>
      </w:pPr>
      <w:r w:rsidRPr="00B14741">
        <w:rPr>
          <w:rFonts w:asciiTheme="minorBidi" w:hAnsiTheme="minorBidi"/>
          <w:b/>
          <w:bCs/>
        </w:rPr>
        <w:t xml:space="preserve"> Ethical Considerations</w:t>
      </w:r>
    </w:p>
    <w:p w14:paraId="7964BDCD" w14:textId="2642FCAB" w:rsidR="00CD0DDE" w:rsidRPr="008B09AE" w:rsidRDefault="009A038D" w:rsidP="00CD0DDE">
      <w:pPr>
        <w:spacing w:line="360" w:lineRule="auto"/>
        <w:jc w:val="both"/>
        <w:rPr>
          <w:rFonts w:asciiTheme="minorBidi" w:hAnsiTheme="minorBidi"/>
        </w:rPr>
      </w:pPr>
      <w:r w:rsidRPr="008B09AE">
        <w:rPr>
          <w:rFonts w:asciiTheme="minorBidi" w:hAnsiTheme="minorBidi"/>
        </w:rPr>
        <w:t>Ethica</w:t>
      </w:r>
      <w:r w:rsidR="008B09AE">
        <w:rPr>
          <w:rFonts w:asciiTheme="minorBidi" w:hAnsiTheme="minorBidi"/>
        </w:rPr>
        <w:t xml:space="preserve">l </w:t>
      </w:r>
      <w:r w:rsidR="00CD0DDE" w:rsidRPr="008B09AE">
        <w:rPr>
          <w:rFonts w:asciiTheme="minorBidi" w:hAnsiTheme="minorBidi"/>
        </w:rPr>
        <w:t xml:space="preserve">considerations are especially important because this research explores sensitive topics related to mental health and student well-being. The </w:t>
      </w:r>
      <w:r w:rsidR="006850B6" w:rsidRPr="008B09AE">
        <w:rPr>
          <w:rFonts w:asciiTheme="minorBidi" w:hAnsiTheme="minorBidi"/>
        </w:rPr>
        <w:t>study follows</w:t>
      </w:r>
      <w:r w:rsidR="00CD0DDE" w:rsidRPr="008B09AE">
        <w:rPr>
          <w:rFonts w:asciiTheme="minorBidi" w:hAnsiTheme="minorBidi"/>
        </w:rPr>
        <w:t xml:space="preserve"> the university's ethical guidelines, and informed consent will be obtained from all participants before the interviews begin.</w:t>
      </w:r>
    </w:p>
    <w:p w14:paraId="28D26B58" w14:textId="77777777" w:rsidR="00CD0DDE" w:rsidRPr="008B09AE" w:rsidRDefault="00CD0DDE" w:rsidP="00CD0DDE">
      <w:pPr>
        <w:spacing w:line="360" w:lineRule="auto"/>
        <w:jc w:val="both"/>
        <w:rPr>
          <w:rFonts w:asciiTheme="minorBidi" w:hAnsiTheme="minorBidi"/>
        </w:rPr>
      </w:pPr>
      <w:r w:rsidRPr="008B09AE">
        <w:rPr>
          <w:rFonts w:asciiTheme="minorBidi" w:hAnsiTheme="minorBidi"/>
        </w:rPr>
        <w:t>Before taking part, participants will receive clear information about the purpose of the research, how their data will be used, their right to withdraw at any time, and the measures taken to protect confidentiality. Their identities will remain anonymous, and all personal information will remain confidential throughout the study.</w:t>
      </w:r>
    </w:p>
    <w:p w14:paraId="2B6CCAD7" w14:textId="739FD893" w:rsidR="00CD0DDE" w:rsidRPr="008B09AE" w:rsidRDefault="00CD0DDE" w:rsidP="00CD0DDE">
      <w:pPr>
        <w:spacing w:line="360" w:lineRule="auto"/>
        <w:jc w:val="both"/>
        <w:rPr>
          <w:rFonts w:asciiTheme="minorBidi" w:hAnsiTheme="minorBidi"/>
        </w:rPr>
      </w:pPr>
      <w:r w:rsidRPr="008B09AE">
        <w:rPr>
          <w:rFonts w:asciiTheme="minorBidi" w:hAnsiTheme="minorBidi"/>
        </w:rPr>
        <w:t xml:space="preserve">Interview questions will </w:t>
      </w:r>
      <w:r w:rsidR="00C444E4" w:rsidRPr="008B09AE">
        <w:rPr>
          <w:rFonts w:asciiTheme="minorBidi" w:hAnsiTheme="minorBidi"/>
        </w:rPr>
        <w:t>be prepared</w:t>
      </w:r>
      <w:r w:rsidRPr="008B09AE">
        <w:rPr>
          <w:rFonts w:asciiTheme="minorBidi" w:hAnsiTheme="minorBidi"/>
        </w:rPr>
        <w:t xml:space="preserve"> to reduce emotional discomfort. As the research focuses on mental health and chronic illness, participants may choose not to answer </w:t>
      </w:r>
      <w:r w:rsidRPr="008B09AE">
        <w:rPr>
          <w:rFonts w:asciiTheme="minorBidi" w:hAnsiTheme="minorBidi"/>
        </w:rPr>
        <w:lastRenderedPageBreak/>
        <w:t>any question, pause or stop the interview, or withdraw from the study at any stage without giving a reason. If a participant becomes distressed, the interview will stop immediately if they wish, and information about appropriate university well-being or counselling services will be provided if needed.</w:t>
      </w:r>
    </w:p>
    <w:p w14:paraId="5BEB830C" w14:textId="44B1FF7A" w:rsidR="009A038D" w:rsidRPr="00150AB5" w:rsidRDefault="009A038D" w:rsidP="00150AB5">
      <w:pPr>
        <w:pStyle w:val="ListParagraph"/>
        <w:numPr>
          <w:ilvl w:val="0"/>
          <w:numId w:val="9"/>
        </w:numPr>
        <w:spacing w:line="360" w:lineRule="auto"/>
        <w:jc w:val="both"/>
        <w:rPr>
          <w:rFonts w:asciiTheme="minorBidi" w:hAnsiTheme="minorBidi"/>
          <w:b/>
          <w:bCs/>
        </w:rPr>
      </w:pPr>
      <w:r w:rsidRPr="00150AB5">
        <w:rPr>
          <w:rFonts w:asciiTheme="minorBidi" w:hAnsiTheme="minorBidi"/>
          <w:b/>
          <w:bCs/>
        </w:rPr>
        <w:t>Trustworthiness of the Research</w:t>
      </w:r>
    </w:p>
    <w:p w14:paraId="52028570" w14:textId="4CA7FA41" w:rsidR="00646681" w:rsidRPr="00646681" w:rsidRDefault="00646681" w:rsidP="00646681">
      <w:pPr>
        <w:spacing w:line="360" w:lineRule="auto"/>
        <w:jc w:val="both"/>
        <w:rPr>
          <w:rFonts w:asciiTheme="minorBidi" w:hAnsiTheme="minorBidi"/>
        </w:rPr>
      </w:pPr>
      <w:r w:rsidRPr="00646681">
        <w:rPr>
          <w:rFonts w:asciiTheme="minorBidi" w:hAnsiTheme="minorBidi"/>
        </w:rPr>
        <w:t>To ensure the quality of the research, this study will apply the trustworthiness framework developed by Lincoln and Guba (1985). Trustworthiness is based on four criteria: credibility, transferability, dependability, and confirmability, which are widely recognised as the qualitative equivalents of validity and reliability (Lincoln and Guba, 1985).</w:t>
      </w:r>
    </w:p>
    <w:p w14:paraId="45C5F4E0" w14:textId="4D26D5CB" w:rsidR="00646681" w:rsidRPr="00646681" w:rsidRDefault="00646681" w:rsidP="00FB3798">
      <w:pPr>
        <w:spacing w:line="360" w:lineRule="auto"/>
        <w:jc w:val="both"/>
        <w:rPr>
          <w:rFonts w:asciiTheme="minorBidi" w:hAnsiTheme="minorBidi"/>
        </w:rPr>
      </w:pPr>
      <w:r w:rsidRPr="00646681">
        <w:rPr>
          <w:rFonts w:asciiTheme="minorBidi" w:hAnsiTheme="minorBidi"/>
        </w:rPr>
        <w:t xml:space="preserve">Credibility will be strengthened by accurately transcribing and carefully interpreting the interview data. Transferability will be supported through clear descriptions of the research setting and participants' experiences. Dependability will be enhanced by keeping a clear record of research decisions and procedures, while confirmability will be ensured by grounding the findings in participants' perspectives rather than the researcher's assumptions. </w:t>
      </w:r>
      <w:r w:rsidR="00FB3798" w:rsidRPr="00FB3798">
        <w:rPr>
          <w:rFonts w:asciiTheme="minorBidi" w:hAnsiTheme="minorBidi"/>
        </w:rPr>
        <w:t>These measures will help ensure research quality</w:t>
      </w:r>
      <w:r w:rsidR="003250FD">
        <w:rPr>
          <w:rFonts w:asciiTheme="minorBidi" w:hAnsiTheme="minorBidi"/>
        </w:rPr>
        <w:t>.</w:t>
      </w:r>
    </w:p>
    <w:p w14:paraId="378F40AA" w14:textId="77777777" w:rsidR="00646681" w:rsidRPr="00B14741" w:rsidRDefault="00646681" w:rsidP="00B14741">
      <w:pPr>
        <w:spacing w:line="360" w:lineRule="auto"/>
        <w:jc w:val="both"/>
        <w:rPr>
          <w:rFonts w:asciiTheme="minorBidi" w:hAnsiTheme="minorBidi"/>
        </w:rPr>
      </w:pPr>
    </w:p>
    <w:p w14:paraId="6D32EAB6" w14:textId="2F60FC1F" w:rsidR="009A038D" w:rsidRPr="00B14741" w:rsidRDefault="009A038D" w:rsidP="00B14741">
      <w:pPr>
        <w:pStyle w:val="ListParagraph"/>
        <w:numPr>
          <w:ilvl w:val="0"/>
          <w:numId w:val="9"/>
        </w:numPr>
        <w:spacing w:line="360" w:lineRule="auto"/>
        <w:jc w:val="both"/>
        <w:rPr>
          <w:rFonts w:asciiTheme="minorBidi" w:hAnsiTheme="minorBidi"/>
          <w:b/>
          <w:bCs/>
        </w:rPr>
      </w:pPr>
      <w:r w:rsidRPr="00B14741">
        <w:rPr>
          <w:rFonts w:asciiTheme="minorBidi" w:hAnsiTheme="minorBidi"/>
          <w:b/>
          <w:bCs/>
        </w:rPr>
        <w:t xml:space="preserve"> Research Limitations</w:t>
      </w:r>
    </w:p>
    <w:p w14:paraId="59C986EA" w14:textId="730C9EE9" w:rsidR="009A038D" w:rsidRPr="00B14741" w:rsidRDefault="009A038D" w:rsidP="00B14741">
      <w:pPr>
        <w:spacing w:line="360" w:lineRule="auto"/>
        <w:jc w:val="both"/>
        <w:rPr>
          <w:rFonts w:asciiTheme="minorBidi" w:hAnsiTheme="minorBidi"/>
        </w:rPr>
      </w:pPr>
      <w:r w:rsidRPr="00B14741">
        <w:rPr>
          <w:rFonts w:asciiTheme="minorBidi" w:hAnsiTheme="minorBidi"/>
        </w:rPr>
        <w:t>Several limitations may affect the research findings. Firstly, the relatively small sample size may limit the transferability of findings to wider university populations. Secondly, the research relies on self-reported experiences, which may be influenced by personal</w:t>
      </w:r>
      <w:r w:rsidR="00886CF4" w:rsidRPr="00B14741">
        <w:rPr>
          <w:rFonts w:asciiTheme="minorBidi" w:hAnsiTheme="minorBidi"/>
        </w:rPr>
        <w:t xml:space="preserve"> </w:t>
      </w:r>
      <w:r w:rsidRPr="00B14741">
        <w:rPr>
          <w:rFonts w:asciiTheme="minorBidi" w:hAnsiTheme="minorBidi"/>
        </w:rPr>
        <w:t>perception, memory, and emotional interpretation.</w:t>
      </w:r>
      <w:r w:rsidR="00886CF4" w:rsidRPr="00B14741">
        <w:rPr>
          <w:rFonts w:asciiTheme="minorBidi" w:hAnsiTheme="minorBidi"/>
        </w:rPr>
        <w:t xml:space="preserve"> </w:t>
      </w:r>
      <w:r w:rsidRPr="00B14741">
        <w:rPr>
          <w:rFonts w:asciiTheme="minorBidi" w:hAnsiTheme="minorBidi"/>
        </w:rPr>
        <w:t xml:space="preserve">Additionally, qualitative interviews may introduce researcher subjectivity during data interpretation and thematic coding. </w:t>
      </w:r>
      <w:r w:rsidR="00800849" w:rsidRPr="00B14741">
        <w:rPr>
          <w:rFonts w:asciiTheme="minorBidi" w:hAnsiTheme="minorBidi"/>
        </w:rPr>
        <w:t>Time limitations and participant availability may affect data collection.</w:t>
      </w:r>
    </w:p>
    <w:p w14:paraId="2349B2D9" w14:textId="77777777" w:rsidR="009A038D" w:rsidRPr="00B14741" w:rsidRDefault="009A038D" w:rsidP="00B14741">
      <w:pPr>
        <w:spacing w:line="360" w:lineRule="auto"/>
        <w:jc w:val="both"/>
        <w:rPr>
          <w:rFonts w:asciiTheme="minorBidi" w:hAnsiTheme="minorBidi"/>
        </w:rPr>
      </w:pPr>
      <w:r w:rsidRPr="00B14741">
        <w:rPr>
          <w:rFonts w:asciiTheme="minorBidi" w:hAnsiTheme="minorBidi"/>
        </w:rPr>
        <w:t>Despite these limitations, the study is expected to provide valuable insight into how proactive university leadership strategies, psychological safety, and supportive organisational cultures may contribute positively to student well-being and resilience within higher education environments.</w:t>
      </w:r>
    </w:p>
    <w:p w14:paraId="5AD84691" w14:textId="640F87C6" w:rsidR="002944F3" w:rsidRPr="00B14741" w:rsidRDefault="002944F3" w:rsidP="00B14741">
      <w:pPr>
        <w:pStyle w:val="ListParagraph"/>
        <w:numPr>
          <w:ilvl w:val="0"/>
          <w:numId w:val="9"/>
        </w:numPr>
        <w:spacing w:line="360" w:lineRule="auto"/>
        <w:jc w:val="both"/>
        <w:rPr>
          <w:rFonts w:asciiTheme="minorBidi" w:hAnsiTheme="minorBidi"/>
          <w:b/>
          <w:bCs/>
        </w:rPr>
      </w:pPr>
      <w:r w:rsidRPr="00B14741">
        <w:rPr>
          <w:rFonts w:asciiTheme="minorBidi" w:hAnsiTheme="minorBidi"/>
          <w:b/>
          <w:bCs/>
        </w:rPr>
        <w:t>Project Plan</w:t>
      </w:r>
    </w:p>
    <w:p w14:paraId="3617FC5F" w14:textId="7F628567" w:rsidR="002944F3" w:rsidRPr="00B14741" w:rsidRDefault="002944F3" w:rsidP="00B14741">
      <w:pPr>
        <w:spacing w:line="360" w:lineRule="auto"/>
        <w:jc w:val="both"/>
        <w:rPr>
          <w:rFonts w:asciiTheme="minorBidi" w:hAnsiTheme="minorBidi"/>
        </w:rPr>
      </w:pPr>
      <w:r w:rsidRPr="00B14741">
        <w:rPr>
          <w:rFonts w:asciiTheme="minorBidi" w:hAnsiTheme="minorBidi"/>
        </w:rPr>
        <w:lastRenderedPageBreak/>
        <w:t>This research project will be conducted through several organised stages to ensure that the study remains manageable and academically structured.</w:t>
      </w:r>
      <w:r w:rsidR="00C570B2" w:rsidRPr="00B14741">
        <w:rPr>
          <w:rFonts w:asciiTheme="minorBidi" w:hAnsiTheme="minorBidi"/>
        </w:rPr>
        <w:t xml:space="preserve"> The first stage will involve refining the research topic and conducting preliminary reading</w:t>
      </w:r>
      <w:r w:rsidR="00A47E24" w:rsidRPr="00B14741">
        <w:rPr>
          <w:rFonts w:asciiTheme="minorBidi" w:hAnsiTheme="minorBidi"/>
        </w:rPr>
        <w:t>.</w:t>
      </w:r>
    </w:p>
    <w:p w14:paraId="51399E3B" w14:textId="3A7FCBD6" w:rsidR="002944F3" w:rsidRPr="00B14741" w:rsidRDefault="00693112" w:rsidP="00B14741">
      <w:pPr>
        <w:spacing w:line="360" w:lineRule="auto"/>
        <w:jc w:val="both"/>
        <w:rPr>
          <w:rFonts w:asciiTheme="minorBidi" w:hAnsiTheme="minorBidi"/>
        </w:rPr>
      </w:pPr>
      <w:r w:rsidRPr="00B14741">
        <w:rPr>
          <w:rFonts w:asciiTheme="minorBidi" w:hAnsiTheme="minorBidi"/>
        </w:rPr>
        <w:t xml:space="preserve">The second stage will involve conducting a literature review using academic sources. </w:t>
      </w:r>
      <w:r w:rsidR="002944F3" w:rsidRPr="00B14741">
        <w:rPr>
          <w:rFonts w:asciiTheme="minorBidi" w:hAnsiTheme="minorBidi"/>
        </w:rPr>
        <w:t>Following this, the research methodology will be developed, including justification of the interpretivist philosophy, inductive approach, qualitative methodology, purposive sampling, and thematic analysis.</w:t>
      </w:r>
    </w:p>
    <w:p w14:paraId="2A780F7B" w14:textId="77777777" w:rsidR="002944F3" w:rsidRPr="00B14741" w:rsidRDefault="002944F3" w:rsidP="00B14741">
      <w:pPr>
        <w:spacing w:line="360" w:lineRule="auto"/>
        <w:jc w:val="both"/>
        <w:rPr>
          <w:rFonts w:asciiTheme="minorBidi" w:hAnsiTheme="minorBidi"/>
        </w:rPr>
      </w:pPr>
      <w:r w:rsidRPr="00B14741">
        <w:rPr>
          <w:rFonts w:asciiTheme="minorBidi" w:hAnsiTheme="minorBidi"/>
        </w:rPr>
        <w:t>Following ethical approval, participants will be recruited and semi-structured interviews will be conducted. The collected data will then be transcribed and analysed thematically to identify key themes related to proactive leadership, organisational culture, psychological safety, and student resilience.</w:t>
      </w:r>
    </w:p>
    <w:p w14:paraId="70676F01" w14:textId="4366F277" w:rsidR="00F7246F" w:rsidRPr="009258BA" w:rsidRDefault="002944F3" w:rsidP="009258BA">
      <w:pPr>
        <w:spacing w:line="360" w:lineRule="auto"/>
        <w:jc w:val="both"/>
        <w:rPr>
          <w:rFonts w:asciiTheme="minorBidi" w:hAnsiTheme="minorBidi"/>
        </w:rPr>
      </w:pPr>
      <w:r w:rsidRPr="00B14741">
        <w:rPr>
          <w:rFonts w:asciiTheme="minorBidi" w:hAnsiTheme="minorBidi"/>
        </w:rPr>
        <w:t>Finally, the findings will be discussed in relation to the literature and research objectives before the study is reviewed, proofread, and prepared for final submission</w:t>
      </w:r>
    </w:p>
    <w:p w14:paraId="0FF778CA" w14:textId="77777777" w:rsidR="00895C48" w:rsidRDefault="00895C48" w:rsidP="00834CD5">
      <w:pPr>
        <w:jc w:val="both"/>
        <w:rPr>
          <w:rFonts w:asciiTheme="minorBidi" w:hAnsiTheme="minorBidi"/>
          <w:b/>
          <w:bCs/>
          <w:sz w:val="28"/>
          <w:szCs w:val="28"/>
        </w:rPr>
      </w:pPr>
    </w:p>
    <w:p w14:paraId="3EB2960B" w14:textId="1C41C17F" w:rsidR="002E5AA6" w:rsidRDefault="002E5AA6" w:rsidP="00834CD5">
      <w:pPr>
        <w:jc w:val="both"/>
        <w:rPr>
          <w:rFonts w:asciiTheme="minorBidi" w:hAnsiTheme="minorBidi"/>
          <w:b/>
          <w:bCs/>
          <w:sz w:val="28"/>
          <w:szCs w:val="28"/>
        </w:rPr>
      </w:pPr>
      <w:r w:rsidRPr="002E5AA6">
        <w:rPr>
          <w:rFonts w:asciiTheme="minorBidi" w:hAnsiTheme="minorBidi"/>
          <w:b/>
          <w:bCs/>
          <w:sz w:val="28"/>
          <w:szCs w:val="28"/>
        </w:rPr>
        <w:drawing>
          <wp:inline distT="0" distB="0" distL="0" distR="0" wp14:anchorId="21A8D415" wp14:editId="386E2F75">
            <wp:extent cx="5731510" cy="3508375"/>
            <wp:effectExtent l="0" t="0" r="2540" b="0"/>
            <wp:docPr id="2024635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35447" name=""/>
                    <pic:cNvPicPr/>
                  </pic:nvPicPr>
                  <pic:blipFill>
                    <a:blip r:embed="rId8"/>
                    <a:stretch>
                      <a:fillRect/>
                    </a:stretch>
                  </pic:blipFill>
                  <pic:spPr>
                    <a:xfrm>
                      <a:off x="0" y="0"/>
                      <a:ext cx="5731510" cy="3508375"/>
                    </a:xfrm>
                    <a:prstGeom prst="rect">
                      <a:avLst/>
                    </a:prstGeom>
                  </pic:spPr>
                </pic:pic>
              </a:graphicData>
            </a:graphic>
          </wp:inline>
        </w:drawing>
      </w:r>
    </w:p>
    <w:p w14:paraId="7209815E" w14:textId="77777777" w:rsidR="009258BA" w:rsidRDefault="009258BA" w:rsidP="00834CD5">
      <w:pPr>
        <w:jc w:val="both"/>
        <w:rPr>
          <w:rFonts w:asciiTheme="minorBidi" w:hAnsiTheme="minorBidi"/>
          <w:b/>
          <w:bCs/>
          <w:sz w:val="28"/>
          <w:szCs w:val="28"/>
        </w:rPr>
      </w:pPr>
    </w:p>
    <w:p w14:paraId="46F6C949" w14:textId="77777777" w:rsidR="009258BA" w:rsidRDefault="009258BA" w:rsidP="00834CD5">
      <w:pPr>
        <w:jc w:val="both"/>
        <w:rPr>
          <w:rFonts w:asciiTheme="minorBidi" w:hAnsiTheme="minorBidi"/>
          <w:b/>
          <w:bCs/>
          <w:sz w:val="28"/>
          <w:szCs w:val="28"/>
        </w:rPr>
      </w:pPr>
    </w:p>
    <w:p w14:paraId="136D7F12" w14:textId="77777777" w:rsidR="002B654F" w:rsidRDefault="002B654F" w:rsidP="00834CD5">
      <w:pPr>
        <w:jc w:val="both"/>
        <w:rPr>
          <w:rFonts w:asciiTheme="minorBidi" w:hAnsiTheme="minorBidi"/>
          <w:b/>
          <w:bCs/>
          <w:sz w:val="28"/>
          <w:szCs w:val="28"/>
        </w:rPr>
      </w:pPr>
    </w:p>
    <w:p w14:paraId="72609DE4" w14:textId="76D1000A" w:rsidR="00834CD5" w:rsidRPr="00C50C25" w:rsidRDefault="00C50C25" w:rsidP="00C50C25">
      <w:pPr>
        <w:ind w:left="360"/>
        <w:jc w:val="both"/>
        <w:rPr>
          <w:rFonts w:asciiTheme="minorBidi" w:hAnsiTheme="minorBidi"/>
          <w:b/>
          <w:bCs/>
          <w:sz w:val="28"/>
          <w:szCs w:val="28"/>
        </w:rPr>
      </w:pPr>
      <w:r>
        <w:rPr>
          <w:rFonts w:asciiTheme="minorBidi" w:hAnsiTheme="minorBidi"/>
          <w:b/>
          <w:bCs/>
          <w:sz w:val="28"/>
          <w:szCs w:val="28"/>
        </w:rPr>
        <w:lastRenderedPageBreak/>
        <w:t xml:space="preserve">   12.</w:t>
      </w:r>
      <w:r w:rsidR="00834CD5" w:rsidRPr="00C50C25">
        <w:rPr>
          <w:rFonts w:asciiTheme="minorBidi" w:hAnsiTheme="minorBidi"/>
          <w:b/>
          <w:bCs/>
          <w:sz w:val="28"/>
          <w:szCs w:val="28"/>
        </w:rPr>
        <w:t>References</w:t>
      </w:r>
      <w:r w:rsidR="004E7AFE" w:rsidRPr="00C50C25">
        <w:rPr>
          <w:rFonts w:asciiTheme="minorBidi" w:hAnsiTheme="minorBidi"/>
          <w:b/>
          <w:bCs/>
          <w:sz w:val="28"/>
          <w:szCs w:val="28"/>
        </w:rPr>
        <w:t xml:space="preserve"> </w:t>
      </w:r>
    </w:p>
    <w:p w14:paraId="442CCD16" w14:textId="77777777" w:rsidR="002B7738" w:rsidRPr="002B7738" w:rsidRDefault="002B7738" w:rsidP="002B7738">
      <w:pPr>
        <w:jc w:val="both"/>
        <w:rPr>
          <w:rFonts w:asciiTheme="minorBidi" w:hAnsiTheme="minorBidi"/>
        </w:rPr>
      </w:pPr>
      <w:r w:rsidRPr="002B7738">
        <w:rPr>
          <w:rFonts w:asciiTheme="minorBidi" w:hAnsiTheme="minorBidi"/>
        </w:rPr>
        <w:t>Baik, C., Larcombe, W. and Brooker, A. (2019) ‘How universities can enhance student mental wellbeing: The student perspective’, Higher Education Research &amp; Development, 38(4), pp. 674–687.</w:t>
      </w:r>
    </w:p>
    <w:p w14:paraId="05C49F0F" w14:textId="77777777" w:rsidR="002B7738" w:rsidRPr="002B7738" w:rsidRDefault="002B7738" w:rsidP="002B7738">
      <w:pPr>
        <w:jc w:val="both"/>
        <w:rPr>
          <w:rFonts w:asciiTheme="minorBidi" w:hAnsiTheme="minorBidi"/>
        </w:rPr>
      </w:pPr>
      <w:r w:rsidRPr="002B7738">
        <w:rPr>
          <w:rFonts w:asciiTheme="minorBidi" w:hAnsiTheme="minorBidi"/>
        </w:rPr>
        <w:t>Bovill, C. (2020) ‘Co-creating learning and teaching: Towards relational pedagogy in higher education’, Higher Education, 79(6), pp. 1023–1037.</w:t>
      </w:r>
    </w:p>
    <w:p w14:paraId="6316C2A9" w14:textId="77777777" w:rsidR="002B7738" w:rsidRPr="002B7738" w:rsidRDefault="002B7738" w:rsidP="002B7738">
      <w:pPr>
        <w:jc w:val="both"/>
        <w:rPr>
          <w:rFonts w:asciiTheme="minorBidi" w:hAnsiTheme="minorBidi"/>
        </w:rPr>
      </w:pPr>
      <w:r w:rsidRPr="002B7738">
        <w:rPr>
          <w:rFonts w:asciiTheme="minorBidi" w:hAnsiTheme="minorBidi"/>
        </w:rPr>
        <w:t>Braun, V. and Clarke, V. (2006) ‘Using thematic analysis in psychology’, Qualitative Research in Psychology, 3(2), pp. 77–101.</w:t>
      </w:r>
    </w:p>
    <w:p w14:paraId="7B36C0C8" w14:textId="77777777" w:rsidR="002B7738" w:rsidRPr="002B7738" w:rsidRDefault="002B7738" w:rsidP="002B7738">
      <w:pPr>
        <w:jc w:val="both"/>
        <w:rPr>
          <w:rFonts w:asciiTheme="minorBidi" w:hAnsiTheme="minorBidi"/>
        </w:rPr>
      </w:pPr>
      <w:r w:rsidRPr="002B7738">
        <w:rPr>
          <w:rFonts w:asciiTheme="minorBidi" w:hAnsiTheme="minorBidi"/>
        </w:rPr>
        <w:t>Braun, V. and Clarke, V. (2022) Thematic Analysis: A Practical Guide. London: Sage.</w:t>
      </w:r>
    </w:p>
    <w:p w14:paraId="7E8EAE5D" w14:textId="77777777" w:rsidR="002B7738" w:rsidRPr="002B7738" w:rsidRDefault="002B7738" w:rsidP="002B7738">
      <w:pPr>
        <w:jc w:val="both"/>
        <w:rPr>
          <w:rFonts w:asciiTheme="minorBidi" w:hAnsiTheme="minorBidi"/>
        </w:rPr>
      </w:pPr>
      <w:r w:rsidRPr="002B7738">
        <w:rPr>
          <w:rFonts w:asciiTheme="minorBidi" w:hAnsiTheme="minorBidi"/>
        </w:rPr>
        <w:t xml:space="preserve">Creswell, J.W. and Creswell, J.D. (2023) Research Design: Qualitative, Quantitative and Mixed Methods Approaches. 6th </w:t>
      </w:r>
      <w:proofErr w:type="spellStart"/>
      <w:r w:rsidRPr="002B7738">
        <w:rPr>
          <w:rFonts w:asciiTheme="minorBidi" w:hAnsiTheme="minorBidi"/>
        </w:rPr>
        <w:t>edn</w:t>
      </w:r>
      <w:proofErr w:type="spellEnd"/>
      <w:r w:rsidRPr="002B7738">
        <w:rPr>
          <w:rFonts w:asciiTheme="minorBidi" w:hAnsiTheme="minorBidi"/>
        </w:rPr>
        <w:t>. Thousand Oaks, CA: Sage.</w:t>
      </w:r>
    </w:p>
    <w:p w14:paraId="42C433C6" w14:textId="77777777" w:rsidR="002B7738" w:rsidRPr="002B7738" w:rsidRDefault="002B7738" w:rsidP="002B7738">
      <w:pPr>
        <w:jc w:val="both"/>
        <w:rPr>
          <w:rFonts w:asciiTheme="minorBidi" w:hAnsiTheme="minorBidi"/>
        </w:rPr>
      </w:pPr>
      <w:r w:rsidRPr="002B7738">
        <w:rPr>
          <w:rFonts w:asciiTheme="minorBidi" w:hAnsiTheme="minorBidi"/>
        </w:rPr>
        <w:t>Edmondson, A.C. (1999) ‘Psychological safety and learning behaviour in work teams’, Administrative Science Quarterly, 44(2), pp. 350–383.</w:t>
      </w:r>
    </w:p>
    <w:p w14:paraId="7C0314DC" w14:textId="77777777" w:rsidR="002B7738" w:rsidRPr="002B7738" w:rsidRDefault="002B7738" w:rsidP="002B7738">
      <w:pPr>
        <w:jc w:val="both"/>
        <w:rPr>
          <w:rFonts w:asciiTheme="minorBidi" w:hAnsiTheme="minorBidi"/>
        </w:rPr>
      </w:pPr>
      <w:r w:rsidRPr="002B7738">
        <w:rPr>
          <w:rFonts w:asciiTheme="minorBidi" w:hAnsiTheme="minorBidi"/>
        </w:rPr>
        <w:t>Eisenberger, R., Huntington, R., Hutchison, S. and Sowa, D. (1986) ‘Perceived organisational support’, Journal of Applied Psychology, 71(3), pp. 500–507.</w:t>
      </w:r>
    </w:p>
    <w:p w14:paraId="1D442546" w14:textId="77777777" w:rsidR="002B7738" w:rsidRPr="002B7738" w:rsidRDefault="002B7738" w:rsidP="002B7738">
      <w:pPr>
        <w:jc w:val="both"/>
        <w:rPr>
          <w:rFonts w:asciiTheme="minorBidi" w:hAnsiTheme="minorBidi"/>
        </w:rPr>
      </w:pPr>
      <w:r w:rsidRPr="002B7738">
        <w:rPr>
          <w:rFonts w:asciiTheme="minorBidi" w:hAnsiTheme="minorBidi"/>
        </w:rPr>
        <w:t xml:space="preserve">Flick, U. (2023) An Introduction to Qualitative Research. 7th </w:t>
      </w:r>
      <w:proofErr w:type="spellStart"/>
      <w:r w:rsidRPr="002B7738">
        <w:rPr>
          <w:rFonts w:asciiTheme="minorBidi" w:hAnsiTheme="minorBidi"/>
        </w:rPr>
        <w:t>edn</w:t>
      </w:r>
      <w:proofErr w:type="spellEnd"/>
      <w:r w:rsidRPr="002B7738">
        <w:rPr>
          <w:rFonts w:asciiTheme="minorBidi" w:hAnsiTheme="minorBidi"/>
        </w:rPr>
        <w:t>. London: Sage.</w:t>
      </w:r>
    </w:p>
    <w:p w14:paraId="5A56B0E4" w14:textId="77777777" w:rsidR="002B7738" w:rsidRPr="002B7738" w:rsidRDefault="002B7738" w:rsidP="002B7738">
      <w:pPr>
        <w:jc w:val="both"/>
        <w:rPr>
          <w:rFonts w:asciiTheme="minorBidi" w:hAnsiTheme="minorBidi"/>
        </w:rPr>
      </w:pPr>
      <w:r w:rsidRPr="002B7738">
        <w:rPr>
          <w:rFonts w:asciiTheme="minorBidi" w:hAnsiTheme="minorBidi"/>
        </w:rPr>
        <w:t>Guest, G., Bunce, A. and Johnson, L. (2006) ‘How many interviews are enough? An experiment with data saturation and variability’, Field Methods, 18(1), pp. 59–82.</w:t>
      </w:r>
    </w:p>
    <w:p w14:paraId="4ACCF916" w14:textId="77777777" w:rsidR="002B7738" w:rsidRPr="002B7738" w:rsidRDefault="002B7738" w:rsidP="002B7738">
      <w:pPr>
        <w:jc w:val="both"/>
        <w:rPr>
          <w:rFonts w:asciiTheme="minorBidi" w:hAnsiTheme="minorBidi"/>
        </w:rPr>
      </w:pPr>
      <w:r w:rsidRPr="002B7738">
        <w:rPr>
          <w:rFonts w:asciiTheme="minorBidi" w:hAnsiTheme="minorBidi"/>
        </w:rPr>
        <w:t xml:space="preserve">Hughes, G., Panjwani, M., </w:t>
      </w:r>
      <w:proofErr w:type="spellStart"/>
      <w:r w:rsidRPr="002B7738">
        <w:rPr>
          <w:rFonts w:asciiTheme="minorBidi" w:hAnsiTheme="minorBidi"/>
        </w:rPr>
        <w:t>Tulcidas</w:t>
      </w:r>
      <w:proofErr w:type="spellEnd"/>
      <w:r w:rsidRPr="002B7738">
        <w:rPr>
          <w:rFonts w:asciiTheme="minorBidi" w:hAnsiTheme="minorBidi"/>
        </w:rPr>
        <w:t>, P. and Byrom, N. (2018) Student Mental Health: The Role and Experiences of Academics. Leeds: Student Minds.</w:t>
      </w:r>
    </w:p>
    <w:p w14:paraId="347CAE2A" w14:textId="77777777" w:rsidR="002B7738" w:rsidRPr="002B7738" w:rsidRDefault="002B7738" w:rsidP="002B7738">
      <w:pPr>
        <w:jc w:val="both"/>
        <w:rPr>
          <w:rFonts w:asciiTheme="minorBidi" w:hAnsiTheme="minorBidi"/>
        </w:rPr>
      </w:pPr>
      <w:r w:rsidRPr="002B7738">
        <w:rPr>
          <w:rFonts w:asciiTheme="minorBidi" w:hAnsiTheme="minorBidi"/>
        </w:rPr>
        <w:t>Kahu, E.R. and Nelson, K. (2018) ‘Student engagement in the educational interface: Understanding the mechanisms of student success’, Higher Education Research &amp; Development, 37(1), pp. 58–71.</w:t>
      </w:r>
    </w:p>
    <w:p w14:paraId="2E324DB0" w14:textId="77777777" w:rsidR="002B7738" w:rsidRPr="002B7738" w:rsidRDefault="002B7738" w:rsidP="002B7738">
      <w:pPr>
        <w:jc w:val="both"/>
        <w:rPr>
          <w:rFonts w:asciiTheme="minorBidi" w:hAnsiTheme="minorBidi"/>
        </w:rPr>
      </w:pPr>
      <w:r w:rsidRPr="002B7738">
        <w:rPr>
          <w:rFonts w:asciiTheme="minorBidi" w:hAnsiTheme="minorBidi"/>
        </w:rPr>
        <w:t>Lincoln, Y.S. and Guba, E.G. (1985) Naturalistic Inquiry. Beverly Hills, CA: Sage.</w:t>
      </w:r>
    </w:p>
    <w:p w14:paraId="5ADB16E7" w14:textId="77777777" w:rsidR="002B7738" w:rsidRPr="002B7738" w:rsidRDefault="002B7738" w:rsidP="002B7738">
      <w:pPr>
        <w:jc w:val="both"/>
        <w:rPr>
          <w:rFonts w:asciiTheme="minorBidi" w:hAnsiTheme="minorBidi"/>
        </w:rPr>
      </w:pPr>
      <w:r w:rsidRPr="002B7738">
        <w:rPr>
          <w:rFonts w:asciiTheme="minorBidi" w:hAnsiTheme="minorBidi"/>
        </w:rPr>
        <w:t xml:space="preserve">Northouse, P.G. (2021) Leadership: Theory and Practice. 9th </w:t>
      </w:r>
      <w:proofErr w:type="spellStart"/>
      <w:r w:rsidRPr="002B7738">
        <w:rPr>
          <w:rFonts w:asciiTheme="minorBidi" w:hAnsiTheme="minorBidi"/>
        </w:rPr>
        <w:t>edn</w:t>
      </w:r>
      <w:proofErr w:type="spellEnd"/>
      <w:r w:rsidRPr="002B7738">
        <w:rPr>
          <w:rFonts w:asciiTheme="minorBidi" w:hAnsiTheme="minorBidi"/>
        </w:rPr>
        <w:t>. Thousand Oaks, CA: Sage.</w:t>
      </w:r>
    </w:p>
    <w:p w14:paraId="220A7E14" w14:textId="77777777" w:rsidR="002B7738" w:rsidRPr="002B7738" w:rsidRDefault="002B7738" w:rsidP="002B7738">
      <w:pPr>
        <w:jc w:val="both"/>
        <w:rPr>
          <w:rFonts w:asciiTheme="minorBidi" w:hAnsiTheme="minorBidi"/>
        </w:rPr>
      </w:pPr>
      <w:proofErr w:type="spellStart"/>
      <w:r w:rsidRPr="002B7738">
        <w:rPr>
          <w:rFonts w:asciiTheme="minorBidi" w:hAnsiTheme="minorBidi"/>
        </w:rPr>
        <w:t>Oades</w:t>
      </w:r>
      <w:proofErr w:type="spellEnd"/>
      <w:r w:rsidRPr="002B7738">
        <w:rPr>
          <w:rFonts w:asciiTheme="minorBidi" w:hAnsiTheme="minorBidi"/>
        </w:rPr>
        <w:t>, L.G., Robinson, P., Green, S. and Spence, G.B. (2011) ‘Towards a positive university’, The Journal of Positive Psychology, 6(6), pp. 432–439.</w:t>
      </w:r>
    </w:p>
    <w:p w14:paraId="079376CC" w14:textId="77777777" w:rsidR="002B7738" w:rsidRPr="002B7738" w:rsidRDefault="002B7738" w:rsidP="002B7738">
      <w:pPr>
        <w:jc w:val="both"/>
        <w:rPr>
          <w:rFonts w:asciiTheme="minorBidi" w:hAnsiTheme="minorBidi"/>
        </w:rPr>
      </w:pPr>
      <w:r w:rsidRPr="002B7738">
        <w:rPr>
          <w:rFonts w:asciiTheme="minorBidi" w:hAnsiTheme="minorBidi"/>
        </w:rPr>
        <w:t xml:space="preserve">Patton, M.Q. (2015) Qualitative Research and Evaluation Methods. 4th </w:t>
      </w:r>
      <w:proofErr w:type="spellStart"/>
      <w:r w:rsidRPr="002B7738">
        <w:rPr>
          <w:rFonts w:asciiTheme="minorBidi" w:hAnsiTheme="minorBidi"/>
        </w:rPr>
        <w:t>edn</w:t>
      </w:r>
      <w:proofErr w:type="spellEnd"/>
      <w:r w:rsidRPr="002B7738">
        <w:rPr>
          <w:rFonts w:asciiTheme="minorBidi" w:hAnsiTheme="minorBidi"/>
        </w:rPr>
        <w:t>. Thousand Oaks, CA: Sage.</w:t>
      </w:r>
    </w:p>
    <w:p w14:paraId="3F41260F" w14:textId="77777777" w:rsidR="002B7738" w:rsidRPr="002B7738" w:rsidRDefault="002B7738" w:rsidP="002B7738">
      <w:pPr>
        <w:jc w:val="both"/>
        <w:rPr>
          <w:rFonts w:asciiTheme="minorBidi" w:hAnsiTheme="minorBidi"/>
        </w:rPr>
      </w:pPr>
      <w:r w:rsidRPr="002B7738">
        <w:rPr>
          <w:rFonts w:asciiTheme="minorBidi" w:hAnsiTheme="minorBidi"/>
        </w:rPr>
        <w:t xml:space="preserve">Saunders, M., Lewis, P. and Thornhill, A. (2023) Research Methods for Business Students. 9th </w:t>
      </w:r>
      <w:proofErr w:type="spellStart"/>
      <w:r w:rsidRPr="002B7738">
        <w:rPr>
          <w:rFonts w:asciiTheme="minorBidi" w:hAnsiTheme="minorBidi"/>
        </w:rPr>
        <w:t>edn</w:t>
      </w:r>
      <w:proofErr w:type="spellEnd"/>
      <w:r w:rsidRPr="002B7738">
        <w:rPr>
          <w:rFonts w:asciiTheme="minorBidi" w:hAnsiTheme="minorBidi"/>
        </w:rPr>
        <w:t>. Harlow: Pearson.</w:t>
      </w:r>
    </w:p>
    <w:p w14:paraId="415DDEE6" w14:textId="77777777" w:rsidR="002B7738" w:rsidRPr="002B7738" w:rsidRDefault="002B7738" w:rsidP="002B7738">
      <w:pPr>
        <w:jc w:val="both"/>
        <w:rPr>
          <w:rFonts w:asciiTheme="minorBidi" w:hAnsiTheme="minorBidi"/>
        </w:rPr>
      </w:pPr>
      <w:r w:rsidRPr="002B7738">
        <w:rPr>
          <w:rFonts w:asciiTheme="minorBidi" w:hAnsiTheme="minorBidi"/>
        </w:rPr>
        <w:t>Stallman, H.M. (2010) ‘Psychological distress in university students: A comparison with general population data’, Australian Psychologist, 45(4), pp. 249–257.</w:t>
      </w:r>
    </w:p>
    <w:p w14:paraId="493CE20A" w14:textId="77777777" w:rsidR="002B7738" w:rsidRPr="002B7738" w:rsidRDefault="002B7738" w:rsidP="002B7738">
      <w:pPr>
        <w:jc w:val="both"/>
        <w:rPr>
          <w:rFonts w:asciiTheme="minorBidi" w:hAnsiTheme="minorBidi"/>
        </w:rPr>
      </w:pPr>
      <w:r w:rsidRPr="002B7738">
        <w:rPr>
          <w:rFonts w:asciiTheme="minorBidi" w:hAnsiTheme="minorBidi"/>
        </w:rPr>
        <w:lastRenderedPageBreak/>
        <w:t>Student Minds (2023) The University Mental Health Charter Framework. Leeds: Student Minds.</w:t>
      </w:r>
    </w:p>
    <w:p w14:paraId="3FB87439" w14:textId="77777777" w:rsidR="002B7738" w:rsidRPr="002B7738" w:rsidRDefault="002B7738" w:rsidP="002B7738">
      <w:pPr>
        <w:jc w:val="both"/>
        <w:rPr>
          <w:rFonts w:asciiTheme="minorBidi" w:hAnsiTheme="minorBidi"/>
        </w:rPr>
      </w:pPr>
      <w:r w:rsidRPr="002B7738">
        <w:rPr>
          <w:rFonts w:asciiTheme="minorBidi" w:hAnsiTheme="minorBidi"/>
        </w:rPr>
        <w:t>Thomas, L. (2012) Building Student Engagement and Belonging in Higher Education at a Time of Change: Final Report from the What Works? Student Retention and Success Programme. London: Paul Hamlyn Foundation.</w:t>
      </w:r>
    </w:p>
    <w:p w14:paraId="224F7956" w14:textId="77777777" w:rsidR="002B7738" w:rsidRPr="002B7738" w:rsidRDefault="002B7738" w:rsidP="002B7738">
      <w:pPr>
        <w:jc w:val="both"/>
        <w:rPr>
          <w:rFonts w:asciiTheme="minorBidi" w:hAnsiTheme="minorBidi"/>
        </w:rPr>
      </w:pPr>
      <w:r w:rsidRPr="002B7738">
        <w:rPr>
          <w:rFonts w:asciiTheme="minorBidi" w:hAnsiTheme="minorBidi"/>
        </w:rPr>
        <w:t>Tinto, V. (2017) ‘Through the eyes of students’, Journal of College Student Retention: Research, Theory &amp; Practice, 19(3), pp. 254–269.</w:t>
      </w:r>
    </w:p>
    <w:p w14:paraId="520F9D7D" w14:textId="77777777" w:rsidR="00F7246F" w:rsidRDefault="00F7246F" w:rsidP="00F7246F">
      <w:pPr>
        <w:jc w:val="both"/>
        <w:rPr>
          <w:rFonts w:asciiTheme="minorBidi" w:hAnsiTheme="minorBidi"/>
        </w:rPr>
      </w:pPr>
    </w:p>
    <w:sectPr w:rsidR="00F7246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2B735" w14:textId="77777777" w:rsidR="004E32AD" w:rsidRDefault="004E32AD" w:rsidP="00320170">
      <w:pPr>
        <w:spacing w:after="0" w:line="240" w:lineRule="auto"/>
      </w:pPr>
      <w:r>
        <w:separator/>
      </w:r>
    </w:p>
  </w:endnote>
  <w:endnote w:type="continuationSeparator" w:id="0">
    <w:p w14:paraId="2942280F" w14:textId="77777777" w:rsidR="004E32AD" w:rsidRDefault="004E32AD" w:rsidP="00320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66471"/>
      <w:docPartObj>
        <w:docPartGallery w:val="Page Numbers (Bottom of Page)"/>
        <w:docPartUnique/>
      </w:docPartObj>
    </w:sdtPr>
    <w:sdtEndPr/>
    <w:sdtContent>
      <w:p w14:paraId="3051DD74" w14:textId="03522873" w:rsidR="00320170" w:rsidRDefault="00320170">
        <w:pPr>
          <w:pStyle w:val="Footer"/>
          <w:jc w:val="center"/>
        </w:pPr>
        <w:r>
          <w:fldChar w:fldCharType="begin"/>
        </w:r>
        <w:r>
          <w:instrText>PAGE   \* MERGEFORMAT</w:instrText>
        </w:r>
        <w:r>
          <w:fldChar w:fldCharType="separate"/>
        </w:r>
        <w:r>
          <w:t>2</w:t>
        </w:r>
        <w:r>
          <w:fldChar w:fldCharType="end"/>
        </w:r>
      </w:p>
    </w:sdtContent>
  </w:sdt>
  <w:p w14:paraId="717AD485" w14:textId="77777777" w:rsidR="00320170" w:rsidRDefault="00320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ED809" w14:textId="77777777" w:rsidR="004E32AD" w:rsidRDefault="004E32AD" w:rsidP="00320170">
      <w:pPr>
        <w:spacing w:after="0" w:line="240" w:lineRule="auto"/>
      </w:pPr>
      <w:r>
        <w:separator/>
      </w:r>
    </w:p>
  </w:footnote>
  <w:footnote w:type="continuationSeparator" w:id="0">
    <w:p w14:paraId="0864A043" w14:textId="77777777" w:rsidR="004E32AD" w:rsidRDefault="004E32AD" w:rsidP="00320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3DD"/>
    <w:multiLevelType w:val="hybridMultilevel"/>
    <w:tmpl w:val="499EB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5514F"/>
    <w:multiLevelType w:val="hybridMultilevel"/>
    <w:tmpl w:val="EEE09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2E6D48"/>
    <w:multiLevelType w:val="multilevel"/>
    <w:tmpl w:val="82709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0265E7"/>
    <w:multiLevelType w:val="multilevel"/>
    <w:tmpl w:val="382C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03556A"/>
    <w:multiLevelType w:val="multilevel"/>
    <w:tmpl w:val="1750D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481BA2"/>
    <w:multiLevelType w:val="hybridMultilevel"/>
    <w:tmpl w:val="CC1E5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864125"/>
    <w:multiLevelType w:val="multilevel"/>
    <w:tmpl w:val="D396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EE69A6"/>
    <w:multiLevelType w:val="multilevel"/>
    <w:tmpl w:val="806AE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6E4303"/>
    <w:multiLevelType w:val="multilevel"/>
    <w:tmpl w:val="058C1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78777D"/>
    <w:multiLevelType w:val="multilevel"/>
    <w:tmpl w:val="96AC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4575B4"/>
    <w:multiLevelType w:val="multilevel"/>
    <w:tmpl w:val="B8AAD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B444A8"/>
    <w:multiLevelType w:val="multilevel"/>
    <w:tmpl w:val="4634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5309960">
    <w:abstractNumId w:val="8"/>
  </w:num>
  <w:num w:numId="2" w16cid:durableId="1608007578">
    <w:abstractNumId w:val="6"/>
  </w:num>
  <w:num w:numId="3" w16cid:durableId="1228682212">
    <w:abstractNumId w:val="4"/>
  </w:num>
  <w:num w:numId="4" w16cid:durableId="2110614453">
    <w:abstractNumId w:val="10"/>
  </w:num>
  <w:num w:numId="5" w16cid:durableId="667825514">
    <w:abstractNumId w:val="9"/>
  </w:num>
  <w:num w:numId="6" w16cid:durableId="1156841949">
    <w:abstractNumId w:val="11"/>
  </w:num>
  <w:num w:numId="7" w16cid:durableId="785781283">
    <w:abstractNumId w:val="3"/>
  </w:num>
  <w:num w:numId="8" w16cid:durableId="1031032488">
    <w:abstractNumId w:val="2"/>
  </w:num>
  <w:num w:numId="9" w16cid:durableId="1652440462">
    <w:abstractNumId w:val="7"/>
  </w:num>
  <w:num w:numId="10" w16cid:durableId="1300568789">
    <w:abstractNumId w:val="0"/>
  </w:num>
  <w:num w:numId="11" w16cid:durableId="540943337">
    <w:abstractNumId w:val="5"/>
  </w:num>
  <w:num w:numId="12" w16cid:durableId="817379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46F"/>
    <w:rsid w:val="00026CF5"/>
    <w:rsid w:val="00031CB3"/>
    <w:rsid w:val="00055832"/>
    <w:rsid w:val="00080FA0"/>
    <w:rsid w:val="000866EB"/>
    <w:rsid w:val="00091E31"/>
    <w:rsid w:val="000A3151"/>
    <w:rsid w:val="000B2DE8"/>
    <w:rsid w:val="000B4D4D"/>
    <w:rsid w:val="000B61FF"/>
    <w:rsid w:val="000B7F9F"/>
    <w:rsid w:val="000D1782"/>
    <w:rsid w:val="000F22A0"/>
    <w:rsid w:val="000F4F4A"/>
    <w:rsid w:val="00124D2E"/>
    <w:rsid w:val="001304C2"/>
    <w:rsid w:val="00142054"/>
    <w:rsid w:val="00150960"/>
    <w:rsid w:val="00150AB5"/>
    <w:rsid w:val="0016014B"/>
    <w:rsid w:val="00190B67"/>
    <w:rsid w:val="001A777B"/>
    <w:rsid w:val="001C446B"/>
    <w:rsid w:val="001C66D8"/>
    <w:rsid w:val="001D703B"/>
    <w:rsid w:val="00200428"/>
    <w:rsid w:val="00202BFF"/>
    <w:rsid w:val="0020540A"/>
    <w:rsid w:val="00215506"/>
    <w:rsid w:val="002644B8"/>
    <w:rsid w:val="002652CF"/>
    <w:rsid w:val="00281795"/>
    <w:rsid w:val="002944F3"/>
    <w:rsid w:val="00297313"/>
    <w:rsid w:val="002B5584"/>
    <w:rsid w:val="002B654F"/>
    <w:rsid w:val="002B7738"/>
    <w:rsid w:val="002C680D"/>
    <w:rsid w:val="002E5AA6"/>
    <w:rsid w:val="002E5F3D"/>
    <w:rsid w:val="002F2071"/>
    <w:rsid w:val="00306747"/>
    <w:rsid w:val="003075FB"/>
    <w:rsid w:val="00314285"/>
    <w:rsid w:val="00320170"/>
    <w:rsid w:val="003213D6"/>
    <w:rsid w:val="003250FD"/>
    <w:rsid w:val="0033396C"/>
    <w:rsid w:val="00354A56"/>
    <w:rsid w:val="00355D1F"/>
    <w:rsid w:val="00365C69"/>
    <w:rsid w:val="00374156"/>
    <w:rsid w:val="00376FC2"/>
    <w:rsid w:val="00384AB7"/>
    <w:rsid w:val="00386FD9"/>
    <w:rsid w:val="00392AFE"/>
    <w:rsid w:val="003944D6"/>
    <w:rsid w:val="003A659D"/>
    <w:rsid w:val="003B2E8F"/>
    <w:rsid w:val="003B3109"/>
    <w:rsid w:val="003C0EC9"/>
    <w:rsid w:val="003C15B8"/>
    <w:rsid w:val="003D19C1"/>
    <w:rsid w:val="003D3FB4"/>
    <w:rsid w:val="003D4614"/>
    <w:rsid w:val="0040420C"/>
    <w:rsid w:val="00411E6E"/>
    <w:rsid w:val="00424619"/>
    <w:rsid w:val="004435AF"/>
    <w:rsid w:val="004462FD"/>
    <w:rsid w:val="00474027"/>
    <w:rsid w:val="00476988"/>
    <w:rsid w:val="004963CE"/>
    <w:rsid w:val="004B09C2"/>
    <w:rsid w:val="004B2314"/>
    <w:rsid w:val="004C0B5A"/>
    <w:rsid w:val="004E32AD"/>
    <w:rsid w:val="004E7AFE"/>
    <w:rsid w:val="005048B4"/>
    <w:rsid w:val="00507061"/>
    <w:rsid w:val="00512541"/>
    <w:rsid w:val="00521794"/>
    <w:rsid w:val="00522130"/>
    <w:rsid w:val="005449A7"/>
    <w:rsid w:val="00551065"/>
    <w:rsid w:val="00556FBA"/>
    <w:rsid w:val="0057022B"/>
    <w:rsid w:val="005746BC"/>
    <w:rsid w:val="0058151A"/>
    <w:rsid w:val="0059186E"/>
    <w:rsid w:val="005A312A"/>
    <w:rsid w:val="005B0822"/>
    <w:rsid w:val="005B6F56"/>
    <w:rsid w:val="005C6FDD"/>
    <w:rsid w:val="005D7B9F"/>
    <w:rsid w:val="005F4AE6"/>
    <w:rsid w:val="006122F3"/>
    <w:rsid w:val="00617A92"/>
    <w:rsid w:val="0064416A"/>
    <w:rsid w:val="00645547"/>
    <w:rsid w:val="00646681"/>
    <w:rsid w:val="00653B34"/>
    <w:rsid w:val="00666D47"/>
    <w:rsid w:val="00676626"/>
    <w:rsid w:val="00681A72"/>
    <w:rsid w:val="006850B6"/>
    <w:rsid w:val="00693112"/>
    <w:rsid w:val="006B4180"/>
    <w:rsid w:val="006C0AA4"/>
    <w:rsid w:val="006C29A2"/>
    <w:rsid w:val="006E7CC6"/>
    <w:rsid w:val="006F120D"/>
    <w:rsid w:val="0070257F"/>
    <w:rsid w:val="00720B4F"/>
    <w:rsid w:val="00722677"/>
    <w:rsid w:val="00725ABB"/>
    <w:rsid w:val="00725FEE"/>
    <w:rsid w:val="00734107"/>
    <w:rsid w:val="00740EB2"/>
    <w:rsid w:val="00797A6B"/>
    <w:rsid w:val="007A14E4"/>
    <w:rsid w:val="007A43F1"/>
    <w:rsid w:val="007C36EB"/>
    <w:rsid w:val="007D5669"/>
    <w:rsid w:val="007F736C"/>
    <w:rsid w:val="007F7749"/>
    <w:rsid w:val="00800849"/>
    <w:rsid w:val="00804251"/>
    <w:rsid w:val="00834CD5"/>
    <w:rsid w:val="00835CD0"/>
    <w:rsid w:val="00841710"/>
    <w:rsid w:val="00841FFB"/>
    <w:rsid w:val="00875BAA"/>
    <w:rsid w:val="0088173D"/>
    <w:rsid w:val="00883B85"/>
    <w:rsid w:val="00886CF4"/>
    <w:rsid w:val="00895C48"/>
    <w:rsid w:val="008B09AE"/>
    <w:rsid w:val="008B5D13"/>
    <w:rsid w:val="008D45E4"/>
    <w:rsid w:val="008E3AD6"/>
    <w:rsid w:val="008F50ED"/>
    <w:rsid w:val="009258BA"/>
    <w:rsid w:val="0092745A"/>
    <w:rsid w:val="00935C82"/>
    <w:rsid w:val="009528EA"/>
    <w:rsid w:val="009738E9"/>
    <w:rsid w:val="0098511A"/>
    <w:rsid w:val="0099539F"/>
    <w:rsid w:val="00995936"/>
    <w:rsid w:val="009967DE"/>
    <w:rsid w:val="009A038D"/>
    <w:rsid w:val="009A5332"/>
    <w:rsid w:val="009A64CA"/>
    <w:rsid w:val="009A69FB"/>
    <w:rsid w:val="009B351C"/>
    <w:rsid w:val="009B7F58"/>
    <w:rsid w:val="009C154B"/>
    <w:rsid w:val="009C22AB"/>
    <w:rsid w:val="009D6DFE"/>
    <w:rsid w:val="009D7780"/>
    <w:rsid w:val="009E7A43"/>
    <w:rsid w:val="009F6D56"/>
    <w:rsid w:val="00A00308"/>
    <w:rsid w:val="00A07A90"/>
    <w:rsid w:val="00A10E22"/>
    <w:rsid w:val="00A15053"/>
    <w:rsid w:val="00A165FF"/>
    <w:rsid w:val="00A257A2"/>
    <w:rsid w:val="00A462FF"/>
    <w:rsid w:val="00A47E24"/>
    <w:rsid w:val="00A5128B"/>
    <w:rsid w:val="00A57776"/>
    <w:rsid w:val="00A64CCA"/>
    <w:rsid w:val="00A75307"/>
    <w:rsid w:val="00AB0959"/>
    <w:rsid w:val="00AE099B"/>
    <w:rsid w:val="00AE2889"/>
    <w:rsid w:val="00B01FBA"/>
    <w:rsid w:val="00B14741"/>
    <w:rsid w:val="00B17BFF"/>
    <w:rsid w:val="00B3561A"/>
    <w:rsid w:val="00B54151"/>
    <w:rsid w:val="00B62BB0"/>
    <w:rsid w:val="00B74912"/>
    <w:rsid w:val="00BB020A"/>
    <w:rsid w:val="00BB0FD3"/>
    <w:rsid w:val="00BE1D8B"/>
    <w:rsid w:val="00BF51AC"/>
    <w:rsid w:val="00C05A25"/>
    <w:rsid w:val="00C342CD"/>
    <w:rsid w:val="00C444E4"/>
    <w:rsid w:val="00C509C1"/>
    <w:rsid w:val="00C50C25"/>
    <w:rsid w:val="00C55D62"/>
    <w:rsid w:val="00C570B2"/>
    <w:rsid w:val="00C93661"/>
    <w:rsid w:val="00C97DCD"/>
    <w:rsid w:val="00CA1DC2"/>
    <w:rsid w:val="00CC07B3"/>
    <w:rsid w:val="00CC1901"/>
    <w:rsid w:val="00CC64DD"/>
    <w:rsid w:val="00CD0DDE"/>
    <w:rsid w:val="00CD50B1"/>
    <w:rsid w:val="00D1314C"/>
    <w:rsid w:val="00D203B1"/>
    <w:rsid w:val="00D32D97"/>
    <w:rsid w:val="00D4159C"/>
    <w:rsid w:val="00D45825"/>
    <w:rsid w:val="00D504C8"/>
    <w:rsid w:val="00D52314"/>
    <w:rsid w:val="00D61750"/>
    <w:rsid w:val="00D706AB"/>
    <w:rsid w:val="00D81A64"/>
    <w:rsid w:val="00DA296C"/>
    <w:rsid w:val="00DF3D25"/>
    <w:rsid w:val="00E40A50"/>
    <w:rsid w:val="00E459D0"/>
    <w:rsid w:val="00E52199"/>
    <w:rsid w:val="00E548E5"/>
    <w:rsid w:val="00E61A4B"/>
    <w:rsid w:val="00E82A1B"/>
    <w:rsid w:val="00E82F61"/>
    <w:rsid w:val="00E96672"/>
    <w:rsid w:val="00EA2B43"/>
    <w:rsid w:val="00EA4C97"/>
    <w:rsid w:val="00EB69B0"/>
    <w:rsid w:val="00EE69BA"/>
    <w:rsid w:val="00EE7462"/>
    <w:rsid w:val="00EF3657"/>
    <w:rsid w:val="00F1135C"/>
    <w:rsid w:val="00F316CA"/>
    <w:rsid w:val="00F33329"/>
    <w:rsid w:val="00F4014B"/>
    <w:rsid w:val="00F44F60"/>
    <w:rsid w:val="00F5168C"/>
    <w:rsid w:val="00F7246F"/>
    <w:rsid w:val="00F73D04"/>
    <w:rsid w:val="00F845A0"/>
    <w:rsid w:val="00FA34FA"/>
    <w:rsid w:val="00FB3798"/>
    <w:rsid w:val="00FD4F2F"/>
    <w:rsid w:val="00FD546F"/>
    <w:rsid w:val="00FE1A8E"/>
    <w:rsid w:val="00FF5D8E"/>
    <w:rsid w:val="00FF6F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7081A"/>
  <w15:chartTrackingRefBased/>
  <w15:docId w15:val="{6E9F996B-BB75-4472-ADBF-A6517989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4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4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46F"/>
    <w:rPr>
      <w:rFonts w:eastAsiaTheme="majorEastAsia" w:cstheme="majorBidi"/>
      <w:color w:val="272727" w:themeColor="text1" w:themeTint="D8"/>
    </w:rPr>
  </w:style>
  <w:style w:type="paragraph" w:styleId="Title">
    <w:name w:val="Title"/>
    <w:basedOn w:val="Normal"/>
    <w:next w:val="Normal"/>
    <w:link w:val="TitleChar"/>
    <w:uiPriority w:val="10"/>
    <w:qFormat/>
    <w:rsid w:val="00F72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46F"/>
    <w:pPr>
      <w:spacing w:before="160"/>
      <w:jc w:val="center"/>
    </w:pPr>
    <w:rPr>
      <w:i/>
      <w:iCs/>
      <w:color w:val="404040" w:themeColor="text1" w:themeTint="BF"/>
    </w:rPr>
  </w:style>
  <w:style w:type="character" w:customStyle="1" w:styleId="QuoteChar">
    <w:name w:val="Quote Char"/>
    <w:basedOn w:val="DefaultParagraphFont"/>
    <w:link w:val="Quote"/>
    <w:uiPriority w:val="29"/>
    <w:rsid w:val="00F7246F"/>
    <w:rPr>
      <w:i/>
      <w:iCs/>
      <w:color w:val="404040" w:themeColor="text1" w:themeTint="BF"/>
    </w:rPr>
  </w:style>
  <w:style w:type="paragraph" w:styleId="ListParagraph">
    <w:name w:val="List Paragraph"/>
    <w:basedOn w:val="Normal"/>
    <w:uiPriority w:val="34"/>
    <w:qFormat/>
    <w:rsid w:val="00F7246F"/>
    <w:pPr>
      <w:ind w:left="720"/>
      <w:contextualSpacing/>
    </w:pPr>
  </w:style>
  <w:style w:type="character" w:styleId="IntenseEmphasis">
    <w:name w:val="Intense Emphasis"/>
    <w:basedOn w:val="DefaultParagraphFont"/>
    <w:uiPriority w:val="21"/>
    <w:qFormat/>
    <w:rsid w:val="00F7246F"/>
    <w:rPr>
      <w:i/>
      <w:iCs/>
      <w:color w:val="0F4761" w:themeColor="accent1" w:themeShade="BF"/>
    </w:rPr>
  </w:style>
  <w:style w:type="paragraph" w:styleId="IntenseQuote">
    <w:name w:val="Intense Quote"/>
    <w:basedOn w:val="Normal"/>
    <w:next w:val="Normal"/>
    <w:link w:val="IntenseQuoteChar"/>
    <w:uiPriority w:val="30"/>
    <w:qFormat/>
    <w:rsid w:val="00F72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46F"/>
    <w:rPr>
      <w:i/>
      <w:iCs/>
      <w:color w:val="0F4761" w:themeColor="accent1" w:themeShade="BF"/>
    </w:rPr>
  </w:style>
  <w:style w:type="character" w:styleId="IntenseReference">
    <w:name w:val="Intense Reference"/>
    <w:basedOn w:val="DefaultParagraphFont"/>
    <w:uiPriority w:val="32"/>
    <w:qFormat/>
    <w:rsid w:val="00F7246F"/>
    <w:rPr>
      <w:b/>
      <w:bCs/>
      <w:smallCaps/>
      <w:color w:val="0F4761" w:themeColor="accent1" w:themeShade="BF"/>
      <w:spacing w:val="5"/>
    </w:rPr>
  </w:style>
  <w:style w:type="character" w:styleId="Hyperlink">
    <w:name w:val="Hyperlink"/>
    <w:basedOn w:val="DefaultParagraphFont"/>
    <w:uiPriority w:val="99"/>
    <w:unhideWhenUsed/>
    <w:rsid w:val="00F7246F"/>
    <w:rPr>
      <w:color w:val="467886" w:themeColor="hyperlink"/>
      <w:u w:val="single"/>
    </w:rPr>
  </w:style>
  <w:style w:type="character" w:styleId="UnresolvedMention">
    <w:name w:val="Unresolved Mention"/>
    <w:basedOn w:val="DefaultParagraphFont"/>
    <w:uiPriority w:val="99"/>
    <w:semiHidden/>
    <w:unhideWhenUsed/>
    <w:rsid w:val="00F7246F"/>
    <w:rPr>
      <w:color w:val="605E5C"/>
      <w:shd w:val="clear" w:color="auto" w:fill="E1DFDD"/>
    </w:rPr>
  </w:style>
  <w:style w:type="character" w:customStyle="1" w:styleId="wacimagecontainer">
    <w:name w:val="wacimagecontainer"/>
    <w:basedOn w:val="DefaultParagraphFont"/>
    <w:rsid w:val="003B2E8F"/>
  </w:style>
  <w:style w:type="paragraph" w:styleId="TOCHeading">
    <w:name w:val="TOC Heading"/>
    <w:basedOn w:val="Heading1"/>
    <w:next w:val="Normal"/>
    <w:uiPriority w:val="39"/>
    <w:unhideWhenUsed/>
    <w:qFormat/>
    <w:rsid w:val="00725FE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725FEE"/>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725FEE"/>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725FEE"/>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320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170"/>
  </w:style>
  <w:style w:type="paragraph" w:styleId="Footer">
    <w:name w:val="footer"/>
    <w:basedOn w:val="Normal"/>
    <w:link w:val="FooterChar"/>
    <w:uiPriority w:val="99"/>
    <w:unhideWhenUsed/>
    <w:rsid w:val="00320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451</TotalTime>
  <Pages>13</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Farache</dc:creator>
  <cp:keywords/>
  <dc:description/>
  <cp:lastModifiedBy>Salma Farache</cp:lastModifiedBy>
  <cp:revision>231</cp:revision>
  <dcterms:created xsi:type="dcterms:W3CDTF">2026-05-25T18:42:00Z</dcterms:created>
  <dcterms:modified xsi:type="dcterms:W3CDTF">2026-06-26T19:11:00Z</dcterms:modified>
</cp:coreProperties>
</file>