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7699CDC3" w:rsidR="00C558B0" w:rsidRPr="00D26E43" w:rsidRDefault="00C558B0" w:rsidP="00C558B0">
      <w:pPr>
        <w:tabs>
          <w:tab w:val="left" w:pos="6540"/>
        </w:tabs>
        <w:spacing w:line="360" w:lineRule="auto"/>
        <w:rPr>
          <w:rFonts w:ascii="Arial" w:hAnsi="Arial" w:cs="Arial"/>
          <w:sz w:val="22"/>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D26E43">
        <w:rPr>
          <w:rFonts w:ascii="Arial" w:hAnsi="Arial" w:cs="Arial"/>
          <w:sz w:val="28"/>
          <w:szCs w:val="28"/>
          <w:lang w:val="nl-NL"/>
        </w:rPr>
        <w:t xml:space="preserve"> Ana Baptista</w:t>
      </w:r>
    </w:p>
    <w:p w14:paraId="18D88AE2" w14:textId="76379B15"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D26E43">
        <w:rPr>
          <w:rFonts w:ascii="Arial" w:hAnsi="Arial" w:cs="Arial"/>
          <w:sz w:val="28"/>
          <w:szCs w:val="28"/>
          <w:lang w:val="nl-NL"/>
        </w:rPr>
        <w:t xml:space="preserve"> 2426392</w:t>
      </w:r>
    </w:p>
    <w:p w14:paraId="3D8DA301" w14:textId="19877F5F"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D26E43">
        <w:rPr>
          <w:rFonts w:ascii="Arial" w:hAnsi="Arial" w:cs="Arial"/>
          <w:sz w:val="28"/>
          <w:szCs w:val="28"/>
          <w:lang w:val="nl-NL"/>
        </w:rPr>
        <w:t>Principles of Health and Social Care Practice</w:t>
      </w:r>
    </w:p>
    <w:p w14:paraId="7DB3261D" w14:textId="2AA8E46A"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D26E43">
        <w:rPr>
          <w:rFonts w:ascii="Arial" w:hAnsi="Arial" w:cs="Arial"/>
          <w:sz w:val="28"/>
          <w:szCs w:val="28"/>
        </w:rPr>
        <w:t xml:space="preserve"> BMHP5016</w:t>
      </w:r>
    </w:p>
    <w:p w14:paraId="04035EB9" w14:textId="1EE01792" w:rsidR="00D26E43" w:rsidRDefault="00D26E43" w:rsidP="00C558B0">
      <w:pPr>
        <w:tabs>
          <w:tab w:val="left" w:pos="6540"/>
        </w:tabs>
        <w:spacing w:line="360" w:lineRule="auto"/>
        <w:rPr>
          <w:rFonts w:ascii="Arial" w:hAnsi="Arial" w:cs="Arial"/>
          <w:sz w:val="28"/>
          <w:szCs w:val="28"/>
        </w:rPr>
      </w:pPr>
      <w:r w:rsidRPr="00D26E43">
        <w:rPr>
          <w:rFonts w:ascii="Arial" w:hAnsi="Arial" w:cs="Arial"/>
          <w:b/>
          <w:bCs/>
          <w:sz w:val="28"/>
          <w:szCs w:val="28"/>
        </w:rPr>
        <w:t>Module Component 2:</w:t>
      </w:r>
      <w:r>
        <w:rPr>
          <w:rFonts w:ascii="Arial" w:hAnsi="Arial" w:cs="Arial"/>
          <w:sz w:val="28"/>
          <w:szCs w:val="28"/>
        </w:rPr>
        <w:t xml:space="preserve"> Written Essay – Person-centred care and ethics of care</w:t>
      </w:r>
    </w:p>
    <w:p w14:paraId="7421C3C1" w14:textId="4E5FC4F7" w:rsidR="00D26E43"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D26E43">
        <w:rPr>
          <w:rFonts w:ascii="Arial" w:hAnsi="Arial" w:cs="Arial"/>
          <w:sz w:val="28"/>
          <w:szCs w:val="28"/>
        </w:rPr>
        <w:t xml:space="preserve"> Dr Mark Kane</w:t>
      </w:r>
    </w:p>
    <w:p w14:paraId="5AB6ADEF" w14:textId="3C5DAF4C" w:rsidR="00D26E43" w:rsidRDefault="00D26E43" w:rsidP="00C558B0">
      <w:pPr>
        <w:tabs>
          <w:tab w:val="left" w:pos="6540"/>
        </w:tabs>
        <w:spacing w:line="360" w:lineRule="auto"/>
        <w:rPr>
          <w:rFonts w:ascii="Arial" w:hAnsi="Arial" w:cs="Arial"/>
          <w:sz w:val="28"/>
          <w:szCs w:val="28"/>
        </w:rPr>
      </w:pPr>
      <w:r w:rsidRPr="00D26E43">
        <w:rPr>
          <w:rFonts w:ascii="Arial" w:hAnsi="Arial" w:cs="Arial"/>
          <w:b/>
          <w:bCs/>
          <w:sz w:val="28"/>
          <w:szCs w:val="28"/>
        </w:rPr>
        <w:t>Submission deadline:</w:t>
      </w:r>
      <w:r>
        <w:rPr>
          <w:rFonts w:ascii="Arial" w:hAnsi="Arial" w:cs="Arial"/>
          <w:sz w:val="28"/>
          <w:szCs w:val="28"/>
        </w:rPr>
        <w:t xml:space="preserve"> 29</w:t>
      </w:r>
      <w:r w:rsidRPr="00D26E43">
        <w:rPr>
          <w:rFonts w:ascii="Arial" w:hAnsi="Arial" w:cs="Arial"/>
          <w:sz w:val="28"/>
          <w:szCs w:val="28"/>
          <w:vertAlign w:val="superscript"/>
        </w:rPr>
        <w:t>th</w:t>
      </w:r>
      <w:r>
        <w:rPr>
          <w:rFonts w:ascii="Arial" w:hAnsi="Arial" w:cs="Arial"/>
          <w:sz w:val="28"/>
          <w:szCs w:val="28"/>
        </w:rPr>
        <w:t xml:space="preserve"> April 2026 (2pm)</w:t>
      </w:r>
    </w:p>
    <w:p w14:paraId="2965E3DC" w14:textId="77777777" w:rsidR="00D26E43" w:rsidRDefault="00D26E43" w:rsidP="00C558B0">
      <w:pPr>
        <w:tabs>
          <w:tab w:val="left" w:pos="6540"/>
        </w:tabs>
        <w:spacing w:line="360" w:lineRule="auto"/>
        <w:rPr>
          <w:rFonts w:ascii="Arial" w:hAnsi="Arial" w:cs="Arial"/>
          <w:sz w:val="28"/>
          <w:szCs w:val="28"/>
        </w:rPr>
      </w:pPr>
    </w:p>
    <w:p w14:paraId="5DCFF97E" w14:textId="77777777" w:rsidR="00D26E43" w:rsidRDefault="00D26E43" w:rsidP="00C558B0">
      <w:pPr>
        <w:tabs>
          <w:tab w:val="left" w:pos="6540"/>
        </w:tabs>
        <w:spacing w:line="360" w:lineRule="auto"/>
        <w:rPr>
          <w:rFonts w:ascii="Arial" w:hAnsi="Arial" w:cs="Arial"/>
          <w:sz w:val="28"/>
          <w:szCs w:val="28"/>
        </w:rPr>
      </w:pPr>
    </w:p>
    <w:p w14:paraId="2A161476" w14:textId="77777777" w:rsidR="00D26E43" w:rsidRDefault="00D26E43" w:rsidP="00C558B0">
      <w:pPr>
        <w:tabs>
          <w:tab w:val="left" w:pos="6540"/>
        </w:tabs>
        <w:spacing w:line="360" w:lineRule="auto"/>
        <w:rPr>
          <w:rFonts w:ascii="Arial" w:hAnsi="Arial" w:cs="Arial"/>
          <w:sz w:val="28"/>
          <w:szCs w:val="28"/>
        </w:rPr>
      </w:pPr>
    </w:p>
    <w:p w14:paraId="3F2D6896" w14:textId="77777777" w:rsidR="00D26E43" w:rsidRDefault="00D26E43" w:rsidP="00C558B0">
      <w:pPr>
        <w:tabs>
          <w:tab w:val="left" w:pos="6540"/>
        </w:tabs>
        <w:spacing w:line="360" w:lineRule="auto"/>
        <w:rPr>
          <w:rFonts w:ascii="Arial" w:hAnsi="Arial" w:cs="Arial"/>
          <w:sz w:val="28"/>
          <w:szCs w:val="28"/>
        </w:rPr>
      </w:pPr>
    </w:p>
    <w:p w14:paraId="6B3AD88D" w14:textId="77777777" w:rsidR="00D26E43" w:rsidRDefault="00D26E43" w:rsidP="00C558B0">
      <w:pPr>
        <w:tabs>
          <w:tab w:val="left" w:pos="6540"/>
        </w:tabs>
        <w:spacing w:line="360" w:lineRule="auto"/>
        <w:rPr>
          <w:rFonts w:ascii="Arial" w:hAnsi="Arial" w:cs="Arial"/>
          <w:sz w:val="28"/>
          <w:szCs w:val="28"/>
        </w:rPr>
      </w:pPr>
    </w:p>
    <w:p w14:paraId="5190824B" w14:textId="77777777" w:rsidR="00D26E43" w:rsidRDefault="00D26E43" w:rsidP="00C558B0">
      <w:pPr>
        <w:tabs>
          <w:tab w:val="left" w:pos="6540"/>
        </w:tabs>
        <w:spacing w:line="360" w:lineRule="auto"/>
        <w:rPr>
          <w:rFonts w:ascii="Arial" w:hAnsi="Arial" w:cs="Arial"/>
          <w:sz w:val="28"/>
          <w:szCs w:val="28"/>
        </w:rPr>
      </w:pPr>
    </w:p>
    <w:p w14:paraId="3F4E634B" w14:textId="77777777" w:rsidR="00D26E43" w:rsidRDefault="00D26E43" w:rsidP="00C558B0">
      <w:pPr>
        <w:tabs>
          <w:tab w:val="left" w:pos="6540"/>
        </w:tabs>
        <w:spacing w:line="360" w:lineRule="auto"/>
        <w:rPr>
          <w:rFonts w:ascii="Arial" w:hAnsi="Arial" w:cs="Arial"/>
          <w:sz w:val="28"/>
          <w:szCs w:val="28"/>
        </w:rPr>
      </w:pPr>
    </w:p>
    <w:p w14:paraId="7616DC96" w14:textId="77777777" w:rsidR="00D26E43" w:rsidRDefault="00D26E43" w:rsidP="00C558B0">
      <w:pPr>
        <w:tabs>
          <w:tab w:val="left" w:pos="6540"/>
        </w:tabs>
        <w:spacing w:line="360" w:lineRule="auto"/>
        <w:rPr>
          <w:rFonts w:ascii="Arial" w:hAnsi="Arial" w:cs="Arial"/>
          <w:sz w:val="28"/>
          <w:szCs w:val="28"/>
        </w:rPr>
      </w:pPr>
    </w:p>
    <w:p w14:paraId="74131409" w14:textId="77777777" w:rsidR="00D26E43" w:rsidRDefault="00D26E43" w:rsidP="00C558B0">
      <w:pPr>
        <w:tabs>
          <w:tab w:val="left" w:pos="6540"/>
        </w:tabs>
        <w:spacing w:line="360" w:lineRule="auto"/>
        <w:rPr>
          <w:rFonts w:ascii="Arial" w:hAnsi="Arial" w:cs="Arial"/>
          <w:sz w:val="28"/>
          <w:szCs w:val="28"/>
        </w:rPr>
      </w:pPr>
    </w:p>
    <w:p w14:paraId="1331574D" w14:textId="7D7280BF" w:rsidR="00D26E43" w:rsidRPr="0041691A" w:rsidRDefault="00D26E43" w:rsidP="00C558B0">
      <w:pPr>
        <w:tabs>
          <w:tab w:val="left" w:pos="6540"/>
        </w:tabs>
        <w:spacing w:line="360" w:lineRule="auto"/>
        <w:rPr>
          <w:rFonts w:ascii="Arial" w:hAnsi="Arial" w:cs="Arial"/>
          <w:sz w:val="22"/>
        </w:rPr>
      </w:pPr>
      <w:r w:rsidRPr="0041691A">
        <w:rPr>
          <w:rFonts w:ascii="Arial" w:hAnsi="Arial" w:cs="Arial"/>
          <w:sz w:val="22"/>
        </w:rPr>
        <w:lastRenderedPageBreak/>
        <w:t>Table of contents</w:t>
      </w:r>
    </w:p>
    <w:p w14:paraId="2C06AF44" w14:textId="77777777" w:rsidR="00D26E43" w:rsidRPr="0041691A" w:rsidRDefault="00D26E43" w:rsidP="00C558B0">
      <w:pPr>
        <w:tabs>
          <w:tab w:val="left" w:pos="6540"/>
        </w:tabs>
        <w:spacing w:line="360" w:lineRule="auto"/>
        <w:rPr>
          <w:rFonts w:ascii="Arial" w:hAnsi="Arial" w:cs="Arial"/>
          <w:sz w:val="22"/>
        </w:rPr>
      </w:pPr>
    </w:p>
    <w:p w14:paraId="6BC87932" w14:textId="0FDD0E7A" w:rsidR="00D26E43" w:rsidRPr="0041691A" w:rsidRDefault="00D26E43" w:rsidP="00C558B0">
      <w:pPr>
        <w:tabs>
          <w:tab w:val="left" w:pos="6540"/>
        </w:tabs>
        <w:spacing w:line="360" w:lineRule="auto"/>
        <w:rPr>
          <w:rFonts w:ascii="Arial" w:hAnsi="Arial" w:cs="Arial"/>
          <w:sz w:val="22"/>
        </w:rPr>
      </w:pPr>
      <w:r w:rsidRPr="0041691A">
        <w:rPr>
          <w:rFonts w:ascii="Arial" w:hAnsi="Arial" w:cs="Arial"/>
          <w:sz w:val="22"/>
        </w:rPr>
        <w:t>Introduction ……………………………………………………………</w:t>
      </w:r>
      <w:r w:rsidR="0041691A">
        <w:rPr>
          <w:rFonts w:ascii="Arial" w:hAnsi="Arial" w:cs="Arial"/>
          <w:sz w:val="22"/>
        </w:rPr>
        <w:t>……………. 3</w:t>
      </w:r>
    </w:p>
    <w:p w14:paraId="369218C0" w14:textId="1FF21C87" w:rsidR="0041691A" w:rsidRDefault="0041691A" w:rsidP="00C558B0">
      <w:pPr>
        <w:tabs>
          <w:tab w:val="left" w:pos="6540"/>
        </w:tabs>
        <w:spacing w:line="360" w:lineRule="auto"/>
        <w:rPr>
          <w:rFonts w:ascii="Arial" w:hAnsi="Arial" w:cs="Arial"/>
          <w:sz w:val="22"/>
        </w:rPr>
      </w:pPr>
      <w:r w:rsidRPr="0041691A">
        <w:rPr>
          <w:rFonts w:ascii="Arial" w:hAnsi="Arial" w:cs="Arial"/>
          <w:sz w:val="22"/>
        </w:rPr>
        <w:t>The deve</w:t>
      </w:r>
      <w:r>
        <w:rPr>
          <w:rFonts w:ascii="Arial" w:hAnsi="Arial" w:cs="Arial"/>
          <w:sz w:val="22"/>
        </w:rPr>
        <w:t>lopment of the Carl Rogers’ Theory</w:t>
      </w:r>
      <w:r w:rsidR="009A4461">
        <w:rPr>
          <w:rFonts w:ascii="Arial" w:hAnsi="Arial" w:cs="Arial"/>
          <w:sz w:val="22"/>
        </w:rPr>
        <w:t xml:space="preserve"> …………………………………... 4</w:t>
      </w:r>
    </w:p>
    <w:p w14:paraId="67F59F12" w14:textId="2CDEB96E" w:rsidR="0041691A" w:rsidRDefault="0041691A" w:rsidP="00C558B0">
      <w:pPr>
        <w:tabs>
          <w:tab w:val="left" w:pos="6540"/>
        </w:tabs>
        <w:spacing w:line="360" w:lineRule="auto"/>
        <w:rPr>
          <w:rFonts w:ascii="Arial" w:hAnsi="Arial" w:cs="Arial"/>
          <w:sz w:val="22"/>
        </w:rPr>
      </w:pPr>
      <w:r>
        <w:rPr>
          <w:rFonts w:ascii="Arial" w:hAnsi="Arial" w:cs="Arial"/>
          <w:sz w:val="22"/>
        </w:rPr>
        <w:t>Application of the concept in Practice</w:t>
      </w:r>
      <w:r w:rsidR="009A4461">
        <w:rPr>
          <w:rFonts w:ascii="Arial" w:hAnsi="Arial" w:cs="Arial"/>
          <w:sz w:val="22"/>
        </w:rPr>
        <w:t xml:space="preserve"> …………………………………………… 5-6</w:t>
      </w:r>
    </w:p>
    <w:p w14:paraId="1D0AF4FF" w14:textId="3AB24369" w:rsidR="0041691A" w:rsidRDefault="0041691A" w:rsidP="00C558B0">
      <w:pPr>
        <w:tabs>
          <w:tab w:val="left" w:pos="6540"/>
        </w:tabs>
        <w:spacing w:line="360" w:lineRule="auto"/>
        <w:rPr>
          <w:rFonts w:ascii="Arial" w:hAnsi="Arial" w:cs="Arial"/>
          <w:sz w:val="22"/>
        </w:rPr>
      </w:pPr>
      <w:r>
        <w:rPr>
          <w:rFonts w:ascii="Arial" w:hAnsi="Arial" w:cs="Arial"/>
          <w:sz w:val="22"/>
        </w:rPr>
        <w:t>Challenges in Practice</w:t>
      </w:r>
      <w:r w:rsidR="009A4461">
        <w:rPr>
          <w:rFonts w:ascii="Arial" w:hAnsi="Arial" w:cs="Arial"/>
          <w:sz w:val="22"/>
        </w:rPr>
        <w:t xml:space="preserve"> …………………………………………………………</w:t>
      </w:r>
      <w:proofErr w:type="gramStart"/>
      <w:r w:rsidR="009A4461">
        <w:rPr>
          <w:rFonts w:ascii="Arial" w:hAnsi="Arial" w:cs="Arial"/>
          <w:sz w:val="22"/>
        </w:rPr>
        <w:t>…..</w:t>
      </w:r>
      <w:proofErr w:type="gramEnd"/>
      <w:r w:rsidR="009A4461">
        <w:rPr>
          <w:rFonts w:ascii="Arial" w:hAnsi="Arial" w:cs="Arial"/>
          <w:sz w:val="22"/>
        </w:rPr>
        <w:t xml:space="preserve"> 6</w:t>
      </w:r>
    </w:p>
    <w:p w14:paraId="1CA4ABBA" w14:textId="6D9469D4" w:rsidR="0041691A" w:rsidRDefault="0041691A" w:rsidP="00C558B0">
      <w:pPr>
        <w:tabs>
          <w:tab w:val="left" w:pos="6540"/>
        </w:tabs>
        <w:spacing w:line="360" w:lineRule="auto"/>
        <w:rPr>
          <w:rFonts w:ascii="Arial" w:hAnsi="Arial" w:cs="Arial"/>
          <w:sz w:val="22"/>
        </w:rPr>
      </w:pPr>
      <w:r>
        <w:rPr>
          <w:rFonts w:ascii="Arial" w:hAnsi="Arial" w:cs="Arial"/>
          <w:sz w:val="22"/>
        </w:rPr>
        <w:t>Recommendations for Policy and Practice</w:t>
      </w:r>
      <w:r w:rsidR="009A4461">
        <w:rPr>
          <w:rFonts w:ascii="Arial" w:hAnsi="Arial" w:cs="Arial"/>
          <w:sz w:val="22"/>
        </w:rPr>
        <w:t xml:space="preserve"> …………………………………….  7-8</w:t>
      </w:r>
    </w:p>
    <w:p w14:paraId="56D51BC5" w14:textId="71ACDA55" w:rsidR="0041691A" w:rsidRDefault="0041691A" w:rsidP="00C558B0">
      <w:pPr>
        <w:tabs>
          <w:tab w:val="left" w:pos="6540"/>
        </w:tabs>
        <w:spacing w:line="360" w:lineRule="auto"/>
        <w:rPr>
          <w:rFonts w:ascii="Arial" w:hAnsi="Arial" w:cs="Arial"/>
          <w:sz w:val="22"/>
        </w:rPr>
      </w:pPr>
      <w:r>
        <w:rPr>
          <w:rFonts w:ascii="Arial" w:hAnsi="Arial" w:cs="Arial"/>
          <w:sz w:val="22"/>
        </w:rPr>
        <w:t>Conclusion</w:t>
      </w:r>
      <w:r w:rsidR="009A4461">
        <w:rPr>
          <w:rFonts w:ascii="Arial" w:hAnsi="Arial" w:cs="Arial"/>
          <w:sz w:val="22"/>
        </w:rPr>
        <w:t xml:space="preserve"> …………………………………………………………………………  9</w:t>
      </w:r>
    </w:p>
    <w:p w14:paraId="403475DC" w14:textId="7210E40F" w:rsidR="0041691A" w:rsidRPr="0041691A" w:rsidRDefault="0041691A" w:rsidP="00C558B0">
      <w:pPr>
        <w:tabs>
          <w:tab w:val="left" w:pos="6540"/>
        </w:tabs>
        <w:spacing w:line="360" w:lineRule="auto"/>
        <w:rPr>
          <w:rFonts w:ascii="Arial" w:hAnsi="Arial" w:cs="Arial"/>
          <w:sz w:val="22"/>
        </w:rPr>
      </w:pPr>
      <w:r>
        <w:rPr>
          <w:rFonts w:ascii="Arial" w:hAnsi="Arial" w:cs="Arial"/>
          <w:sz w:val="22"/>
        </w:rPr>
        <w:t>List of References</w:t>
      </w:r>
      <w:r w:rsidR="009A4461">
        <w:rPr>
          <w:rFonts w:ascii="Arial" w:hAnsi="Arial" w:cs="Arial"/>
          <w:sz w:val="22"/>
        </w:rPr>
        <w:t xml:space="preserve"> ………………………………………………………………… 10-12</w:t>
      </w:r>
    </w:p>
    <w:p w14:paraId="0EEB5A95" w14:textId="77777777" w:rsidR="00D26E43" w:rsidRDefault="00D26E43" w:rsidP="00C558B0">
      <w:pPr>
        <w:tabs>
          <w:tab w:val="left" w:pos="6540"/>
        </w:tabs>
        <w:spacing w:line="360" w:lineRule="auto"/>
        <w:rPr>
          <w:rFonts w:ascii="Arial" w:hAnsi="Arial" w:cs="Arial"/>
          <w:sz w:val="28"/>
          <w:szCs w:val="28"/>
        </w:rPr>
      </w:pPr>
    </w:p>
    <w:p w14:paraId="47E9C391" w14:textId="77777777" w:rsidR="00D26E43" w:rsidRDefault="00D26E43" w:rsidP="00C558B0">
      <w:pPr>
        <w:tabs>
          <w:tab w:val="left" w:pos="6540"/>
        </w:tabs>
        <w:spacing w:line="360" w:lineRule="auto"/>
        <w:rPr>
          <w:rFonts w:ascii="Arial" w:hAnsi="Arial" w:cs="Arial"/>
          <w:sz w:val="28"/>
          <w:szCs w:val="28"/>
        </w:rPr>
      </w:pPr>
    </w:p>
    <w:p w14:paraId="21F86F51" w14:textId="77777777" w:rsidR="00D26E43" w:rsidRDefault="00D26E43" w:rsidP="00C558B0">
      <w:pPr>
        <w:tabs>
          <w:tab w:val="left" w:pos="6540"/>
        </w:tabs>
        <w:spacing w:line="360" w:lineRule="auto"/>
        <w:rPr>
          <w:rFonts w:ascii="Arial" w:hAnsi="Arial" w:cs="Arial"/>
          <w:sz w:val="28"/>
          <w:szCs w:val="28"/>
        </w:rPr>
      </w:pPr>
    </w:p>
    <w:p w14:paraId="0B76C386" w14:textId="77777777" w:rsidR="00D26E43" w:rsidRDefault="00D26E43" w:rsidP="00C558B0">
      <w:pPr>
        <w:tabs>
          <w:tab w:val="left" w:pos="6540"/>
        </w:tabs>
        <w:spacing w:line="360" w:lineRule="auto"/>
        <w:rPr>
          <w:rFonts w:ascii="Arial" w:hAnsi="Arial" w:cs="Arial"/>
          <w:sz w:val="28"/>
          <w:szCs w:val="28"/>
        </w:rPr>
      </w:pPr>
    </w:p>
    <w:p w14:paraId="7DC7DFE0" w14:textId="77777777" w:rsidR="00D26E43" w:rsidRDefault="00D26E43" w:rsidP="00C558B0">
      <w:pPr>
        <w:tabs>
          <w:tab w:val="left" w:pos="6540"/>
        </w:tabs>
        <w:spacing w:line="360" w:lineRule="auto"/>
        <w:rPr>
          <w:rFonts w:ascii="Arial" w:hAnsi="Arial" w:cs="Arial"/>
          <w:sz w:val="28"/>
          <w:szCs w:val="28"/>
        </w:rPr>
      </w:pPr>
    </w:p>
    <w:p w14:paraId="145BE397" w14:textId="77777777" w:rsidR="00D26E43" w:rsidRDefault="00D26E43" w:rsidP="00C558B0">
      <w:pPr>
        <w:tabs>
          <w:tab w:val="left" w:pos="6540"/>
        </w:tabs>
        <w:spacing w:line="360" w:lineRule="auto"/>
        <w:rPr>
          <w:rFonts w:ascii="Arial" w:hAnsi="Arial" w:cs="Arial"/>
          <w:sz w:val="28"/>
          <w:szCs w:val="28"/>
        </w:rPr>
      </w:pPr>
    </w:p>
    <w:p w14:paraId="640F59F7" w14:textId="77777777" w:rsidR="00D26E43" w:rsidRDefault="00D26E43" w:rsidP="00C558B0">
      <w:pPr>
        <w:tabs>
          <w:tab w:val="left" w:pos="6540"/>
        </w:tabs>
        <w:spacing w:line="360" w:lineRule="auto"/>
        <w:rPr>
          <w:rFonts w:ascii="Arial" w:hAnsi="Arial" w:cs="Arial"/>
          <w:sz w:val="28"/>
          <w:szCs w:val="28"/>
        </w:rPr>
      </w:pPr>
    </w:p>
    <w:p w14:paraId="308A88CC" w14:textId="77777777" w:rsidR="00D26E43" w:rsidRDefault="00D26E43" w:rsidP="00C558B0">
      <w:pPr>
        <w:tabs>
          <w:tab w:val="left" w:pos="6540"/>
        </w:tabs>
        <w:spacing w:line="360" w:lineRule="auto"/>
        <w:rPr>
          <w:rFonts w:ascii="Arial" w:hAnsi="Arial" w:cs="Arial"/>
          <w:sz w:val="28"/>
          <w:szCs w:val="28"/>
        </w:rPr>
      </w:pPr>
    </w:p>
    <w:p w14:paraId="43D587AE" w14:textId="77777777" w:rsidR="00D26E43" w:rsidRDefault="00D26E43" w:rsidP="00C558B0">
      <w:pPr>
        <w:tabs>
          <w:tab w:val="left" w:pos="6540"/>
        </w:tabs>
        <w:spacing w:line="360" w:lineRule="auto"/>
        <w:rPr>
          <w:rFonts w:ascii="Arial" w:hAnsi="Arial" w:cs="Arial"/>
          <w:sz w:val="28"/>
          <w:szCs w:val="28"/>
        </w:rPr>
      </w:pPr>
    </w:p>
    <w:p w14:paraId="5CCD3DC2" w14:textId="77777777" w:rsidR="00D26E43" w:rsidRDefault="00D26E43" w:rsidP="00C558B0">
      <w:pPr>
        <w:tabs>
          <w:tab w:val="left" w:pos="6540"/>
        </w:tabs>
        <w:spacing w:line="360" w:lineRule="auto"/>
        <w:rPr>
          <w:rFonts w:ascii="Arial" w:hAnsi="Arial" w:cs="Arial"/>
          <w:sz w:val="28"/>
          <w:szCs w:val="28"/>
        </w:rPr>
      </w:pPr>
    </w:p>
    <w:p w14:paraId="1C94678B" w14:textId="77777777" w:rsidR="00D26E43" w:rsidRDefault="00D26E43" w:rsidP="00C558B0">
      <w:pPr>
        <w:tabs>
          <w:tab w:val="left" w:pos="6540"/>
        </w:tabs>
        <w:spacing w:line="360" w:lineRule="auto"/>
        <w:rPr>
          <w:rFonts w:ascii="Arial" w:hAnsi="Arial" w:cs="Arial"/>
          <w:sz w:val="28"/>
          <w:szCs w:val="28"/>
        </w:rPr>
      </w:pPr>
    </w:p>
    <w:p w14:paraId="4BCBB72D" w14:textId="77777777" w:rsidR="00D26E43" w:rsidRDefault="00D26E43" w:rsidP="00C558B0">
      <w:pPr>
        <w:tabs>
          <w:tab w:val="left" w:pos="6540"/>
        </w:tabs>
        <w:spacing w:line="360" w:lineRule="auto"/>
        <w:rPr>
          <w:rFonts w:ascii="Arial" w:hAnsi="Arial" w:cs="Arial"/>
          <w:sz w:val="28"/>
          <w:szCs w:val="28"/>
        </w:rPr>
      </w:pPr>
    </w:p>
    <w:p w14:paraId="4F2E4350" w14:textId="77777777" w:rsidR="00D26E43" w:rsidRDefault="00D26E43" w:rsidP="00C558B0">
      <w:pPr>
        <w:tabs>
          <w:tab w:val="left" w:pos="6540"/>
        </w:tabs>
        <w:spacing w:line="360" w:lineRule="auto"/>
        <w:rPr>
          <w:rFonts w:ascii="Arial" w:hAnsi="Arial" w:cs="Arial"/>
          <w:sz w:val="28"/>
          <w:szCs w:val="28"/>
        </w:rPr>
      </w:pPr>
    </w:p>
    <w:p w14:paraId="7164185D" w14:textId="77777777" w:rsidR="00D26E43" w:rsidRDefault="00D26E43" w:rsidP="00C558B0">
      <w:pPr>
        <w:tabs>
          <w:tab w:val="left" w:pos="6540"/>
        </w:tabs>
        <w:spacing w:line="360" w:lineRule="auto"/>
        <w:rPr>
          <w:rFonts w:ascii="Arial" w:hAnsi="Arial" w:cs="Arial"/>
          <w:sz w:val="28"/>
          <w:szCs w:val="28"/>
        </w:rPr>
      </w:pPr>
    </w:p>
    <w:p w14:paraId="02A4769D" w14:textId="279A3768" w:rsidR="00D26E43" w:rsidRDefault="00D26E43" w:rsidP="00C558B0">
      <w:pPr>
        <w:tabs>
          <w:tab w:val="left" w:pos="6540"/>
        </w:tabs>
        <w:spacing w:line="360" w:lineRule="auto"/>
        <w:rPr>
          <w:rFonts w:ascii="Arial" w:hAnsi="Arial" w:cs="Arial"/>
          <w:b/>
          <w:bCs/>
          <w:sz w:val="22"/>
        </w:rPr>
      </w:pPr>
      <w:r w:rsidRPr="00D26E43">
        <w:rPr>
          <w:rFonts w:ascii="Arial" w:hAnsi="Arial" w:cs="Arial"/>
          <w:b/>
          <w:bCs/>
          <w:sz w:val="22"/>
        </w:rPr>
        <w:lastRenderedPageBreak/>
        <w:t>Introduction</w:t>
      </w:r>
    </w:p>
    <w:p w14:paraId="043C2EA1" w14:textId="77777777" w:rsidR="00D26E43" w:rsidRPr="00A85C19" w:rsidRDefault="00D26E43" w:rsidP="00C558B0">
      <w:pPr>
        <w:tabs>
          <w:tab w:val="left" w:pos="6540"/>
        </w:tabs>
        <w:spacing w:line="360" w:lineRule="auto"/>
        <w:rPr>
          <w:rFonts w:ascii="Arial" w:hAnsi="Arial" w:cs="Arial"/>
          <w:sz w:val="22"/>
        </w:rPr>
      </w:pPr>
    </w:p>
    <w:p w14:paraId="216A21CD" w14:textId="402BB72A" w:rsidR="001160BF" w:rsidRPr="00857F5F" w:rsidRDefault="001160BF" w:rsidP="00857F5F">
      <w:pPr>
        <w:spacing w:line="360" w:lineRule="auto"/>
        <w:jc w:val="both"/>
        <w:rPr>
          <w:rFonts w:ascii="Arial" w:eastAsia="Times New Roman" w:hAnsi="Arial" w:cs="Arial"/>
          <w:sz w:val="22"/>
          <w:lang w:eastAsia="en-GB"/>
        </w:rPr>
      </w:pPr>
      <w:r w:rsidRPr="00857F5F">
        <w:rPr>
          <w:rFonts w:ascii="Arial" w:hAnsi="Arial" w:cs="Arial"/>
          <w:sz w:val="22"/>
        </w:rPr>
        <w:t>The theoretical foundation of person-centred care is strongly rooted in the humanistic approach developed by Carl Rogers, which emphasises the importance of understanding the individual beyond their clinical condition. Rogers</w:t>
      </w:r>
      <w:r w:rsidRPr="00857F5F">
        <w:rPr>
          <w:rFonts w:ascii="Arial" w:hAnsi="Arial" w:cs="Arial"/>
          <w:sz w:val="22"/>
        </w:rPr>
        <w:t xml:space="preserve"> identified three core conditions necessary for effective care</w:t>
      </w:r>
      <w:r w:rsidRPr="00857F5F">
        <w:rPr>
          <w:rFonts w:ascii="Arial" w:hAnsi="Arial" w:cs="Arial"/>
          <w:sz w:val="22"/>
        </w:rPr>
        <w:t>: empathy, unconditional positive regard, and congruence, which</w:t>
      </w:r>
      <w:r w:rsidRPr="00857F5F">
        <w:rPr>
          <w:rFonts w:ascii="Arial" w:hAnsi="Arial" w:cs="Arial"/>
          <w:sz w:val="22"/>
        </w:rPr>
        <w:t xml:space="preserve"> collectively</w:t>
      </w:r>
      <w:r w:rsidRPr="00857F5F">
        <w:rPr>
          <w:rFonts w:ascii="Arial" w:hAnsi="Arial" w:cs="Arial"/>
          <w:sz w:val="22"/>
        </w:rPr>
        <w:t xml:space="preserve"> facilitate a trusting and therapeutic relationship between practitioner and service user</w:t>
      </w:r>
      <w:r w:rsidR="00857F5F" w:rsidRPr="00857F5F">
        <w:rPr>
          <w:rFonts w:ascii="Arial" w:hAnsi="Arial" w:cs="Arial"/>
          <w:sz w:val="22"/>
        </w:rPr>
        <w:t xml:space="preserve"> </w:t>
      </w:r>
      <w:r w:rsidR="00857F5F" w:rsidRPr="00857F5F">
        <w:rPr>
          <w:rFonts w:ascii="Arial" w:eastAsia="Times New Roman" w:hAnsi="Arial" w:cs="Arial"/>
          <w:sz w:val="22"/>
          <w:lang w:eastAsia="en-GB"/>
        </w:rPr>
        <w:t>(McLeod, 2023</w:t>
      </w:r>
      <w:r w:rsidR="00857F5F" w:rsidRPr="00857F5F">
        <w:rPr>
          <w:rFonts w:ascii="Arial" w:eastAsia="Times New Roman" w:hAnsi="Arial" w:cs="Arial"/>
          <w:sz w:val="22"/>
          <w:lang w:eastAsia="en-GB"/>
        </w:rPr>
        <w:t>).</w:t>
      </w:r>
      <w:r w:rsidR="00857F5F" w:rsidRPr="00857F5F">
        <w:rPr>
          <w:rFonts w:ascii="Arial" w:hAnsi="Arial" w:cs="Arial"/>
          <w:sz w:val="22"/>
        </w:rPr>
        <w:t xml:space="preserve"> This</w:t>
      </w:r>
      <w:r w:rsidRPr="00857F5F">
        <w:rPr>
          <w:rFonts w:ascii="Arial" w:hAnsi="Arial" w:cs="Arial"/>
          <w:sz w:val="22"/>
        </w:rPr>
        <w:t xml:space="preserve"> perspective is particularly significant within health and social care, as it shifts practice away from task-oriented models towards a more holistic and relationship-based approach</w:t>
      </w:r>
      <w:r w:rsidR="00DF0FD6" w:rsidRPr="00857F5F">
        <w:rPr>
          <w:rFonts w:ascii="Arial" w:eastAsia="Times New Roman" w:hAnsi="Arial" w:cs="Arial"/>
          <w:sz w:val="22"/>
          <w:lang w:eastAsia="en-GB"/>
        </w:rPr>
        <w:t xml:space="preserve">. </w:t>
      </w:r>
      <w:r w:rsidRPr="00857F5F">
        <w:rPr>
          <w:rFonts w:ascii="Arial" w:hAnsi="Arial" w:cs="Arial"/>
          <w:sz w:val="22"/>
        </w:rPr>
        <w:t xml:space="preserve">By prioritising </w:t>
      </w:r>
      <w:r w:rsidRPr="00857F5F">
        <w:rPr>
          <w:rFonts w:ascii="Arial" w:hAnsi="Arial" w:cs="Arial"/>
          <w:sz w:val="22"/>
        </w:rPr>
        <w:t>individuals</w:t>
      </w:r>
      <w:r w:rsidRPr="00857F5F">
        <w:rPr>
          <w:rFonts w:ascii="Arial" w:hAnsi="Arial" w:cs="Arial"/>
          <w:sz w:val="22"/>
        </w:rPr>
        <w:t xml:space="preserve"> lived experiences and emotional needs, practitioners are better equipped to promote autonomy and preserve dignity, both of which are fundamental to improving outcomes. Moreover, this approach aligns closely with the ethics of care, as both frameworks emphasise compassion, responsiveness, and the moral value of interpersonal relationships in care delivery. Therefore, Rogers’ theory not only provides a theoretical basis for person-centred practice but also</w:t>
      </w:r>
      <w:r w:rsidRPr="00857F5F">
        <w:rPr>
          <w:rFonts w:ascii="Arial" w:hAnsi="Arial" w:cs="Arial"/>
          <w:sz w:val="22"/>
        </w:rPr>
        <w:t xml:space="preserve"> supports the integrity of ethically grounded </w:t>
      </w:r>
      <w:r w:rsidRPr="00857F5F">
        <w:rPr>
          <w:rFonts w:ascii="Arial" w:hAnsi="Arial" w:cs="Arial"/>
          <w:sz w:val="22"/>
        </w:rPr>
        <w:t xml:space="preserve">approaches within contemporary health and social care systems. </w:t>
      </w:r>
    </w:p>
    <w:p w14:paraId="79C715ED" w14:textId="16914D07" w:rsidR="006D2F2D" w:rsidRPr="00857F5F" w:rsidRDefault="006D2F2D" w:rsidP="00857F5F">
      <w:pPr>
        <w:spacing w:line="360" w:lineRule="auto"/>
        <w:jc w:val="both"/>
        <w:rPr>
          <w:rFonts w:ascii="Arial" w:hAnsi="Arial" w:cs="Arial"/>
          <w:sz w:val="22"/>
        </w:rPr>
      </w:pPr>
      <w:r w:rsidRPr="00857F5F">
        <w:rPr>
          <w:rFonts w:ascii="Arial" w:hAnsi="Arial" w:cs="Arial"/>
          <w:sz w:val="22"/>
        </w:rPr>
        <w:br w:type="page"/>
      </w:r>
    </w:p>
    <w:p w14:paraId="2AB98BE7" w14:textId="0629555D" w:rsidR="006D2F2D" w:rsidRDefault="003E4ED4" w:rsidP="004A5A64">
      <w:pPr>
        <w:spacing w:line="360" w:lineRule="auto"/>
        <w:rPr>
          <w:rFonts w:ascii="Arial" w:hAnsi="Arial" w:cs="Arial"/>
          <w:b/>
          <w:bCs/>
          <w:sz w:val="22"/>
        </w:rPr>
      </w:pPr>
      <w:r w:rsidRPr="00DF0FD6">
        <w:rPr>
          <w:rFonts w:ascii="Arial" w:hAnsi="Arial" w:cs="Arial"/>
          <w:b/>
          <w:bCs/>
          <w:sz w:val="22"/>
        </w:rPr>
        <w:lastRenderedPageBreak/>
        <w:t>T</w:t>
      </w:r>
      <w:r w:rsidR="006D2F2D" w:rsidRPr="00DF0FD6">
        <w:rPr>
          <w:rFonts w:ascii="Arial" w:hAnsi="Arial" w:cs="Arial"/>
          <w:b/>
          <w:bCs/>
          <w:sz w:val="22"/>
        </w:rPr>
        <w:t xml:space="preserve">he </w:t>
      </w:r>
      <w:r w:rsidRPr="00DF0FD6">
        <w:rPr>
          <w:rFonts w:ascii="Arial" w:hAnsi="Arial" w:cs="Arial"/>
          <w:b/>
          <w:bCs/>
          <w:sz w:val="22"/>
        </w:rPr>
        <w:t xml:space="preserve">development of the </w:t>
      </w:r>
      <w:r w:rsidR="00DF0FD6" w:rsidRPr="00DF0FD6">
        <w:rPr>
          <w:rFonts w:ascii="Arial" w:hAnsi="Arial" w:cs="Arial"/>
          <w:b/>
          <w:bCs/>
          <w:sz w:val="22"/>
        </w:rPr>
        <w:t>Carl Rogers’ Theory</w:t>
      </w:r>
    </w:p>
    <w:p w14:paraId="052F9E8D" w14:textId="140A06EB" w:rsidR="00DF0FD6" w:rsidRPr="009B6547" w:rsidRDefault="000E6661" w:rsidP="009B6547">
      <w:pPr>
        <w:spacing w:line="360" w:lineRule="auto"/>
        <w:jc w:val="both"/>
        <w:rPr>
          <w:rFonts w:ascii="Arial" w:eastAsia="Times New Roman" w:hAnsi="Arial" w:cs="Arial"/>
          <w:sz w:val="22"/>
          <w:lang w:eastAsia="en-GB"/>
        </w:rPr>
      </w:pPr>
      <w:r w:rsidRPr="009B6547">
        <w:rPr>
          <w:rFonts w:ascii="Arial" w:hAnsi="Arial" w:cs="Arial"/>
          <w:sz w:val="22"/>
        </w:rPr>
        <w:t>In the mid-20</w:t>
      </w:r>
      <w:r w:rsidRPr="009B6547">
        <w:rPr>
          <w:rFonts w:ascii="Arial" w:hAnsi="Arial" w:cs="Arial"/>
          <w:sz w:val="22"/>
          <w:vertAlign w:val="superscript"/>
        </w:rPr>
        <w:t>th</w:t>
      </w:r>
      <w:r w:rsidRPr="009B6547">
        <w:rPr>
          <w:rFonts w:ascii="Arial" w:hAnsi="Arial" w:cs="Arial"/>
          <w:sz w:val="22"/>
        </w:rPr>
        <w:t xml:space="preserve"> century, </w:t>
      </w:r>
      <w:r w:rsidR="002A6AF0" w:rsidRPr="009B6547">
        <w:rPr>
          <w:rFonts w:ascii="Arial" w:hAnsi="Arial" w:cs="Arial"/>
          <w:sz w:val="22"/>
        </w:rPr>
        <w:t>Carl Rogers</w:t>
      </w:r>
      <w:r w:rsidRPr="009B6547">
        <w:rPr>
          <w:rFonts w:ascii="Arial" w:hAnsi="Arial" w:cs="Arial"/>
          <w:sz w:val="22"/>
        </w:rPr>
        <w:t>’ person-centred theory emerged as a radical departure from psychoanalytic and behaviourist paradigms. During this period, Rogers sought to empower clients by valuing their subjective experiences, fostering a more egalitarian and collaborative dynamic. His major work, Client-</w:t>
      </w:r>
      <w:r w:rsidR="003D644F" w:rsidRPr="009B6547">
        <w:rPr>
          <w:rFonts w:ascii="Arial" w:hAnsi="Arial" w:cs="Arial"/>
          <w:sz w:val="22"/>
        </w:rPr>
        <w:t>C</w:t>
      </w:r>
      <w:r w:rsidR="002F75D8" w:rsidRPr="009B6547">
        <w:rPr>
          <w:rFonts w:ascii="Arial" w:hAnsi="Arial" w:cs="Arial"/>
          <w:sz w:val="22"/>
        </w:rPr>
        <w:t>e</w:t>
      </w:r>
      <w:r w:rsidR="003D644F" w:rsidRPr="009B6547">
        <w:rPr>
          <w:rFonts w:ascii="Arial" w:hAnsi="Arial" w:cs="Arial"/>
          <w:sz w:val="22"/>
        </w:rPr>
        <w:t>ntred</w:t>
      </w:r>
      <w:r w:rsidRPr="009B6547">
        <w:rPr>
          <w:rFonts w:ascii="Arial" w:hAnsi="Arial" w:cs="Arial"/>
          <w:sz w:val="22"/>
        </w:rPr>
        <w:t xml:space="preserve"> Therapy </w:t>
      </w:r>
      <w:r w:rsidR="00536A94" w:rsidRPr="009B6547">
        <w:rPr>
          <w:rFonts w:ascii="Arial" w:eastAsia="Times New Roman" w:hAnsi="Arial" w:cs="Arial"/>
          <w:sz w:val="22"/>
          <w:lang w:eastAsia="en-GB"/>
        </w:rPr>
        <w:t>(Yao and Kabir, 2023)</w:t>
      </w:r>
      <w:r w:rsidRPr="009B6547">
        <w:rPr>
          <w:rFonts w:ascii="Arial" w:hAnsi="Arial" w:cs="Arial"/>
          <w:sz w:val="22"/>
        </w:rPr>
        <w:t xml:space="preserve">, developed at the University of Chicago, emphasized the individual’s autonomy. Over time, his </w:t>
      </w:r>
      <w:r w:rsidR="003D644F" w:rsidRPr="009B6547">
        <w:rPr>
          <w:rFonts w:ascii="Arial" w:hAnsi="Arial" w:cs="Arial"/>
          <w:sz w:val="22"/>
        </w:rPr>
        <w:t>a</w:t>
      </w:r>
      <w:r w:rsidRPr="009B6547">
        <w:rPr>
          <w:rFonts w:ascii="Arial" w:hAnsi="Arial" w:cs="Arial"/>
          <w:sz w:val="22"/>
        </w:rPr>
        <w:t xml:space="preserve">pproach was seen as a cornerstone not only in therapy, but also in education, coaching, and organizational practice. Although early critiques questioned its empirical rigor, subsequent research validated its benefits. </w:t>
      </w:r>
      <w:r w:rsidR="00530FFD" w:rsidRPr="009B6547">
        <w:rPr>
          <w:rFonts w:ascii="Arial" w:hAnsi="Arial" w:cs="Arial"/>
          <w:sz w:val="22"/>
        </w:rPr>
        <w:t>Extending this perspective</w:t>
      </w:r>
      <w:r w:rsidRPr="009B6547">
        <w:rPr>
          <w:rFonts w:ascii="Arial" w:hAnsi="Arial" w:cs="Arial"/>
          <w:sz w:val="22"/>
        </w:rPr>
        <w:t xml:space="preserve">, </w:t>
      </w:r>
      <w:r w:rsidR="00530FFD" w:rsidRPr="009B6547">
        <w:rPr>
          <w:rFonts w:ascii="Arial" w:hAnsi="Arial" w:cs="Arial"/>
          <w:sz w:val="22"/>
        </w:rPr>
        <w:t>theorists</w:t>
      </w:r>
      <w:r w:rsidRPr="009B6547">
        <w:rPr>
          <w:rFonts w:ascii="Arial" w:hAnsi="Arial" w:cs="Arial"/>
          <w:sz w:val="22"/>
        </w:rPr>
        <w:t xml:space="preserve"> </w:t>
      </w:r>
      <w:r w:rsidR="00530FFD" w:rsidRPr="009B6547">
        <w:rPr>
          <w:rFonts w:ascii="Arial" w:hAnsi="Arial" w:cs="Arial"/>
          <w:sz w:val="22"/>
        </w:rPr>
        <w:t>such as</w:t>
      </w:r>
      <w:r w:rsidRPr="009B6547">
        <w:rPr>
          <w:rFonts w:ascii="Arial" w:hAnsi="Arial" w:cs="Arial"/>
          <w:sz w:val="22"/>
        </w:rPr>
        <w:t xml:space="preserve"> Carol Gilligan </w:t>
      </w:r>
      <w:r w:rsidR="00D96B7A" w:rsidRPr="009B6547">
        <w:rPr>
          <w:rFonts w:ascii="Arial" w:hAnsi="Arial" w:cs="Arial"/>
          <w:sz w:val="22"/>
        </w:rPr>
        <w:t>drew upon</w:t>
      </w:r>
      <w:r w:rsidRPr="009B6547">
        <w:rPr>
          <w:rFonts w:ascii="Arial" w:hAnsi="Arial" w:cs="Arial"/>
          <w:sz w:val="22"/>
        </w:rPr>
        <w:t xml:space="preserve"> Rogers’ work by integrating a feminist</w:t>
      </w:r>
      <w:r w:rsidR="00385E20" w:rsidRPr="009B6547">
        <w:rPr>
          <w:rFonts w:ascii="Arial" w:hAnsi="Arial" w:cs="Arial"/>
          <w:sz w:val="22"/>
        </w:rPr>
        <w:t xml:space="preserve"> ethics of care</w:t>
      </w:r>
      <w:r w:rsidR="00D96B7A" w:rsidRPr="009B6547">
        <w:rPr>
          <w:rFonts w:ascii="Arial" w:hAnsi="Arial" w:cs="Arial"/>
          <w:sz w:val="22"/>
        </w:rPr>
        <w:t xml:space="preserve"> </w:t>
      </w:r>
      <w:r w:rsidR="00D96B7A" w:rsidRPr="009B6547">
        <w:rPr>
          <w:rFonts w:ascii="Arial" w:eastAsia="Times New Roman" w:hAnsi="Arial" w:cs="Arial"/>
          <w:sz w:val="22"/>
          <w:lang w:eastAsia="en-GB"/>
        </w:rPr>
        <w:t>(Gilligan, 1982</w:t>
      </w:r>
      <w:r w:rsidR="00D96B7A" w:rsidRPr="009B6547">
        <w:rPr>
          <w:rFonts w:ascii="Arial" w:eastAsia="Times New Roman" w:hAnsi="Arial" w:cs="Arial"/>
          <w:sz w:val="22"/>
          <w:lang w:eastAsia="en-GB"/>
        </w:rPr>
        <w:t>).</w:t>
      </w:r>
      <w:r w:rsidR="00D96B7A" w:rsidRPr="009B6547">
        <w:rPr>
          <w:rFonts w:ascii="Arial" w:hAnsi="Arial" w:cs="Arial"/>
          <w:sz w:val="22"/>
        </w:rPr>
        <w:t xml:space="preserve"> Gilligan</w:t>
      </w:r>
      <w:r w:rsidR="00385E20" w:rsidRPr="009B6547">
        <w:rPr>
          <w:rFonts w:ascii="Arial" w:hAnsi="Arial" w:cs="Arial"/>
          <w:sz w:val="22"/>
        </w:rPr>
        <w:t xml:space="preserve"> highlighted how relational empathy, a cornerstone of Rogers’ theory, could be applied to challenge gendered power dynamics, further enriching the person-centred approach in diverse health and social care settings</w:t>
      </w:r>
      <w:r w:rsidR="00D96B7A" w:rsidRPr="009B6547">
        <w:rPr>
          <w:rFonts w:ascii="Arial" w:hAnsi="Arial" w:cs="Arial"/>
          <w:sz w:val="22"/>
        </w:rPr>
        <w:t xml:space="preserve"> </w:t>
      </w:r>
      <w:r w:rsidR="00385E20" w:rsidRPr="009B6547">
        <w:rPr>
          <w:rFonts w:ascii="Arial" w:hAnsi="Arial" w:cs="Arial"/>
          <w:sz w:val="22"/>
        </w:rPr>
        <w:t>(</w:t>
      </w:r>
      <w:r w:rsidR="00D96B7A" w:rsidRPr="009B6547">
        <w:rPr>
          <w:rFonts w:ascii="Arial" w:hAnsi="Arial" w:cs="Arial"/>
          <w:sz w:val="22"/>
        </w:rPr>
        <w:t>R</w:t>
      </w:r>
      <w:r w:rsidR="00385E20" w:rsidRPr="009B6547">
        <w:rPr>
          <w:rFonts w:ascii="Arial" w:hAnsi="Arial" w:cs="Arial"/>
          <w:sz w:val="22"/>
        </w:rPr>
        <w:t xml:space="preserve">ogers, 1951; Gillian, 1982): </w:t>
      </w:r>
      <w:r w:rsidR="002F75D8" w:rsidRPr="009B6547">
        <w:rPr>
          <w:rFonts w:ascii="Arial" w:hAnsi="Arial" w:cs="Arial"/>
          <w:sz w:val="22"/>
        </w:rPr>
        <w:t xml:space="preserve">The ethics of care, a feminist moral theory, emphasizes the importance of relationships, empathy and contextual understanding. </w:t>
      </w:r>
      <w:r w:rsidR="00385E20" w:rsidRPr="009B6547">
        <w:rPr>
          <w:rFonts w:ascii="Arial" w:hAnsi="Arial" w:cs="Arial"/>
          <w:sz w:val="22"/>
        </w:rPr>
        <w:t>Car</w:t>
      </w:r>
      <w:r w:rsidR="003D644F" w:rsidRPr="009B6547">
        <w:rPr>
          <w:rFonts w:ascii="Arial" w:hAnsi="Arial" w:cs="Arial"/>
          <w:sz w:val="22"/>
        </w:rPr>
        <w:t>l</w:t>
      </w:r>
      <w:r w:rsidR="00385E20" w:rsidRPr="009B6547">
        <w:rPr>
          <w:rFonts w:ascii="Arial" w:hAnsi="Arial" w:cs="Arial"/>
          <w:sz w:val="22"/>
        </w:rPr>
        <w:t xml:space="preserve"> </w:t>
      </w:r>
      <w:r w:rsidR="00D96B7A" w:rsidRPr="009B6547">
        <w:rPr>
          <w:rFonts w:ascii="Arial" w:hAnsi="Arial" w:cs="Arial"/>
          <w:sz w:val="22"/>
        </w:rPr>
        <w:t>Rogers is</w:t>
      </w:r>
      <w:r w:rsidR="002A6AF0" w:rsidRPr="009B6547">
        <w:rPr>
          <w:rFonts w:ascii="Arial" w:hAnsi="Arial" w:cs="Arial"/>
          <w:sz w:val="22"/>
        </w:rPr>
        <w:t xml:space="preserve"> widely recognised as one of the most influential figures in psychology and a key pioneer of the humanistic approach. He developed the person-centred approach, which has been described as a “quiet revolution” because it challenged traditional hierarchical models of power and control within helping professions. Instead of practitioner-led authority, Ro</w:t>
      </w:r>
      <w:r w:rsidR="002F75D8" w:rsidRPr="009B6547">
        <w:rPr>
          <w:rFonts w:ascii="Arial" w:hAnsi="Arial" w:cs="Arial"/>
          <w:sz w:val="22"/>
        </w:rPr>
        <w:t>g</w:t>
      </w:r>
      <w:r w:rsidR="002A6AF0" w:rsidRPr="009B6547">
        <w:rPr>
          <w:rFonts w:ascii="Arial" w:hAnsi="Arial" w:cs="Arial"/>
          <w:sz w:val="22"/>
        </w:rPr>
        <w:t>ers promote a more collaborative and relational way of working that emphasises understanding, empathy, and equality within the therapeutic relationship</w:t>
      </w:r>
      <w:r w:rsidR="00D63058" w:rsidRPr="009B6547">
        <w:rPr>
          <w:rFonts w:ascii="Arial" w:hAnsi="Arial" w:cs="Arial"/>
          <w:sz w:val="22"/>
        </w:rPr>
        <w:t xml:space="preserve"> </w:t>
      </w:r>
      <w:r w:rsidR="00D63058" w:rsidRPr="009B6547">
        <w:rPr>
          <w:rFonts w:ascii="Arial" w:eastAsia="Times New Roman" w:hAnsi="Arial" w:cs="Arial"/>
          <w:sz w:val="22"/>
          <w:lang w:eastAsia="en-GB"/>
        </w:rPr>
        <w:t>(UWTSD, 2026)</w:t>
      </w:r>
      <w:r w:rsidR="00D63058" w:rsidRPr="009B6547">
        <w:rPr>
          <w:rFonts w:ascii="Arial" w:eastAsia="Times New Roman" w:hAnsi="Arial" w:cs="Arial"/>
          <w:sz w:val="22"/>
          <w:lang w:eastAsia="en-GB"/>
        </w:rPr>
        <w:t xml:space="preserve">. </w:t>
      </w:r>
      <w:r w:rsidR="002A6AF0" w:rsidRPr="009B6547">
        <w:rPr>
          <w:rFonts w:ascii="Arial" w:hAnsi="Arial" w:cs="Arial"/>
          <w:sz w:val="22"/>
        </w:rPr>
        <w:t xml:space="preserve">Although his work has had a lasting impact </w:t>
      </w:r>
      <w:r w:rsidR="00FB635F" w:rsidRPr="009B6547">
        <w:rPr>
          <w:rFonts w:ascii="Arial" w:hAnsi="Arial" w:cs="Arial"/>
          <w:sz w:val="22"/>
        </w:rPr>
        <w:t xml:space="preserve">in shaping humanistic </w:t>
      </w:r>
      <w:r w:rsidR="00A91EEF" w:rsidRPr="009B6547">
        <w:rPr>
          <w:rFonts w:ascii="Arial" w:hAnsi="Arial" w:cs="Arial"/>
          <w:sz w:val="22"/>
        </w:rPr>
        <w:t>person-centred care practices</w:t>
      </w:r>
      <w:r w:rsidR="00FB635F" w:rsidRPr="009B6547">
        <w:rPr>
          <w:rFonts w:ascii="Arial" w:hAnsi="Arial" w:cs="Arial"/>
          <w:sz w:val="22"/>
        </w:rPr>
        <w:t xml:space="preserve"> in care, it has also</w:t>
      </w:r>
      <w:r w:rsidR="00A91EEF" w:rsidRPr="009B6547">
        <w:rPr>
          <w:rFonts w:ascii="Arial" w:hAnsi="Arial" w:cs="Arial"/>
          <w:sz w:val="22"/>
        </w:rPr>
        <w:t xml:space="preserve"> faced</w:t>
      </w:r>
      <w:r w:rsidR="00FB635F" w:rsidRPr="009B6547">
        <w:rPr>
          <w:rFonts w:ascii="Arial" w:hAnsi="Arial" w:cs="Arial"/>
          <w:sz w:val="22"/>
        </w:rPr>
        <w:t xml:space="preserve"> misinterpretation in </w:t>
      </w:r>
      <w:r w:rsidR="003D644F" w:rsidRPr="009B6547">
        <w:rPr>
          <w:rFonts w:ascii="Arial" w:hAnsi="Arial" w:cs="Arial"/>
          <w:sz w:val="22"/>
        </w:rPr>
        <w:t>certain</w:t>
      </w:r>
      <w:r w:rsidR="00FB635F" w:rsidRPr="009B6547">
        <w:rPr>
          <w:rFonts w:ascii="Arial" w:hAnsi="Arial" w:cs="Arial"/>
          <w:sz w:val="22"/>
        </w:rPr>
        <w:t xml:space="preserve"> clinical applications.</w:t>
      </w:r>
      <w:r w:rsidR="009B6547" w:rsidRPr="009B6547">
        <w:rPr>
          <w:rFonts w:ascii="Arial" w:hAnsi="Arial" w:cs="Arial"/>
          <w:sz w:val="22"/>
        </w:rPr>
        <w:t xml:space="preserve"> That a healthy relationship itself, even without additional interventions, could foster growth, though this insight also risked being oversimplified by some research.</w:t>
      </w:r>
      <w:r w:rsidR="00FB635F" w:rsidRPr="009B6547">
        <w:rPr>
          <w:rFonts w:ascii="Arial" w:hAnsi="Arial" w:cs="Arial"/>
          <w:sz w:val="22"/>
        </w:rPr>
        <w:t xml:space="preserve"> </w:t>
      </w:r>
      <w:r w:rsidR="009B6547" w:rsidRPr="009B6547">
        <w:rPr>
          <w:rFonts w:ascii="Arial" w:hAnsi="Arial" w:cs="Arial"/>
          <w:sz w:val="22"/>
        </w:rPr>
        <w:t>Rogers himself acknowledge that his person-centred therapy showed similar effectiveness, person-centred care’s radical, non-directive stance led to several misinterpretations. For instance, some believed it was merely about active listening or that it assumed an overly naïve view of human goodness</w:t>
      </w:r>
      <w:r w:rsidR="009B6547" w:rsidRPr="009B6547">
        <w:rPr>
          <w:rFonts w:ascii="Arial" w:eastAsia="Times New Roman" w:hAnsi="Arial" w:cs="Arial"/>
          <w:sz w:val="22"/>
          <w:lang w:eastAsia="en-GB"/>
        </w:rPr>
        <w:t xml:space="preserve"> </w:t>
      </w:r>
      <w:r w:rsidR="009B6547" w:rsidRPr="009B6547">
        <w:rPr>
          <w:rFonts w:ascii="Arial" w:eastAsia="Times New Roman" w:hAnsi="Arial" w:cs="Arial"/>
          <w:sz w:val="22"/>
          <w:lang w:eastAsia="en-GB"/>
        </w:rPr>
        <w:t>(admin, 2023)</w:t>
      </w:r>
      <w:r w:rsidR="009B6547" w:rsidRPr="009B6547">
        <w:rPr>
          <w:rFonts w:ascii="Arial" w:eastAsia="Times New Roman" w:hAnsi="Arial" w:cs="Arial"/>
          <w:sz w:val="22"/>
          <w:lang w:eastAsia="en-GB"/>
        </w:rPr>
        <w:t xml:space="preserve">. </w:t>
      </w:r>
      <w:r w:rsidR="00F70EA5" w:rsidRPr="009B6547">
        <w:rPr>
          <w:rFonts w:ascii="Arial" w:hAnsi="Arial" w:cs="Arial"/>
          <w:sz w:val="22"/>
        </w:rPr>
        <w:t>Nevertheless, Rogers’ humanistic perspective continues to be applied across a wide range of human interactions and remains highly relevant in contemporary health and social care practice.</w:t>
      </w:r>
      <w:r w:rsidR="00530FFD" w:rsidRPr="009B6547">
        <w:rPr>
          <w:rFonts w:ascii="Arial" w:hAnsi="Arial" w:cs="Arial"/>
          <w:sz w:val="22"/>
        </w:rPr>
        <w:t xml:space="preserve"> As a re</w:t>
      </w:r>
      <w:r w:rsidR="00A91EEF" w:rsidRPr="009B6547">
        <w:rPr>
          <w:rFonts w:ascii="Arial" w:hAnsi="Arial" w:cs="Arial"/>
          <w:sz w:val="22"/>
        </w:rPr>
        <w:t xml:space="preserve">sult, the </w:t>
      </w:r>
      <w:r w:rsidR="00F70EA5" w:rsidRPr="009B6547">
        <w:rPr>
          <w:rFonts w:ascii="Arial" w:hAnsi="Arial" w:cs="Arial"/>
          <w:sz w:val="22"/>
        </w:rPr>
        <w:t>person-centred approach</w:t>
      </w:r>
      <w:r w:rsidR="00A91EEF" w:rsidRPr="009B6547">
        <w:rPr>
          <w:rFonts w:ascii="Arial" w:hAnsi="Arial" w:cs="Arial"/>
          <w:sz w:val="22"/>
        </w:rPr>
        <w:t xml:space="preserve"> began to offer an alternative to traditional, directive psychological models, which were often less effective in fostering autonomy and emotional growth.</w:t>
      </w:r>
      <w:r w:rsidR="00F70EA5" w:rsidRPr="009B6547">
        <w:rPr>
          <w:rFonts w:ascii="Arial" w:hAnsi="Arial" w:cs="Arial"/>
          <w:sz w:val="22"/>
        </w:rPr>
        <w:t xml:space="preserve"> </w:t>
      </w:r>
    </w:p>
    <w:p w14:paraId="2CE51912" w14:textId="77777777" w:rsidR="00D96B7A" w:rsidRPr="00D96B7A" w:rsidRDefault="00D96B7A" w:rsidP="00D96B7A">
      <w:pPr>
        <w:spacing w:line="360" w:lineRule="auto"/>
        <w:jc w:val="both"/>
        <w:rPr>
          <w:rFonts w:ascii="Arial" w:eastAsia="Times New Roman" w:hAnsi="Arial" w:cs="Arial"/>
          <w:sz w:val="22"/>
          <w:lang w:eastAsia="en-GB"/>
        </w:rPr>
      </w:pPr>
    </w:p>
    <w:p w14:paraId="3D75CDFA" w14:textId="77777777" w:rsidR="0041691A" w:rsidRDefault="0041691A" w:rsidP="004A5A64">
      <w:pPr>
        <w:spacing w:line="360" w:lineRule="auto"/>
        <w:rPr>
          <w:rFonts w:ascii="Arial" w:hAnsi="Arial" w:cs="Arial"/>
          <w:b/>
          <w:bCs/>
          <w:sz w:val="23"/>
          <w:szCs w:val="23"/>
        </w:rPr>
      </w:pPr>
    </w:p>
    <w:p w14:paraId="1F3B800E" w14:textId="77777777" w:rsidR="0041691A" w:rsidRDefault="0041691A" w:rsidP="004A5A64">
      <w:pPr>
        <w:spacing w:line="360" w:lineRule="auto"/>
        <w:rPr>
          <w:rFonts w:ascii="Arial" w:hAnsi="Arial" w:cs="Arial"/>
          <w:b/>
          <w:bCs/>
          <w:sz w:val="23"/>
          <w:szCs w:val="23"/>
        </w:rPr>
      </w:pPr>
    </w:p>
    <w:p w14:paraId="6D46818E" w14:textId="6B6BBCEB" w:rsidR="006D2F2D" w:rsidRDefault="006D2F2D" w:rsidP="004A5A64">
      <w:pPr>
        <w:spacing w:line="360" w:lineRule="auto"/>
        <w:rPr>
          <w:rFonts w:ascii="Arial" w:hAnsi="Arial" w:cs="Arial"/>
          <w:b/>
          <w:bCs/>
          <w:sz w:val="23"/>
          <w:szCs w:val="23"/>
        </w:rPr>
      </w:pPr>
      <w:r w:rsidRPr="004A5A64">
        <w:rPr>
          <w:rFonts w:ascii="Arial" w:hAnsi="Arial" w:cs="Arial"/>
          <w:b/>
          <w:bCs/>
          <w:sz w:val="23"/>
          <w:szCs w:val="23"/>
        </w:rPr>
        <w:lastRenderedPageBreak/>
        <w:t xml:space="preserve">Application of the </w:t>
      </w:r>
      <w:r w:rsidR="00A14675" w:rsidRPr="004A5A64">
        <w:rPr>
          <w:rFonts w:ascii="Arial" w:hAnsi="Arial" w:cs="Arial"/>
          <w:b/>
          <w:bCs/>
          <w:sz w:val="23"/>
          <w:szCs w:val="23"/>
        </w:rPr>
        <w:t>concept</w:t>
      </w:r>
      <w:r w:rsidRPr="004A5A64">
        <w:rPr>
          <w:rFonts w:ascii="Arial" w:hAnsi="Arial" w:cs="Arial"/>
          <w:b/>
          <w:bCs/>
          <w:sz w:val="23"/>
          <w:szCs w:val="23"/>
        </w:rPr>
        <w:t xml:space="preserve"> in practice</w:t>
      </w:r>
    </w:p>
    <w:p w14:paraId="2A18D16C" w14:textId="5DAFA2AD" w:rsidR="00F52DE2" w:rsidRPr="0041691A" w:rsidRDefault="00863C61" w:rsidP="0041691A">
      <w:pPr>
        <w:spacing w:line="360" w:lineRule="auto"/>
        <w:jc w:val="both"/>
        <w:rPr>
          <w:rFonts w:ascii="Arial" w:eastAsia="Times New Roman" w:hAnsi="Arial" w:cs="Arial"/>
          <w:sz w:val="22"/>
          <w:lang w:eastAsia="en-GB"/>
        </w:rPr>
      </w:pPr>
      <w:r w:rsidRPr="0041691A">
        <w:rPr>
          <w:rFonts w:ascii="Arial" w:hAnsi="Arial" w:cs="Arial"/>
          <w:sz w:val="22"/>
        </w:rPr>
        <w:t xml:space="preserve">Rogers identified three essential conditions for meaningful therapeutic change: first, unconditional positive regard, where the therapist offers consistent acceptance regardless of the </w:t>
      </w:r>
      <w:r w:rsidR="00D14F2A" w:rsidRPr="0041691A">
        <w:rPr>
          <w:rFonts w:ascii="Arial" w:hAnsi="Arial" w:cs="Arial"/>
          <w:sz w:val="22"/>
        </w:rPr>
        <w:t>client’s</w:t>
      </w:r>
      <w:r w:rsidRPr="0041691A">
        <w:rPr>
          <w:rFonts w:ascii="Arial" w:hAnsi="Arial" w:cs="Arial"/>
          <w:sz w:val="22"/>
        </w:rPr>
        <w:t xml:space="preserve"> actions. Se</w:t>
      </w:r>
      <w:r w:rsidR="00D14F2A" w:rsidRPr="0041691A">
        <w:rPr>
          <w:rFonts w:ascii="Arial" w:hAnsi="Arial" w:cs="Arial"/>
          <w:sz w:val="22"/>
        </w:rPr>
        <w:t>c</w:t>
      </w:r>
      <w:r w:rsidRPr="0041691A">
        <w:rPr>
          <w:rFonts w:ascii="Arial" w:hAnsi="Arial" w:cs="Arial"/>
          <w:sz w:val="22"/>
        </w:rPr>
        <w:t xml:space="preserve">ond, empathy, in which the therapist </w:t>
      </w:r>
      <w:r w:rsidR="00D14F2A" w:rsidRPr="0041691A">
        <w:rPr>
          <w:rFonts w:ascii="Arial" w:hAnsi="Arial" w:cs="Arial"/>
          <w:sz w:val="22"/>
        </w:rPr>
        <w:t>deeply</w:t>
      </w:r>
      <w:r w:rsidRPr="0041691A">
        <w:rPr>
          <w:rFonts w:ascii="Arial" w:hAnsi="Arial" w:cs="Arial"/>
          <w:sz w:val="22"/>
        </w:rPr>
        <w:t xml:space="preserve"> grasps the client’s internal world and </w:t>
      </w:r>
      <w:r w:rsidR="00D14F2A" w:rsidRPr="0041691A">
        <w:rPr>
          <w:rFonts w:ascii="Arial" w:hAnsi="Arial" w:cs="Arial"/>
          <w:sz w:val="22"/>
        </w:rPr>
        <w:t>reflects</w:t>
      </w:r>
      <w:r w:rsidRPr="0041691A">
        <w:rPr>
          <w:rFonts w:ascii="Arial" w:hAnsi="Arial" w:cs="Arial"/>
          <w:sz w:val="22"/>
        </w:rPr>
        <w:t xml:space="preserve"> it back. Thir</w:t>
      </w:r>
      <w:r w:rsidR="00D14F2A" w:rsidRPr="0041691A">
        <w:rPr>
          <w:rFonts w:ascii="Arial" w:hAnsi="Arial" w:cs="Arial"/>
          <w:sz w:val="22"/>
        </w:rPr>
        <w:t>d</w:t>
      </w:r>
      <w:r w:rsidRPr="0041691A">
        <w:rPr>
          <w:rFonts w:ascii="Arial" w:hAnsi="Arial" w:cs="Arial"/>
          <w:sz w:val="22"/>
        </w:rPr>
        <w:t xml:space="preserve">, congruence, where the therapist remains genuine and transparent, fostering trust. Rogers argued that when these conditions are met, clients feel safe to explore their inner experiences, enabling growth. This is crucial in health and social care, as it ensures individuals are seen as whole persons, not just through a clinical lens. By fostering acceptance and authenticity, person-centred care can counteract the damage caused when individuals supress their true selves in pursuit of external approval </w:t>
      </w:r>
      <w:r w:rsidRPr="0041691A">
        <w:rPr>
          <w:rFonts w:ascii="Arial" w:eastAsia="Times New Roman" w:hAnsi="Arial" w:cs="Arial"/>
          <w:sz w:val="22"/>
          <w:lang w:eastAsia="en-GB"/>
        </w:rPr>
        <w:t>(McLeod, 2025)</w:t>
      </w:r>
      <w:r w:rsidRPr="0041691A">
        <w:rPr>
          <w:rFonts w:ascii="Arial" w:eastAsia="Times New Roman" w:hAnsi="Arial" w:cs="Arial"/>
          <w:sz w:val="22"/>
          <w:lang w:eastAsia="en-GB"/>
        </w:rPr>
        <w:t xml:space="preserve">. </w:t>
      </w:r>
      <w:r w:rsidR="00D14F2A" w:rsidRPr="0041691A">
        <w:rPr>
          <w:rFonts w:ascii="Arial" w:eastAsia="Times New Roman" w:hAnsi="Arial" w:cs="Arial"/>
          <w:sz w:val="22"/>
          <w:lang w:eastAsia="en-GB"/>
        </w:rPr>
        <w:t>These core conditions are not just theoretical; they underpin key aspects of contemporary policy and practice in the UK.</w:t>
      </w:r>
      <w:r w:rsidR="00176EE0" w:rsidRPr="0041691A">
        <w:rPr>
          <w:rFonts w:ascii="Arial" w:eastAsia="Times New Roman" w:hAnsi="Arial" w:cs="Arial"/>
          <w:sz w:val="22"/>
          <w:lang w:eastAsia="en-GB"/>
        </w:rPr>
        <w:t xml:space="preserve">  As the health needs of the population evolve, there is a growing demand for more integrated care that bridges primary, community, and hospital services. Coordinated care relies heavily on staff and organisations working together across traditional boundaries. According to research from health leaders in integrated care boards, NHS providers, and community organisations, leadership plays a pivotal role in promoting collaboration, but it must be paired with six key leadership </w:t>
      </w:r>
      <w:r w:rsidR="001D52B1" w:rsidRPr="0041691A">
        <w:rPr>
          <w:rFonts w:ascii="Arial" w:eastAsia="Times New Roman" w:hAnsi="Arial" w:cs="Arial"/>
          <w:sz w:val="22"/>
          <w:lang w:eastAsia="en-GB"/>
        </w:rPr>
        <w:t xml:space="preserve">practices. These include creating a safe, inclusive, and trusting environment where everyone can full contribute, encouraging leaders to view challenges from multiple angles, and prioritising humility and respect. By embedding these relational practices, leaders foster stronger connections, boast staff engagement, and promote more coordinated, responsive care. In doing so, these practices align with person-centred care and ensure that integrated care systems in England can achieve their goals, even as they navigate institutional norms and resources pressures </w:t>
      </w:r>
      <w:r w:rsidR="001D52B1" w:rsidRPr="0041691A">
        <w:rPr>
          <w:rFonts w:ascii="Arial" w:eastAsia="Times New Roman" w:hAnsi="Arial" w:cs="Arial"/>
          <w:sz w:val="22"/>
          <w:lang w:eastAsia="en-GB"/>
        </w:rPr>
        <w:t xml:space="preserve">(Walsh and de </w:t>
      </w:r>
      <w:proofErr w:type="spellStart"/>
      <w:r w:rsidR="001D52B1" w:rsidRPr="0041691A">
        <w:rPr>
          <w:rFonts w:ascii="Arial" w:eastAsia="Times New Roman" w:hAnsi="Arial" w:cs="Arial"/>
          <w:sz w:val="22"/>
          <w:lang w:eastAsia="en-GB"/>
        </w:rPr>
        <w:t>Sarandy</w:t>
      </w:r>
      <w:proofErr w:type="spellEnd"/>
      <w:r w:rsidR="001D52B1" w:rsidRPr="0041691A">
        <w:rPr>
          <w:rFonts w:ascii="Arial" w:eastAsia="Times New Roman" w:hAnsi="Arial" w:cs="Arial"/>
          <w:sz w:val="22"/>
          <w:lang w:eastAsia="en-GB"/>
        </w:rPr>
        <w:t>, 2023)</w:t>
      </w:r>
      <w:r w:rsidR="001D52B1" w:rsidRPr="0041691A">
        <w:rPr>
          <w:rFonts w:ascii="Arial" w:eastAsia="Times New Roman" w:hAnsi="Arial" w:cs="Arial"/>
          <w:sz w:val="22"/>
          <w:lang w:eastAsia="en-GB"/>
        </w:rPr>
        <w:t>.</w:t>
      </w:r>
      <w:r w:rsidR="007B46FD" w:rsidRPr="0041691A">
        <w:rPr>
          <w:rFonts w:ascii="Arial" w:eastAsia="Times New Roman" w:hAnsi="Arial" w:cs="Arial"/>
          <w:sz w:val="22"/>
          <w:lang w:eastAsia="en-GB"/>
        </w:rPr>
        <w:t xml:space="preserve"> </w:t>
      </w:r>
      <w:r w:rsidR="00F52DE2" w:rsidRPr="0041691A">
        <w:rPr>
          <w:rFonts w:ascii="Arial" w:hAnsi="Arial" w:cs="Arial"/>
          <w:sz w:val="22"/>
        </w:rPr>
        <w:t>Key legislative frameworks such as the Care Act 2014 emphasises the promotion of individual well-being, dignity, and autonomy, requiring practitioners</w:t>
      </w:r>
      <w:r w:rsidR="00F52DE2" w:rsidRPr="0041691A">
        <w:rPr>
          <w:rFonts w:ascii="Arial" w:hAnsi="Arial" w:cs="Arial"/>
          <w:b/>
          <w:bCs/>
          <w:sz w:val="22"/>
        </w:rPr>
        <w:t xml:space="preserve"> </w:t>
      </w:r>
      <w:r w:rsidR="00F52DE2" w:rsidRPr="0041691A">
        <w:rPr>
          <w:rFonts w:ascii="Arial" w:hAnsi="Arial" w:cs="Arial"/>
          <w:sz w:val="22"/>
        </w:rPr>
        <w:t xml:space="preserve">to involve </w:t>
      </w:r>
      <w:r w:rsidR="004A2044" w:rsidRPr="0041691A">
        <w:rPr>
          <w:rFonts w:ascii="Arial" w:hAnsi="Arial" w:cs="Arial"/>
          <w:sz w:val="22"/>
        </w:rPr>
        <w:t>service</w:t>
      </w:r>
      <w:r w:rsidR="00F52DE2" w:rsidRPr="0041691A">
        <w:rPr>
          <w:rFonts w:ascii="Arial" w:hAnsi="Arial" w:cs="Arial"/>
          <w:sz w:val="22"/>
        </w:rPr>
        <w:t xml:space="preserve"> users in decisions about their care</w:t>
      </w:r>
      <w:r w:rsidR="0071517C" w:rsidRPr="0041691A">
        <w:rPr>
          <w:rFonts w:ascii="Arial" w:hAnsi="Arial" w:cs="Arial"/>
          <w:sz w:val="22"/>
        </w:rPr>
        <w:t xml:space="preserve"> </w:t>
      </w:r>
      <w:r w:rsidR="0071517C" w:rsidRPr="0041691A">
        <w:rPr>
          <w:rFonts w:ascii="Arial" w:eastAsia="Times New Roman" w:hAnsi="Arial" w:cs="Arial"/>
          <w:sz w:val="22"/>
          <w:lang w:eastAsia="en-GB"/>
        </w:rPr>
        <w:t>(Care Act, 2014)</w:t>
      </w:r>
      <w:r w:rsidR="00F52DE2" w:rsidRPr="0041691A">
        <w:rPr>
          <w:rFonts w:ascii="Arial" w:hAnsi="Arial" w:cs="Arial"/>
          <w:sz w:val="22"/>
        </w:rPr>
        <w:t>. Similarly, the mental Capacity Act 2005</w:t>
      </w:r>
      <w:r w:rsidR="0071517C" w:rsidRPr="0041691A">
        <w:rPr>
          <w:rFonts w:ascii="Arial" w:hAnsi="Arial" w:cs="Arial"/>
          <w:sz w:val="22"/>
        </w:rPr>
        <w:t xml:space="preserve"> </w:t>
      </w:r>
      <w:r w:rsidR="0071517C" w:rsidRPr="0041691A">
        <w:rPr>
          <w:rFonts w:ascii="Arial" w:eastAsia="Times New Roman" w:hAnsi="Arial" w:cs="Arial"/>
          <w:sz w:val="22"/>
          <w:lang w:eastAsia="en-GB"/>
        </w:rPr>
        <w:t>(GOV.UK, 2005)</w:t>
      </w:r>
      <w:r w:rsidR="0071517C" w:rsidRPr="0041691A">
        <w:rPr>
          <w:rFonts w:ascii="Arial" w:eastAsia="Times New Roman" w:hAnsi="Arial" w:cs="Arial"/>
          <w:sz w:val="22"/>
          <w:lang w:eastAsia="en-GB"/>
        </w:rPr>
        <w:t xml:space="preserve">, </w:t>
      </w:r>
      <w:r w:rsidR="004A2044" w:rsidRPr="0041691A">
        <w:rPr>
          <w:rFonts w:ascii="Arial" w:hAnsi="Arial" w:cs="Arial"/>
          <w:sz w:val="22"/>
        </w:rPr>
        <w:t>supports individuals in making their own choices wherever possible, reinforcing the importance of independence and informed consent. In addition, the Human Rights Act 1998</w:t>
      </w:r>
      <w:r w:rsidR="0071517C" w:rsidRPr="0041691A">
        <w:rPr>
          <w:rFonts w:ascii="Arial" w:hAnsi="Arial" w:cs="Arial"/>
          <w:sz w:val="22"/>
        </w:rPr>
        <w:t xml:space="preserve"> </w:t>
      </w:r>
      <w:r w:rsidR="0071517C" w:rsidRPr="0041691A">
        <w:rPr>
          <w:rFonts w:ascii="Arial" w:eastAsia="Times New Roman" w:hAnsi="Arial" w:cs="Arial"/>
          <w:sz w:val="22"/>
          <w:lang w:eastAsia="en-GB"/>
        </w:rPr>
        <w:t>(Human Rights Act, 1998)</w:t>
      </w:r>
      <w:r w:rsidR="0071517C" w:rsidRPr="0041691A">
        <w:rPr>
          <w:rFonts w:ascii="Arial" w:eastAsia="Times New Roman" w:hAnsi="Arial" w:cs="Arial"/>
          <w:sz w:val="22"/>
          <w:lang w:eastAsia="en-GB"/>
        </w:rPr>
        <w:t xml:space="preserve"> </w:t>
      </w:r>
      <w:r w:rsidR="004A2044" w:rsidRPr="0041691A">
        <w:rPr>
          <w:rFonts w:ascii="Arial" w:hAnsi="Arial" w:cs="Arial"/>
          <w:sz w:val="22"/>
        </w:rPr>
        <w:t>protects fundamental rights such as respect for private and family life, while professional standards set by the HCPC require practitioners to act in the best of service users and maintain respectful, collaborative relationships</w:t>
      </w:r>
      <w:r w:rsidR="0041691A" w:rsidRPr="0041691A">
        <w:rPr>
          <w:rFonts w:ascii="Arial" w:hAnsi="Arial" w:cs="Arial"/>
          <w:sz w:val="22"/>
        </w:rPr>
        <w:t xml:space="preserve"> </w:t>
      </w:r>
      <w:r w:rsidR="0041691A" w:rsidRPr="0041691A">
        <w:rPr>
          <w:rFonts w:ascii="Arial" w:eastAsia="Times New Roman" w:hAnsi="Arial" w:cs="Arial"/>
          <w:sz w:val="22"/>
          <w:lang w:eastAsia="en-GB"/>
        </w:rPr>
        <w:t>(HCPC, 2024)</w:t>
      </w:r>
      <w:r w:rsidR="0041691A" w:rsidRPr="0041691A">
        <w:rPr>
          <w:rFonts w:ascii="Arial" w:eastAsia="Times New Roman" w:hAnsi="Arial" w:cs="Arial"/>
          <w:sz w:val="22"/>
          <w:lang w:eastAsia="en-GB"/>
        </w:rPr>
        <w:t xml:space="preserve">. </w:t>
      </w:r>
      <w:r w:rsidR="004A2044" w:rsidRPr="0041691A">
        <w:rPr>
          <w:rFonts w:ascii="Arial" w:hAnsi="Arial" w:cs="Arial"/>
          <w:sz w:val="22"/>
        </w:rPr>
        <w:t xml:space="preserve">These frameworks demonstrate how person-centred principles have been translated into real world practice, particularly throughcare planning, shared decision making, and the development of therapeutic relationships. In practice, </w:t>
      </w:r>
      <w:proofErr w:type="spellStart"/>
      <w:r w:rsidR="004A2044" w:rsidRPr="0041691A">
        <w:rPr>
          <w:rFonts w:ascii="Arial" w:hAnsi="Arial" w:cs="Arial"/>
          <w:sz w:val="22"/>
        </w:rPr>
        <w:t>thi</w:t>
      </w:r>
      <w:proofErr w:type="spellEnd"/>
      <w:r w:rsidR="004A2044" w:rsidRPr="0041691A">
        <w:rPr>
          <w:rFonts w:ascii="Arial" w:hAnsi="Arial" w:cs="Arial"/>
          <w:sz w:val="22"/>
        </w:rPr>
        <w:t xml:space="preserve"> approach is widely used in areas such as mental health services and the management of long-term conditions, where building trust between practitioners and service users is essential for </w:t>
      </w:r>
      <w:r w:rsidR="004A2044" w:rsidRPr="0041691A">
        <w:rPr>
          <w:rFonts w:ascii="Arial" w:hAnsi="Arial" w:cs="Arial"/>
          <w:sz w:val="22"/>
        </w:rPr>
        <w:lastRenderedPageBreak/>
        <w:t xml:space="preserve">encouraging engagement and supporting sustainable lifestyle changes. For example, when individuals feel heard and respected, they are more likely to participate </w:t>
      </w:r>
      <w:r w:rsidR="00111DBC" w:rsidRPr="0041691A">
        <w:rPr>
          <w:rFonts w:ascii="Arial" w:hAnsi="Arial" w:cs="Arial"/>
          <w:sz w:val="22"/>
        </w:rPr>
        <w:t xml:space="preserve">actively in their care, leading to improved adherence to treatment plans and better health outcomes. However, despite strong policy support, </w:t>
      </w:r>
      <w:proofErr w:type="spellStart"/>
      <w:r w:rsidR="00111DBC" w:rsidRPr="0041691A">
        <w:rPr>
          <w:rFonts w:ascii="Arial" w:hAnsi="Arial" w:cs="Arial"/>
          <w:sz w:val="22"/>
        </w:rPr>
        <w:t>te</w:t>
      </w:r>
      <w:proofErr w:type="spellEnd"/>
      <w:r w:rsidR="00111DBC" w:rsidRPr="0041691A">
        <w:rPr>
          <w:rFonts w:ascii="Arial" w:hAnsi="Arial" w:cs="Arial"/>
          <w:sz w:val="22"/>
        </w:rPr>
        <w:t xml:space="preserve"> application of person-centred care is not always consistent. Organisational pressures, including high service demand and limited resources, can restrict the time available for meaningful interaction, potentially reducing opportunities for empathy and personalised communication. This creates tension between policy expectations and the realities of practice, where efficiency may be prioritised over relational care. Therefore, while UK policy frameworks clearly reflect the principles of person-centred care, their reflective implementation depends on the ability of healthcare systems to balance efficiency with the need for individualised, rational practice.</w:t>
      </w:r>
    </w:p>
    <w:p w14:paraId="41DD4774" w14:textId="77777777" w:rsidR="007B46FD" w:rsidRDefault="007B46FD" w:rsidP="002D0A29">
      <w:pPr>
        <w:spacing w:line="360" w:lineRule="auto"/>
        <w:jc w:val="both"/>
        <w:rPr>
          <w:rFonts w:ascii="Arial" w:hAnsi="Arial" w:cs="Arial"/>
          <w:sz w:val="22"/>
        </w:rPr>
      </w:pPr>
    </w:p>
    <w:p w14:paraId="580DF17A" w14:textId="76D4A3A9" w:rsidR="00111DBC" w:rsidRDefault="00111DBC" w:rsidP="004A5A64">
      <w:pPr>
        <w:spacing w:line="360" w:lineRule="auto"/>
        <w:rPr>
          <w:rFonts w:ascii="Arial" w:hAnsi="Arial" w:cs="Arial"/>
          <w:b/>
          <w:bCs/>
          <w:sz w:val="22"/>
        </w:rPr>
      </w:pPr>
      <w:r w:rsidRPr="00111DBC">
        <w:rPr>
          <w:rFonts w:ascii="Arial" w:hAnsi="Arial" w:cs="Arial"/>
          <w:b/>
          <w:bCs/>
          <w:sz w:val="22"/>
        </w:rPr>
        <w:t>Challenges in Practice</w:t>
      </w:r>
    </w:p>
    <w:p w14:paraId="007ACC8B" w14:textId="33A398D1" w:rsidR="00111DBC" w:rsidRPr="00893CA9" w:rsidRDefault="004547B6" w:rsidP="00EE0DC2">
      <w:pPr>
        <w:spacing w:line="360" w:lineRule="auto"/>
        <w:jc w:val="both"/>
        <w:rPr>
          <w:rFonts w:ascii="Arial" w:eastAsia="Times New Roman" w:hAnsi="Arial" w:cs="Arial"/>
          <w:sz w:val="22"/>
          <w:lang w:eastAsia="en-GB"/>
        </w:rPr>
      </w:pPr>
      <w:r w:rsidRPr="00B36783">
        <w:rPr>
          <w:rFonts w:ascii="Arial" w:hAnsi="Arial" w:cs="Arial"/>
          <w:sz w:val="22"/>
        </w:rPr>
        <w:t xml:space="preserve">Person-centred care </w:t>
      </w:r>
      <w:r w:rsidR="00893CA9" w:rsidRPr="00B36783">
        <w:rPr>
          <w:rFonts w:ascii="Arial" w:hAnsi="Arial" w:cs="Arial"/>
          <w:sz w:val="22"/>
        </w:rPr>
        <w:t xml:space="preserve">continues to face significant implementation challenges </w:t>
      </w:r>
      <w:r w:rsidRPr="00B36783">
        <w:rPr>
          <w:rFonts w:ascii="Arial" w:hAnsi="Arial" w:cs="Arial"/>
          <w:sz w:val="22"/>
        </w:rPr>
        <w:t>within the NHS</w:t>
      </w:r>
      <w:r w:rsidR="00893CA9" w:rsidRPr="00B36783">
        <w:rPr>
          <w:rFonts w:ascii="Arial" w:hAnsi="Arial" w:cs="Arial"/>
          <w:sz w:val="22"/>
        </w:rPr>
        <w:t>, despite being strongly embe</w:t>
      </w:r>
      <w:r w:rsidR="004C0033" w:rsidRPr="00B36783">
        <w:rPr>
          <w:rFonts w:ascii="Arial" w:hAnsi="Arial" w:cs="Arial"/>
          <w:sz w:val="22"/>
        </w:rPr>
        <w:t>dd</w:t>
      </w:r>
      <w:r w:rsidR="00893CA9" w:rsidRPr="00B36783">
        <w:rPr>
          <w:rFonts w:ascii="Arial" w:hAnsi="Arial" w:cs="Arial"/>
          <w:sz w:val="22"/>
        </w:rPr>
        <w:t xml:space="preserve">ed in policy and professional expectations. According to the </w:t>
      </w:r>
      <w:r w:rsidR="006A0490" w:rsidRPr="00B36783">
        <w:rPr>
          <w:rFonts w:ascii="Arial" w:hAnsi="Arial" w:cs="Arial"/>
          <w:sz w:val="22"/>
        </w:rPr>
        <w:t>Health Foundation</w:t>
      </w:r>
      <w:r w:rsidR="006A0490" w:rsidRPr="00B36783">
        <w:rPr>
          <w:rFonts w:ascii="Arial" w:eastAsia="Times New Roman" w:hAnsi="Arial" w:cs="Arial"/>
          <w:sz w:val="22"/>
          <w:lang w:eastAsia="en-GB"/>
        </w:rPr>
        <w:t xml:space="preserve"> </w:t>
      </w:r>
      <w:r w:rsidR="006A0490" w:rsidRPr="00B36783">
        <w:rPr>
          <w:rFonts w:ascii="Arial" w:eastAsia="Times New Roman" w:hAnsi="Arial" w:cs="Arial"/>
          <w:sz w:val="22"/>
          <w:lang w:eastAsia="en-GB"/>
        </w:rPr>
        <w:t>(The Health Foundation, 2016)</w:t>
      </w:r>
      <w:r w:rsidR="006A0490" w:rsidRPr="00B36783">
        <w:rPr>
          <w:rFonts w:ascii="Arial" w:eastAsia="Times New Roman" w:hAnsi="Arial" w:cs="Arial"/>
          <w:sz w:val="22"/>
          <w:lang w:eastAsia="en-GB"/>
        </w:rPr>
        <w:t xml:space="preserve">, </w:t>
      </w:r>
      <w:r w:rsidR="00893CA9" w:rsidRPr="00B36783">
        <w:rPr>
          <w:rFonts w:ascii="Arial" w:eastAsia="Times New Roman" w:hAnsi="Arial" w:cs="Arial"/>
          <w:sz w:val="22"/>
          <w:lang w:eastAsia="en-GB"/>
        </w:rPr>
        <w:t xml:space="preserve">key </w:t>
      </w:r>
      <w:r w:rsidR="004C0033" w:rsidRPr="00B36783">
        <w:rPr>
          <w:rFonts w:ascii="Arial" w:eastAsia="Times New Roman" w:hAnsi="Arial" w:cs="Arial"/>
          <w:sz w:val="22"/>
          <w:lang w:eastAsia="en-GB"/>
        </w:rPr>
        <w:t xml:space="preserve">barriers include entrenched system-centred models of care, workforce shortages, high levels of staff burnout, and limited organisational capacity to support effective </w:t>
      </w:r>
      <w:r w:rsidR="00893CA9" w:rsidRPr="00B36783">
        <w:rPr>
          <w:rFonts w:ascii="Arial" w:eastAsia="Times New Roman" w:hAnsi="Arial" w:cs="Arial"/>
          <w:sz w:val="22"/>
          <w:lang w:eastAsia="en-GB"/>
        </w:rPr>
        <w:t>self-management</w:t>
      </w:r>
      <w:r w:rsidR="004C0033" w:rsidRPr="00B36783">
        <w:rPr>
          <w:rFonts w:ascii="Arial" w:eastAsia="Times New Roman" w:hAnsi="Arial" w:cs="Arial"/>
          <w:sz w:val="22"/>
          <w:lang w:eastAsia="en-GB"/>
        </w:rPr>
        <w:t xml:space="preserve"> for service users.</w:t>
      </w:r>
      <w:r w:rsidR="00893CA9" w:rsidRPr="00B36783">
        <w:rPr>
          <w:rFonts w:ascii="Arial" w:eastAsia="Times New Roman" w:hAnsi="Arial" w:cs="Arial"/>
          <w:sz w:val="22"/>
          <w:lang w:eastAsia="en-GB"/>
        </w:rPr>
        <w:t xml:space="preserve"> This </w:t>
      </w:r>
      <w:r w:rsidR="00532415" w:rsidRPr="00B36783">
        <w:rPr>
          <w:rFonts w:ascii="Arial" w:eastAsia="Times New Roman" w:hAnsi="Arial" w:cs="Arial"/>
          <w:sz w:val="22"/>
          <w:lang w:eastAsia="en-GB"/>
        </w:rPr>
        <w:t>indicates a</w:t>
      </w:r>
      <w:r w:rsidR="004C0033" w:rsidRPr="00B36783">
        <w:rPr>
          <w:rFonts w:ascii="Arial" w:eastAsia="Times New Roman" w:hAnsi="Arial" w:cs="Arial"/>
          <w:sz w:val="22"/>
          <w:lang w:eastAsia="en-GB"/>
        </w:rPr>
        <w:t xml:space="preserve"> persistent gap between policy aspirations and everyday clinical practice, where structural pressures restrict the delivery of individualised care.</w:t>
      </w:r>
      <w:r w:rsidR="00893CA9" w:rsidRPr="00B36783">
        <w:rPr>
          <w:rFonts w:ascii="Arial" w:eastAsia="Times New Roman" w:hAnsi="Arial" w:cs="Arial"/>
          <w:sz w:val="22"/>
          <w:lang w:eastAsia="en-GB"/>
        </w:rPr>
        <w:t xml:space="preserve"> </w:t>
      </w:r>
      <w:r w:rsidR="00857F5F" w:rsidRPr="00B36783">
        <w:rPr>
          <w:rFonts w:ascii="Arial" w:eastAsia="Times New Roman" w:hAnsi="Arial" w:cs="Arial"/>
          <w:sz w:val="22"/>
          <w:lang w:eastAsia="en-GB"/>
        </w:rPr>
        <w:t>For example</w:t>
      </w:r>
      <w:r w:rsidR="00705486" w:rsidRPr="00B36783">
        <w:rPr>
          <w:rFonts w:ascii="Arial" w:eastAsia="Times New Roman" w:hAnsi="Arial" w:cs="Arial"/>
          <w:sz w:val="22"/>
          <w:lang w:eastAsia="en-GB"/>
        </w:rPr>
        <w:t>,</w:t>
      </w:r>
      <w:r w:rsidR="00532415" w:rsidRPr="00B36783">
        <w:rPr>
          <w:rFonts w:ascii="Arial" w:eastAsia="Times New Roman" w:hAnsi="Arial" w:cs="Arial"/>
          <w:sz w:val="22"/>
          <w:lang w:eastAsia="en-GB"/>
        </w:rPr>
        <w:t xml:space="preserve"> collaborative partnership approach requires a significant change in professional attitudes and roles. This challenge is </w:t>
      </w:r>
      <w:r w:rsidR="00DF4781" w:rsidRPr="00B36783">
        <w:rPr>
          <w:rFonts w:ascii="Arial" w:eastAsia="Times New Roman" w:hAnsi="Arial" w:cs="Arial"/>
          <w:sz w:val="22"/>
          <w:lang w:eastAsia="en-GB"/>
        </w:rPr>
        <w:t>further intensified</w:t>
      </w:r>
      <w:r w:rsidR="00532415" w:rsidRPr="00B36783">
        <w:rPr>
          <w:rFonts w:ascii="Arial" w:eastAsia="Times New Roman" w:hAnsi="Arial" w:cs="Arial"/>
          <w:sz w:val="22"/>
          <w:lang w:eastAsia="en-GB"/>
        </w:rPr>
        <w:t xml:space="preserve"> by increasing demand for services, time constraints, and under</w:t>
      </w:r>
      <w:r w:rsidR="00DF4781" w:rsidRPr="00B36783">
        <w:rPr>
          <w:rFonts w:ascii="Arial" w:eastAsia="Times New Roman" w:hAnsi="Arial" w:cs="Arial"/>
          <w:sz w:val="22"/>
          <w:lang w:eastAsia="en-GB"/>
        </w:rPr>
        <w:t xml:space="preserve"> investment</w:t>
      </w:r>
      <w:r w:rsidR="00532415" w:rsidRPr="00B36783">
        <w:rPr>
          <w:rFonts w:ascii="Arial" w:eastAsia="Times New Roman" w:hAnsi="Arial" w:cs="Arial"/>
          <w:sz w:val="22"/>
          <w:lang w:eastAsia="en-GB"/>
        </w:rPr>
        <w:t xml:space="preserve"> in health and social </w:t>
      </w:r>
      <w:r w:rsidR="00DF4781" w:rsidRPr="00B36783">
        <w:rPr>
          <w:rFonts w:ascii="Arial" w:eastAsia="Times New Roman" w:hAnsi="Arial" w:cs="Arial"/>
          <w:sz w:val="22"/>
          <w:lang w:eastAsia="en-GB"/>
        </w:rPr>
        <w:t>care systems</w:t>
      </w:r>
      <w:r w:rsidR="00532415" w:rsidRPr="00B36783">
        <w:rPr>
          <w:rFonts w:ascii="Arial" w:eastAsia="Times New Roman" w:hAnsi="Arial" w:cs="Arial"/>
          <w:sz w:val="22"/>
          <w:lang w:eastAsia="en-GB"/>
        </w:rPr>
        <w:t xml:space="preserve">, all of which reduce opportunities for meaningful patient engagement. Consequently, the lack of </w:t>
      </w:r>
      <w:r w:rsidR="00DF4781" w:rsidRPr="00B36783">
        <w:rPr>
          <w:rFonts w:ascii="Arial" w:eastAsia="Times New Roman" w:hAnsi="Arial" w:cs="Arial"/>
          <w:sz w:val="22"/>
          <w:lang w:eastAsia="en-GB"/>
        </w:rPr>
        <w:t>standardised</w:t>
      </w:r>
      <w:r w:rsidR="00532415" w:rsidRPr="00B36783">
        <w:rPr>
          <w:rFonts w:ascii="Arial" w:eastAsia="Times New Roman" w:hAnsi="Arial" w:cs="Arial"/>
          <w:sz w:val="22"/>
          <w:lang w:eastAsia="en-GB"/>
        </w:rPr>
        <w:t xml:space="preserve"> tools to measure person-centred care makes it difficult to evaluate effectiveness or compare outcomes across services. As a result, person-centred care is sometimes </w:t>
      </w:r>
      <w:r w:rsidR="00DF4781" w:rsidRPr="00B36783">
        <w:rPr>
          <w:rFonts w:ascii="Arial" w:eastAsia="Times New Roman" w:hAnsi="Arial" w:cs="Arial"/>
          <w:sz w:val="22"/>
          <w:lang w:eastAsia="en-GB"/>
        </w:rPr>
        <w:t>reduced to a procedural requirement rather than a relational and empowering approach. Therefore, these challenges highlight the ongoing gap between theoretical policy frameworks and the realities of healthcare delivery, emphasising the need for systematic change to fully embed person-centred practice.</w:t>
      </w:r>
      <w:r w:rsidR="00532415" w:rsidRPr="00B36783">
        <w:rPr>
          <w:rFonts w:ascii="Arial" w:eastAsia="Times New Roman" w:hAnsi="Arial" w:cs="Arial"/>
          <w:sz w:val="22"/>
          <w:lang w:eastAsia="en-GB"/>
        </w:rPr>
        <w:t xml:space="preserve"> </w:t>
      </w:r>
      <w:r w:rsidR="00705486" w:rsidRPr="00B36783">
        <w:rPr>
          <w:rFonts w:ascii="Arial" w:eastAsia="Times New Roman" w:hAnsi="Arial" w:cs="Arial"/>
          <w:sz w:val="22"/>
          <w:lang w:eastAsia="en-GB"/>
        </w:rPr>
        <w:t>A</w:t>
      </w:r>
      <w:r w:rsidR="00532415" w:rsidRPr="00B36783">
        <w:rPr>
          <w:rFonts w:ascii="Arial" w:eastAsia="Times New Roman" w:hAnsi="Arial" w:cs="Arial"/>
          <w:sz w:val="22"/>
          <w:lang w:eastAsia="en-GB"/>
        </w:rPr>
        <w:t>lthough person-centred care policies promote shared decision-making, evidence suggests that only a small proportion of patients with long-term conditions have a documented care plan, demonstrating limited implementation in practice. Furthermore, cultural resistance within healthcare systems can hinder progress, as shifting from a traditionally paternalistic model</w:t>
      </w:r>
      <w:r w:rsidR="006A0490" w:rsidRPr="00B36783">
        <w:rPr>
          <w:rFonts w:ascii="Arial" w:eastAsia="Times New Roman" w:hAnsi="Arial" w:cs="Arial"/>
          <w:sz w:val="22"/>
          <w:lang w:eastAsia="en-GB"/>
        </w:rPr>
        <w:t>.</w:t>
      </w:r>
      <w:r w:rsidR="00893CA9" w:rsidRPr="00B36783">
        <w:rPr>
          <w:rFonts w:ascii="Arial" w:eastAsia="Times New Roman" w:hAnsi="Arial" w:cs="Arial"/>
          <w:sz w:val="22"/>
          <w:lang w:eastAsia="en-GB"/>
        </w:rPr>
        <w:t xml:space="preserve"> </w:t>
      </w:r>
      <w:r w:rsidR="006A0490" w:rsidRPr="00B36783">
        <w:rPr>
          <w:rFonts w:ascii="Arial" w:eastAsia="Times New Roman" w:hAnsi="Arial" w:cs="Arial"/>
          <w:sz w:val="22"/>
          <w:lang w:eastAsia="en-GB"/>
        </w:rPr>
        <w:t>D</w:t>
      </w:r>
      <w:r w:rsidR="00893CA9" w:rsidRPr="00B36783">
        <w:rPr>
          <w:rFonts w:ascii="Arial" w:eastAsia="Times New Roman" w:hAnsi="Arial" w:cs="Arial"/>
          <w:sz w:val="22"/>
          <w:lang w:eastAsia="en-GB"/>
        </w:rPr>
        <w:t xml:space="preserve">espite </w:t>
      </w:r>
      <w:r w:rsidR="00111DBC" w:rsidRPr="00B36783">
        <w:rPr>
          <w:rFonts w:ascii="Arial" w:hAnsi="Arial" w:cs="Arial"/>
          <w:sz w:val="22"/>
        </w:rPr>
        <w:t>strong policy</w:t>
      </w:r>
      <w:r w:rsidR="00893CA9" w:rsidRPr="00B36783">
        <w:rPr>
          <w:rFonts w:ascii="Arial" w:hAnsi="Arial" w:cs="Arial"/>
          <w:sz w:val="22"/>
        </w:rPr>
        <w:t xml:space="preserve"> support</w:t>
      </w:r>
      <w:r w:rsidR="00111DBC" w:rsidRPr="00B36783">
        <w:rPr>
          <w:rFonts w:ascii="Arial" w:hAnsi="Arial" w:cs="Arial"/>
          <w:sz w:val="22"/>
        </w:rPr>
        <w:t>,</w:t>
      </w:r>
      <w:r w:rsidR="00893CA9" w:rsidRPr="00B36783">
        <w:rPr>
          <w:rFonts w:ascii="Arial" w:hAnsi="Arial" w:cs="Arial"/>
          <w:sz w:val="22"/>
        </w:rPr>
        <w:t xml:space="preserve"> structural and cultural barriers continue to limit the consistent delivery of person-centred care in practice.</w:t>
      </w:r>
      <w:r w:rsidR="00111DBC" w:rsidRPr="00B36783">
        <w:rPr>
          <w:rFonts w:ascii="Arial" w:hAnsi="Arial" w:cs="Arial"/>
          <w:sz w:val="22"/>
        </w:rPr>
        <w:t xml:space="preserve"> the consistent implementation of person-centred care</w:t>
      </w:r>
      <w:r w:rsidR="005771F2" w:rsidRPr="00B36783">
        <w:rPr>
          <w:rFonts w:ascii="Arial" w:hAnsi="Arial" w:cs="Arial"/>
          <w:sz w:val="22"/>
        </w:rPr>
        <w:t xml:space="preserve"> within health </w:t>
      </w:r>
      <w:r w:rsidR="005771F2" w:rsidRPr="00B36783">
        <w:rPr>
          <w:rFonts w:ascii="Arial" w:hAnsi="Arial" w:cs="Arial"/>
          <w:sz w:val="22"/>
        </w:rPr>
        <w:lastRenderedPageBreak/>
        <w:t>and social care settings remains a significant challenge.</w:t>
      </w:r>
      <w:r w:rsidR="006A0490" w:rsidRPr="00B36783">
        <w:rPr>
          <w:rFonts w:ascii="Arial" w:hAnsi="Arial" w:cs="Arial"/>
          <w:sz w:val="22"/>
        </w:rPr>
        <w:t xml:space="preserve"> </w:t>
      </w:r>
      <w:r w:rsidR="005771F2" w:rsidRPr="00B36783">
        <w:rPr>
          <w:rFonts w:ascii="Arial" w:hAnsi="Arial" w:cs="Arial"/>
          <w:sz w:val="22"/>
        </w:rPr>
        <w:t>Guidance</w:t>
      </w:r>
      <w:r w:rsidR="006A0490" w:rsidRPr="00B36783">
        <w:rPr>
          <w:rFonts w:ascii="Arial" w:hAnsi="Arial" w:cs="Arial"/>
          <w:sz w:val="22"/>
        </w:rPr>
        <w:t xml:space="preserve"> </w:t>
      </w:r>
      <w:r w:rsidR="005771F2" w:rsidRPr="00B36783">
        <w:rPr>
          <w:rFonts w:ascii="Arial" w:hAnsi="Arial" w:cs="Arial"/>
          <w:sz w:val="22"/>
        </w:rPr>
        <w:t>form NHS England continues to promote personalised care and service user involvement; however, increasing demand for services and workforce pressures have created constrains within healthcare systems. One of the primary challenges is time limitation, as practitioners often work within short consultation periods that restrict opportunities to develop meaningful therapeutic relationships</w:t>
      </w:r>
      <w:r w:rsidR="00B36783" w:rsidRPr="00B36783">
        <w:rPr>
          <w:rFonts w:ascii="Arial" w:hAnsi="Arial" w:cs="Arial"/>
          <w:sz w:val="22"/>
        </w:rPr>
        <w:t xml:space="preserve"> </w:t>
      </w:r>
      <w:r w:rsidR="00B36783" w:rsidRPr="00B36783">
        <w:rPr>
          <w:rFonts w:ascii="Arial" w:eastAsia="Times New Roman" w:hAnsi="Arial" w:cs="Arial"/>
          <w:sz w:val="22"/>
          <w:lang w:eastAsia="en-GB"/>
        </w:rPr>
        <w:t>(NHS England, 2024)</w:t>
      </w:r>
      <w:r w:rsidR="00B36783">
        <w:rPr>
          <w:rFonts w:ascii="Arial" w:eastAsia="Times New Roman" w:hAnsi="Arial" w:cs="Arial"/>
          <w:sz w:val="22"/>
          <w:lang w:eastAsia="en-GB"/>
        </w:rPr>
        <w:t xml:space="preserve">. </w:t>
      </w:r>
      <w:r w:rsidR="005771F2">
        <w:rPr>
          <w:rFonts w:ascii="Arial" w:hAnsi="Arial" w:cs="Arial"/>
          <w:sz w:val="22"/>
        </w:rPr>
        <w:t>This can limit the application of empathy and active listening, which are central to the person-centred approach developed by Carl Rogers. In addition, workforce shortages contribute to increased workloads and staff burnout, which may lead to a more task-oriented approach to care rather than a rational one. As a result, practitioners may prioritise clinical efficiency over personal interaction, reducing the quality-of-service user engagement. Furthermore, communication barriers, including language, cultural diversity, and verifying levels of health literacy</w:t>
      </w:r>
      <w:r w:rsidR="00EE0DC2">
        <w:rPr>
          <w:rFonts w:ascii="Arial" w:hAnsi="Arial" w:cs="Arial"/>
          <w:sz w:val="22"/>
        </w:rPr>
        <w:t>, can make it more difficult to fully involve individuals in decision-making processes. These barriers highlight the complexity of applying person-centred care in diverse and high-pressure environments. Consequently, a gap often emerges between the ideal principles outlined in policy and the realities of everyday practice, where systematic constrains limit the extend to which care can be truly individualised. Therefore, addressing these practical challenges is essential to ensure that person-centred care can be delivered effectively and consistently across health and social care settings.</w:t>
      </w:r>
    </w:p>
    <w:p w14:paraId="0D9BCD8B" w14:textId="77777777" w:rsidR="00111DBC" w:rsidRPr="004A2044" w:rsidRDefault="00111DBC" w:rsidP="00EE0DC2">
      <w:pPr>
        <w:spacing w:line="360" w:lineRule="auto"/>
        <w:jc w:val="both"/>
        <w:rPr>
          <w:rFonts w:ascii="Arial" w:hAnsi="Arial" w:cs="Arial"/>
          <w:sz w:val="22"/>
        </w:rPr>
      </w:pPr>
    </w:p>
    <w:p w14:paraId="72FFECFB" w14:textId="1B09A3F7" w:rsidR="006D2F2D" w:rsidRDefault="006D2F2D" w:rsidP="004A5A64">
      <w:pPr>
        <w:spacing w:line="360" w:lineRule="auto"/>
        <w:rPr>
          <w:rFonts w:ascii="Arial" w:hAnsi="Arial" w:cs="Arial"/>
          <w:b/>
          <w:bCs/>
          <w:sz w:val="23"/>
          <w:szCs w:val="23"/>
        </w:rPr>
      </w:pPr>
      <w:r w:rsidRPr="004A5A64">
        <w:rPr>
          <w:rFonts w:ascii="Arial" w:hAnsi="Arial" w:cs="Arial"/>
          <w:b/>
          <w:bCs/>
          <w:sz w:val="23"/>
          <w:szCs w:val="23"/>
        </w:rPr>
        <w:t>Recommendations for</w:t>
      </w:r>
      <w:r w:rsidR="003E4ED4" w:rsidRPr="004A5A64">
        <w:rPr>
          <w:rFonts w:ascii="Arial" w:hAnsi="Arial" w:cs="Arial"/>
          <w:b/>
          <w:bCs/>
          <w:sz w:val="23"/>
          <w:szCs w:val="23"/>
        </w:rPr>
        <w:t xml:space="preserve"> policy</w:t>
      </w:r>
      <w:r w:rsidRPr="004A5A64">
        <w:rPr>
          <w:rFonts w:ascii="Arial" w:hAnsi="Arial" w:cs="Arial"/>
          <w:b/>
          <w:bCs/>
          <w:sz w:val="23"/>
          <w:szCs w:val="23"/>
        </w:rPr>
        <w:t xml:space="preserve"> and practice</w:t>
      </w:r>
    </w:p>
    <w:p w14:paraId="46660291" w14:textId="766A7A30" w:rsidR="00EE0DC2" w:rsidRDefault="007021AF" w:rsidP="007021AF">
      <w:pPr>
        <w:spacing w:line="360" w:lineRule="auto"/>
        <w:jc w:val="both"/>
        <w:rPr>
          <w:rFonts w:ascii="Arial" w:hAnsi="Arial" w:cs="Arial"/>
          <w:sz w:val="22"/>
        </w:rPr>
      </w:pPr>
      <w:r w:rsidRPr="007021AF">
        <w:rPr>
          <w:rFonts w:ascii="Arial" w:hAnsi="Arial" w:cs="Arial"/>
          <w:sz w:val="22"/>
        </w:rPr>
        <w:t xml:space="preserve">In 2024, NHS England </w:t>
      </w:r>
      <w:r w:rsidRPr="007021AF">
        <w:rPr>
          <w:rFonts w:ascii="Arial" w:eastAsia="Times New Roman" w:hAnsi="Arial" w:cs="Arial"/>
          <w:sz w:val="22"/>
          <w:lang w:eastAsia="en-GB"/>
        </w:rPr>
        <w:t>(England, 2024a)</w:t>
      </w:r>
      <w:r>
        <w:rPr>
          <w:rFonts w:ascii="Arial" w:eastAsia="Times New Roman" w:hAnsi="Arial" w:cs="Arial"/>
          <w:sz w:val="22"/>
          <w:lang w:eastAsia="en-GB"/>
        </w:rPr>
        <w:t>,</w:t>
      </w:r>
      <w:r w:rsidRPr="007021AF">
        <w:rPr>
          <w:rFonts w:ascii="Arial" w:hAnsi="Arial" w:cs="Arial"/>
          <w:sz w:val="22"/>
        </w:rPr>
        <w:t xml:space="preserve"> convened</w:t>
      </w:r>
      <w:r>
        <w:rPr>
          <w:rFonts w:ascii="Arial" w:hAnsi="Arial" w:cs="Arial"/>
          <w:sz w:val="22"/>
        </w:rPr>
        <w:t xml:space="preserve"> </w:t>
      </w:r>
      <w:r w:rsidRPr="007021AF">
        <w:rPr>
          <w:rFonts w:ascii="Arial" w:hAnsi="Arial" w:cs="Arial"/>
          <w:sz w:val="22"/>
        </w:rPr>
        <w:t xml:space="preserve">a </w:t>
      </w:r>
      <w:r>
        <w:rPr>
          <w:rFonts w:ascii="Arial" w:hAnsi="Arial" w:cs="Arial"/>
          <w:sz w:val="22"/>
        </w:rPr>
        <w:t>strategic meeting to outline ambitious goals for enhancing person-centred care. Their multifaceted programme aims a long-term transformation, illustrated by a diagram showing how national support can bolster local efforts</w:t>
      </w:r>
      <w:r w:rsidR="004A50C0">
        <w:rPr>
          <w:rFonts w:ascii="Arial" w:hAnsi="Arial" w:cs="Arial"/>
          <w:sz w:val="22"/>
        </w:rPr>
        <w:t xml:space="preserve">, as represented on figure 1. </w:t>
      </w:r>
      <w:r>
        <w:rPr>
          <w:rFonts w:ascii="Arial" w:hAnsi="Arial" w:cs="Arial"/>
          <w:sz w:val="22"/>
        </w:rPr>
        <w:t xml:space="preserve">Key priorities include reducing reliance on temporary staff by enabling organisations to develop local workforce strategies, ensuring a person-centred approach that reduces harm and enhances patient experience, and </w:t>
      </w:r>
      <w:r w:rsidR="0071517C">
        <w:rPr>
          <w:rFonts w:ascii="Arial" w:hAnsi="Arial" w:cs="Arial"/>
          <w:sz w:val="22"/>
        </w:rPr>
        <w:t>s</w:t>
      </w:r>
      <w:r>
        <w:rPr>
          <w:rFonts w:ascii="Arial" w:hAnsi="Arial" w:cs="Arial"/>
          <w:sz w:val="22"/>
        </w:rPr>
        <w:t>upporting staff by equipping them with the tools needed to improve efficiency and morale. In collaboration with NHS leaders, the programme fosters high-quality, patient-centred care by continually improving workforce skills and ensuring the right resources reach staff</w:t>
      </w:r>
      <w:r w:rsidR="0071517C">
        <w:rPr>
          <w:rFonts w:ascii="Arial" w:hAnsi="Arial" w:cs="Arial"/>
          <w:sz w:val="22"/>
        </w:rPr>
        <w:t>. In essence, the programme promotes a holistic, compassionate approach to healthcare, centred on continuous improvement and person-centred care.</w:t>
      </w:r>
      <w:r>
        <w:rPr>
          <w:rFonts w:ascii="Arial" w:hAnsi="Arial" w:cs="Arial"/>
          <w:sz w:val="22"/>
        </w:rPr>
        <w:t xml:space="preserve">  </w:t>
      </w:r>
      <w:r w:rsidR="003D3B70" w:rsidRPr="007021AF">
        <w:rPr>
          <w:rFonts w:ascii="Arial" w:hAnsi="Arial" w:cs="Arial"/>
          <w:sz w:val="22"/>
        </w:rPr>
        <w:t xml:space="preserve">To strengthen the implementation of person-centred care within health and social care, several practical and policy-level improvements are required. Firstly, legal and regulatory frameworks, including the Care Act 2014, should be more consistently enforced to ensure accountability in delivering personalised care. Secondly, funding and commissioning processes should prioritise outcomes that reflect </w:t>
      </w:r>
      <w:r w:rsidR="003D3B70" w:rsidRPr="007021AF">
        <w:rPr>
          <w:rFonts w:ascii="Arial" w:hAnsi="Arial" w:cs="Arial"/>
          <w:sz w:val="22"/>
        </w:rPr>
        <w:lastRenderedPageBreak/>
        <w:t xml:space="preserve">individual needs rather than purely organisational targets. In addition, embedding person-centred approaches into routine practice requires investment in staff training and the allocation of care coordinators to support continuity and relationship-building. Addressing inequalities is also essential, as underserved populations may face barriers to accessing personalised care. Finally, monitoring systems should </w:t>
      </w:r>
      <w:r w:rsidR="00C043F3" w:rsidRPr="007021AF">
        <w:rPr>
          <w:rFonts w:ascii="Arial" w:hAnsi="Arial" w:cs="Arial"/>
          <w:sz w:val="22"/>
        </w:rPr>
        <w:t>incorporate qualitative indicators, such as patient experiencer and satisfaction, to sustain cultural change and continuous improvement. Therefore, a combination of regulatory enforcement, organisational reform, and professional development is necessary to ensure that person-centred care is not only promoted in theory but consistently achieved in practice.</w:t>
      </w:r>
    </w:p>
    <w:p w14:paraId="2F085770" w14:textId="77777777" w:rsidR="004A50C0" w:rsidRDefault="004A50C0" w:rsidP="007021AF">
      <w:pPr>
        <w:spacing w:line="360" w:lineRule="auto"/>
        <w:jc w:val="both"/>
        <w:rPr>
          <w:rFonts w:ascii="Arial" w:hAnsi="Arial" w:cs="Arial"/>
          <w:sz w:val="22"/>
        </w:rPr>
      </w:pPr>
    </w:p>
    <w:p w14:paraId="54F84C6B" w14:textId="6F6DF23B" w:rsidR="004A50C0" w:rsidRDefault="004A50C0" w:rsidP="007021AF">
      <w:pPr>
        <w:spacing w:line="360" w:lineRule="auto"/>
        <w:jc w:val="both"/>
        <w:rPr>
          <w:rFonts w:ascii="Arial" w:hAnsi="Arial" w:cs="Arial"/>
          <w:sz w:val="22"/>
        </w:rPr>
      </w:pPr>
      <w:r>
        <w:rPr>
          <w:noProof/>
        </w:rPr>
        <w:drawing>
          <wp:inline distT="0" distB="0" distL="0" distR="0" wp14:anchorId="67F2BA11" wp14:editId="0640153C">
            <wp:extent cx="5731510" cy="4052377"/>
            <wp:effectExtent l="0" t="0" r="2540" b="5715"/>
            <wp:docPr id="4" name="Picture 3" descr="Circular diagram showing five interconnected strategies for improving healthcare, centered on people, focusing on patient care, staff support, and system effici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rcular diagram showing five interconnected strategies for improving healthcare, centered on people, focusing on patient care, staff support, and system efficienc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2377"/>
                    </a:xfrm>
                    <a:prstGeom prst="rect">
                      <a:avLst/>
                    </a:prstGeom>
                    <a:noFill/>
                    <a:ln>
                      <a:noFill/>
                    </a:ln>
                  </pic:spPr>
                </pic:pic>
              </a:graphicData>
            </a:graphic>
          </wp:inline>
        </w:drawing>
      </w:r>
    </w:p>
    <w:p w14:paraId="0AA0552B" w14:textId="62EDB390" w:rsidR="004A50C0" w:rsidRDefault="004A50C0" w:rsidP="007021AF">
      <w:pPr>
        <w:spacing w:line="360" w:lineRule="auto"/>
        <w:jc w:val="both"/>
        <w:rPr>
          <w:rFonts w:ascii="Arial" w:hAnsi="Arial" w:cs="Arial"/>
          <w:sz w:val="22"/>
        </w:rPr>
      </w:pPr>
      <w:r>
        <w:rPr>
          <w:rFonts w:ascii="Arial" w:hAnsi="Arial" w:cs="Arial"/>
          <w:sz w:val="22"/>
        </w:rPr>
        <w:t xml:space="preserve">Figure 1: A five-part framework for </w:t>
      </w:r>
      <w:r w:rsidR="009A4461">
        <w:rPr>
          <w:rFonts w:ascii="Arial" w:hAnsi="Arial" w:cs="Arial"/>
          <w:sz w:val="22"/>
        </w:rPr>
        <w:t>E</w:t>
      </w:r>
      <w:r>
        <w:rPr>
          <w:rFonts w:ascii="Arial" w:hAnsi="Arial" w:cs="Arial"/>
          <w:sz w:val="22"/>
        </w:rPr>
        <w:t>nhanced</w:t>
      </w:r>
      <w:r w:rsidR="009A4461">
        <w:rPr>
          <w:rFonts w:ascii="Arial" w:hAnsi="Arial" w:cs="Arial"/>
          <w:sz w:val="22"/>
        </w:rPr>
        <w:t xml:space="preserve"> Therapeutic Observation and Care Program. It includes person-centred approach, support for families, effective team leadership, continuous staff development, and integrated care coordination.</w:t>
      </w:r>
    </w:p>
    <w:p w14:paraId="7BBA4156" w14:textId="77777777" w:rsidR="004A50C0" w:rsidRPr="007021AF" w:rsidRDefault="004A50C0" w:rsidP="007021AF">
      <w:pPr>
        <w:spacing w:line="360" w:lineRule="auto"/>
        <w:jc w:val="both"/>
        <w:rPr>
          <w:rFonts w:ascii="Arial" w:eastAsia="Times New Roman" w:hAnsi="Arial" w:cs="Arial"/>
          <w:sz w:val="22"/>
          <w:lang w:eastAsia="en-GB"/>
        </w:rPr>
      </w:pPr>
    </w:p>
    <w:p w14:paraId="2BD27448" w14:textId="77777777" w:rsidR="00EE0DC2" w:rsidRDefault="00EE0DC2" w:rsidP="004A5A64">
      <w:pPr>
        <w:spacing w:line="360" w:lineRule="auto"/>
        <w:rPr>
          <w:rFonts w:ascii="Arial" w:hAnsi="Arial" w:cs="Arial"/>
          <w:b/>
          <w:bCs/>
          <w:sz w:val="23"/>
          <w:szCs w:val="23"/>
        </w:rPr>
      </w:pPr>
    </w:p>
    <w:p w14:paraId="4567641B" w14:textId="77777777" w:rsidR="004A50C0" w:rsidRDefault="004A50C0" w:rsidP="004A5A64">
      <w:pPr>
        <w:spacing w:line="360" w:lineRule="auto"/>
        <w:rPr>
          <w:rFonts w:ascii="Arial" w:hAnsi="Arial" w:cs="Arial"/>
          <w:b/>
          <w:bCs/>
          <w:sz w:val="23"/>
          <w:szCs w:val="23"/>
        </w:rPr>
      </w:pPr>
    </w:p>
    <w:p w14:paraId="63D7C97D" w14:textId="77777777" w:rsidR="004A50C0" w:rsidRDefault="004A50C0" w:rsidP="004A5A64">
      <w:pPr>
        <w:spacing w:line="360" w:lineRule="auto"/>
        <w:rPr>
          <w:rFonts w:ascii="Arial" w:hAnsi="Arial" w:cs="Arial"/>
          <w:b/>
          <w:bCs/>
          <w:sz w:val="23"/>
          <w:szCs w:val="23"/>
        </w:rPr>
      </w:pPr>
    </w:p>
    <w:p w14:paraId="53597A12" w14:textId="77777777" w:rsidR="004A50C0" w:rsidRDefault="004A50C0" w:rsidP="004A5A64">
      <w:pPr>
        <w:spacing w:line="360" w:lineRule="auto"/>
        <w:rPr>
          <w:rFonts w:ascii="Arial" w:hAnsi="Arial" w:cs="Arial"/>
          <w:b/>
          <w:bCs/>
          <w:sz w:val="23"/>
          <w:szCs w:val="23"/>
        </w:rPr>
      </w:pPr>
    </w:p>
    <w:p w14:paraId="5A4D465C" w14:textId="77777777" w:rsidR="006524ED" w:rsidRPr="004A5A64" w:rsidRDefault="006D2F2D" w:rsidP="004A5A64">
      <w:pPr>
        <w:spacing w:line="360" w:lineRule="auto"/>
        <w:rPr>
          <w:rFonts w:ascii="Arial" w:hAnsi="Arial" w:cs="Arial"/>
          <w:b/>
          <w:bCs/>
          <w:sz w:val="23"/>
          <w:szCs w:val="23"/>
        </w:rPr>
      </w:pPr>
      <w:r w:rsidRPr="004A5A64">
        <w:rPr>
          <w:rFonts w:ascii="Arial" w:hAnsi="Arial" w:cs="Arial"/>
          <w:b/>
          <w:bCs/>
          <w:sz w:val="23"/>
          <w:szCs w:val="23"/>
        </w:rPr>
        <w:t>Conclusion</w:t>
      </w:r>
    </w:p>
    <w:p w14:paraId="6191299C" w14:textId="655FD3A0" w:rsidR="006524ED" w:rsidRPr="004A5A64" w:rsidRDefault="00C043F3" w:rsidP="00CF2153">
      <w:pPr>
        <w:pStyle w:val="ListParagraph"/>
        <w:spacing w:line="360" w:lineRule="auto"/>
        <w:ind w:left="0"/>
        <w:jc w:val="both"/>
        <w:rPr>
          <w:rFonts w:ascii="Arial" w:hAnsi="Arial" w:cs="Arial"/>
          <w:sz w:val="23"/>
          <w:szCs w:val="23"/>
        </w:rPr>
      </w:pPr>
      <w:r>
        <w:rPr>
          <w:rFonts w:ascii="Arial" w:hAnsi="Arial" w:cs="Arial"/>
          <w:sz w:val="23"/>
          <w:szCs w:val="23"/>
        </w:rPr>
        <w:t xml:space="preserve">In conclusion, person-centred care, as developed by Carl Rogers, represents a significant shift towards more relational and holistic approaches within health and social care. While its principles are strongly reflected in UK policy and professional standards, challenges remain in translating theory into consistent practice. The integration of ethical frameworks such as the ethics of care further highlights the importance of empathy, autonomy, and interpersonal relationships in care delivery. </w:t>
      </w:r>
      <w:r w:rsidR="00F0369C">
        <w:rPr>
          <w:rFonts w:ascii="Arial" w:hAnsi="Arial" w:cs="Arial"/>
          <w:sz w:val="23"/>
          <w:szCs w:val="23"/>
        </w:rPr>
        <w:t>However, systematic barriers, including resource constraints and organisational pressures, continue to limit its full implementation. Addressing these challenges through targeted recommendations is essential to ensure that person-centred care remains both effective and equitable in contemporary healthcare settings.</w:t>
      </w:r>
    </w:p>
    <w:p w14:paraId="3C5AC4C5" w14:textId="77777777" w:rsidR="003E4ED4" w:rsidRDefault="003E4ED4" w:rsidP="004A5A64">
      <w:pPr>
        <w:spacing w:line="360" w:lineRule="auto"/>
        <w:rPr>
          <w:rFonts w:ascii="Arial" w:hAnsi="Arial" w:cs="Arial"/>
          <w:b/>
          <w:bCs/>
          <w:sz w:val="23"/>
          <w:szCs w:val="23"/>
        </w:rPr>
      </w:pPr>
    </w:p>
    <w:p w14:paraId="50814947" w14:textId="77777777" w:rsidR="00871EE5" w:rsidRPr="004A5A64" w:rsidRDefault="00871EE5" w:rsidP="004A5A64">
      <w:pPr>
        <w:spacing w:line="360" w:lineRule="auto"/>
        <w:rPr>
          <w:rFonts w:ascii="Arial" w:hAnsi="Arial" w:cs="Arial"/>
          <w:b/>
          <w:bCs/>
          <w:sz w:val="23"/>
          <w:szCs w:val="23"/>
        </w:rPr>
      </w:pPr>
    </w:p>
    <w:p w14:paraId="62A1B056" w14:textId="77777777" w:rsidR="003E4ED4" w:rsidRDefault="003E4ED4" w:rsidP="004A5A64">
      <w:pPr>
        <w:spacing w:line="360" w:lineRule="auto"/>
        <w:rPr>
          <w:rFonts w:ascii="Arial" w:hAnsi="Arial" w:cs="Arial"/>
          <w:b/>
          <w:bCs/>
          <w:sz w:val="23"/>
          <w:szCs w:val="23"/>
        </w:rPr>
      </w:pPr>
    </w:p>
    <w:p w14:paraId="4B187AAC" w14:textId="77777777" w:rsidR="009A4461" w:rsidRDefault="009A4461" w:rsidP="004A5A64">
      <w:pPr>
        <w:spacing w:line="360" w:lineRule="auto"/>
        <w:rPr>
          <w:rFonts w:ascii="Arial" w:hAnsi="Arial" w:cs="Arial"/>
          <w:b/>
          <w:bCs/>
          <w:sz w:val="23"/>
          <w:szCs w:val="23"/>
        </w:rPr>
      </w:pPr>
    </w:p>
    <w:p w14:paraId="456426B5" w14:textId="77777777" w:rsidR="009A4461" w:rsidRDefault="009A4461" w:rsidP="004A5A64">
      <w:pPr>
        <w:spacing w:line="360" w:lineRule="auto"/>
        <w:rPr>
          <w:rFonts w:ascii="Arial" w:hAnsi="Arial" w:cs="Arial"/>
          <w:b/>
          <w:bCs/>
          <w:sz w:val="23"/>
          <w:szCs w:val="23"/>
        </w:rPr>
      </w:pPr>
    </w:p>
    <w:p w14:paraId="2E37B96B" w14:textId="77777777" w:rsidR="009A4461" w:rsidRDefault="009A4461" w:rsidP="004A5A64">
      <w:pPr>
        <w:spacing w:line="360" w:lineRule="auto"/>
        <w:rPr>
          <w:rFonts w:ascii="Arial" w:hAnsi="Arial" w:cs="Arial"/>
          <w:b/>
          <w:bCs/>
          <w:sz w:val="23"/>
          <w:szCs w:val="23"/>
        </w:rPr>
      </w:pPr>
    </w:p>
    <w:p w14:paraId="2E6E41FF" w14:textId="77777777" w:rsidR="009A4461" w:rsidRDefault="009A4461" w:rsidP="004A5A64">
      <w:pPr>
        <w:spacing w:line="360" w:lineRule="auto"/>
        <w:rPr>
          <w:rFonts w:ascii="Arial" w:hAnsi="Arial" w:cs="Arial"/>
          <w:b/>
          <w:bCs/>
          <w:sz w:val="23"/>
          <w:szCs w:val="23"/>
        </w:rPr>
      </w:pPr>
    </w:p>
    <w:p w14:paraId="65FC8825" w14:textId="77777777" w:rsidR="009A4461" w:rsidRDefault="009A4461" w:rsidP="004A5A64">
      <w:pPr>
        <w:spacing w:line="360" w:lineRule="auto"/>
        <w:rPr>
          <w:rFonts w:ascii="Arial" w:hAnsi="Arial" w:cs="Arial"/>
          <w:b/>
          <w:bCs/>
          <w:sz w:val="23"/>
          <w:szCs w:val="23"/>
        </w:rPr>
      </w:pPr>
    </w:p>
    <w:p w14:paraId="283F2BA6" w14:textId="77777777" w:rsidR="009A4461" w:rsidRDefault="009A4461" w:rsidP="004A5A64">
      <w:pPr>
        <w:spacing w:line="360" w:lineRule="auto"/>
        <w:rPr>
          <w:rFonts w:ascii="Arial" w:hAnsi="Arial" w:cs="Arial"/>
          <w:b/>
          <w:bCs/>
          <w:sz w:val="23"/>
          <w:szCs w:val="23"/>
        </w:rPr>
      </w:pPr>
    </w:p>
    <w:p w14:paraId="5F0EBC67" w14:textId="77777777" w:rsidR="009A4461" w:rsidRDefault="009A4461" w:rsidP="004A5A64">
      <w:pPr>
        <w:spacing w:line="360" w:lineRule="auto"/>
        <w:rPr>
          <w:rFonts w:ascii="Arial" w:hAnsi="Arial" w:cs="Arial"/>
          <w:b/>
          <w:bCs/>
          <w:sz w:val="23"/>
          <w:szCs w:val="23"/>
        </w:rPr>
      </w:pPr>
    </w:p>
    <w:p w14:paraId="6F3A6F04" w14:textId="77777777" w:rsidR="009A4461" w:rsidRDefault="009A4461" w:rsidP="004A5A64">
      <w:pPr>
        <w:spacing w:line="360" w:lineRule="auto"/>
        <w:rPr>
          <w:rFonts w:ascii="Arial" w:hAnsi="Arial" w:cs="Arial"/>
          <w:b/>
          <w:bCs/>
          <w:sz w:val="23"/>
          <w:szCs w:val="23"/>
        </w:rPr>
      </w:pPr>
    </w:p>
    <w:p w14:paraId="3B9E31DA" w14:textId="77777777" w:rsidR="009A4461" w:rsidRDefault="009A4461" w:rsidP="004A5A64">
      <w:pPr>
        <w:spacing w:line="360" w:lineRule="auto"/>
        <w:rPr>
          <w:rFonts w:ascii="Arial" w:hAnsi="Arial" w:cs="Arial"/>
          <w:b/>
          <w:bCs/>
          <w:sz w:val="23"/>
          <w:szCs w:val="23"/>
        </w:rPr>
      </w:pPr>
    </w:p>
    <w:p w14:paraId="65F60696" w14:textId="77777777" w:rsidR="009A4461" w:rsidRDefault="009A4461" w:rsidP="004A5A64">
      <w:pPr>
        <w:spacing w:line="360" w:lineRule="auto"/>
        <w:rPr>
          <w:rFonts w:ascii="Arial" w:hAnsi="Arial" w:cs="Arial"/>
          <w:b/>
          <w:bCs/>
          <w:sz w:val="23"/>
          <w:szCs w:val="23"/>
        </w:rPr>
      </w:pPr>
    </w:p>
    <w:p w14:paraId="605EA448" w14:textId="77777777" w:rsidR="009A4461" w:rsidRPr="004A5A64" w:rsidRDefault="009A4461" w:rsidP="004A5A64">
      <w:pPr>
        <w:spacing w:line="360" w:lineRule="auto"/>
        <w:rPr>
          <w:rFonts w:ascii="Arial" w:hAnsi="Arial" w:cs="Arial"/>
          <w:b/>
          <w:bCs/>
          <w:sz w:val="23"/>
          <w:szCs w:val="23"/>
        </w:rPr>
      </w:pPr>
    </w:p>
    <w:p w14:paraId="5B855950" w14:textId="77777777" w:rsidR="003E4ED4" w:rsidRPr="004A5A64" w:rsidRDefault="003E4ED4" w:rsidP="004A5A64">
      <w:pPr>
        <w:spacing w:line="360" w:lineRule="auto"/>
        <w:rPr>
          <w:rFonts w:ascii="Arial" w:hAnsi="Arial" w:cs="Arial"/>
          <w:b/>
          <w:bCs/>
          <w:sz w:val="23"/>
          <w:szCs w:val="23"/>
        </w:rPr>
      </w:pPr>
    </w:p>
    <w:p w14:paraId="5A789721" w14:textId="7C2B64E6" w:rsidR="006D2F2D" w:rsidRDefault="006D2F2D" w:rsidP="004A5A64">
      <w:pPr>
        <w:spacing w:line="360" w:lineRule="auto"/>
        <w:rPr>
          <w:rFonts w:ascii="Arial" w:hAnsi="Arial" w:cs="Arial"/>
          <w:b/>
          <w:bCs/>
          <w:sz w:val="23"/>
          <w:szCs w:val="23"/>
        </w:rPr>
      </w:pPr>
    </w:p>
    <w:p w14:paraId="04CFD8F1" w14:textId="77777777" w:rsidR="009A4461" w:rsidRPr="009A4461" w:rsidRDefault="009A4461" w:rsidP="009A4461">
      <w:pPr>
        <w:spacing w:after="240" w:line="360" w:lineRule="auto"/>
        <w:outlineLvl w:val="0"/>
        <w:rPr>
          <w:rFonts w:eastAsia="Times New Roman" w:cs="Times New Roman"/>
          <w:b/>
          <w:bCs/>
          <w:kern w:val="36"/>
          <w:sz w:val="36"/>
          <w:szCs w:val="36"/>
          <w:lang w:eastAsia="en-GB"/>
        </w:rPr>
      </w:pPr>
      <w:r w:rsidRPr="009A4461">
        <w:rPr>
          <w:rFonts w:eastAsia="Times New Roman" w:cs="Times New Roman"/>
          <w:b/>
          <w:bCs/>
          <w:kern w:val="36"/>
          <w:sz w:val="36"/>
          <w:szCs w:val="36"/>
          <w:lang w:eastAsia="en-GB"/>
        </w:rPr>
        <w:t>Reference list</w:t>
      </w:r>
    </w:p>
    <w:p w14:paraId="34C2511F"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admin (2023). </w:t>
      </w:r>
      <w:r w:rsidRPr="009A4461">
        <w:rPr>
          <w:rFonts w:eastAsia="Times New Roman" w:cs="Times New Roman"/>
          <w:i/>
          <w:iCs/>
          <w:szCs w:val="24"/>
          <w:lang w:eastAsia="en-GB"/>
        </w:rPr>
        <w:t>Person-centred therapy: the misunderstood miracle - Tim Harvard Psychotherapy</w:t>
      </w:r>
      <w:r w:rsidRPr="009A4461">
        <w:rPr>
          <w:rFonts w:eastAsia="Times New Roman" w:cs="Times New Roman"/>
          <w:szCs w:val="24"/>
          <w:lang w:eastAsia="en-GB"/>
        </w:rPr>
        <w:t>. [online] Tim Harvard Psychotherapy. Available at: https://www.harvardtherapy.co.uk/person-centred-therapy-the-misunderstood-miracle (Assessed on 22 April 2026).</w:t>
      </w:r>
    </w:p>
    <w:p w14:paraId="1DAED540"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British Medical Association (2025). </w:t>
      </w:r>
      <w:r w:rsidRPr="009A4461">
        <w:rPr>
          <w:rFonts w:eastAsia="Times New Roman" w:cs="Times New Roman"/>
          <w:i/>
          <w:iCs/>
          <w:szCs w:val="24"/>
          <w:lang w:eastAsia="en-GB"/>
        </w:rPr>
        <w:t>NHS Backlog Data Analysis</w:t>
      </w:r>
      <w:r w:rsidRPr="009A4461">
        <w:rPr>
          <w:rFonts w:eastAsia="Times New Roman" w:cs="Times New Roman"/>
          <w:szCs w:val="24"/>
          <w:lang w:eastAsia="en-GB"/>
        </w:rPr>
        <w:t>. [online] British Medical Association. Available at: https://www.bma.org.uk/advice-and-support/nhs-delivery-and-workforce/pressures/nhs-backlog-data-analysis {Assessed on 25 April 2026).</w:t>
      </w:r>
    </w:p>
    <w:p w14:paraId="5737BA8F"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Care Act (2014). </w:t>
      </w:r>
      <w:r w:rsidRPr="009A4461">
        <w:rPr>
          <w:rFonts w:eastAsia="Times New Roman" w:cs="Times New Roman"/>
          <w:i/>
          <w:iCs/>
          <w:szCs w:val="24"/>
          <w:lang w:eastAsia="en-GB"/>
        </w:rPr>
        <w:t>Care Act 2014</w:t>
      </w:r>
      <w:r w:rsidRPr="009A4461">
        <w:rPr>
          <w:rFonts w:eastAsia="Times New Roman" w:cs="Times New Roman"/>
          <w:szCs w:val="24"/>
          <w:lang w:eastAsia="en-GB"/>
        </w:rPr>
        <w:t>. [online] Legislation.gov.uk. Available at: https://www.legislation.gov.uk/ukpga/2014/23/contents (Assessed on 24 April 2026).</w:t>
      </w:r>
    </w:p>
    <w:p w14:paraId="0FFCF6A4"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Care Quality Commission (2024). </w:t>
      </w:r>
      <w:r w:rsidRPr="009A4461">
        <w:rPr>
          <w:rFonts w:eastAsia="Times New Roman" w:cs="Times New Roman"/>
          <w:i/>
          <w:iCs/>
          <w:szCs w:val="24"/>
          <w:lang w:eastAsia="en-GB"/>
        </w:rPr>
        <w:t>Regulations for service providers and managers</w:t>
      </w:r>
      <w:r w:rsidRPr="009A4461">
        <w:rPr>
          <w:rFonts w:eastAsia="Times New Roman" w:cs="Times New Roman"/>
          <w:szCs w:val="24"/>
          <w:lang w:eastAsia="en-GB"/>
        </w:rPr>
        <w:t>. [online] Cqc.org.uk. Available at: https://www.cqc.org.uk/guidance-regulation/providers/regulations-service-providers-and-managers/health-social-care-act/regulation-9 (Assessed on 20 April 2026).</w:t>
      </w:r>
    </w:p>
    <w:p w14:paraId="768E9A43"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Dunn, P., Ewbank, L. and </w:t>
      </w:r>
      <w:proofErr w:type="spellStart"/>
      <w:r w:rsidRPr="009A4461">
        <w:rPr>
          <w:rFonts w:eastAsia="Times New Roman" w:cs="Times New Roman"/>
          <w:szCs w:val="24"/>
          <w:lang w:eastAsia="en-GB"/>
        </w:rPr>
        <w:t>Alderwick</w:t>
      </w:r>
      <w:proofErr w:type="spellEnd"/>
      <w:r w:rsidRPr="009A4461">
        <w:rPr>
          <w:rFonts w:eastAsia="Times New Roman" w:cs="Times New Roman"/>
          <w:szCs w:val="24"/>
          <w:lang w:eastAsia="en-GB"/>
        </w:rPr>
        <w:t xml:space="preserve">, H. (2023). </w:t>
      </w:r>
      <w:r w:rsidRPr="009A4461">
        <w:rPr>
          <w:rFonts w:eastAsia="Times New Roman" w:cs="Times New Roman"/>
          <w:i/>
          <w:iCs/>
          <w:szCs w:val="24"/>
          <w:lang w:eastAsia="en-GB"/>
        </w:rPr>
        <w:t>Nine major challenges facing health and care in England</w:t>
      </w:r>
      <w:r w:rsidRPr="009A4461">
        <w:rPr>
          <w:rFonts w:eastAsia="Times New Roman" w:cs="Times New Roman"/>
          <w:szCs w:val="24"/>
          <w:lang w:eastAsia="en-GB"/>
        </w:rPr>
        <w:t>. [online] Available at: https://www.health.org.uk/sites/default/files/pdf/2023-11/NESTA_Foundational_Facts_9_Major_Challenges_Facing_Health_Final.pdf (Assessed on 26 April 2026).</w:t>
      </w:r>
    </w:p>
    <w:p w14:paraId="57C0EE61"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England, N. (2024a). </w:t>
      </w:r>
      <w:r w:rsidRPr="009A4461">
        <w:rPr>
          <w:rFonts w:eastAsia="Times New Roman" w:cs="Times New Roman"/>
          <w:i/>
          <w:iCs/>
          <w:szCs w:val="24"/>
          <w:lang w:eastAsia="en-GB"/>
        </w:rPr>
        <w:t>NHS England» Enhanced Therapeutic Observations and Care programme</w:t>
      </w:r>
      <w:r w:rsidRPr="009A4461">
        <w:rPr>
          <w:rFonts w:eastAsia="Times New Roman" w:cs="Times New Roman"/>
          <w:szCs w:val="24"/>
          <w:lang w:eastAsia="en-GB"/>
        </w:rPr>
        <w:t>. [online] England.nhs.uk. Available at: https://www.england.nhs.uk/nursingmidwifery/enhanced-therapeutic-observations-and-care-programme [Accessed 28 Apr. 2026]. (Assessed on 26 April 2026).</w:t>
      </w:r>
    </w:p>
    <w:p w14:paraId="1F85EAC3"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Gilligan, C. (1982). </w:t>
      </w:r>
      <w:r w:rsidRPr="009A4461">
        <w:rPr>
          <w:rFonts w:eastAsia="Times New Roman" w:cs="Times New Roman"/>
          <w:i/>
          <w:iCs/>
          <w:szCs w:val="24"/>
          <w:lang w:eastAsia="en-GB"/>
        </w:rPr>
        <w:t>In a different voice: Psychological theory and women’s development.</w:t>
      </w:r>
      <w:r w:rsidRPr="009A4461">
        <w:rPr>
          <w:rFonts w:eastAsia="Times New Roman" w:cs="Times New Roman"/>
          <w:szCs w:val="24"/>
          <w:lang w:eastAsia="en-GB"/>
        </w:rPr>
        <w:t xml:space="preserve"> [online] psycnet.apa.org. Available at: https://psycnet.apa.org/record/1993-98550-000 (Assessed on 22 April 2026).</w:t>
      </w:r>
    </w:p>
    <w:p w14:paraId="6F8C076A"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GOV.UK (2005). </w:t>
      </w:r>
      <w:r w:rsidRPr="009A4461">
        <w:rPr>
          <w:rFonts w:eastAsia="Times New Roman" w:cs="Times New Roman"/>
          <w:i/>
          <w:iCs/>
          <w:szCs w:val="24"/>
          <w:lang w:eastAsia="en-GB"/>
        </w:rPr>
        <w:t>Mental Capacity Act 2005</w:t>
      </w:r>
      <w:r w:rsidRPr="009A4461">
        <w:rPr>
          <w:rFonts w:eastAsia="Times New Roman" w:cs="Times New Roman"/>
          <w:szCs w:val="24"/>
          <w:lang w:eastAsia="en-GB"/>
        </w:rPr>
        <w:t>. [online] Legislation.gov.uk. Available at: https://www.legislation.gov.uk/ukpga/2005/9/contents (Assessed on 25 April 2026).</w:t>
      </w:r>
    </w:p>
    <w:p w14:paraId="6A055FC5"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lastRenderedPageBreak/>
        <w:t xml:space="preserve">HCPC (2024). </w:t>
      </w:r>
      <w:r w:rsidRPr="009A4461">
        <w:rPr>
          <w:rFonts w:eastAsia="Times New Roman" w:cs="Times New Roman"/>
          <w:i/>
          <w:iCs/>
          <w:szCs w:val="24"/>
          <w:lang w:eastAsia="en-GB"/>
        </w:rPr>
        <w:t>Standards of conduct, performance and ethics |</w:t>
      </w:r>
      <w:r w:rsidRPr="009A4461">
        <w:rPr>
          <w:rFonts w:eastAsia="Times New Roman" w:cs="Times New Roman"/>
          <w:szCs w:val="24"/>
          <w:lang w:eastAsia="en-GB"/>
        </w:rPr>
        <w:t>. [online] Hcpc-uk.org. Available at: https://www.hcpc-uk.org/standards/standards-of-conduct-performance-and-ethics (Assessed on 24 April 2026).</w:t>
      </w:r>
    </w:p>
    <w:p w14:paraId="6B3808EB"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Health (2025). </w:t>
      </w:r>
      <w:r w:rsidRPr="009A4461">
        <w:rPr>
          <w:rFonts w:eastAsia="Times New Roman" w:cs="Times New Roman"/>
          <w:i/>
          <w:iCs/>
          <w:szCs w:val="24"/>
          <w:lang w:eastAsia="en-GB"/>
        </w:rPr>
        <w:t>Chapter 2: where the NHS is today</w:t>
      </w:r>
      <w:r w:rsidRPr="009A4461">
        <w:rPr>
          <w:rFonts w:eastAsia="Times New Roman" w:cs="Times New Roman"/>
          <w:szCs w:val="24"/>
          <w:lang w:eastAsia="en-GB"/>
        </w:rPr>
        <w:t>. [online] GOV.UK. Available at: https://www.gov.uk/government/publications/engagement-insight-report-10-year-health-plan-for-england/chapter-2-where-the-nhs-is-today (Assessed on 26 April 2026).</w:t>
      </w:r>
    </w:p>
    <w:p w14:paraId="5FBAFEFA"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Human Rights Act (1998). </w:t>
      </w:r>
      <w:r w:rsidRPr="009A4461">
        <w:rPr>
          <w:rFonts w:eastAsia="Times New Roman" w:cs="Times New Roman"/>
          <w:i/>
          <w:iCs/>
          <w:szCs w:val="24"/>
          <w:lang w:eastAsia="en-GB"/>
        </w:rPr>
        <w:t>Human Rights Act 1998</w:t>
      </w:r>
      <w:r w:rsidRPr="009A4461">
        <w:rPr>
          <w:rFonts w:eastAsia="Times New Roman" w:cs="Times New Roman"/>
          <w:szCs w:val="24"/>
          <w:lang w:eastAsia="en-GB"/>
        </w:rPr>
        <w:t>. [online] Legislation.gov.uk. Available at: https://www.legislation.gov.uk/ukpga/1998/42/contents (Assessed on 26 April 2026).</w:t>
      </w:r>
    </w:p>
    <w:p w14:paraId="23D4B455"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McLeod, S. (2023). </w:t>
      </w:r>
      <w:r w:rsidRPr="009A4461">
        <w:rPr>
          <w:rFonts w:eastAsia="Times New Roman" w:cs="Times New Roman"/>
          <w:i/>
          <w:iCs/>
          <w:szCs w:val="24"/>
          <w:lang w:eastAsia="en-GB"/>
        </w:rPr>
        <w:t xml:space="preserve">Unconditional Positive Regard </w:t>
      </w:r>
      <w:proofErr w:type="gramStart"/>
      <w:r w:rsidRPr="009A4461">
        <w:rPr>
          <w:rFonts w:eastAsia="Times New Roman" w:cs="Times New Roman"/>
          <w:i/>
          <w:iCs/>
          <w:szCs w:val="24"/>
          <w:lang w:eastAsia="en-GB"/>
        </w:rPr>
        <w:t>In</w:t>
      </w:r>
      <w:proofErr w:type="gramEnd"/>
      <w:r w:rsidRPr="009A4461">
        <w:rPr>
          <w:rFonts w:eastAsia="Times New Roman" w:cs="Times New Roman"/>
          <w:i/>
          <w:iCs/>
          <w:szCs w:val="24"/>
          <w:lang w:eastAsia="en-GB"/>
        </w:rPr>
        <w:t xml:space="preserve"> Psychology</w:t>
      </w:r>
      <w:r w:rsidRPr="009A4461">
        <w:rPr>
          <w:rFonts w:eastAsia="Times New Roman" w:cs="Times New Roman"/>
          <w:szCs w:val="24"/>
          <w:lang w:eastAsia="en-GB"/>
        </w:rPr>
        <w:t>. [online] Simply Psychology. Available at: https://www.simplypsychology.org/unconditional-positive-regard.html (Assessed on 25 April 2026).</w:t>
      </w:r>
    </w:p>
    <w:p w14:paraId="3216EFDB"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McLeod, S. (2025). </w:t>
      </w:r>
      <w:r w:rsidRPr="009A4461">
        <w:rPr>
          <w:rFonts w:eastAsia="Times New Roman" w:cs="Times New Roman"/>
          <w:i/>
          <w:iCs/>
          <w:szCs w:val="24"/>
          <w:lang w:eastAsia="en-GB"/>
        </w:rPr>
        <w:t xml:space="preserve">Carl </w:t>
      </w:r>
      <w:proofErr w:type="gramStart"/>
      <w:r w:rsidRPr="009A4461">
        <w:rPr>
          <w:rFonts w:eastAsia="Times New Roman" w:cs="Times New Roman"/>
          <w:i/>
          <w:iCs/>
          <w:szCs w:val="24"/>
          <w:lang w:eastAsia="en-GB"/>
        </w:rPr>
        <w:t>rogers</w:t>
      </w:r>
      <w:proofErr w:type="gramEnd"/>
      <w:r w:rsidRPr="009A4461">
        <w:rPr>
          <w:rFonts w:eastAsia="Times New Roman" w:cs="Times New Roman"/>
          <w:i/>
          <w:iCs/>
          <w:szCs w:val="24"/>
          <w:lang w:eastAsia="en-GB"/>
        </w:rPr>
        <w:t xml:space="preserve"> humanistic theory and contribution to psychology</w:t>
      </w:r>
      <w:r w:rsidRPr="009A4461">
        <w:rPr>
          <w:rFonts w:eastAsia="Times New Roman" w:cs="Times New Roman"/>
          <w:szCs w:val="24"/>
          <w:lang w:eastAsia="en-GB"/>
        </w:rPr>
        <w:t>. [online] Simply Psychology. Available at: https://www.simplypsychology.org/carl-rogers.html (Assessed on 22 April 2026).</w:t>
      </w:r>
    </w:p>
    <w:p w14:paraId="34FC6945"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Moore, T.W. (2023). </w:t>
      </w:r>
      <w:r w:rsidRPr="009A4461">
        <w:rPr>
          <w:rFonts w:eastAsia="Times New Roman" w:cs="Times New Roman"/>
          <w:i/>
          <w:iCs/>
          <w:szCs w:val="24"/>
          <w:lang w:eastAsia="en-GB"/>
        </w:rPr>
        <w:t>How to ‘Just Be Yourself’ — The Congruence of Carl R. Rogers</w:t>
      </w:r>
      <w:r w:rsidRPr="009A4461">
        <w:rPr>
          <w:rFonts w:eastAsia="Times New Roman" w:cs="Times New Roman"/>
          <w:szCs w:val="24"/>
          <w:lang w:eastAsia="en-GB"/>
        </w:rPr>
        <w:t>. [online] Medium. Available at: https://geoffreywallis.medium.com/how-to-just-be-yourself-the-congruence-of-carl-r-rogers-e4106c64dbfe (Assessed on 25 April 2026).</w:t>
      </w:r>
    </w:p>
    <w:p w14:paraId="525F4532"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NHS England (2024b). </w:t>
      </w:r>
      <w:r w:rsidRPr="009A4461">
        <w:rPr>
          <w:rFonts w:eastAsia="Times New Roman" w:cs="Times New Roman"/>
          <w:i/>
          <w:iCs/>
          <w:szCs w:val="24"/>
          <w:lang w:eastAsia="en-GB"/>
        </w:rPr>
        <w:t>Person-centred Care</w:t>
      </w:r>
      <w:r w:rsidRPr="009A4461">
        <w:rPr>
          <w:rFonts w:eastAsia="Times New Roman" w:cs="Times New Roman"/>
          <w:szCs w:val="24"/>
          <w:lang w:eastAsia="en-GB"/>
        </w:rPr>
        <w:t>. [online] NHS England. Available at: https://www.hee.nhs.uk/our-work/person-centred-care (Assessed on 25 April 2026).</w:t>
      </w:r>
    </w:p>
    <w:p w14:paraId="2BEE73CB"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The Health Foundation (2016). </w:t>
      </w:r>
      <w:r w:rsidRPr="009A4461">
        <w:rPr>
          <w:rFonts w:eastAsia="Times New Roman" w:cs="Times New Roman"/>
          <w:i/>
          <w:iCs/>
          <w:szCs w:val="24"/>
          <w:lang w:eastAsia="en-GB"/>
        </w:rPr>
        <w:t>Person-centred care made simple</w:t>
      </w:r>
      <w:r w:rsidRPr="009A4461">
        <w:rPr>
          <w:rFonts w:eastAsia="Times New Roman" w:cs="Times New Roman"/>
          <w:szCs w:val="24"/>
          <w:lang w:eastAsia="en-GB"/>
        </w:rPr>
        <w:t xml:space="preserve">. [online] </w:t>
      </w:r>
      <w:r w:rsidRPr="009A4461">
        <w:rPr>
          <w:rFonts w:eastAsia="Times New Roman" w:cs="Times New Roman"/>
          <w:i/>
          <w:iCs/>
          <w:szCs w:val="24"/>
          <w:lang w:eastAsia="en-GB"/>
        </w:rPr>
        <w:t>The Health Foundation</w:t>
      </w:r>
      <w:r w:rsidRPr="009A4461">
        <w:rPr>
          <w:rFonts w:eastAsia="Times New Roman" w:cs="Times New Roman"/>
          <w:szCs w:val="24"/>
          <w:lang w:eastAsia="en-GB"/>
        </w:rPr>
        <w:t>, The Health Foundation, p.6. Available at: https://www.health.org.uk/sites/default/files/PersonCentredCareMadeSimple.pdf (Assessed on 24 April 2026).</w:t>
      </w:r>
    </w:p>
    <w:p w14:paraId="75DD0A69"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UWTSD, P. (2026). </w:t>
      </w:r>
      <w:r w:rsidRPr="009A4461">
        <w:rPr>
          <w:rFonts w:eastAsia="Times New Roman" w:cs="Times New Roman"/>
          <w:i/>
          <w:iCs/>
          <w:szCs w:val="24"/>
          <w:lang w:eastAsia="en-GB"/>
        </w:rPr>
        <w:t>Redirecting</w:t>
      </w:r>
      <w:r w:rsidRPr="009A4461">
        <w:rPr>
          <w:rFonts w:eastAsia="Times New Roman" w:cs="Times New Roman"/>
          <w:szCs w:val="24"/>
          <w:lang w:eastAsia="en-GB"/>
        </w:rPr>
        <w:t>. [online] Proquest.com. Available at: https://www.proquest.com/docview/218958032?accountid=130472&amp;parentSessionId=kUzoK2tl3CV31GLKUlykd9VUN9M6SoM2Z11xSzvyEZM%3D&amp;pq-origsite=primo_ra&amp;sourcetype=Scholarly%20Journals (Assessed on 24 April 2026).</w:t>
      </w:r>
    </w:p>
    <w:p w14:paraId="3BE54BEA"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lastRenderedPageBreak/>
        <w:t xml:space="preserve">Walsh, N. and de </w:t>
      </w:r>
      <w:proofErr w:type="spellStart"/>
      <w:r w:rsidRPr="009A4461">
        <w:rPr>
          <w:rFonts w:eastAsia="Times New Roman" w:cs="Times New Roman"/>
          <w:szCs w:val="24"/>
          <w:lang w:eastAsia="en-GB"/>
        </w:rPr>
        <w:t>Sarandy</w:t>
      </w:r>
      <w:proofErr w:type="spellEnd"/>
      <w:r w:rsidRPr="009A4461">
        <w:rPr>
          <w:rFonts w:eastAsia="Times New Roman" w:cs="Times New Roman"/>
          <w:szCs w:val="24"/>
          <w:lang w:eastAsia="en-GB"/>
        </w:rPr>
        <w:t xml:space="preserve">, S. (2023). </w:t>
      </w:r>
      <w:r w:rsidRPr="009A4461">
        <w:rPr>
          <w:rFonts w:eastAsia="Times New Roman" w:cs="Times New Roman"/>
          <w:i/>
          <w:iCs/>
          <w:szCs w:val="24"/>
          <w:lang w:eastAsia="en-GB"/>
        </w:rPr>
        <w:t xml:space="preserve">The Practice </w:t>
      </w:r>
      <w:proofErr w:type="gramStart"/>
      <w:r w:rsidRPr="009A4461">
        <w:rPr>
          <w:rFonts w:eastAsia="Times New Roman" w:cs="Times New Roman"/>
          <w:i/>
          <w:iCs/>
          <w:szCs w:val="24"/>
          <w:lang w:eastAsia="en-GB"/>
        </w:rPr>
        <w:t>Of</w:t>
      </w:r>
      <w:proofErr w:type="gramEnd"/>
      <w:r w:rsidRPr="009A4461">
        <w:rPr>
          <w:rFonts w:eastAsia="Times New Roman" w:cs="Times New Roman"/>
          <w:i/>
          <w:iCs/>
          <w:szCs w:val="24"/>
          <w:lang w:eastAsia="en-GB"/>
        </w:rPr>
        <w:t xml:space="preserve"> Collaborative Leadership</w:t>
      </w:r>
      <w:r w:rsidRPr="009A4461">
        <w:rPr>
          <w:rFonts w:eastAsia="Times New Roman" w:cs="Times New Roman"/>
          <w:szCs w:val="24"/>
          <w:lang w:eastAsia="en-GB"/>
        </w:rPr>
        <w:t>. [online] The Kings Fund. Available at: https://www.kingsfund.org.uk/insight-and-analysis/reports/practice-collaborative-leadership (Assessed on 24 April 2026).</w:t>
      </w:r>
    </w:p>
    <w:p w14:paraId="669E2DE4" w14:textId="77777777" w:rsidR="009A4461" w:rsidRPr="009A4461" w:rsidRDefault="009A4461" w:rsidP="009A4461">
      <w:pPr>
        <w:spacing w:after="240" w:line="360" w:lineRule="auto"/>
        <w:rPr>
          <w:rFonts w:eastAsia="Times New Roman" w:cs="Times New Roman"/>
          <w:szCs w:val="24"/>
          <w:lang w:eastAsia="en-GB"/>
        </w:rPr>
      </w:pPr>
      <w:r w:rsidRPr="009A4461">
        <w:rPr>
          <w:rFonts w:eastAsia="Times New Roman" w:cs="Times New Roman"/>
          <w:szCs w:val="24"/>
          <w:lang w:eastAsia="en-GB"/>
        </w:rPr>
        <w:t xml:space="preserve">Yao, L. and Kabir, R. (2023). </w:t>
      </w:r>
      <w:r w:rsidRPr="009A4461">
        <w:rPr>
          <w:rFonts w:eastAsia="Times New Roman" w:cs="Times New Roman"/>
          <w:i/>
          <w:iCs/>
          <w:szCs w:val="24"/>
          <w:lang w:eastAsia="en-GB"/>
        </w:rPr>
        <w:t>Person-</w:t>
      </w:r>
      <w:proofErr w:type="spellStart"/>
      <w:r w:rsidRPr="009A4461">
        <w:rPr>
          <w:rFonts w:eastAsia="Times New Roman" w:cs="Times New Roman"/>
          <w:i/>
          <w:iCs/>
          <w:szCs w:val="24"/>
          <w:lang w:eastAsia="en-GB"/>
        </w:rPr>
        <w:t>Centered</w:t>
      </w:r>
      <w:proofErr w:type="spellEnd"/>
      <w:r w:rsidRPr="009A4461">
        <w:rPr>
          <w:rFonts w:eastAsia="Times New Roman" w:cs="Times New Roman"/>
          <w:i/>
          <w:iCs/>
          <w:szCs w:val="24"/>
          <w:lang w:eastAsia="en-GB"/>
        </w:rPr>
        <w:t xml:space="preserve"> Therapy (Rogerian Therapy)</w:t>
      </w:r>
      <w:r w:rsidRPr="009A4461">
        <w:rPr>
          <w:rFonts w:eastAsia="Times New Roman" w:cs="Times New Roman"/>
          <w:szCs w:val="24"/>
          <w:lang w:eastAsia="en-GB"/>
        </w:rPr>
        <w:t>. [online] PubMed. Available at: https://www.ncbi.nlm.nih.gov/books/NBK589708 (Assessed on 22 April 2026).</w:t>
      </w:r>
    </w:p>
    <w:p w14:paraId="5CEA85F3" w14:textId="77777777" w:rsidR="009A4461" w:rsidRDefault="009A4461" w:rsidP="004A5A64">
      <w:pPr>
        <w:spacing w:line="360" w:lineRule="auto"/>
        <w:rPr>
          <w:rFonts w:ascii="Arial" w:hAnsi="Arial" w:cs="Arial"/>
          <w:b/>
          <w:bCs/>
          <w:sz w:val="23"/>
          <w:szCs w:val="23"/>
        </w:rPr>
      </w:pPr>
    </w:p>
    <w:p w14:paraId="22DAA99C" w14:textId="77777777" w:rsidR="009A4461" w:rsidRPr="004A5A64" w:rsidRDefault="009A4461" w:rsidP="004A5A64">
      <w:pPr>
        <w:spacing w:line="360" w:lineRule="auto"/>
        <w:rPr>
          <w:rFonts w:ascii="Arial" w:hAnsi="Arial" w:cs="Arial"/>
          <w:b/>
          <w:bCs/>
          <w:sz w:val="23"/>
          <w:szCs w:val="23"/>
        </w:rPr>
      </w:pPr>
    </w:p>
    <w:p w14:paraId="3F1FD9A8" w14:textId="2C9C5948" w:rsidR="004A5A64" w:rsidRPr="004A5A64" w:rsidRDefault="004A5A64" w:rsidP="004A5A64">
      <w:pPr>
        <w:spacing w:line="360" w:lineRule="auto"/>
        <w:rPr>
          <w:rFonts w:ascii="Arial" w:hAnsi="Arial" w:cs="Arial"/>
          <w:color w:val="00B0F0"/>
          <w:sz w:val="23"/>
          <w:szCs w:val="23"/>
        </w:rPr>
      </w:pPr>
    </w:p>
    <w:sectPr w:rsidR="004A5A64" w:rsidRPr="004A5A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6CE2C" w14:textId="77777777" w:rsidR="005F34C7" w:rsidRDefault="005F34C7" w:rsidP="00032A5B">
      <w:pPr>
        <w:spacing w:after="0" w:line="240" w:lineRule="auto"/>
      </w:pPr>
      <w:r>
        <w:separator/>
      </w:r>
    </w:p>
  </w:endnote>
  <w:endnote w:type="continuationSeparator" w:id="0">
    <w:p w14:paraId="075ED098" w14:textId="77777777" w:rsidR="005F34C7" w:rsidRDefault="005F34C7"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87AB9" w14:textId="77777777" w:rsidR="005F34C7" w:rsidRDefault="005F34C7" w:rsidP="00032A5B">
      <w:pPr>
        <w:spacing w:after="0" w:line="240" w:lineRule="auto"/>
      </w:pPr>
      <w:r>
        <w:separator/>
      </w:r>
    </w:p>
  </w:footnote>
  <w:footnote w:type="continuationSeparator" w:id="0">
    <w:p w14:paraId="0D3870D9" w14:textId="77777777" w:rsidR="005F34C7" w:rsidRDefault="005F34C7"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E6661"/>
    <w:rsid w:val="000F36D1"/>
    <w:rsid w:val="00111DBC"/>
    <w:rsid w:val="001160BF"/>
    <w:rsid w:val="00122A6A"/>
    <w:rsid w:val="001333C2"/>
    <w:rsid w:val="00176EE0"/>
    <w:rsid w:val="001D52B1"/>
    <w:rsid w:val="002A56F2"/>
    <w:rsid w:val="002A6AF0"/>
    <w:rsid w:val="002D0A29"/>
    <w:rsid w:val="002F75D8"/>
    <w:rsid w:val="00317E3D"/>
    <w:rsid w:val="0032791E"/>
    <w:rsid w:val="00385E20"/>
    <w:rsid w:val="00393F89"/>
    <w:rsid w:val="003D3B70"/>
    <w:rsid w:val="003D644F"/>
    <w:rsid w:val="003E4ED4"/>
    <w:rsid w:val="003E6BC4"/>
    <w:rsid w:val="0041691A"/>
    <w:rsid w:val="004547B6"/>
    <w:rsid w:val="004A2044"/>
    <w:rsid w:val="004A50C0"/>
    <w:rsid w:val="004A5A64"/>
    <w:rsid w:val="004B1326"/>
    <w:rsid w:val="004C0033"/>
    <w:rsid w:val="00530FFD"/>
    <w:rsid w:val="00532415"/>
    <w:rsid w:val="00536A94"/>
    <w:rsid w:val="005771F2"/>
    <w:rsid w:val="0058218C"/>
    <w:rsid w:val="005F34C7"/>
    <w:rsid w:val="006478C8"/>
    <w:rsid w:val="006524ED"/>
    <w:rsid w:val="006A0490"/>
    <w:rsid w:val="006A3E63"/>
    <w:rsid w:val="006D2F2D"/>
    <w:rsid w:val="006E1FF9"/>
    <w:rsid w:val="007021AF"/>
    <w:rsid w:val="00705486"/>
    <w:rsid w:val="0071517C"/>
    <w:rsid w:val="00785886"/>
    <w:rsid w:val="007B46FD"/>
    <w:rsid w:val="007F3A6A"/>
    <w:rsid w:val="00857F5F"/>
    <w:rsid w:val="00863C61"/>
    <w:rsid w:val="00871EE5"/>
    <w:rsid w:val="00893CA9"/>
    <w:rsid w:val="009A4461"/>
    <w:rsid w:val="009B6547"/>
    <w:rsid w:val="009E71F3"/>
    <w:rsid w:val="00A14675"/>
    <w:rsid w:val="00A85C19"/>
    <w:rsid w:val="00A91EEF"/>
    <w:rsid w:val="00B36783"/>
    <w:rsid w:val="00BC79FE"/>
    <w:rsid w:val="00C043F3"/>
    <w:rsid w:val="00C558B0"/>
    <w:rsid w:val="00CF2153"/>
    <w:rsid w:val="00D14F2A"/>
    <w:rsid w:val="00D26E43"/>
    <w:rsid w:val="00D545BA"/>
    <w:rsid w:val="00D63058"/>
    <w:rsid w:val="00D869DD"/>
    <w:rsid w:val="00D96B7A"/>
    <w:rsid w:val="00DF0FD6"/>
    <w:rsid w:val="00DF4781"/>
    <w:rsid w:val="00E81204"/>
    <w:rsid w:val="00E9668F"/>
    <w:rsid w:val="00EE0DC2"/>
    <w:rsid w:val="00F0369C"/>
    <w:rsid w:val="00F52DE2"/>
    <w:rsid w:val="00F70EA5"/>
    <w:rsid w:val="00F81510"/>
    <w:rsid w:val="00FA1054"/>
    <w:rsid w:val="00FA2DAE"/>
    <w:rsid w:val="00FA6248"/>
    <w:rsid w:val="00FB63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3000</Words>
  <Characters>17101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ana baptista</cp:lastModifiedBy>
  <cp:revision>2</cp:revision>
  <dcterms:created xsi:type="dcterms:W3CDTF">2026-04-28T21:23:00Z</dcterms:created>
  <dcterms:modified xsi:type="dcterms:W3CDTF">2026-04-28T21:23:00Z</dcterms:modified>
</cp:coreProperties>
</file>