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03930903"/>
        <w:docPartObj>
          <w:docPartGallery w:val="Cover Pages"/>
          <w:docPartUnique/>
        </w:docPartObj>
      </w:sdtPr>
      <w:sdtEndPr>
        <w:rPr>
          <w:rFonts w:asciiTheme="minorHAnsi" w:eastAsiaTheme="minorHAnsi" w:hAnsiTheme="minorHAnsi" w:cstheme="minorHAnsi"/>
          <w:b/>
          <w:lang w:eastAsia="en-US"/>
        </w:rPr>
      </w:sdtEndPr>
      <w:sdtContent>
        <w:p w14:paraId="720A0C45" w14:textId="48F509ED" w:rsidR="002E629F" w:rsidRDefault="002E629F" w:rsidP="00230F35">
          <w:pPr>
            <w:pStyle w:val="NormalWeb"/>
            <w:spacing w:before="0" w:beforeAutospacing="0" w:after="0" w:afterAutospacing="0"/>
            <w:ind w:left="-180" w:right="-334"/>
          </w:pPr>
          <w:r>
            <w:rPr>
              <w:noProof/>
            </w:rPr>
            <w:drawing>
              <wp:inline distT="0" distB="0" distL="0" distR="0" wp14:anchorId="11E3FA67" wp14:editId="0E9F89C6">
                <wp:extent cx="1905000" cy="641350"/>
                <wp:effectExtent l="19050" t="19050" r="19050" b="254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41350"/>
                        </a:xfrm>
                        <a:prstGeom prst="rect">
                          <a:avLst/>
                        </a:prstGeom>
                        <a:noFill/>
                        <a:ln w="19050" cmpd="sng">
                          <a:solidFill>
                            <a:srgbClr val="000000"/>
                          </a:solidFill>
                          <a:miter lim="800000"/>
                          <a:headEnd/>
                          <a:tailEnd/>
                        </a:ln>
                        <a:effectLst/>
                      </pic:spPr>
                    </pic:pic>
                  </a:graphicData>
                </a:graphic>
              </wp:inline>
            </w:drawing>
          </w:r>
        </w:p>
        <w:p w14:paraId="06859E84" w14:textId="77777777" w:rsidR="002E629F" w:rsidRDefault="002E629F" w:rsidP="00230F35">
          <w:pPr>
            <w:pStyle w:val="NormalWeb"/>
            <w:spacing w:before="0" w:beforeAutospacing="0" w:after="0" w:afterAutospacing="0"/>
            <w:ind w:left="-180" w:right="-334"/>
          </w:pPr>
        </w:p>
        <w:p w14:paraId="4F1EF3B6" w14:textId="77777777" w:rsidR="002E629F" w:rsidRDefault="002E629F" w:rsidP="00230F35">
          <w:pPr>
            <w:pStyle w:val="NormalWeb"/>
            <w:spacing w:before="0" w:beforeAutospacing="0" w:after="0" w:afterAutospacing="0"/>
            <w:ind w:left="-180" w:right="-334"/>
          </w:pPr>
        </w:p>
        <w:p w14:paraId="71786B13" w14:textId="77777777" w:rsidR="002E629F" w:rsidRDefault="002E629F"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3B0AF90" w14:textId="77777777" w:rsidR="002E629F" w:rsidRPr="00230F35" w:rsidRDefault="002E629F"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1C4C044D" w14:textId="77777777" w:rsidR="002E629F" w:rsidRPr="00230F35" w:rsidRDefault="002E629F" w:rsidP="002E67CE">
          <w:pPr>
            <w:rPr>
              <w:rFonts w:ascii="Arial" w:hAnsi="Arial" w:cs="Arial"/>
              <w:sz w:val="28"/>
              <w:szCs w:val="28"/>
              <w:lang w:val="cy-GB"/>
            </w:rPr>
          </w:pPr>
        </w:p>
        <w:p w14:paraId="2B4DC169" w14:textId="77777777" w:rsidR="002E629F" w:rsidRDefault="002E629F"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E629F" w:rsidRPr="00230F35" w14:paraId="1639E1E2" w14:textId="77777777" w:rsidTr="00A745B6">
            <w:trPr>
              <w:trHeight w:val="614"/>
            </w:trPr>
            <w:tc>
              <w:tcPr>
                <w:tcW w:w="8856" w:type="dxa"/>
                <w:gridSpan w:val="5"/>
              </w:tcPr>
              <w:p w14:paraId="61019EE7" w14:textId="77777777" w:rsidR="002E629F" w:rsidRPr="00230F35" w:rsidRDefault="002E629F"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2E629F" w:rsidRPr="00230F35" w14:paraId="799FF954" w14:textId="77777777" w:rsidTr="00A745B6">
            <w:trPr>
              <w:trHeight w:val="718"/>
            </w:trPr>
            <w:tc>
              <w:tcPr>
                <w:tcW w:w="8856" w:type="dxa"/>
                <w:gridSpan w:val="5"/>
              </w:tcPr>
              <w:p w14:paraId="459B4609" w14:textId="77777777" w:rsidR="002E629F" w:rsidRDefault="002E629F"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JOHN JAMES MURRAY</w:t>
                </w:r>
              </w:p>
              <w:p w14:paraId="70DAA42E" w14:textId="77777777" w:rsidR="002E629F" w:rsidRPr="00230F35" w:rsidRDefault="002E629F" w:rsidP="002F467C">
                <w:pPr>
                  <w:pStyle w:val="NormalWeb"/>
                  <w:spacing w:before="0" w:beforeAutospacing="0" w:after="0" w:afterAutospacing="0"/>
                  <w:ind w:right="34"/>
                  <w:rPr>
                    <w:rFonts w:ascii="Arial" w:hAnsi="Arial" w:cs="Arial"/>
                    <w:sz w:val="22"/>
                    <w:szCs w:val="22"/>
                  </w:rPr>
                </w:pPr>
              </w:p>
              <w:p w14:paraId="0ED95B8B" w14:textId="32DBD42A" w:rsidR="002E629F" w:rsidRDefault="002E629F" w:rsidP="002F467C">
                <w:pPr>
                  <w:pStyle w:val="NormalWeb"/>
                  <w:spacing w:before="0" w:beforeAutospacing="0" w:after="0" w:afterAutospacing="0"/>
                  <w:ind w:right="34"/>
                  <w:rPr>
                    <w:rFonts w:ascii="Arial" w:hAnsi="Arial" w:cs="Arial"/>
                    <w:sz w:val="22"/>
                    <w:szCs w:val="22"/>
                  </w:rPr>
                </w:pPr>
                <w:r w:rsidRPr="00E10F4C">
                  <w:rPr>
                    <w:rFonts w:ascii="Arial" w:hAnsi="Arial" w:cs="Arial"/>
                    <w:sz w:val="22"/>
                    <w:szCs w:val="22"/>
                  </w:rPr>
                  <w:t xml:space="preserve">Student </w:t>
                </w:r>
                <w:r w:rsidRPr="00E10F4C">
                  <w:rPr>
                    <w:rFonts w:ascii="Arial" w:hAnsi="Arial" w:cs="Arial"/>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Pr="004B7331">
                    <w:rPr>
                      <w:rStyle w:val="Hyperlink"/>
                      <w:rFonts w:ascii="Arial" w:hAnsi="Arial" w:cs="Arial"/>
                      <w:sz w:val="22"/>
                      <w:szCs w:val="22"/>
                    </w:rPr>
                    <w:t>2008616@student.uwtsd.ac.uk</w:t>
                  </w:r>
                </w:hyperlink>
                <w:r>
                  <w:rPr>
                    <w:rFonts w:ascii="Arial" w:hAnsi="Arial" w:cs="Arial"/>
                    <w:sz w:val="22"/>
                    <w:szCs w:val="22"/>
                  </w:rPr>
                  <w:t xml:space="preserve"> </w:t>
                </w:r>
              </w:p>
              <w:p w14:paraId="4399AD73" w14:textId="77777777" w:rsidR="002E629F" w:rsidRPr="00230F35" w:rsidRDefault="002E629F" w:rsidP="002F467C">
                <w:pPr>
                  <w:pStyle w:val="NormalWeb"/>
                  <w:spacing w:before="0" w:beforeAutospacing="0" w:after="0" w:afterAutospacing="0"/>
                  <w:ind w:right="34"/>
                  <w:rPr>
                    <w:rFonts w:ascii="Arial" w:hAnsi="Arial" w:cs="Arial"/>
                    <w:sz w:val="22"/>
                    <w:szCs w:val="22"/>
                  </w:rPr>
                </w:pPr>
              </w:p>
            </w:tc>
          </w:tr>
          <w:tr w:rsidR="002E629F" w:rsidRPr="00230F35" w14:paraId="6653E07D" w14:textId="77777777" w:rsidTr="00A745B6">
            <w:trPr>
              <w:trHeight w:val="849"/>
            </w:trPr>
            <w:tc>
              <w:tcPr>
                <w:tcW w:w="4788" w:type="dxa"/>
              </w:tcPr>
              <w:p w14:paraId="092D0295" w14:textId="37A98CCF" w:rsidR="002E629F" w:rsidRPr="00230F35" w:rsidRDefault="002E629F"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HPCA7017</w:t>
                </w:r>
              </w:p>
              <w:p w14:paraId="1EC8B35F" w14:textId="77777777" w:rsidR="002E629F" w:rsidRPr="00230F35" w:rsidRDefault="002E629F" w:rsidP="002F467C">
                <w:pPr>
                  <w:pStyle w:val="NormalWeb"/>
                  <w:spacing w:before="0" w:beforeAutospacing="0" w:after="0" w:afterAutospacing="0"/>
                  <w:ind w:right="34"/>
                  <w:rPr>
                    <w:rFonts w:ascii="Arial" w:hAnsi="Arial" w:cs="Arial"/>
                    <w:sz w:val="22"/>
                    <w:szCs w:val="22"/>
                  </w:rPr>
                </w:pPr>
              </w:p>
              <w:p w14:paraId="1496018E" w14:textId="5CA9B4F6" w:rsidR="002E629F" w:rsidRDefault="002E629F"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History of Astrology</w:t>
                </w:r>
              </w:p>
              <w:p w14:paraId="59C66759" w14:textId="77777777" w:rsidR="002E629F" w:rsidRDefault="002E629F" w:rsidP="002F467C">
                <w:pPr>
                  <w:pStyle w:val="NormalWeb"/>
                  <w:spacing w:before="0" w:beforeAutospacing="0" w:after="0" w:afterAutospacing="0"/>
                  <w:ind w:right="34"/>
                  <w:rPr>
                    <w:rFonts w:ascii="Arial" w:hAnsi="Arial" w:cs="Arial"/>
                    <w:sz w:val="22"/>
                    <w:szCs w:val="22"/>
                  </w:rPr>
                </w:pPr>
              </w:p>
              <w:p w14:paraId="2B77951A" w14:textId="77777777" w:rsidR="002E629F" w:rsidRPr="00230F35" w:rsidRDefault="002E629F" w:rsidP="00E10F4C">
                <w:pPr>
                  <w:pStyle w:val="NormalWeb"/>
                  <w:spacing w:before="0" w:beforeAutospacing="0" w:after="0" w:afterAutospacing="0"/>
                  <w:ind w:right="34"/>
                  <w:rPr>
                    <w:rFonts w:ascii="Arial" w:hAnsi="Arial" w:cs="Arial"/>
                    <w:sz w:val="22"/>
                    <w:szCs w:val="22"/>
                  </w:rPr>
                </w:pPr>
              </w:p>
            </w:tc>
            <w:tc>
              <w:tcPr>
                <w:tcW w:w="2266" w:type="dxa"/>
                <w:gridSpan w:val="3"/>
              </w:tcPr>
              <w:p w14:paraId="259FE322" w14:textId="77777777" w:rsidR="002E629F" w:rsidRDefault="002E629F"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01D95D48" w14:textId="77777777" w:rsidR="002E629F" w:rsidRDefault="002E629F" w:rsidP="002F467C">
                <w:pPr>
                  <w:pStyle w:val="NormalWeb"/>
                  <w:spacing w:before="0" w:beforeAutospacing="0" w:after="0" w:afterAutospacing="0"/>
                  <w:ind w:right="34"/>
                  <w:rPr>
                    <w:rFonts w:ascii="Arial" w:hAnsi="Arial" w:cs="Arial"/>
                    <w:sz w:val="22"/>
                    <w:szCs w:val="22"/>
                  </w:rPr>
                </w:pPr>
              </w:p>
              <w:p w14:paraId="0ADC430A" w14:textId="77777777" w:rsidR="002E629F" w:rsidRPr="00230F35" w:rsidRDefault="002E629F" w:rsidP="002F467C">
                <w:pPr>
                  <w:pStyle w:val="NormalWeb"/>
                  <w:spacing w:before="0" w:beforeAutospacing="0" w:after="0" w:afterAutospacing="0"/>
                  <w:ind w:right="34"/>
                  <w:rPr>
                    <w:rFonts w:ascii="Arial" w:hAnsi="Arial" w:cs="Arial"/>
                    <w:sz w:val="22"/>
                    <w:szCs w:val="22"/>
                  </w:rPr>
                </w:pPr>
                <w:r>
                  <w:rPr>
                    <w:rFonts w:ascii="Arial" w:hAnsi="Arial" w:cs="Arial"/>
                    <w:sz w:val="22"/>
                    <w:szCs w:val="22"/>
                  </w:rPr>
                  <w:t>2008616</w:t>
                </w:r>
              </w:p>
            </w:tc>
            <w:tc>
              <w:tcPr>
                <w:tcW w:w="1802" w:type="dxa"/>
              </w:tcPr>
              <w:p w14:paraId="3F048CBC" w14:textId="77777777" w:rsidR="002E629F" w:rsidRPr="00230F35" w:rsidRDefault="002E629F"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2C97D850" w14:textId="77777777" w:rsidR="002E629F" w:rsidRDefault="002E629F" w:rsidP="002F467C">
                <w:pPr>
                  <w:pStyle w:val="NormalWeb"/>
                  <w:spacing w:before="0" w:beforeAutospacing="0" w:after="0" w:afterAutospacing="0"/>
                  <w:ind w:right="34"/>
                  <w:rPr>
                    <w:rFonts w:ascii="Arial" w:hAnsi="Arial" w:cs="Arial"/>
                    <w:b/>
                    <w:bCs/>
                    <w:sz w:val="22"/>
                    <w:szCs w:val="22"/>
                  </w:rPr>
                </w:pPr>
              </w:p>
              <w:p w14:paraId="58523F51" w14:textId="77777777" w:rsidR="002E629F" w:rsidRPr="00230F35" w:rsidRDefault="002E629F" w:rsidP="002F467C">
                <w:pPr>
                  <w:pStyle w:val="NormalWeb"/>
                  <w:spacing w:before="0" w:beforeAutospacing="0" w:after="0" w:afterAutospacing="0"/>
                  <w:ind w:right="34"/>
                  <w:rPr>
                    <w:rFonts w:ascii="Arial" w:hAnsi="Arial" w:cs="Arial"/>
                    <w:sz w:val="22"/>
                    <w:szCs w:val="22"/>
                  </w:rPr>
                </w:pPr>
                <w:r w:rsidRPr="00C662A6">
                  <w:rPr>
                    <w:rFonts w:ascii="Arial" w:hAnsi="Arial" w:cs="Arial"/>
                    <w:b/>
                    <w:bCs/>
                    <w:sz w:val="22"/>
                    <w:szCs w:val="22"/>
                  </w:rPr>
                  <w:t>No</w:t>
                </w:r>
              </w:p>
            </w:tc>
          </w:tr>
          <w:tr w:rsidR="002E629F" w:rsidRPr="00230F35" w14:paraId="74D32F17" w14:textId="77777777" w:rsidTr="00A745B6">
            <w:trPr>
              <w:trHeight w:val="1139"/>
            </w:trPr>
            <w:tc>
              <w:tcPr>
                <w:tcW w:w="8856" w:type="dxa"/>
                <w:gridSpan w:val="5"/>
              </w:tcPr>
              <w:p w14:paraId="3AD801FD" w14:textId="08F7E523" w:rsidR="002E629F" w:rsidRPr="00230F35" w:rsidRDefault="002E629F"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w:t>
                </w:r>
                <w:r>
                  <w:rPr>
                    <w:rFonts w:ascii="Arial" w:hAnsi="Arial" w:cs="Arial"/>
                  </w:rPr>
                  <w:t>‘Did Belief in Astrology Decline in the Seventeenth Century?’</w:t>
                </w:r>
              </w:p>
              <w:p w14:paraId="0BD113F1" w14:textId="77777777" w:rsidR="002E629F" w:rsidRPr="00230F35" w:rsidRDefault="002E629F" w:rsidP="002F467C">
                <w:pPr>
                  <w:pStyle w:val="NormalWeb"/>
                  <w:spacing w:before="0" w:beforeAutospacing="0" w:after="0" w:afterAutospacing="0"/>
                  <w:ind w:right="34"/>
                  <w:rPr>
                    <w:rFonts w:ascii="Arial" w:hAnsi="Arial" w:cs="Arial"/>
                    <w:sz w:val="22"/>
                    <w:szCs w:val="22"/>
                  </w:rPr>
                </w:pPr>
              </w:p>
              <w:p w14:paraId="6EF6AD89" w14:textId="77777777" w:rsidR="002E629F" w:rsidRDefault="002E629F" w:rsidP="002F467C">
                <w:pPr>
                  <w:pStyle w:val="NormalWeb"/>
                  <w:spacing w:before="0" w:beforeAutospacing="0" w:after="0" w:afterAutospacing="0"/>
                  <w:ind w:right="34"/>
                  <w:rPr>
                    <w:rFonts w:ascii="Arial" w:hAnsi="Arial" w:cs="Arial"/>
                    <w:sz w:val="22"/>
                    <w:szCs w:val="22"/>
                  </w:rPr>
                </w:pPr>
              </w:p>
              <w:p w14:paraId="086C4853" w14:textId="5806F3FD" w:rsidR="002E629F" w:rsidRDefault="002E629F"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w:t>
                </w:r>
                <w:r w:rsidR="00D626A9">
                  <w:rPr>
                    <w:rFonts w:ascii="Arial" w:hAnsi="Arial" w:cs="Arial"/>
                    <w:sz w:val="22"/>
                    <w:szCs w:val="22"/>
                  </w:rPr>
                  <w:t>April 28</w:t>
                </w:r>
                <w:r>
                  <w:rPr>
                    <w:rFonts w:ascii="Arial" w:hAnsi="Arial" w:cs="Arial"/>
                    <w:sz w:val="22"/>
                    <w:szCs w:val="22"/>
                  </w:rPr>
                  <w:t>, 2022</w:t>
                </w:r>
              </w:p>
              <w:p w14:paraId="3D1F4CD4" w14:textId="77777777" w:rsidR="002E629F" w:rsidRPr="00230F35" w:rsidRDefault="002E629F" w:rsidP="002F467C">
                <w:pPr>
                  <w:pStyle w:val="NormalWeb"/>
                  <w:spacing w:before="0" w:beforeAutospacing="0" w:after="0" w:afterAutospacing="0"/>
                  <w:ind w:right="34"/>
                  <w:rPr>
                    <w:rFonts w:ascii="Arial" w:hAnsi="Arial" w:cs="Arial"/>
                    <w:sz w:val="22"/>
                    <w:szCs w:val="22"/>
                  </w:rPr>
                </w:pPr>
              </w:p>
            </w:tc>
          </w:tr>
          <w:tr w:rsidR="002E629F" w:rsidRPr="00230F35" w14:paraId="11578111" w14:textId="77777777" w:rsidTr="00A745B6">
            <w:trPr>
              <w:trHeight w:val="978"/>
            </w:trPr>
            <w:tc>
              <w:tcPr>
                <w:tcW w:w="8856" w:type="dxa"/>
                <w:gridSpan w:val="5"/>
                <w:tcBorders>
                  <w:bottom w:val="single" w:sz="4" w:space="0" w:color="000000"/>
                </w:tcBorders>
              </w:tcPr>
              <w:p w14:paraId="64C26988" w14:textId="2E10FDB5" w:rsidR="002E629F" w:rsidRPr="00230F35" w:rsidRDefault="002E629F" w:rsidP="00230F35">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00D626A9" w:rsidRPr="00230F35">
                  <w:rPr>
                    <w:rFonts w:ascii="Arial" w:hAnsi="Arial" w:cs="Arial"/>
                  </w:rPr>
                  <w:fldChar w:fldCharType="begin">
                    <w:ffData>
                      <w:name w:val="Check17"/>
                      <w:enabled/>
                      <w:calcOnExit w:val="0"/>
                      <w:checkBox>
                        <w:sizeAuto/>
                        <w:default w:val="0"/>
                      </w:checkBox>
                    </w:ffData>
                  </w:fldChar>
                </w:r>
                <w:r w:rsidR="00D626A9" w:rsidRPr="00230F35">
                  <w:rPr>
                    <w:rFonts w:ascii="Arial" w:hAnsi="Arial" w:cs="Arial"/>
                  </w:rPr>
                  <w:instrText xml:space="preserve"> FORMCHECKBOX </w:instrText>
                </w:r>
                <w:r w:rsidR="00D626A9">
                  <w:rPr>
                    <w:rFonts w:ascii="Arial" w:hAnsi="Arial" w:cs="Arial"/>
                  </w:rPr>
                </w:r>
                <w:r w:rsidR="00D626A9">
                  <w:rPr>
                    <w:rFonts w:ascii="Arial" w:hAnsi="Arial" w:cs="Arial"/>
                  </w:rPr>
                  <w:fldChar w:fldCharType="separate"/>
                </w:r>
                <w:r w:rsidR="00D626A9" w:rsidRPr="00230F35">
                  <w:rPr>
                    <w:rFonts w:ascii="Arial" w:hAnsi="Arial" w:cs="Arial"/>
                  </w:rPr>
                  <w:fldChar w:fldCharType="end"/>
                </w:r>
                <w:r w:rsidR="00D626A9" w:rsidRPr="00230F35">
                  <w:rPr>
                    <w:rFonts w:ascii="Arial" w:hAnsi="Arial" w:cs="Arial"/>
                  </w:rPr>
                  <w:t xml:space="preserve"> </w:t>
                </w:r>
                <w:r w:rsidRPr="00230F35">
                  <w:rPr>
                    <w:rFonts w:ascii="Arial" w:hAnsi="Arial" w:cs="Arial"/>
                  </w:rPr>
                  <w:t xml:space="preserve">   4</w:t>
                </w:r>
                <w:proofErr w:type="gramStart"/>
                <w:r w:rsidRPr="00230F35">
                  <w:rPr>
                    <w:rFonts w:ascii="Arial" w:hAnsi="Arial" w:cs="Arial"/>
                    <w:vertAlign w:val="superscript"/>
                  </w:rPr>
                  <w:t>th</w:t>
                </w:r>
                <w:r w:rsidRPr="00230F35">
                  <w:rPr>
                    <w:rFonts w:ascii="Arial" w:hAnsi="Arial" w:cs="Arial"/>
                  </w:rPr>
                  <w:t xml:space="preserve">  </w:t>
                </w:r>
                <w:r w:rsidR="00D626A9" w:rsidRPr="00E10F4C">
                  <w:rPr>
                    <w:rFonts w:ascii="Arial" w:hAnsi="Arial" w:cs="Arial"/>
                    <w:b/>
                    <w:bCs/>
                    <w:color w:val="C00000"/>
                  </w:rPr>
                  <w:t>X</w:t>
                </w:r>
                <w:proofErr w:type="gramEnd"/>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1"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2"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2"/>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2E629F" w:rsidRPr="00230F35" w14:paraId="5EB6CC59" w14:textId="77777777" w:rsidTr="00A745B6">
            <w:trPr>
              <w:trHeight w:val="978"/>
            </w:trPr>
            <w:tc>
              <w:tcPr>
                <w:tcW w:w="8856" w:type="dxa"/>
                <w:gridSpan w:val="5"/>
                <w:shd w:val="clear" w:color="auto" w:fill="D9D9D9"/>
              </w:tcPr>
              <w:p w14:paraId="64FF29E9" w14:textId="77777777" w:rsidR="002E629F" w:rsidRPr="00230F35" w:rsidRDefault="002E629F"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2BF7CD73" w14:textId="77777777" w:rsidR="002E629F" w:rsidRDefault="002E629F"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5C918DA4" w14:textId="77777777" w:rsidR="002E629F" w:rsidRDefault="002E629F"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 If you are submitting this form via email, please tick this box </w:t>
                </w:r>
                <w:r w:rsidRPr="00E255D5">
                  <w:rPr>
                    <w:rFonts w:ascii="Calibri" w:hAnsi="Calibri" w:cs="Calibri"/>
                    <w:b/>
                    <w:color w:val="C00000"/>
                  </w:rPr>
                  <w:t>X</w:t>
                </w:r>
              </w:p>
              <w:p w14:paraId="56F3B6C0" w14:textId="77777777" w:rsidR="002E629F" w:rsidRPr="00230F35" w:rsidRDefault="002E629F" w:rsidP="00B462B1">
                <w:pPr>
                  <w:pStyle w:val="NormalWeb"/>
                  <w:spacing w:before="0" w:beforeAutospacing="0" w:after="0" w:afterAutospacing="0"/>
                  <w:ind w:right="34"/>
                  <w:rPr>
                    <w:rFonts w:ascii="Arial" w:hAnsi="Arial" w:cs="Arial"/>
                    <w:sz w:val="22"/>
                    <w:szCs w:val="22"/>
                  </w:rPr>
                </w:pPr>
                <w:r>
                  <w:rPr>
                    <w:rFonts w:ascii="Calibri" w:hAnsi="Calibri" w:cs="Tahoma"/>
                    <w:b/>
                  </w:rPr>
                  <w:t>(</w:t>
                </w:r>
                <w:proofErr w:type="gramStart"/>
                <w:r>
                  <w:rPr>
                    <w:rFonts w:ascii="Calibri" w:hAnsi="Calibri" w:cs="Tahoma"/>
                    <w:b/>
                  </w:rPr>
                  <w:t>as</w:t>
                </w:r>
                <w:proofErr w:type="gramEnd"/>
                <w:r>
                  <w:rPr>
                    <w:rFonts w:ascii="Calibri" w:hAnsi="Calibri" w:cs="Tahoma"/>
                    <w:b/>
                  </w:rPr>
                  <w:t xml:space="preserve"> a substitute for your signature) to confirm that you agree to the above declaration.</w:t>
                </w:r>
              </w:p>
            </w:tc>
          </w:tr>
          <w:tr w:rsidR="002E629F" w:rsidRPr="00230F35" w14:paraId="54FB64BF" w14:textId="77777777" w:rsidTr="00A745B6">
            <w:trPr>
              <w:trHeight w:val="3972"/>
            </w:trPr>
            <w:tc>
              <w:tcPr>
                <w:tcW w:w="8856" w:type="dxa"/>
                <w:gridSpan w:val="5"/>
              </w:tcPr>
              <w:p w14:paraId="25CA620D" w14:textId="77777777" w:rsidR="002E629F" w:rsidRDefault="002E629F" w:rsidP="00A745B6">
                <w:pPr>
                  <w:rPr>
                    <w:rFonts w:ascii="Arial" w:hAnsi="Arial"/>
                    <w:b/>
                  </w:rPr>
                </w:pPr>
              </w:p>
              <w:p w14:paraId="60205FE4" w14:textId="77777777" w:rsidR="002E629F" w:rsidRPr="00116CE6" w:rsidRDefault="002E629F"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E629F" w:rsidRPr="00116CE6" w14:paraId="70211A6B" w14:textId="77777777" w:rsidTr="00022345">
                  <w:tc>
                    <w:tcPr>
                      <w:tcW w:w="6970" w:type="dxa"/>
                    </w:tcPr>
                    <w:p w14:paraId="550B9F7E" w14:textId="77777777" w:rsidR="002E629F" w:rsidRPr="00116CE6" w:rsidRDefault="002E629F" w:rsidP="009C1A08">
                      <w:pPr>
                        <w:rPr>
                          <w:rFonts w:ascii="Arial" w:hAnsi="Arial"/>
                          <w:sz w:val="20"/>
                          <w:szCs w:val="20"/>
                        </w:rPr>
                      </w:pPr>
                    </w:p>
                    <w:p w14:paraId="39F293AB" w14:textId="77777777" w:rsidR="002E629F" w:rsidRPr="00116CE6" w:rsidRDefault="002E629F"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2A17DA5E" w14:textId="77777777" w:rsidR="002E629F" w:rsidRPr="00116CE6" w:rsidRDefault="002E629F" w:rsidP="009C1A08">
                      <w:pPr>
                        <w:rPr>
                          <w:rFonts w:ascii="Arial" w:hAnsi="Arial"/>
                          <w:sz w:val="20"/>
                          <w:szCs w:val="20"/>
                        </w:rPr>
                      </w:pPr>
                    </w:p>
                  </w:tc>
                </w:tr>
                <w:tr w:rsidR="002E629F" w:rsidRPr="00116CE6" w14:paraId="46FF4ADF" w14:textId="77777777" w:rsidTr="00022345">
                  <w:tc>
                    <w:tcPr>
                      <w:tcW w:w="6970" w:type="dxa"/>
                    </w:tcPr>
                    <w:p w14:paraId="40FF65A5" w14:textId="77777777" w:rsidR="002E629F" w:rsidRPr="00116CE6" w:rsidRDefault="002E629F" w:rsidP="009C1A08">
                      <w:pPr>
                        <w:rPr>
                          <w:rFonts w:ascii="Arial" w:hAnsi="Arial"/>
                          <w:sz w:val="20"/>
                          <w:szCs w:val="20"/>
                        </w:rPr>
                      </w:pPr>
                    </w:p>
                    <w:p w14:paraId="20EB3EA3" w14:textId="77777777" w:rsidR="002E629F" w:rsidRPr="00116CE6" w:rsidRDefault="002E629F"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BCEC8EE" w14:textId="77777777" w:rsidR="002E629F" w:rsidRPr="00116CE6" w:rsidRDefault="002E629F" w:rsidP="009C1A08">
                      <w:pPr>
                        <w:rPr>
                          <w:rFonts w:ascii="Arial" w:hAnsi="Arial"/>
                          <w:sz w:val="20"/>
                          <w:szCs w:val="20"/>
                        </w:rPr>
                      </w:pPr>
                    </w:p>
                  </w:tc>
                </w:tr>
                <w:tr w:rsidR="002E629F" w:rsidRPr="00116CE6" w14:paraId="3D3E0351" w14:textId="77777777" w:rsidTr="00022345">
                  <w:tc>
                    <w:tcPr>
                      <w:tcW w:w="6970" w:type="dxa"/>
                    </w:tcPr>
                    <w:p w14:paraId="4AE822F4" w14:textId="77777777" w:rsidR="002E629F" w:rsidRPr="00116CE6" w:rsidRDefault="002E629F" w:rsidP="009C1A08">
                      <w:pPr>
                        <w:rPr>
                          <w:rFonts w:ascii="Arial" w:hAnsi="Arial"/>
                          <w:sz w:val="20"/>
                          <w:szCs w:val="20"/>
                        </w:rPr>
                      </w:pPr>
                    </w:p>
                    <w:p w14:paraId="4691D198" w14:textId="77777777" w:rsidR="002E629F" w:rsidRPr="00116CE6" w:rsidRDefault="002E629F"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63227DB9" w14:textId="77777777" w:rsidR="002E629F" w:rsidRPr="00116CE6" w:rsidRDefault="002E629F" w:rsidP="009C1A08">
                      <w:pPr>
                        <w:rPr>
                          <w:rFonts w:ascii="Arial" w:hAnsi="Arial"/>
                          <w:sz w:val="20"/>
                          <w:szCs w:val="20"/>
                        </w:rPr>
                      </w:pPr>
                    </w:p>
                  </w:tc>
                </w:tr>
                <w:tr w:rsidR="002E629F" w:rsidRPr="00116CE6" w14:paraId="5FBE760A" w14:textId="77777777" w:rsidTr="00022345">
                  <w:tc>
                    <w:tcPr>
                      <w:tcW w:w="6970" w:type="dxa"/>
                    </w:tcPr>
                    <w:p w14:paraId="0F11FD7D" w14:textId="77777777" w:rsidR="002E629F" w:rsidRDefault="002E629F" w:rsidP="009C1A08">
                      <w:pPr>
                        <w:rPr>
                          <w:rFonts w:ascii="Arial" w:hAnsi="Arial"/>
                          <w:sz w:val="20"/>
                          <w:szCs w:val="20"/>
                        </w:rPr>
                      </w:pPr>
                    </w:p>
                    <w:p w14:paraId="40366DB1" w14:textId="77777777" w:rsidR="002E629F" w:rsidRPr="00022345" w:rsidRDefault="002E629F" w:rsidP="009C1A08">
                      <w:pPr>
                        <w:rPr>
                          <w:rFonts w:ascii="Arial" w:hAnsi="Arial"/>
                          <w:b/>
                          <w:sz w:val="20"/>
                          <w:szCs w:val="20"/>
                        </w:rPr>
                      </w:pPr>
                      <w:r w:rsidRPr="00022345">
                        <w:rPr>
                          <w:rFonts w:ascii="Arial" w:hAnsi="Arial"/>
                          <w:b/>
                          <w:sz w:val="20"/>
                          <w:szCs w:val="20"/>
                        </w:rPr>
                        <w:t>Final Mark</w:t>
                      </w:r>
                    </w:p>
                    <w:p w14:paraId="031AEB82" w14:textId="77777777" w:rsidR="002E629F" w:rsidRPr="00116CE6" w:rsidRDefault="002E629F" w:rsidP="009C1A08">
                      <w:pPr>
                        <w:rPr>
                          <w:rFonts w:ascii="Arial" w:hAnsi="Arial"/>
                          <w:sz w:val="20"/>
                          <w:szCs w:val="20"/>
                        </w:rPr>
                      </w:pPr>
                    </w:p>
                  </w:tc>
                  <w:tc>
                    <w:tcPr>
                      <w:tcW w:w="1660" w:type="dxa"/>
                    </w:tcPr>
                    <w:p w14:paraId="3AC9834A" w14:textId="77777777" w:rsidR="002E629F" w:rsidRPr="00116CE6" w:rsidRDefault="002E629F" w:rsidP="009C1A08">
                      <w:pPr>
                        <w:rPr>
                          <w:rFonts w:ascii="Arial" w:hAnsi="Arial"/>
                          <w:sz w:val="20"/>
                          <w:szCs w:val="20"/>
                        </w:rPr>
                      </w:pPr>
                    </w:p>
                  </w:tc>
                </w:tr>
              </w:tbl>
              <w:p w14:paraId="28C34B68" w14:textId="77777777" w:rsidR="002E629F" w:rsidRDefault="002E629F" w:rsidP="00A745B6">
                <w:pPr>
                  <w:pStyle w:val="NormalWeb"/>
                  <w:spacing w:before="0" w:beforeAutospacing="0" w:after="0" w:afterAutospacing="0"/>
                  <w:ind w:left="142" w:right="34"/>
                  <w:rPr>
                    <w:rFonts w:ascii="Arial" w:hAnsi="Arial" w:cs="Arial"/>
                    <w:b/>
                    <w:sz w:val="22"/>
                    <w:szCs w:val="22"/>
                  </w:rPr>
                </w:pPr>
              </w:p>
              <w:p w14:paraId="67308C3A" w14:textId="77777777" w:rsidR="002E629F" w:rsidRPr="00230F35" w:rsidRDefault="002E629F"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C8076CB" w14:textId="77777777" w:rsidR="002E629F" w:rsidRDefault="002E629F" w:rsidP="002F467C">
                <w:pPr>
                  <w:pStyle w:val="NormalWeb"/>
                  <w:spacing w:before="0" w:beforeAutospacing="0" w:after="0" w:afterAutospacing="0"/>
                  <w:rPr>
                    <w:rFonts w:ascii="Arial" w:hAnsi="Arial" w:cs="Arial"/>
                    <w:b/>
                    <w:sz w:val="22"/>
                    <w:szCs w:val="22"/>
                  </w:rPr>
                </w:pPr>
              </w:p>
              <w:p w14:paraId="775A2EE5" w14:textId="77777777" w:rsidR="002E629F" w:rsidRDefault="002E629F" w:rsidP="002F467C">
                <w:pPr>
                  <w:pStyle w:val="NormalWeb"/>
                  <w:spacing w:before="0" w:beforeAutospacing="0" w:after="0" w:afterAutospacing="0"/>
                  <w:rPr>
                    <w:rFonts w:ascii="Arial" w:hAnsi="Arial" w:cs="Arial"/>
                    <w:b/>
                    <w:sz w:val="22"/>
                    <w:szCs w:val="22"/>
                  </w:rPr>
                </w:pPr>
              </w:p>
              <w:p w14:paraId="59C60FA2" w14:textId="77777777" w:rsidR="002E629F" w:rsidRDefault="002E629F" w:rsidP="002F467C">
                <w:pPr>
                  <w:pStyle w:val="NormalWeb"/>
                  <w:spacing w:before="0" w:beforeAutospacing="0" w:after="0" w:afterAutospacing="0"/>
                  <w:rPr>
                    <w:rFonts w:ascii="Arial" w:hAnsi="Arial" w:cs="Arial"/>
                    <w:b/>
                    <w:sz w:val="22"/>
                    <w:szCs w:val="22"/>
                  </w:rPr>
                </w:pPr>
              </w:p>
              <w:p w14:paraId="1E52B137" w14:textId="77777777" w:rsidR="002E629F" w:rsidRDefault="002E629F" w:rsidP="002F467C">
                <w:pPr>
                  <w:pStyle w:val="NormalWeb"/>
                  <w:spacing w:before="0" w:beforeAutospacing="0" w:after="0" w:afterAutospacing="0"/>
                  <w:rPr>
                    <w:rFonts w:ascii="Arial" w:hAnsi="Arial" w:cs="Arial"/>
                    <w:b/>
                    <w:sz w:val="22"/>
                    <w:szCs w:val="22"/>
                  </w:rPr>
                </w:pPr>
              </w:p>
              <w:p w14:paraId="65654C04" w14:textId="77777777" w:rsidR="002E629F" w:rsidRDefault="002E629F" w:rsidP="002F467C">
                <w:pPr>
                  <w:pStyle w:val="NormalWeb"/>
                  <w:spacing w:before="0" w:beforeAutospacing="0" w:after="0" w:afterAutospacing="0"/>
                  <w:rPr>
                    <w:rFonts w:ascii="Arial" w:hAnsi="Arial" w:cs="Arial"/>
                    <w:b/>
                    <w:sz w:val="22"/>
                    <w:szCs w:val="22"/>
                  </w:rPr>
                </w:pPr>
              </w:p>
              <w:p w14:paraId="7A2228C4" w14:textId="77777777" w:rsidR="002E629F" w:rsidRPr="00230F35" w:rsidRDefault="002E629F"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0B82D5F3" w14:textId="77777777" w:rsidR="002E629F" w:rsidRDefault="002E629F" w:rsidP="00043549">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55690BD" w14:textId="77777777" w:rsidR="002E629F" w:rsidRPr="00001C3B" w:rsidRDefault="002E629F" w:rsidP="00043549">
                <w:pPr>
                  <w:pStyle w:val="NormalWeb"/>
                  <w:rPr>
                    <w:rFonts w:ascii="Arial" w:hAnsi="Arial" w:cs="Arial"/>
                    <w:sz w:val="22"/>
                    <w:szCs w:val="22"/>
                  </w:rPr>
                </w:pPr>
              </w:p>
            </w:tc>
          </w:tr>
          <w:tr w:rsidR="002E629F" w:rsidRPr="00230F35" w14:paraId="005B59D4" w14:textId="77777777" w:rsidTr="00A745B6">
            <w:trPr>
              <w:trHeight w:val="492"/>
            </w:trPr>
            <w:tc>
              <w:tcPr>
                <w:tcW w:w="6768" w:type="dxa"/>
                <w:gridSpan w:val="3"/>
              </w:tcPr>
              <w:p w14:paraId="4B54D52B" w14:textId="77777777" w:rsidR="002E629F" w:rsidRPr="00230F35" w:rsidRDefault="002E629F" w:rsidP="00230F3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082AE09" w14:textId="77777777" w:rsidR="002E629F" w:rsidRPr="00230F35" w:rsidRDefault="002E629F" w:rsidP="002F467C">
                <w:pPr>
                  <w:pStyle w:val="NormalWeb"/>
                  <w:spacing w:after="0"/>
                  <w:ind w:left="142" w:right="34"/>
                  <w:rPr>
                    <w:rFonts w:ascii="Arial" w:hAnsi="Arial" w:cs="Arial"/>
                    <w:sz w:val="22"/>
                    <w:szCs w:val="22"/>
                  </w:rPr>
                </w:pPr>
                <w:r w:rsidRPr="00230F35">
                  <w:rPr>
                    <w:rFonts w:ascii="Arial" w:hAnsi="Arial" w:cs="Arial"/>
                    <w:sz w:val="22"/>
                    <w:szCs w:val="22"/>
                  </w:rPr>
                  <w:t>Date:</w:t>
                </w:r>
              </w:p>
            </w:tc>
          </w:tr>
          <w:tr w:rsidR="002E629F" w:rsidRPr="002F467C" w14:paraId="639530A6" w14:textId="77777777" w:rsidTr="002F467C">
            <w:tc>
              <w:tcPr>
                <w:tcW w:w="8856" w:type="dxa"/>
                <w:gridSpan w:val="5"/>
              </w:tcPr>
              <w:p w14:paraId="4B91C33A" w14:textId="77777777" w:rsidR="002E629F" w:rsidRPr="00230F35" w:rsidRDefault="002E629F" w:rsidP="002F467C">
                <w:pPr>
                  <w:pStyle w:val="NormalWeb"/>
                  <w:spacing w:before="0" w:beforeAutospacing="0" w:after="0" w:afterAutospacing="0"/>
                  <w:ind w:right="-334"/>
                  <w:rPr>
                    <w:rFonts w:ascii="Arial" w:hAnsi="Arial" w:cs="Arial"/>
                    <w:bCs/>
                    <w:i/>
                    <w:sz w:val="22"/>
                    <w:szCs w:val="22"/>
                  </w:rPr>
                </w:pPr>
              </w:p>
              <w:p w14:paraId="31FB5E2A" w14:textId="77777777" w:rsidR="002E629F" w:rsidRPr="00230F35" w:rsidRDefault="002E629F"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 M</w:t>
                </w:r>
                <w:r w:rsidRPr="00230F35">
                  <w:rPr>
                    <w:rFonts w:ascii="Arial" w:hAnsi="Arial" w:cs="Arial"/>
                    <w:b/>
                    <w:bCs/>
                    <w:sz w:val="22"/>
                    <w:szCs w:val="22"/>
                  </w:rPr>
                  <w:t>oderator:</w:t>
                </w:r>
              </w:p>
              <w:p w14:paraId="13584E2C" w14:textId="77777777" w:rsidR="002E629F" w:rsidRPr="00230F35" w:rsidRDefault="002E629F" w:rsidP="002F467C">
                <w:pPr>
                  <w:pStyle w:val="NormalWeb"/>
                  <w:spacing w:before="0" w:beforeAutospacing="0" w:after="0" w:afterAutospacing="0"/>
                  <w:ind w:right="-334"/>
                  <w:rPr>
                    <w:rFonts w:ascii="Arial" w:hAnsi="Arial" w:cs="Arial"/>
                    <w:b/>
                    <w:bCs/>
                    <w:sz w:val="22"/>
                    <w:szCs w:val="22"/>
                  </w:rPr>
                </w:pPr>
              </w:p>
              <w:p w14:paraId="3DBBAA74"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6386EE05"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4A661367"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49032B3D"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199E8E51"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72C67404"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425DBF4E"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2180E4EF"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68DB773E"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467A7E3C" w14:textId="77777777" w:rsidR="002E629F" w:rsidRDefault="002E629F" w:rsidP="002F467C">
                <w:pPr>
                  <w:pStyle w:val="NormalWeb"/>
                  <w:spacing w:before="0" w:beforeAutospacing="0" w:after="0" w:afterAutospacing="0"/>
                  <w:ind w:right="-334"/>
                  <w:rPr>
                    <w:rFonts w:ascii="Arial" w:hAnsi="Arial" w:cs="Arial"/>
                    <w:bCs/>
                    <w:sz w:val="22"/>
                    <w:szCs w:val="22"/>
                  </w:rPr>
                </w:pPr>
              </w:p>
              <w:p w14:paraId="64498F2C"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750680D8"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1589D3F6"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tc>
          </w:tr>
          <w:tr w:rsidR="002E629F" w:rsidRPr="002F467C" w14:paraId="4621FF6E" w14:textId="77777777" w:rsidTr="008D674F">
            <w:trPr>
              <w:trHeight w:val="720"/>
            </w:trPr>
            <w:tc>
              <w:tcPr>
                <w:tcW w:w="5211" w:type="dxa"/>
                <w:gridSpan w:val="2"/>
              </w:tcPr>
              <w:p w14:paraId="6D78378E"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37F827F7"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E629F" w:rsidRPr="002F467C" w14:paraId="6F3D9DDA" w14:textId="77777777" w:rsidTr="009C1A08">
            <w:trPr>
              <w:trHeight w:val="720"/>
            </w:trPr>
            <w:tc>
              <w:tcPr>
                <w:tcW w:w="8856" w:type="dxa"/>
                <w:gridSpan w:val="5"/>
              </w:tcPr>
              <w:p w14:paraId="2150EA7E" w14:textId="77777777" w:rsidR="002E629F" w:rsidRPr="00B34964" w:rsidRDefault="002E629F" w:rsidP="00230F35">
                <w:pPr>
                  <w:rPr>
                    <w:rFonts w:ascii="Arial" w:hAnsi="Arial" w:cs="Arial"/>
                    <w:b/>
                  </w:rPr>
                </w:pPr>
                <w:r w:rsidRPr="00B34964">
                  <w:rPr>
                    <w:rFonts w:ascii="Arial" w:hAnsi="Arial" w:cs="Arial"/>
                    <w:b/>
                  </w:rPr>
                  <w:t>External Examiner’s comments (if relevant)</w:t>
                </w:r>
              </w:p>
              <w:p w14:paraId="38409AD9"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21813DB7"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762968DF"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2DA93996"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5012EBA9"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00E786C5"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4D29D4E9"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58D9C1F7"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34F3056F" w14:textId="77777777" w:rsidR="002E629F" w:rsidRDefault="002E629F" w:rsidP="002F467C">
                <w:pPr>
                  <w:pStyle w:val="NormalWeb"/>
                  <w:spacing w:before="0" w:beforeAutospacing="0" w:after="0" w:afterAutospacing="0"/>
                  <w:ind w:right="-334"/>
                  <w:rPr>
                    <w:rFonts w:ascii="Arial" w:hAnsi="Arial" w:cs="Arial"/>
                    <w:bCs/>
                    <w:sz w:val="22"/>
                    <w:szCs w:val="22"/>
                  </w:rPr>
                </w:pPr>
              </w:p>
              <w:p w14:paraId="6A2451F5"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p w14:paraId="0E690DA8" w14:textId="77777777" w:rsidR="002E629F" w:rsidRPr="00230F35" w:rsidRDefault="002E629F" w:rsidP="002F467C">
                <w:pPr>
                  <w:pStyle w:val="NormalWeb"/>
                  <w:spacing w:before="0" w:beforeAutospacing="0" w:after="0" w:afterAutospacing="0"/>
                  <w:ind w:right="-334"/>
                  <w:rPr>
                    <w:rFonts w:ascii="Arial" w:hAnsi="Arial" w:cs="Arial"/>
                    <w:bCs/>
                    <w:sz w:val="22"/>
                    <w:szCs w:val="22"/>
                  </w:rPr>
                </w:pPr>
              </w:p>
            </w:tc>
          </w:tr>
          <w:tr w:rsidR="002E629F" w:rsidRPr="002F467C" w14:paraId="7FBEF6E5" w14:textId="77777777" w:rsidTr="00230F35">
            <w:trPr>
              <w:trHeight w:val="720"/>
            </w:trPr>
            <w:tc>
              <w:tcPr>
                <w:tcW w:w="5211" w:type="dxa"/>
                <w:gridSpan w:val="2"/>
              </w:tcPr>
              <w:p w14:paraId="29DD9A66" w14:textId="77777777" w:rsidR="002E629F" w:rsidRPr="00230F35" w:rsidRDefault="002E629F" w:rsidP="00230F35">
                <w:pPr>
                  <w:rPr>
                    <w:rFonts w:ascii="Arial" w:hAnsi="Arial" w:cs="Arial"/>
                  </w:rPr>
                </w:pPr>
                <w:r w:rsidRPr="00230F35">
                  <w:rPr>
                    <w:rFonts w:ascii="Arial" w:hAnsi="Arial" w:cs="Arial"/>
                  </w:rPr>
                  <w:t>External Examiner’s Signature:</w:t>
                </w:r>
              </w:p>
            </w:tc>
            <w:tc>
              <w:tcPr>
                <w:tcW w:w="3645" w:type="dxa"/>
                <w:gridSpan w:val="3"/>
              </w:tcPr>
              <w:p w14:paraId="35790B9B" w14:textId="77777777" w:rsidR="002E629F" w:rsidRPr="00230F35" w:rsidRDefault="002E629F" w:rsidP="00230F35">
                <w:pPr>
                  <w:rPr>
                    <w:rFonts w:ascii="Arial" w:hAnsi="Arial" w:cs="Arial"/>
                  </w:rPr>
                </w:pPr>
                <w:r w:rsidRPr="00230F35">
                  <w:rPr>
                    <w:rFonts w:ascii="Arial" w:hAnsi="Arial" w:cs="Arial"/>
                  </w:rPr>
                  <w:t>Date:</w:t>
                </w:r>
              </w:p>
            </w:tc>
          </w:tr>
        </w:tbl>
        <w:p w14:paraId="5C12BB3B" w14:textId="77777777" w:rsidR="002E629F" w:rsidRDefault="002E629F" w:rsidP="00FA07E9">
          <w:pPr>
            <w:pStyle w:val="NormalWeb"/>
            <w:spacing w:before="0" w:beforeAutospacing="0" w:after="0" w:afterAutospacing="0"/>
            <w:ind w:right="-334"/>
            <w:rPr>
              <w:rFonts w:ascii="Trebuchet MS" w:hAnsi="Trebuchet MS" w:cs="Tahoma"/>
              <w:bCs/>
            </w:rPr>
          </w:pPr>
        </w:p>
        <w:p w14:paraId="55A5B301" w14:textId="77777777" w:rsidR="002E629F" w:rsidRPr="00E10F4C" w:rsidRDefault="002E629F" w:rsidP="00E10F4C">
          <w:pPr>
            <w:pStyle w:val="NormalWeb"/>
            <w:spacing w:before="0" w:beforeAutospacing="0" w:after="0" w:afterAutospacing="0"/>
            <w:ind w:right="-334"/>
            <w:rPr>
              <w:rFonts w:ascii="Trebuchet MS" w:hAnsi="Trebuchet MS" w:cs="Tahoma"/>
              <w:bCs/>
            </w:rPr>
          </w:pPr>
        </w:p>
        <w:p w14:paraId="50D10EC5" w14:textId="77777777" w:rsidR="002E629F" w:rsidRPr="005A7A17" w:rsidRDefault="002E629F" w:rsidP="00E255D5">
          <w:pPr>
            <w:rPr>
              <w:b/>
              <w:bCs/>
            </w:rPr>
          </w:pPr>
        </w:p>
        <w:p w14:paraId="7F307A7F" w14:textId="77777777" w:rsidR="002E629F" w:rsidRPr="00D67BF8" w:rsidRDefault="002E629F" w:rsidP="00E255D5">
          <w:pPr>
            <w:pStyle w:val="NormalWeb"/>
            <w:spacing w:before="0" w:beforeAutospacing="0" w:after="0" w:afterAutospacing="0"/>
            <w:ind w:right="-334"/>
            <w:jc w:val="center"/>
            <w:rPr>
              <w:rFonts w:ascii="Trebuchet MS" w:hAnsi="Trebuchet MS" w:cs="Tahoma"/>
              <w:bCs/>
            </w:rPr>
          </w:pPr>
          <w:r>
            <w:rPr>
              <w:rFonts w:ascii="Trebuchet MS" w:hAnsi="Trebuchet MS" w:cs="Tahoma"/>
              <w:bCs/>
            </w:rPr>
            <w:br w:type="page"/>
          </w:r>
        </w:p>
        <w:p w14:paraId="5AEE2745" w14:textId="3F194EE9" w:rsidR="002E629F" w:rsidRDefault="002E629F">
          <w:pPr>
            <w:rPr>
              <w:rFonts w:cstheme="minorHAnsi"/>
              <w:b/>
              <w:sz w:val="24"/>
              <w:szCs w:val="24"/>
            </w:rPr>
          </w:pPr>
          <w:r>
            <w:rPr>
              <w:rFonts w:cstheme="minorHAnsi"/>
              <w:b/>
              <w:sz w:val="24"/>
              <w:szCs w:val="24"/>
            </w:rPr>
            <w:lastRenderedPageBreak/>
            <w:br w:type="page"/>
          </w:r>
        </w:p>
      </w:sdtContent>
    </w:sdt>
    <w:p w14:paraId="5333CEA9" w14:textId="32E16077" w:rsidR="00B144B7" w:rsidRPr="008236A4" w:rsidRDefault="00B144B7" w:rsidP="00026C75">
      <w:pPr>
        <w:jc w:val="center"/>
        <w:rPr>
          <w:rFonts w:cstheme="minorHAnsi"/>
          <w:b/>
          <w:sz w:val="24"/>
          <w:szCs w:val="24"/>
        </w:rPr>
      </w:pPr>
      <w:r w:rsidRPr="008236A4">
        <w:rPr>
          <w:rFonts w:cstheme="minorHAnsi"/>
          <w:b/>
          <w:sz w:val="24"/>
          <w:szCs w:val="24"/>
        </w:rPr>
        <w:lastRenderedPageBreak/>
        <w:t>‘</w:t>
      </w:r>
      <w:r w:rsidR="00C324D9">
        <w:rPr>
          <w:rFonts w:cstheme="minorHAnsi"/>
          <w:b/>
          <w:sz w:val="24"/>
          <w:szCs w:val="24"/>
        </w:rPr>
        <w:t>Did Belief in Astrology Decline in the Seventeenth Century?’</w:t>
      </w:r>
    </w:p>
    <w:p w14:paraId="69C8BFF5" w14:textId="34AF19D8" w:rsidR="00B144B7" w:rsidRDefault="008C6E1C" w:rsidP="00B144B7">
      <w:pPr>
        <w:jc w:val="center"/>
      </w:pPr>
      <w:r>
        <w:t>(Word Count: 4718)</w:t>
      </w:r>
    </w:p>
    <w:p w14:paraId="4D906D23" w14:textId="0D0BAD11" w:rsidR="00BE2BF7" w:rsidRPr="002F106F" w:rsidRDefault="00187067" w:rsidP="002F106F">
      <w:pPr>
        <w:spacing w:after="240"/>
        <w:rPr>
          <w:b/>
          <w:bCs/>
        </w:rPr>
      </w:pPr>
      <w:r>
        <w:rPr>
          <w:b/>
          <w:bCs/>
        </w:rPr>
        <w:t>Introduction</w:t>
      </w:r>
    </w:p>
    <w:p w14:paraId="53A6A511" w14:textId="233D05A0" w:rsidR="00C50AD2" w:rsidRPr="00FB712D" w:rsidRDefault="00422ED3" w:rsidP="00FB712D">
      <w:pPr>
        <w:spacing w:after="240" w:line="360" w:lineRule="auto"/>
      </w:pPr>
      <w:r>
        <w:t>This essay examines the question: “Did Belief in Astrology Decline in the Seventeenth Century”. Before one can probe the evidential basis for responding to this question</w:t>
      </w:r>
      <w:r w:rsidR="00E14937">
        <w:t xml:space="preserve"> from the standpoint of the history of astrology</w:t>
      </w:r>
      <w:r>
        <w:t xml:space="preserve">, there are two characterisations which are deemed necessary and </w:t>
      </w:r>
      <w:r w:rsidR="006C2216">
        <w:t>act</w:t>
      </w:r>
      <w:r>
        <w:t xml:space="preserve"> as guiding questions</w:t>
      </w:r>
      <w:r w:rsidR="00E14937">
        <w:t xml:space="preserve"> in the </w:t>
      </w:r>
      <w:r w:rsidR="006C2216">
        <w:t xml:space="preserve">two </w:t>
      </w:r>
      <w:r w:rsidR="00E14937">
        <w:t>sections which follow</w:t>
      </w:r>
      <w:r>
        <w:t xml:space="preserve">: 1) </w:t>
      </w:r>
      <w:r w:rsidR="00E14937">
        <w:t>W</w:t>
      </w:r>
      <w:r>
        <w:t>hat is the nature and culture</w:t>
      </w:r>
      <w:r w:rsidR="00E14937">
        <w:t>s</w:t>
      </w:r>
      <w:r>
        <w:t xml:space="preserve"> of belief and </w:t>
      </w:r>
      <w:proofErr w:type="gramStart"/>
      <w:r w:rsidR="00505D5F">
        <w:t>unbelief?,</w:t>
      </w:r>
      <w:proofErr w:type="gramEnd"/>
      <w:r>
        <w:t xml:space="preserve"> and; 2) What is meant, inferred or defined by the word “decline”?</w:t>
      </w:r>
      <w:r w:rsidR="00715E17">
        <w:t xml:space="preserve"> </w:t>
      </w:r>
      <w:r w:rsidR="00715E17">
        <w:rPr>
          <w:rFonts w:cstheme="minorHAnsi"/>
        </w:rPr>
        <w:t xml:space="preserve">In terms of </w:t>
      </w:r>
      <w:r w:rsidR="00C50AD2">
        <w:rPr>
          <w:rFonts w:cstheme="minorHAnsi"/>
        </w:rPr>
        <w:t>historiographic presentation</w:t>
      </w:r>
      <w:r w:rsidR="00715E17">
        <w:rPr>
          <w:rFonts w:cstheme="minorHAnsi"/>
        </w:rPr>
        <w:t>, the approach here confines itself</w:t>
      </w:r>
      <w:r w:rsidR="00C50AD2">
        <w:rPr>
          <w:rFonts w:cstheme="minorHAnsi"/>
        </w:rPr>
        <w:t xml:space="preserve"> to the models of</w:t>
      </w:r>
      <w:r w:rsidR="00715E17">
        <w:rPr>
          <w:rFonts w:cstheme="minorHAnsi"/>
        </w:rPr>
        <w:t xml:space="preserve"> Richard</w:t>
      </w:r>
      <w:r w:rsidR="00C50AD2">
        <w:rPr>
          <w:rFonts w:cstheme="minorHAnsi"/>
        </w:rPr>
        <w:t xml:space="preserve"> Evans (causation, </w:t>
      </w:r>
      <w:proofErr w:type="gramStart"/>
      <w:r w:rsidR="00C50AD2">
        <w:rPr>
          <w:rFonts w:cstheme="minorHAnsi"/>
        </w:rPr>
        <w:t>knowledge</w:t>
      </w:r>
      <w:proofErr w:type="gramEnd"/>
      <w:r w:rsidR="00C50AD2">
        <w:rPr>
          <w:rFonts w:cstheme="minorHAnsi"/>
        </w:rPr>
        <w:t xml:space="preserve"> and power) and Patrick Curry (embeddedness, power, and politics), and </w:t>
      </w:r>
      <w:r w:rsidR="00715E17">
        <w:rPr>
          <w:rFonts w:cstheme="minorHAnsi"/>
        </w:rPr>
        <w:t xml:space="preserve">also </w:t>
      </w:r>
      <w:r w:rsidR="00C50AD2">
        <w:rPr>
          <w:rFonts w:cstheme="minorHAnsi"/>
        </w:rPr>
        <w:t>utilize</w:t>
      </w:r>
      <w:r w:rsidR="00715E17">
        <w:rPr>
          <w:rFonts w:cstheme="minorHAnsi"/>
        </w:rPr>
        <w:t>s</w:t>
      </w:r>
      <w:r w:rsidR="00C50AD2">
        <w:rPr>
          <w:rFonts w:cstheme="minorHAnsi"/>
        </w:rPr>
        <w:t xml:space="preserve"> case-studies of astrological decline from recent literature</w:t>
      </w:r>
      <w:r w:rsidR="00715E17">
        <w:rPr>
          <w:rFonts w:cstheme="minorHAnsi"/>
        </w:rPr>
        <w:t xml:space="preserve"> in the historiography of astrology</w:t>
      </w:r>
      <w:r w:rsidR="00C50AD2">
        <w:rPr>
          <w:rFonts w:cstheme="minorHAnsi"/>
        </w:rPr>
        <w:t>.</w:t>
      </w:r>
      <w:r w:rsidR="001B1A9C">
        <w:rPr>
          <w:rFonts w:cstheme="minorHAnsi"/>
        </w:rPr>
        <w:t xml:space="preserve"> The case studies are regional and global in reach, including the following: the </w:t>
      </w:r>
      <w:r w:rsidR="001B1A9C" w:rsidRPr="001B1A9C">
        <w:rPr>
          <w:rFonts w:cstheme="minorHAnsi"/>
        </w:rPr>
        <w:t>Jonathan Dove Series’ Almanacs</w:t>
      </w:r>
      <w:r w:rsidR="001B1A9C">
        <w:rPr>
          <w:rFonts w:cstheme="minorHAnsi"/>
        </w:rPr>
        <w:t xml:space="preserve"> (England)</w:t>
      </w:r>
      <w:r w:rsidR="00505D5F">
        <w:rPr>
          <w:rFonts w:cstheme="minorHAnsi"/>
        </w:rPr>
        <w:t xml:space="preserve">; the University of Valencia in Spain; astrology in New Spain, </w:t>
      </w:r>
      <w:proofErr w:type="gramStart"/>
      <w:r w:rsidR="00505D5F">
        <w:rPr>
          <w:rFonts w:cstheme="minorHAnsi"/>
        </w:rPr>
        <w:t>and;</w:t>
      </w:r>
      <w:proofErr w:type="gramEnd"/>
      <w:r w:rsidR="00505D5F">
        <w:rPr>
          <w:rFonts w:cstheme="minorHAnsi"/>
        </w:rPr>
        <w:t xml:space="preserve"> astrology in seventeenth-century Portugal. </w:t>
      </w:r>
      <w:proofErr w:type="gramStart"/>
      <w:r w:rsidR="00505D5F">
        <w:rPr>
          <w:rFonts w:cstheme="minorHAnsi"/>
        </w:rPr>
        <w:t>In the midst of</w:t>
      </w:r>
      <w:proofErr w:type="gramEnd"/>
      <w:r w:rsidR="00505D5F">
        <w:rPr>
          <w:rFonts w:cstheme="minorHAnsi"/>
        </w:rPr>
        <w:t xml:space="preserve"> these is a reprise of a numerical analysis of astrological publications in English as first developed in the 1950s by historian of science Mark </w:t>
      </w:r>
      <w:proofErr w:type="spellStart"/>
      <w:r w:rsidR="00505D5F">
        <w:rPr>
          <w:rFonts w:cstheme="minorHAnsi"/>
        </w:rPr>
        <w:t>Graubard</w:t>
      </w:r>
      <w:proofErr w:type="spellEnd"/>
      <w:r w:rsidR="00505D5F">
        <w:rPr>
          <w:rFonts w:cstheme="minorHAnsi"/>
        </w:rPr>
        <w:t xml:space="preserve"> and now updated with current access to </w:t>
      </w:r>
      <w:r w:rsidR="00505D5F">
        <w:rPr>
          <w:rFonts w:cstheme="minorHAnsi"/>
          <w:i/>
          <w:iCs/>
        </w:rPr>
        <w:t>Early Books in English Online</w:t>
      </w:r>
      <w:r w:rsidR="00E00B50">
        <w:rPr>
          <w:rFonts w:cstheme="minorHAnsi"/>
          <w:i/>
          <w:iCs/>
        </w:rPr>
        <w:t xml:space="preserve"> </w:t>
      </w:r>
      <w:r w:rsidR="00E00B50">
        <w:rPr>
          <w:rFonts w:cstheme="minorHAnsi"/>
        </w:rPr>
        <w:t>(a database of ProQuest</w:t>
      </w:r>
      <w:r w:rsidR="00E00B50">
        <w:rPr>
          <w:rFonts w:cstheme="minorHAnsi"/>
          <w:vertAlign w:val="superscript"/>
        </w:rPr>
        <w:t>™</w:t>
      </w:r>
      <w:r w:rsidR="00E00B50">
        <w:rPr>
          <w:rFonts w:cstheme="minorHAnsi"/>
        </w:rPr>
        <w:t>).</w:t>
      </w:r>
    </w:p>
    <w:p w14:paraId="019083F4" w14:textId="77777777" w:rsidR="00AE2A4B" w:rsidRDefault="00AE2A4B" w:rsidP="002F106F">
      <w:pPr>
        <w:spacing w:after="240" w:line="276" w:lineRule="auto"/>
        <w:rPr>
          <w:b/>
          <w:bCs/>
        </w:rPr>
      </w:pPr>
      <w:r>
        <w:rPr>
          <w:b/>
          <w:bCs/>
        </w:rPr>
        <w:t xml:space="preserve">Defining ‘Decline’ </w:t>
      </w:r>
    </w:p>
    <w:p w14:paraId="56AA4063" w14:textId="25856F3B" w:rsidR="009C6926" w:rsidRPr="00AE2A4B" w:rsidRDefault="00AE2A4B" w:rsidP="002F106F">
      <w:pPr>
        <w:spacing w:after="240" w:line="360" w:lineRule="auto"/>
        <w:rPr>
          <w:rFonts w:cstheme="minorHAnsi"/>
        </w:rPr>
      </w:pPr>
      <w:r>
        <w:rPr>
          <w:rFonts w:cstheme="minorHAnsi"/>
        </w:rPr>
        <w:t>The word “decline” is complex and problematic.</w:t>
      </w:r>
      <w:r w:rsidR="003A5649">
        <w:rPr>
          <w:rFonts w:cstheme="minorHAnsi"/>
        </w:rPr>
        <w:t xml:space="preserve"> </w:t>
      </w:r>
      <w:r w:rsidR="003A5649">
        <w:rPr>
          <w:rFonts w:cstheme="minorHAnsi"/>
        </w:rPr>
        <w:t>Tayra Lanuza Navarro provides a definition of ‘decline’ and alludes to its cautious use when she writes: ‘the term “decline”, [or] any similar concept must be read with caution.</w:t>
      </w:r>
      <w:r w:rsidR="003A5649">
        <w:rPr>
          <w:rStyle w:val="FootnoteReference"/>
          <w:rFonts w:cstheme="minorHAnsi"/>
        </w:rPr>
        <w:footnoteReference w:id="1"/>
      </w:r>
      <w:r w:rsidR="003A5649">
        <w:rPr>
          <w:rFonts w:cstheme="minorHAnsi"/>
        </w:rPr>
        <w:t xml:space="preserve"> </w:t>
      </w:r>
      <w:r>
        <w:rPr>
          <w:rFonts w:cstheme="minorHAnsi"/>
        </w:rPr>
        <w:t xml:space="preserve"> If the use of the word ‘decline’ is considered here as representative (to use the word in its archaic sense) of the setting of the sun, the immediate astronomical implication is that it </w:t>
      </w:r>
      <w:r w:rsidR="002F106F">
        <w:rPr>
          <w:rFonts w:cstheme="minorHAnsi"/>
        </w:rPr>
        <w:t>must</w:t>
      </w:r>
      <w:r>
        <w:rPr>
          <w:rFonts w:cstheme="minorHAnsi"/>
        </w:rPr>
        <w:t xml:space="preserve"> rising somewhere else – or will rise again after a hiatus in its original position but under new environmental circumstances. Such a decline may be a perception in space and time for some, but for others, it is merely one of </w:t>
      </w:r>
      <w:r>
        <w:rPr>
          <w:rFonts w:cstheme="minorHAnsi"/>
          <w:i/>
          <w:iCs/>
        </w:rPr>
        <w:t xml:space="preserve">lacunae </w:t>
      </w:r>
      <w:r>
        <w:rPr>
          <w:rFonts w:cstheme="minorHAnsi"/>
        </w:rPr>
        <w:t xml:space="preserve">– or gaps – which will eventually be filled. The term “decline” is viewed in this essay as a form of </w:t>
      </w:r>
      <w:r>
        <w:rPr>
          <w:rFonts w:cstheme="minorHAnsi"/>
          <w:i/>
          <w:iCs/>
        </w:rPr>
        <w:t>declination</w:t>
      </w:r>
      <w:r>
        <w:rPr>
          <w:rFonts w:cstheme="minorHAnsi"/>
        </w:rPr>
        <w:t>; that is,</w:t>
      </w:r>
      <w:r>
        <w:rPr>
          <w:rFonts w:cstheme="minorHAnsi"/>
          <w:i/>
          <w:iCs/>
        </w:rPr>
        <w:t xml:space="preserve"> </w:t>
      </w:r>
      <w:r>
        <w:rPr>
          <w:rFonts w:cstheme="minorHAnsi"/>
        </w:rPr>
        <w:t xml:space="preserve">a polite and structured refusal to no longer remain </w:t>
      </w:r>
      <w:r w:rsidR="003A5649">
        <w:rPr>
          <w:rFonts w:cstheme="minorHAnsi"/>
        </w:rPr>
        <w:t>a</w:t>
      </w:r>
      <w:r>
        <w:rPr>
          <w:rFonts w:cstheme="minorHAnsi"/>
        </w:rPr>
        <w:t xml:space="preserve">n acceptance of something once deemed both traditional and valued. </w:t>
      </w:r>
    </w:p>
    <w:p w14:paraId="5C90822D" w14:textId="77777777" w:rsidR="00FB712D" w:rsidRDefault="00FB712D" w:rsidP="002F106F">
      <w:pPr>
        <w:spacing w:after="240" w:line="276" w:lineRule="auto"/>
        <w:rPr>
          <w:b/>
          <w:bCs/>
        </w:rPr>
      </w:pPr>
    </w:p>
    <w:p w14:paraId="14EF1DA9" w14:textId="770D8411" w:rsidR="00B144B7" w:rsidRDefault="007279EA" w:rsidP="002F106F">
      <w:pPr>
        <w:spacing w:after="240" w:line="276" w:lineRule="auto"/>
        <w:rPr>
          <w:b/>
          <w:bCs/>
        </w:rPr>
      </w:pPr>
      <w:r>
        <w:rPr>
          <w:b/>
          <w:bCs/>
        </w:rPr>
        <w:lastRenderedPageBreak/>
        <w:t xml:space="preserve">The </w:t>
      </w:r>
      <w:r w:rsidR="00E14937">
        <w:rPr>
          <w:b/>
          <w:bCs/>
        </w:rPr>
        <w:t>Nature</w:t>
      </w:r>
      <w:r w:rsidR="00850AC2">
        <w:rPr>
          <w:b/>
          <w:bCs/>
        </w:rPr>
        <w:t xml:space="preserve"> of Belief and Unbelief</w:t>
      </w:r>
      <w:r>
        <w:rPr>
          <w:b/>
          <w:bCs/>
        </w:rPr>
        <w:t xml:space="preserve"> in Astrology</w:t>
      </w:r>
    </w:p>
    <w:p w14:paraId="20A29734" w14:textId="22E85F06" w:rsidR="00AE424A" w:rsidRPr="005D5951" w:rsidRDefault="00AE424A" w:rsidP="002F106F">
      <w:pPr>
        <w:spacing w:after="240" w:line="360" w:lineRule="auto"/>
        <w:rPr>
          <w:rFonts w:cstheme="minorHAnsi"/>
        </w:rPr>
      </w:pPr>
      <w:r w:rsidRPr="00422C36">
        <w:t xml:space="preserve">Mark </w:t>
      </w:r>
      <w:proofErr w:type="spellStart"/>
      <w:r w:rsidRPr="00422C36">
        <w:t>Graubard</w:t>
      </w:r>
      <w:proofErr w:type="spellEnd"/>
      <w:r w:rsidRPr="00422C36">
        <w:t xml:space="preserve">, in </w:t>
      </w:r>
      <w:r>
        <w:t>his</w:t>
      </w:r>
      <w:r w:rsidRPr="00422C36">
        <w:t xml:space="preserve"> 1946 paper appearing in </w:t>
      </w:r>
      <w:r w:rsidRPr="00422C36">
        <w:rPr>
          <w:i/>
        </w:rPr>
        <w:t xml:space="preserve">The Journal of American Folklore, </w:t>
      </w:r>
      <w:r w:rsidRPr="00422C36">
        <w:t>claimed that astrological ‘</w:t>
      </w:r>
      <w:r>
        <w:t xml:space="preserve">cultures of </w:t>
      </w:r>
      <w:r w:rsidRPr="00422C36">
        <w:t>belief</w:t>
      </w:r>
      <w:r>
        <w:t>’</w:t>
      </w:r>
      <w:r w:rsidRPr="00422C36">
        <w:t xml:space="preserve"> were globalised</w:t>
      </w:r>
      <w:r>
        <w:t>,</w:t>
      </w:r>
      <w:r w:rsidRPr="00422C36">
        <w:t xml:space="preserve"> and somehow could be accounted for as having been ‘woven out of a rich imagination’ that was inherent in humankind as a ‘gratifying expression’ of the ‘power of the stars’.</w:t>
      </w:r>
      <w:r w:rsidRPr="00422C36">
        <w:rPr>
          <w:rStyle w:val="FootnoteReference"/>
        </w:rPr>
        <w:footnoteReference w:id="2"/>
      </w:r>
      <w:r w:rsidRPr="00422C36">
        <w:t xml:space="preserve"> </w:t>
      </w:r>
      <w:r>
        <w:t>A</w:t>
      </w:r>
      <w:r w:rsidRPr="00422C36">
        <w:t xml:space="preserve"> </w:t>
      </w:r>
      <w:r>
        <w:t xml:space="preserve">recent </w:t>
      </w:r>
      <w:r w:rsidRPr="00422C36">
        <w:t>contributor to the study of ‘cultures of belief and unbelief’ has been David J. Hufford.</w:t>
      </w:r>
      <w:r w:rsidR="0034449C" w:rsidRPr="0034449C">
        <w:rPr>
          <w:rStyle w:val="FootnoteReference"/>
        </w:rPr>
        <w:t xml:space="preserve"> </w:t>
      </w:r>
      <w:r w:rsidR="0034449C" w:rsidRPr="00422C36">
        <w:rPr>
          <w:rStyle w:val="FootnoteReference"/>
        </w:rPr>
        <w:footnoteReference w:id="3"/>
      </w:r>
      <w:r w:rsidRPr="00422C36">
        <w:t xml:space="preserve"> </w:t>
      </w:r>
      <w:r w:rsidR="0034449C">
        <w:t xml:space="preserve"> </w:t>
      </w:r>
      <w:r w:rsidRPr="00422C36">
        <w:t xml:space="preserve">Hufford </w:t>
      </w:r>
      <w:r w:rsidR="00093C19">
        <w:t>encourages</w:t>
      </w:r>
      <w:r w:rsidRPr="00422C36">
        <w:t xml:space="preserve"> that disinterest </w:t>
      </w:r>
      <w:r w:rsidR="00093C19">
        <w:t>be</w:t>
      </w:r>
      <w:r w:rsidRPr="00422C36">
        <w:t xml:space="preserve"> urged upon scholars of astrology, but that desired disinterest is impossible because all discourse in astrology would inevitably be governed by adherence to belief or disbelief.</w:t>
      </w:r>
      <w:r w:rsidRPr="00422C36">
        <w:rPr>
          <w:rStyle w:val="FootnoteReference"/>
        </w:rPr>
        <w:footnoteReference w:id="4"/>
      </w:r>
      <w:r w:rsidRPr="00422C36">
        <w:t xml:space="preserve"> </w:t>
      </w:r>
      <w:r>
        <w:t xml:space="preserve">Patrick Curry echoes this </w:t>
      </w:r>
      <w:r w:rsidR="004A4DFD">
        <w:t>notion of</w:t>
      </w:r>
      <w:r w:rsidR="00EA7323">
        <w:t xml:space="preserve"> the impossibility of</w:t>
      </w:r>
      <w:r w:rsidR="004A4DFD">
        <w:t xml:space="preserve"> disinterest </w:t>
      </w:r>
      <w:r>
        <w:t xml:space="preserve">with his </w:t>
      </w:r>
      <w:r w:rsidR="00EA7323">
        <w:t>confession</w:t>
      </w:r>
      <w:r w:rsidR="004A4DFD">
        <w:t xml:space="preserve"> </w:t>
      </w:r>
      <w:r w:rsidR="00EA7323">
        <w:t>that</w:t>
      </w:r>
      <w:r w:rsidR="00EA7323">
        <w:rPr>
          <w:rFonts w:cstheme="minorHAnsi"/>
        </w:rPr>
        <w:t xml:space="preserve"> </w:t>
      </w:r>
      <w:r w:rsidR="00EA7323">
        <w:rPr>
          <w:rFonts w:cstheme="minorHAnsi"/>
        </w:rPr>
        <w:t>a</w:t>
      </w:r>
      <w:r w:rsidR="00EA7323">
        <w:rPr>
          <w:rFonts w:cstheme="minorHAnsi"/>
        </w:rPr>
        <w:t xml:space="preserve"> proposed solution to the participation problem, that of ‘comprehensive agnostic neutrality’</w:t>
      </w:r>
      <w:r w:rsidR="00EA7323">
        <w:rPr>
          <w:rFonts w:cstheme="minorHAnsi"/>
        </w:rPr>
        <w:t>,</w:t>
      </w:r>
      <w:r w:rsidR="00EA7323">
        <w:rPr>
          <w:rFonts w:cstheme="minorHAnsi"/>
        </w:rPr>
        <w:t xml:space="preserve"> was illusory if not mistaken and that ‘</w:t>
      </w:r>
      <w:r w:rsidR="00EA7323">
        <w:rPr>
          <w:rFonts w:cstheme="minorHAnsi"/>
          <w:i/>
          <w:iCs/>
        </w:rPr>
        <w:t xml:space="preserve">participation </w:t>
      </w:r>
      <w:r w:rsidR="00EA7323">
        <w:rPr>
          <w:rFonts w:cstheme="minorHAnsi"/>
        </w:rPr>
        <w:t xml:space="preserve">is unavoidable and </w:t>
      </w:r>
      <w:r w:rsidR="00EA7323">
        <w:rPr>
          <w:rFonts w:cstheme="minorHAnsi"/>
          <w:i/>
          <w:iCs/>
        </w:rPr>
        <w:t xml:space="preserve">neutrality </w:t>
      </w:r>
      <w:r w:rsidR="00EA7323">
        <w:rPr>
          <w:rFonts w:cstheme="minorHAnsi"/>
        </w:rPr>
        <w:t>is impossible’.</w:t>
      </w:r>
      <w:r w:rsidR="00EA7323">
        <w:rPr>
          <w:rStyle w:val="FootnoteReference"/>
          <w:rFonts w:cstheme="minorHAnsi"/>
        </w:rPr>
        <w:footnoteReference w:id="5"/>
      </w:r>
      <w:r w:rsidR="00EA7323">
        <w:rPr>
          <w:rFonts w:cstheme="minorHAnsi"/>
        </w:rPr>
        <w:t xml:space="preserve"> </w:t>
      </w:r>
      <w:r w:rsidR="00EA7323">
        <w:rPr>
          <w:rFonts w:cstheme="minorHAnsi"/>
        </w:rPr>
        <w:t>To enunciate f</w:t>
      </w:r>
      <w:r w:rsidR="00EA7323">
        <w:rPr>
          <w:rFonts w:cstheme="minorHAnsi"/>
        </w:rPr>
        <w:t xml:space="preserve">urther on this point of neutrality, Curry defends a guiding assumption that the belief systems of astrologers are justified </w:t>
      </w:r>
      <w:r w:rsidR="00EA7323">
        <w:rPr>
          <w:rFonts w:cstheme="minorHAnsi"/>
          <w:i/>
          <w:iCs/>
        </w:rPr>
        <w:t xml:space="preserve">a priori </w:t>
      </w:r>
      <w:r w:rsidR="00EA7323">
        <w:rPr>
          <w:rFonts w:cstheme="minorHAnsi"/>
        </w:rPr>
        <w:t xml:space="preserve">and therefore there can be no neutrality in the face of that “condescension of posterity” as the astrologer-historian intervenes ‘on the side of the astrologers and against that of the well-born judges, scientific apologists and publicists, metropolitan </w:t>
      </w:r>
      <w:r w:rsidR="00EA7323">
        <w:rPr>
          <w:rFonts w:cstheme="minorHAnsi"/>
          <w:i/>
          <w:iCs/>
        </w:rPr>
        <w:t>literati</w:t>
      </w:r>
      <w:r w:rsidR="00EA7323">
        <w:rPr>
          <w:rFonts w:cstheme="minorHAnsi"/>
        </w:rPr>
        <w:t xml:space="preserve"> and clergy who made up their chief opposition’.</w:t>
      </w:r>
      <w:r w:rsidR="00EA7323">
        <w:rPr>
          <w:rStyle w:val="FootnoteReference"/>
          <w:rFonts w:cstheme="minorHAnsi"/>
        </w:rPr>
        <w:footnoteReference w:id="6"/>
      </w:r>
      <w:r w:rsidR="00BC676A">
        <w:rPr>
          <w:rFonts w:cstheme="minorHAnsi"/>
        </w:rPr>
        <w:t xml:space="preserve"> </w:t>
      </w:r>
      <w:r w:rsidR="00BC676A">
        <w:t>‘M</w:t>
      </w:r>
      <w:r w:rsidR="004A4DFD">
        <w:t xml:space="preserve">embers of </w:t>
      </w:r>
      <w:r w:rsidR="004A4DFD">
        <w:t xml:space="preserve">a </w:t>
      </w:r>
      <w:r w:rsidR="004A4DFD">
        <w:t>community</w:t>
      </w:r>
      <w:r w:rsidR="00BC676A">
        <w:t>’</w:t>
      </w:r>
      <w:r w:rsidR="004A4DFD">
        <w:t>,</w:t>
      </w:r>
      <w:r w:rsidR="00BC676A">
        <w:t xml:space="preserve"> Curry writes,</w:t>
      </w:r>
      <w:r w:rsidR="004A4DFD">
        <w:t xml:space="preserve"> </w:t>
      </w:r>
      <w:r w:rsidR="00BC676A">
        <w:t>‘</w:t>
      </w:r>
      <w:r w:rsidR="004A4DFD">
        <w:t>if it happens to be scholars of the history of astrology</w:t>
      </w:r>
      <w:r w:rsidR="004A4DFD">
        <w:t>,</w:t>
      </w:r>
      <w:r w:rsidR="004A4DFD">
        <w:t xml:space="preserve"> must ‘respect and accommodate fully the lived experience of their historical subjects’</w:t>
      </w:r>
      <w:r w:rsidR="004A4DFD">
        <w:t>.</w:t>
      </w:r>
      <w:r w:rsidR="004A4DFD">
        <w:rPr>
          <w:rStyle w:val="FootnoteReference"/>
        </w:rPr>
        <w:footnoteReference w:id="7"/>
      </w:r>
      <w:r w:rsidR="004A4DFD">
        <w:t xml:space="preserve"> This is </w:t>
      </w:r>
      <w:r w:rsidR="00093C19">
        <w:t xml:space="preserve">to </w:t>
      </w:r>
      <w:r w:rsidR="004A4DFD">
        <w:t>be accomplished with an appropriate level of reflexivity.</w:t>
      </w:r>
      <w:r w:rsidR="004A4DFD">
        <w:rPr>
          <w:rStyle w:val="FootnoteReference"/>
        </w:rPr>
        <w:footnoteReference w:id="8"/>
      </w:r>
      <w:r>
        <w:t xml:space="preserve"> </w:t>
      </w:r>
      <w:r w:rsidRPr="00422C36">
        <w:t>Hufford’s stance</w:t>
      </w:r>
      <w:r w:rsidR="00EA7323">
        <w:t xml:space="preserve"> provides some</w:t>
      </w:r>
      <w:r w:rsidRPr="00422C36">
        <w:t xml:space="preserve"> relie</w:t>
      </w:r>
      <w:r w:rsidR="00EA7323">
        <w:t>f</w:t>
      </w:r>
      <w:r w:rsidRPr="00422C36">
        <w:t xml:space="preserve"> the scholar with this axiom: ‘impartiality in [the study of belief systems] cannot consist of having no personal beliefs.</w:t>
      </w:r>
      <w:r w:rsidRPr="00422C36">
        <w:rPr>
          <w:rStyle w:val="FootnoteReference"/>
        </w:rPr>
        <w:footnoteReference w:id="9"/>
      </w:r>
      <w:r w:rsidRPr="00422C36">
        <w:t xml:space="preserve"> Where does this leave us? According to </w:t>
      </w:r>
      <w:proofErr w:type="spellStart"/>
      <w:r w:rsidRPr="00422C36">
        <w:t>Graubard</w:t>
      </w:r>
      <w:proofErr w:type="spellEnd"/>
      <w:r w:rsidRPr="00422C36">
        <w:t xml:space="preserve">, </w:t>
      </w:r>
      <w:r w:rsidR="00BC676A">
        <w:t xml:space="preserve">we may well be left struggling </w:t>
      </w:r>
      <w:r w:rsidRPr="00422C36">
        <w:t xml:space="preserve">with the Janus-faced duality of </w:t>
      </w:r>
      <w:r>
        <w:t xml:space="preserve">belief/disbelief - </w:t>
      </w:r>
      <w:r w:rsidRPr="00422C36">
        <w:t xml:space="preserve">looking both backward at the heritage of astrology and forward to </w:t>
      </w:r>
      <w:r w:rsidR="00BC676A">
        <w:t>its position within a</w:t>
      </w:r>
      <w:r>
        <w:t xml:space="preserve"> scientific</w:t>
      </w:r>
      <w:r w:rsidRPr="00422C36">
        <w:t xml:space="preserve"> modern</w:t>
      </w:r>
      <w:r>
        <w:t>ity</w:t>
      </w:r>
      <w:r w:rsidRPr="00422C36">
        <w:t>.</w:t>
      </w:r>
      <w:r w:rsidRPr="00422C36">
        <w:rPr>
          <w:rStyle w:val="FootnoteReference"/>
        </w:rPr>
        <w:footnoteReference w:id="10"/>
      </w:r>
    </w:p>
    <w:p w14:paraId="5A365AA0" w14:textId="3D8B6A13" w:rsidR="00FF4C4B" w:rsidRPr="00FA7E2E" w:rsidRDefault="00FF4C4B" w:rsidP="00FC78DA">
      <w:pPr>
        <w:autoSpaceDE w:val="0"/>
        <w:autoSpaceDN w:val="0"/>
        <w:adjustRightInd w:val="0"/>
        <w:spacing w:line="360" w:lineRule="auto"/>
        <w:rPr>
          <w:rFonts w:cstheme="minorHAnsi"/>
        </w:rPr>
      </w:pPr>
      <w:r w:rsidRPr="00FA7E2E">
        <w:rPr>
          <w:rFonts w:cstheme="minorHAnsi"/>
        </w:rPr>
        <w:lastRenderedPageBreak/>
        <w:t xml:space="preserve">In terms of the psychology of belief in astrology, </w:t>
      </w:r>
      <w:r w:rsidR="00644144">
        <w:rPr>
          <w:rFonts w:cstheme="minorHAnsi"/>
        </w:rPr>
        <w:t xml:space="preserve">Nicholas </w:t>
      </w:r>
      <w:r w:rsidRPr="00FA7E2E">
        <w:rPr>
          <w:rFonts w:cstheme="minorHAnsi"/>
        </w:rPr>
        <w:t xml:space="preserve">Campion suggests that the definition of belief </w:t>
      </w:r>
      <w:r w:rsidR="00C67C90">
        <w:rPr>
          <w:rFonts w:cstheme="minorHAnsi"/>
        </w:rPr>
        <w:t>can be</w:t>
      </w:r>
      <w:r w:rsidRPr="00FA7E2E">
        <w:rPr>
          <w:rFonts w:cstheme="minorHAnsi"/>
        </w:rPr>
        <w:t xml:space="preserve"> neutral, meaning ‘trust or confidence’, but it is the </w:t>
      </w:r>
      <w:r w:rsidRPr="00C67C90">
        <w:rPr>
          <w:rFonts w:cstheme="minorHAnsi"/>
          <w:i/>
          <w:iCs/>
        </w:rPr>
        <w:t>object</w:t>
      </w:r>
      <w:r w:rsidRPr="00FA7E2E">
        <w:rPr>
          <w:rFonts w:cstheme="minorHAnsi"/>
        </w:rPr>
        <w:t xml:space="preserve"> of such belief which creates the contested nature of the word: ‘belief does not have to be true, but neither is it necessarily false</w:t>
      </w:r>
      <w:r>
        <w:rPr>
          <w:rFonts w:cstheme="minorHAnsi"/>
        </w:rPr>
        <w:t>;</w:t>
      </w:r>
      <w:r w:rsidRPr="00FA7E2E">
        <w:rPr>
          <w:rFonts w:cstheme="minorHAnsi"/>
        </w:rPr>
        <w:t xml:space="preserve"> it is the perception of the believer which counts’.</w:t>
      </w:r>
      <w:r>
        <w:rPr>
          <w:rStyle w:val="FootnoteReference"/>
          <w:rFonts w:cstheme="minorHAnsi"/>
        </w:rPr>
        <w:footnoteReference w:id="11"/>
      </w:r>
      <w:r>
        <w:rPr>
          <w:rFonts w:cstheme="minorHAnsi"/>
        </w:rPr>
        <w:t xml:space="preserve"> </w:t>
      </w:r>
      <w:r w:rsidRPr="00FA7E2E">
        <w:rPr>
          <w:rFonts w:cstheme="minorHAnsi"/>
        </w:rPr>
        <w:t>Therefore, any discussion of ‘decline in belief in astrology’ must be qualified.</w:t>
      </w:r>
      <w:r w:rsidR="00FC78DA">
        <w:rPr>
          <w:rFonts w:cstheme="minorHAnsi"/>
        </w:rPr>
        <w:t xml:space="preserve"> </w:t>
      </w:r>
      <w:r w:rsidRPr="00FA7E2E">
        <w:rPr>
          <w:rFonts w:cstheme="minorHAnsi"/>
        </w:rPr>
        <w:t>Campion also emphasizes that most modern interpretations and criticisms of ‘belief in astrology’ which come from the natural sciences are grounded in a position that any ‘belief’ is an inherent falsehood. That is, the ‘assumption that beliefs are automatically false’.</w:t>
      </w:r>
      <w:r w:rsidR="00A350DC">
        <w:rPr>
          <w:rStyle w:val="FootnoteReference"/>
          <w:rFonts w:cstheme="minorHAnsi"/>
        </w:rPr>
        <w:footnoteReference w:id="12"/>
      </w:r>
      <w:r w:rsidR="00FC78DA">
        <w:rPr>
          <w:rFonts w:cstheme="minorHAnsi"/>
        </w:rPr>
        <w:t xml:space="preserve"> </w:t>
      </w:r>
      <w:r w:rsidRPr="00FA7E2E">
        <w:rPr>
          <w:rFonts w:cstheme="minorHAnsi"/>
        </w:rPr>
        <w:t>In th</w:t>
      </w:r>
      <w:r w:rsidR="00FC78DA">
        <w:rPr>
          <w:rFonts w:cstheme="minorHAnsi"/>
        </w:rPr>
        <w:t>is</w:t>
      </w:r>
      <w:r w:rsidRPr="00FA7E2E">
        <w:rPr>
          <w:rFonts w:cstheme="minorHAnsi"/>
        </w:rPr>
        <w:t xml:space="preserve"> essay, the phrase ‘the practice(s) of astrology can act as indicators of a belief in astrology’ to be inclusive of – but not necessarily restricted to – any </w:t>
      </w:r>
      <w:r w:rsidR="00FC78DA">
        <w:rPr>
          <w:rFonts w:cstheme="minorHAnsi"/>
        </w:rPr>
        <w:t>seventeenth-</w:t>
      </w:r>
      <w:r w:rsidRPr="00FA7E2E">
        <w:rPr>
          <w:rFonts w:cstheme="minorHAnsi"/>
        </w:rPr>
        <w:t>century</w:t>
      </w:r>
      <w:r w:rsidR="00FC78DA">
        <w:rPr>
          <w:rFonts w:cstheme="minorHAnsi"/>
        </w:rPr>
        <w:t xml:space="preserve"> </w:t>
      </w:r>
      <w:r w:rsidR="00FC78DA" w:rsidRPr="00FA7E2E">
        <w:rPr>
          <w:rFonts w:cstheme="minorHAnsi"/>
        </w:rPr>
        <w:t>texts</w:t>
      </w:r>
      <w:r w:rsidR="00FC78DA">
        <w:rPr>
          <w:rFonts w:cstheme="minorHAnsi"/>
        </w:rPr>
        <w:t xml:space="preserve"> (hereafter, 17</w:t>
      </w:r>
      <w:r w:rsidR="00FC78DA" w:rsidRPr="00FC78DA">
        <w:rPr>
          <w:rFonts w:cstheme="minorHAnsi"/>
          <w:vertAlign w:val="superscript"/>
        </w:rPr>
        <w:t>th</w:t>
      </w:r>
      <w:r w:rsidR="00FC78DA">
        <w:rPr>
          <w:rFonts w:cstheme="minorHAnsi"/>
        </w:rPr>
        <w:t xml:space="preserve"> century)</w:t>
      </w:r>
      <w:r w:rsidRPr="00FA7E2E">
        <w:rPr>
          <w:rFonts w:cstheme="minorHAnsi"/>
        </w:rPr>
        <w:t xml:space="preserve"> which are directed at astrologers themselves or to those who active seek out and consume the product(s) of astrology.</w:t>
      </w:r>
      <w:r w:rsidR="009A7EDA">
        <w:rPr>
          <w:rStyle w:val="FootnoteReference"/>
          <w:rFonts w:cstheme="minorHAnsi"/>
        </w:rPr>
        <w:footnoteReference w:id="13"/>
      </w:r>
    </w:p>
    <w:p w14:paraId="09A929AF" w14:textId="77777777" w:rsidR="00AE2A4B" w:rsidRDefault="00AE2A4B" w:rsidP="00AE2A4B">
      <w:pPr>
        <w:spacing w:after="120" w:line="276" w:lineRule="auto"/>
        <w:rPr>
          <w:b/>
          <w:bCs/>
        </w:rPr>
      </w:pPr>
      <w:r>
        <w:rPr>
          <w:b/>
          <w:bCs/>
        </w:rPr>
        <w:t>Historiographic Perspectives on the ‘Decline of Astrology’ in the Seventeenth Century</w:t>
      </w:r>
    </w:p>
    <w:p w14:paraId="48CC84C7" w14:textId="4F16CA64" w:rsidR="00C50AD2" w:rsidRDefault="00E80576" w:rsidP="00C50AD2">
      <w:pPr>
        <w:spacing w:line="360" w:lineRule="auto"/>
        <w:rPr>
          <w:rFonts w:cstheme="minorHAnsi"/>
        </w:rPr>
      </w:pPr>
      <w:r>
        <w:t xml:space="preserve">From the viewpoint of historians and their historiographical position, Richard Evans writes: ‘Anyone…[will] be aware of the fact that many different interpretations of a text are possible, a number of them only remotely related to the interpretation </w:t>
      </w:r>
      <w:r>
        <w:rPr>
          <w:i/>
          <w:iCs/>
        </w:rPr>
        <w:t xml:space="preserve">intended </w:t>
      </w:r>
      <w:r>
        <w:t>by the author’.</w:t>
      </w:r>
      <w:r>
        <w:rPr>
          <w:rStyle w:val="FootnoteReference"/>
        </w:rPr>
        <w:footnoteReference w:id="14"/>
      </w:r>
      <w:r>
        <w:t xml:space="preserve"> In terms of finding some measure of broader agreement on that author intent, Evans further emphasises that ‘what counts as evidence is not determined solely by one historian’s perspective’ – it is the community which authorises.</w:t>
      </w:r>
      <w:r>
        <w:rPr>
          <w:rStyle w:val="FootnoteReference"/>
        </w:rPr>
        <w:footnoteReference w:id="15"/>
      </w:r>
      <w:r>
        <w:t xml:space="preserve"> With this in mind, a corollary of Evans’s dictum is that there can be a number of interpretations of what constitutes a historically-grounded model of any alleged decline in belief in astrology; whether it be in the 17</w:t>
      </w:r>
      <w:r w:rsidRPr="00E80576">
        <w:rPr>
          <w:vertAlign w:val="superscript"/>
        </w:rPr>
        <w:t>th</w:t>
      </w:r>
      <w:r>
        <w:t xml:space="preserve"> century or in any other historical period. </w:t>
      </w:r>
      <w:r w:rsidR="00C50AD2">
        <w:rPr>
          <w:rFonts w:cstheme="minorHAnsi"/>
        </w:rPr>
        <w:t xml:space="preserve">Evans </w:t>
      </w:r>
      <w:r w:rsidR="00C50AD2">
        <w:rPr>
          <w:rFonts w:cstheme="minorHAnsi"/>
        </w:rPr>
        <w:t>cites philosopher-historian Michel Foucault, enunciating that ‘in every age, [their] was a dominant “discourse” among the sciences, which – in the language and terminology it employed – both framed and restricted the possibilities of thought and its expression in such a way as virtually to exclude the possibility of disagreement’.</w:t>
      </w:r>
      <w:r w:rsidR="00C50AD2">
        <w:rPr>
          <w:rStyle w:val="FootnoteReference"/>
          <w:rFonts w:cstheme="minorHAnsi"/>
        </w:rPr>
        <w:footnoteReference w:id="16"/>
      </w:r>
      <w:r w:rsidR="00C50AD2">
        <w:rPr>
          <w:rFonts w:cstheme="minorHAnsi"/>
        </w:rPr>
        <w:t xml:space="preserve"> One application of this Foucauldian thesis with regard to the interrelationships of knowledge and power in the case of 17</w:t>
      </w:r>
      <w:r w:rsidR="00C50AD2" w:rsidRPr="00590CBB">
        <w:rPr>
          <w:rFonts w:cstheme="minorHAnsi"/>
          <w:vertAlign w:val="superscript"/>
        </w:rPr>
        <w:t>th</w:t>
      </w:r>
      <w:r w:rsidR="00C50AD2">
        <w:rPr>
          <w:rFonts w:cstheme="minorHAnsi"/>
        </w:rPr>
        <w:t xml:space="preserve"> century astrology would be the emergence of </w:t>
      </w:r>
      <w:r w:rsidR="00C50AD2">
        <w:rPr>
          <w:rFonts w:cstheme="minorHAnsi"/>
        </w:rPr>
        <w:t xml:space="preserve">novelty – the “new sciences” of Copernicanism and Newtonianism. </w:t>
      </w:r>
      <w:r w:rsidR="00C50AD2">
        <w:rPr>
          <w:rFonts w:cstheme="minorHAnsi"/>
        </w:rPr>
        <w:t xml:space="preserve">There may have been no room left among the cadre of </w:t>
      </w:r>
      <w:r w:rsidR="00EC465D">
        <w:rPr>
          <w:rFonts w:cstheme="minorHAnsi"/>
        </w:rPr>
        <w:t>academic,</w:t>
      </w:r>
      <w:r w:rsidR="00C50AD2">
        <w:rPr>
          <w:rFonts w:cstheme="minorHAnsi"/>
        </w:rPr>
        <w:t xml:space="preserve"> philosophical astrologers for the old</w:t>
      </w:r>
      <w:r w:rsidR="00464DC0">
        <w:rPr>
          <w:rFonts w:cstheme="minorHAnsi"/>
        </w:rPr>
        <w:t>, Medieval</w:t>
      </w:r>
      <w:r w:rsidR="00C50AD2">
        <w:rPr>
          <w:rFonts w:cstheme="minorHAnsi"/>
        </w:rPr>
        <w:t xml:space="preserve"> narrative</w:t>
      </w:r>
      <w:r w:rsidR="00464DC0">
        <w:rPr>
          <w:rFonts w:cstheme="minorHAnsi"/>
        </w:rPr>
        <w:t>s</w:t>
      </w:r>
      <w:r w:rsidR="00C50AD2">
        <w:rPr>
          <w:rFonts w:cstheme="minorHAnsi"/>
        </w:rPr>
        <w:t xml:space="preserve"> to be accommodated, but </w:t>
      </w:r>
      <w:r w:rsidR="00C50AD2">
        <w:rPr>
          <w:rFonts w:cstheme="minorHAnsi"/>
        </w:rPr>
        <w:lastRenderedPageBreak/>
        <w:t xml:space="preserve">there was certainly an appetite for the continuance of systems of astrological belief which appealed to prognostications directed at groups of individuals in society who did not have access to power </w:t>
      </w:r>
      <w:proofErr w:type="gramStart"/>
      <w:r w:rsidR="00EC465D">
        <w:rPr>
          <w:rFonts w:cstheme="minorHAnsi"/>
        </w:rPr>
        <w:t>structures</w:t>
      </w:r>
      <w:r w:rsidR="00464DC0">
        <w:rPr>
          <w:rFonts w:cstheme="minorHAnsi"/>
        </w:rPr>
        <w:t>,</w:t>
      </w:r>
      <w:r w:rsidR="00EC465D">
        <w:rPr>
          <w:rFonts w:cstheme="minorHAnsi"/>
        </w:rPr>
        <w:t xml:space="preserve"> but</w:t>
      </w:r>
      <w:proofErr w:type="gramEnd"/>
      <w:r w:rsidR="00C50AD2">
        <w:rPr>
          <w:rFonts w:cstheme="minorHAnsi"/>
        </w:rPr>
        <w:t xml:space="preserve"> did imbibe copious volumes of annual almanacs</w:t>
      </w:r>
      <w:r w:rsidR="00EC465D">
        <w:rPr>
          <w:rFonts w:cstheme="minorHAnsi"/>
        </w:rPr>
        <w:t xml:space="preserve"> as will be described later on</w:t>
      </w:r>
      <w:r w:rsidR="00C50AD2">
        <w:rPr>
          <w:rFonts w:cstheme="minorHAnsi"/>
        </w:rPr>
        <w:t>.</w:t>
      </w:r>
    </w:p>
    <w:p w14:paraId="01F4E756" w14:textId="585155B7" w:rsidR="00E80576" w:rsidRPr="001360E2" w:rsidRDefault="00C50AD2" w:rsidP="001360E2">
      <w:pPr>
        <w:autoSpaceDE w:val="0"/>
        <w:autoSpaceDN w:val="0"/>
        <w:adjustRightInd w:val="0"/>
        <w:spacing w:line="360" w:lineRule="auto"/>
        <w:rPr>
          <w:rFonts w:cstheme="minorHAnsi"/>
        </w:rPr>
      </w:pPr>
      <w:r>
        <w:rPr>
          <w:rFonts w:cstheme="minorHAnsi"/>
        </w:rPr>
        <w:t xml:space="preserve">Patrick Curry has </w:t>
      </w:r>
      <w:r w:rsidRPr="00FA7E2E">
        <w:rPr>
          <w:rFonts w:cstheme="minorHAnsi"/>
        </w:rPr>
        <w:t xml:space="preserve">argued that the situation </w:t>
      </w:r>
      <w:r w:rsidR="006F6C3A">
        <w:rPr>
          <w:rFonts w:cstheme="minorHAnsi"/>
        </w:rPr>
        <w:t xml:space="preserve">with respect to astrology </w:t>
      </w:r>
      <w:r w:rsidRPr="00FA7E2E">
        <w:rPr>
          <w:rFonts w:cstheme="minorHAnsi"/>
        </w:rPr>
        <w:t xml:space="preserve">was complicated and depended on the distinction between three varieties of astrology. The first, the astrology of philosophers and academicians he defined as </w:t>
      </w:r>
      <w:r w:rsidR="006F6C3A">
        <w:rPr>
          <w:rFonts w:cstheme="minorHAnsi"/>
        </w:rPr>
        <w:t>“</w:t>
      </w:r>
      <w:r w:rsidRPr="00FA7E2E">
        <w:rPr>
          <w:rFonts w:cstheme="minorHAnsi"/>
        </w:rPr>
        <w:t>high</w:t>
      </w:r>
      <w:r w:rsidR="006F6C3A">
        <w:rPr>
          <w:rFonts w:cstheme="minorHAnsi"/>
        </w:rPr>
        <w:t>”</w:t>
      </w:r>
      <w:r w:rsidRPr="00FA7E2E">
        <w:rPr>
          <w:rFonts w:cstheme="minorHAnsi"/>
        </w:rPr>
        <w:t xml:space="preserve">. The second, 'middling', form of astrology was based on the casting of horoscopes, usually as a commercial enterprise for individual clients. The third, 'low' astrology, was expressed primarily through the production and sale of mass-market almanacs. Curry </w:t>
      </w:r>
      <w:r w:rsidR="006F6C3A">
        <w:rPr>
          <w:rFonts w:cstheme="minorHAnsi"/>
        </w:rPr>
        <w:t>asserted</w:t>
      </w:r>
      <w:r w:rsidRPr="00FA7E2E">
        <w:rPr>
          <w:rFonts w:cstheme="minorHAnsi"/>
        </w:rPr>
        <w:t xml:space="preserve"> that it</w:t>
      </w:r>
      <w:r w:rsidR="006F6C3A">
        <w:rPr>
          <w:rFonts w:cstheme="minorHAnsi"/>
        </w:rPr>
        <w:t xml:space="preserve"> </w:t>
      </w:r>
      <w:r w:rsidRPr="00FA7E2E">
        <w:rPr>
          <w:rFonts w:cstheme="minorHAnsi"/>
        </w:rPr>
        <w:t>was only 'high' astrology which died out in the mid to late-seventeenth century, while 'middling' survived in isolated examples</w:t>
      </w:r>
      <w:r w:rsidR="001D5046">
        <w:rPr>
          <w:rFonts w:cstheme="minorHAnsi"/>
        </w:rPr>
        <w:t xml:space="preserve"> such as Elias </w:t>
      </w:r>
      <w:proofErr w:type="spellStart"/>
      <w:r w:rsidR="001D5046">
        <w:rPr>
          <w:rFonts w:cstheme="minorHAnsi"/>
        </w:rPr>
        <w:t>Ashmole</w:t>
      </w:r>
      <w:proofErr w:type="spellEnd"/>
      <w:r w:rsidR="001D5046">
        <w:rPr>
          <w:rFonts w:cstheme="minorHAnsi"/>
        </w:rPr>
        <w:t xml:space="preserve"> (1617 – 1692 CE) and his contemporary William Lilly (1602 – 1681 CE),</w:t>
      </w:r>
      <w:r w:rsidRPr="00FA7E2E">
        <w:rPr>
          <w:rFonts w:cstheme="minorHAnsi"/>
        </w:rPr>
        <w:t xml:space="preserve"> </w:t>
      </w:r>
      <w:r w:rsidR="001D5046">
        <w:rPr>
          <w:rFonts w:cstheme="minorHAnsi"/>
        </w:rPr>
        <w:t>while</w:t>
      </w:r>
      <w:r w:rsidRPr="00FA7E2E">
        <w:rPr>
          <w:rFonts w:cstheme="minorHAnsi"/>
        </w:rPr>
        <w:t xml:space="preserve"> </w:t>
      </w:r>
      <w:r w:rsidR="001D5046">
        <w:rPr>
          <w:rFonts w:cstheme="minorHAnsi"/>
        </w:rPr>
        <w:t xml:space="preserve">the </w:t>
      </w:r>
      <w:r w:rsidRPr="00FA7E2E">
        <w:rPr>
          <w:rFonts w:cstheme="minorHAnsi"/>
        </w:rPr>
        <w:t>'low' continued to thrive.</w:t>
      </w:r>
      <w:r w:rsidR="006F6C3A">
        <w:rPr>
          <w:rStyle w:val="FootnoteReference"/>
          <w:rFonts w:cstheme="minorHAnsi"/>
        </w:rPr>
        <w:footnoteReference w:id="17"/>
      </w:r>
      <w:r w:rsidR="00AE5915">
        <w:rPr>
          <w:rFonts w:cstheme="minorHAnsi"/>
        </w:rPr>
        <w:t xml:space="preserve"> Curry has also </w:t>
      </w:r>
      <w:r w:rsidR="00805F93">
        <w:rPr>
          <w:rFonts w:cstheme="minorHAnsi"/>
        </w:rPr>
        <w:t>demonstrated</w:t>
      </w:r>
      <w:r w:rsidR="00AE5915">
        <w:rPr>
          <w:rFonts w:cstheme="minorHAnsi"/>
        </w:rPr>
        <w:t xml:space="preserve"> that a</w:t>
      </w:r>
      <w:r w:rsidR="00AE5915" w:rsidRPr="00FA7E2E">
        <w:rPr>
          <w:rFonts w:eastAsia="Times New Roman" w:cstheme="minorHAnsi"/>
          <w:lang w:eastAsia="en-CA"/>
        </w:rPr>
        <w:t xml:space="preserve">strology </w:t>
      </w:r>
      <w:r w:rsidR="00805F93">
        <w:rPr>
          <w:rFonts w:eastAsia="Times New Roman" w:cstheme="minorHAnsi"/>
          <w:lang w:eastAsia="en-CA"/>
        </w:rPr>
        <w:t>possesses</w:t>
      </w:r>
      <w:r w:rsidR="00AE5915" w:rsidRPr="00FA7E2E">
        <w:rPr>
          <w:rFonts w:eastAsia="Times New Roman" w:cstheme="minorHAnsi"/>
          <w:lang w:eastAsia="en-CA"/>
        </w:rPr>
        <w:t xml:space="preserve"> remarkable resiliency and adaptive qualities in the face of ‘distinctly hostile social and intellectual conditions’</w:t>
      </w:r>
      <w:r w:rsidR="00B111D6">
        <w:rPr>
          <w:rFonts w:eastAsia="Times New Roman" w:cstheme="minorHAnsi"/>
          <w:lang w:eastAsia="en-CA"/>
        </w:rPr>
        <w:t xml:space="preserve"> and that </w:t>
      </w:r>
      <w:r w:rsidR="00B111D6">
        <w:rPr>
          <w:rFonts w:eastAsia="Times New Roman" w:cstheme="minorHAnsi"/>
          <w:lang w:eastAsia="en-CA"/>
        </w:rPr>
        <w:t>continued ‘polemical assertions’ against astrology had led to ‘exaggerated reports of the “death” of astrology’</w:t>
      </w:r>
      <w:r w:rsidR="00AE5915">
        <w:rPr>
          <w:rFonts w:eastAsia="Times New Roman" w:cstheme="minorHAnsi"/>
          <w:lang w:eastAsia="en-CA"/>
        </w:rPr>
        <w:t>.</w:t>
      </w:r>
      <w:r w:rsidR="00AE5915">
        <w:rPr>
          <w:rStyle w:val="FootnoteReference"/>
          <w:rFonts w:eastAsia="Times New Roman" w:cstheme="minorHAnsi"/>
          <w:lang w:eastAsia="en-CA"/>
        </w:rPr>
        <w:footnoteReference w:id="18"/>
      </w:r>
      <w:r w:rsidR="00AE5915">
        <w:rPr>
          <w:rFonts w:eastAsia="Times New Roman" w:cstheme="minorHAnsi"/>
          <w:lang w:eastAsia="en-CA"/>
        </w:rPr>
        <w:t xml:space="preserve"> </w:t>
      </w:r>
      <w:r w:rsidR="00805F93">
        <w:rPr>
          <w:rFonts w:eastAsia="Times New Roman" w:cstheme="minorHAnsi"/>
          <w:lang w:eastAsia="en-CA"/>
        </w:rPr>
        <w:t>Curry</w:t>
      </w:r>
      <w:r w:rsidR="00AE5915">
        <w:rPr>
          <w:rFonts w:eastAsia="Times New Roman" w:cstheme="minorHAnsi"/>
          <w:lang w:eastAsia="en-CA"/>
        </w:rPr>
        <w:t xml:space="preserve"> further </w:t>
      </w:r>
      <w:r w:rsidR="00A16D5D">
        <w:rPr>
          <w:rFonts w:eastAsia="Times New Roman" w:cstheme="minorHAnsi"/>
          <w:lang w:eastAsia="en-CA"/>
        </w:rPr>
        <w:t xml:space="preserve">emphasized </w:t>
      </w:r>
      <w:r w:rsidR="00A16D5D">
        <w:rPr>
          <w:rFonts w:eastAsia="Times New Roman" w:cstheme="minorHAnsi"/>
          <w:lang w:eastAsia="en-CA"/>
        </w:rPr>
        <w:t xml:space="preserve">that continued attacks on astrology – despite what he claims was a ‘marginal pursuit’ after 1700 CE – came principally from the elements within the Christian Church, natural philosophers and scientific astronomers, the </w:t>
      </w:r>
      <w:r w:rsidR="00A16D5D">
        <w:rPr>
          <w:rFonts w:eastAsia="Times New Roman" w:cstheme="minorHAnsi"/>
          <w:i/>
          <w:iCs/>
          <w:lang w:eastAsia="en-CA"/>
        </w:rPr>
        <w:t xml:space="preserve">literati </w:t>
      </w:r>
      <w:r w:rsidR="00A16D5D">
        <w:rPr>
          <w:rFonts w:eastAsia="Times New Roman" w:cstheme="minorHAnsi"/>
          <w:lang w:eastAsia="en-CA"/>
        </w:rPr>
        <w:t>and professional intellectuals</w:t>
      </w:r>
      <w:r w:rsidR="00A16D5D">
        <w:rPr>
          <w:rFonts w:eastAsia="Times New Roman" w:cstheme="minorHAnsi"/>
          <w:lang w:eastAsia="en-CA"/>
        </w:rPr>
        <w:t>.</w:t>
      </w:r>
      <w:r w:rsidR="00A16D5D">
        <w:rPr>
          <w:rStyle w:val="FootnoteReference"/>
          <w:rFonts w:eastAsia="Times New Roman" w:cstheme="minorHAnsi"/>
          <w:lang w:eastAsia="en-CA"/>
        </w:rPr>
        <w:footnoteReference w:id="19"/>
      </w:r>
      <w:r w:rsidR="001360E2">
        <w:rPr>
          <w:rFonts w:eastAsia="Times New Roman" w:cstheme="minorHAnsi"/>
          <w:lang w:eastAsia="en-CA"/>
        </w:rPr>
        <w:t xml:space="preserve"> Astrology </w:t>
      </w:r>
      <w:r w:rsidR="001360E2" w:rsidRPr="00FA7E2E">
        <w:rPr>
          <w:rFonts w:eastAsia="Times New Roman" w:cstheme="minorHAnsi"/>
          <w:lang w:eastAsia="en-CA"/>
        </w:rPr>
        <w:t>was once the unifier of many disparate disciplines and traditions (e.g., astronomy, medicine, philosophy, and more recently psychology and sociology); it is tempting to assert that in the 21</w:t>
      </w:r>
      <w:r w:rsidR="001360E2" w:rsidRPr="00FA7E2E">
        <w:rPr>
          <w:rFonts w:eastAsia="Times New Roman" w:cstheme="minorHAnsi"/>
          <w:vertAlign w:val="superscript"/>
          <w:lang w:eastAsia="en-CA"/>
        </w:rPr>
        <w:t>st</w:t>
      </w:r>
      <w:r w:rsidR="001360E2" w:rsidRPr="00FA7E2E">
        <w:rPr>
          <w:rFonts w:eastAsia="Times New Roman" w:cstheme="minorHAnsi"/>
          <w:lang w:eastAsia="en-CA"/>
        </w:rPr>
        <w:t xml:space="preserve"> century and onward, astrology </w:t>
      </w:r>
      <w:r w:rsidR="001360E2">
        <w:rPr>
          <w:rFonts w:eastAsia="Times New Roman" w:cstheme="minorHAnsi"/>
          <w:lang w:eastAsia="en-CA"/>
        </w:rPr>
        <w:t>could continue to</w:t>
      </w:r>
      <w:r w:rsidR="001360E2" w:rsidRPr="00FA7E2E">
        <w:rPr>
          <w:rFonts w:eastAsia="Times New Roman" w:cstheme="minorHAnsi"/>
          <w:lang w:eastAsia="en-CA"/>
        </w:rPr>
        <w:t xml:space="preserve"> subsume disciplines such as AI in some explanatory fashion, thereby inviting new eras of anti-astrological vitriol and polemics.</w:t>
      </w:r>
    </w:p>
    <w:p w14:paraId="5713C25D" w14:textId="3AEEEBB9" w:rsidR="00EC2469" w:rsidRDefault="00EC2469" w:rsidP="00D90F20">
      <w:pPr>
        <w:spacing w:after="240" w:line="276" w:lineRule="auto"/>
        <w:rPr>
          <w:b/>
          <w:bCs/>
        </w:rPr>
      </w:pPr>
      <w:r>
        <w:rPr>
          <w:b/>
          <w:bCs/>
        </w:rPr>
        <w:t xml:space="preserve">A </w:t>
      </w:r>
      <w:r w:rsidR="008D1721">
        <w:rPr>
          <w:b/>
          <w:bCs/>
        </w:rPr>
        <w:t xml:space="preserve">Numerical </w:t>
      </w:r>
      <w:r>
        <w:rPr>
          <w:b/>
          <w:bCs/>
        </w:rPr>
        <w:t>Analysis of Astrological Publications in the Years 1600 CE to 1710 CE</w:t>
      </w:r>
    </w:p>
    <w:p w14:paraId="36813BB8" w14:textId="3F3B4819" w:rsidR="009F5A9B" w:rsidRDefault="009F5A9B" w:rsidP="00D90F20">
      <w:pPr>
        <w:autoSpaceDE w:val="0"/>
        <w:autoSpaceDN w:val="0"/>
        <w:adjustRightInd w:val="0"/>
        <w:spacing w:after="240" w:line="360" w:lineRule="auto"/>
        <w:rPr>
          <w:rFonts w:cstheme="minorHAnsi"/>
        </w:rPr>
      </w:pPr>
      <w:r>
        <w:rPr>
          <w:rFonts w:cstheme="minorHAnsi"/>
        </w:rPr>
        <w:t xml:space="preserve">In Mark </w:t>
      </w:r>
      <w:proofErr w:type="spellStart"/>
      <w:r>
        <w:rPr>
          <w:rFonts w:cstheme="minorHAnsi"/>
        </w:rPr>
        <w:t>Graubard’s</w:t>
      </w:r>
      <w:proofErr w:type="spellEnd"/>
      <w:r>
        <w:rPr>
          <w:rFonts w:cstheme="minorHAnsi"/>
        </w:rPr>
        <w:t xml:space="preserve"> extensive analysis of astrology and its relationship to what he described as the decline and death of beliefs in it, he equates the foundations of astrology as a ‘pattern of belief’ which had almost the status of natural law; that is, it contained at its core recognizable theoretical and cosmological principles and was therefore far more than mere superstition. Astrology, for </w:t>
      </w:r>
      <w:proofErr w:type="spellStart"/>
      <w:r>
        <w:rPr>
          <w:rFonts w:cstheme="minorHAnsi"/>
        </w:rPr>
        <w:t>Graubard</w:t>
      </w:r>
      <w:proofErr w:type="spellEnd"/>
      <w:r>
        <w:rPr>
          <w:rFonts w:cstheme="minorHAnsi"/>
        </w:rPr>
        <w:t xml:space="preserve">, was a historically grounded pattern of beliefs which were justified and modelled on its approach to patterns of predictable, observable celestial mechanics. By extension, then, </w:t>
      </w:r>
      <w:proofErr w:type="spellStart"/>
      <w:r>
        <w:rPr>
          <w:rFonts w:cstheme="minorHAnsi"/>
        </w:rPr>
        <w:t>Graubard</w:t>
      </w:r>
      <w:proofErr w:type="spellEnd"/>
      <w:r>
        <w:rPr>
          <w:rFonts w:cstheme="minorHAnsi"/>
        </w:rPr>
        <w:t xml:space="preserve"> argues that it took a competitive theoretical rival of the status no less than that of Newtonian universal gravitation to </w:t>
      </w:r>
      <w:r>
        <w:rPr>
          <w:rFonts w:cstheme="minorHAnsi"/>
        </w:rPr>
        <w:lastRenderedPageBreak/>
        <w:t xml:space="preserve">outcompete astrology’s theoretical position in society – especially among early modern astronomers. </w:t>
      </w:r>
      <w:proofErr w:type="spellStart"/>
      <w:r>
        <w:rPr>
          <w:rFonts w:cstheme="minorHAnsi"/>
        </w:rPr>
        <w:t>Graubard</w:t>
      </w:r>
      <w:proofErr w:type="spellEnd"/>
      <w:r>
        <w:rPr>
          <w:rFonts w:cstheme="minorHAnsi"/>
        </w:rPr>
        <w:t xml:space="preserve"> is explicit about this by declaring that the Law of Gravitation acted to ‘replace’ astrology; hence, his conviction about its decline through a lack of being theoretically progressive.</w:t>
      </w:r>
      <w:r>
        <w:rPr>
          <w:rStyle w:val="FootnoteReference"/>
          <w:rFonts w:cstheme="minorHAnsi"/>
        </w:rPr>
        <w:footnoteReference w:id="20"/>
      </w:r>
    </w:p>
    <w:p w14:paraId="16DCD2EB" w14:textId="5A550984" w:rsidR="009F5A9B" w:rsidRDefault="009F5A9B" w:rsidP="009F5A9B">
      <w:pPr>
        <w:autoSpaceDE w:val="0"/>
        <w:autoSpaceDN w:val="0"/>
        <w:adjustRightInd w:val="0"/>
        <w:spacing w:line="360" w:lineRule="auto"/>
        <w:rPr>
          <w:rFonts w:cstheme="minorHAnsi"/>
        </w:rPr>
      </w:pPr>
      <w:proofErr w:type="spellStart"/>
      <w:r>
        <w:rPr>
          <w:rFonts w:cstheme="minorHAnsi"/>
        </w:rPr>
        <w:t>Graubard</w:t>
      </w:r>
      <w:proofErr w:type="spellEnd"/>
      <w:r>
        <w:rPr>
          <w:rFonts w:cstheme="minorHAnsi"/>
        </w:rPr>
        <w:t xml:space="preserve"> took the time to access </w:t>
      </w:r>
      <w:r w:rsidR="003113C5">
        <w:rPr>
          <w:rFonts w:cstheme="minorHAnsi"/>
        </w:rPr>
        <w:t xml:space="preserve">Edward </w:t>
      </w:r>
      <w:r>
        <w:rPr>
          <w:rFonts w:cstheme="minorHAnsi"/>
        </w:rPr>
        <w:t>Sherburne’s extensive list of astronomers and astrologers from antiquity to the 17</w:t>
      </w:r>
      <w:r w:rsidRPr="00CA0D31">
        <w:rPr>
          <w:rFonts w:cstheme="minorHAnsi"/>
          <w:vertAlign w:val="superscript"/>
        </w:rPr>
        <w:t>th</w:t>
      </w:r>
      <w:r>
        <w:rPr>
          <w:rFonts w:cstheme="minorHAnsi"/>
        </w:rPr>
        <w:t xml:space="preserve"> century </w:t>
      </w:r>
      <w:r w:rsidR="003113C5">
        <w:rPr>
          <w:rFonts w:cstheme="minorHAnsi"/>
        </w:rPr>
        <w:t xml:space="preserve">as listed in his </w:t>
      </w:r>
      <w:r w:rsidR="003113C5" w:rsidRPr="003113C5">
        <w:rPr>
          <w:rFonts w:cstheme="minorHAnsi"/>
          <w:i/>
          <w:iCs/>
        </w:rPr>
        <w:t xml:space="preserve">The Sphere of Marcus </w:t>
      </w:r>
      <w:proofErr w:type="spellStart"/>
      <w:r w:rsidR="003113C5" w:rsidRPr="003113C5">
        <w:rPr>
          <w:rFonts w:cstheme="minorHAnsi"/>
          <w:i/>
          <w:iCs/>
        </w:rPr>
        <w:t>Manilius</w:t>
      </w:r>
      <w:proofErr w:type="spellEnd"/>
      <w:r w:rsidR="003113C5" w:rsidRPr="003113C5">
        <w:rPr>
          <w:rFonts w:cstheme="minorHAnsi"/>
          <w:i/>
          <w:iCs/>
        </w:rPr>
        <w:t xml:space="preserve"> Made an English Poem with Annotations and an Astronomical Appendix</w:t>
      </w:r>
      <w:r w:rsidR="003113C5" w:rsidRPr="003113C5">
        <w:rPr>
          <w:rFonts w:cstheme="minorHAnsi"/>
        </w:rPr>
        <w:t xml:space="preserve"> </w:t>
      </w:r>
      <w:r>
        <w:rPr>
          <w:rFonts w:cstheme="minorHAnsi"/>
        </w:rPr>
        <w:t>and assessed the numbers of publications in astrology from astronomers over the period 1500 CE to 1673 CE.</w:t>
      </w:r>
      <w:r w:rsidR="00552E6A">
        <w:rPr>
          <w:rStyle w:val="FootnoteReference"/>
          <w:rFonts w:cstheme="minorHAnsi"/>
        </w:rPr>
        <w:footnoteReference w:id="21"/>
      </w:r>
      <w:r>
        <w:rPr>
          <w:rFonts w:cstheme="minorHAnsi"/>
        </w:rPr>
        <w:t xml:space="preserve"> Though one cannot ascertain the completeness of Sherburne’s list, </w:t>
      </w:r>
      <w:proofErr w:type="spellStart"/>
      <w:r>
        <w:rPr>
          <w:rFonts w:cstheme="minorHAnsi"/>
        </w:rPr>
        <w:t>Graubard</w:t>
      </w:r>
      <w:proofErr w:type="spellEnd"/>
      <w:r>
        <w:rPr>
          <w:rFonts w:cstheme="minorHAnsi"/>
        </w:rPr>
        <w:t xml:space="preserve"> nevertheless produced the following graphical representation of the ‘decline’ in astrological publications among astronomers over the period 1500 to 1673 CE, ending with Isaac Newton (see Figure 1</w:t>
      </w:r>
      <w:r w:rsidR="00D16D0A">
        <w:rPr>
          <w:rFonts w:cstheme="minorHAnsi"/>
        </w:rPr>
        <w:t xml:space="preserve">; </w:t>
      </w:r>
      <w:r w:rsidR="0061604D">
        <w:rPr>
          <w:rFonts w:cstheme="minorHAnsi"/>
        </w:rPr>
        <w:t>reconstructed</w:t>
      </w:r>
      <w:r w:rsidR="00D16D0A">
        <w:rPr>
          <w:rFonts w:cstheme="minorHAnsi"/>
        </w:rPr>
        <w:t xml:space="preserve"> in Figure 2</w:t>
      </w:r>
      <w:r>
        <w:rPr>
          <w:rFonts w:cstheme="minorHAnsi"/>
        </w:rPr>
        <w:t>).</w:t>
      </w:r>
    </w:p>
    <w:p w14:paraId="30944961" w14:textId="77777777" w:rsidR="009F5A9B" w:rsidRDefault="009F5A9B" w:rsidP="009F5A9B">
      <w:pPr>
        <w:keepNext/>
        <w:autoSpaceDE w:val="0"/>
        <w:autoSpaceDN w:val="0"/>
        <w:adjustRightInd w:val="0"/>
        <w:spacing w:line="360" w:lineRule="auto"/>
        <w:jc w:val="center"/>
      </w:pPr>
      <w:r>
        <w:rPr>
          <w:rFonts w:cstheme="minorHAnsi"/>
          <w:noProof/>
        </w:rPr>
        <w:drawing>
          <wp:inline distT="0" distB="0" distL="0" distR="0" wp14:anchorId="393C2804" wp14:editId="62D296C6">
            <wp:extent cx="5184348" cy="3719383"/>
            <wp:effectExtent l="0" t="0" r="0" b="0"/>
            <wp:docPr id="1" name="Picture 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catter char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50025" cy="3838244"/>
                    </a:xfrm>
                    <a:prstGeom prst="rect">
                      <a:avLst/>
                    </a:prstGeom>
                  </pic:spPr>
                </pic:pic>
              </a:graphicData>
            </a:graphic>
          </wp:inline>
        </w:drawing>
      </w:r>
    </w:p>
    <w:p w14:paraId="43CFD712" w14:textId="0B48EF7B" w:rsidR="009F5A9B" w:rsidRPr="004601B0" w:rsidRDefault="009F5A9B" w:rsidP="009F5A9B">
      <w:pPr>
        <w:pStyle w:val="Caption"/>
        <w:rPr>
          <w:rFonts w:asciiTheme="minorHAnsi" w:hAnsiTheme="minorHAnsi" w:cstheme="minorHAnsi"/>
          <w:i w:val="0"/>
          <w:iCs w:val="0"/>
          <w:color w:val="auto"/>
          <w:sz w:val="22"/>
          <w:szCs w:val="22"/>
        </w:rPr>
      </w:pPr>
      <w:r w:rsidRPr="004601B0">
        <w:rPr>
          <w:rFonts w:asciiTheme="minorHAnsi" w:hAnsiTheme="minorHAnsi" w:cstheme="minorHAnsi"/>
          <w:i w:val="0"/>
          <w:iCs w:val="0"/>
          <w:color w:val="auto"/>
          <w:u w:val="single"/>
        </w:rPr>
        <w:t xml:space="preserve">Figure </w:t>
      </w:r>
      <w:r w:rsidRPr="004601B0">
        <w:rPr>
          <w:rFonts w:asciiTheme="minorHAnsi" w:hAnsiTheme="minorHAnsi" w:cstheme="minorHAnsi"/>
          <w:i w:val="0"/>
          <w:iCs w:val="0"/>
          <w:color w:val="auto"/>
          <w:u w:val="single"/>
        </w:rPr>
        <w:fldChar w:fldCharType="begin"/>
      </w:r>
      <w:r w:rsidRPr="004601B0">
        <w:rPr>
          <w:rFonts w:asciiTheme="minorHAnsi" w:hAnsiTheme="minorHAnsi" w:cstheme="minorHAnsi"/>
          <w:i w:val="0"/>
          <w:iCs w:val="0"/>
          <w:color w:val="auto"/>
          <w:u w:val="single"/>
        </w:rPr>
        <w:instrText xml:space="preserve"> SEQ Figure \* ARABIC </w:instrText>
      </w:r>
      <w:r w:rsidRPr="004601B0">
        <w:rPr>
          <w:rFonts w:asciiTheme="minorHAnsi" w:hAnsiTheme="minorHAnsi" w:cstheme="minorHAnsi"/>
          <w:i w:val="0"/>
          <w:iCs w:val="0"/>
          <w:color w:val="auto"/>
          <w:u w:val="single"/>
        </w:rPr>
        <w:fldChar w:fldCharType="separate"/>
      </w:r>
      <w:r w:rsidR="00CE2876">
        <w:rPr>
          <w:rFonts w:asciiTheme="minorHAnsi" w:hAnsiTheme="minorHAnsi" w:cstheme="minorHAnsi"/>
          <w:i w:val="0"/>
          <w:iCs w:val="0"/>
          <w:noProof/>
          <w:color w:val="auto"/>
          <w:u w:val="single"/>
        </w:rPr>
        <w:t>1</w:t>
      </w:r>
      <w:r w:rsidRPr="004601B0">
        <w:rPr>
          <w:rFonts w:asciiTheme="minorHAnsi" w:hAnsiTheme="minorHAnsi" w:cstheme="minorHAnsi"/>
          <w:i w:val="0"/>
          <w:iCs w:val="0"/>
          <w:color w:val="auto"/>
          <w:u w:val="single"/>
        </w:rPr>
        <w:fldChar w:fldCharType="end"/>
      </w:r>
      <w:r w:rsidRPr="004601B0">
        <w:rPr>
          <w:rFonts w:asciiTheme="minorHAnsi" w:hAnsiTheme="minorHAnsi" w:cstheme="minorHAnsi"/>
          <w:i w:val="0"/>
          <w:iCs w:val="0"/>
          <w:color w:val="auto"/>
        </w:rPr>
        <w:t xml:space="preserve">: Astronomical authorities (n = 97) with publications in astrology expressed as a percent of their total output over the period 1500 to 1663 CE. </w:t>
      </w:r>
      <w:r w:rsidRPr="004601B0">
        <w:rPr>
          <w:rStyle w:val="FootnoteReference"/>
          <w:rFonts w:asciiTheme="minorHAnsi" w:hAnsiTheme="minorHAnsi" w:cstheme="minorHAnsi"/>
          <w:i w:val="0"/>
          <w:iCs w:val="0"/>
          <w:color w:val="auto"/>
        </w:rPr>
        <w:footnoteReference w:id="22"/>
      </w:r>
    </w:p>
    <w:p w14:paraId="177A964C" w14:textId="77777777" w:rsidR="009F5A9B" w:rsidRDefault="009F5A9B" w:rsidP="009F5A9B">
      <w:pPr>
        <w:keepNext/>
        <w:autoSpaceDE w:val="0"/>
        <w:autoSpaceDN w:val="0"/>
        <w:adjustRightInd w:val="0"/>
        <w:spacing w:line="360" w:lineRule="auto"/>
        <w:jc w:val="center"/>
      </w:pPr>
      <w:r>
        <w:rPr>
          <w:rFonts w:cstheme="minorHAnsi"/>
          <w:noProof/>
        </w:rPr>
        <w:lastRenderedPageBreak/>
        <w:drawing>
          <wp:inline distT="0" distB="0" distL="0" distR="0" wp14:anchorId="1F6302D6" wp14:editId="4A84A1D6">
            <wp:extent cx="5635638" cy="2977978"/>
            <wp:effectExtent l="0" t="0" r="3175" b="0"/>
            <wp:docPr id="3" name="Picture 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24801" cy="3025093"/>
                    </a:xfrm>
                    <a:prstGeom prst="rect">
                      <a:avLst/>
                    </a:prstGeom>
                  </pic:spPr>
                </pic:pic>
              </a:graphicData>
            </a:graphic>
          </wp:inline>
        </w:drawing>
      </w:r>
    </w:p>
    <w:p w14:paraId="54E4A365" w14:textId="42AA2DD8" w:rsidR="009F5A9B" w:rsidRPr="004601B0" w:rsidRDefault="009F5A9B" w:rsidP="009F5A9B">
      <w:pPr>
        <w:pStyle w:val="Caption"/>
        <w:rPr>
          <w:rFonts w:asciiTheme="minorHAnsi" w:hAnsiTheme="minorHAnsi" w:cstheme="minorHAnsi"/>
          <w:i w:val="0"/>
          <w:iCs w:val="0"/>
          <w:color w:val="auto"/>
        </w:rPr>
      </w:pPr>
      <w:r w:rsidRPr="004601B0">
        <w:rPr>
          <w:rFonts w:asciiTheme="minorHAnsi" w:hAnsiTheme="minorHAnsi" w:cstheme="minorHAnsi"/>
          <w:i w:val="0"/>
          <w:iCs w:val="0"/>
          <w:color w:val="auto"/>
          <w:u w:val="single"/>
        </w:rPr>
        <w:t xml:space="preserve">Figure </w:t>
      </w:r>
      <w:r w:rsidRPr="004601B0">
        <w:rPr>
          <w:rFonts w:asciiTheme="minorHAnsi" w:hAnsiTheme="minorHAnsi" w:cstheme="minorHAnsi"/>
          <w:i w:val="0"/>
          <w:iCs w:val="0"/>
          <w:color w:val="auto"/>
          <w:u w:val="single"/>
        </w:rPr>
        <w:fldChar w:fldCharType="begin"/>
      </w:r>
      <w:r w:rsidRPr="004601B0">
        <w:rPr>
          <w:rFonts w:asciiTheme="minorHAnsi" w:hAnsiTheme="minorHAnsi" w:cstheme="minorHAnsi"/>
          <w:i w:val="0"/>
          <w:iCs w:val="0"/>
          <w:color w:val="auto"/>
          <w:u w:val="single"/>
        </w:rPr>
        <w:instrText xml:space="preserve"> SEQ Figure \* ARABIC </w:instrText>
      </w:r>
      <w:r w:rsidRPr="004601B0">
        <w:rPr>
          <w:rFonts w:asciiTheme="minorHAnsi" w:hAnsiTheme="minorHAnsi" w:cstheme="minorHAnsi"/>
          <w:i w:val="0"/>
          <w:iCs w:val="0"/>
          <w:color w:val="auto"/>
          <w:u w:val="single"/>
        </w:rPr>
        <w:fldChar w:fldCharType="separate"/>
      </w:r>
      <w:r w:rsidR="00CE2876">
        <w:rPr>
          <w:rFonts w:asciiTheme="minorHAnsi" w:hAnsiTheme="minorHAnsi" w:cstheme="minorHAnsi"/>
          <w:i w:val="0"/>
          <w:iCs w:val="0"/>
          <w:noProof/>
          <w:color w:val="auto"/>
          <w:u w:val="single"/>
        </w:rPr>
        <w:t>2</w:t>
      </w:r>
      <w:r w:rsidRPr="004601B0">
        <w:rPr>
          <w:rFonts w:asciiTheme="minorHAnsi" w:hAnsiTheme="minorHAnsi" w:cstheme="minorHAnsi"/>
          <w:i w:val="0"/>
          <w:iCs w:val="0"/>
          <w:color w:val="auto"/>
          <w:u w:val="single"/>
        </w:rPr>
        <w:fldChar w:fldCharType="end"/>
      </w:r>
      <w:r w:rsidRPr="004601B0">
        <w:rPr>
          <w:rFonts w:asciiTheme="minorHAnsi" w:hAnsiTheme="minorHAnsi" w:cstheme="minorHAnsi"/>
          <w:i w:val="0"/>
          <w:iCs w:val="0"/>
          <w:color w:val="auto"/>
          <w:u w:val="single"/>
        </w:rPr>
        <w:t>:</w:t>
      </w:r>
      <w:r w:rsidRPr="004601B0">
        <w:rPr>
          <w:rFonts w:asciiTheme="minorHAnsi" w:hAnsiTheme="minorHAnsi" w:cstheme="minorHAnsi"/>
          <w:i w:val="0"/>
          <w:iCs w:val="0"/>
          <w:color w:val="auto"/>
        </w:rPr>
        <w:t xml:space="preserve"> Astronomical authorities (green bar) with publications in astrology (orange bar) expressed as output over the period 1500 to 1663 CE. Data reproduced from </w:t>
      </w:r>
      <w:proofErr w:type="spellStart"/>
      <w:r w:rsidRPr="004601B0">
        <w:rPr>
          <w:rFonts w:asciiTheme="minorHAnsi" w:hAnsiTheme="minorHAnsi" w:cstheme="minorHAnsi"/>
          <w:i w:val="0"/>
          <w:iCs w:val="0"/>
          <w:color w:val="auto"/>
        </w:rPr>
        <w:t>Graubard</w:t>
      </w:r>
      <w:proofErr w:type="spellEnd"/>
      <w:r w:rsidRPr="004601B0">
        <w:rPr>
          <w:rFonts w:asciiTheme="minorHAnsi" w:hAnsiTheme="minorHAnsi" w:cstheme="minorHAnsi"/>
          <w:i w:val="0"/>
          <w:iCs w:val="0"/>
          <w:color w:val="auto"/>
        </w:rPr>
        <w:t xml:space="preserve"> (1958) who derived it from Edward Sherburne’s </w:t>
      </w:r>
      <w:r w:rsidRPr="004601B0">
        <w:rPr>
          <w:rFonts w:asciiTheme="minorHAnsi" w:hAnsiTheme="minorHAnsi" w:cstheme="minorHAnsi"/>
          <w:color w:val="auto"/>
        </w:rPr>
        <w:t xml:space="preserve">The Sphere of Marcus </w:t>
      </w:r>
      <w:proofErr w:type="spellStart"/>
      <w:r w:rsidRPr="004601B0">
        <w:rPr>
          <w:rFonts w:asciiTheme="minorHAnsi" w:hAnsiTheme="minorHAnsi" w:cstheme="minorHAnsi"/>
          <w:color w:val="auto"/>
        </w:rPr>
        <w:t>Manilius</w:t>
      </w:r>
      <w:proofErr w:type="spellEnd"/>
      <w:r w:rsidRPr="004601B0">
        <w:rPr>
          <w:rFonts w:asciiTheme="minorHAnsi" w:hAnsiTheme="minorHAnsi" w:cstheme="minorHAnsi"/>
          <w:color w:val="auto"/>
        </w:rPr>
        <w:t xml:space="preserve"> Made an English Poem with Annotations and an Astronomical Appendix</w:t>
      </w:r>
      <w:r w:rsidRPr="004601B0">
        <w:rPr>
          <w:rFonts w:asciiTheme="minorHAnsi" w:hAnsiTheme="minorHAnsi" w:cstheme="minorHAnsi"/>
          <w:i w:val="0"/>
          <w:iCs w:val="0"/>
          <w:color w:val="auto"/>
        </w:rPr>
        <w:t>.</w:t>
      </w:r>
      <w:r w:rsidRPr="004601B0">
        <w:rPr>
          <w:rStyle w:val="FootnoteReference"/>
          <w:rFonts w:asciiTheme="minorHAnsi" w:hAnsiTheme="minorHAnsi" w:cstheme="minorHAnsi"/>
          <w:i w:val="0"/>
          <w:iCs w:val="0"/>
          <w:color w:val="auto"/>
        </w:rPr>
        <w:footnoteReference w:id="23"/>
      </w:r>
    </w:p>
    <w:p w14:paraId="722F2BC1" w14:textId="1CCBE75E" w:rsidR="009F5A9B" w:rsidRDefault="009F5A9B" w:rsidP="009F5A9B">
      <w:pPr>
        <w:autoSpaceDE w:val="0"/>
        <w:autoSpaceDN w:val="0"/>
        <w:adjustRightInd w:val="0"/>
        <w:spacing w:line="360" w:lineRule="auto"/>
        <w:rPr>
          <w:rFonts w:cstheme="minorHAnsi"/>
        </w:rPr>
      </w:pPr>
      <w:proofErr w:type="spellStart"/>
      <w:r>
        <w:rPr>
          <w:rFonts w:cstheme="minorHAnsi"/>
        </w:rPr>
        <w:t>Graubard</w:t>
      </w:r>
      <w:proofErr w:type="spellEnd"/>
      <w:r>
        <w:rPr>
          <w:rFonts w:cstheme="minorHAnsi"/>
        </w:rPr>
        <w:t xml:space="preserve"> did not claim that </w:t>
      </w:r>
      <w:r w:rsidR="00F06ACD">
        <w:rPr>
          <w:rFonts w:cstheme="minorHAnsi"/>
        </w:rPr>
        <w:t>his scatter</w:t>
      </w:r>
      <w:r>
        <w:rPr>
          <w:rFonts w:cstheme="minorHAnsi"/>
        </w:rPr>
        <w:t xml:space="preserve"> plot laid claim to an empirical measure of a precipitous rate of decline in belief in astrology in the 17</w:t>
      </w:r>
      <w:r w:rsidRPr="00336EDC">
        <w:rPr>
          <w:rFonts w:cstheme="minorHAnsi"/>
          <w:vertAlign w:val="superscript"/>
        </w:rPr>
        <w:t>th</w:t>
      </w:r>
      <w:r>
        <w:rPr>
          <w:rFonts w:cstheme="minorHAnsi"/>
        </w:rPr>
        <w:t xml:space="preserve"> century, but that it was a graphical </w:t>
      </w:r>
      <w:r>
        <w:rPr>
          <w:rFonts w:cstheme="minorHAnsi"/>
          <w:i/>
          <w:iCs/>
        </w:rPr>
        <w:t xml:space="preserve">representation </w:t>
      </w:r>
      <w:r>
        <w:rPr>
          <w:rFonts w:cstheme="minorHAnsi"/>
        </w:rPr>
        <w:t xml:space="preserve">of this phenomenon. He relates that the plot ‘does not indicate… [decline] in popular belief in astrology, nor even in interest in astrology on the part of the learned or </w:t>
      </w:r>
      <w:proofErr w:type="gramStart"/>
      <w:r>
        <w:rPr>
          <w:rFonts w:cstheme="minorHAnsi"/>
        </w:rPr>
        <w:t>scholars’</w:t>
      </w:r>
      <w:proofErr w:type="gramEnd"/>
      <w:r>
        <w:rPr>
          <w:rFonts w:cstheme="minorHAnsi"/>
        </w:rPr>
        <w:t>. What he did claim was that it illustrates a sort of crisis in authoritative works with respect to astrology.</w:t>
      </w:r>
      <w:r>
        <w:rPr>
          <w:rStyle w:val="FootnoteReference"/>
          <w:rFonts w:cstheme="minorHAnsi"/>
        </w:rPr>
        <w:footnoteReference w:id="24"/>
      </w:r>
      <w:r>
        <w:rPr>
          <w:rFonts w:cstheme="minorHAnsi"/>
        </w:rPr>
        <w:t xml:space="preserve"> </w:t>
      </w:r>
      <w:r w:rsidR="005A1601">
        <w:rPr>
          <w:rFonts w:cstheme="minorHAnsi"/>
        </w:rPr>
        <w:t xml:space="preserve">Campion </w:t>
      </w:r>
      <w:r w:rsidR="0020065B">
        <w:rPr>
          <w:rFonts w:cstheme="minorHAnsi"/>
        </w:rPr>
        <w:t>adds to this</w:t>
      </w:r>
      <w:r w:rsidR="005A1601">
        <w:rPr>
          <w:rFonts w:cstheme="minorHAnsi"/>
        </w:rPr>
        <w:t xml:space="preserve"> caution that </w:t>
      </w:r>
      <w:r w:rsidR="005A1601" w:rsidRPr="00FA7E2E">
        <w:rPr>
          <w:rFonts w:cstheme="minorHAnsi"/>
        </w:rPr>
        <w:t>linking numbers of publications to a linear concept of strength of belief in the society does not take into consideration the ‘countless individual variations’ which would characterise the state of belief.</w:t>
      </w:r>
      <w:r w:rsidR="0020065B">
        <w:rPr>
          <w:rStyle w:val="FootnoteReference"/>
          <w:rFonts w:cstheme="minorHAnsi"/>
        </w:rPr>
        <w:footnoteReference w:id="25"/>
      </w:r>
      <w:r w:rsidR="005A1601" w:rsidRPr="00FA7E2E">
        <w:rPr>
          <w:rFonts w:cstheme="minorHAnsi"/>
        </w:rPr>
        <w:t xml:space="preserve"> </w:t>
      </w:r>
      <w:r>
        <w:rPr>
          <w:rFonts w:cstheme="minorHAnsi"/>
        </w:rPr>
        <w:t xml:space="preserve">In addition, </w:t>
      </w:r>
      <w:proofErr w:type="spellStart"/>
      <w:r>
        <w:rPr>
          <w:rFonts w:cstheme="minorHAnsi"/>
        </w:rPr>
        <w:t>Graubard</w:t>
      </w:r>
      <w:proofErr w:type="spellEnd"/>
      <w:r>
        <w:rPr>
          <w:rFonts w:cstheme="minorHAnsi"/>
        </w:rPr>
        <w:t xml:space="preserve"> maintains that Sherburne’s list of his contemporaries likely included those astronomers who ‘held views on astrology…[opposed] to superficial astrological horoscopists’ or the more fanatical prognosticators.</w:t>
      </w:r>
      <w:r>
        <w:rPr>
          <w:rStyle w:val="FootnoteReference"/>
          <w:rFonts w:cstheme="minorHAnsi"/>
        </w:rPr>
        <w:footnoteReference w:id="26"/>
      </w:r>
      <w:r>
        <w:rPr>
          <w:rFonts w:cstheme="minorHAnsi"/>
        </w:rPr>
        <w:t xml:space="preserve"> In this regard, </w:t>
      </w:r>
      <w:proofErr w:type="spellStart"/>
      <w:r>
        <w:rPr>
          <w:rFonts w:cstheme="minorHAnsi"/>
        </w:rPr>
        <w:t>Graubard</w:t>
      </w:r>
      <w:proofErr w:type="spellEnd"/>
      <w:r>
        <w:rPr>
          <w:rFonts w:cstheme="minorHAnsi"/>
        </w:rPr>
        <w:t xml:space="preserve"> aligns membership in his analysis with Curry’s hierarchical schema by including only publications consistent with a philosophical, ‘high’ astrology.</w:t>
      </w:r>
    </w:p>
    <w:p w14:paraId="16AE8F24" w14:textId="36933F58" w:rsidR="009F5A9B" w:rsidRDefault="009F5A9B" w:rsidP="009F5A9B">
      <w:pPr>
        <w:autoSpaceDE w:val="0"/>
        <w:autoSpaceDN w:val="0"/>
        <w:adjustRightInd w:val="0"/>
        <w:spacing w:line="360" w:lineRule="auto"/>
        <w:rPr>
          <w:rFonts w:cstheme="minorHAnsi"/>
        </w:rPr>
      </w:pPr>
      <w:r>
        <w:rPr>
          <w:rFonts w:cstheme="minorHAnsi"/>
        </w:rPr>
        <w:t xml:space="preserve">With the availability of searchable online databases such as ProQuest’s </w:t>
      </w:r>
      <w:r>
        <w:rPr>
          <w:rFonts w:cstheme="minorHAnsi"/>
          <w:i/>
          <w:iCs/>
        </w:rPr>
        <w:t>Early English Books Online</w:t>
      </w:r>
      <w:r>
        <w:rPr>
          <w:rFonts w:cstheme="minorHAnsi"/>
          <w:i/>
          <w:iCs/>
          <w:vertAlign w:val="superscript"/>
        </w:rPr>
        <w:t>™</w:t>
      </w:r>
      <w:r>
        <w:rPr>
          <w:rFonts w:cstheme="minorHAnsi"/>
        </w:rPr>
        <w:t xml:space="preserve">, it is possible to reconstruct </w:t>
      </w:r>
      <w:proofErr w:type="spellStart"/>
      <w:r>
        <w:rPr>
          <w:rFonts w:cstheme="minorHAnsi"/>
        </w:rPr>
        <w:t>Graubard’s</w:t>
      </w:r>
      <w:proofErr w:type="spellEnd"/>
      <w:r>
        <w:rPr>
          <w:rFonts w:cstheme="minorHAnsi"/>
        </w:rPr>
        <w:t xml:space="preserve"> </w:t>
      </w:r>
      <w:r w:rsidR="00E67708">
        <w:rPr>
          <w:rFonts w:cstheme="minorHAnsi"/>
        </w:rPr>
        <w:t xml:space="preserve">bibliographic </w:t>
      </w:r>
      <w:r>
        <w:rPr>
          <w:rFonts w:cstheme="minorHAnsi"/>
        </w:rPr>
        <w:t xml:space="preserve">methodology such that the included publications go well beyond the 1675 CE list provided by Sherburne, comprising a more comprehensive array of </w:t>
      </w:r>
      <w:r>
        <w:rPr>
          <w:rFonts w:cstheme="minorHAnsi"/>
        </w:rPr>
        <w:lastRenderedPageBreak/>
        <w:t xml:space="preserve">astrological publications. </w:t>
      </w:r>
      <w:r w:rsidRPr="00FA7E2E">
        <w:rPr>
          <w:rFonts w:cstheme="minorHAnsi"/>
        </w:rPr>
        <w:t xml:space="preserve">A recent search using </w:t>
      </w:r>
      <w:r>
        <w:rPr>
          <w:rFonts w:cstheme="minorHAnsi"/>
        </w:rPr>
        <w:t>th</w:t>
      </w:r>
      <w:r w:rsidR="00310E4C">
        <w:rPr>
          <w:rFonts w:cstheme="minorHAnsi"/>
        </w:rPr>
        <w:t>is</w:t>
      </w:r>
      <w:r>
        <w:rPr>
          <w:rFonts w:cstheme="minorHAnsi"/>
        </w:rPr>
        <w:t xml:space="preserve"> </w:t>
      </w:r>
      <w:r w:rsidRPr="00FA7E2E">
        <w:rPr>
          <w:rFonts w:cstheme="minorHAnsi"/>
        </w:rPr>
        <w:t>database for the period 1580 – 1700 CE</w:t>
      </w:r>
      <w:r>
        <w:rPr>
          <w:rFonts w:cstheme="minorHAnsi"/>
        </w:rPr>
        <w:t xml:space="preserve"> was conducted using the following criteria: a) the volumes must be in the English language or </w:t>
      </w:r>
      <w:r w:rsidR="00310E4C">
        <w:rPr>
          <w:rFonts w:cstheme="minorHAnsi"/>
        </w:rPr>
        <w:t xml:space="preserve">translated from the </w:t>
      </w:r>
      <w:r>
        <w:rPr>
          <w:rFonts w:cstheme="minorHAnsi"/>
        </w:rPr>
        <w:t>Latin</w:t>
      </w:r>
      <w:r w:rsidR="00310E4C">
        <w:rPr>
          <w:rFonts w:cstheme="minorHAnsi"/>
        </w:rPr>
        <w:t xml:space="preserve"> original</w:t>
      </w:r>
      <w:r>
        <w:rPr>
          <w:rFonts w:cstheme="minorHAnsi"/>
        </w:rPr>
        <w:t xml:space="preserve">; b) duplicates in the database results are filtered out, </w:t>
      </w:r>
      <w:proofErr w:type="gramStart"/>
      <w:r>
        <w:rPr>
          <w:rFonts w:cstheme="minorHAnsi"/>
        </w:rPr>
        <w:t>and;</w:t>
      </w:r>
      <w:proofErr w:type="gramEnd"/>
      <w:r>
        <w:rPr>
          <w:rFonts w:cstheme="minorHAnsi"/>
        </w:rPr>
        <w:t xml:space="preserve"> c) the author must also be counted among the extensive list of astronomers and astrologers as identified in Sherburne (1675 CE). The search</w:t>
      </w:r>
      <w:r w:rsidRPr="00FA7E2E">
        <w:rPr>
          <w:rFonts w:cstheme="minorHAnsi"/>
        </w:rPr>
        <w:t xml:space="preserve"> yielded</w:t>
      </w:r>
      <w:r>
        <w:rPr>
          <w:rFonts w:cstheme="minorHAnsi"/>
        </w:rPr>
        <w:t xml:space="preserve"> the following</w:t>
      </w:r>
      <w:r w:rsidRPr="00FA7E2E">
        <w:rPr>
          <w:rFonts w:cstheme="minorHAnsi"/>
        </w:rPr>
        <w:t>: 2</w:t>
      </w:r>
      <w:r>
        <w:rPr>
          <w:rFonts w:cstheme="minorHAnsi"/>
        </w:rPr>
        <w:t>920</w:t>
      </w:r>
      <w:r w:rsidRPr="00FA7E2E">
        <w:rPr>
          <w:rFonts w:cstheme="minorHAnsi"/>
        </w:rPr>
        <w:t xml:space="preserve"> total works </w:t>
      </w:r>
      <w:r>
        <w:rPr>
          <w:rFonts w:cstheme="minorHAnsi"/>
        </w:rPr>
        <w:t>relating to</w:t>
      </w:r>
      <w:r w:rsidRPr="00FA7E2E">
        <w:rPr>
          <w:rFonts w:cstheme="minorHAnsi"/>
        </w:rPr>
        <w:t xml:space="preserve"> astrology</w:t>
      </w:r>
      <w:r>
        <w:rPr>
          <w:rFonts w:cstheme="minorHAnsi"/>
        </w:rPr>
        <w:t xml:space="preserve"> of which</w:t>
      </w:r>
      <w:r w:rsidRPr="00FA7E2E">
        <w:rPr>
          <w:rFonts w:cstheme="minorHAnsi"/>
        </w:rPr>
        <w:t xml:space="preserve"> 1,440 </w:t>
      </w:r>
      <w:r>
        <w:rPr>
          <w:rFonts w:cstheme="minorHAnsi"/>
        </w:rPr>
        <w:t xml:space="preserve">were identified as </w:t>
      </w:r>
      <w:r w:rsidRPr="00FA7E2E">
        <w:rPr>
          <w:rFonts w:cstheme="minorHAnsi"/>
        </w:rPr>
        <w:t>almanacs</w:t>
      </w:r>
      <w:r>
        <w:rPr>
          <w:rFonts w:cstheme="minorHAnsi"/>
        </w:rPr>
        <w:t xml:space="preserve"> (or </w:t>
      </w:r>
      <w:r>
        <w:rPr>
          <w:rFonts w:cstheme="minorHAnsi"/>
          <w:i/>
          <w:iCs/>
        </w:rPr>
        <w:t>almanacks</w:t>
      </w:r>
      <w:r>
        <w:rPr>
          <w:rFonts w:cstheme="minorHAnsi"/>
        </w:rPr>
        <w:t>)</w:t>
      </w:r>
      <w:r w:rsidRPr="00FA7E2E">
        <w:rPr>
          <w:rFonts w:cstheme="minorHAnsi"/>
        </w:rPr>
        <w:t xml:space="preserve"> in English, 1,254 </w:t>
      </w:r>
      <w:r>
        <w:rPr>
          <w:rFonts w:cstheme="minorHAnsi"/>
        </w:rPr>
        <w:t xml:space="preserve">were </w:t>
      </w:r>
      <w:r w:rsidRPr="00FA7E2E">
        <w:rPr>
          <w:rFonts w:cstheme="minorHAnsi"/>
        </w:rPr>
        <w:t xml:space="preserve">ephemerides and </w:t>
      </w:r>
      <w:r>
        <w:rPr>
          <w:rFonts w:cstheme="minorHAnsi"/>
        </w:rPr>
        <w:t xml:space="preserve">226 were books with an emphasis on theoretical and practical astrology. Within the limits of what is available in </w:t>
      </w:r>
      <w:r>
        <w:rPr>
          <w:rFonts w:cstheme="minorHAnsi"/>
          <w:i/>
          <w:iCs/>
        </w:rPr>
        <w:t>E</w:t>
      </w:r>
      <w:r w:rsidRPr="00410F38">
        <w:rPr>
          <w:rFonts w:cstheme="minorHAnsi"/>
          <w:i/>
          <w:iCs/>
        </w:rPr>
        <w:t xml:space="preserve">arly </w:t>
      </w:r>
      <w:r>
        <w:rPr>
          <w:rFonts w:cstheme="minorHAnsi"/>
          <w:i/>
          <w:iCs/>
        </w:rPr>
        <w:t>E</w:t>
      </w:r>
      <w:r w:rsidRPr="00410F38">
        <w:rPr>
          <w:rFonts w:cstheme="minorHAnsi"/>
          <w:i/>
          <w:iCs/>
        </w:rPr>
        <w:t xml:space="preserve">nglish </w:t>
      </w:r>
      <w:r>
        <w:rPr>
          <w:rFonts w:cstheme="minorHAnsi"/>
          <w:i/>
          <w:iCs/>
        </w:rPr>
        <w:t>B</w:t>
      </w:r>
      <w:r w:rsidRPr="00410F38">
        <w:rPr>
          <w:rFonts w:cstheme="minorHAnsi"/>
          <w:i/>
          <w:iCs/>
        </w:rPr>
        <w:t xml:space="preserve">ooks </w:t>
      </w:r>
      <w:r>
        <w:rPr>
          <w:rFonts w:cstheme="minorHAnsi"/>
          <w:i/>
          <w:iCs/>
        </w:rPr>
        <w:t>O</w:t>
      </w:r>
      <w:r w:rsidRPr="00410F38">
        <w:rPr>
          <w:rFonts w:cstheme="minorHAnsi"/>
          <w:i/>
          <w:iCs/>
        </w:rPr>
        <w:t>nline</w:t>
      </w:r>
      <w:r>
        <w:rPr>
          <w:rFonts w:cstheme="minorHAnsi"/>
          <w:i/>
          <w:iCs/>
        </w:rPr>
        <w:t xml:space="preserve">, </w:t>
      </w:r>
      <w:r>
        <w:rPr>
          <w:rFonts w:cstheme="minorHAnsi"/>
        </w:rPr>
        <w:t xml:space="preserve">and further excluding almanacs and ephemerides, the distribution over time of the 226 remaining titles from the period 1600 CE to 1709 CE is plotted in Figure </w:t>
      </w:r>
      <w:r w:rsidR="001E5ABE">
        <w:rPr>
          <w:rFonts w:cstheme="minorHAnsi"/>
        </w:rPr>
        <w:t>3</w:t>
      </w:r>
      <w:r>
        <w:rPr>
          <w:rFonts w:cstheme="minorHAnsi"/>
        </w:rPr>
        <w:t>.</w:t>
      </w:r>
    </w:p>
    <w:p w14:paraId="41B60DA7" w14:textId="77777777" w:rsidR="009F5A9B" w:rsidRDefault="009F5A9B" w:rsidP="009F5A9B">
      <w:pPr>
        <w:autoSpaceDE w:val="0"/>
        <w:autoSpaceDN w:val="0"/>
        <w:adjustRightInd w:val="0"/>
        <w:spacing w:line="360" w:lineRule="auto"/>
        <w:rPr>
          <w:rFonts w:cstheme="minorHAnsi"/>
        </w:rPr>
      </w:pPr>
    </w:p>
    <w:p w14:paraId="003694A4" w14:textId="77777777" w:rsidR="009F5A9B" w:rsidRDefault="009F5A9B" w:rsidP="009F5A9B">
      <w:pPr>
        <w:keepNext/>
        <w:autoSpaceDE w:val="0"/>
        <w:autoSpaceDN w:val="0"/>
        <w:adjustRightInd w:val="0"/>
        <w:spacing w:line="360" w:lineRule="auto"/>
      </w:pPr>
      <w:r>
        <w:rPr>
          <w:rFonts w:cstheme="minorHAnsi"/>
          <w:noProof/>
        </w:rPr>
        <w:drawing>
          <wp:inline distT="0" distB="0" distL="0" distR="0" wp14:anchorId="5B34D45C" wp14:editId="14C3ABE9">
            <wp:extent cx="5943600" cy="2882900"/>
            <wp:effectExtent l="0" t="0" r="0" b="0"/>
            <wp:docPr id="2" name="Picture 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2882900"/>
                    </a:xfrm>
                    <a:prstGeom prst="rect">
                      <a:avLst/>
                    </a:prstGeom>
                  </pic:spPr>
                </pic:pic>
              </a:graphicData>
            </a:graphic>
          </wp:inline>
        </w:drawing>
      </w:r>
    </w:p>
    <w:p w14:paraId="48F10A4E" w14:textId="364C00E6" w:rsidR="009F5A9B" w:rsidRPr="004601B0" w:rsidRDefault="009F5A9B" w:rsidP="009F5A9B">
      <w:pPr>
        <w:pStyle w:val="Caption"/>
        <w:rPr>
          <w:rFonts w:asciiTheme="minorHAnsi" w:hAnsiTheme="minorHAnsi" w:cstheme="minorHAnsi"/>
          <w:color w:val="auto"/>
          <w:sz w:val="22"/>
          <w:szCs w:val="22"/>
        </w:rPr>
      </w:pPr>
      <w:r w:rsidRPr="004601B0">
        <w:rPr>
          <w:rFonts w:asciiTheme="minorHAnsi" w:hAnsiTheme="minorHAnsi" w:cstheme="minorHAnsi"/>
          <w:i w:val="0"/>
          <w:iCs w:val="0"/>
          <w:color w:val="auto"/>
          <w:u w:val="single"/>
        </w:rPr>
        <w:t xml:space="preserve">Figure </w:t>
      </w:r>
      <w:r w:rsidRPr="004601B0">
        <w:rPr>
          <w:rFonts w:asciiTheme="minorHAnsi" w:hAnsiTheme="minorHAnsi" w:cstheme="minorHAnsi"/>
          <w:i w:val="0"/>
          <w:iCs w:val="0"/>
          <w:color w:val="auto"/>
          <w:u w:val="single"/>
        </w:rPr>
        <w:fldChar w:fldCharType="begin"/>
      </w:r>
      <w:r w:rsidRPr="004601B0">
        <w:rPr>
          <w:rFonts w:asciiTheme="minorHAnsi" w:hAnsiTheme="minorHAnsi" w:cstheme="minorHAnsi"/>
          <w:i w:val="0"/>
          <w:iCs w:val="0"/>
          <w:color w:val="auto"/>
          <w:u w:val="single"/>
        </w:rPr>
        <w:instrText xml:space="preserve"> SEQ Figure \* ARABIC </w:instrText>
      </w:r>
      <w:r w:rsidRPr="004601B0">
        <w:rPr>
          <w:rFonts w:asciiTheme="minorHAnsi" w:hAnsiTheme="minorHAnsi" w:cstheme="minorHAnsi"/>
          <w:i w:val="0"/>
          <w:iCs w:val="0"/>
          <w:color w:val="auto"/>
          <w:u w:val="single"/>
        </w:rPr>
        <w:fldChar w:fldCharType="separate"/>
      </w:r>
      <w:r w:rsidR="00CE2876">
        <w:rPr>
          <w:rFonts w:asciiTheme="minorHAnsi" w:hAnsiTheme="minorHAnsi" w:cstheme="minorHAnsi"/>
          <w:i w:val="0"/>
          <w:iCs w:val="0"/>
          <w:noProof/>
          <w:color w:val="auto"/>
          <w:u w:val="single"/>
        </w:rPr>
        <w:t>3</w:t>
      </w:r>
      <w:r w:rsidRPr="004601B0">
        <w:rPr>
          <w:rFonts w:asciiTheme="minorHAnsi" w:hAnsiTheme="minorHAnsi" w:cstheme="minorHAnsi"/>
          <w:i w:val="0"/>
          <w:iCs w:val="0"/>
          <w:color w:val="auto"/>
          <w:u w:val="single"/>
        </w:rPr>
        <w:fldChar w:fldCharType="end"/>
      </w:r>
      <w:r w:rsidRPr="004601B0">
        <w:rPr>
          <w:rFonts w:asciiTheme="minorHAnsi" w:hAnsiTheme="minorHAnsi" w:cstheme="minorHAnsi"/>
          <w:i w:val="0"/>
          <w:iCs w:val="0"/>
          <w:color w:val="auto"/>
        </w:rPr>
        <w:t xml:space="preserve">:Distribution (by decade) of astrology books in English over the period 1600 CE to 1709 CE. </w:t>
      </w:r>
      <w:r w:rsidRPr="004601B0">
        <w:rPr>
          <w:rFonts w:asciiTheme="minorHAnsi" w:hAnsiTheme="minorHAnsi" w:cstheme="minorHAnsi"/>
          <w:i w:val="0"/>
          <w:iCs w:val="0"/>
          <w:color w:val="auto"/>
        </w:rPr>
        <w:tab/>
      </w:r>
      <w:r w:rsidRPr="004601B0">
        <w:rPr>
          <w:rFonts w:asciiTheme="minorHAnsi" w:hAnsiTheme="minorHAnsi" w:cstheme="minorHAnsi"/>
          <w:i w:val="0"/>
          <w:iCs w:val="0"/>
          <w:color w:val="auto"/>
        </w:rPr>
        <w:tab/>
        <w:t xml:space="preserve">           Source: </w:t>
      </w:r>
      <w:r w:rsidRPr="004601B0">
        <w:rPr>
          <w:rFonts w:asciiTheme="minorHAnsi" w:hAnsiTheme="minorHAnsi" w:cstheme="minorHAnsi"/>
          <w:color w:val="auto"/>
        </w:rPr>
        <w:t>Early Books in English (ProQuest, 2022).</w:t>
      </w:r>
    </w:p>
    <w:p w14:paraId="4F5A524A" w14:textId="5A887BF9" w:rsidR="00EC2469" w:rsidRDefault="009F5A9B" w:rsidP="004757C5">
      <w:pPr>
        <w:autoSpaceDE w:val="0"/>
        <w:autoSpaceDN w:val="0"/>
        <w:adjustRightInd w:val="0"/>
        <w:spacing w:line="360" w:lineRule="auto"/>
        <w:rPr>
          <w:rFonts w:cstheme="minorHAnsi"/>
        </w:rPr>
      </w:pPr>
      <w:r>
        <w:rPr>
          <w:rFonts w:cstheme="minorHAnsi"/>
        </w:rPr>
        <w:t>There is an apparent</w:t>
      </w:r>
      <w:r w:rsidRPr="00FA7E2E">
        <w:rPr>
          <w:rFonts w:cstheme="minorHAnsi"/>
        </w:rPr>
        <w:t xml:space="preserve"> </w:t>
      </w:r>
      <w:r>
        <w:rPr>
          <w:rFonts w:cstheme="minorHAnsi"/>
        </w:rPr>
        <w:t xml:space="preserve">sudden, </w:t>
      </w:r>
      <w:r w:rsidRPr="00FA7E2E">
        <w:rPr>
          <w:rFonts w:cstheme="minorHAnsi"/>
        </w:rPr>
        <w:t xml:space="preserve">non-linear </w:t>
      </w:r>
      <w:r w:rsidRPr="00FA7E2E">
        <w:rPr>
          <w:rFonts w:cstheme="minorHAnsi"/>
          <w:i/>
          <w:iCs/>
        </w:rPr>
        <w:t xml:space="preserve">increase </w:t>
      </w:r>
      <w:r w:rsidRPr="00FA7E2E">
        <w:rPr>
          <w:rFonts w:cstheme="minorHAnsi"/>
        </w:rPr>
        <w:t xml:space="preserve">in numbers </w:t>
      </w:r>
      <w:r>
        <w:rPr>
          <w:rFonts w:cstheme="minorHAnsi"/>
        </w:rPr>
        <w:t xml:space="preserve">of books in astrology </w:t>
      </w:r>
      <w:r w:rsidRPr="00FA7E2E">
        <w:rPr>
          <w:rFonts w:cstheme="minorHAnsi"/>
        </w:rPr>
        <w:t>over the last five decades of the 17</w:t>
      </w:r>
      <w:r w:rsidRPr="00FA7E2E">
        <w:rPr>
          <w:rFonts w:cstheme="minorHAnsi"/>
          <w:vertAlign w:val="superscript"/>
        </w:rPr>
        <w:t>th</w:t>
      </w:r>
      <w:r w:rsidRPr="00FA7E2E">
        <w:rPr>
          <w:rFonts w:cstheme="minorHAnsi"/>
        </w:rPr>
        <w:t xml:space="preserve"> century</w:t>
      </w:r>
      <w:r>
        <w:rPr>
          <w:rFonts w:cstheme="minorHAnsi"/>
        </w:rPr>
        <w:t>, this excluding both almanacs and ephemerides</w:t>
      </w:r>
      <w:r w:rsidRPr="00FA7E2E">
        <w:rPr>
          <w:rFonts w:cstheme="minorHAnsi"/>
        </w:rPr>
        <w:t xml:space="preserve">. </w:t>
      </w:r>
      <w:r>
        <w:rPr>
          <w:rFonts w:cstheme="minorHAnsi"/>
        </w:rPr>
        <w:t>The sudden change mid-17</w:t>
      </w:r>
      <w:r w:rsidRPr="007B0FBF">
        <w:rPr>
          <w:rFonts w:cstheme="minorHAnsi"/>
          <w:vertAlign w:val="superscript"/>
        </w:rPr>
        <w:t>th</w:t>
      </w:r>
      <w:r>
        <w:rPr>
          <w:rFonts w:cstheme="minorHAnsi"/>
        </w:rPr>
        <w:t xml:space="preserve"> century could simply </w:t>
      </w:r>
      <w:proofErr w:type="gramStart"/>
      <w:r>
        <w:rPr>
          <w:rFonts w:cstheme="minorHAnsi"/>
        </w:rPr>
        <w:t>be a reflection of</w:t>
      </w:r>
      <w:proofErr w:type="gramEnd"/>
      <w:r>
        <w:rPr>
          <w:rFonts w:cstheme="minorHAnsi"/>
        </w:rPr>
        <w:t xml:space="preserve"> the actual availability of digitised titles in the database. </w:t>
      </w:r>
      <w:proofErr w:type="spellStart"/>
      <w:r>
        <w:rPr>
          <w:rFonts w:cstheme="minorHAnsi"/>
        </w:rPr>
        <w:t>Graubard’s</w:t>
      </w:r>
      <w:proofErr w:type="spellEnd"/>
      <w:r>
        <w:rPr>
          <w:rFonts w:cstheme="minorHAnsi"/>
        </w:rPr>
        <w:t xml:space="preserve"> analysis, however, would refute such a position as he noted from the work of historian of science Giorgio de </w:t>
      </w:r>
      <w:proofErr w:type="spellStart"/>
      <w:r>
        <w:rPr>
          <w:rFonts w:cstheme="minorHAnsi"/>
        </w:rPr>
        <w:t>Santillana</w:t>
      </w:r>
      <w:proofErr w:type="spellEnd"/>
      <w:r>
        <w:rPr>
          <w:rFonts w:cstheme="minorHAnsi"/>
        </w:rPr>
        <w:t xml:space="preserve"> that ‘the years 1650 to 1681 are all-time highs for astrological literature in </w:t>
      </w:r>
      <w:r>
        <w:rPr>
          <w:rFonts w:cstheme="minorHAnsi"/>
        </w:rPr>
        <w:lastRenderedPageBreak/>
        <w:t>England…[as] many astrological titles had to do with comets and end-of-the-world computations’.</w:t>
      </w:r>
      <w:r>
        <w:rPr>
          <w:rStyle w:val="FootnoteReference"/>
          <w:rFonts w:cstheme="minorHAnsi"/>
        </w:rPr>
        <w:footnoteReference w:id="27"/>
      </w:r>
      <w:r>
        <w:rPr>
          <w:rFonts w:cstheme="minorHAnsi"/>
        </w:rPr>
        <w:t xml:space="preserve"> Much of that eschatological narrative would have been taken up by the almanacs, however, and </w:t>
      </w:r>
      <w:proofErr w:type="spellStart"/>
      <w:r>
        <w:rPr>
          <w:rFonts w:cstheme="minorHAnsi"/>
        </w:rPr>
        <w:t>Graubard</w:t>
      </w:r>
      <w:proofErr w:type="spellEnd"/>
      <w:r>
        <w:rPr>
          <w:rFonts w:cstheme="minorHAnsi"/>
        </w:rPr>
        <w:t xml:space="preserve"> asserts that by the 1650s most of the authors were not astronomers </w:t>
      </w:r>
      <w:r>
        <w:rPr>
          <w:rFonts w:cstheme="minorHAnsi"/>
          <w:i/>
          <w:iCs/>
        </w:rPr>
        <w:t xml:space="preserve">per se </w:t>
      </w:r>
      <w:r>
        <w:rPr>
          <w:rFonts w:cstheme="minorHAnsi"/>
        </w:rPr>
        <w:t>but were teachers, mathematicians and physicians. The nature of authorship and the perception of being an authoritative work that could well be apocalyptic complicates any strictly numerical analysis. Hence, the apparent sharp decline in the first decade of the 18</w:t>
      </w:r>
      <w:r w:rsidRPr="007B0FBF">
        <w:rPr>
          <w:rFonts w:cstheme="minorHAnsi"/>
          <w:vertAlign w:val="superscript"/>
        </w:rPr>
        <w:t>th</w:t>
      </w:r>
      <w:r>
        <w:rPr>
          <w:rFonts w:cstheme="minorHAnsi"/>
        </w:rPr>
        <w:t xml:space="preserve"> century (Figure 2) is more difficult to account for outside of societal pressures and interests. Taken as a whole, the present analysis based on data in </w:t>
      </w:r>
      <w:r>
        <w:rPr>
          <w:rFonts w:cstheme="minorHAnsi"/>
          <w:i/>
          <w:iCs/>
        </w:rPr>
        <w:t>E</w:t>
      </w:r>
      <w:r w:rsidRPr="00410F38">
        <w:rPr>
          <w:rFonts w:cstheme="minorHAnsi"/>
          <w:i/>
          <w:iCs/>
        </w:rPr>
        <w:t xml:space="preserve">arly </w:t>
      </w:r>
      <w:r>
        <w:rPr>
          <w:rFonts w:cstheme="minorHAnsi"/>
          <w:i/>
          <w:iCs/>
        </w:rPr>
        <w:t>E</w:t>
      </w:r>
      <w:r w:rsidRPr="00410F38">
        <w:rPr>
          <w:rFonts w:cstheme="minorHAnsi"/>
          <w:i/>
          <w:iCs/>
        </w:rPr>
        <w:t xml:space="preserve">nglish </w:t>
      </w:r>
      <w:r>
        <w:rPr>
          <w:rFonts w:cstheme="minorHAnsi"/>
          <w:i/>
          <w:iCs/>
        </w:rPr>
        <w:t>B</w:t>
      </w:r>
      <w:r w:rsidRPr="00410F38">
        <w:rPr>
          <w:rFonts w:cstheme="minorHAnsi"/>
          <w:i/>
          <w:iCs/>
        </w:rPr>
        <w:t xml:space="preserve">ooks </w:t>
      </w:r>
      <w:r>
        <w:rPr>
          <w:rFonts w:cstheme="minorHAnsi"/>
          <w:i/>
          <w:iCs/>
        </w:rPr>
        <w:t>O</w:t>
      </w:r>
      <w:r w:rsidRPr="00410F38">
        <w:rPr>
          <w:rFonts w:cstheme="minorHAnsi"/>
          <w:i/>
          <w:iCs/>
        </w:rPr>
        <w:t>nline</w:t>
      </w:r>
      <w:r w:rsidRPr="00FA7E2E">
        <w:rPr>
          <w:rFonts w:cstheme="minorHAnsi"/>
        </w:rPr>
        <w:t xml:space="preserve"> </w:t>
      </w:r>
      <w:r>
        <w:rPr>
          <w:rFonts w:cstheme="minorHAnsi"/>
        </w:rPr>
        <w:t>maintains that there</w:t>
      </w:r>
      <w:r w:rsidRPr="00FA7E2E">
        <w:rPr>
          <w:rFonts w:cstheme="minorHAnsi"/>
        </w:rPr>
        <w:t xml:space="preserve"> were about equal numbers of publications across astrology </w:t>
      </w:r>
      <w:r w:rsidR="00061AC3">
        <w:rPr>
          <w:rFonts w:cstheme="minorHAnsi"/>
        </w:rPr>
        <w:t>and</w:t>
      </w:r>
      <w:r w:rsidRPr="00FA7E2E">
        <w:rPr>
          <w:rFonts w:cstheme="minorHAnsi"/>
        </w:rPr>
        <w:t xml:space="preserve"> cosmography (</w:t>
      </w:r>
      <w:r>
        <w:rPr>
          <w:rFonts w:cstheme="minorHAnsi"/>
        </w:rPr>
        <w:t xml:space="preserve">n = </w:t>
      </w:r>
      <w:r w:rsidRPr="00FA7E2E">
        <w:rPr>
          <w:rFonts w:cstheme="minorHAnsi"/>
        </w:rPr>
        <w:t xml:space="preserve">2558) and calendars, </w:t>
      </w:r>
      <w:proofErr w:type="gramStart"/>
      <w:r w:rsidRPr="00FA7E2E">
        <w:rPr>
          <w:rFonts w:cstheme="minorHAnsi"/>
        </w:rPr>
        <w:t>almanacs</w:t>
      </w:r>
      <w:proofErr w:type="gramEnd"/>
      <w:r w:rsidRPr="00FA7E2E">
        <w:rPr>
          <w:rFonts w:cstheme="minorHAnsi"/>
        </w:rPr>
        <w:t xml:space="preserve"> and prognostications (</w:t>
      </w:r>
      <w:r>
        <w:rPr>
          <w:rFonts w:cstheme="minorHAnsi"/>
        </w:rPr>
        <w:t xml:space="preserve">n = </w:t>
      </w:r>
      <w:r w:rsidRPr="00FA7E2E">
        <w:rPr>
          <w:rFonts w:cstheme="minorHAnsi"/>
        </w:rPr>
        <w:t>2200) with astrological medical texts a very distant third (n=60). This publication record does not seem to be in any agreement with the position of a ‘decline’ in astrological beliefs.</w:t>
      </w:r>
      <w:r>
        <w:rPr>
          <w:rFonts w:cstheme="minorHAnsi"/>
        </w:rPr>
        <w:t xml:space="preserve"> </w:t>
      </w:r>
    </w:p>
    <w:p w14:paraId="0C87BEA5" w14:textId="2D1F394D" w:rsidR="004757C5" w:rsidRDefault="004D1D1D" w:rsidP="00E01534">
      <w:pPr>
        <w:spacing w:after="240" w:line="276" w:lineRule="auto"/>
        <w:rPr>
          <w:b/>
          <w:bCs/>
        </w:rPr>
      </w:pPr>
      <w:r>
        <w:rPr>
          <w:b/>
          <w:bCs/>
        </w:rPr>
        <w:t>Case Studies of the Marginalisation of Astrology in 17</w:t>
      </w:r>
      <w:r w:rsidRPr="00850AC2">
        <w:rPr>
          <w:b/>
          <w:bCs/>
          <w:vertAlign w:val="superscript"/>
        </w:rPr>
        <w:t>th</w:t>
      </w:r>
      <w:r>
        <w:rPr>
          <w:b/>
          <w:bCs/>
        </w:rPr>
        <w:t xml:space="preserve"> Century Europe</w:t>
      </w:r>
    </w:p>
    <w:p w14:paraId="3D20039F" w14:textId="060CE412" w:rsidR="00562B0F" w:rsidRDefault="00562B0F" w:rsidP="00E01534">
      <w:pPr>
        <w:spacing w:after="240" w:line="360" w:lineRule="auto"/>
        <w:rPr>
          <w:rFonts w:cstheme="minorHAnsi"/>
        </w:rPr>
      </w:pPr>
      <w:r>
        <w:rPr>
          <w:rFonts w:cstheme="minorHAnsi"/>
        </w:rPr>
        <w:t xml:space="preserve">In the introduction to </w:t>
      </w:r>
      <w:r>
        <w:rPr>
          <w:rFonts w:cstheme="minorHAnsi"/>
        </w:rPr>
        <w:t>a</w:t>
      </w:r>
      <w:r>
        <w:rPr>
          <w:rFonts w:cstheme="minorHAnsi"/>
        </w:rPr>
        <w:t xml:space="preserve"> special issue of </w:t>
      </w:r>
      <w:r w:rsidRPr="00FA7E2E">
        <w:rPr>
          <w:rFonts w:cstheme="minorHAnsi"/>
          <w:i/>
          <w:iCs/>
        </w:rPr>
        <w:t>Early Science and Medicine</w:t>
      </w:r>
      <w:r>
        <w:rPr>
          <w:rFonts w:cstheme="minorHAnsi"/>
          <w:i/>
          <w:iCs/>
        </w:rPr>
        <w:t xml:space="preserve"> </w:t>
      </w:r>
      <w:r>
        <w:rPr>
          <w:rFonts w:cstheme="minorHAnsi"/>
        </w:rPr>
        <w:t xml:space="preserve">(2017), a collection of papers delivered at the </w:t>
      </w:r>
      <w:proofErr w:type="gramStart"/>
      <w:r>
        <w:rPr>
          <w:rFonts w:cstheme="minorHAnsi"/>
        </w:rPr>
        <w:t>March,</w:t>
      </w:r>
      <w:proofErr w:type="gramEnd"/>
      <w:r>
        <w:rPr>
          <w:rFonts w:cstheme="minorHAnsi"/>
        </w:rPr>
        <w:t xml:space="preserve"> 2015 Utrecht University conference “The Marginalization of Astrology in Early Modern Science and Culture”, </w:t>
      </w:r>
      <w:proofErr w:type="spellStart"/>
      <w:r>
        <w:rPr>
          <w:rFonts w:cstheme="minorHAnsi"/>
        </w:rPr>
        <w:t>Vermij</w:t>
      </w:r>
      <w:proofErr w:type="spellEnd"/>
      <w:r>
        <w:rPr>
          <w:rFonts w:cstheme="minorHAnsi"/>
        </w:rPr>
        <w:t xml:space="preserve"> and Hirai first proposed their terminology of the ‘marginalisation of astrology’. They described both medicine and astronomy as having once been considered as co-creating pursuits together with astrology; but during the 17</w:t>
      </w:r>
      <w:r w:rsidRPr="0038205E">
        <w:rPr>
          <w:rFonts w:cstheme="minorHAnsi"/>
          <w:vertAlign w:val="superscript"/>
        </w:rPr>
        <w:t>th</w:t>
      </w:r>
      <w:r>
        <w:rPr>
          <w:rFonts w:cstheme="minorHAnsi"/>
        </w:rPr>
        <w:t xml:space="preserve"> century the appeal of astrology was lost</w:t>
      </w:r>
      <w:r>
        <w:rPr>
          <w:rFonts w:cstheme="minorHAnsi"/>
          <w:i/>
          <w:iCs/>
        </w:rPr>
        <w:t xml:space="preserve"> </w:t>
      </w:r>
      <w:r>
        <w:rPr>
          <w:rFonts w:cstheme="minorHAnsi"/>
        </w:rPr>
        <w:t>as ‘professors, physicians and philosophers lost interest in astrology [and] it lost credit outside academia as well.</w:t>
      </w:r>
      <w:r>
        <w:rPr>
          <w:rStyle w:val="FootnoteReference"/>
          <w:rFonts w:cstheme="minorHAnsi"/>
        </w:rPr>
        <w:footnoteReference w:id="28"/>
      </w:r>
      <w:r>
        <w:rPr>
          <w:rFonts w:cstheme="minorHAnsi"/>
        </w:rPr>
        <w:t xml:space="preserve"> The term ‘marginalisation’ is, for </w:t>
      </w:r>
      <w:proofErr w:type="spellStart"/>
      <w:r>
        <w:rPr>
          <w:rFonts w:cstheme="minorHAnsi"/>
        </w:rPr>
        <w:t>Vermij</w:t>
      </w:r>
      <w:proofErr w:type="spellEnd"/>
      <w:r>
        <w:rPr>
          <w:rFonts w:cstheme="minorHAnsi"/>
        </w:rPr>
        <w:t xml:space="preserve"> and Hirai, addresses what they viewed as a ‘weakening position of astrology’, which is consistent with the definition used in this essay of “decline” as being akin to the “declination of the sun”, that is, the sun setting on astrology into a twilight which has never quite been extinguished. These authors also declare that this problem in the history of science, which appears to be hidden in plain sight, has received both ‘only cursory attention from historians’ on the one hand, and researchers who </w:t>
      </w:r>
      <w:r>
        <w:rPr>
          <w:rFonts w:cstheme="minorHAnsi"/>
          <w:i/>
          <w:iCs/>
        </w:rPr>
        <w:t xml:space="preserve">do </w:t>
      </w:r>
      <w:r>
        <w:rPr>
          <w:rFonts w:cstheme="minorHAnsi"/>
        </w:rPr>
        <w:t xml:space="preserve">examine the problem must do so amidst a ‘fight against the prejudice that their subject is a mere superstition or </w:t>
      </w:r>
      <w:proofErr w:type="spellStart"/>
      <w:r>
        <w:rPr>
          <w:rFonts w:cstheme="minorHAnsi"/>
        </w:rPr>
        <w:t>chimæra</w:t>
      </w:r>
      <w:proofErr w:type="spellEnd"/>
      <w:r>
        <w:rPr>
          <w:rFonts w:cstheme="minorHAnsi"/>
        </w:rPr>
        <w:t xml:space="preserve"> and, therefore, [is] unworthy of serious consideration’.</w:t>
      </w:r>
      <w:r>
        <w:rPr>
          <w:rStyle w:val="FootnoteReference"/>
          <w:rFonts w:cstheme="minorHAnsi"/>
        </w:rPr>
        <w:footnoteReference w:id="29"/>
      </w:r>
      <w:r>
        <w:rPr>
          <w:rFonts w:cstheme="minorHAnsi"/>
        </w:rPr>
        <w:t xml:space="preserve"> </w:t>
      </w:r>
    </w:p>
    <w:p w14:paraId="1037BB63" w14:textId="5CE70ED2" w:rsidR="00562B0F" w:rsidRDefault="00562B0F" w:rsidP="00562B0F">
      <w:pPr>
        <w:spacing w:line="360" w:lineRule="auto"/>
        <w:rPr>
          <w:rFonts w:cstheme="minorHAnsi"/>
        </w:rPr>
      </w:pPr>
      <w:r>
        <w:rPr>
          <w:rFonts w:cstheme="minorHAnsi"/>
        </w:rPr>
        <w:lastRenderedPageBreak/>
        <w:t>These authors noted that the national and regional contexts involved in the marginalisation of astrology constitute ‘a complex process’ which earlier analyses by historians of science had made simplistic by appealing to common positions of ‘changing world views, prohibitions by the Church’ and so on which have not adequately accounted for either the complexities just alluded to or been developed within a more sophisticated framework and historiography of astrology which should be considered as being in their period of formation.</w:t>
      </w:r>
      <w:r>
        <w:rPr>
          <w:rStyle w:val="FootnoteReference"/>
          <w:rFonts w:cstheme="minorHAnsi"/>
        </w:rPr>
        <w:footnoteReference w:id="30"/>
      </w:r>
      <w:r w:rsidR="00E3388C">
        <w:rPr>
          <w:rFonts w:cstheme="minorHAnsi"/>
        </w:rPr>
        <w:t xml:space="preserve"> The following case studies explore certain of these national, regional and – in the case of the University of Valencia in Spain – a very localised one.</w:t>
      </w:r>
    </w:p>
    <w:p w14:paraId="29CFEB0B" w14:textId="208CCF74" w:rsidR="002769C3" w:rsidRDefault="002769C3" w:rsidP="00562B0F">
      <w:pPr>
        <w:spacing w:line="360" w:lineRule="auto"/>
        <w:rPr>
          <w:rFonts w:cstheme="minorHAnsi"/>
          <w:b/>
          <w:bCs/>
        </w:rPr>
      </w:pPr>
      <w:r w:rsidRPr="002769C3">
        <w:rPr>
          <w:rFonts w:cstheme="minorHAnsi"/>
          <w:b/>
          <w:bCs/>
        </w:rPr>
        <w:t xml:space="preserve">The Case of the </w:t>
      </w:r>
      <w:r w:rsidRPr="002769C3">
        <w:rPr>
          <w:rFonts w:cstheme="minorHAnsi"/>
          <w:b/>
          <w:bCs/>
        </w:rPr>
        <w:t xml:space="preserve">Jonathan Dove Series’ </w:t>
      </w:r>
      <w:r w:rsidRPr="002769C3">
        <w:rPr>
          <w:rFonts w:cstheme="minorHAnsi"/>
          <w:b/>
          <w:bCs/>
        </w:rPr>
        <w:t>A</w:t>
      </w:r>
      <w:r w:rsidRPr="002769C3">
        <w:rPr>
          <w:rFonts w:cstheme="minorHAnsi"/>
          <w:b/>
          <w:bCs/>
        </w:rPr>
        <w:t>lmanacs</w:t>
      </w:r>
    </w:p>
    <w:p w14:paraId="5A7D43BE" w14:textId="77777777" w:rsidR="002769C3" w:rsidRDefault="002769C3" w:rsidP="002769C3">
      <w:pPr>
        <w:spacing w:line="360" w:lineRule="auto"/>
        <w:rPr>
          <w:rFonts w:cstheme="minorHAnsi"/>
        </w:rPr>
      </w:pPr>
      <w:r>
        <w:rPr>
          <w:rFonts w:cstheme="minorHAnsi"/>
        </w:rPr>
        <w:t xml:space="preserve">One </w:t>
      </w:r>
      <w:proofErr w:type="gramStart"/>
      <w:r>
        <w:rPr>
          <w:rFonts w:cstheme="minorHAnsi"/>
        </w:rPr>
        <w:t>particular case</w:t>
      </w:r>
      <w:proofErr w:type="gramEnd"/>
      <w:r>
        <w:rPr>
          <w:rFonts w:cstheme="minorHAnsi"/>
        </w:rPr>
        <w:t xml:space="preserve"> study related to the conjecture that astrology went into decline in the latter half of the 17</w:t>
      </w:r>
      <w:r w:rsidRPr="00154454">
        <w:rPr>
          <w:rFonts w:cstheme="minorHAnsi"/>
          <w:vertAlign w:val="superscript"/>
        </w:rPr>
        <w:t>th</w:t>
      </w:r>
      <w:r>
        <w:rPr>
          <w:rFonts w:cstheme="minorHAnsi"/>
        </w:rPr>
        <w:t xml:space="preserve"> century is Ryan Stark’s examination of the Jonathan Dove (1627 – 1709) series of astrological almanacs in England. In addition to being identified as a ‘body of documents’ second only to the Christian Scriptures in terms of circulation numbers, Stark noted that such almanacs ‘played an important role in popularizing learning’s advancements on several fronts, including medicine, historiography, cosmology’ and by association – astrology.</w:t>
      </w:r>
      <w:r>
        <w:rPr>
          <w:rStyle w:val="FootnoteReference"/>
          <w:rFonts w:cstheme="minorHAnsi"/>
        </w:rPr>
        <w:footnoteReference w:id="31"/>
      </w:r>
      <w:r>
        <w:rPr>
          <w:rFonts w:cstheme="minorHAnsi"/>
        </w:rPr>
        <w:t xml:space="preserve"> Indeed, Campion notes that the almanac writers, and their readers, enjoyed a circulation of in excess of ‘a third of a million copies a year in England alone’.</w:t>
      </w:r>
      <w:r>
        <w:rPr>
          <w:rStyle w:val="FootnoteReference"/>
          <w:rFonts w:cstheme="minorHAnsi"/>
        </w:rPr>
        <w:footnoteReference w:id="32"/>
      </w:r>
      <w:r>
        <w:rPr>
          <w:rFonts w:cstheme="minorHAnsi"/>
        </w:rPr>
        <w:t xml:space="preserve"> But the advances in learning provided to the almanac readers just mentioned were tempered by the inverse relationship between their appeal to the ‘middle and lower orders’ in society and the social status of those very readers. </w:t>
      </w:r>
    </w:p>
    <w:p w14:paraId="20A30426" w14:textId="3F1D50AC" w:rsidR="002769C3" w:rsidRDefault="002769C3" w:rsidP="002769C3">
      <w:pPr>
        <w:spacing w:line="360" w:lineRule="auto"/>
        <w:rPr>
          <w:rFonts w:cstheme="minorHAnsi"/>
        </w:rPr>
      </w:pPr>
      <w:r>
        <w:rPr>
          <w:rFonts w:cstheme="minorHAnsi"/>
        </w:rPr>
        <w:t xml:space="preserve">There is an implication - a key role played - in the influence of the Dove Series by the London Stationers, of whom Stark claims transformed the series over a number of years by ‘steadily incorporating newly experimental ideas’ while simultaneously backing away from the </w:t>
      </w:r>
      <w:r>
        <w:rPr>
          <w:rFonts w:cstheme="minorHAnsi"/>
          <w:i/>
          <w:iCs/>
        </w:rPr>
        <w:t xml:space="preserve">esoterica </w:t>
      </w:r>
      <w:r>
        <w:rPr>
          <w:rFonts w:cstheme="minorHAnsi"/>
        </w:rPr>
        <w:t>which typically defined such almanacs.</w:t>
      </w:r>
      <w:r>
        <w:rPr>
          <w:rStyle w:val="FootnoteReference"/>
          <w:rFonts w:cstheme="minorHAnsi"/>
        </w:rPr>
        <w:footnoteReference w:id="33"/>
      </w:r>
      <w:r>
        <w:rPr>
          <w:rFonts w:cstheme="minorHAnsi"/>
          <w:vertAlign w:val="superscript"/>
        </w:rPr>
        <w:t>,</w:t>
      </w:r>
      <w:r>
        <w:rPr>
          <w:rStyle w:val="FootnoteReference"/>
          <w:rFonts w:cstheme="minorHAnsi"/>
        </w:rPr>
        <w:footnoteReference w:id="34"/>
      </w:r>
      <w:r>
        <w:rPr>
          <w:rFonts w:cstheme="minorHAnsi"/>
        </w:rPr>
        <w:t xml:space="preserve"> Stark is aware of the variety of interpretations of the possible reasons for the demise of the </w:t>
      </w:r>
      <w:r w:rsidR="00422316">
        <w:rPr>
          <w:rFonts w:cstheme="minorHAnsi"/>
        </w:rPr>
        <w:t>astrologers</w:t>
      </w:r>
      <w:r>
        <w:rPr>
          <w:rFonts w:cstheme="minorHAnsi"/>
        </w:rPr>
        <w:t xml:space="preserve"> by situating astrological input into the almanacs - noting Ann Geneva’s suggestion of ‘the emergence of latitudinarian science’ and Patrick Curry’s ‘related phenomenon of Carolean politics’.</w:t>
      </w:r>
      <w:r>
        <w:rPr>
          <w:rStyle w:val="FootnoteReference"/>
          <w:rFonts w:cstheme="minorHAnsi"/>
        </w:rPr>
        <w:footnoteReference w:id="35"/>
      </w:r>
    </w:p>
    <w:p w14:paraId="21D8EF47" w14:textId="343E5D7A" w:rsidR="002769C3" w:rsidRDefault="002769C3" w:rsidP="002769C3">
      <w:pPr>
        <w:spacing w:line="360" w:lineRule="auto"/>
        <w:rPr>
          <w:rFonts w:cstheme="minorHAnsi"/>
        </w:rPr>
      </w:pPr>
      <w:r>
        <w:rPr>
          <w:rFonts w:cstheme="minorHAnsi"/>
        </w:rPr>
        <w:lastRenderedPageBreak/>
        <w:t>In terms of the cosmological approaches in the early decades of the Dove Series (ca. 1630s CE), the series is a defender of the Tychonic geo/heliocentric model, and according to Stark the first ‘definitive statement of cosmology in the series’ occurred in the 1636 edition and was dismissive of the Copernican system.</w:t>
      </w:r>
      <w:r>
        <w:rPr>
          <w:rStyle w:val="FootnoteReference"/>
          <w:rFonts w:cstheme="minorHAnsi"/>
        </w:rPr>
        <w:footnoteReference w:id="36"/>
      </w:r>
      <w:r>
        <w:rPr>
          <w:rFonts w:cstheme="minorHAnsi"/>
        </w:rPr>
        <w:t xml:space="preserve"> Apparently, the London Stationers were influential in continuing the Dove Series’ commitments to the Tychonic system, in 1649 publishing a triumphally-spirited defense of that system by publishing new tables of the sizes of the large, outer planets and tables of lunar eclipses taken right out of Tychonic geometric relationships and mathematics.</w:t>
      </w:r>
      <w:r>
        <w:rPr>
          <w:rStyle w:val="FootnoteReference"/>
          <w:rFonts w:cstheme="minorHAnsi"/>
        </w:rPr>
        <w:footnoteReference w:id="37"/>
      </w:r>
      <w:r>
        <w:rPr>
          <w:rFonts w:cstheme="minorHAnsi"/>
        </w:rPr>
        <w:t xml:space="preserve"> Late in the 17</w:t>
      </w:r>
      <w:r w:rsidRPr="00DA42C4">
        <w:rPr>
          <w:rFonts w:cstheme="minorHAnsi"/>
          <w:vertAlign w:val="superscript"/>
        </w:rPr>
        <w:t>th</w:t>
      </w:r>
      <w:r>
        <w:rPr>
          <w:rFonts w:cstheme="minorHAnsi"/>
        </w:rPr>
        <w:t xml:space="preserve"> century – about the 1680s – there occurred a decided shift away from the hybrid egocentricity of Tycho’s cosmos with the provocative inclusion in the 1680 edition of a section entitled </w:t>
      </w:r>
      <w:r>
        <w:rPr>
          <w:rFonts w:cstheme="minorHAnsi"/>
          <w:i/>
          <w:iCs/>
        </w:rPr>
        <w:t xml:space="preserve">A Brief and Rational Account of the Natures, Qualities, and Sexes of the Planets </w:t>
      </w:r>
      <w:r>
        <w:rPr>
          <w:rFonts w:cstheme="minorHAnsi"/>
        </w:rPr>
        <w:t xml:space="preserve">which, according to Stark’s analysis, connoted a subtle shift towards Copernicanism. By 1684, the shift had become more explicit with the recognition that telescopic observations – some seven decades after Galilei’s descriptions of the four Medicean “stars” in orbit around Jupiter – were important enough for the Dove Series to publish upon. Then, in the 1689 edition of that almanac, there appeared a new section entitled </w:t>
      </w:r>
      <w:r>
        <w:rPr>
          <w:rFonts w:cstheme="minorHAnsi"/>
          <w:i/>
          <w:iCs/>
        </w:rPr>
        <w:t>Arguments Proving the Motion of the Earth.</w:t>
      </w:r>
      <w:r>
        <w:rPr>
          <w:rStyle w:val="FootnoteReference"/>
          <w:rFonts w:cstheme="minorHAnsi"/>
          <w:i/>
          <w:iCs/>
        </w:rPr>
        <w:footnoteReference w:id="38"/>
      </w:r>
      <w:r>
        <w:rPr>
          <w:rFonts w:cstheme="minorHAnsi"/>
          <w:i/>
          <w:iCs/>
        </w:rPr>
        <w:t xml:space="preserve"> </w:t>
      </w:r>
      <w:r>
        <w:rPr>
          <w:rFonts w:cstheme="minorHAnsi"/>
        </w:rPr>
        <w:t>That section completely dismisses the Tychonic system by ignoring it, and sets about a full-on exposition of the ‘lying vanities of the astrologers’ which, as Stark contends, was the London Stationers pronouncing most visibly that the ‘stars do not speak to the world’.</w:t>
      </w:r>
      <w:r>
        <w:rPr>
          <w:rStyle w:val="FootnoteReference"/>
          <w:rFonts w:cstheme="minorHAnsi"/>
        </w:rPr>
        <w:footnoteReference w:id="39"/>
      </w:r>
      <w:r>
        <w:rPr>
          <w:rFonts w:cstheme="minorHAnsi"/>
        </w:rPr>
        <w:t xml:space="preserve"> The vast scale of the known universe could not account for the diurnal movement of the stars, the London Stationers had fully embraced heliocentrism by the 1689 edition, and judicial astrology was on its deathbed as a result. It did not spell the end, however, for astrology. </w:t>
      </w:r>
    </w:p>
    <w:p w14:paraId="54FF5A26" w14:textId="34368EE8" w:rsidR="002769C3" w:rsidRPr="00903D2A" w:rsidRDefault="002769C3" w:rsidP="00562B0F">
      <w:pPr>
        <w:spacing w:line="360" w:lineRule="auto"/>
        <w:rPr>
          <w:rFonts w:cstheme="minorHAnsi"/>
        </w:rPr>
      </w:pPr>
      <w:r>
        <w:rPr>
          <w:rFonts w:cstheme="minorHAnsi"/>
        </w:rPr>
        <w:t>Nick Campion also addresses the lasting influences of the Galileian perspective which was singularly attached to his telescopic observations, claiming that such ‘influence extended beyond astronomy and physics to the organisation of society as a whole’, but the broader societal applications of the new views on an old cosmos were taken up by political philosophy in the person of Thomas Hobbes (1588 – 1679).</w:t>
      </w:r>
      <w:r>
        <w:rPr>
          <w:rStyle w:val="FootnoteReference"/>
          <w:rFonts w:cstheme="minorHAnsi"/>
        </w:rPr>
        <w:footnoteReference w:id="40"/>
      </w:r>
      <w:r>
        <w:rPr>
          <w:rFonts w:cstheme="minorHAnsi"/>
        </w:rPr>
        <w:t xml:space="preserve"> According to Campion’s interpretation of Hobbes’ political application of Galileian cosmology to the larger society, the perpetual motion of the heavenly bodies is nevertheless reflected in the movements and behaviours of human individuals; that is, the new cosmological order, its geometry, its </w:t>
      </w:r>
      <w:r>
        <w:rPr>
          <w:rFonts w:cstheme="minorHAnsi"/>
        </w:rPr>
        <w:lastRenderedPageBreak/>
        <w:t>orderliness, even its surety could be mirrored in an earthly system of governance which had similar tendencies, including a taste for authoritarianism which possessed a distaste for public disorderliness.</w:t>
      </w:r>
      <w:r>
        <w:rPr>
          <w:rStyle w:val="FootnoteReference"/>
          <w:rFonts w:cstheme="minorHAnsi"/>
        </w:rPr>
        <w:footnoteReference w:id="41"/>
      </w:r>
      <w:r>
        <w:rPr>
          <w:rFonts w:cstheme="minorHAnsi"/>
        </w:rPr>
        <w:t xml:space="preserve"> Campion maintains that Hobbes – though apparently indifferent to astrology – could be ‘counted among the political opponents of astrology’ in his desire for the ordered life of the state while living and writing at the time of the ‘radical astrological fever of the English republic’.</w:t>
      </w:r>
      <w:r>
        <w:rPr>
          <w:rStyle w:val="FootnoteReference"/>
          <w:rFonts w:cstheme="minorHAnsi"/>
        </w:rPr>
        <w:footnoteReference w:id="42"/>
      </w:r>
    </w:p>
    <w:p w14:paraId="2EC99D66" w14:textId="4913BADD" w:rsidR="00CC4FAB" w:rsidRPr="00CC4FAB" w:rsidRDefault="00CC4FAB" w:rsidP="00474124">
      <w:pPr>
        <w:spacing w:line="360" w:lineRule="auto"/>
        <w:rPr>
          <w:rFonts w:cstheme="minorHAnsi"/>
          <w:b/>
          <w:bCs/>
        </w:rPr>
      </w:pPr>
      <w:r w:rsidRPr="00CC4FAB">
        <w:rPr>
          <w:rFonts w:cstheme="minorHAnsi"/>
          <w:b/>
          <w:bCs/>
        </w:rPr>
        <w:t>The Case of Astrology in Spain</w:t>
      </w:r>
    </w:p>
    <w:p w14:paraId="2A9025FE" w14:textId="1BD396E1" w:rsidR="00474124" w:rsidRDefault="00474124" w:rsidP="00C6275D">
      <w:pPr>
        <w:spacing w:after="0" w:line="360" w:lineRule="auto"/>
        <w:rPr>
          <w:rFonts w:cstheme="minorHAnsi"/>
        </w:rPr>
      </w:pPr>
      <w:r w:rsidRPr="00803442">
        <w:rPr>
          <w:rFonts w:cstheme="minorHAnsi"/>
        </w:rPr>
        <w:t xml:space="preserve">This case </w:t>
      </w:r>
      <w:r>
        <w:rPr>
          <w:rFonts w:cstheme="minorHAnsi"/>
        </w:rPr>
        <w:t>study takes one to 17</w:t>
      </w:r>
      <w:r w:rsidRPr="00803442">
        <w:rPr>
          <w:rFonts w:cstheme="minorHAnsi"/>
          <w:vertAlign w:val="superscript"/>
        </w:rPr>
        <w:t>th</w:t>
      </w:r>
      <w:r>
        <w:rPr>
          <w:rFonts w:cstheme="minorHAnsi"/>
        </w:rPr>
        <w:t xml:space="preserve"> century Spain and the changing academic climate with respect to astrology at the University of Valencia. Her analysis provides a second Iberian perspective on the decline of astrology as a complement to the situation in Portugal as developed by </w:t>
      </w:r>
      <w:proofErr w:type="spellStart"/>
      <w:r>
        <w:rPr>
          <w:rFonts w:cstheme="minorHAnsi"/>
        </w:rPr>
        <w:t>Carolino</w:t>
      </w:r>
      <w:proofErr w:type="spellEnd"/>
      <w:r>
        <w:rPr>
          <w:rFonts w:cstheme="minorHAnsi"/>
        </w:rPr>
        <w:t xml:space="preserve"> and also as an important contemporaneous episode of what was occurring simultaneously in colonial New Spain as described in detail by Ana Avalos</w:t>
      </w:r>
      <w:r w:rsidR="00AF0D81">
        <w:rPr>
          <w:rFonts w:cstheme="minorHAnsi"/>
        </w:rPr>
        <w:t xml:space="preserve"> (cf. next section)</w:t>
      </w:r>
      <w:r>
        <w:rPr>
          <w:rFonts w:cstheme="minorHAnsi"/>
        </w:rPr>
        <w:t>.</w:t>
      </w:r>
      <w:r>
        <w:rPr>
          <w:rStyle w:val="FootnoteReference"/>
          <w:rFonts w:cstheme="minorHAnsi"/>
        </w:rPr>
        <w:footnoteReference w:id="43"/>
      </w:r>
      <w:r>
        <w:rPr>
          <w:rFonts w:cstheme="minorHAnsi"/>
          <w:vertAlign w:val="superscript"/>
        </w:rPr>
        <w:t>,</w:t>
      </w:r>
      <w:r>
        <w:rPr>
          <w:rStyle w:val="FootnoteReference"/>
          <w:rFonts w:cstheme="minorHAnsi"/>
        </w:rPr>
        <w:footnoteReference w:id="44"/>
      </w:r>
      <w:r>
        <w:rPr>
          <w:rFonts w:cstheme="minorHAnsi"/>
        </w:rPr>
        <w:t xml:space="preserve">  Tayra Lanuza Navarro focuses particularly on Valencia as a centre of astrological learning, the teaching of astrology traditions therein, and the emergence of the </w:t>
      </w:r>
      <w:r>
        <w:rPr>
          <w:rFonts w:cstheme="minorHAnsi"/>
          <w:i/>
          <w:iCs/>
        </w:rPr>
        <w:t xml:space="preserve">novatores – </w:t>
      </w:r>
      <w:r>
        <w:rPr>
          <w:rFonts w:cstheme="minorHAnsi"/>
        </w:rPr>
        <w:t>the disciples of the “new sciences” - those who entered the academic discourse in Spain late in the 17</w:t>
      </w:r>
      <w:r w:rsidRPr="003B65A3">
        <w:rPr>
          <w:rFonts w:cstheme="minorHAnsi"/>
          <w:vertAlign w:val="superscript"/>
        </w:rPr>
        <w:t>th</w:t>
      </w:r>
      <w:r>
        <w:rPr>
          <w:rFonts w:cstheme="minorHAnsi"/>
        </w:rPr>
        <w:t xml:space="preserve"> century and may have evolved into the chief adversaries of astrology in the academies of Spain.</w:t>
      </w:r>
      <w:r>
        <w:rPr>
          <w:rStyle w:val="FootnoteReference"/>
          <w:rFonts w:cstheme="minorHAnsi"/>
        </w:rPr>
        <w:footnoteReference w:id="45"/>
      </w:r>
      <w:r>
        <w:rPr>
          <w:rFonts w:cstheme="minorHAnsi"/>
        </w:rPr>
        <w:t xml:space="preserve"> This case operates at the scale of a single institution, and so its insights on astrological decline in Europe are at the level of possibly being </w:t>
      </w:r>
      <w:r>
        <w:rPr>
          <w:rFonts w:cstheme="minorHAnsi"/>
          <w:i/>
          <w:iCs/>
        </w:rPr>
        <w:t>symptomatic</w:t>
      </w:r>
      <w:r>
        <w:rPr>
          <w:rFonts w:cstheme="minorHAnsi"/>
        </w:rPr>
        <w:t xml:space="preserve"> of a much larger-scale decline in the influence of astrology among the academicians of Europe in the late 1600s and into the early decades of the 1700s.</w:t>
      </w:r>
    </w:p>
    <w:p w14:paraId="770E3C17" w14:textId="77777777" w:rsidR="00474124" w:rsidRDefault="00474124" w:rsidP="000A0C3F">
      <w:pPr>
        <w:spacing w:after="0" w:line="360" w:lineRule="auto"/>
        <w:rPr>
          <w:rFonts w:cstheme="minorHAnsi"/>
        </w:rPr>
      </w:pPr>
      <w:r>
        <w:rPr>
          <w:rFonts w:cstheme="minorHAnsi"/>
        </w:rPr>
        <w:t>Navarro opens with a direct appeal to the declining status of the ‘high’ astrological activity in the 17</w:t>
      </w:r>
      <w:r w:rsidRPr="003522E3">
        <w:rPr>
          <w:rFonts w:cstheme="minorHAnsi"/>
          <w:vertAlign w:val="superscript"/>
        </w:rPr>
        <w:t>th</w:t>
      </w:r>
      <w:r>
        <w:rPr>
          <w:rFonts w:cstheme="minorHAnsi"/>
        </w:rPr>
        <w:t xml:space="preserve"> century as codified by Patrick Curry, arguing the thesis in this way:</w:t>
      </w:r>
    </w:p>
    <w:p w14:paraId="78242EBF" w14:textId="77777777" w:rsidR="00474124" w:rsidRDefault="00474124" w:rsidP="000A0C3F">
      <w:pPr>
        <w:spacing w:after="0" w:line="276" w:lineRule="auto"/>
        <w:ind w:left="1440"/>
        <w:rPr>
          <w:rFonts w:cstheme="minorHAnsi"/>
        </w:rPr>
      </w:pPr>
      <w:r>
        <w:rPr>
          <w:rFonts w:cstheme="minorHAnsi"/>
        </w:rPr>
        <w:t xml:space="preserve">When it is said that astrology declined, what is </w:t>
      </w:r>
      <w:proofErr w:type="gramStart"/>
      <w:r>
        <w:rPr>
          <w:rFonts w:cstheme="minorHAnsi"/>
        </w:rPr>
        <w:t>actually meant</w:t>
      </w:r>
      <w:proofErr w:type="gramEnd"/>
      <w:r>
        <w:rPr>
          <w:rFonts w:cstheme="minorHAnsi"/>
        </w:rPr>
        <w:t xml:space="preserve"> is</w:t>
      </w:r>
    </w:p>
    <w:p w14:paraId="1F2240E9" w14:textId="77777777" w:rsidR="00474124" w:rsidRDefault="00474124" w:rsidP="000A0C3F">
      <w:pPr>
        <w:spacing w:after="0" w:line="276" w:lineRule="auto"/>
        <w:ind w:left="1440"/>
        <w:rPr>
          <w:rFonts w:cstheme="minorHAnsi"/>
        </w:rPr>
      </w:pPr>
      <w:r>
        <w:rPr>
          <w:rFonts w:cstheme="minorHAnsi"/>
        </w:rPr>
        <w:t xml:space="preserve">that it disappeared from the intellectual spheres; </w:t>
      </w:r>
      <w:proofErr w:type="gramStart"/>
      <w:r>
        <w:rPr>
          <w:rFonts w:cstheme="minorHAnsi"/>
        </w:rPr>
        <w:t>that scholars</w:t>
      </w:r>
      <w:proofErr w:type="gramEnd"/>
      <w:r>
        <w:rPr>
          <w:rFonts w:cstheme="minorHAnsi"/>
        </w:rPr>
        <w:t xml:space="preserve"> who</w:t>
      </w:r>
    </w:p>
    <w:p w14:paraId="0020F74D" w14:textId="77777777" w:rsidR="00474124" w:rsidRDefault="00474124" w:rsidP="000A0C3F">
      <w:pPr>
        <w:spacing w:after="0" w:line="276" w:lineRule="auto"/>
        <w:ind w:left="1440"/>
        <w:rPr>
          <w:rFonts w:cstheme="minorHAnsi"/>
        </w:rPr>
      </w:pPr>
      <w:r>
        <w:rPr>
          <w:rFonts w:cstheme="minorHAnsi"/>
        </w:rPr>
        <w:t>had previously accepted it as a valid part of natural philosophy</w:t>
      </w:r>
    </w:p>
    <w:p w14:paraId="0BBBF17C" w14:textId="77777777" w:rsidR="00474124" w:rsidRDefault="00474124" w:rsidP="000A0C3F">
      <w:pPr>
        <w:spacing w:after="0" w:line="276" w:lineRule="auto"/>
        <w:ind w:left="1440"/>
        <w:rPr>
          <w:rFonts w:cstheme="minorHAnsi"/>
        </w:rPr>
      </w:pPr>
      <w:r>
        <w:rPr>
          <w:rFonts w:cstheme="minorHAnsi"/>
        </w:rPr>
        <w:t>abandoned it; and that it was removed from the realm of</w:t>
      </w:r>
    </w:p>
    <w:p w14:paraId="60101CB6" w14:textId="5B134A1E" w:rsidR="00474124" w:rsidRDefault="00474124" w:rsidP="000A0C3F">
      <w:pPr>
        <w:spacing w:after="0" w:line="276" w:lineRule="auto"/>
        <w:ind w:left="1440"/>
        <w:rPr>
          <w:rFonts w:cstheme="minorHAnsi"/>
        </w:rPr>
      </w:pPr>
      <w:r>
        <w:rPr>
          <w:rFonts w:cstheme="minorHAnsi"/>
        </w:rPr>
        <w:t>legitimate knowledge.</w:t>
      </w:r>
      <w:r>
        <w:rPr>
          <w:rStyle w:val="FootnoteReference"/>
          <w:rFonts w:cstheme="minorHAnsi"/>
        </w:rPr>
        <w:footnoteReference w:id="46"/>
      </w:r>
    </w:p>
    <w:p w14:paraId="652A5625" w14:textId="208BC63B" w:rsidR="00474124" w:rsidRDefault="00474124" w:rsidP="00BC5893">
      <w:pPr>
        <w:spacing w:after="120" w:line="360" w:lineRule="auto"/>
        <w:rPr>
          <w:rFonts w:cstheme="minorHAnsi"/>
        </w:rPr>
      </w:pPr>
      <w:r>
        <w:rPr>
          <w:rFonts w:cstheme="minorHAnsi"/>
        </w:rPr>
        <w:lastRenderedPageBreak/>
        <w:t xml:space="preserve">In a similar manner as this essay defined the term “decline” as a form of </w:t>
      </w:r>
      <w:r>
        <w:rPr>
          <w:rFonts w:cstheme="minorHAnsi"/>
          <w:i/>
          <w:iCs/>
        </w:rPr>
        <w:t xml:space="preserve">declination, </w:t>
      </w:r>
      <w:r>
        <w:rPr>
          <w:rFonts w:cstheme="minorHAnsi"/>
        </w:rPr>
        <w:t xml:space="preserve">or a polite and structured refusal to continue to accept, </w:t>
      </w:r>
      <w:bookmarkStart w:id="3" w:name="_Hlk102044077"/>
      <w:r>
        <w:rPr>
          <w:rFonts w:cstheme="minorHAnsi"/>
        </w:rPr>
        <w:t xml:space="preserve">Navarro also provides a definition of ‘decline’ when she writes: ‘the term “decline”, [or] any similar concept must be read with caution, yet it is agreed that the decline among the intellectual elites, both in and out of university circles, </w:t>
      </w:r>
      <w:r w:rsidRPr="00143373">
        <w:rPr>
          <w:rFonts w:cstheme="minorHAnsi"/>
          <w:i/>
          <w:iCs/>
        </w:rPr>
        <w:t>concluded</w:t>
      </w:r>
      <w:r>
        <w:rPr>
          <w:rFonts w:cstheme="minorHAnsi"/>
        </w:rPr>
        <w:t xml:space="preserve"> with the removal of astrology instruction from the universities’.</w:t>
      </w:r>
      <w:r>
        <w:rPr>
          <w:rStyle w:val="FootnoteReference"/>
          <w:rFonts w:cstheme="minorHAnsi"/>
        </w:rPr>
        <w:footnoteReference w:id="47"/>
      </w:r>
      <w:r>
        <w:rPr>
          <w:rFonts w:cstheme="minorHAnsi"/>
        </w:rPr>
        <w:t xml:space="preserve"> </w:t>
      </w:r>
      <w:bookmarkEnd w:id="3"/>
      <w:r>
        <w:rPr>
          <w:rFonts w:cstheme="minorHAnsi"/>
        </w:rPr>
        <w:t>Any discussion of the decline of astrology in the academy at Valencia, as his been witnessed elsewhere, was not occurring in Spanish society at large, however. Indeed, Navarro notes that an explosion of popularity of the almanacs, especially in the 18</w:t>
      </w:r>
      <w:r w:rsidRPr="00770202">
        <w:rPr>
          <w:rFonts w:cstheme="minorHAnsi"/>
          <w:vertAlign w:val="superscript"/>
        </w:rPr>
        <w:t>th</w:t>
      </w:r>
      <w:r>
        <w:rPr>
          <w:rFonts w:cstheme="minorHAnsi"/>
        </w:rPr>
        <w:t xml:space="preserve"> century after these same publications had become of waning influence in England and Scotland, was akin to a ‘golden age of astrology’ among those who were not among the intellectual elites in Spain at the time.</w:t>
      </w:r>
      <w:r>
        <w:rPr>
          <w:rStyle w:val="FootnoteReference"/>
          <w:rFonts w:cstheme="minorHAnsi"/>
        </w:rPr>
        <w:footnoteReference w:id="48"/>
      </w:r>
    </w:p>
    <w:p w14:paraId="190DCC0F" w14:textId="5FAB09A7" w:rsidR="00EC2469" w:rsidRDefault="00EC2469" w:rsidP="00474124">
      <w:pPr>
        <w:spacing w:line="360" w:lineRule="auto"/>
        <w:rPr>
          <w:rFonts w:cstheme="minorHAnsi"/>
          <w:b/>
          <w:bCs/>
        </w:rPr>
      </w:pPr>
      <w:r>
        <w:rPr>
          <w:rFonts w:cstheme="minorHAnsi"/>
          <w:b/>
          <w:bCs/>
        </w:rPr>
        <w:t>The Case of Astrology in New Spain</w:t>
      </w:r>
    </w:p>
    <w:p w14:paraId="1591B1E1" w14:textId="22997D10" w:rsidR="00EC2469" w:rsidRDefault="00EC2469" w:rsidP="00EC2469">
      <w:pPr>
        <w:autoSpaceDE w:val="0"/>
        <w:autoSpaceDN w:val="0"/>
        <w:adjustRightInd w:val="0"/>
        <w:spacing w:line="360" w:lineRule="auto"/>
        <w:rPr>
          <w:rFonts w:cstheme="minorHAnsi"/>
        </w:rPr>
      </w:pPr>
      <w:r>
        <w:rPr>
          <w:rFonts w:cstheme="minorHAnsi"/>
        </w:rPr>
        <w:t>Ana Avalos proposes that the roots of any examination of a decline in astrology in the 17</w:t>
      </w:r>
      <w:r w:rsidRPr="002957E8">
        <w:rPr>
          <w:rFonts w:cstheme="minorHAnsi"/>
          <w:vertAlign w:val="superscript"/>
        </w:rPr>
        <w:t>th</w:t>
      </w:r>
      <w:r>
        <w:rPr>
          <w:rFonts w:cstheme="minorHAnsi"/>
        </w:rPr>
        <w:t xml:space="preserve"> century should not begin with the universities, their alleged abandonment of astrology in the curriculum, nor Christian Church pressures to dissuade academicians from activities such as judicial astrology. Avalos claims that concerns about astronomer-astrologers in these respects are ‘marginal’ and not likely fertile ground to seek evidence for any decline.</w:t>
      </w:r>
      <w:r>
        <w:rPr>
          <w:rStyle w:val="FootnoteReference"/>
          <w:rFonts w:cstheme="minorHAnsi"/>
        </w:rPr>
        <w:footnoteReference w:id="49"/>
      </w:r>
      <w:r>
        <w:rPr>
          <w:rFonts w:cstheme="minorHAnsi"/>
        </w:rPr>
        <w:t xml:space="preserve"> </w:t>
      </w:r>
    </w:p>
    <w:p w14:paraId="3F9E285B" w14:textId="7DA79EDE" w:rsidR="00EC2469" w:rsidRPr="00EC2469" w:rsidRDefault="00EC2469" w:rsidP="00A40DDD">
      <w:pPr>
        <w:autoSpaceDE w:val="0"/>
        <w:autoSpaceDN w:val="0"/>
        <w:adjustRightInd w:val="0"/>
        <w:spacing w:line="360" w:lineRule="auto"/>
        <w:rPr>
          <w:rFonts w:cstheme="minorHAnsi"/>
        </w:rPr>
      </w:pPr>
      <w:r>
        <w:rPr>
          <w:rFonts w:cstheme="minorHAnsi"/>
        </w:rPr>
        <w:t>What Avalos does subscribe to is a thesis that the academic, or ‘high’ practices of the astronomer-astrologer of the 17</w:t>
      </w:r>
      <w:r w:rsidRPr="00435640">
        <w:rPr>
          <w:rFonts w:cstheme="minorHAnsi"/>
          <w:vertAlign w:val="superscript"/>
        </w:rPr>
        <w:t>th</w:t>
      </w:r>
      <w:r>
        <w:rPr>
          <w:rFonts w:cstheme="minorHAnsi"/>
        </w:rPr>
        <w:t xml:space="preserve"> century was subject to steady decline in ‘credibility and respectability’ which then had the corollary effect of being unable to form the necessary influential professional societies and provide for the institutional supports for ‘the consolidation of a respected, modern scientific discipline’.</w:t>
      </w:r>
      <w:r>
        <w:rPr>
          <w:rStyle w:val="FootnoteReference"/>
          <w:rFonts w:cstheme="minorHAnsi"/>
        </w:rPr>
        <w:footnoteReference w:id="50"/>
      </w:r>
      <w:r>
        <w:rPr>
          <w:rFonts w:cstheme="minorHAnsi"/>
        </w:rPr>
        <w:t xml:space="preserve"> This ‘deleterious effect on the profession of horoscope casters’, as Nicholas Campion has described it, was exemplified by the inability of astrological communities to erect lasting professional or institutional structures or associations; no incorporated identity and the prospect of being as schismatic as religious institutions, albeit on a smaller scale.</w:t>
      </w:r>
      <w:r>
        <w:rPr>
          <w:rStyle w:val="FootnoteReference"/>
          <w:rFonts w:cstheme="minorHAnsi"/>
        </w:rPr>
        <w:footnoteReference w:id="51"/>
      </w:r>
      <w:r>
        <w:rPr>
          <w:rFonts w:cstheme="minorHAnsi"/>
        </w:rPr>
        <w:t xml:space="preserve"> The philosopher of science, Paul Thagard, said as much when he claimed that it was </w:t>
      </w:r>
      <w:r>
        <w:rPr>
          <w:rFonts w:cstheme="minorHAnsi"/>
          <w:i/>
          <w:iCs/>
        </w:rPr>
        <w:t xml:space="preserve">medical astrology </w:t>
      </w:r>
      <w:r>
        <w:rPr>
          <w:rFonts w:cstheme="minorHAnsi"/>
        </w:rPr>
        <w:t xml:space="preserve">which was deemed ‘scientific enough’ to survive in the academy while other practitioners in astrology were deemed not to be in possession of an effective </w:t>
      </w:r>
      <w:r>
        <w:rPr>
          <w:rFonts w:cstheme="minorHAnsi"/>
        </w:rPr>
        <w:lastRenderedPageBreak/>
        <w:t>communication network.</w:t>
      </w:r>
      <w:r>
        <w:rPr>
          <w:rStyle w:val="FootnoteReference"/>
          <w:rFonts w:cstheme="minorHAnsi"/>
        </w:rPr>
        <w:footnoteReference w:id="52"/>
      </w:r>
      <w:r>
        <w:rPr>
          <w:rFonts w:cstheme="minorHAnsi"/>
        </w:rPr>
        <w:t xml:space="preserve"> In sum, the argument here is that late 17</w:t>
      </w:r>
      <w:r w:rsidRPr="00574022">
        <w:rPr>
          <w:rFonts w:cstheme="minorHAnsi"/>
          <w:vertAlign w:val="superscript"/>
        </w:rPr>
        <w:t>th</w:t>
      </w:r>
      <w:r>
        <w:rPr>
          <w:rFonts w:cstheme="minorHAnsi"/>
        </w:rPr>
        <w:t xml:space="preserve"> century astronomer-astrologer academicians became increasingly marginalised, isolated, disreputable, and hidden from the novel scientific worldviews being established throughout Europe. As is well known in the cases of Galileo Galilei and Johannes Kepler, it was not astrology itself which declined or faced a near-death experience in this period, it was more a question of who remained a practitioner, what social status they may have had (or did not have), and </w:t>
      </w:r>
      <w:proofErr w:type="gramStart"/>
      <w:r>
        <w:rPr>
          <w:rFonts w:cstheme="minorHAnsi"/>
        </w:rPr>
        <w:t>whether or not</w:t>
      </w:r>
      <w:proofErr w:type="gramEnd"/>
      <w:r>
        <w:rPr>
          <w:rFonts w:cstheme="minorHAnsi"/>
        </w:rPr>
        <w:t xml:space="preserve"> an astrological community functioned in a particular place and did not face ostracism. As Thagard framed it, however, ‘</w:t>
      </w:r>
      <w:r w:rsidR="00F44B86">
        <w:rPr>
          <w:rFonts w:cstheme="minorHAnsi"/>
        </w:rPr>
        <w:t>ostracism</w:t>
      </w:r>
      <w:r>
        <w:rPr>
          <w:rFonts w:cstheme="minorHAnsi"/>
        </w:rPr>
        <w:t xml:space="preserve"> is not a defense against being judged as pseudoscientific’, but a community of practitioners can be deemed “scientific” in one era, and “pseudoscientific” in another. This may well apply within the academy or scientific “circles”, but it is not easily applied to the general society which relativizes its criteria for social acceptance.</w:t>
      </w:r>
      <w:r>
        <w:rPr>
          <w:rStyle w:val="FootnoteReference"/>
          <w:rFonts w:cstheme="minorHAnsi"/>
        </w:rPr>
        <w:footnoteReference w:id="53"/>
      </w:r>
      <w:r>
        <w:rPr>
          <w:rFonts w:cstheme="minorHAnsi"/>
        </w:rPr>
        <w:t xml:space="preserve"> </w:t>
      </w:r>
    </w:p>
    <w:p w14:paraId="17ACEF1B" w14:textId="0CF14F67" w:rsidR="00562B0F" w:rsidRDefault="00A40DDD" w:rsidP="00562B0F">
      <w:pPr>
        <w:spacing w:line="360" w:lineRule="auto"/>
        <w:rPr>
          <w:rFonts w:cstheme="minorHAnsi"/>
          <w:b/>
          <w:bCs/>
        </w:rPr>
      </w:pPr>
      <w:r>
        <w:rPr>
          <w:rFonts w:cstheme="minorHAnsi"/>
          <w:b/>
          <w:bCs/>
        </w:rPr>
        <w:t>Concluding Remarks</w:t>
      </w:r>
    </w:p>
    <w:p w14:paraId="75DB15E9" w14:textId="341C452B" w:rsidR="00C6275D" w:rsidRPr="00C6275D" w:rsidRDefault="002E2DBA" w:rsidP="00633CD6">
      <w:pPr>
        <w:spacing w:after="0" w:line="360" w:lineRule="auto"/>
        <w:contextualSpacing/>
        <w:rPr>
          <w:rFonts w:cstheme="minorHAnsi"/>
        </w:rPr>
      </w:pPr>
      <w:r>
        <w:rPr>
          <w:rFonts w:cstheme="minorHAnsi"/>
        </w:rPr>
        <w:t xml:space="preserve">This essay examined the question: </w:t>
      </w:r>
      <w:r>
        <w:t>“Did Belief in Astrology Decline in the Seventeenth Century</w:t>
      </w:r>
      <w:r>
        <w:t>?</w:t>
      </w:r>
      <w:r>
        <w:t>”.</w:t>
      </w:r>
      <w:r>
        <w:t xml:space="preserve"> </w:t>
      </w:r>
      <w:r w:rsidR="00AC2A92">
        <w:t xml:space="preserve">At the outset, descriptions were provided on the </w:t>
      </w:r>
      <w:r w:rsidR="00AC2A92">
        <w:t>nature and cultures of belief and unbelief</w:t>
      </w:r>
      <w:r w:rsidR="00AC2A92">
        <w:t xml:space="preserve"> and importantly how ‘belief’ is to be defined. The operational definition of belief in astrology is essentially two-fold: engaging in the practices of astrology or consuming the products of those practices – particularly in the form of mass-distribution almanacs</w:t>
      </w:r>
      <w:r w:rsidR="00142700">
        <w:t>.</w:t>
      </w:r>
      <w:r w:rsidR="00AC2A92">
        <w:t xml:space="preserve"> Both ‘belief’ and ‘decline’ are intertwined with respect to astrology</w:t>
      </w:r>
      <w:r w:rsidR="00142700">
        <w:t xml:space="preserve"> and at times are paradoxical. That is, there can be a virtual complete loss of astrology among academic programs and their institutions on the one hand, while public consumption of the products of astrologers can be at its apex in a society – simultaneously. The numerical analysis of astrological publications is an example of this. During the latter half of the 17</w:t>
      </w:r>
      <w:r w:rsidR="00142700" w:rsidRPr="00142700">
        <w:rPr>
          <w:vertAlign w:val="superscript"/>
        </w:rPr>
        <w:t>th</w:t>
      </w:r>
      <w:r w:rsidR="00142700">
        <w:t xml:space="preserve"> century there were national if not regional losses of </w:t>
      </w:r>
      <w:proofErr w:type="spellStart"/>
      <w:r w:rsidR="00142700">
        <w:t>Currian</w:t>
      </w:r>
      <w:proofErr w:type="spellEnd"/>
      <w:r w:rsidR="00142700">
        <w:t xml:space="preserve"> ‘high’ astrology, but voluminous consumption of astrological almanacs, developed by ‘middling’ astrologers and consumed by</w:t>
      </w:r>
      <w:r w:rsidR="00C6275D">
        <w:t xml:space="preserve"> the perceived vulgarity of debased, ‘low’</w:t>
      </w:r>
      <w:r w:rsidR="00AF0D81">
        <w:t xml:space="preserve"> </w:t>
      </w:r>
      <w:r w:rsidR="00C6275D">
        <w:t>astrology.</w:t>
      </w:r>
    </w:p>
    <w:p w14:paraId="5C090EA1" w14:textId="13C78107" w:rsidR="002E2DBA" w:rsidRPr="008C43B7" w:rsidRDefault="002E2DBA" w:rsidP="00633CD6">
      <w:pPr>
        <w:spacing w:after="0" w:line="360" w:lineRule="auto"/>
        <w:contextualSpacing/>
        <w:rPr>
          <w:rFonts w:cstheme="minorHAnsi"/>
        </w:rPr>
      </w:pPr>
      <w:r>
        <w:rPr>
          <w:rFonts w:cstheme="minorHAnsi"/>
        </w:rPr>
        <w:t>There is a recurring theme among historians of astrology that a kind of status-loss in the academy, characterised by the commensurate inability to erect – or maintain – the sorts of institutional supports required to nourish the appropriate intellectual conditions were primary contributing factors in the interpretation of astrological decline. Navarro’s analysis</w:t>
      </w:r>
      <w:r w:rsidR="00633CD6">
        <w:rPr>
          <w:rFonts w:cstheme="minorHAnsi"/>
        </w:rPr>
        <w:t>, for instance,</w:t>
      </w:r>
      <w:r>
        <w:rPr>
          <w:rFonts w:cstheme="minorHAnsi"/>
        </w:rPr>
        <w:t xml:space="preserve"> of the university curriculum situation at Valencia (removal of astrology from curricula) together with a stubborn maintenance of </w:t>
      </w:r>
      <w:r>
        <w:rPr>
          <w:rFonts w:cstheme="minorHAnsi"/>
        </w:rPr>
        <w:lastRenderedPageBreak/>
        <w:t>university structures (</w:t>
      </w:r>
      <w:r w:rsidR="00633CD6">
        <w:rPr>
          <w:rFonts w:cstheme="minorHAnsi"/>
        </w:rPr>
        <w:t xml:space="preserve">e.g., </w:t>
      </w:r>
      <w:r>
        <w:rPr>
          <w:rFonts w:cstheme="minorHAnsi"/>
        </w:rPr>
        <w:t xml:space="preserve">as patronage chairs of astrology) at the same institution makes it difficult to align </w:t>
      </w:r>
      <w:r w:rsidR="00633CD6">
        <w:rPr>
          <w:rFonts w:cstheme="minorHAnsi"/>
        </w:rPr>
        <w:t>such a</w:t>
      </w:r>
      <w:r>
        <w:rPr>
          <w:rFonts w:cstheme="minorHAnsi"/>
        </w:rPr>
        <w:t xml:space="preserve"> position with the sociological aspects of Patrick Curry’s thesis of cultural and political elites seeming to act publicly against astrology from a policy perspective. The ‘breach between high and low culture’ of Curry fails the test of the marginalisation of astrology from the purely ‘high philosophical’ perspective at Valencia, but from the practical perspective there was room in the Spain of the 17th century for a certain </w:t>
      </w:r>
      <w:r w:rsidR="00633CD6">
        <w:rPr>
          <w:rFonts w:cstheme="minorHAnsi"/>
          <w:i/>
          <w:iCs/>
        </w:rPr>
        <w:t xml:space="preserve">status quo </w:t>
      </w:r>
      <w:r>
        <w:rPr>
          <w:rFonts w:cstheme="minorHAnsi"/>
        </w:rPr>
        <w:t xml:space="preserve">in academic circles. </w:t>
      </w:r>
      <w:r w:rsidR="008341A4">
        <w:rPr>
          <w:rFonts w:cstheme="minorHAnsi"/>
        </w:rPr>
        <w:t>In the case of the</w:t>
      </w:r>
      <w:r>
        <w:rPr>
          <w:rFonts w:cstheme="minorHAnsi"/>
        </w:rPr>
        <w:t xml:space="preserve"> </w:t>
      </w:r>
      <w:r>
        <w:rPr>
          <w:rFonts w:cstheme="minorHAnsi"/>
          <w:i/>
          <w:iCs/>
        </w:rPr>
        <w:t>novatores</w:t>
      </w:r>
      <w:r w:rsidR="008341A4">
        <w:rPr>
          <w:rFonts w:cstheme="minorHAnsi"/>
          <w:i/>
          <w:iCs/>
        </w:rPr>
        <w:t>,</w:t>
      </w:r>
      <w:r>
        <w:rPr>
          <w:rFonts w:cstheme="minorHAnsi"/>
          <w:i/>
          <w:iCs/>
        </w:rPr>
        <w:t xml:space="preserve"> </w:t>
      </w:r>
      <w:r w:rsidR="008341A4">
        <w:rPr>
          <w:rFonts w:cstheme="minorHAnsi"/>
        </w:rPr>
        <w:t xml:space="preserve">they </w:t>
      </w:r>
      <w:r>
        <w:rPr>
          <w:rFonts w:cstheme="minorHAnsi"/>
        </w:rPr>
        <w:t xml:space="preserve">did not intentionally remove astrology from its scholarly context even though it seems clear that they were not practitioners of astrology nor were their inclinations favourable to the discipline itself. </w:t>
      </w:r>
      <w:r w:rsidR="008341A4">
        <w:rPr>
          <w:rFonts w:cstheme="minorHAnsi"/>
        </w:rPr>
        <w:t>There are contradictions among those who practiced astrology in the 17</w:t>
      </w:r>
      <w:r w:rsidR="008341A4" w:rsidRPr="008341A4">
        <w:rPr>
          <w:rFonts w:cstheme="minorHAnsi"/>
          <w:vertAlign w:val="superscript"/>
        </w:rPr>
        <w:t>th</w:t>
      </w:r>
      <w:r w:rsidR="008341A4">
        <w:rPr>
          <w:rFonts w:cstheme="minorHAnsi"/>
        </w:rPr>
        <w:t xml:space="preserve"> century and contraindications among those who sought it out or consumed it. </w:t>
      </w:r>
      <w:r>
        <w:rPr>
          <w:rFonts w:cstheme="minorHAnsi"/>
        </w:rPr>
        <w:t xml:space="preserve">The situation </w:t>
      </w:r>
      <w:r w:rsidR="008341A4">
        <w:rPr>
          <w:rFonts w:cstheme="minorHAnsi"/>
        </w:rPr>
        <w:t xml:space="preserve">among historians of astrology may incline to </w:t>
      </w:r>
      <w:r>
        <w:rPr>
          <w:rFonts w:cstheme="minorHAnsi"/>
        </w:rPr>
        <w:t xml:space="preserve">Darrel </w:t>
      </w:r>
      <w:proofErr w:type="spellStart"/>
      <w:r>
        <w:rPr>
          <w:rFonts w:cstheme="minorHAnsi"/>
        </w:rPr>
        <w:t>Rutkin</w:t>
      </w:r>
      <w:proofErr w:type="spellEnd"/>
      <w:r w:rsidR="008341A4">
        <w:rPr>
          <w:rFonts w:cstheme="minorHAnsi"/>
        </w:rPr>
        <w:t>,</w:t>
      </w:r>
      <w:r>
        <w:rPr>
          <w:rFonts w:cstheme="minorHAnsi"/>
        </w:rPr>
        <w:t xml:space="preserve"> who proposed that a ‘well-articulated historically and conceptually sound interpretive framework’ is needed </w:t>
      </w:r>
      <w:proofErr w:type="gramStart"/>
      <w:r>
        <w:rPr>
          <w:rFonts w:cstheme="minorHAnsi"/>
        </w:rPr>
        <w:t>that centres</w:t>
      </w:r>
      <w:proofErr w:type="gramEnd"/>
      <w:r>
        <w:rPr>
          <w:rFonts w:cstheme="minorHAnsi"/>
        </w:rPr>
        <w:t xml:space="preserve"> itself on the importance </w:t>
      </w:r>
      <w:r w:rsidR="008341A4">
        <w:rPr>
          <w:rFonts w:cstheme="minorHAnsi"/>
        </w:rPr>
        <w:t>o</w:t>
      </w:r>
      <w:r>
        <w:rPr>
          <w:rFonts w:cstheme="minorHAnsi"/>
        </w:rPr>
        <w:t>f scholasticism.</w:t>
      </w:r>
      <w:r w:rsidR="0027702C" w:rsidRPr="0027702C">
        <w:rPr>
          <w:rStyle w:val="FootnoteReference"/>
          <w:rFonts w:cstheme="minorHAnsi"/>
        </w:rPr>
        <w:t xml:space="preserve"> </w:t>
      </w:r>
      <w:r w:rsidR="0027702C">
        <w:rPr>
          <w:rStyle w:val="FootnoteReference"/>
          <w:rFonts w:cstheme="minorHAnsi"/>
        </w:rPr>
        <w:footnoteReference w:id="54"/>
      </w:r>
      <w:r>
        <w:rPr>
          <w:rFonts w:cstheme="minorHAnsi"/>
        </w:rPr>
        <w:t xml:space="preserve"> That is, </w:t>
      </w:r>
      <w:r w:rsidR="008341A4">
        <w:rPr>
          <w:rFonts w:cstheme="minorHAnsi"/>
        </w:rPr>
        <w:t>a</w:t>
      </w:r>
      <w:r>
        <w:rPr>
          <w:rFonts w:cstheme="minorHAnsi"/>
        </w:rPr>
        <w:t xml:space="preserve"> view that </w:t>
      </w:r>
      <w:r w:rsidR="008341A4">
        <w:rPr>
          <w:rFonts w:cstheme="minorHAnsi"/>
        </w:rPr>
        <w:t>17</w:t>
      </w:r>
      <w:r w:rsidR="008341A4" w:rsidRPr="008341A4">
        <w:rPr>
          <w:rFonts w:cstheme="minorHAnsi"/>
          <w:vertAlign w:val="superscript"/>
        </w:rPr>
        <w:t>th</w:t>
      </w:r>
      <w:r w:rsidR="008341A4">
        <w:rPr>
          <w:rFonts w:cstheme="minorHAnsi"/>
        </w:rPr>
        <w:t xml:space="preserve"> century astrology</w:t>
      </w:r>
      <w:r>
        <w:rPr>
          <w:rFonts w:cstheme="minorHAnsi"/>
        </w:rPr>
        <w:t xml:space="preserve"> was a changing and evolving </w:t>
      </w:r>
      <w:r>
        <w:rPr>
          <w:rFonts w:cstheme="minorHAnsi"/>
          <w:i/>
          <w:iCs/>
        </w:rPr>
        <w:t xml:space="preserve">disciplinary matrix </w:t>
      </w:r>
      <w:r>
        <w:rPr>
          <w:rFonts w:cstheme="minorHAnsi"/>
        </w:rPr>
        <w:t xml:space="preserve">in the universities and their curricula from that handed down </w:t>
      </w:r>
      <w:r w:rsidR="0027702C">
        <w:rPr>
          <w:rFonts w:cstheme="minorHAnsi"/>
        </w:rPr>
        <w:t xml:space="preserve">to them </w:t>
      </w:r>
      <w:r>
        <w:rPr>
          <w:rFonts w:cstheme="minorHAnsi"/>
        </w:rPr>
        <w:t>from the Medieval universities</w:t>
      </w:r>
      <w:r w:rsidR="00AE3A9F">
        <w:rPr>
          <w:rFonts w:cstheme="minorHAnsi"/>
        </w:rPr>
        <w:t>.</w:t>
      </w:r>
      <w:r>
        <w:rPr>
          <w:rFonts w:cstheme="minorHAnsi"/>
        </w:rPr>
        <w:t xml:space="preserve"> </w:t>
      </w:r>
      <w:r w:rsidR="00AE3A9F">
        <w:rPr>
          <w:rFonts w:cstheme="minorHAnsi"/>
        </w:rPr>
        <w:t>Such a view</w:t>
      </w:r>
      <w:r>
        <w:rPr>
          <w:rFonts w:cstheme="minorHAnsi"/>
        </w:rPr>
        <w:t xml:space="preserve"> may offer</w:t>
      </w:r>
      <w:r w:rsidR="00AE3A9F">
        <w:rPr>
          <w:rFonts w:cstheme="minorHAnsi"/>
        </w:rPr>
        <w:t xml:space="preserve"> to </w:t>
      </w:r>
      <w:proofErr w:type="gramStart"/>
      <w:r w:rsidR="00AE3A9F">
        <w:rPr>
          <w:rFonts w:cstheme="minorHAnsi"/>
        </w:rPr>
        <w:t>scholars</w:t>
      </w:r>
      <w:proofErr w:type="gramEnd"/>
      <w:r>
        <w:rPr>
          <w:rFonts w:cstheme="minorHAnsi"/>
        </w:rPr>
        <w:t xml:space="preserve"> </w:t>
      </w:r>
      <w:r w:rsidR="00AE3A9F">
        <w:rPr>
          <w:rFonts w:cstheme="minorHAnsi"/>
        </w:rPr>
        <w:t>valuable</w:t>
      </w:r>
      <w:r>
        <w:rPr>
          <w:rFonts w:cstheme="minorHAnsi"/>
        </w:rPr>
        <w:t xml:space="preserve"> historiographical insights into the examination of a decline in the influence of astrology among 17</w:t>
      </w:r>
      <w:r w:rsidRPr="00971B19">
        <w:rPr>
          <w:rFonts w:cstheme="minorHAnsi"/>
          <w:vertAlign w:val="superscript"/>
        </w:rPr>
        <w:t>th</w:t>
      </w:r>
      <w:r>
        <w:rPr>
          <w:rFonts w:cstheme="minorHAnsi"/>
        </w:rPr>
        <w:t xml:space="preserve"> century intellectuals. To paraphrase, what the curriculum says about the value of a discipline is what is then taught and nourished among its philosophical adherents. Society at large does not require nor asks for approbation from the elites in terms of an academic </w:t>
      </w:r>
      <w:r>
        <w:rPr>
          <w:rFonts w:cstheme="minorHAnsi"/>
          <w:i/>
          <w:iCs/>
        </w:rPr>
        <w:t>curriculum vitae</w:t>
      </w:r>
      <w:r>
        <w:rPr>
          <w:rFonts w:cstheme="minorHAnsi"/>
        </w:rPr>
        <w:t xml:space="preserve">. That astrological curriculum is one which governs life itself – the </w:t>
      </w:r>
      <w:r w:rsidRPr="00921C48">
        <w:rPr>
          <w:rFonts w:cstheme="minorHAnsi"/>
          <w:i/>
          <w:iCs/>
        </w:rPr>
        <w:t>curriculum vitae</w:t>
      </w:r>
      <w:r>
        <w:rPr>
          <w:rFonts w:cstheme="minorHAnsi"/>
          <w:i/>
          <w:iCs/>
        </w:rPr>
        <w:t xml:space="preserve"> </w:t>
      </w:r>
      <w:proofErr w:type="spellStart"/>
      <w:r w:rsidRPr="00921C48">
        <w:rPr>
          <w:rFonts w:cstheme="minorHAnsi"/>
          <w:i/>
          <w:iCs/>
        </w:rPr>
        <w:t>astrologicum</w:t>
      </w:r>
      <w:proofErr w:type="spellEnd"/>
      <w:r>
        <w:rPr>
          <w:rFonts w:cstheme="minorHAnsi"/>
          <w:i/>
          <w:iCs/>
        </w:rPr>
        <w:t>.</w:t>
      </w:r>
      <w:r>
        <w:rPr>
          <w:rFonts w:cstheme="minorHAnsi"/>
        </w:rPr>
        <w:t xml:space="preserve"> </w:t>
      </w:r>
    </w:p>
    <w:p w14:paraId="2854E605" w14:textId="77777777" w:rsidR="002E2DBA" w:rsidRPr="00A40DDD" w:rsidRDefault="002E2DBA" w:rsidP="00562B0F">
      <w:pPr>
        <w:spacing w:line="360" w:lineRule="auto"/>
        <w:rPr>
          <w:rFonts w:cstheme="minorHAnsi"/>
          <w:b/>
          <w:bCs/>
        </w:rPr>
      </w:pPr>
    </w:p>
    <w:p w14:paraId="00E55CFD" w14:textId="77777777" w:rsidR="002870D9" w:rsidRDefault="002870D9" w:rsidP="00A350DC">
      <w:pPr>
        <w:spacing w:line="360" w:lineRule="auto"/>
        <w:rPr>
          <w:rFonts w:cstheme="minorHAnsi"/>
        </w:rPr>
      </w:pPr>
    </w:p>
    <w:p w14:paraId="3A77A10E" w14:textId="77777777" w:rsidR="002870D9" w:rsidRPr="00FB1026" w:rsidRDefault="002870D9" w:rsidP="00127052">
      <w:pPr>
        <w:spacing w:after="0" w:line="360" w:lineRule="auto"/>
        <w:rPr>
          <w:rFonts w:cstheme="minorHAnsi"/>
        </w:rPr>
      </w:pPr>
    </w:p>
    <w:p w14:paraId="6C856EE5" w14:textId="77777777" w:rsidR="009C6926" w:rsidRPr="005C2EFF" w:rsidRDefault="009C6926" w:rsidP="005C2EFF">
      <w:pPr>
        <w:pStyle w:val="NormalWeb"/>
        <w:spacing w:after="0" w:afterAutospacing="0" w:line="360" w:lineRule="auto"/>
        <w:rPr>
          <w:rFonts w:asciiTheme="minorHAnsi" w:hAnsiTheme="minorHAnsi" w:cstheme="minorHAnsi"/>
          <w:sz w:val="22"/>
          <w:szCs w:val="22"/>
        </w:rPr>
      </w:pPr>
    </w:p>
    <w:p w14:paraId="415B47AD" w14:textId="77777777" w:rsidR="006E51C8" w:rsidRDefault="006E51C8" w:rsidP="00585522">
      <w:pPr>
        <w:spacing w:after="120" w:line="276" w:lineRule="auto"/>
        <w:rPr>
          <w:b/>
          <w:bCs/>
        </w:rPr>
      </w:pPr>
    </w:p>
    <w:p w14:paraId="1B2CB247" w14:textId="77777777" w:rsidR="009C6926" w:rsidRDefault="009C6926" w:rsidP="00585522">
      <w:pPr>
        <w:spacing w:after="120" w:line="276" w:lineRule="auto"/>
        <w:rPr>
          <w:b/>
          <w:bCs/>
        </w:rPr>
      </w:pPr>
    </w:p>
    <w:p w14:paraId="027CABBD" w14:textId="03D51B40" w:rsidR="00850AC2" w:rsidRDefault="004156CE" w:rsidP="004156CE">
      <w:pPr>
        <w:rPr>
          <w:b/>
          <w:bCs/>
        </w:rPr>
      </w:pPr>
      <w:r>
        <w:rPr>
          <w:b/>
          <w:bCs/>
        </w:rPr>
        <w:br w:type="page"/>
      </w:r>
    </w:p>
    <w:p w14:paraId="68EE7E57" w14:textId="767ED33C" w:rsidR="00A67238" w:rsidRPr="00B4612D" w:rsidRDefault="005A7A17" w:rsidP="00740F4B">
      <w:pPr>
        <w:jc w:val="center"/>
      </w:pPr>
      <w:r w:rsidRPr="00B4612D">
        <w:rPr>
          <w:b/>
          <w:bCs/>
        </w:rPr>
        <w:lastRenderedPageBreak/>
        <w:t>References</w:t>
      </w:r>
    </w:p>
    <w:p w14:paraId="0308370F" w14:textId="7A7A8C92" w:rsidR="00A67238" w:rsidRPr="00A67238" w:rsidRDefault="00A67238" w:rsidP="00A67238">
      <w:pPr>
        <w:rPr>
          <w:rFonts w:cstheme="minorHAnsi"/>
          <w:b/>
          <w:bCs/>
          <w:sz w:val="20"/>
          <w:szCs w:val="20"/>
        </w:rPr>
      </w:pPr>
      <w:r w:rsidRPr="00A67238">
        <w:rPr>
          <w:rFonts w:cstheme="minorHAnsi"/>
          <w:b/>
          <w:bCs/>
          <w:sz w:val="20"/>
          <w:szCs w:val="20"/>
        </w:rPr>
        <w:t>Primary Sources</w:t>
      </w:r>
      <w:r>
        <w:rPr>
          <w:rFonts w:cstheme="minorHAnsi"/>
          <w:b/>
          <w:bCs/>
          <w:sz w:val="20"/>
          <w:szCs w:val="20"/>
        </w:rPr>
        <w:t>:</w:t>
      </w:r>
    </w:p>
    <w:p w14:paraId="4C8AFFD4" w14:textId="30B812EB" w:rsidR="00E73973" w:rsidRPr="00E73973" w:rsidRDefault="00E73973" w:rsidP="00E73973">
      <w:pPr>
        <w:autoSpaceDE w:val="0"/>
        <w:autoSpaceDN w:val="0"/>
        <w:adjustRightInd w:val="0"/>
        <w:rPr>
          <w:rFonts w:cstheme="minorHAnsi"/>
          <w:sz w:val="20"/>
          <w:szCs w:val="20"/>
        </w:rPr>
      </w:pPr>
      <w:bookmarkStart w:id="4" w:name="_Hlk98093460"/>
      <w:r w:rsidRPr="00E73973">
        <w:rPr>
          <w:rFonts w:cstheme="minorHAnsi"/>
          <w:sz w:val="20"/>
          <w:szCs w:val="20"/>
        </w:rPr>
        <w:t xml:space="preserve">Avalos, Ana, </w:t>
      </w:r>
      <w:r w:rsidRPr="00E73973">
        <w:rPr>
          <w:rFonts w:cstheme="minorHAnsi"/>
          <w:i/>
          <w:iCs/>
          <w:sz w:val="20"/>
          <w:szCs w:val="20"/>
        </w:rPr>
        <w:t xml:space="preserve">As Above, So Below: Astrology and the Inquisition in Seventeenth-Century New Spain. </w:t>
      </w:r>
      <w:r w:rsidRPr="00E73973">
        <w:rPr>
          <w:rFonts w:cstheme="minorHAnsi"/>
          <w:sz w:val="20"/>
          <w:szCs w:val="20"/>
        </w:rPr>
        <w:t>Unpublished doctoral thesis, European University Institute, Florence 2007. 379 pp.</w:t>
      </w:r>
    </w:p>
    <w:p w14:paraId="3CEE5C6F" w14:textId="198CE071" w:rsidR="00850AC2" w:rsidRDefault="00850AC2" w:rsidP="00CE2876">
      <w:pPr>
        <w:spacing w:after="0" w:line="240" w:lineRule="auto"/>
        <w:rPr>
          <w:rFonts w:eastAsia="Times New Roman" w:cstheme="minorHAnsi"/>
          <w:sz w:val="20"/>
          <w:szCs w:val="20"/>
          <w:lang w:eastAsia="en-CA"/>
        </w:rPr>
      </w:pPr>
      <w:r w:rsidRPr="00CE2876">
        <w:rPr>
          <w:rFonts w:eastAsia="Times New Roman" w:cstheme="minorHAnsi"/>
          <w:sz w:val="20"/>
          <w:szCs w:val="20"/>
          <w:lang w:eastAsia="en-CA"/>
        </w:rPr>
        <w:t xml:space="preserve">Campion, Nicholas, ‘Prophecy, </w:t>
      </w:r>
      <w:proofErr w:type="gramStart"/>
      <w:r w:rsidRPr="00CE2876">
        <w:rPr>
          <w:rFonts w:eastAsia="Times New Roman" w:cstheme="minorHAnsi"/>
          <w:sz w:val="20"/>
          <w:szCs w:val="20"/>
          <w:lang w:eastAsia="en-CA"/>
        </w:rPr>
        <w:t>Cosmology</w:t>
      </w:r>
      <w:proofErr w:type="gramEnd"/>
      <w:r w:rsidRPr="00CE2876">
        <w:rPr>
          <w:rFonts w:eastAsia="Times New Roman" w:cstheme="minorHAnsi"/>
          <w:sz w:val="20"/>
          <w:szCs w:val="20"/>
          <w:lang w:eastAsia="en-CA"/>
        </w:rPr>
        <w:t xml:space="preserve"> and the New Age Movement: The Extent and Nature of Contemporary Belief in Astrology, unpublished doctoral thesis, University of the West of England, 2004. </w:t>
      </w:r>
    </w:p>
    <w:p w14:paraId="3109A517" w14:textId="5A0F1DF3" w:rsidR="00E125C1" w:rsidRDefault="00E125C1" w:rsidP="00CE2876">
      <w:pPr>
        <w:spacing w:after="0" w:line="240" w:lineRule="auto"/>
        <w:rPr>
          <w:rFonts w:eastAsia="Times New Roman" w:cstheme="minorHAnsi"/>
          <w:sz w:val="20"/>
          <w:szCs w:val="20"/>
          <w:lang w:eastAsia="en-CA"/>
        </w:rPr>
      </w:pPr>
    </w:p>
    <w:p w14:paraId="6C2ABDF1" w14:textId="32F3294E" w:rsidR="003D54B7" w:rsidRPr="00E73973" w:rsidRDefault="00E125C1" w:rsidP="00E73973">
      <w:pPr>
        <w:rPr>
          <w:rFonts w:cstheme="minorHAnsi"/>
          <w:sz w:val="20"/>
          <w:szCs w:val="20"/>
        </w:rPr>
      </w:pPr>
      <w:proofErr w:type="spellStart"/>
      <w:r w:rsidRPr="00E125C1">
        <w:rPr>
          <w:rFonts w:cstheme="minorHAnsi"/>
          <w:sz w:val="20"/>
          <w:szCs w:val="20"/>
        </w:rPr>
        <w:t>Carolino</w:t>
      </w:r>
      <w:proofErr w:type="spellEnd"/>
      <w:r w:rsidRPr="00E125C1">
        <w:rPr>
          <w:rFonts w:cstheme="minorHAnsi"/>
          <w:sz w:val="20"/>
          <w:szCs w:val="20"/>
        </w:rPr>
        <w:t xml:space="preserve">, Luís Miguel. ‘The Jesuit Paradox: Intellectual Authority, Political Power, and the Marginalization of Astrology in Early Modern Portugal’, </w:t>
      </w:r>
      <w:r w:rsidRPr="00E125C1">
        <w:rPr>
          <w:rFonts w:cstheme="minorHAnsi"/>
          <w:i/>
          <w:iCs/>
          <w:sz w:val="20"/>
          <w:szCs w:val="20"/>
        </w:rPr>
        <w:t>Early Science and Medicine</w:t>
      </w:r>
      <w:r w:rsidRPr="00E125C1">
        <w:rPr>
          <w:rFonts w:cstheme="minorHAnsi"/>
          <w:sz w:val="20"/>
          <w:szCs w:val="20"/>
        </w:rPr>
        <w:t xml:space="preserve">, vol. 22, no. 5/6, Brill, 2017, pp. 438–63, </w:t>
      </w:r>
      <w:hyperlink r:id="rId13" w:history="1">
        <w:r w:rsidRPr="00E125C1">
          <w:rPr>
            <w:rStyle w:val="Hyperlink"/>
            <w:rFonts w:cstheme="minorHAnsi"/>
            <w:sz w:val="20"/>
            <w:szCs w:val="20"/>
          </w:rPr>
          <w:t>https://www.jstor.org/stable/26567120</w:t>
        </w:r>
      </w:hyperlink>
      <w:r w:rsidRPr="00E125C1">
        <w:rPr>
          <w:rFonts w:cstheme="minorHAnsi"/>
          <w:sz w:val="20"/>
          <w:szCs w:val="20"/>
        </w:rPr>
        <w:t xml:space="preserve"> .</w:t>
      </w:r>
    </w:p>
    <w:p w14:paraId="43CE52CA" w14:textId="5D4AEAF2" w:rsidR="003D54B7" w:rsidRPr="003D54B7" w:rsidRDefault="003D54B7" w:rsidP="00CE2876">
      <w:pPr>
        <w:spacing w:after="0" w:line="240" w:lineRule="auto"/>
        <w:rPr>
          <w:rFonts w:eastAsia="Times New Roman" w:cstheme="minorHAnsi"/>
          <w:sz w:val="20"/>
          <w:szCs w:val="20"/>
          <w:lang w:eastAsia="en-CA"/>
        </w:rPr>
      </w:pPr>
      <w:r w:rsidRPr="003D54B7">
        <w:rPr>
          <w:rFonts w:cstheme="minorHAnsi"/>
          <w:sz w:val="20"/>
          <w:szCs w:val="20"/>
        </w:rPr>
        <w:t xml:space="preserve">Curry, Patrick. </w:t>
      </w:r>
      <w:r w:rsidRPr="003D54B7">
        <w:rPr>
          <w:rFonts w:cstheme="minorHAnsi"/>
          <w:i/>
          <w:iCs/>
          <w:sz w:val="20"/>
          <w:szCs w:val="20"/>
        </w:rPr>
        <w:t>Prophecy and Power: Astrology in Early Modern England</w:t>
      </w:r>
      <w:r w:rsidRPr="003D54B7">
        <w:rPr>
          <w:rFonts w:cstheme="minorHAnsi"/>
          <w:sz w:val="20"/>
          <w:szCs w:val="20"/>
        </w:rPr>
        <w:t>. Princeton University Press, 1989.</w:t>
      </w:r>
    </w:p>
    <w:p w14:paraId="5230DF5F" w14:textId="37F61FCC" w:rsidR="00CF228A" w:rsidRDefault="00CF228A" w:rsidP="00CE2876">
      <w:pPr>
        <w:spacing w:after="0" w:line="240" w:lineRule="auto"/>
        <w:rPr>
          <w:rFonts w:eastAsia="Times New Roman" w:cstheme="minorHAnsi"/>
          <w:sz w:val="20"/>
          <w:szCs w:val="20"/>
          <w:lang w:eastAsia="en-CA"/>
        </w:rPr>
      </w:pPr>
    </w:p>
    <w:p w14:paraId="21630A28" w14:textId="79894006" w:rsidR="00CE2876" w:rsidRPr="00CF228A" w:rsidRDefault="00CF228A" w:rsidP="00CF228A">
      <w:pPr>
        <w:rPr>
          <w:rFonts w:cstheme="minorHAnsi"/>
          <w:sz w:val="20"/>
          <w:szCs w:val="20"/>
        </w:rPr>
      </w:pPr>
      <w:r w:rsidRPr="00CF228A">
        <w:rPr>
          <w:rFonts w:cstheme="minorHAnsi"/>
          <w:sz w:val="20"/>
          <w:szCs w:val="20"/>
        </w:rPr>
        <w:t xml:space="preserve">Evans, Richard J., </w:t>
      </w:r>
      <w:r w:rsidRPr="00CF228A">
        <w:rPr>
          <w:rFonts w:cstheme="minorHAnsi"/>
          <w:i/>
          <w:iCs/>
          <w:sz w:val="20"/>
          <w:szCs w:val="20"/>
        </w:rPr>
        <w:t xml:space="preserve">In Defense of History, </w:t>
      </w:r>
      <w:r w:rsidRPr="00CF228A">
        <w:rPr>
          <w:rFonts w:cstheme="minorHAnsi"/>
          <w:sz w:val="20"/>
          <w:szCs w:val="20"/>
        </w:rPr>
        <w:t>(London: W.W. Norton &amp; Co. 1999). (esp. Chapter 5, ‘Causation in History’, pp. 111 – 138 and Chapter 7, ‘Knowledge and Power’, pp. 165- 192).</w:t>
      </w:r>
    </w:p>
    <w:p w14:paraId="553C5A97" w14:textId="216A1B25" w:rsidR="00CE2876" w:rsidRPr="00CE2876" w:rsidRDefault="00CE2876" w:rsidP="00CE2876">
      <w:pPr>
        <w:spacing w:after="0"/>
        <w:rPr>
          <w:rFonts w:cstheme="minorHAnsi"/>
          <w:sz w:val="20"/>
          <w:szCs w:val="20"/>
        </w:rPr>
      </w:pPr>
      <w:proofErr w:type="spellStart"/>
      <w:r w:rsidRPr="00CE2876">
        <w:rPr>
          <w:rFonts w:cstheme="minorHAnsi"/>
          <w:sz w:val="20"/>
          <w:szCs w:val="20"/>
        </w:rPr>
        <w:t>Graubard</w:t>
      </w:r>
      <w:proofErr w:type="spellEnd"/>
      <w:r w:rsidRPr="00CE2876">
        <w:rPr>
          <w:rFonts w:cstheme="minorHAnsi"/>
          <w:sz w:val="20"/>
          <w:szCs w:val="20"/>
        </w:rPr>
        <w:t xml:space="preserve">, Mark. ‘Astrology’s Demise and Its Bearing on the Decline and Death of Beliefs.’ </w:t>
      </w:r>
      <w:r w:rsidRPr="00CE2876">
        <w:rPr>
          <w:rFonts w:cstheme="minorHAnsi"/>
          <w:i/>
          <w:iCs/>
          <w:sz w:val="20"/>
          <w:szCs w:val="20"/>
        </w:rPr>
        <w:t>Osiris</w:t>
      </w:r>
      <w:r w:rsidRPr="00CE2876">
        <w:rPr>
          <w:rFonts w:cstheme="minorHAnsi"/>
          <w:sz w:val="20"/>
          <w:szCs w:val="20"/>
        </w:rPr>
        <w:t>, vol. 13, (Saint Catherine’s Press, The University of Chicago Press, The History of Science Society, 1958), pp. 210–61</w:t>
      </w:r>
      <w:r>
        <w:rPr>
          <w:rFonts w:cstheme="minorHAnsi"/>
          <w:sz w:val="20"/>
          <w:szCs w:val="20"/>
        </w:rPr>
        <w:t>.</w:t>
      </w:r>
      <w:r w:rsidRPr="00CE2876">
        <w:rPr>
          <w:rFonts w:cstheme="minorHAnsi"/>
          <w:sz w:val="20"/>
          <w:szCs w:val="20"/>
        </w:rPr>
        <w:t xml:space="preserve"> </w:t>
      </w:r>
      <w:hyperlink r:id="rId14" w:history="1">
        <w:r w:rsidRPr="00137FCB">
          <w:rPr>
            <w:rStyle w:val="Hyperlink"/>
            <w:rFonts w:cstheme="minorHAnsi"/>
            <w:sz w:val="20"/>
            <w:szCs w:val="20"/>
          </w:rPr>
          <w:t>http://www.jstor.org/stable/301650</w:t>
        </w:r>
      </w:hyperlink>
      <w:r w:rsidRPr="00CE2876">
        <w:rPr>
          <w:rFonts w:cstheme="minorHAnsi"/>
          <w:sz w:val="20"/>
          <w:szCs w:val="20"/>
        </w:rPr>
        <w:t xml:space="preserve"> .</w:t>
      </w:r>
    </w:p>
    <w:p w14:paraId="737765B8" w14:textId="55FC2B25" w:rsidR="00A67238" w:rsidRPr="00CE2876" w:rsidRDefault="00A67238" w:rsidP="00CE2876">
      <w:pPr>
        <w:spacing w:after="0" w:line="240" w:lineRule="auto"/>
        <w:rPr>
          <w:rFonts w:eastAsia="Times New Roman" w:cstheme="minorHAnsi"/>
          <w:sz w:val="20"/>
          <w:szCs w:val="20"/>
          <w:lang w:eastAsia="en-CA"/>
        </w:rPr>
      </w:pPr>
    </w:p>
    <w:bookmarkEnd w:id="4"/>
    <w:p w14:paraId="636C989A" w14:textId="5865F87B" w:rsidR="003A0A67" w:rsidRDefault="00CE2876" w:rsidP="00CE2876">
      <w:pPr>
        <w:spacing w:after="0"/>
        <w:rPr>
          <w:rFonts w:cstheme="minorHAnsi"/>
          <w:sz w:val="20"/>
          <w:szCs w:val="20"/>
        </w:rPr>
      </w:pPr>
      <w:r w:rsidRPr="00CE2876">
        <w:rPr>
          <w:rFonts w:cstheme="minorHAnsi"/>
          <w:sz w:val="20"/>
          <w:szCs w:val="20"/>
        </w:rPr>
        <w:t xml:space="preserve">Navarro, </w:t>
      </w:r>
      <w:proofErr w:type="gramStart"/>
      <w:r w:rsidRPr="00CE2876">
        <w:rPr>
          <w:rFonts w:cstheme="minorHAnsi"/>
          <w:sz w:val="20"/>
          <w:szCs w:val="20"/>
        </w:rPr>
        <w:t>Tayra</w:t>
      </w:r>
      <w:proofErr w:type="gramEnd"/>
      <w:r w:rsidRPr="00CE2876">
        <w:rPr>
          <w:rFonts w:cstheme="minorHAnsi"/>
          <w:sz w:val="20"/>
          <w:szCs w:val="20"/>
        </w:rPr>
        <w:t xml:space="preserve"> and M. C. Lanuza. ‘From Intense Teaching to Neglect: The Decline of Astrology at the University of Valencia and the Role of the Spanish </w:t>
      </w:r>
      <w:r w:rsidRPr="00CE2876">
        <w:rPr>
          <w:rFonts w:cstheme="minorHAnsi"/>
          <w:i/>
          <w:iCs/>
          <w:sz w:val="20"/>
          <w:szCs w:val="20"/>
        </w:rPr>
        <w:t>Novatores’, Early Science and Medicine</w:t>
      </w:r>
      <w:r w:rsidRPr="00CE2876">
        <w:rPr>
          <w:rFonts w:cstheme="minorHAnsi"/>
          <w:sz w:val="20"/>
          <w:szCs w:val="20"/>
        </w:rPr>
        <w:t xml:space="preserve">, vol. 22, no. 5/6, Brill, 2017, pp. 410–37, </w:t>
      </w:r>
      <w:hyperlink r:id="rId15" w:history="1">
        <w:r w:rsidRPr="00CE2876">
          <w:rPr>
            <w:rStyle w:val="Hyperlink"/>
            <w:rFonts w:cstheme="minorHAnsi"/>
            <w:sz w:val="20"/>
            <w:szCs w:val="20"/>
          </w:rPr>
          <w:t>https://www.jstor.org/stable/26567119</w:t>
        </w:r>
      </w:hyperlink>
      <w:r w:rsidRPr="00CE2876">
        <w:rPr>
          <w:rFonts w:cstheme="minorHAnsi"/>
          <w:sz w:val="20"/>
          <w:szCs w:val="20"/>
        </w:rPr>
        <w:t xml:space="preserve"> .</w:t>
      </w:r>
    </w:p>
    <w:p w14:paraId="5AFA7D5E" w14:textId="56A8748F" w:rsidR="00AA1AD0" w:rsidRDefault="00AA1AD0" w:rsidP="00CE2876">
      <w:pPr>
        <w:spacing w:after="0"/>
        <w:rPr>
          <w:rFonts w:cstheme="minorHAnsi"/>
          <w:sz w:val="20"/>
          <w:szCs w:val="20"/>
        </w:rPr>
      </w:pPr>
    </w:p>
    <w:p w14:paraId="178C83FE" w14:textId="3BD506A5" w:rsidR="00AA1AD0" w:rsidRPr="00AA1AD0" w:rsidRDefault="00AA1AD0" w:rsidP="00AA1AD0">
      <w:pPr>
        <w:rPr>
          <w:rFonts w:cstheme="minorHAnsi"/>
          <w:sz w:val="20"/>
          <w:szCs w:val="20"/>
        </w:rPr>
      </w:pPr>
      <w:proofErr w:type="spellStart"/>
      <w:r w:rsidRPr="00AA1AD0">
        <w:rPr>
          <w:rFonts w:cstheme="minorHAnsi"/>
          <w:sz w:val="20"/>
          <w:szCs w:val="20"/>
        </w:rPr>
        <w:t>Rutkin</w:t>
      </w:r>
      <w:proofErr w:type="spellEnd"/>
      <w:r w:rsidRPr="00AA1AD0">
        <w:rPr>
          <w:rFonts w:cstheme="minorHAnsi"/>
          <w:sz w:val="20"/>
          <w:szCs w:val="20"/>
        </w:rPr>
        <w:t xml:space="preserve">, H. Darrel. “How to Accurately Account for Astrology’s Marginalization in the History of Science and Culture: The Central Importance of an Interpretive Framework.” </w:t>
      </w:r>
      <w:r w:rsidRPr="00AA1AD0">
        <w:rPr>
          <w:rFonts w:cstheme="minorHAnsi"/>
          <w:i/>
          <w:iCs/>
          <w:sz w:val="20"/>
          <w:szCs w:val="20"/>
        </w:rPr>
        <w:t>Early Science and Medicine</w:t>
      </w:r>
      <w:r w:rsidRPr="00AA1AD0">
        <w:rPr>
          <w:rFonts w:cstheme="minorHAnsi"/>
          <w:sz w:val="20"/>
          <w:szCs w:val="20"/>
        </w:rPr>
        <w:t xml:space="preserve">, vol. 23, no. 3, Brill, 2018, pp. 217–43, </w:t>
      </w:r>
      <w:hyperlink r:id="rId16" w:history="1">
        <w:r w:rsidRPr="00AA1AD0">
          <w:rPr>
            <w:rStyle w:val="Hyperlink"/>
            <w:rFonts w:cstheme="minorHAnsi"/>
            <w:sz w:val="20"/>
            <w:szCs w:val="20"/>
          </w:rPr>
          <w:t>https://www.jstor.org/stable/26567137</w:t>
        </w:r>
      </w:hyperlink>
      <w:r>
        <w:rPr>
          <w:rFonts w:cstheme="minorHAnsi"/>
          <w:sz w:val="20"/>
          <w:szCs w:val="20"/>
        </w:rPr>
        <w:t>.</w:t>
      </w:r>
    </w:p>
    <w:p w14:paraId="74429AC3" w14:textId="3EAF834D" w:rsidR="003A0A67" w:rsidRDefault="003A0A67" w:rsidP="003A0A67">
      <w:pPr>
        <w:pStyle w:val="NormalWeb"/>
        <w:spacing w:line="252" w:lineRule="auto"/>
        <w:rPr>
          <w:rFonts w:asciiTheme="minorHAnsi" w:hAnsiTheme="minorHAnsi" w:cstheme="minorHAnsi"/>
          <w:sz w:val="20"/>
          <w:szCs w:val="20"/>
        </w:rPr>
      </w:pPr>
      <w:r w:rsidRPr="003A0A67">
        <w:rPr>
          <w:rFonts w:asciiTheme="minorHAnsi" w:hAnsiTheme="minorHAnsi" w:cstheme="minorHAnsi"/>
          <w:sz w:val="20"/>
          <w:szCs w:val="20"/>
        </w:rPr>
        <w:t xml:space="preserve">Sherburne, Edward, </w:t>
      </w:r>
      <w:r w:rsidRPr="003A0A67">
        <w:rPr>
          <w:rFonts w:asciiTheme="minorHAnsi" w:hAnsiTheme="minorHAnsi" w:cstheme="minorHAnsi"/>
          <w:i/>
          <w:iCs/>
          <w:sz w:val="20"/>
          <w:szCs w:val="20"/>
        </w:rPr>
        <w:t xml:space="preserve">The Sphere of Marcus </w:t>
      </w:r>
      <w:proofErr w:type="spellStart"/>
      <w:r w:rsidRPr="003A0A67">
        <w:rPr>
          <w:rFonts w:asciiTheme="minorHAnsi" w:hAnsiTheme="minorHAnsi" w:cstheme="minorHAnsi"/>
          <w:i/>
          <w:iCs/>
          <w:sz w:val="20"/>
          <w:szCs w:val="20"/>
        </w:rPr>
        <w:t>Manilius</w:t>
      </w:r>
      <w:proofErr w:type="spellEnd"/>
      <w:r w:rsidRPr="003A0A67">
        <w:rPr>
          <w:rFonts w:asciiTheme="minorHAnsi" w:hAnsiTheme="minorHAnsi" w:cstheme="minorHAnsi"/>
          <w:i/>
          <w:iCs/>
          <w:sz w:val="20"/>
          <w:szCs w:val="20"/>
        </w:rPr>
        <w:t xml:space="preserve"> Made an English Poem with </w:t>
      </w:r>
      <w:proofErr w:type="gramStart"/>
      <w:r w:rsidRPr="003A0A67">
        <w:rPr>
          <w:rFonts w:asciiTheme="minorHAnsi" w:hAnsiTheme="minorHAnsi" w:cstheme="minorHAnsi"/>
          <w:i/>
          <w:iCs/>
          <w:sz w:val="20"/>
          <w:szCs w:val="20"/>
        </w:rPr>
        <w:t>Annotations</w:t>
      </w:r>
      <w:proofErr w:type="gramEnd"/>
      <w:r w:rsidRPr="003A0A67">
        <w:rPr>
          <w:rFonts w:asciiTheme="minorHAnsi" w:hAnsiTheme="minorHAnsi" w:cstheme="minorHAnsi"/>
          <w:i/>
          <w:iCs/>
          <w:sz w:val="20"/>
          <w:szCs w:val="20"/>
        </w:rPr>
        <w:t xml:space="preserve"> and an Astronomical Appendix. </w:t>
      </w:r>
      <w:r w:rsidRPr="003A0A67">
        <w:rPr>
          <w:rFonts w:asciiTheme="minorHAnsi" w:hAnsiTheme="minorHAnsi" w:cstheme="minorHAnsi"/>
          <w:sz w:val="20"/>
          <w:szCs w:val="20"/>
        </w:rPr>
        <w:t>(London, Printed for Nathanael Brooke, 1675)</w:t>
      </w:r>
      <w:r w:rsidRPr="003A0A67">
        <w:rPr>
          <w:rFonts w:asciiTheme="minorHAnsi" w:hAnsiTheme="minorHAnsi" w:cstheme="minorHAnsi"/>
          <w:i/>
          <w:iCs/>
          <w:sz w:val="20"/>
          <w:szCs w:val="20"/>
        </w:rPr>
        <w:t>. ProQuest</w:t>
      </w:r>
      <w:r w:rsidRPr="003A0A67">
        <w:rPr>
          <w:rFonts w:asciiTheme="minorHAnsi" w:hAnsiTheme="minorHAnsi" w:cstheme="minorHAnsi"/>
          <w:sz w:val="20"/>
          <w:szCs w:val="20"/>
        </w:rPr>
        <w:t xml:space="preserve">, </w:t>
      </w:r>
      <w:hyperlink r:id="rId17" w:history="1">
        <w:r w:rsidRPr="003A0A67">
          <w:rPr>
            <w:rStyle w:val="Hyperlink"/>
            <w:rFonts w:asciiTheme="minorHAnsi" w:hAnsiTheme="minorHAnsi" w:cstheme="minorHAnsi"/>
            <w:sz w:val="20"/>
            <w:szCs w:val="20"/>
          </w:rPr>
          <w:t>https://www-proquest-com.ezproxy.uwtsd.ac.uk/books/sphere-marcus-manilius-made-english-poem-with/docview/2240943129/se-2?accountid=130472</w:t>
        </w:r>
      </w:hyperlink>
      <w:r w:rsidRPr="003A0A67">
        <w:rPr>
          <w:rFonts w:asciiTheme="minorHAnsi" w:hAnsiTheme="minorHAnsi" w:cstheme="minorHAnsi"/>
          <w:sz w:val="20"/>
          <w:szCs w:val="20"/>
        </w:rPr>
        <w:t xml:space="preserve"> . </w:t>
      </w:r>
    </w:p>
    <w:p w14:paraId="6E4D06DF" w14:textId="6E53D2FF" w:rsidR="00065D49" w:rsidRPr="00065D49" w:rsidRDefault="00065D49" w:rsidP="00065D49">
      <w:pPr>
        <w:autoSpaceDE w:val="0"/>
        <w:autoSpaceDN w:val="0"/>
        <w:adjustRightInd w:val="0"/>
        <w:rPr>
          <w:rFonts w:cstheme="minorHAnsi"/>
          <w:sz w:val="20"/>
          <w:szCs w:val="20"/>
        </w:rPr>
      </w:pPr>
      <w:r w:rsidRPr="00065D49">
        <w:rPr>
          <w:rFonts w:cstheme="minorHAnsi"/>
          <w:sz w:val="20"/>
          <w:szCs w:val="20"/>
        </w:rPr>
        <w:t xml:space="preserve">Stark, Ryan J., ‘The Decline of Astrology in the Jonathan Dove Almanac Series’, </w:t>
      </w:r>
      <w:r w:rsidRPr="00065D49">
        <w:rPr>
          <w:rFonts w:cstheme="minorHAnsi"/>
          <w:i/>
          <w:iCs/>
          <w:sz w:val="20"/>
          <w:szCs w:val="20"/>
        </w:rPr>
        <w:t xml:space="preserve">Renaissance and Reformation, </w:t>
      </w:r>
      <w:r w:rsidRPr="00065D49">
        <w:rPr>
          <w:rFonts w:cstheme="minorHAnsi"/>
          <w:sz w:val="20"/>
          <w:szCs w:val="20"/>
        </w:rPr>
        <w:t>Vol. 30 (2), pp. 43 – 66.</w:t>
      </w:r>
    </w:p>
    <w:p w14:paraId="2094C401" w14:textId="77777777" w:rsidR="00065D49" w:rsidRPr="00065D49" w:rsidRDefault="00065D49" w:rsidP="00065D49">
      <w:pPr>
        <w:rPr>
          <w:rFonts w:cstheme="minorHAnsi"/>
          <w:sz w:val="20"/>
          <w:szCs w:val="20"/>
        </w:rPr>
      </w:pPr>
      <w:proofErr w:type="spellStart"/>
      <w:r w:rsidRPr="00065D49">
        <w:rPr>
          <w:rFonts w:cstheme="minorHAnsi"/>
          <w:sz w:val="20"/>
          <w:szCs w:val="20"/>
        </w:rPr>
        <w:t>Vermij</w:t>
      </w:r>
      <w:proofErr w:type="spellEnd"/>
      <w:r w:rsidRPr="00065D49">
        <w:rPr>
          <w:rFonts w:cstheme="minorHAnsi"/>
          <w:sz w:val="20"/>
          <w:szCs w:val="20"/>
        </w:rPr>
        <w:t xml:space="preserve">, </w:t>
      </w:r>
      <w:proofErr w:type="spellStart"/>
      <w:r w:rsidRPr="00065D49">
        <w:rPr>
          <w:rFonts w:cstheme="minorHAnsi"/>
          <w:sz w:val="20"/>
          <w:szCs w:val="20"/>
        </w:rPr>
        <w:t>Rienk</w:t>
      </w:r>
      <w:proofErr w:type="spellEnd"/>
      <w:r w:rsidRPr="00065D49">
        <w:rPr>
          <w:rFonts w:cstheme="minorHAnsi"/>
          <w:sz w:val="20"/>
          <w:szCs w:val="20"/>
        </w:rPr>
        <w:t xml:space="preserve">, and Hiro Hirai. ‘The Marginalization of Astrology: Introduction’, </w:t>
      </w:r>
      <w:r w:rsidRPr="00065D49">
        <w:rPr>
          <w:rFonts w:cstheme="minorHAnsi"/>
          <w:i/>
          <w:iCs/>
          <w:sz w:val="20"/>
          <w:szCs w:val="20"/>
        </w:rPr>
        <w:t>Early Science and Medicine</w:t>
      </w:r>
      <w:r w:rsidRPr="00065D49">
        <w:rPr>
          <w:rFonts w:cstheme="minorHAnsi"/>
          <w:sz w:val="20"/>
          <w:szCs w:val="20"/>
        </w:rPr>
        <w:t xml:space="preserve">, vol. 22, no. 5/6, Brill, 2017, pp. 405–09, </w:t>
      </w:r>
      <w:hyperlink r:id="rId18" w:history="1">
        <w:r w:rsidRPr="00065D49">
          <w:rPr>
            <w:rStyle w:val="Hyperlink"/>
            <w:rFonts w:cstheme="minorHAnsi"/>
            <w:sz w:val="20"/>
            <w:szCs w:val="20"/>
          </w:rPr>
          <w:t>https://www.jstor.org/stable/26567118</w:t>
        </w:r>
      </w:hyperlink>
      <w:r w:rsidRPr="00065D49">
        <w:rPr>
          <w:rFonts w:cstheme="minorHAnsi"/>
          <w:sz w:val="20"/>
          <w:szCs w:val="20"/>
        </w:rPr>
        <w:t xml:space="preserve"> .</w:t>
      </w:r>
    </w:p>
    <w:p w14:paraId="460930E1" w14:textId="574FFC79" w:rsidR="00A67238" w:rsidRPr="00A67238" w:rsidRDefault="00A67238" w:rsidP="00A67238">
      <w:pPr>
        <w:rPr>
          <w:rFonts w:cstheme="minorHAnsi"/>
          <w:b/>
          <w:bCs/>
          <w:sz w:val="20"/>
          <w:szCs w:val="20"/>
          <w:u w:val="single"/>
        </w:rPr>
      </w:pPr>
    </w:p>
    <w:p w14:paraId="2C182B2F" w14:textId="2F4E3FAF" w:rsidR="00A67238" w:rsidRPr="00B4612D" w:rsidRDefault="00A67238" w:rsidP="00B4612D">
      <w:pPr>
        <w:rPr>
          <w:rFonts w:cstheme="minorHAnsi"/>
          <w:b/>
          <w:bCs/>
          <w:sz w:val="20"/>
          <w:szCs w:val="20"/>
        </w:rPr>
      </w:pPr>
      <w:r w:rsidRPr="000E1D0F">
        <w:rPr>
          <w:rFonts w:cstheme="minorHAnsi"/>
          <w:b/>
          <w:bCs/>
          <w:sz w:val="20"/>
          <w:szCs w:val="20"/>
        </w:rPr>
        <w:t>Secondary Sources</w:t>
      </w:r>
      <w:r w:rsidR="000E1D0F">
        <w:rPr>
          <w:rFonts w:cstheme="minorHAnsi"/>
          <w:b/>
          <w:bCs/>
          <w:sz w:val="20"/>
          <w:szCs w:val="20"/>
        </w:rPr>
        <w:t>:</w:t>
      </w:r>
    </w:p>
    <w:p w14:paraId="13E08C9B" w14:textId="1926E6C7" w:rsidR="003D4486" w:rsidRPr="003D4486" w:rsidRDefault="003D4486" w:rsidP="00A67238">
      <w:pPr>
        <w:spacing w:after="0" w:line="240" w:lineRule="auto"/>
        <w:rPr>
          <w:sz w:val="20"/>
          <w:szCs w:val="20"/>
        </w:rPr>
      </w:pPr>
      <w:r w:rsidRPr="003D4486">
        <w:rPr>
          <w:rFonts w:cstheme="minorHAnsi"/>
          <w:sz w:val="20"/>
          <w:szCs w:val="20"/>
        </w:rPr>
        <w:t xml:space="preserve">Blagden, Cyprian. “The Distribution of Almanacks in the Second Half of the Seventeenth Century.” </w:t>
      </w:r>
      <w:r w:rsidRPr="003D4486">
        <w:rPr>
          <w:rFonts w:cstheme="minorHAnsi"/>
          <w:i/>
          <w:iCs/>
          <w:sz w:val="20"/>
          <w:szCs w:val="20"/>
        </w:rPr>
        <w:t>Studies in Bibliography</w:t>
      </w:r>
      <w:r w:rsidRPr="003D4486">
        <w:rPr>
          <w:rFonts w:cstheme="minorHAnsi"/>
          <w:sz w:val="20"/>
          <w:szCs w:val="20"/>
        </w:rPr>
        <w:t xml:space="preserve">, vol. 11, 1958, pp. 107–16, </w:t>
      </w:r>
      <w:hyperlink r:id="rId19" w:history="1">
        <w:r w:rsidRPr="003D4486">
          <w:rPr>
            <w:rStyle w:val="Hyperlink"/>
            <w:rFonts w:cstheme="minorHAnsi"/>
            <w:sz w:val="20"/>
            <w:szCs w:val="20"/>
          </w:rPr>
          <w:t>http://www.jstor.org/stable/40371233</w:t>
        </w:r>
      </w:hyperlink>
      <w:r>
        <w:rPr>
          <w:rStyle w:val="Hyperlink"/>
          <w:rFonts w:cstheme="minorHAnsi"/>
          <w:sz w:val="20"/>
          <w:szCs w:val="20"/>
        </w:rPr>
        <w:t>.</w:t>
      </w:r>
    </w:p>
    <w:p w14:paraId="2A423E5C" w14:textId="77777777" w:rsidR="003D4486" w:rsidRDefault="003D4486" w:rsidP="00A67238">
      <w:pPr>
        <w:spacing w:after="0" w:line="240" w:lineRule="auto"/>
        <w:rPr>
          <w:sz w:val="20"/>
          <w:szCs w:val="20"/>
        </w:rPr>
      </w:pPr>
    </w:p>
    <w:p w14:paraId="727230DF" w14:textId="1105E581" w:rsidR="006F5061" w:rsidRPr="0059673B" w:rsidRDefault="0059673B" w:rsidP="00A67238">
      <w:pPr>
        <w:spacing w:after="0" w:line="240" w:lineRule="auto"/>
        <w:rPr>
          <w:rFonts w:eastAsia="Times New Roman" w:cstheme="minorHAnsi"/>
          <w:sz w:val="20"/>
          <w:szCs w:val="20"/>
          <w:lang w:eastAsia="en-CA"/>
        </w:rPr>
      </w:pPr>
      <w:r w:rsidRPr="0059673B">
        <w:rPr>
          <w:sz w:val="20"/>
          <w:szCs w:val="20"/>
        </w:rPr>
        <w:t>Campion,</w:t>
      </w:r>
      <w:r w:rsidRPr="0059673B">
        <w:rPr>
          <w:sz w:val="20"/>
          <w:szCs w:val="20"/>
        </w:rPr>
        <w:t xml:space="preserve"> </w:t>
      </w:r>
      <w:r w:rsidRPr="0059673B">
        <w:rPr>
          <w:sz w:val="20"/>
          <w:szCs w:val="20"/>
        </w:rPr>
        <w:t>Nicholas</w:t>
      </w:r>
      <w:r w:rsidRPr="0059673B">
        <w:rPr>
          <w:sz w:val="20"/>
          <w:szCs w:val="20"/>
        </w:rPr>
        <w:t>,</w:t>
      </w:r>
      <w:r w:rsidRPr="0059673B">
        <w:rPr>
          <w:sz w:val="20"/>
          <w:szCs w:val="20"/>
        </w:rPr>
        <w:t xml:space="preserve"> </w:t>
      </w:r>
      <w:r w:rsidRPr="0059673B">
        <w:rPr>
          <w:rFonts w:cstheme="minorHAnsi"/>
          <w:i/>
          <w:iCs/>
          <w:sz w:val="20"/>
          <w:szCs w:val="20"/>
        </w:rPr>
        <w:t xml:space="preserve">A History of Western Astrology, Volume 2: The Medieval and Modern Worlds. </w:t>
      </w:r>
      <w:r w:rsidRPr="0059673B">
        <w:rPr>
          <w:rFonts w:cstheme="minorHAnsi"/>
          <w:sz w:val="20"/>
          <w:szCs w:val="20"/>
        </w:rPr>
        <w:t>(London: Bloomsbury Academic 2009).</w:t>
      </w:r>
    </w:p>
    <w:p w14:paraId="79E25330" w14:textId="77777777" w:rsidR="0059673B" w:rsidRDefault="0059673B" w:rsidP="006F5061">
      <w:pPr>
        <w:spacing w:after="0" w:line="240" w:lineRule="auto"/>
        <w:rPr>
          <w:rFonts w:eastAsia="Times New Roman" w:cstheme="minorHAnsi"/>
          <w:sz w:val="20"/>
          <w:szCs w:val="20"/>
          <w:lang w:eastAsia="en-CA"/>
        </w:rPr>
      </w:pPr>
    </w:p>
    <w:p w14:paraId="26A530D9" w14:textId="25DF12D6" w:rsidR="006F5061" w:rsidRDefault="006F5061" w:rsidP="006F5061">
      <w:pPr>
        <w:spacing w:after="0" w:line="240" w:lineRule="auto"/>
        <w:rPr>
          <w:rFonts w:eastAsia="Times New Roman" w:cstheme="minorHAnsi"/>
          <w:sz w:val="20"/>
          <w:szCs w:val="20"/>
          <w:lang w:eastAsia="en-CA"/>
        </w:rPr>
      </w:pPr>
      <w:r w:rsidRPr="00F44B86">
        <w:rPr>
          <w:rFonts w:eastAsia="Times New Roman" w:cstheme="minorHAnsi"/>
          <w:sz w:val="20"/>
          <w:szCs w:val="20"/>
          <w:lang w:eastAsia="en-CA"/>
        </w:rPr>
        <w:lastRenderedPageBreak/>
        <w:t xml:space="preserve">Curry, Patrick, ‘The Historiography of Astrology: A Diagnosis and Remediation’, in </w:t>
      </w:r>
      <w:r w:rsidRPr="00F44B86">
        <w:rPr>
          <w:rFonts w:eastAsia="Times New Roman" w:cstheme="minorHAnsi"/>
          <w:i/>
          <w:iCs/>
          <w:sz w:val="20"/>
          <w:szCs w:val="20"/>
          <w:lang w:eastAsia="en-CA"/>
        </w:rPr>
        <w:t xml:space="preserve">Horoscopes and Public Spheres: Essays of the History of Astrology, </w:t>
      </w:r>
      <w:r w:rsidRPr="00F44B86">
        <w:rPr>
          <w:rFonts w:eastAsia="Times New Roman" w:cstheme="minorHAnsi"/>
          <w:sz w:val="20"/>
          <w:szCs w:val="20"/>
          <w:lang w:eastAsia="en-CA"/>
        </w:rPr>
        <w:t xml:space="preserve">ed. by Günther </w:t>
      </w:r>
      <w:proofErr w:type="spellStart"/>
      <w:r w:rsidRPr="00F44B86">
        <w:rPr>
          <w:rFonts w:eastAsia="Times New Roman" w:cstheme="minorHAnsi"/>
          <w:sz w:val="20"/>
          <w:szCs w:val="20"/>
          <w:lang w:eastAsia="en-CA"/>
        </w:rPr>
        <w:t>Oestmann</w:t>
      </w:r>
      <w:proofErr w:type="spellEnd"/>
      <w:r w:rsidRPr="00F44B86">
        <w:rPr>
          <w:rFonts w:eastAsia="Times New Roman" w:cstheme="minorHAnsi"/>
          <w:sz w:val="20"/>
          <w:szCs w:val="20"/>
          <w:lang w:eastAsia="en-CA"/>
        </w:rPr>
        <w:t xml:space="preserve">, Darrel H. </w:t>
      </w:r>
      <w:proofErr w:type="spellStart"/>
      <w:r w:rsidRPr="00F44B86">
        <w:rPr>
          <w:rFonts w:eastAsia="Times New Roman" w:cstheme="minorHAnsi"/>
          <w:sz w:val="20"/>
          <w:szCs w:val="20"/>
          <w:lang w:eastAsia="en-CA"/>
        </w:rPr>
        <w:t>Rutkin</w:t>
      </w:r>
      <w:proofErr w:type="spellEnd"/>
      <w:r w:rsidRPr="00F44B86">
        <w:rPr>
          <w:rFonts w:eastAsia="Times New Roman" w:cstheme="minorHAnsi"/>
          <w:sz w:val="20"/>
          <w:szCs w:val="20"/>
          <w:lang w:eastAsia="en-CA"/>
        </w:rPr>
        <w:t xml:space="preserve">, </w:t>
      </w:r>
      <w:proofErr w:type="spellStart"/>
      <w:r w:rsidRPr="00F44B86">
        <w:rPr>
          <w:rFonts w:eastAsia="Times New Roman" w:cstheme="minorHAnsi"/>
          <w:sz w:val="20"/>
          <w:szCs w:val="20"/>
          <w:lang w:eastAsia="en-CA"/>
        </w:rPr>
        <w:t>Kocku</w:t>
      </w:r>
      <w:proofErr w:type="spellEnd"/>
      <w:r w:rsidRPr="00F44B86">
        <w:rPr>
          <w:rFonts w:eastAsia="Times New Roman" w:cstheme="minorHAnsi"/>
          <w:sz w:val="20"/>
          <w:szCs w:val="20"/>
          <w:lang w:eastAsia="en-CA"/>
        </w:rPr>
        <w:t xml:space="preserve"> von </w:t>
      </w:r>
      <w:proofErr w:type="spellStart"/>
      <w:r w:rsidRPr="00F44B86">
        <w:rPr>
          <w:rFonts w:eastAsia="Times New Roman" w:cstheme="minorHAnsi"/>
          <w:sz w:val="20"/>
          <w:szCs w:val="20"/>
          <w:lang w:eastAsia="en-CA"/>
        </w:rPr>
        <w:t>Stuckrad</w:t>
      </w:r>
      <w:proofErr w:type="spellEnd"/>
      <w:r w:rsidRPr="00F44B86">
        <w:rPr>
          <w:rFonts w:eastAsia="Times New Roman" w:cstheme="minorHAnsi"/>
          <w:sz w:val="20"/>
          <w:szCs w:val="20"/>
          <w:lang w:eastAsia="en-CA"/>
        </w:rPr>
        <w:t xml:space="preserve">, (New York: Walter de Gruyter, 2005). Pp. 261-274. </w:t>
      </w:r>
    </w:p>
    <w:p w14:paraId="3BB09DEA" w14:textId="01A6FF9D" w:rsidR="00DE55B5" w:rsidRDefault="00DE55B5" w:rsidP="00C77C39">
      <w:pPr>
        <w:spacing w:after="0" w:line="240" w:lineRule="auto"/>
        <w:rPr>
          <w:rFonts w:eastAsia="Times New Roman" w:cstheme="minorHAnsi"/>
          <w:sz w:val="20"/>
          <w:szCs w:val="20"/>
          <w:lang w:eastAsia="en-CA"/>
        </w:rPr>
      </w:pPr>
    </w:p>
    <w:p w14:paraId="7EA8E932" w14:textId="03874E6A" w:rsidR="00DE55B5" w:rsidRDefault="00DE55B5" w:rsidP="00C77C39">
      <w:pPr>
        <w:spacing w:after="0" w:line="240" w:lineRule="auto"/>
        <w:rPr>
          <w:rFonts w:eastAsia="Times New Roman" w:cstheme="minorHAnsi"/>
          <w:sz w:val="20"/>
          <w:szCs w:val="20"/>
          <w:lang w:eastAsia="en-CA"/>
        </w:rPr>
      </w:pPr>
      <w:r>
        <w:rPr>
          <w:rFonts w:eastAsia="Times New Roman" w:cstheme="minorHAnsi"/>
          <w:sz w:val="20"/>
          <w:szCs w:val="20"/>
          <w:lang w:eastAsia="en-CA"/>
        </w:rPr>
        <w:t xml:space="preserve">Curry, Patrick, ‘Astrology on Trial, and It’s Historians: Reflections on the Historiography of “Superstition”’, </w:t>
      </w:r>
      <w:r>
        <w:rPr>
          <w:rFonts w:eastAsia="Times New Roman" w:cstheme="minorHAnsi"/>
          <w:i/>
          <w:iCs/>
          <w:sz w:val="20"/>
          <w:szCs w:val="20"/>
          <w:lang w:eastAsia="en-CA"/>
        </w:rPr>
        <w:t xml:space="preserve">Culture and Cosmos, </w:t>
      </w:r>
      <w:r>
        <w:rPr>
          <w:rFonts w:eastAsia="Times New Roman" w:cstheme="minorHAnsi"/>
          <w:sz w:val="20"/>
          <w:szCs w:val="20"/>
          <w:lang w:eastAsia="en-CA"/>
        </w:rPr>
        <w:t>Vol. 4 no 2, Autumn/Winter 2000, pp. 47-56.</w:t>
      </w:r>
    </w:p>
    <w:p w14:paraId="78D7E5E9" w14:textId="0D9C1EB3" w:rsidR="00C77C39" w:rsidRDefault="00C77C39" w:rsidP="00C77C39">
      <w:pPr>
        <w:spacing w:after="0" w:line="240" w:lineRule="auto"/>
        <w:rPr>
          <w:rFonts w:eastAsia="Times New Roman" w:cstheme="minorHAnsi"/>
          <w:sz w:val="20"/>
          <w:szCs w:val="20"/>
          <w:lang w:eastAsia="en-CA"/>
        </w:rPr>
      </w:pPr>
    </w:p>
    <w:p w14:paraId="4F863B55" w14:textId="2262C698" w:rsidR="00C44D72" w:rsidRDefault="00C77C39" w:rsidP="00C77C39">
      <w:pPr>
        <w:pStyle w:val="NormalWeb"/>
        <w:spacing w:before="0" w:beforeAutospacing="0" w:after="0" w:afterAutospacing="0"/>
        <w:rPr>
          <w:rFonts w:asciiTheme="minorHAnsi" w:hAnsiTheme="minorHAnsi" w:cstheme="minorHAnsi"/>
          <w:sz w:val="20"/>
          <w:szCs w:val="20"/>
        </w:rPr>
      </w:pPr>
      <w:r w:rsidRPr="00C77C39">
        <w:rPr>
          <w:rFonts w:asciiTheme="minorHAnsi" w:hAnsiTheme="minorHAnsi" w:cstheme="minorHAnsi"/>
          <w:sz w:val="20"/>
          <w:szCs w:val="20"/>
        </w:rPr>
        <w:t>C</w:t>
      </w:r>
      <w:r>
        <w:rPr>
          <w:rFonts w:asciiTheme="minorHAnsi" w:hAnsiTheme="minorHAnsi" w:cstheme="minorHAnsi"/>
          <w:sz w:val="20"/>
          <w:szCs w:val="20"/>
        </w:rPr>
        <w:t>u</w:t>
      </w:r>
      <w:r w:rsidRPr="00C77C39">
        <w:rPr>
          <w:rFonts w:asciiTheme="minorHAnsi" w:hAnsiTheme="minorHAnsi" w:cstheme="minorHAnsi"/>
          <w:sz w:val="20"/>
          <w:szCs w:val="20"/>
        </w:rPr>
        <w:t xml:space="preserve">rry, Patrick, ‘Historical Approaches to Astrology’, </w:t>
      </w:r>
      <w:r w:rsidRPr="00C77C39">
        <w:rPr>
          <w:rFonts w:asciiTheme="minorHAnsi" w:hAnsiTheme="minorHAnsi" w:cstheme="minorHAnsi"/>
          <w:i/>
          <w:iCs/>
          <w:sz w:val="20"/>
          <w:szCs w:val="20"/>
        </w:rPr>
        <w:t xml:space="preserve">Culture and Cosmos, </w:t>
      </w:r>
      <w:r w:rsidRPr="00C77C39">
        <w:rPr>
          <w:rFonts w:asciiTheme="minorHAnsi" w:hAnsiTheme="minorHAnsi" w:cstheme="minorHAnsi"/>
          <w:sz w:val="20"/>
          <w:szCs w:val="20"/>
        </w:rPr>
        <w:t>Vol. 4 no. 1, Spring/Summer 2000, pp. 3-9.</w:t>
      </w:r>
    </w:p>
    <w:p w14:paraId="426982B2" w14:textId="64C7B975" w:rsidR="006676E6" w:rsidRDefault="006676E6" w:rsidP="00C77C39">
      <w:pPr>
        <w:pStyle w:val="NormalWeb"/>
        <w:spacing w:before="0" w:beforeAutospacing="0" w:after="0" w:afterAutospacing="0"/>
        <w:rPr>
          <w:rFonts w:asciiTheme="minorHAnsi" w:hAnsiTheme="minorHAnsi" w:cstheme="minorHAnsi"/>
          <w:sz w:val="20"/>
          <w:szCs w:val="20"/>
        </w:rPr>
      </w:pPr>
    </w:p>
    <w:p w14:paraId="5D22B2B1" w14:textId="5CC6530F" w:rsidR="006676E6" w:rsidRPr="006676E6" w:rsidRDefault="006676E6" w:rsidP="00C77C39">
      <w:pPr>
        <w:pStyle w:val="NormalWeb"/>
        <w:spacing w:before="0" w:beforeAutospacing="0" w:after="0" w:afterAutospacing="0"/>
        <w:rPr>
          <w:rFonts w:asciiTheme="minorHAnsi" w:hAnsiTheme="minorHAnsi" w:cstheme="minorHAnsi"/>
          <w:sz w:val="20"/>
          <w:szCs w:val="20"/>
        </w:rPr>
      </w:pPr>
      <w:r w:rsidRPr="006676E6">
        <w:rPr>
          <w:rFonts w:asciiTheme="minorHAnsi" w:hAnsiTheme="minorHAnsi" w:cstheme="minorHAnsi"/>
          <w:sz w:val="20"/>
          <w:szCs w:val="20"/>
        </w:rPr>
        <w:t xml:space="preserve">Giorgio de </w:t>
      </w:r>
      <w:proofErr w:type="spellStart"/>
      <w:r w:rsidRPr="006676E6">
        <w:rPr>
          <w:rFonts w:asciiTheme="minorHAnsi" w:hAnsiTheme="minorHAnsi" w:cstheme="minorHAnsi"/>
          <w:sz w:val="20"/>
          <w:szCs w:val="20"/>
        </w:rPr>
        <w:t>Santillana</w:t>
      </w:r>
      <w:proofErr w:type="spellEnd"/>
      <w:r w:rsidRPr="006676E6">
        <w:rPr>
          <w:rFonts w:asciiTheme="minorHAnsi" w:hAnsiTheme="minorHAnsi" w:cstheme="minorHAnsi"/>
          <w:sz w:val="20"/>
          <w:szCs w:val="20"/>
        </w:rPr>
        <w:t xml:space="preserve">, ‘The Seventeenth Century Legacy’, </w:t>
      </w:r>
      <w:r w:rsidRPr="006676E6">
        <w:rPr>
          <w:rFonts w:asciiTheme="minorHAnsi" w:hAnsiTheme="minorHAnsi" w:cstheme="minorHAnsi"/>
          <w:i/>
          <w:iCs/>
          <w:sz w:val="20"/>
          <w:szCs w:val="20"/>
        </w:rPr>
        <w:t>Daedalus</w:t>
      </w:r>
      <w:r w:rsidRPr="006676E6">
        <w:rPr>
          <w:rFonts w:asciiTheme="minorHAnsi" w:hAnsiTheme="minorHAnsi" w:cstheme="minorHAnsi"/>
          <w:sz w:val="20"/>
          <w:szCs w:val="20"/>
        </w:rPr>
        <w:t>, vol. 87, 1958, pp. 38</w:t>
      </w:r>
      <w:r w:rsidRPr="006676E6">
        <w:rPr>
          <w:rFonts w:asciiTheme="minorHAnsi" w:hAnsiTheme="minorHAnsi" w:cstheme="minorHAnsi"/>
          <w:sz w:val="20"/>
          <w:szCs w:val="20"/>
        </w:rPr>
        <w:t>.</w:t>
      </w:r>
    </w:p>
    <w:p w14:paraId="47CE4976" w14:textId="77777777" w:rsidR="003A0A67" w:rsidRDefault="003A0A67" w:rsidP="00C44D72">
      <w:pPr>
        <w:spacing w:after="0"/>
        <w:rPr>
          <w:rFonts w:cstheme="minorHAnsi"/>
          <w:sz w:val="20"/>
          <w:szCs w:val="20"/>
        </w:rPr>
      </w:pPr>
    </w:p>
    <w:p w14:paraId="51E71045" w14:textId="47B36248" w:rsidR="00C44D72" w:rsidRDefault="00C44D72" w:rsidP="00C44D72">
      <w:pPr>
        <w:spacing w:after="0"/>
        <w:rPr>
          <w:rFonts w:cstheme="minorHAnsi"/>
          <w:sz w:val="20"/>
          <w:szCs w:val="20"/>
        </w:rPr>
      </w:pPr>
      <w:proofErr w:type="spellStart"/>
      <w:r w:rsidRPr="00CE2876">
        <w:rPr>
          <w:rFonts w:cstheme="minorHAnsi"/>
          <w:sz w:val="20"/>
          <w:szCs w:val="20"/>
        </w:rPr>
        <w:t>Graubard</w:t>
      </w:r>
      <w:proofErr w:type="spellEnd"/>
      <w:r w:rsidRPr="00CE2876">
        <w:rPr>
          <w:rFonts w:cstheme="minorHAnsi"/>
          <w:sz w:val="20"/>
          <w:szCs w:val="20"/>
        </w:rPr>
        <w:t>,</w:t>
      </w:r>
      <w:r>
        <w:rPr>
          <w:rFonts w:cstheme="minorHAnsi"/>
          <w:sz w:val="20"/>
          <w:szCs w:val="20"/>
        </w:rPr>
        <w:t xml:space="preserve"> </w:t>
      </w:r>
      <w:r w:rsidRPr="00CE2876">
        <w:rPr>
          <w:rFonts w:cstheme="minorHAnsi"/>
          <w:sz w:val="20"/>
          <w:szCs w:val="20"/>
        </w:rPr>
        <w:t>Mark</w:t>
      </w:r>
      <w:r>
        <w:rPr>
          <w:rFonts w:cstheme="minorHAnsi"/>
          <w:sz w:val="20"/>
          <w:szCs w:val="20"/>
        </w:rPr>
        <w:t>,</w:t>
      </w:r>
      <w:r w:rsidRPr="00CE2876">
        <w:rPr>
          <w:rFonts w:cstheme="minorHAnsi"/>
          <w:sz w:val="20"/>
          <w:szCs w:val="20"/>
        </w:rPr>
        <w:t xml:space="preserve"> ‘Some Contemporary Observations on Ancient Superstitions’, </w:t>
      </w:r>
      <w:r w:rsidRPr="00CE2876">
        <w:rPr>
          <w:rFonts w:cstheme="minorHAnsi"/>
          <w:i/>
          <w:iCs/>
          <w:sz w:val="20"/>
          <w:szCs w:val="20"/>
        </w:rPr>
        <w:t xml:space="preserve">The Journal of American Folklore, </w:t>
      </w:r>
      <w:r w:rsidRPr="00CE2876">
        <w:rPr>
          <w:rFonts w:cstheme="minorHAnsi"/>
          <w:sz w:val="20"/>
          <w:szCs w:val="20"/>
        </w:rPr>
        <w:t>59 (232) (1946), pp. 124-133.</w:t>
      </w:r>
    </w:p>
    <w:p w14:paraId="59DC4CC6" w14:textId="737A248A" w:rsidR="000E4746" w:rsidRDefault="000E4746" w:rsidP="00C44D72">
      <w:pPr>
        <w:spacing w:after="0"/>
        <w:rPr>
          <w:rFonts w:cstheme="minorHAnsi"/>
          <w:sz w:val="20"/>
          <w:szCs w:val="20"/>
        </w:rPr>
      </w:pPr>
    </w:p>
    <w:p w14:paraId="2FD8AF74" w14:textId="3940912C" w:rsidR="000E4746" w:rsidRDefault="000E4746" w:rsidP="00C44D72">
      <w:pPr>
        <w:spacing w:after="0"/>
        <w:rPr>
          <w:sz w:val="20"/>
          <w:szCs w:val="20"/>
        </w:rPr>
      </w:pPr>
      <w:r w:rsidRPr="000E4746">
        <w:rPr>
          <w:sz w:val="20"/>
          <w:szCs w:val="20"/>
        </w:rPr>
        <w:t>Hufford,</w:t>
      </w:r>
      <w:r>
        <w:rPr>
          <w:sz w:val="20"/>
          <w:szCs w:val="20"/>
        </w:rPr>
        <w:t xml:space="preserve"> </w:t>
      </w:r>
      <w:r w:rsidRPr="000E4746">
        <w:rPr>
          <w:sz w:val="20"/>
          <w:szCs w:val="20"/>
        </w:rPr>
        <w:t>David J.</w:t>
      </w:r>
      <w:r>
        <w:rPr>
          <w:sz w:val="20"/>
          <w:szCs w:val="20"/>
        </w:rPr>
        <w:t>,</w:t>
      </w:r>
      <w:r w:rsidRPr="000E4746">
        <w:rPr>
          <w:sz w:val="20"/>
          <w:szCs w:val="20"/>
        </w:rPr>
        <w:t xml:space="preserve"> ‘Traditions of Disbelief’, </w:t>
      </w:r>
      <w:r w:rsidRPr="000E4746">
        <w:rPr>
          <w:i/>
          <w:sz w:val="20"/>
          <w:szCs w:val="20"/>
        </w:rPr>
        <w:t>Folklore Quarterly</w:t>
      </w:r>
      <w:r w:rsidRPr="000E4746">
        <w:rPr>
          <w:sz w:val="20"/>
          <w:szCs w:val="20"/>
        </w:rPr>
        <w:t xml:space="preserve">, </w:t>
      </w:r>
      <w:r w:rsidR="00065D49">
        <w:rPr>
          <w:sz w:val="20"/>
          <w:szCs w:val="20"/>
        </w:rPr>
        <w:t xml:space="preserve">Vol. </w:t>
      </w:r>
      <w:r w:rsidRPr="000E4746">
        <w:rPr>
          <w:sz w:val="20"/>
          <w:szCs w:val="20"/>
        </w:rPr>
        <w:t xml:space="preserve">8, </w:t>
      </w:r>
      <w:r w:rsidR="00065D49">
        <w:rPr>
          <w:sz w:val="20"/>
          <w:szCs w:val="20"/>
        </w:rPr>
        <w:t xml:space="preserve">no </w:t>
      </w:r>
      <w:r w:rsidRPr="000E4746">
        <w:rPr>
          <w:sz w:val="20"/>
          <w:szCs w:val="20"/>
        </w:rPr>
        <w:t>3/4</w:t>
      </w:r>
      <w:r w:rsidRPr="000E4746">
        <w:rPr>
          <w:sz w:val="20"/>
          <w:szCs w:val="20"/>
        </w:rPr>
        <w:t>, pp.</w:t>
      </w:r>
      <w:r w:rsidRPr="000E4746">
        <w:rPr>
          <w:sz w:val="20"/>
          <w:szCs w:val="20"/>
        </w:rPr>
        <w:t>47-56</w:t>
      </w:r>
      <w:r>
        <w:rPr>
          <w:sz w:val="20"/>
          <w:szCs w:val="20"/>
        </w:rPr>
        <w:t>.</w:t>
      </w:r>
    </w:p>
    <w:p w14:paraId="3DFA2B12" w14:textId="415323E3" w:rsidR="000E4746" w:rsidRDefault="000E4746" w:rsidP="00C44D72">
      <w:pPr>
        <w:spacing w:after="0"/>
        <w:rPr>
          <w:sz w:val="20"/>
          <w:szCs w:val="20"/>
        </w:rPr>
      </w:pPr>
    </w:p>
    <w:p w14:paraId="2D9486D8" w14:textId="31AAD266" w:rsidR="000E4746" w:rsidRPr="000E4746" w:rsidRDefault="000E4746" w:rsidP="00C44D72">
      <w:pPr>
        <w:spacing w:after="0"/>
        <w:rPr>
          <w:rFonts w:cstheme="minorHAnsi"/>
          <w:sz w:val="20"/>
          <w:szCs w:val="20"/>
        </w:rPr>
      </w:pPr>
      <w:r w:rsidRPr="000E4746">
        <w:rPr>
          <w:rFonts w:eastAsia="Times New Roman" w:cstheme="minorHAnsi"/>
          <w:sz w:val="20"/>
          <w:szCs w:val="20"/>
          <w:lang w:eastAsia="en-CA"/>
        </w:rPr>
        <w:t>Hufford,</w:t>
      </w:r>
      <w:r>
        <w:rPr>
          <w:rFonts w:eastAsia="Times New Roman" w:cstheme="minorHAnsi"/>
          <w:sz w:val="20"/>
          <w:szCs w:val="20"/>
          <w:lang w:eastAsia="en-CA"/>
        </w:rPr>
        <w:t xml:space="preserve"> </w:t>
      </w:r>
      <w:r w:rsidRPr="000E4746">
        <w:rPr>
          <w:rFonts w:eastAsia="Times New Roman" w:cstheme="minorHAnsi"/>
          <w:sz w:val="20"/>
          <w:szCs w:val="20"/>
          <w:lang w:eastAsia="en-CA"/>
        </w:rPr>
        <w:t>David J.</w:t>
      </w:r>
      <w:r>
        <w:rPr>
          <w:rFonts w:eastAsia="Times New Roman" w:cstheme="minorHAnsi"/>
          <w:sz w:val="20"/>
          <w:szCs w:val="20"/>
          <w:lang w:eastAsia="en-CA"/>
        </w:rPr>
        <w:t>,</w:t>
      </w:r>
      <w:r w:rsidRPr="000E4746">
        <w:rPr>
          <w:rFonts w:eastAsia="Times New Roman" w:cstheme="minorHAnsi"/>
          <w:i/>
          <w:iCs/>
          <w:sz w:val="20"/>
          <w:szCs w:val="20"/>
          <w:lang w:eastAsia="en-CA"/>
        </w:rPr>
        <w:t xml:space="preserve"> </w:t>
      </w:r>
      <w:r w:rsidRPr="000E4746">
        <w:rPr>
          <w:rFonts w:eastAsia="Times New Roman" w:cstheme="minorHAnsi"/>
          <w:sz w:val="20"/>
          <w:szCs w:val="20"/>
          <w:lang w:eastAsia="en-CA"/>
        </w:rPr>
        <w:t>‘The Scholarly Voice and the Personal Voice: Reflexivity in Belief Studies’</w:t>
      </w:r>
      <w:r w:rsidRPr="000E4746">
        <w:rPr>
          <w:rFonts w:eastAsia="Times New Roman" w:cstheme="minorHAnsi"/>
          <w:i/>
          <w:iCs/>
          <w:sz w:val="20"/>
          <w:szCs w:val="20"/>
          <w:lang w:eastAsia="en-CA"/>
        </w:rPr>
        <w:t>,</w:t>
      </w:r>
      <w:r w:rsidRPr="000E4746">
        <w:rPr>
          <w:rFonts w:eastAsia="Times New Roman" w:cstheme="minorHAnsi"/>
          <w:sz w:val="20"/>
          <w:szCs w:val="20"/>
          <w:lang w:eastAsia="en-CA"/>
        </w:rPr>
        <w:t xml:space="preserve"> </w:t>
      </w:r>
      <w:r w:rsidRPr="000E4746">
        <w:rPr>
          <w:rFonts w:eastAsia="Times New Roman" w:cstheme="minorHAnsi"/>
          <w:i/>
          <w:iCs/>
          <w:sz w:val="20"/>
          <w:szCs w:val="20"/>
          <w:lang w:eastAsia="en-CA"/>
        </w:rPr>
        <w:t xml:space="preserve">Western Folklore, </w:t>
      </w:r>
      <w:r w:rsidRPr="000E4746">
        <w:rPr>
          <w:rFonts w:eastAsia="Times New Roman" w:cstheme="minorHAnsi"/>
          <w:sz w:val="20"/>
          <w:szCs w:val="20"/>
          <w:lang w:eastAsia="en-CA"/>
        </w:rPr>
        <w:t>54 (1) (1995),</w:t>
      </w:r>
      <w:r w:rsidRPr="000E4746">
        <w:rPr>
          <w:rFonts w:eastAsia="Times New Roman" w:cstheme="minorHAnsi"/>
          <w:sz w:val="20"/>
          <w:szCs w:val="20"/>
          <w:lang w:eastAsia="en-CA"/>
        </w:rPr>
        <w:t xml:space="preserve"> pp.</w:t>
      </w:r>
      <w:r w:rsidRPr="000E4746">
        <w:rPr>
          <w:rFonts w:eastAsia="Times New Roman" w:cstheme="minorHAnsi"/>
          <w:sz w:val="20"/>
          <w:szCs w:val="20"/>
          <w:lang w:eastAsia="en-CA"/>
        </w:rPr>
        <w:t xml:space="preserve"> 57-76.</w:t>
      </w:r>
    </w:p>
    <w:p w14:paraId="59117DFF" w14:textId="0F1B8817" w:rsidR="00F44B86" w:rsidRPr="00F44B86" w:rsidRDefault="00F44B86" w:rsidP="006F5061">
      <w:pPr>
        <w:spacing w:after="0" w:line="240" w:lineRule="auto"/>
        <w:rPr>
          <w:rFonts w:eastAsia="Times New Roman" w:cstheme="minorHAnsi"/>
          <w:sz w:val="20"/>
          <w:szCs w:val="20"/>
          <w:lang w:eastAsia="en-CA"/>
        </w:rPr>
      </w:pPr>
    </w:p>
    <w:p w14:paraId="2E4095C6" w14:textId="35C31D84" w:rsidR="00F44B86" w:rsidRPr="00F44B86" w:rsidRDefault="00F44B86" w:rsidP="006F5061">
      <w:pPr>
        <w:spacing w:after="0" w:line="240" w:lineRule="auto"/>
        <w:rPr>
          <w:rFonts w:eastAsia="Times New Roman" w:cstheme="minorHAnsi"/>
          <w:sz w:val="20"/>
          <w:szCs w:val="20"/>
          <w:lang w:eastAsia="en-CA"/>
        </w:rPr>
      </w:pPr>
      <w:r w:rsidRPr="00F44B86">
        <w:rPr>
          <w:sz w:val="20"/>
          <w:szCs w:val="20"/>
        </w:rPr>
        <w:t>Thagard,</w:t>
      </w:r>
      <w:r w:rsidR="00C44D72">
        <w:rPr>
          <w:sz w:val="20"/>
          <w:szCs w:val="20"/>
        </w:rPr>
        <w:t xml:space="preserve"> </w:t>
      </w:r>
      <w:r w:rsidR="00C44D72" w:rsidRPr="00F44B86">
        <w:rPr>
          <w:rFonts w:cstheme="minorHAnsi"/>
          <w:sz w:val="20"/>
          <w:szCs w:val="20"/>
        </w:rPr>
        <w:t>Paul</w:t>
      </w:r>
      <w:r w:rsidR="00C44D72">
        <w:rPr>
          <w:rFonts w:cstheme="minorHAnsi"/>
          <w:sz w:val="20"/>
          <w:szCs w:val="20"/>
        </w:rPr>
        <w:t>,</w:t>
      </w:r>
      <w:r w:rsidRPr="00F44B86">
        <w:rPr>
          <w:sz w:val="20"/>
          <w:szCs w:val="20"/>
        </w:rPr>
        <w:t xml:space="preserve"> ‘Why Astrology is a Pseudoscience’, </w:t>
      </w:r>
      <w:r w:rsidRPr="00F44B86">
        <w:rPr>
          <w:i/>
          <w:iCs/>
          <w:sz w:val="20"/>
          <w:szCs w:val="20"/>
        </w:rPr>
        <w:t xml:space="preserve">PSA: Proceedings of the Biennial Meeting of the Philosophy of Science Association, </w:t>
      </w:r>
      <w:r w:rsidRPr="00F44B86">
        <w:rPr>
          <w:sz w:val="20"/>
          <w:szCs w:val="20"/>
        </w:rPr>
        <w:t xml:space="preserve">Volume 1978, Vol. 1: Contributed Papers, The University of Chicago Press, 1978, pp. 229-230.                          JSTOR </w:t>
      </w:r>
      <w:hyperlink r:id="rId20" w:history="1">
        <w:r w:rsidRPr="00F44B86">
          <w:rPr>
            <w:rStyle w:val="Hyperlink"/>
            <w:sz w:val="20"/>
            <w:szCs w:val="20"/>
          </w:rPr>
          <w:t>http://www.jstor.org/stable/192639</w:t>
        </w:r>
      </w:hyperlink>
    </w:p>
    <w:p w14:paraId="1AE5B888" w14:textId="77777777" w:rsidR="00B33C14" w:rsidRPr="00B4612D" w:rsidRDefault="00B33C14" w:rsidP="00A67238">
      <w:pPr>
        <w:spacing w:after="0" w:line="240" w:lineRule="auto"/>
        <w:rPr>
          <w:sz w:val="18"/>
          <w:szCs w:val="18"/>
        </w:rPr>
      </w:pPr>
    </w:p>
    <w:p w14:paraId="5C72AA11" w14:textId="46101045" w:rsidR="005A7A17" w:rsidRPr="00B4612D" w:rsidRDefault="005A7A17" w:rsidP="00FA0758">
      <w:pPr>
        <w:spacing w:before="100" w:beforeAutospacing="1" w:after="100" w:afterAutospacing="1" w:line="240" w:lineRule="auto"/>
        <w:rPr>
          <w:rFonts w:eastAsia="Times New Roman" w:cstheme="minorHAnsi"/>
          <w:sz w:val="18"/>
          <w:szCs w:val="18"/>
          <w:lang w:eastAsia="en-CA"/>
        </w:rPr>
      </w:pPr>
    </w:p>
    <w:sectPr w:rsidR="005A7A17" w:rsidRPr="00B4612D" w:rsidSect="002E629F">
      <w:headerReference w:type="even" r:id="rId21"/>
      <w:headerReference w:type="default" r:id="rId22"/>
      <w:footerReference w:type="even" r:id="rId23"/>
      <w:footerReference w:type="default" r:id="rId2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B70DFC" w14:textId="77777777" w:rsidR="007F6D73" w:rsidRDefault="007F6D73" w:rsidP="008F4E28">
      <w:pPr>
        <w:spacing w:after="0" w:line="240" w:lineRule="auto"/>
      </w:pPr>
      <w:r>
        <w:separator/>
      </w:r>
    </w:p>
  </w:endnote>
  <w:endnote w:type="continuationSeparator" w:id="0">
    <w:p w14:paraId="6D410D10" w14:textId="77777777" w:rsidR="007F6D73" w:rsidRDefault="007F6D73" w:rsidP="008F4E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altName w:val="Times New Roman PS"/>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Symbol">
    <w:altName w:val="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Code">
    <w:altName w:val="Calibri"/>
    <w:panose1 w:val="00000000000000000000"/>
    <w:charset w:val="00"/>
    <w:family w:val="swiss"/>
    <w:notTrueType/>
    <w:pitch w:val="default"/>
    <w:sig w:usb0="00000003" w:usb1="00000000" w:usb2="00000000" w:usb3="00000000" w:csb0="00000001" w:csb1="00000000"/>
  </w:font>
  <w:font w:name="Arial">
    <w:altName w:val="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7154634"/>
      <w:docPartObj>
        <w:docPartGallery w:val="Page Numbers (Bottom of Page)"/>
        <w:docPartUnique/>
      </w:docPartObj>
    </w:sdtPr>
    <w:sdtEndPr>
      <w:rPr>
        <w:noProof/>
      </w:rPr>
    </w:sdtEndPr>
    <w:sdtContent>
      <w:p w14:paraId="636DE4D9" w14:textId="06907262" w:rsidR="001A7253" w:rsidRDefault="001A7253">
        <w:pPr>
          <w:pStyle w:val="Footer"/>
          <w:jc w:val="right"/>
        </w:pPr>
        <w:r w:rsidRPr="006E51C8">
          <w:rPr>
            <w:sz w:val="18"/>
            <w:szCs w:val="18"/>
          </w:rPr>
          <w:fldChar w:fldCharType="begin"/>
        </w:r>
        <w:r w:rsidRPr="006E51C8">
          <w:rPr>
            <w:sz w:val="18"/>
            <w:szCs w:val="18"/>
          </w:rPr>
          <w:instrText xml:space="preserve"> PAGE   \* MERGEFORMAT </w:instrText>
        </w:r>
        <w:r w:rsidRPr="006E51C8">
          <w:rPr>
            <w:sz w:val="18"/>
            <w:szCs w:val="18"/>
          </w:rPr>
          <w:fldChar w:fldCharType="separate"/>
        </w:r>
        <w:r w:rsidRPr="006E51C8">
          <w:rPr>
            <w:noProof/>
            <w:sz w:val="18"/>
            <w:szCs w:val="18"/>
          </w:rPr>
          <w:t>2</w:t>
        </w:r>
        <w:r w:rsidRPr="006E51C8">
          <w:rPr>
            <w:noProof/>
            <w:sz w:val="18"/>
            <w:szCs w:val="18"/>
          </w:rPr>
          <w:fldChar w:fldCharType="end"/>
        </w:r>
      </w:p>
    </w:sdtContent>
  </w:sdt>
  <w:p w14:paraId="075607C5" w14:textId="77777777" w:rsidR="001A7253" w:rsidRDefault="001A72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08075167"/>
      <w:docPartObj>
        <w:docPartGallery w:val="Page Numbers (Bottom of Page)"/>
        <w:docPartUnique/>
      </w:docPartObj>
    </w:sdtPr>
    <w:sdtEndPr>
      <w:rPr>
        <w:noProof/>
        <w:sz w:val="18"/>
        <w:szCs w:val="18"/>
      </w:rPr>
    </w:sdtEndPr>
    <w:sdtContent>
      <w:p w14:paraId="6C5E479D" w14:textId="09800665" w:rsidR="001A7253" w:rsidRPr="00FB1B63" w:rsidRDefault="001A7253">
        <w:pPr>
          <w:pStyle w:val="Footer"/>
          <w:jc w:val="right"/>
          <w:rPr>
            <w:sz w:val="18"/>
            <w:szCs w:val="18"/>
          </w:rPr>
        </w:pPr>
        <w:r w:rsidRPr="00FB1B63">
          <w:rPr>
            <w:sz w:val="18"/>
            <w:szCs w:val="18"/>
          </w:rPr>
          <w:fldChar w:fldCharType="begin"/>
        </w:r>
        <w:r w:rsidRPr="00FB1B63">
          <w:rPr>
            <w:sz w:val="18"/>
            <w:szCs w:val="18"/>
          </w:rPr>
          <w:instrText xml:space="preserve"> PAGE   \* MERGEFORMAT </w:instrText>
        </w:r>
        <w:r w:rsidRPr="00FB1B63">
          <w:rPr>
            <w:sz w:val="18"/>
            <w:szCs w:val="18"/>
          </w:rPr>
          <w:fldChar w:fldCharType="separate"/>
        </w:r>
        <w:r w:rsidRPr="00FB1B63">
          <w:rPr>
            <w:noProof/>
            <w:sz w:val="18"/>
            <w:szCs w:val="18"/>
          </w:rPr>
          <w:t>2</w:t>
        </w:r>
        <w:r w:rsidRPr="00FB1B63">
          <w:rPr>
            <w:noProof/>
            <w:sz w:val="18"/>
            <w:szCs w:val="18"/>
          </w:rPr>
          <w:fldChar w:fldCharType="end"/>
        </w:r>
      </w:p>
    </w:sdtContent>
  </w:sdt>
  <w:p w14:paraId="00213EBB" w14:textId="77777777" w:rsidR="001A7253" w:rsidRDefault="001A72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BE8904" w14:textId="77777777" w:rsidR="007F6D73" w:rsidRDefault="007F6D73" w:rsidP="008F4E28">
      <w:pPr>
        <w:spacing w:after="0" w:line="240" w:lineRule="auto"/>
      </w:pPr>
      <w:r>
        <w:separator/>
      </w:r>
    </w:p>
  </w:footnote>
  <w:footnote w:type="continuationSeparator" w:id="0">
    <w:p w14:paraId="17167A94" w14:textId="77777777" w:rsidR="007F6D73" w:rsidRDefault="007F6D73" w:rsidP="008F4E28">
      <w:pPr>
        <w:spacing w:after="0" w:line="240" w:lineRule="auto"/>
      </w:pPr>
      <w:r>
        <w:continuationSeparator/>
      </w:r>
    </w:p>
  </w:footnote>
  <w:footnote w:id="1">
    <w:p w14:paraId="24D2CCDA" w14:textId="77777777" w:rsidR="003A5649" w:rsidRDefault="003A5649" w:rsidP="003A5649">
      <w:pPr>
        <w:pStyle w:val="FootnoteText"/>
        <w:ind w:left="142" w:hanging="142"/>
      </w:pPr>
      <w:r>
        <w:rPr>
          <w:rStyle w:val="FootnoteReference"/>
        </w:rPr>
        <w:footnoteRef/>
      </w:r>
      <w:r>
        <w:t xml:space="preserve"> </w:t>
      </w:r>
      <w:r w:rsidRPr="0094288B">
        <w:rPr>
          <w:rFonts w:cstheme="minorHAnsi"/>
          <w:sz w:val="18"/>
          <w:szCs w:val="18"/>
        </w:rPr>
        <w:t xml:space="preserve">Tayra M.C. Lanuza Navarro. ‘From Intense Teaching to Neglect: The Decline of Astrology at the University of Valencia and the Role of the Spanish </w:t>
      </w:r>
      <w:r w:rsidRPr="0094288B">
        <w:rPr>
          <w:rFonts w:cstheme="minorHAnsi"/>
          <w:i/>
          <w:iCs/>
          <w:sz w:val="18"/>
          <w:szCs w:val="18"/>
        </w:rPr>
        <w:t>Novatores’</w:t>
      </w:r>
      <w:r>
        <w:rPr>
          <w:rFonts w:cstheme="minorHAnsi"/>
          <w:i/>
          <w:iCs/>
          <w:sz w:val="18"/>
          <w:szCs w:val="18"/>
        </w:rPr>
        <w:t xml:space="preserve">, </w:t>
      </w:r>
      <w:r w:rsidRPr="0044710C">
        <w:rPr>
          <w:rFonts w:cstheme="minorHAnsi"/>
          <w:i/>
          <w:iCs/>
          <w:sz w:val="18"/>
          <w:szCs w:val="18"/>
        </w:rPr>
        <w:t>Early Science and Medicine</w:t>
      </w:r>
      <w:r w:rsidRPr="0044710C">
        <w:rPr>
          <w:rFonts w:cstheme="minorHAnsi"/>
          <w:sz w:val="18"/>
          <w:szCs w:val="18"/>
        </w:rPr>
        <w:t>, vol. 22, no. 5/6, Brill, 2017</w:t>
      </w:r>
      <w:r w:rsidRPr="00FA7E2E">
        <w:rPr>
          <w:rFonts w:cstheme="minorHAnsi"/>
          <w:sz w:val="22"/>
          <w:szCs w:val="22"/>
        </w:rPr>
        <w:t xml:space="preserve">, </w:t>
      </w:r>
      <w:r>
        <w:rPr>
          <w:rFonts w:cstheme="minorHAnsi"/>
          <w:sz w:val="18"/>
          <w:szCs w:val="18"/>
        </w:rPr>
        <w:t>pp. 411.</w:t>
      </w:r>
    </w:p>
  </w:footnote>
  <w:footnote w:id="2">
    <w:p w14:paraId="2B3595F2" w14:textId="77777777" w:rsidR="00AE424A" w:rsidRPr="00D9348F" w:rsidRDefault="00AE424A" w:rsidP="00AE424A">
      <w:pPr>
        <w:spacing w:after="0" w:line="240" w:lineRule="auto"/>
        <w:rPr>
          <w:rFonts w:eastAsia="Times New Roman" w:cstheme="minorHAnsi"/>
          <w:lang w:eastAsia="en-CA"/>
        </w:rPr>
      </w:pPr>
      <w:r>
        <w:rPr>
          <w:rStyle w:val="FootnoteReference"/>
        </w:rPr>
        <w:footnoteRef/>
      </w:r>
      <w:r>
        <w:t xml:space="preserve"> </w:t>
      </w:r>
      <w:r w:rsidRPr="00E51347">
        <w:rPr>
          <w:sz w:val="18"/>
        </w:rPr>
        <w:t>Mark</w:t>
      </w:r>
      <w:r>
        <w:rPr>
          <w:rFonts w:eastAsia="Times New Roman" w:cstheme="minorHAnsi"/>
          <w:sz w:val="18"/>
          <w:szCs w:val="18"/>
          <w:lang w:eastAsia="en-CA"/>
        </w:rPr>
        <w:t xml:space="preserve"> </w:t>
      </w:r>
      <w:proofErr w:type="spellStart"/>
      <w:r w:rsidRPr="00E51347">
        <w:rPr>
          <w:sz w:val="18"/>
        </w:rPr>
        <w:t>Graubard</w:t>
      </w:r>
      <w:proofErr w:type="spellEnd"/>
      <w:r w:rsidRPr="00D9348F">
        <w:rPr>
          <w:rFonts w:eastAsia="Times New Roman" w:cstheme="minorHAnsi"/>
          <w:sz w:val="18"/>
          <w:szCs w:val="18"/>
          <w:lang w:eastAsia="en-CA"/>
        </w:rPr>
        <w:t xml:space="preserve">, ‘Some Contemporary Observations on Ancient Superstitions’, </w:t>
      </w:r>
      <w:r w:rsidRPr="00D9348F">
        <w:rPr>
          <w:rFonts w:eastAsia="Times New Roman" w:cstheme="minorHAnsi"/>
          <w:i/>
          <w:iCs/>
          <w:sz w:val="18"/>
          <w:szCs w:val="18"/>
          <w:lang w:eastAsia="en-CA"/>
        </w:rPr>
        <w:t xml:space="preserve">The Journal of American Folklore, </w:t>
      </w:r>
      <w:r w:rsidRPr="00D9348F">
        <w:rPr>
          <w:rFonts w:eastAsia="Times New Roman" w:cstheme="minorHAnsi"/>
          <w:sz w:val="18"/>
          <w:szCs w:val="18"/>
          <w:lang w:eastAsia="en-CA"/>
        </w:rPr>
        <w:t>59 (232) (1946)</w:t>
      </w:r>
      <w:r>
        <w:rPr>
          <w:rFonts w:eastAsia="Times New Roman" w:cstheme="minorHAnsi"/>
          <w:sz w:val="18"/>
          <w:szCs w:val="18"/>
          <w:lang w:eastAsia="en-CA"/>
        </w:rPr>
        <w:t>,</w:t>
      </w:r>
      <w:r>
        <w:rPr>
          <w:sz w:val="18"/>
          <w:szCs w:val="18"/>
        </w:rPr>
        <w:t xml:space="preserve"> pp. 124-</w:t>
      </w:r>
      <w:r w:rsidRPr="00D9348F">
        <w:rPr>
          <w:rFonts w:eastAsia="Times New Roman" w:cstheme="minorHAnsi"/>
          <w:sz w:val="18"/>
          <w:szCs w:val="18"/>
          <w:lang w:eastAsia="en-CA"/>
        </w:rPr>
        <w:t>1</w:t>
      </w:r>
      <w:r>
        <w:rPr>
          <w:rFonts w:eastAsia="Times New Roman" w:cstheme="minorHAnsi"/>
          <w:sz w:val="18"/>
          <w:szCs w:val="18"/>
          <w:lang w:eastAsia="en-CA"/>
        </w:rPr>
        <w:t>33</w:t>
      </w:r>
      <w:r w:rsidRPr="00D9348F">
        <w:rPr>
          <w:rFonts w:eastAsia="Times New Roman" w:cstheme="minorHAnsi"/>
          <w:sz w:val="18"/>
          <w:szCs w:val="18"/>
          <w:lang w:eastAsia="en-CA"/>
        </w:rPr>
        <w:t>.</w:t>
      </w:r>
    </w:p>
  </w:footnote>
  <w:footnote w:id="3">
    <w:p w14:paraId="5D300170" w14:textId="77777777" w:rsidR="0034449C" w:rsidRPr="00E51347" w:rsidRDefault="0034449C" w:rsidP="0034449C">
      <w:pPr>
        <w:spacing w:after="0" w:line="240" w:lineRule="auto"/>
      </w:pPr>
      <w:r w:rsidRPr="00E51347">
        <w:rPr>
          <w:rStyle w:val="FootnoteReference"/>
          <w:sz w:val="18"/>
        </w:rPr>
        <w:footnoteRef/>
      </w:r>
      <w:r w:rsidRPr="00E51347">
        <w:rPr>
          <w:sz w:val="18"/>
        </w:rPr>
        <w:t xml:space="preserve"> David J. Hufford, ‘Traditions of Disbelief’, </w:t>
      </w:r>
      <w:r w:rsidRPr="00E51347">
        <w:rPr>
          <w:i/>
          <w:sz w:val="18"/>
        </w:rPr>
        <w:t>Folklore Quarterly</w:t>
      </w:r>
      <w:r w:rsidRPr="00E51347">
        <w:rPr>
          <w:sz w:val="18"/>
        </w:rPr>
        <w:t xml:space="preserve">, 8, #3/4:47-56) cited in </w:t>
      </w:r>
      <w:r w:rsidRPr="006A4A30">
        <w:rPr>
          <w:rFonts w:eastAsia="Times New Roman" w:cstheme="minorHAnsi"/>
          <w:sz w:val="18"/>
          <w:szCs w:val="18"/>
          <w:lang w:eastAsia="en-CA"/>
        </w:rPr>
        <w:t>David J.</w:t>
      </w:r>
      <w:r>
        <w:rPr>
          <w:rFonts w:eastAsia="Times New Roman" w:cstheme="minorHAnsi"/>
          <w:sz w:val="18"/>
          <w:szCs w:val="18"/>
          <w:lang w:eastAsia="en-CA"/>
        </w:rPr>
        <w:t xml:space="preserve"> </w:t>
      </w:r>
      <w:r w:rsidRPr="006A4A30">
        <w:rPr>
          <w:rFonts w:eastAsia="Times New Roman" w:cstheme="minorHAnsi"/>
          <w:sz w:val="18"/>
          <w:szCs w:val="18"/>
          <w:lang w:eastAsia="en-CA"/>
        </w:rPr>
        <w:t>Hufford,</w:t>
      </w:r>
      <w:r w:rsidRPr="006A4A30">
        <w:rPr>
          <w:rFonts w:eastAsia="Times New Roman" w:cstheme="minorHAnsi"/>
          <w:i/>
          <w:iCs/>
          <w:sz w:val="18"/>
          <w:szCs w:val="18"/>
          <w:lang w:eastAsia="en-CA"/>
        </w:rPr>
        <w:t xml:space="preserve"> </w:t>
      </w:r>
      <w:r w:rsidRPr="006A4A30">
        <w:rPr>
          <w:rFonts w:eastAsia="Times New Roman" w:cstheme="minorHAnsi"/>
          <w:sz w:val="18"/>
          <w:szCs w:val="18"/>
          <w:lang w:eastAsia="en-CA"/>
        </w:rPr>
        <w:t>‘The Scholarly Voice and the Personal Voice: Reflexivity in Belief Studies’</w:t>
      </w:r>
      <w:r w:rsidRPr="006A4A30">
        <w:rPr>
          <w:rFonts w:eastAsia="Times New Roman" w:cstheme="minorHAnsi"/>
          <w:i/>
          <w:iCs/>
          <w:sz w:val="18"/>
          <w:szCs w:val="18"/>
          <w:lang w:eastAsia="en-CA"/>
        </w:rPr>
        <w:t>,</w:t>
      </w:r>
      <w:r w:rsidRPr="006A4A30">
        <w:rPr>
          <w:rFonts w:eastAsia="Times New Roman" w:cstheme="minorHAnsi"/>
          <w:sz w:val="18"/>
          <w:szCs w:val="18"/>
          <w:lang w:eastAsia="en-CA"/>
        </w:rPr>
        <w:t xml:space="preserve"> </w:t>
      </w:r>
      <w:r w:rsidRPr="006A4A30">
        <w:rPr>
          <w:rFonts w:eastAsia="Times New Roman" w:cstheme="minorHAnsi"/>
          <w:i/>
          <w:iCs/>
          <w:sz w:val="18"/>
          <w:szCs w:val="18"/>
          <w:lang w:eastAsia="en-CA"/>
        </w:rPr>
        <w:t xml:space="preserve">Western Folklore, </w:t>
      </w:r>
      <w:r w:rsidRPr="006A4A30">
        <w:rPr>
          <w:rFonts w:eastAsia="Times New Roman" w:cstheme="minorHAnsi"/>
          <w:sz w:val="18"/>
          <w:szCs w:val="18"/>
          <w:lang w:eastAsia="en-CA"/>
        </w:rPr>
        <w:t>54 (1) (1995)</w:t>
      </w:r>
      <w:r>
        <w:rPr>
          <w:rFonts w:eastAsia="Times New Roman" w:cstheme="minorHAnsi"/>
          <w:sz w:val="18"/>
          <w:szCs w:val="18"/>
          <w:lang w:eastAsia="en-CA"/>
        </w:rPr>
        <w:t xml:space="preserve">, [hereafter Hufford, </w:t>
      </w:r>
      <w:r>
        <w:rPr>
          <w:rFonts w:eastAsia="Times New Roman" w:cstheme="minorHAnsi"/>
          <w:i/>
          <w:iCs/>
          <w:sz w:val="18"/>
          <w:szCs w:val="18"/>
          <w:lang w:eastAsia="en-CA"/>
        </w:rPr>
        <w:t>Belief Studies</w:t>
      </w:r>
      <w:r>
        <w:rPr>
          <w:rFonts w:eastAsia="Times New Roman" w:cstheme="minorHAnsi"/>
          <w:sz w:val="18"/>
          <w:szCs w:val="18"/>
          <w:lang w:eastAsia="en-CA"/>
        </w:rPr>
        <w:t>]</w:t>
      </w:r>
      <w:r w:rsidRPr="006A4A30">
        <w:rPr>
          <w:rFonts w:eastAsia="Times New Roman" w:cstheme="minorHAnsi"/>
          <w:sz w:val="18"/>
          <w:szCs w:val="18"/>
          <w:lang w:eastAsia="en-CA"/>
        </w:rPr>
        <w:t>: 57-76.</w:t>
      </w:r>
    </w:p>
  </w:footnote>
  <w:footnote w:id="4">
    <w:p w14:paraId="6D11C767" w14:textId="77777777" w:rsidR="00AE424A" w:rsidRPr="00A912C1" w:rsidRDefault="00AE424A" w:rsidP="00AE424A">
      <w:pPr>
        <w:pStyle w:val="FootnoteText"/>
      </w:pPr>
      <w:r>
        <w:rPr>
          <w:rStyle w:val="FootnoteReference"/>
        </w:rPr>
        <w:footnoteRef/>
      </w:r>
      <w:r>
        <w:t xml:space="preserve"> </w:t>
      </w:r>
      <w:r>
        <w:rPr>
          <w:rFonts w:eastAsia="Times New Roman" w:cstheme="minorHAnsi"/>
          <w:sz w:val="18"/>
          <w:szCs w:val="18"/>
          <w:lang w:eastAsia="en-CA"/>
        </w:rPr>
        <w:t xml:space="preserve">Hufford, </w:t>
      </w:r>
      <w:r>
        <w:rPr>
          <w:rFonts w:eastAsia="Times New Roman" w:cstheme="minorHAnsi"/>
          <w:i/>
          <w:iCs/>
          <w:sz w:val="18"/>
          <w:szCs w:val="18"/>
          <w:lang w:eastAsia="en-CA"/>
        </w:rPr>
        <w:t xml:space="preserve">Belief Studies, </w:t>
      </w:r>
      <w:r>
        <w:rPr>
          <w:rFonts w:eastAsia="Times New Roman" w:cstheme="minorHAnsi"/>
          <w:sz w:val="18"/>
          <w:szCs w:val="18"/>
          <w:lang w:eastAsia="en-CA"/>
        </w:rPr>
        <w:t>p. 60.</w:t>
      </w:r>
    </w:p>
  </w:footnote>
  <w:footnote w:id="5">
    <w:p w14:paraId="16690864" w14:textId="77777777" w:rsidR="00EA7323" w:rsidRPr="001A69C6" w:rsidRDefault="00EA7323" w:rsidP="00EA7323">
      <w:pPr>
        <w:pStyle w:val="FootnoteText"/>
      </w:pPr>
      <w:r>
        <w:rPr>
          <w:rStyle w:val="FootnoteReference"/>
        </w:rPr>
        <w:footnoteRef/>
      </w:r>
      <w:r>
        <w:t xml:space="preserve"> </w:t>
      </w:r>
      <w:r w:rsidRPr="00BE1245">
        <w:rPr>
          <w:rFonts w:cstheme="minorHAnsi"/>
          <w:sz w:val="18"/>
          <w:szCs w:val="18"/>
        </w:rPr>
        <w:t>Patrick</w:t>
      </w:r>
      <w:r>
        <w:rPr>
          <w:rFonts w:cstheme="minorHAnsi"/>
          <w:sz w:val="18"/>
          <w:szCs w:val="18"/>
        </w:rPr>
        <w:t xml:space="preserve"> Curry</w:t>
      </w:r>
      <w:r w:rsidRPr="00BE1245">
        <w:rPr>
          <w:rFonts w:cstheme="minorHAnsi"/>
          <w:sz w:val="18"/>
          <w:szCs w:val="18"/>
        </w:rPr>
        <w:t>, ‘Astrology on Trial, and its Historians: Reflections on the Historiography of “Superstition”</w:t>
      </w:r>
      <w:r>
        <w:rPr>
          <w:rFonts w:cstheme="minorHAnsi"/>
          <w:sz w:val="18"/>
          <w:szCs w:val="18"/>
        </w:rPr>
        <w:t>, pp. 54 (</w:t>
      </w:r>
      <w:r>
        <w:rPr>
          <w:rFonts w:cstheme="minorHAnsi"/>
          <w:i/>
          <w:iCs/>
          <w:sz w:val="18"/>
          <w:szCs w:val="18"/>
        </w:rPr>
        <w:t xml:space="preserve">italics </w:t>
      </w:r>
      <w:r>
        <w:rPr>
          <w:rFonts w:cstheme="minorHAnsi"/>
          <w:sz w:val="18"/>
          <w:szCs w:val="18"/>
        </w:rPr>
        <w:t>added).</w:t>
      </w:r>
    </w:p>
  </w:footnote>
  <w:footnote w:id="6">
    <w:p w14:paraId="5673AAAF" w14:textId="77777777" w:rsidR="00EA7323" w:rsidRDefault="00EA7323" w:rsidP="00EA7323">
      <w:pPr>
        <w:pStyle w:val="FootnoteText"/>
      </w:pPr>
      <w:r>
        <w:rPr>
          <w:rStyle w:val="FootnoteReference"/>
        </w:rPr>
        <w:footnoteRef/>
      </w:r>
      <w:r>
        <w:t xml:space="preserve"> </w:t>
      </w:r>
      <w:r w:rsidRPr="00BE1245">
        <w:rPr>
          <w:rFonts w:cstheme="minorHAnsi"/>
          <w:sz w:val="18"/>
          <w:szCs w:val="18"/>
        </w:rPr>
        <w:t>Patrick</w:t>
      </w:r>
      <w:r>
        <w:rPr>
          <w:rFonts w:cstheme="minorHAnsi"/>
          <w:sz w:val="18"/>
          <w:szCs w:val="18"/>
        </w:rPr>
        <w:t xml:space="preserve"> Curry</w:t>
      </w:r>
      <w:r w:rsidRPr="00BE1245">
        <w:rPr>
          <w:rFonts w:cstheme="minorHAnsi"/>
          <w:sz w:val="18"/>
          <w:szCs w:val="18"/>
        </w:rPr>
        <w:t>, ‘Astrology on Trial, and its Historians: Reflections on the Historiography of “Superstition”</w:t>
      </w:r>
      <w:r>
        <w:rPr>
          <w:rFonts w:cstheme="minorHAnsi"/>
          <w:sz w:val="18"/>
          <w:szCs w:val="18"/>
        </w:rPr>
        <w:t>, pp. 53.</w:t>
      </w:r>
    </w:p>
  </w:footnote>
  <w:footnote w:id="7">
    <w:p w14:paraId="708333AE" w14:textId="6679F31D" w:rsidR="004A4DFD" w:rsidRDefault="004A4DFD" w:rsidP="004A4DFD">
      <w:pPr>
        <w:pStyle w:val="FootnoteText"/>
        <w:ind w:left="142" w:hanging="142"/>
      </w:pPr>
      <w:r>
        <w:rPr>
          <w:rStyle w:val="FootnoteReference"/>
        </w:rPr>
        <w:footnoteRef/>
      </w:r>
      <w:r>
        <w:t xml:space="preserve"> </w:t>
      </w:r>
      <w:r w:rsidRPr="00E42761">
        <w:rPr>
          <w:rFonts w:eastAsia="Times New Roman" w:cstheme="minorHAnsi"/>
          <w:sz w:val="18"/>
          <w:szCs w:val="18"/>
          <w:lang w:eastAsia="en-CA"/>
        </w:rPr>
        <w:t xml:space="preserve">Patrick Curry, ‘The Historiography of Astrology: A Diagnosis and Remediation’, in </w:t>
      </w:r>
      <w:r w:rsidRPr="00E42761">
        <w:rPr>
          <w:rFonts w:eastAsia="Times New Roman" w:cstheme="minorHAnsi"/>
          <w:i/>
          <w:iCs/>
          <w:sz w:val="18"/>
          <w:szCs w:val="18"/>
          <w:lang w:eastAsia="en-CA"/>
        </w:rPr>
        <w:t xml:space="preserve">Horoscopes and Public Spheres: Essays of the History of Astrology, </w:t>
      </w:r>
      <w:r w:rsidRPr="00E42761">
        <w:rPr>
          <w:rFonts w:eastAsia="Times New Roman" w:cstheme="minorHAnsi"/>
          <w:sz w:val="18"/>
          <w:szCs w:val="18"/>
          <w:lang w:eastAsia="en-CA"/>
        </w:rPr>
        <w:t xml:space="preserve">ed. by Günther </w:t>
      </w:r>
      <w:proofErr w:type="spellStart"/>
      <w:r w:rsidRPr="00E42761">
        <w:rPr>
          <w:rFonts w:eastAsia="Times New Roman" w:cstheme="minorHAnsi"/>
          <w:sz w:val="18"/>
          <w:szCs w:val="18"/>
          <w:lang w:eastAsia="en-CA"/>
        </w:rPr>
        <w:t>Oestmann</w:t>
      </w:r>
      <w:proofErr w:type="spellEnd"/>
      <w:r w:rsidRPr="00E42761">
        <w:rPr>
          <w:rFonts w:eastAsia="Times New Roman" w:cstheme="minorHAnsi"/>
          <w:sz w:val="18"/>
          <w:szCs w:val="18"/>
          <w:lang w:eastAsia="en-CA"/>
        </w:rPr>
        <w:t xml:space="preserve">, Darrel H. </w:t>
      </w:r>
      <w:proofErr w:type="spellStart"/>
      <w:r w:rsidRPr="00E42761">
        <w:rPr>
          <w:rFonts w:eastAsia="Times New Roman" w:cstheme="minorHAnsi"/>
          <w:sz w:val="18"/>
          <w:szCs w:val="18"/>
          <w:lang w:eastAsia="en-CA"/>
        </w:rPr>
        <w:t>Rutkin</w:t>
      </w:r>
      <w:proofErr w:type="spellEnd"/>
      <w:r w:rsidRPr="00E42761">
        <w:rPr>
          <w:rFonts w:eastAsia="Times New Roman" w:cstheme="minorHAnsi"/>
          <w:sz w:val="18"/>
          <w:szCs w:val="18"/>
          <w:lang w:eastAsia="en-CA"/>
        </w:rPr>
        <w:t xml:space="preserve">, </w:t>
      </w:r>
      <w:proofErr w:type="spellStart"/>
      <w:r w:rsidRPr="00E42761">
        <w:rPr>
          <w:rFonts w:eastAsia="Times New Roman" w:cstheme="minorHAnsi"/>
          <w:sz w:val="18"/>
          <w:szCs w:val="18"/>
          <w:lang w:eastAsia="en-CA"/>
        </w:rPr>
        <w:t>Kocku</w:t>
      </w:r>
      <w:proofErr w:type="spellEnd"/>
      <w:r w:rsidRPr="00E42761">
        <w:rPr>
          <w:rFonts w:eastAsia="Times New Roman" w:cstheme="minorHAnsi"/>
          <w:sz w:val="18"/>
          <w:szCs w:val="18"/>
          <w:lang w:eastAsia="en-CA"/>
        </w:rPr>
        <w:t xml:space="preserve"> von </w:t>
      </w:r>
      <w:proofErr w:type="spellStart"/>
      <w:r w:rsidRPr="00E42761">
        <w:rPr>
          <w:rFonts w:eastAsia="Times New Roman" w:cstheme="minorHAnsi"/>
          <w:sz w:val="18"/>
          <w:szCs w:val="18"/>
          <w:lang w:eastAsia="en-CA"/>
        </w:rPr>
        <w:t>Stuckrad</w:t>
      </w:r>
      <w:proofErr w:type="spellEnd"/>
      <w:r w:rsidRPr="00E42761">
        <w:rPr>
          <w:rFonts w:eastAsia="Times New Roman" w:cstheme="minorHAnsi"/>
          <w:sz w:val="18"/>
          <w:szCs w:val="18"/>
          <w:lang w:eastAsia="en-CA"/>
        </w:rPr>
        <w:t>, (New York: Walter de Gruyter, 2005). pp. 265</w:t>
      </w:r>
      <w:r>
        <w:rPr>
          <w:rFonts w:eastAsia="Times New Roman" w:cstheme="minorHAnsi"/>
          <w:sz w:val="18"/>
          <w:szCs w:val="18"/>
          <w:lang w:eastAsia="en-CA"/>
        </w:rPr>
        <w:t>.</w:t>
      </w:r>
    </w:p>
  </w:footnote>
  <w:footnote w:id="8">
    <w:p w14:paraId="7D2F1537" w14:textId="6B3FDD35" w:rsidR="004A4DFD" w:rsidRDefault="004A4DFD" w:rsidP="004A4DFD">
      <w:pPr>
        <w:pStyle w:val="FootnoteText"/>
        <w:ind w:left="142" w:hanging="142"/>
      </w:pPr>
      <w:r>
        <w:rPr>
          <w:rStyle w:val="FootnoteReference"/>
        </w:rPr>
        <w:footnoteRef/>
      </w:r>
      <w:r>
        <w:t xml:space="preserve"> </w:t>
      </w:r>
      <w:r w:rsidRPr="00E42761">
        <w:rPr>
          <w:rFonts w:eastAsia="Times New Roman" w:cstheme="minorHAnsi"/>
          <w:sz w:val="18"/>
          <w:szCs w:val="18"/>
          <w:lang w:eastAsia="en-CA"/>
        </w:rPr>
        <w:t>Patrick Curry, ‘The Historiography of Astrology: A Diagnosis and Remediation’, pp. 265</w:t>
      </w:r>
      <w:r>
        <w:rPr>
          <w:rFonts w:eastAsia="Times New Roman" w:cstheme="minorHAnsi"/>
          <w:sz w:val="18"/>
          <w:szCs w:val="18"/>
          <w:lang w:eastAsia="en-CA"/>
        </w:rPr>
        <w:t>.</w:t>
      </w:r>
    </w:p>
  </w:footnote>
  <w:footnote w:id="9">
    <w:p w14:paraId="5E1BBA78" w14:textId="77777777" w:rsidR="00AE424A" w:rsidRDefault="00AE424A" w:rsidP="00AE424A">
      <w:pPr>
        <w:pStyle w:val="FootnoteText"/>
      </w:pPr>
      <w:r>
        <w:rPr>
          <w:rStyle w:val="FootnoteReference"/>
        </w:rPr>
        <w:footnoteRef/>
      </w:r>
      <w:r>
        <w:t xml:space="preserve"> </w:t>
      </w:r>
      <w:r>
        <w:rPr>
          <w:rFonts w:eastAsia="Times New Roman" w:cstheme="minorHAnsi"/>
          <w:sz w:val="18"/>
          <w:szCs w:val="18"/>
          <w:lang w:eastAsia="en-CA"/>
        </w:rPr>
        <w:t xml:space="preserve">Hufford, </w:t>
      </w:r>
      <w:r>
        <w:rPr>
          <w:rFonts w:eastAsia="Times New Roman" w:cstheme="minorHAnsi"/>
          <w:i/>
          <w:iCs/>
          <w:sz w:val="18"/>
          <w:szCs w:val="18"/>
          <w:lang w:eastAsia="en-CA"/>
        </w:rPr>
        <w:t xml:space="preserve">Belief Studies, </w:t>
      </w:r>
      <w:r>
        <w:rPr>
          <w:rFonts w:eastAsia="Times New Roman" w:cstheme="minorHAnsi"/>
          <w:sz w:val="18"/>
          <w:szCs w:val="18"/>
          <w:lang w:eastAsia="en-CA"/>
        </w:rPr>
        <w:t>p. 61.</w:t>
      </w:r>
    </w:p>
  </w:footnote>
  <w:footnote w:id="10">
    <w:p w14:paraId="68CD77C4" w14:textId="0C9FC9E9" w:rsidR="00AE424A" w:rsidRDefault="00AE424A" w:rsidP="00B67FAC">
      <w:pPr>
        <w:pStyle w:val="FootnoteText"/>
        <w:ind w:left="142" w:hanging="142"/>
      </w:pPr>
      <w:r>
        <w:rPr>
          <w:rStyle w:val="FootnoteReference"/>
        </w:rPr>
        <w:footnoteRef/>
      </w:r>
      <w:r>
        <w:t xml:space="preserve"> </w:t>
      </w:r>
      <w:r w:rsidR="00B67FAC" w:rsidRPr="009F0859">
        <w:rPr>
          <w:sz w:val="18"/>
          <w:szCs w:val="18"/>
        </w:rPr>
        <w:t xml:space="preserve">Mark </w:t>
      </w:r>
      <w:proofErr w:type="spellStart"/>
      <w:r w:rsidR="00B67FAC" w:rsidRPr="009F0859">
        <w:rPr>
          <w:sz w:val="18"/>
          <w:szCs w:val="18"/>
        </w:rPr>
        <w:t>Graubard</w:t>
      </w:r>
      <w:proofErr w:type="spellEnd"/>
      <w:r w:rsidR="00B67FAC" w:rsidRPr="009F0859">
        <w:rPr>
          <w:sz w:val="18"/>
          <w:szCs w:val="18"/>
        </w:rPr>
        <w:t xml:space="preserve">, </w:t>
      </w:r>
      <w:r w:rsidR="00B67FAC" w:rsidRPr="009F0859">
        <w:rPr>
          <w:rFonts w:cstheme="minorHAnsi"/>
          <w:sz w:val="18"/>
          <w:szCs w:val="18"/>
        </w:rPr>
        <w:t>‘Astrology’s Demise and Its Bearing on the Decline and Death of Beliefs’</w:t>
      </w:r>
      <w:r w:rsidR="00B67FAC">
        <w:rPr>
          <w:rFonts w:cstheme="minorHAnsi"/>
          <w:sz w:val="18"/>
          <w:szCs w:val="18"/>
        </w:rPr>
        <w:t>.</w:t>
      </w:r>
      <w:r w:rsidR="00B67FAC" w:rsidRPr="009F0859">
        <w:rPr>
          <w:rFonts w:cstheme="minorHAnsi"/>
          <w:sz w:val="18"/>
          <w:szCs w:val="18"/>
        </w:rPr>
        <w:t xml:space="preserve"> </w:t>
      </w:r>
      <w:r w:rsidR="00B67FAC" w:rsidRPr="009F0859">
        <w:rPr>
          <w:rFonts w:cstheme="minorHAnsi"/>
          <w:i/>
          <w:iCs/>
          <w:sz w:val="18"/>
          <w:szCs w:val="18"/>
        </w:rPr>
        <w:t>Osiris</w:t>
      </w:r>
      <w:r w:rsidR="00B67FAC" w:rsidRPr="009F0859">
        <w:rPr>
          <w:rFonts w:cstheme="minorHAnsi"/>
          <w:sz w:val="18"/>
          <w:szCs w:val="18"/>
        </w:rPr>
        <w:t>, vol. 13, (Saint Catherine’s Press, The University of Chicago Press, The History of Science Society, 1958), p</w:t>
      </w:r>
      <w:r w:rsidRPr="00FA1316">
        <w:rPr>
          <w:sz w:val="18"/>
          <w:szCs w:val="18"/>
        </w:rPr>
        <w:t>p.2</w:t>
      </w:r>
      <w:r>
        <w:rPr>
          <w:sz w:val="18"/>
          <w:szCs w:val="18"/>
        </w:rPr>
        <w:t>40.</w:t>
      </w:r>
    </w:p>
  </w:footnote>
  <w:footnote w:id="11">
    <w:p w14:paraId="2EDDA7AE" w14:textId="1A0494BB" w:rsidR="00FF4C4B" w:rsidRDefault="00FF4C4B" w:rsidP="00FF4C4B">
      <w:pPr>
        <w:pStyle w:val="FootnoteText"/>
        <w:ind w:left="142" w:hanging="142"/>
      </w:pPr>
      <w:r>
        <w:rPr>
          <w:rStyle w:val="FootnoteReference"/>
        </w:rPr>
        <w:footnoteRef/>
      </w:r>
      <w:r>
        <w:t xml:space="preserve"> </w:t>
      </w:r>
      <w:r w:rsidRPr="00FF4C4B">
        <w:rPr>
          <w:rFonts w:cstheme="minorHAnsi"/>
          <w:sz w:val="18"/>
          <w:szCs w:val="18"/>
        </w:rPr>
        <w:t>Nicholas</w:t>
      </w:r>
      <w:r w:rsidR="00FC78DA">
        <w:rPr>
          <w:rFonts w:cstheme="minorHAnsi"/>
          <w:sz w:val="18"/>
          <w:szCs w:val="18"/>
        </w:rPr>
        <w:t xml:space="preserve"> Campion</w:t>
      </w:r>
      <w:r w:rsidRPr="00FF4C4B">
        <w:rPr>
          <w:rFonts w:cstheme="minorHAnsi"/>
          <w:sz w:val="18"/>
          <w:szCs w:val="18"/>
        </w:rPr>
        <w:t xml:space="preserve">, ‘Prophecy, </w:t>
      </w:r>
      <w:proofErr w:type="gramStart"/>
      <w:r w:rsidRPr="00FF4C4B">
        <w:rPr>
          <w:rFonts w:cstheme="minorHAnsi"/>
          <w:sz w:val="18"/>
          <w:szCs w:val="18"/>
        </w:rPr>
        <w:t>Cosmology</w:t>
      </w:r>
      <w:proofErr w:type="gramEnd"/>
      <w:r w:rsidRPr="00FF4C4B">
        <w:rPr>
          <w:rFonts w:cstheme="minorHAnsi"/>
          <w:sz w:val="18"/>
          <w:szCs w:val="18"/>
        </w:rPr>
        <w:t xml:space="preserve"> and the New Age Movement: The Extent and Nature of Contemporary Belief in Astrology, unpublished doctoral thesis, University of the West of England, 2004</w:t>
      </w:r>
      <w:r>
        <w:rPr>
          <w:rFonts w:cstheme="minorHAnsi"/>
          <w:sz w:val="18"/>
          <w:szCs w:val="18"/>
        </w:rPr>
        <w:t>, pp. 155.</w:t>
      </w:r>
    </w:p>
  </w:footnote>
  <w:footnote w:id="12">
    <w:p w14:paraId="5CDDA260" w14:textId="014F54F0" w:rsidR="00A350DC" w:rsidRDefault="00A350DC">
      <w:pPr>
        <w:pStyle w:val="FootnoteText"/>
      </w:pPr>
      <w:r>
        <w:rPr>
          <w:rStyle w:val="FootnoteReference"/>
        </w:rPr>
        <w:footnoteRef/>
      </w:r>
      <w:r>
        <w:t xml:space="preserve"> </w:t>
      </w:r>
      <w:r w:rsidRPr="00FF4C4B">
        <w:rPr>
          <w:rFonts w:cstheme="minorHAnsi"/>
          <w:sz w:val="18"/>
          <w:szCs w:val="18"/>
        </w:rPr>
        <w:t>Nicholas</w:t>
      </w:r>
      <w:r>
        <w:rPr>
          <w:rFonts w:cstheme="minorHAnsi"/>
          <w:sz w:val="18"/>
          <w:szCs w:val="18"/>
        </w:rPr>
        <w:t xml:space="preserve"> Campion</w:t>
      </w:r>
      <w:r w:rsidRPr="00FF4C4B">
        <w:rPr>
          <w:rFonts w:cstheme="minorHAnsi"/>
          <w:sz w:val="18"/>
          <w:szCs w:val="18"/>
        </w:rPr>
        <w:t>, ‘Prophecy, Cosmology and the New Age Movement</w:t>
      </w:r>
      <w:r>
        <w:rPr>
          <w:rFonts w:cstheme="minorHAnsi"/>
          <w:sz w:val="18"/>
          <w:szCs w:val="18"/>
        </w:rPr>
        <w:t>, pp. 1</w:t>
      </w:r>
      <w:r>
        <w:rPr>
          <w:rFonts w:cstheme="minorHAnsi"/>
          <w:sz w:val="18"/>
          <w:szCs w:val="18"/>
        </w:rPr>
        <w:t>77.</w:t>
      </w:r>
    </w:p>
  </w:footnote>
  <w:footnote w:id="13">
    <w:p w14:paraId="108BD99D" w14:textId="4283A35C" w:rsidR="009A7EDA" w:rsidRDefault="009A7EDA">
      <w:pPr>
        <w:pStyle w:val="FootnoteText"/>
      </w:pPr>
      <w:r>
        <w:rPr>
          <w:rStyle w:val="FootnoteReference"/>
        </w:rPr>
        <w:footnoteRef/>
      </w:r>
      <w:r>
        <w:t xml:space="preserve"> </w:t>
      </w:r>
      <w:r w:rsidRPr="00FF4C4B">
        <w:rPr>
          <w:rFonts w:cstheme="minorHAnsi"/>
          <w:sz w:val="18"/>
          <w:szCs w:val="18"/>
        </w:rPr>
        <w:t>Nicholas</w:t>
      </w:r>
      <w:r>
        <w:rPr>
          <w:rFonts w:cstheme="minorHAnsi"/>
          <w:sz w:val="18"/>
          <w:szCs w:val="18"/>
        </w:rPr>
        <w:t xml:space="preserve"> Campion</w:t>
      </w:r>
      <w:r>
        <w:rPr>
          <w:rFonts w:cstheme="minorHAnsi"/>
          <w:sz w:val="18"/>
          <w:szCs w:val="18"/>
        </w:rPr>
        <w:t>, pers. comm. March 6, 2022.</w:t>
      </w:r>
    </w:p>
  </w:footnote>
  <w:footnote w:id="14">
    <w:p w14:paraId="0E34D468" w14:textId="77777777" w:rsidR="00E80576" w:rsidRPr="001D3455" w:rsidRDefault="00E80576" w:rsidP="00E80576">
      <w:pPr>
        <w:pStyle w:val="FootnoteText"/>
        <w:spacing w:before="240"/>
        <w:contextualSpacing/>
        <w:rPr>
          <w:sz w:val="18"/>
          <w:szCs w:val="18"/>
        </w:rPr>
      </w:pPr>
      <w:r>
        <w:rPr>
          <w:rStyle w:val="FootnoteReference"/>
        </w:rPr>
        <w:footnoteRef/>
      </w:r>
      <w:r>
        <w:t xml:space="preserve"> </w:t>
      </w:r>
      <w:r w:rsidRPr="003C4E3F">
        <w:rPr>
          <w:rFonts w:eastAsia="Times New Roman" w:cstheme="minorHAnsi"/>
          <w:sz w:val="18"/>
          <w:szCs w:val="18"/>
          <w:lang w:eastAsia="en-CA"/>
        </w:rPr>
        <w:t xml:space="preserve">Richard J. Evans, </w:t>
      </w:r>
      <w:r w:rsidRPr="003C4E3F">
        <w:rPr>
          <w:rFonts w:eastAsia="Times New Roman" w:cstheme="minorHAnsi"/>
          <w:i/>
          <w:iCs/>
          <w:sz w:val="18"/>
          <w:szCs w:val="18"/>
          <w:lang w:eastAsia="en-CA"/>
        </w:rPr>
        <w:t xml:space="preserve">In Defense of History, </w:t>
      </w:r>
      <w:r w:rsidRPr="003C4E3F">
        <w:rPr>
          <w:rFonts w:eastAsia="Times New Roman" w:cstheme="minorHAnsi"/>
          <w:sz w:val="18"/>
          <w:szCs w:val="18"/>
          <w:lang w:eastAsia="en-CA"/>
        </w:rPr>
        <w:t>(London: W.W. Norton &amp; Co. 1997). pp</w:t>
      </w:r>
      <w:r w:rsidRPr="001D3455">
        <w:rPr>
          <w:rFonts w:eastAsia="Times New Roman" w:cstheme="minorHAnsi"/>
          <w:sz w:val="18"/>
          <w:szCs w:val="18"/>
          <w:lang w:eastAsia="en-CA"/>
        </w:rPr>
        <w:t>. 89-90. (</w:t>
      </w:r>
      <w:proofErr w:type="gramStart"/>
      <w:r w:rsidRPr="001D3455">
        <w:rPr>
          <w:rFonts w:eastAsia="Times New Roman" w:cstheme="minorHAnsi"/>
          <w:i/>
          <w:iCs/>
          <w:sz w:val="18"/>
          <w:szCs w:val="18"/>
          <w:lang w:eastAsia="en-CA"/>
        </w:rPr>
        <w:t>italics</w:t>
      </w:r>
      <w:proofErr w:type="gramEnd"/>
      <w:r w:rsidRPr="001D3455">
        <w:rPr>
          <w:rFonts w:eastAsia="Times New Roman" w:cstheme="minorHAnsi"/>
          <w:i/>
          <w:iCs/>
          <w:sz w:val="18"/>
          <w:szCs w:val="18"/>
          <w:lang w:eastAsia="en-CA"/>
        </w:rPr>
        <w:t xml:space="preserve"> </w:t>
      </w:r>
      <w:r w:rsidRPr="001D3455">
        <w:rPr>
          <w:rFonts w:eastAsia="Times New Roman" w:cstheme="minorHAnsi"/>
          <w:sz w:val="18"/>
          <w:szCs w:val="18"/>
          <w:lang w:eastAsia="en-CA"/>
        </w:rPr>
        <w:t>my own</w:t>
      </w:r>
      <w:r>
        <w:rPr>
          <w:rFonts w:eastAsia="Times New Roman" w:cstheme="minorHAnsi"/>
          <w:sz w:val="18"/>
          <w:szCs w:val="18"/>
          <w:lang w:eastAsia="en-CA"/>
        </w:rPr>
        <w:t>)</w:t>
      </w:r>
      <w:r w:rsidRPr="001D3455">
        <w:rPr>
          <w:rFonts w:eastAsia="Times New Roman" w:cstheme="minorHAnsi"/>
          <w:sz w:val="18"/>
          <w:szCs w:val="18"/>
          <w:lang w:eastAsia="en-CA"/>
        </w:rPr>
        <w:t>.</w:t>
      </w:r>
    </w:p>
  </w:footnote>
  <w:footnote w:id="15">
    <w:p w14:paraId="1BC5441E" w14:textId="77777777" w:rsidR="00E80576" w:rsidRPr="00D1387F" w:rsidRDefault="00E80576" w:rsidP="00E80576">
      <w:pPr>
        <w:pStyle w:val="FootnoteText"/>
      </w:pPr>
      <w:r>
        <w:rPr>
          <w:rStyle w:val="FootnoteReference"/>
        </w:rPr>
        <w:footnoteRef/>
      </w:r>
      <w:r>
        <w:t xml:space="preserve"> </w:t>
      </w:r>
      <w:r w:rsidRPr="003C4E3F">
        <w:rPr>
          <w:rFonts w:eastAsia="Times New Roman" w:cstheme="minorHAnsi"/>
          <w:sz w:val="18"/>
          <w:szCs w:val="18"/>
          <w:lang w:eastAsia="en-CA"/>
        </w:rPr>
        <w:t xml:space="preserve">Evans, </w:t>
      </w:r>
      <w:r w:rsidRPr="003C4E3F">
        <w:rPr>
          <w:rFonts w:eastAsia="Times New Roman" w:cstheme="minorHAnsi"/>
          <w:i/>
          <w:iCs/>
          <w:sz w:val="18"/>
          <w:szCs w:val="18"/>
          <w:lang w:eastAsia="en-CA"/>
        </w:rPr>
        <w:t>In Defense of History,</w:t>
      </w:r>
      <w:r>
        <w:rPr>
          <w:rFonts w:eastAsia="Times New Roman" w:cstheme="minorHAnsi"/>
          <w:i/>
          <w:iCs/>
          <w:sz w:val="18"/>
          <w:szCs w:val="18"/>
          <w:lang w:eastAsia="en-CA"/>
        </w:rPr>
        <w:t xml:space="preserve"> </w:t>
      </w:r>
      <w:r>
        <w:rPr>
          <w:rFonts w:eastAsia="Times New Roman" w:cstheme="minorHAnsi"/>
          <w:sz w:val="18"/>
          <w:szCs w:val="18"/>
          <w:lang w:eastAsia="en-CA"/>
        </w:rPr>
        <w:t>pp. 110.</w:t>
      </w:r>
    </w:p>
  </w:footnote>
  <w:footnote w:id="16">
    <w:p w14:paraId="7207FFAD" w14:textId="77777777" w:rsidR="00C50AD2" w:rsidRDefault="00C50AD2" w:rsidP="00C50AD2">
      <w:pPr>
        <w:pStyle w:val="FootnoteText"/>
      </w:pPr>
      <w:r>
        <w:rPr>
          <w:rStyle w:val="FootnoteReference"/>
        </w:rPr>
        <w:footnoteRef/>
      </w:r>
      <w:r>
        <w:t xml:space="preserve"> </w:t>
      </w:r>
      <w:r w:rsidRPr="00755F97">
        <w:rPr>
          <w:rFonts w:cstheme="minorHAnsi"/>
          <w:sz w:val="18"/>
          <w:szCs w:val="18"/>
        </w:rPr>
        <w:t xml:space="preserve">Richard J. Evans, </w:t>
      </w:r>
      <w:r w:rsidRPr="00755F97">
        <w:rPr>
          <w:rFonts w:cstheme="minorHAnsi"/>
          <w:i/>
          <w:iCs/>
          <w:sz w:val="18"/>
          <w:szCs w:val="18"/>
        </w:rPr>
        <w:t xml:space="preserve">In Defense of History, </w:t>
      </w:r>
      <w:r w:rsidRPr="00755F97">
        <w:rPr>
          <w:rFonts w:cstheme="minorHAnsi"/>
          <w:sz w:val="18"/>
          <w:szCs w:val="18"/>
        </w:rPr>
        <w:t>(London: W.W. Norton &amp; Co. 199</w:t>
      </w:r>
      <w:r>
        <w:rPr>
          <w:rFonts w:cstheme="minorHAnsi"/>
          <w:sz w:val="18"/>
          <w:szCs w:val="18"/>
        </w:rPr>
        <w:t>9</w:t>
      </w:r>
      <w:r w:rsidRPr="00755F97">
        <w:rPr>
          <w:rFonts w:cstheme="minorHAnsi"/>
          <w:sz w:val="18"/>
          <w:szCs w:val="18"/>
        </w:rPr>
        <w:t>), pp. 1</w:t>
      </w:r>
      <w:r>
        <w:rPr>
          <w:rFonts w:cstheme="minorHAnsi"/>
          <w:sz w:val="18"/>
          <w:szCs w:val="18"/>
        </w:rPr>
        <w:t>69.</w:t>
      </w:r>
    </w:p>
  </w:footnote>
  <w:footnote w:id="17">
    <w:p w14:paraId="080AE9B0" w14:textId="1CDBCC6F" w:rsidR="006F6C3A" w:rsidRDefault="006F6C3A">
      <w:pPr>
        <w:pStyle w:val="FootnoteText"/>
      </w:pPr>
      <w:r>
        <w:rPr>
          <w:rStyle w:val="FootnoteReference"/>
        </w:rPr>
        <w:footnoteRef/>
      </w:r>
      <w:r>
        <w:t xml:space="preserve"> </w:t>
      </w:r>
      <w:r w:rsidRPr="006F6C3A">
        <w:rPr>
          <w:rFonts w:cstheme="minorHAnsi"/>
          <w:sz w:val="18"/>
          <w:szCs w:val="18"/>
        </w:rPr>
        <w:t>Patrick</w:t>
      </w:r>
      <w:r w:rsidR="00576413">
        <w:rPr>
          <w:rFonts w:cstheme="minorHAnsi"/>
          <w:sz w:val="18"/>
          <w:szCs w:val="18"/>
        </w:rPr>
        <w:t xml:space="preserve"> </w:t>
      </w:r>
      <w:r w:rsidR="00576413" w:rsidRPr="006F6C3A">
        <w:rPr>
          <w:rFonts w:cstheme="minorHAnsi"/>
          <w:sz w:val="18"/>
          <w:szCs w:val="18"/>
        </w:rPr>
        <w:t>Curry</w:t>
      </w:r>
      <w:r w:rsidR="00576413">
        <w:rPr>
          <w:rFonts w:cstheme="minorHAnsi"/>
          <w:sz w:val="18"/>
          <w:szCs w:val="18"/>
        </w:rPr>
        <w:t>,</w:t>
      </w:r>
      <w:r w:rsidRPr="006F6C3A">
        <w:rPr>
          <w:rFonts w:cstheme="minorHAnsi"/>
          <w:sz w:val="18"/>
          <w:szCs w:val="18"/>
        </w:rPr>
        <w:t xml:space="preserve"> </w:t>
      </w:r>
      <w:r w:rsidRPr="006F6C3A">
        <w:rPr>
          <w:rFonts w:cstheme="minorHAnsi"/>
          <w:i/>
          <w:iCs/>
          <w:sz w:val="18"/>
          <w:szCs w:val="18"/>
        </w:rPr>
        <w:t>Prophecy and Power: Astrology in Early Modern England</w:t>
      </w:r>
      <w:r w:rsidRPr="006F6C3A">
        <w:rPr>
          <w:rFonts w:cstheme="minorHAnsi"/>
          <w:sz w:val="18"/>
          <w:szCs w:val="18"/>
        </w:rPr>
        <w:t>. Princeton University Press, 1989</w:t>
      </w:r>
      <w:r w:rsidR="00576413">
        <w:rPr>
          <w:rFonts w:cstheme="minorHAnsi"/>
          <w:sz w:val="18"/>
          <w:szCs w:val="18"/>
        </w:rPr>
        <w:t>, pp. 95 seq.</w:t>
      </w:r>
    </w:p>
  </w:footnote>
  <w:footnote w:id="18">
    <w:p w14:paraId="2A30EA16" w14:textId="132BD004" w:rsidR="00AE5915" w:rsidRDefault="00AE5915">
      <w:pPr>
        <w:pStyle w:val="FootnoteText"/>
      </w:pPr>
      <w:r>
        <w:rPr>
          <w:rStyle w:val="FootnoteReference"/>
        </w:rPr>
        <w:footnoteRef/>
      </w:r>
      <w:r>
        <w:t xml:space="preserve"> </w:t>
      </w:r>
      <w:r w:rsidRPr="00AE5915">
        <w:rPr>
          <w:rFonts w:cstheme="minorHAnsi"/>
          <w:sz w:val="18"/>
          <w:szCs w:val="18"/>
        </w:rPr>
        <w:t>Patrick</w:t>
      </w:r>
      <w:r>
        <w:rPr>
          <w:rFonts w:cstheme="minorHAnsi"/>
          <w:sz w:val="18"/>
          <w:szCs w:val="18"/>
        </w:rPr>
        <w:t xml:space="preserve"> Curry</w:t>
      </w:r>
      <w:r w:rsidRPr="00AE5915">
        <w:rPr>
          <w:rFonts w:cstheme="minorHAnsi"/>
          <w:sz w:val="18"/>
          <w:szCs w:val="18"/>
        </w:rPr>
        <w:t xml:space="preserve">, ‘Historical Approaches to Astrology’, </w:t>
      </w:r>
      <w:r w:rsidRPr="00AE5915">
        <w:rPr>
          <w:rFonts w:cstheme="minorHAnsi"/>
          <w:i/>
          <w:iCs/>
          <w:sz w:val="18"/>
          <w:szCs w:val="18"/>
        </w:rPr>
        <w:t xml:space="preserve">Culture and Cosmos, </w:t>
      </w:r>
      <w:r w:rsidRPr="00AE5915">
        <w:rPr>
          <w:rFonts w:cstheme="minorHAnsi"/>
          <w:sz w:val="18"/>
          <w:szCs w:val="18"/>
        </w:rPr>
        <w:t>Vol. 4 no. 1, Spring/Summer 2000, pp. 3</w:t>
      </w:r>
      <w:r>
        <w:rPr>
          <w:rFonts w:cstheme="minorHAnsi"/>
          <w:sz w:val="18"/>
          <w:szCs w:val="18"/>
        </w:rPr>
        <w:t>.</w:t>
      </w:r>
    </w:p>
  </w:footnote>
  <w:footnote w:id="19">
    <w:p w14:paraId="07C4049C" w14:textId="7E7C0E5A" w:rsidR="00A16D5D" w:rsidRPr="00805F93" w:rsidRDefault="00A16D5D">
      <w:pPr>
        <w:pStyle w:val="FootnoteText"/>
      </w:pPr>
      <w:r>
        <w:rPr>
          <w:rStyle w:val="FootnoteReference"/>
        </w:rPr>
        <w:footnoteRef/>
      </w:r>
      <w:r>
        <w:t xml:space="preserve"> </w:t>
      </w:r>
      <w:r w:rsidRPr="00AE5915">
        <w:rPr>
          <w:rFonts w:cstheme="minorHAnsi"/>
          <w:sz w:val="18"/>
          <w:szCs w:val="18"/>
        </w:rPr>
        <w:t>Patrick</w:t>
      </w:r>
      <w:r>
        <w:rPr>
          <w:rFonts w:cstheme="minorHAnsi"/>
          <w:sz w:val="18"/>
          <w:szCs w:val="18"/>
        </w:rPr>
        <w:t xml:space="preserve"> Curry</w:t>
      </w:r>
      <w:r w:rsidRPr="00AE5915">
        <w:rPr>
          <w:rFonts w:cstheme="minorHAnsi"/>
          <w:sz w:val="18"/>
          <w:szCs w:val="18"/>
        </w:rPr>
        <w:t>, ‘Historical Approaches to Astrology’</w:t>
      </w:r>
      <w:r>
        <w:rPr>
          <w:rFonts w:cstheme="minorHAnsi"/>
          <w:sz w:val="18"/>
          <w:szCs w:val="18"/>
        </w:rPr>
        <w:t>, pp. 3-4.</w:t>
      </w:r>
      <w:r w:rsidR="00805F93">
        <w:rPr>
          <w:rFonts w:cstheme="minorHAnsi"/>
          <w:sz w:val="18"/>
          <w:szCs w:val="18"/>
        </w:rPr>
        <w:t xml:space="preserve"> (</w:t>
      </w:r>
      <w:proofErr w:type="gramStart"/>
      <w:r w:rsidR="00805F93">
        <w:rPr>
          <w:rFonts w:cstheme="minorHAnsi"/>
          <w:i/>
          <w:iCs/>
          <w:sz w:val="18"/>
          <w:szCs w:val="18"/>
        </w:rPr>
        <w:t>italics</w:t>
      </w:r>
      <w:proofErr w:type="gramEnd"/>
      <w:r w:rsidR="00805F93">
        <w:rPr>
          <w:rFonts w:cstheme="minorHAnsi"/>
          <w:i/>
          <w:iCs/>
          <w:sz w:val="18"/>
          <w:szCs w:val="18"/>
        </w:rPr>
        <w:t xml:space="preserve"> </w:t>
      </w:r>
      <w:r w:rsidR="00805F93">
        <w:rPr>
          <w:rFonts w:cstheme="minorHAnsi"/>
          <w:sz w:val="18"/>
          <w:szCs w:val="18"/>
        </w:rPr>
        <w:t>added)</w:t>
      </w:r>
    </w:p>
  </w:footnote>
  <w:footnote w:id="20">
    <w:p w14:paraId="31A6BEFF" w14:textId="2BA8EE91" w:rsidR="009F5A9B" w:rsidRDefault="009F5A9B" w:rsidP="009F5A9B">
      <w:pPr>
        <w:pStyle w:val="FootnoteText"/>
        <w:ind w:left="142" w:hanging="142"/>
      </w:pPr>
      <w:r>
        <w:rPr>
          <w:rStyle w:val="FootnoteReference"/>
        </w:rPr>
        <w:footnoteRef/>
      </w:r>
      <w:r>
        <w:t xml:space="preserve"> </w:t>
      </w:r>
      <w:r w:rsidRPr="009F0859">
        <w:rPr>
          <w:sz w:val="18"/>
          <w:szCs w:val="18"/>
        </w:rPr>
        <w:t xml:space="preserve">Mark </w:t>
      </w:r>
      <w:proofErr w:type="spellStart"/>
      <w:r w:rsidRPr="009F0859">
        <w:rPr>
          <w:sz w:val="18"/>
          <w:szCs w:val="18"/>
        </w:rPr>
        <w:t>Graubard</w:t>
      </w:r>
      <w:proofErr w:type="spellEnd"/>
      <w:r w:rsidRPr="009F0859">
        <w:rPr>
          <w:sz w:val="18"/>
          <w:szCs w:val="18"/>
        </w:rPr>
        <w:t xml:space="preserve">, </w:t>
      </w:r>
      <w:r w:rsidRPr="009F0859">
        <w:rPr>
          <w:rFonts w:cstheme="minorHAnsi"/>
          <w:sz w:val="18"/>
          <w:szCs w:val="18"/>
        </w:rPr>
        <w:t>‘Astrology’s Demise and Its Bearing on the Decline and Death of Beliefs’</w:t>
      </w:r>
      <w:r>
        <w:rPr>
          <w:rFonts w:cstheme="minorHAnsi"/>
          <w:sz w:val="18"/>
          <w:szCs w:val="18"/>
        </w:rPr>
        <w:t>.</w:t>
      </w:r>
      <w:r w:rsidRPr="009F0859">
        <w:rPr>
          <w:rFonts w:cstheme="minorHAnsi"/>
          <w:sz w:val="18"/>
          <w:szCs w:val="18"/>
        </w:rPr>
        <w:t xml:space="preserve"> pp. 210–</w:t>
      </w:r>
      <w:r>
        <w:rPr>
          <w:rFonts w:cstheme="minorHAnsi"/>
          <w:sz w:val="18"/>
          <w:szCs w:val="18"/>
        </w:rPr>
        <w:t>211.</w:t>
      </w:r>
    </w:p>
  </w:footnote>
  <w:footnote w:id="21">
    <w:p w14:paraId="50C93E95" w14:textId="5EC65256" w:rsidR="00552E6A" w:rsidRDefault="00552E6A" w:rsidP="00552E6A">
      <w:pPr>
        <w:pStyle w:val="FootnoteText"/>
        <w:ind w:left="142" w:hanging="142"/>
      </w:pPr>
      <w:r>
        <w:rPr>
          <w:rStyle w:val="FootnoteReference"/>
        </w:rPr>
        <w:footnoteRef/>
      </w:r>
      <w:r>
        <w:t xml:space="preserve"> </w:t>
      </w:r>
      <w:r w:rsidRPr="00552E6A">
        <w:rPr>
          <w:rFonts w:cstheme="minorHAnsi"/>
          <w:sz w:val="18"/>
          <w:szCs w:val="18"/>
        </w:rPr>
        <w:t>Edward</w:t>
      </w:r>
      <w:r>
        <w:rPr>
          <w:rFonts w:cstheme="minorHAnsi"/>
          <w:sz w:val="18"/>
          <w:szCs w:val="18"/>
        </w:rPr>
        <w:t xml:space="preserve"> </w:t>
      </w:r>
      <w:r w:rsidRPr="00552E6A">
        <w:rPr>
          <w:rFonts w:cstheme="minorHAnsi"/>
          <w:sz w:val="18"/>
          <w:szCs w:val="18"/>
        </w:rPr>
        <w:t xml:space="preserve">Sherburne, </w:t>
      </w:r>
      <w:r w:rsidRPr="00552E6A">
        <w:rPr>
          <w:rFonts w:cstheme="minorHAnsi"/>
          <w:i/>
          <w:iCs/>
          <w:sz w:val="18"/>
          <w:szCs w:val="18"/>
        </w:rPr>
        <w:t xml:space="preserve">The Sphere of Marcus </w:t>
      </w:r>
      <w:proofErr w:type="spellStart"/>
      <w:r w:rsidRPr="00552E6A">
        <w:rPr>
          <w:rFonts w:cstheme="minorHAnsi"/>
          <w:i/>
          <w:iCs/>
          <w:sz w:val="18"/>
          <w:szCs w:val="18"/>
        </w:rPr>
        <w:t>Manilius</w:t>
      </w:r>
      <w:proofErr w:type="spellEnd"/>
      <w:r w:rsidRPr="00552E6A">
        <w:rPr>
          <w:rFonts w:cstheme="minorHAnsi"/>
          <w:i/>
          <w:iCs/>
          <w:sz w:val="18"/>
          <w:szCs w:val="18"/>
        </w:rPr>
        <w:t xml:space="preserve"> Made an English Poem with </w:t>
      </w:r>
      <w:proofErr w:type="gramStart"/>
      <w:r w:rsidRPr="00552E6A">
        <w:rPr>
          <w:rFonts w:cstheme="minorHAnsi"/>
          <w:i/>
          <w:iCs/>
          <w:sz w:val="18"/>
          <w:szCs w:val="18"/>
        </w:rPr>
        <w:t>Annotations</w:t>
      </w:r>
      <w:proofErr w:type="gramEnd"/>
      <w:r w:rsidRPr="00552E6A">
        <w:rPr>
          <w:rFonts w:cstheme="minorHAnsi"/>
          <w:i/>
          <w:iCs/>
          <w:sz w:val="18"/>
          <w:szCs w:val="18"/>
        </w:rPr>
        <w:t xml:space="preserve"> and an Astronomical Appendix. </w:t>
      </w:r>
      <w:r w:rsidRPr="00552E6A">
        <w:rPr>
          <w:rFonts w:cstheme="minorHAnsi"/>
          <w:sz w:val="18"/>
          <w:szCs w:val="18"/>
        </w:rPr>
        <w:t>(London, Printed for Nathanael Brooke, 1675)</w:t>
      </w:r>
      <w:r w:rsidRPr="00552E6A">
        <w:rPr>
          <w:rFonts w:cstheme="minorHAnsi"/>
          <w:i/>
          <w:iCs/>
          <w:sz w:val="18"/>
          <w:szCs w:val="18"/>
        </w:rPr>
        <w:t>.</w:t>
      </w:r>
    </w:p>
  </w:footnote>
  <w:footnote w:id="22">
    <w:p w14:paraId="64F9FCB3" w14:textId="77777777" w:rsidR="009F5A9B" w:rsidRDefault="009F5A9B" w:rsidP="009F5A9B">
      <w:pPr>
        <w:pStyle w:val="FootnoteText"/>
      </w:pPr>
      <w:r>
        <w:rPr>
          <w:rStyle w:val="FootnoteReference"/>
        </w:rPr>
        <w:footnoteRef/>
      </w:r>
      <w:r>
        <w:t xml:space="preserve"> </w:t>
      </w:r>
      <w:r w:rsidRPr="009F0859">
        <w:rPr>
          <w:sz w:val="18"/>
          <w:szCs w:val="18"/>
        </w:rPr>
        <w:t xml:space="preserve">Mark </w:t>
      </w:r>
      <w:proofErr w:type="spellStart"/>
      <w:r w:rsidRPr="009F0859">
        <w:rPr>
          <w:sz w:val="18"/>
          <w:szCs w:val="18"/>
        </w:rPr>
        <w:t>Graubard</w:t>
      </w:r>
      <w:proofErr w:type="spellEnd"/>
      <w:r w:rsidRPr="009F0859">
        <w:rPr>
          <w:sz w:val="18"/>
          <w:szCs w:val="18"/>
        </w:rPr>
        <w:t xml:space="preserve">, </w:t>
      </w:r>
      <w:r w:rsidRPr="009F0859">
        <w:rPr>
          <w:rFonts w:cstheme="minorHAnsi"/>
          <w:sz w:val="18"/>
          <w:szCs w:val="18"/>
        </w:rPr>
        <w:t>‘Astrology’s Demise and Its Bearing on the Decline and Death of Beliefs</w:t>
      </w:r>
      <w:r>
        <w:rPr>
          <w:rFonts w:cstheme="minorHAnsi"/>
          <w:sz w:val="18"/>
          <w:szCs w:val="18"/>
        </w:rPr>
        <w:t>’, p. 215.</w:t>
      </w:r>
    </w:p>
  </w:footnote>
  <w:footnote w:id="23">
    <w:p w14:paraId="6560447A" w14:textId="77777777" w:rsidR="009F5A9B" w:rsidRDefault="009F5A9B" w:rsidP="009F5A9B">
      <w:pPr>
        <w:pStyle w:val="FootnoteText"/>
      </w:pPr>
      <w:r>
        <w:rPr>
          <w:rStyle w:val="FootnoteReference"/>
        </w:rPr>
        <w:footnoteRef/>
      </w:r>
      <w:r>
        <w:t xml:space="preserve"> </w:t>
      </w:r>
      <w:r w:rsidRPr="009F0859">
        <w:rPr>
          <w:sz w:val="18"/>
          <w:szCs w:val="18"/>
        </w:rPr>
        <w:t xml:space="preserve">Mark </w:t>
      </w:r>
      <w:proofErr w:type="spellStart"/>
      <w:r w:rsidRPr="009F0859">
        <w:rPr>
          <w:sz w:val="18"/>
          <w:szCs w:val="18"/>
        </w:rPr>
        <w:t>Graubard</w:t>
      </w:r>
      <w:proofErr w:type="spellEnd"/>
      <w:r w:rsidRPr="009F0859">
        <w:rPr>
          <w:sz w:val="18"/>
          <w:szCs w:val="18"/>
        </w:rPr>
        <w:t xml:space="preserve">, </w:t>
      </w:r>
      <w:r w:rsidRPr="009F0859">
        <w:rPr>
          <w:rFonts w:cstheme="minorHAnsi"/>
          <w:sz w:val="18"/>
          <w:szCs w:val="18"/>
        </w:rPr>
        <w:t>‘Astrology’s Demise and Its Bearing on the Decline and Death of Beliefs</w:t>
      </w:r>
      <w:r>
        <w:rPr>
          <w:rFonts w:cstheme="minorHAnsi"/>
          <w:sz w:val="18"/>
          <w:szCs w:val="18"/>
        </w:rPr>
        <w:t>’, p. 215.</w:t>
      </w:r>
    </w:p>
  </w:footnote>
  <w:footnote w:id="24">
    <w:p w14:paraId="392FFA47" w14:textId="77777777" w:rsidR="009F5A9B" w:rsidRDefault="009F5A9B" w:rsidP="009F5A9B">
      <w:pPr>
        <w:pStyle w:val="FootnoteText"/>
      </w:pPr>
      <w:r>
        <w:rPr>
          <w:rStyle w:val="FootnoteReference"/>
        </w:rPr>
        <w:footnoteRef/>
      </w:r>
      <w:r>
        <w:t xml:space="preserve"> </w:t>
      </w:r>
      <w:r w:rsidRPr="009F0859">
        <w:rPr>
          <w:sz w:val="18"/>
          <w:szCs w:val="18"/>
        </w:rPr>
        <w:t xml:space="preserve">Mark </w:t>
      </w:r>
      <w:proofErr w:type="spellStart"/>
      <w:r w:rsidRPr="009F0859">
        <w:rPr>
          <w:sz w:val="18"/>
          <w:szCs w:val="18"/>
        </w:rPr>
        <w:t>Graubard</w:t>
      </w:r>
      <w:proofErr w:type="spellEnd"/>
      <w:r w:rsidRPr="009F0859">
        <w:rPr>
          <w:sz w:val="18"/>
          <w:szCs w:val="18"/>
        </w:rPr>
        <w:t xml:space="preserve">, </w:t>
      </w:r>
      <w:r w:rsidRPr="009F0859">
        <w:rPr>
          <w:rFonts w:cstheme="minorHAnsi"/>
          <w:sz w:val="18"/>
          <w:szCs w:val="18"/>
        </w:rPr>
        <w:t>‘Astrology’s Demise and Its Bearing on the Decline and Death of Beliefs</w:t>
      </w:r>
      <w:r>
        <w:rPr>
          <w:rFonts w:cstheme="minorHAnsi"/>
          <w:sz w:val="18"/>
          <w:szCs w:val="18"/>
        </w:rPr>
        <w:t>’, p. 215.</w:t>
      </w:r>
    </w:p>
  </w:footnote>
  <w:footnote w:id="25">
    <w:p w14:paraId="5872C6CF" w14:textId="5F0AA09F" w:rsidR="0020065B" w:rsidRDefault="0020065B">
      <w:pPr>
        <w:pStyle w:val="FootnoteText"/>
      </w:pPr>
      <w:r>
        <w:rPr>
          <w:rStyle w:val="FootnoteReference"/>
        </w:rPr>
        <w:footnoteRef/>
      </w:r>
      <w:r>
        <w:t xml:space="preserve"> </w:t>
      </w:r>
      <w:r w:rsidRPr="00FF4C4B">
        <w:rPr>
          <w:rFonts w:cstheme="minorHAnsi"/>
          <w:sz w:val="18"/>
          <w:szCs w:val="18"/>
        </w:rPr>
        <w:t>Nicholas</w:t>
      </w:r>
      <w:r>
        <w:rPr>
          <w:rFonts w:cstheme="minorHAnsi"/>
          <w:sz w:val="18"/>
          <w:szCs w:val="18"/>
        </w:rPr>
        <w:t xml:space="preserve"> Campion</w:t>
      </w:r>
      <w:r w:rsidRPr="00FF4C4B">
        <w:rPr>
          <w:rFonts w:cstheme="minorHAnsi"/>
          <w:sz w:val="18"/>
          <w:szCs w:val="18"/>
        </w:rPr>
        <w:t>, ‘Prophecy, Cosmology and the New Age Movement</w:t>
      </w:r>
      <w:r>
        <w:rPr>
          <w:rFonts w:cstheme="minorHAnsi"/>
          <w:sz w:val="18"/>
          <w:szCs w:val="18"/>
        </w:rPr>
        <w:t>, pp. 1</w:t>
      </w:r>
      <w:r>
        <w:rPr>
          <w:rFonts w:cstheme="minorHAnsi"/>
          <w:sz w:val="18"/>
          <w:szCs w:val="18"/>
        </w:rPr>
        <w:t>93.</w:t>
      </w:r>
    </w:p>
  </w:footnote>
  <w:footnote w:id="26">
    <w:p w14:paraId="00A1363C" w14:textId="77777777" w:rsidR="009F5A9B" w:rsidRDefault="009F5A9B" w:rsidP="009F5A9B">
      <w:pPr>
        <w:pStyle w:val="FootnoteText"/>
      </w:pPr>
      <w:r>
        <w:rPr>
          <w:rStyle w:val="FootnoteReference"/>
        </w:rPr>
        <w:footnoteRef/>
      </w:r>
      <w:r>
        <w:t xml:space="preserve"> </w:t>
      </w:r>
      <w:r w:rsidRPr="009F0859">
        <w:rPr>
          <w:sz w:val="18"/>
          <w:szCs w:val="18"/>
        </w:rPr>
        <w:t xml:space="preserve">Mark </w:t>
      </w:r>
      <w:proofErr w:type="spellStart"/>
      <w:r w:rsidRPr="009F0859">
        <w:rPr>
          <w:sz w:val="18"/>
          <w:szCs w:val="18"/>
        </w:rPr>
        <w:t>Graubard</w:t>
      </w:r>
      <w:proofErr w:type="spellEnd"/>
      <w:r w:rsidRPr="009F0859">
        <w:rPr>
          <w:sz w:val="18"/>
          <w:szCs w:val="18"/>
        </w:rPr>
        <w:t xml:space="preserve">, </w:t>
      </w:r>
      <w:r w:rsidRPr="009F0859">
        <w:rPr>
          <w:rFonts w:cstheme="minorHAnsi"/>
          <w:sz w:val="18"/>
          <w:szCs w:val="18"/>
        </w:rPr>
        <w:t>‘Astrology’s Demise and Its Bearing on the Decline and Death of Beliefs</w:t>
      </w:r>
      <w:r>
        <w:rPr>
          <w:rFonts w:cstheme="minorHAnsi"/>
          <w:sz w:val="18"/>
          <w:szCs w:val="18"/>
        </w:rPr>
        <w:t>’, p. 215.</w:t>
      </w:r>
    </w:p>
  </w:footnote>
  <w:footnote w:id="27">
    <w:p w14:paraId="43AA575D" w14:textId="77777777" w:rsidR="009F5A9B" w:rsidRDefault="009F5A9B" w:rsidP="009F5A9B">
      <w:pPr>
        <w:pStyle w:val="FootnoteText"/>
        <w:ind w:left="142" w:hanging="142"/>
      </w:pPr>
      <w:r>
        <w:rPr>
          <w:rStyle w:val="FootnoteReference"/>
        </w:rPr>
        <w:footnoteRef/>
      </w:r>
      <w:r>
        <w:t xml:space="preserve"> </w:t>
      </w:r>
      <w:r w:rsidRPr="008B0AE9">
        <w:rPr>
          <w:sz w:val="18"/>
          <w:szCs w:val="18"/>
        </w:rPr>
        <w:t xml:space="preserve">Giorgio de </w:t>
      </w:r>
      <w:proofErr w:type="spellStart"/>
      <w:r w:rsidRPr="008B0AE9">
        <w:rPr>
          <w:sz w:val="18"/>
          <w:szCs w:val="18"/>
        </w:rPr>
        <w:t>Santillana</w:t>
      </w:r>
      <w:proofErr w:type="spellEnd"/>
      <w:r w:rsidRPr="008B0AE9">
        <w:rPr>
          <w:sz w:val="18"/>
          <w:szCs w:val="18"/>
        </w:rPr>
        <w:t xml:space="preserve">, ‘The Seventeenth Century Legacy’, </w:t>
      </w:r>
      <w:r w:rsidRPr="008B0AE9">
        <w:rPr>
          <w:i/>
          <w:iCs/>
          <w:sz w:val="18"/>
          <w:szCs w:val="18"/>
        </w:rPr>
        <w:t>Daedalus</w:t>
      </w:r>
      <w:r w:rsidRPr="008B0AE9">
        <w:rPr>
          <w:sz w:val="18"/>
          <w:szCs w:val="18"/>
        </w:rPr>
        <w:t xml:space="preserve">, vol. 87, 1958, pp. 38 (cited in Mark </w:t>
      </w:r>
      <w:proofErr w:type="spellStart"/>
      <w:r w:rsidRPr="008B0AE9">
        <w:rPr>
          <w:sz w:val="18"/>
          <w:szCs w:val="18"/>
        </w:rPr>
        <w:t>Graubard</w:t>
      </w:r>
      <w:proofErr w:type="spellEnd"/>
      <w:r w:rsidRPr="008B0AE9">
        <w:rPr>
          <w:sz w:val="18"/>
          <w:szCs w:val="18"/>
        </w:rPr>
        <w:t xml:space="preserve">, </w:t>
      </w:r>
      <w:r w:rsidRPr="008B0AE9">
        <w:rPr>
          <w:rFonts w:cstheme="minorHAnsi"/>
          <w:sz w:val="18"/>
          <w:szCs w:val="18"/>
        </w:rPr>
        <w:t>‘Astrology’s Demise and Its Bearing on the Decline and Death of Beliefs’, p. 216</w:t>
      </w:r>
      <w:r>
        <w:rPr>
          <w:rFonts w:cstheme="minorHAnsi"/>
          <w:sz w:val="18"/>
          <w:szCs w:val="18"/>
        </w:rPr>
        <w:t>).</w:t>
      </w:r>
    </w:p>
    <w:p w14:paraId="78E67422" w14:textId="77777777" w:rsidR="009F5A9B" w:rsidRPr="008B0AE9" w:rsidRDefault="009F5A9B" w:rsidP="009F5A9B">
      <w:pPr>
        <w:pStyle w:val="FootnoteText"/>
      </w:pPr>
    </w:p>
  </w:footnote>
  <w:footnote w:id="28">
    <w:p w14:paraId="451C8986" w14:textId="77777777" w:rsidR="00562B0F" w:rsidRDefault="00562B0F" w:rsidP="00562B0F">
      <w:pPr>
        <w:pStyle w:val="FootnoteText"/>
        <w:ind w:left="142" w:hanging="142"/>
      </w:pPr>
      <w:r>
        <w:rPr>
          <w:rStyle w:val="FootnoteReference"/>
        </w:rPr>
        <w:footnoteRef/>
      </w:r>
      <w:r>
        <w:t xml:space="preserve"> </w:t>
      </w:r>
      <w:proofErr w:type="spellStart"/>
      <w:r w:rsidRPr="0038205E">
        <w:rPr>
          <w:rFonts w:cstheme="minorHAnsi"/>
          <w:sz w:val="18"/>
          <w:szCs w:val="18"/>
        </w:rPr>
        <w:t>Vermij</w:t>
      </w:r>
      <w:proofErr w:type="spellEnd"/>
      <w:r w:rsidRPr="0038205E">
        <w:rPr>
          <w:rFonts w:cstheme="minorHAnsi"/>
          <w:sz w:val="18"/>
          <w:szCs w:val="18"/>
        </w:rPr>
        <w:t xml:space="preserve">, </w:t>
      </w:r>
      <w:proofErr w:type="spellStart"/>
      <w:r w:rsidRPr="0038205E">
        <w:rPr>
          <w:rFonts w:cstheme="minorHAnsi"/>
          <w:sz w:val="18"/>
          <w:szCs w:val="18"/>
        </w:rPr>
        <w:t>Rienk</w:t>
      </w:r>
      <w:proofErr w:type="spellEnd"/>
      <w:r w:rsidRPr="0038205E">
        <w:rPr>
          <w:rFonts w:cstheme="minorHAnsi"/>
          <w:sz w:val="18"/>
          <w:szCs w:val="18"/>
        </w:rPr>
        <w:t xml:space="preserve">, and Hiro Hirai. ‘The Marginalization of Astrology: Introduction’, </w:t>
      </w:r>
      <w:r w:rsidRPr="0038205E">
        <w:rPr>
          <w:rFonts w:cstheme="minorHAnsi"/>
          <w:i/>
          <w:iCs/>
          <w:sz w:val="18"/>
          <w:szCs w:val="18"/>
        </w:rPr>
        <w:t>Early Science and Medicine</w:t>
      </w:r>
      <w:r w:rsidRPr="0038205E">
        <w:rPr>
          <w:rFonts w:cstheme="minorHAnsi"/>
          <w:sz w:val="18"/>
          <w:szCs w:val="18"/>
        </w:rPr>
        <w:t>, vol. 22, no. 5/6, Brill, 2017, pp. 406.</w:t>
      </w:r>
    </w:p>
  </w:footnote>
  <w:footnote w:id="29">
    <w:p w14:paraId="72D4BB3C" w14:textId="77777777" w:rsidR="00562B0F" w:rsidRPr="00334328" w:rsidRDefault="00562B0F" w:rsidP="00562B0F">
      <w:pPr>
        <w:pStyle w:val="FootnoteText"/>
      </w:pPr>
      <w:r>
        <w:rPr>
          <w:rStyle w:val="FootnoteReference"/>
        </w:rPr>
        <w:footnoteRef/>
      </w:r>
      <w:r>
        <w:t xml:space="preserve"> </w:t>
      </w:r>
      <w:proofErr w:type="spellStart"/>
      <w:r w:rsidRPr="0038205E">
        <w:rPr>
          <w:rFonts w:cstheme="minorHAnsi"/>
          <w:sz w:val="18"/>
          <w:szCs w:val="18"/>
        </w:rPr>
        <w:t>Vermij</w:t>
      </w:r>
      <w:proofErr w:type="spellEnd"/>
      <w:r w:rsidRPr="0038205E">
        <w:rPr>
          <w:rFonts w:cstheme="minorHAnsi"/>
          <w:sz w:val="18"/>
          <w:szCs w:val="18"/>
        </w:rPr>
        <w:t xml:space="preserve">, </w:t>
      </w:r>
      <w:proofErr w:type="spellStart"/>
      <w:r w:rsidRPr="0038205E">
        <w:rPr>
          <w:rFonts w:cstheme="minorHAnsi"/>
          <w:sz w:val="18"/>
          <w:szCs w:val="18"/>
        </w:rPr>
        <w:t>Rienk</w:t>
      </w:r>
      <w:proofErr w:type="spellEnd"/>
      <w:r w:rsidRPr="0038205E">
        <w:rPr>
          <w:rFonts w:cstheme="minorHAnsi"/>
          <w:sz w:val="18"/>
          <w:szCs w:val="18"/>
        </w:rPr>
        <w:t xml:space="preserve">, and Hiro Hirai. ‘The Marginalization of Astrology: Introduction’, </w:t>
      </w:r>
      <w:r w:rsidRPr="0038205E">
        <w:rPr>
          <w:rFonts w:cstheme="minorHAnsi"/>
          <w:i/>
          <w:iCs/>
          <w:sz w:val="18"/>
          <w:szCs w:val="18"/>
        </w:rPr>
        <w:t>Early Science and Medicine</w:t>
      </w:r>
      <w:r>
        <w:rPr>
          <w:rFonts w:cstheme="minorHAnsi"/>
          <w:i/>
          <w:iCs/>
          <w:sz w:val="18"/>
          <w:szCs w:val="18"/>
        </w:rPr>
        <w:t xml:space="preserve">, </w:t>
      </w:r>
      <w:r>
        <w:rPr>
          <w:rFonts w:cstheme="minorHAnsi"/>
          <w:sz w:val="18"/>
          <w:szCs w:val="18"/>
        </w:rPr>
        <w:t>pp. 406.</w:t>
      </w:r>
    </w:p>
  </w:footnote>
  <w:footnote w:id="30">
    <w:p w14:paraId="661FD9AA" w14:textId="77777777" w:rsidR="00562B0F" w:rsidRDefault="00562B0F" w:rsidP="00562B0F">
      <w:pPr>
        <w:pStyle w:val="FootnoteText"/>
      </w:pPr>
      <w:r>
        <w:rPr>
          <w:rStyle w:val="FootnoteReference"/>
        </w:rPr>
        <w:footnoteRef/>
      </w:r>
      <w:r>
        <w:t xml:space="preserve"> </w:t>
      </w:r>
      <w:proofErr w:type="spellStart"/>
      <w:r w:rsidRPr="0038205E">
        <w:rPr>
          <w:rFonts w:cstheme="minorHAnsi"/>
          <w:sz w:val="18"/>
          <w:szCs w:val="18"/>
        </w:rPr>
        <w:t>Vermij</w:t>
      </w:r>
      <w:proofErr w:type="spellEnd"/>
      <w:r w:rsidRPr="0038205E">
        <w:rPr>
          <w:rFonts w:cstheme="minorHAnsi"/>
          <w:sz w:val="18"/>
          <w:szCs w:val="18"/>
        </w:rPr>
        <w:t xml:space="preserve">, </w:t>
      </w:r>
      <w:proofErr w:type="spellStart"/>
      <w:r w:rsidRPr="0038205E">
        <w:rPr>
          <w:rFonts w:cstheme="minorHAnsi"/>
          <w:sz w:val="18"/>
          <w:szCs w:val="18"/>
        </w:rPr>
        <w:t>Rienk</w:t>
      </w:r>
      <w:proofErr w:type="spellEnd"/>
      <w:r w:rsidRPr="0038205E">
        <w:rPr>
          <w:rFonts w:cstheme="minorHAnsi"/>
          <w:sz w:val="18"/>
          <w:szCs w:val="18"/>
        </w:rPr>
        <w:t xml:space="preserve">, and Hiro Hirai. ‘The Marginalization of Astrology: Introduction’, </w:t>
      </w:r>
      <w:r w:rsidRPr="0038205E">
        <w:rPr>
          <w:rFonts w:cstheme="minorHAnsi"/>
          <w:i/>
          <w:iCs/>
          <w:sz w:val="18"/>
          <w:szCs w:val="18"/>
        </w:rPr>
        <w:t>Early Science and Medicine</w:t>
      </w:r>
      <w:r>
        <w:rPr>
          <w:rFonts w:cstheme="minorHAnsi"/>
          <w:i/>
          <w:iCs/>
          <w:sz w:val="18"/>
          <w:szCs w:val="18"/>
        </w:rPr>
        <w:t xml:space="preserve">, </w:t>
      </w:r>
      <w:r>
        <w:rPr>
          <w:rFonts w:cstheme="minorHAnsi"/>
          <w:sz w:val="18"/>
          <w:szCs w:val="18"/>
        </w:rPr>
        <w:t>pp. 408.</w:t>
      </w:r>
    </w:p>
  </w:footnote>
  <w:footnote w:id="31">
    <w:p w14:paraId="7A477C70" w14:textId="77777777" w:rsidR="002769C3" w:rsidRDefault="002769C3" w:rsidP="002769C3">
      <w:pPr>
        <w:pStyle w:val="FootnoteText"/>
        <w:ind w:left="142" w:hanging="142"/>
      </w:pPr>
      <w:r>
        <w:rPr>
          <w:rStyle w:val="FootnoteReference"/>
        </w:rPr>
        <w:footnoteRef/>
      </w:r>
      <w:r>
        <w:t xml:space="preserve"> </w:t>
      </w:r>
      <w:r w:rsidRPr="008D7282">
        <w:rPr>
          <w:sz w:val="18"/>
          <w:szCs w:val="18"/>
        </w:rPr>
        <w:t xml:space="preserve">Ryan J. Stark, </w:t>
      </w:r>
      <w:r w:rsidRPr="008D7282">
        <w:rPr>
          <w:rFonts w:cstheme="minorHAnsi"/>
          <w:sz w:val="18"/>
          <w:szCs w:val="18"/>
        </w:rPr>
        <w:t xml:space="preserve">‘The Decline of Astrology in the Jonathan Dove Almanac Series’, </w:t>
      </w:r>
      <w:r w:rsidRPr="008D7282">
        <w:rPr>
          <w:rFonts w:cstheme="minorHAnsi"/>
          <w:i/>
          <w:iCs/>
          <w:sz w:val="18"/>
          <w:szCs w:val="18"/>
        </w:rPr>
        <w:t xml:space="preserve">Renaissance and Reformation, </w:t>
      </w:r>
      <w:r w:rsidRPr="008D7282">
        <w:rPr>
          <w:rFonts w:cstheme="minorHAnsi"/>
          <w:sz w:val="18"/>
          <w:szCs w:val="18"/>
        </w:rPr>
        <w:t>Vol. 30 (2</w:t>
      </w:r>
      <w:proofErr w:type="gramStart"/>
      <w:r w:rsidRPr="008D7282">
        <w:rPr>
          <w:rFonts w:cstheme="minorHAnsi"/>
          <w:sz w:val="18"/>
          <w:szCs w:val="18"/>
        </w:rPr>
        <w:t xml:space="preserve">), </w:t>
      </w:r>
      <w:r>
        <w:rPr>
          <w:rFonts w:cstheme="minorHAnsi"/>
          <w:sz w:val="18"/>
          <w:szCs w:val="18"/>
        </w:rPr>
        <w:t xml:space="preserve">  </w:t>
      </w:r>
      <w:proofErr w:type="gramEnd"/>
      <w:r>
        <w:rPr>
          <w:rFonts w:cstheme="minorHAnsi"/>
          <w:sz w:val="18"/>
          <w:szCs w:val="18"/>
        </w:rPr>
        <w:t xml:space="preserve">  </w:t>
      </w:r>
      <w:r w:rsidRPr="008D7282">
        <w:rPr>
          <w:rFonts w:cstheme="minorHAnsi"/>
          <w:sz w:val="18"/>
          <w:szCs w:val="18"/>
        </w:rPr>
        <w:t>pp. 43.</w:t>
      </w:r>
    </w:p>
  </w:footnote>
  <w:footnote w:id="32">
    <w:p w14:paraId="237DC2E9" w14:textId="77777777" w:rsidR="002769C3" w:rsidRDefault="002769C3" w:rsidP="002769C3">
      <w:pPr>
        <w:pStyle w:val="FootnoteText"/>
        <w:ind w:left="142" w:hanging="142"/>
      </w:pPr>
      <w:r>
        <w:rPr>
          <w:rStyle w:val="FootnoteReference"/>
        </w:rPr>
        <w:footnoteRef/>
      </w:r>
      <w:r>
        <w:t xml:space="preserve"> </w:t>
      </w:r>
      <w:r w:rsidRPr="00E74A94">
        <w:rPr>
          <w:sz w:val="18"/>
          <w:szCs w:val="18"/>
        </w:rPr>
        <w:t xml:space="preserve">Nicholas Campion, </w:t>
      </w:r>
      <w:r w:rsidRPr="00E74A94">
        <w:rPr>
          <w:rFonts w:cstheme="minorHAnsi"/>
          <w:i/>
          <w:iCs/>
          <w:sz w:val="18"/>
          <w:szCs w:val="18"/>
        </w:rPr>
        <w:t xml:space="preserve">A History of Western Astrology, Volume 2: The Medieval and Modern Worlds. </w:t>
      </w:r>
      <w:r w:rsidRPr="00E74A94">
        <w:rPr>
          <w:rFonts w:cstheme="minorHAnsi"/>
          <w:sz w:val="18"/>
          <w:szCs w:val="18"/>
        </w:rPr>
        <w:t>(London: Bloomsbury Academic 2009). pp. 1</w:t>
      </w:r>
      <w:r>
        <w:rPr>
          <w:rFonts w:cstheme="minorHAnsi"/>
          <w:sz w:val="18"/>
          <w:szCs w:val="18"/>
        </w:rPr>
        <w:t>67.</w:t>
      </w:r>
    </w:p>
  </w:footnote>
  <w:footnote w:id="33">
    <w:p w14:paraId="2AAB1F9D" w14:textId="77777777" w:rsidR="002769C3" w:rsidRDefault="002769C3" w:rsidP="002769C3">
      <w:pPr>
        <w:pStyle w:val="FootnoteText"/>
      </w:pPr>
      <w:r>
        <w:rPr>
          <w:rStyle w:val="FootnoteReference"/>
        </w:rPr>
        <w:footnoteRef/>
      </w:r>
      <w:r>
        <w:t xml:space="preserve"> </w:t>
      </w:r>
      <w:r w:rsidRPr="008D7282">
        <w:rPr>
          <w:sz w:val="18"/>
          <w:szCs w:val="18"/>
        </w:rPr>
        <w:t xml:space="preserve">Ryan J. Stark, </w:t>
      </w:r>
      <w:r w:rsidRPr="008D7282">
        <w:rPr>
          <w:rFonts w:cstheme="minorHAnsi"/>
          <w:sz w:val="18"/>
          <w:szCs w:val="18"/>
        </w:rPr>
        <w:t>‘The Decline of Astrology in the Jonathan Dove Almanac Series’</w:t>
      </w:r>
      <w:r>
        <w:rPr>
          <w:rFonts w:cstheme="minorHAnsi"/>
          <w:sz w:val="18"/>
          <w:szCs w:val="18"/>
        </w:rPr>
        <w:t>, pp. 43-44.</w:t>
      </w:r>
    </w:p>
  </w:footnote>
  <w:footnote w:id="34">
    <w:p w14:paraId="01E8A201" w14:textId="77777777" w:rsidR="002769C3" w:rsidRDefault="002769C3" w:rsidP="002769C3">
      <w:pPr>
        <w:pStyle w:val="FootnoteText"/>
        <w:ind w:left="142" w:hanging="142"/>
      </w:pPr>
      <w:r>
        <w:rPr>
          <w:rStyle w:val="FootnoteReference"/>
        </w:rPr>
        <w:footnoteRef/>
      </w:r>
      <w:r>
        <w:t xml:space="preserve"> </w:t>
      </w:r>
      <w:r w:rsidRPr="003C5882">
        <w:rPr>
          <w:sz w:val="18"/>
          <w:szCs w:val="18"/>
        </w:rPr>
        <w:t xml:space="preserve">For a detailed discussion of the </w:t>
      </w:r>
      <w:r>
        <w:rPr>
          <w:sz w:val="18"/>
          <w:szCs w:val="18"/>
        </w:rPr>
        <w:t xml:space="preserve">bibliographic </w:t>
      </w:r>
      <w:r w:rsidRPr="003C5882">
        <w:rPr>
          <w:sz w:val="18"/>
          <w:szCs w:val="18"/>
        </w:rPr>
        <w:t xml:space="preserve">influences of the London Stationers, see </w:t>
      </w:r>
      <w:r w:rsidRPr="003C5882">
        <w:rPr>
          <w:rFonts w:cstheme="minorHAnsi"/>
          <w:sz w:val="18"/>
          <w:szCs w:val="18"/>
        </w:rPr>
        <w:t>Cyprian</w:t>
      </w:r>
      <w:r>
        <w:rPr>
          <w:rFonts w:cstheme="minorHAnsi"/>
          <w:sz w:val="18"/>
          <w:szCs w:val="18"/>
        </w:rPr>
        <w:t xml:space="preserve"> </w:t>
      </w:r>
      <w:r w:rsidRPr="003C5882">
        <w:rPr>
          <w:sz w:val="18"/>
          <w:szCs w:val="18"/>
        </w:rPr>
        <w:t>Blagden</w:t>
      </w:r>
      <w:r>
        <w:rPr>
          <w:rFonts w:cstheme="minorHAnsi"/>
          <w:sz w:val="18"/>
          <w:szCs w:val="18"/>
        </w:rPr>
        <w:t>,</w:t>
      </w:r>
      <w:r w:rsidRPr="003C5882">
        <w:rPr>
          <w:rFonts w:cstheme="minorHAnsi"/>
          <w:sz w:val="18"/>
          <w:szCs w:val="18"/>
        </w:rPr>
        <w:t xml:space="preserve"> “The Distribution of Almanacks in the Second Half of the Seventeenth Century.” </w:t>
      </w:r>
      <w:r w:rsidRPr="003C5882">
        <w:rPr>
          <w:rFonts w:cstheme="minorHAnsi"/>
          <w:i/>
          <w:iCs/>
          <w:sz w:val="18"/>
          <w:szCs w:val="18"/>
        </w:rPr>
        <w:t>Studies in Bibliography</w:t>
      </w:r>
      <w:r w:rsidRPr="003C5882">
        <w:rPr>
          <w:rFonts w:cstheme="minorHAnsi"/>
          <w:sz w:val="18"/>
          <w:szCs w:val="18"/>
        </w:rPr>
        <w:t>, vol. 11, 1958, pp. 107–16.</w:t>
      </w:r>
      <w:r>
        <w:t xml:space="preserve"> </w:t>
      </w:r>
    </w:p>
  </w:footnote>
  <w:footnote w:id="35">
    <w:p w14:paraId="549BBD47" w14:textId="77777777" w:rsidR="002769C3" w:rsidRDefault="002769C3" w:rsidP="002769C3">
      <w:pPr>
        <w:pStyle w:val="FootnoteText"/>
      </w:pPr>
      <w:r>
        <w:rPr>
          <w:rStyle w:val="FootnoteReference"/>
        </w:rPr>
        <w:footnoteRef/>
      </w:r>
      <w:r>
        <w:t xml:space="preserve"> </w:t>
      </w:r>
      <w:r w:rsidRPr="008D7282">
        <w:rPr>
          <w:sz w:val="18"/>
          <w:szCs w:val="18"/>
        </w:rPr>
        <w:t xml:space="preserve">Ryan J. Stark, </w:t>
      </w:r>
      <w:r w:rsidRPr="008D7282">
        <w:rPr>
          <w:rFonts w:cstheme="minorHAnsi"/>
          <w:sz w:val="18"/>
          <w:szCs w:val="18"/>
        </w:rPr>
        <w:t>‘The Decline of Astrology in the Jonathan Dove Almanac Series’</w:t>
      </w:r>
      <w:r>
        <w:rPr>
          <w:rFonts w:cstheme="minorHAnsi"/>
          <w:sz w:val="18"/>
          <w:szCs w:val="18"/>
        </w:rPr>
        <w:t>, pp. 44.</w:t>
      </w:r>
    </w:p>
  </w:footnote>
  <w:footnote w:id="36">
    <w:p w14:paraId="75B9407B" w14:textId="77777777" w:rsidR="002769C3" w:rsidRDefault="002769C3" w:rsidP="002769C3">
      <w:pPr>
        <w:pStyle w:val="FootnoteText"/>
      </w:pPr>
      <w:r>
        <w:rPr>
          <w:rStyle w:val="FootnoteReference"/>
        </w:rPr>
        <w:footnoteRef/>
      </w:r>
      <w:r>
        <w:t xml:space="preserve"> </w:t>
      </w:r>
      <w:r w:rsidRPr="008D7282">
        <w:rPr>
          <w:sz w:val="18"/>
          <w:szCs w:val="18"/>
        </w:rPr>
        <w:t xml:space="preserve">Ryan J. Stark, </w:t>
      </w:r>
      <w:r w:rsidRPr="008D7282">
        <w:rPr>
          <w:rFonts w:cstheme="minorHAnsi"/>
          <w:sz w:val="18"/>
          <w:szCs w:val="18"/>
        </w:rPr>
        <w:t>‘The Decline of Astrology in the Jonathan Dove Almanac Series’</w:t>
      </w:r>
      <w:r>
        <w:rPr>
          <w:rFonts w:cstheme="minorHAnsi"/>
          <w:sz w:val="18"/>
          <w:szCs w:val="18"/>
        </w:rPr>
        <w:t>, pp. 57.</w:t>
      </w:r>
    </w:p>
  </w:footnote>
  <w:footnote w:id="37">
    <w:p w14:paraId="5EEBB0E8" w14:textId="77777777" w:rsidR="002769C3" w:rsidRDefault="002769C3" w:rsidP="002769C3">
      <w:pPr>
        <w:pStyle w:val="FootnoteText"/>
      </w:pPr>
      <w:r>
        <w:rPr>
          <w:rStyle w:val="FootnoteReference"/>
        </w:rPr>
        <w:footnoteRef/>
      </w:r>
      <w:r>
        <w:t xml:space="preserve"> </w:t>
      </w:r>
      <w:r w:rsidRPr="008D7282">
        <w:rPr>
          <w:sz w:val="18"/>
          <w:szCs w:val="18"/>
        </w:rPr>
        <w:t xml:space="preserve">Ryan J. Stark, </w:t>
      </w:r>
      <w:r w:rsidRPr="008D7282">
        <w:rPr>
          <w:rFonts w:cstheme="minorHAnsi"/>
          <w:sz w:val="18"/>
          <w:szCs w:val="18"/>
        </w:rPr>
        <w:t>‘The Decline of Astrology in the Jonathan Dove Almanac Series’</w:t>
      </w:r>
      <w:r>
        <w:rPr>
          <w:rFonts w:cstheme="minorHAnsi"/>
          <w:sz w:val="18"/>
          <w:szCs w:val="18"/>
        </w:rPr>
        <w:t>, pp. 59.</w:t>
      </w:r>
    </w:p>
  </w:footnote>
  <w:footnote w:id="38">
    <w:p w14:paraId="12EEA8CC" w14:textId="77777777" w:rsidR="002769C3" w:rsidRDefault="002769C3" w:rsidP="002769C3">
      <w:pPr>
        <w:pStyle w:val="FootnoteText"/>
      </w:pPr>
      <w:r>
        <w:rPr>
          <w:rStyle w:val="FootnoteReference"/>
        </w:rPr>
        <w:footnoteRef/>
      </w:r>
      <w:r>
        <w:t xml:space="preserve"> </w:t>
      </w:r>
      <w:r w:rsidRPr="008D7282">
        <w:rPr>
          <w:sz w:val="18"/>
          <w:szCs w:val="18"/>
        </w:rPr>
        <w:t xml:space="preserve">Ryan J. Stark, </w:t>
      </w:r>
      <w:r w:rsidRPr="008D7282">
        <w:rPr>
          <w:rFonts w:cstheme="minorHAnsi"/>
          <w:sz w:val="18"/>
          <w:szCs w:val="18"/>
        </w:rPr>
        <w:t>‘The Decline of Astrology in the Jonathan Dove Almanac Series’</w:t>
      </w:r>
      <w:r>
        <w:rPr>
          <w:rFonts w:cstheme="minorHAnsi"/>
          <w:sz w:val="18"/>
          <w:szCs w:val="18"/>
        </w:rPr>
        <w:t>, pp. 60.</w:t>
      </w:r>
    </w:p>
  </w:footnote>
  <w:footnote w:id="39">
    <w:p w14:paraId="68CE5EE4" w14:textId="77777777" w:rsidR="002769C3" w:rsidRDefault="002769C3" w:rsidP="002769C3">
      <w:pPr>
        <w:pStyle w:val="FootnoteText"/>
      </w:pPr>
      <w:r>
        <w:rPr>
          <w:rStyle w:val="FootnoteReference"/>
        </w:rPr>
        <w:footnoteRef/>
      </w:r>
      <w:r>
        <w:t xml:space="preserve"> </w:t>
      </w:r>
      <w:r w:rsidRPr="008D7282">
        <w:rPr>
          <w:sz w:val="18"/>
          <w:szCs w:val="18"/>
        </w:rPr>
        <w:t xml:space="preserve">Ryan J. Stark, </w:t>
      </w:r>
      <w:r w:rsidRPr="008D7282">
        <w:rPr>
          <w:rFonts w:cstheme="minorHAnsi"/>
          <w:sz w:val="18"/>
          <w:szCs w:val="18"/>
        </w:rPr>
        <w:t>‘The Decline of Astrology in the Jonathan Dove Almanac Series’</w:t>
      </w:r>
      <w:r>
        <w:rPr>
          <w:rFonts w:cstheme="minorHAnsi"/>
          <w:sz w:val="18"/>
          <w:szCs w:val="18"/>
        </w:rPr>
        <w:t>, pp. 60.</w:t>
      </w:r>
    </w:p>
  </w:footnote>
  <w:footnote w:id="40">
    <w:p w14:paraId="501B474A" w14:textId="77777777" w:rsidR="002769C3" w:rsidRDefault="002769C3" w:rsidP="002769C3">
      <w:pPr>
        <w:pStyle w:val="FootnoteText"/>
        <w:ind w:left="142" w:hanging="142"/>
      </w:pPr>
      <w:r>
        <w:rPr>
          <w:rStyle w:val="FootnoteReference"/>
        </w:rPr>
        <w:footnoteRef/>
      </w:r>
      <w:r>
        <w:t xml:space="preserve"> </w:t>
      </w:r>
      <w:r w:rsidRPr="00E74A94">
        <w:rPr>
          <w:sz w:val="18"/>
          <w:szCs w:val="18"/>
        </w:rPr>
        <w:t xml:space="preserve">Nicholas Campion, </w:t>
      </w:r>
      <w:r w:rsidRPr="00E74A94">
        <w:rPr>
          <w:rFonts w:cstheme="minorHAnsi"/>
          <w:i/>
          <w:iCs/>
          <w:sz w:val="18"/>
          <w:szCs w:val="18"/>
        </w:rPr>
        <w:t xml:space="preserve">A History of Western Astrology, Volume 2: The Medieval and Modern Worlds. </w:t>
      </w:r>
      <w:r w:rsidRPr="00E74A94">
        <w:rPr>
          <w:rFonts w:cstheme="minorHAnsi"/>
          <w:sz w:val="18"/>
          <w:szCs w:val="18"/>
        </w:rPr>
        <w:t>(London: Bloomsbury Academic 2009). pp. 15</w:t>
      </w:r>
      <w:r>
        <w:rPr>
          <w:rFonts w:cstheme="minorHAnsi"/>
          <w:sz w:val="18"/>
          <w:szCs w:val="18"/>
        </w:rPr>
        <w:t>0.</w:t>
      </w:r>
    </w:p>
  </w:footnote>
  <w:footnote w:id="41">
    <w:p w14:paraId="418AC264" w14:textId="77777777" w:rsidR="002769C3" w:rsidRPr="00BC5DBA" w:rsidRDefault="002769C3" w:rsidP="002769C3">
      <w:pPr>
        <w:pStyle w:val="FootnoteText"/>
      </w:pPr>
      <w:r>
        <w:rPr>
          <w:rStyle w:val="FootnoteReference"/>
        </w:rPr>
        <w:footnoteRef/>
      </w:r>
      <w:r>
        <w:t xml:space="preserve"> </w:t>
      </w:r>
      <w:r w:rsidRPr="00E74A94">
        <w:rPr>
          <w:sz w:val="18"/>
          <w:szCs w:val="18"/>
        </w:rPr>
        <w:t xml:space="preserve">Nicholas Campion, </w:t>
      </w:r>
      <w:r w:rsidRPr="00E74A94">
        <w:rPr>
          <w:rFonts w:cstheme="minorHAnsi"/>
          <w:i/>
          <w:iCs/>
          <w:sz w:val="18"/>
          <w:szCs w:val="18"/>
        </w:rPr>
        <w:t>A History of Western Astrology, Volume 2</w:t>
      </w:r>
      <w:r>
        <w:rPr>
          <w:rFonts w:cstheme="minorHAnsi"/>
          <w:i/>
          <w:iCs/>
          <w:sz w:val="18"/>
          <w:szCs w:val="18"/>
        </w:rPr>
        <w:t xml:space="preserve">, </w:t>
      </w:r>
      <w:r>
        <w:rPr>
          <w:rFonts w:cstheme="minorHAnsi"/>
          <w:sz w:val="18"/>
          <w:szCs w:val="18"/>
        </w:rPr>
        <w:t>pp. 150.</w:t>
      </w:r>
    </w:p>
  </w:footnote>
  <w:footnote w:id="42">
    <w:p w14:paraId="03504E5F" w14:textId="77777777" w:rsidR="002769C3" w:rsidRDefault="002769C3" w:rsidP="002769C3">
      <w:pPr>
        <w:pStyle w:val="FootnoteText"/>
      </w:pPr>
      <w:r>
        <w:rPr>
          <w:rStyle w:val="FootnoteReference"/>
        </w:rPr>
        <w:footnoteRef/>
      </w:r>
      <w:r>
        <w:t xml:space="preserve"> </w:t>
      </w:r>
      <w:r w:rsidRPr="00E74A94">
        <w:rPr>
          <w:sz w:val="18"/>
          <w:szCs w:val="18"/>
        </w:rPr>
        <w:t xml:space="preserve">Nicholas Campion, </w:t>
      </w:r>
      <w:r w:rsidRPr="00E74A94">
        <w:rPr>
          <w:rFonts w:cstheme="minorHAnsi"/>
          <w:i/>
          <w:iCs/>
          <w:sz w:val="18"/>
          <w:szCs w:val="18"/>
        </w:rPr>
        <w:t>A History of Western Astrology, Volume 2</w:t>
      </w:r>
      <w:r>
        <w:rPr>
          <w:rFonts w:cstheme="minorHAnsi"/>
          <w:i/>
          <w:iCs/>
          <w:sz w:val="18"/>
          <w:szCs w:val="18"/>
        </w:rPr>
        <w:t xml:space="preserve">, </w:t>
      </w:r>
      <w:r>
        <w:rPr>
          <w:rFonts w:cstheme="minorHAnsi"/>
          <w:sz w:val="18"/>
          <w:szCs w:val="18"/>
        </w:rPr>
        <w:t>pp. 150.</w:t>
      </w:r>
    </w:p>
  </w:footnote>
  <w:footnote w:id="43">
    <w:p w14:paraId="32FE4EE7" w14:textId="77777777" w:rsidR="00474124" w:rsidRDefault="00474124" w:rsidP="00474124">
      <w:pPr>
        <w:pStyle w:val="FootnoteText"/>
        <w:ind w:left="142" w:hanging="142"/>
      </w:pPr>
      <w:r>
        <w:rPr>
          <w:rStyle w:val="FootnoteReference"/>
        </w:rPr>
        <w:footnoteRef/>
      </w:r>
      <w:r>
        <w:t xml:space="preserve"> </w:t>
      </w:r>
      <w:r w:rsidRPr="000406F0">
        <w:rPr>
          <w:rFonts w:cstheme="minorHAnsi"/>
          <w:sz w:val="18"/>
          <w:szCs w:val="18"/>
        </w:rPr>
        <w:t>Luís Miguel</w:t>
      </w:r>
      <w:r>
        <w:rPr>
          <w:rFonts w:cstheme="minorHAnsi"/>
          <w:sz w:val="18"/>
          <w:szCs w:val="18"/>
        </w:rPr>
        <w:t xml:space="preserve"> </w:t>
      </w:r>
      <w:proofErr w:type="spellStart"/>
      <w:r w:rsidRPr="000406F0">
        <w:rPr>
          <w:rFonts w:cstheme="minorHAnsi"/>
          <w:sz w:val="18"/>
          <w:szCs w:val="18"/>
        </w:rPr>
        <w:t>Carolino</w:t>
      </w:r>
      <w:proofErr w:type="spellEnd"/>
      <w:r>
        <w:rPr>
          <w:rFonts w:cstheme="minorHAnsi"/>
          <w:sz w:val="18"/>
          <w:szCs w:val="18"/>
        </w:rPr>
        <w:t>,</w:t>
      </w:r>
      <w:r w:rsidRPr="000406F0">
        <w:rPr>
          <w:rFonts w:cstheme="minorHAnsi"/>
          <w:sz w:val="18"/>
          <w:szCs w:val="18"/>
        </w:rPr>
        <w:t xml:space="preserve"> ‘The Jesuit Paradox: Intellectual Authority, Political Power, and the Marginalization of Astrology in Early Modern Portugal’, </w:t>
      </w:r>
      <w:r w:rsidRPr="000406F0">
        <w:rPr>
          <w:rFonts w:cstheme="minorHAnsi"/>
          <w:i/>
          <w:iCs/>
          <w:sz w:val="18"/>
          <w:szCs w:val="18"/>
        </w:rPr>
        <w:t>Early Science and Medicine</w:t>
      </w:r>
      <w:r w:rsidRPr="000406F0">
        <w:rPr>
          <w:rFonts w:cstheme="minorHAnsi"/>
          <w:sz w:val="18"/>
          <w:szCs w:val="18"/>
        </w:rPr>
        <w:t>, vol. 22, no. 5/6, Brill, 2017</w:t>
      </w:r>
      <w:r>
        <w:rPr>
          <w:rFonts w:cstheme="minorHAnsi"/>
          <w:sz w:val="18"/>
          <w:szCs w:val="18"/>
        </w:rPr>
        <w:t>, pp. 438-463.</w:t>
      </w:r>
    </w:p>
  </w:footnote>
  <w:footnote w:id="44">
    <w:p w14:paraId="6125BE18" w14:textId="77777777" w:rsidR="00474124" w:rsidRPr="0094288B" w:rsidRDefault="00474124" w:rsidP="00474124">
      <w:pPr>
        <w:autoSpaceDE w:val="0"/>
        <w:autoSpaceDN w:val="0"/>
        <w:adjustRightInd w:val="0"/>
        <w:ind w:left="142" w:hanging="142"/>
        <w:rPr>
          <w:rFonts w:cstheme="minorHAnsi"/>
        </w:rPr>
      </w:pPr>
      <w:r w:rsidRPr="00572FAD">
        <w:rPr>
          <w:rStyle w:val="FootnoteReference"/>
          <w:sz w:val="18"/>
          <w:szCs w:val="18"/>
        </w:rPr>
        <w:footnoteRef/>
      </w:r>
      <w:r>
        <w:rPr>
          <w:sz w:val="18"/>
          <w:szCs w:val="18"/>
        </w:rPr>
        <w:t xml:space="preserve"> </w:t>
      </w:r>
      <w:r w:rsidRPr="00572FAD">
        <w:rPr>
          <w:rFonts w:cstheme="minorHAnsi"/>
          <w:sz w:val="18"/>
          <w:szCs w:val="18"/>
        </w:rPr>
        <w:t xml:space="preserve">Avalos, Ana, </w:t>
      </w:r>
      <w:r w:rsidRPr="00572FAD">
        <w:rPr>
          <w:rFonts w:cstheme="minorHAnsi"/>
          <w:i/>
          <w:iCs/>
          <w:sz w:val="18"/>
          <w:szCs w:val="18"/>
        </w:rPr>
        <w:t xml:space="preserve">As Above, So Below: Astrology and the Inquisition in Seventeenth-Century New Spain. </w:t>
      </w:r>
      <w:r w:rsidRPr="00572FAD">
        <w:rPr>
          <w:rFonts w:cstheme="minorHAnsi"/>
          <w:sz w:val="18"/>
          <w:szCs w:val="18"/>
        </w:rPr>
        <w:t>Unpublished doctoral thesis, European University Institute, Florence 2007. 379 pp.</w:t>
      </w:r>
    </w:p>
  </w:footnote>
  <w:footnote w:id="45">
    <w:p w14:paraId="7FFA982D" w14:textId="77777777" w:rsidR="00474124" w:rsidRDefault="00474124" w:rsidP="00474124">
      <w:pPr>
        <w:pStyle w:val="FootnoteText"/>
        <w:ind w:left="142" w:hanging="142"/>
      </w:pPr>
      <w:r>
        <w:rPr>
          <w:rStyle w:val="FootnoteReference"/>
        </w:rPr>
        <w:footnoteRef/>
      </w:r>
      <w:r>
        <w:t xml:space="preserve"> </w:t>
      </w:r>
      <w:r w:rsidRPr="0094288B">
        <w:rPr>
          <w:rFonts w:cstheme="minorHAnsi"/>
          <w:sz w:val="18"/>
          <w:szCs w:val="18"/>
        </w:rPr>
        <w:t xml:space="preserve">Tayra M.C. Lanuza Navarro. ‘From Intense Teaching to Neglect: The Decline of Astrology at the University of Valencia and the Role of the Spanish </w:t>
      </w:r>
      <w:r w:rsidRPr="0094288B">
        <w:rPr>
          <w:rFonts w:cstheme="minorHAnsi"/>
          <w:i/>
          <w:iCs/>
          <w:sz w:val="18"/>
          <w:szCs w:val="18"/>
        </w:rPr>
        <w:t>Novatores’, Early Science and Medicine</w:t>
      </w:r>
      <w:r w:rsidRPr="0094288B">
        <w:rPr>
          <w:rFonts w:cstheme="minorHAnsi"/>
          <w:sz w:val="18"/>
          <w:szCs w:val="18"/>
        </w:rPr>
        <w:t>, vol. 22, no. 5/6, Brill, 2017, pp. 410.</w:t>
      </w:r>
    </w:p>
  </w:footnote>
  <w:footnote w:id="46">
    <w:p w14:paraId="4BACE10C" w14:textId="77777777" w:rsidR="00474124" w:rsidRPr="003522E3" w:rsidRDefault="00474124" w:rsidP="00474124">
      <w:pPr>
        <w:pStyle w:val="FootnoteText"/>
      </w:pPr>
      <w:r>
        <w:rPr>
          <w:rStyle w:val="FootnoteReference"/>
        </w:rPr>
        <w:footnoteRef/>
      </w:r>
      <w:r>
        <w:t xml:space="preserve"> </w:t>
      </w:r>
      <w:r w:rsidRPr="0094288B">
        <w:rPr>
          <w:rFonts w:cstheme="minorHAnsi"/>
          <w:sz w:val="18"/>
          <w:szCs w:val="18"/>
        </w:rPr>
        <w:t xml:space="preserve">Tayra M.C. Lanuza Navarro. ‘From Intense Teaching to Neglect: The Decline of Astrology at the University of Valencia and the Role of the Spanish </w:t>
      </w:r>
      <w:r w:rsidRPr="0094288B">
        <w:rPr>
          <w:rFonts w:cstheme="minorHAnsi"/>
          <w:i/>
          <w:iCs/>
          <w:sz w:val="18"/>
          <w:szCs w:val="18"/>
        </w:rPr>
        <w:t>Novatores’</w:t>
      </w:r>
      <w:r>
        <w:rPr>
          <w:rFonts w:cstheme="minorHAnsi"/>
          <w:i/>
          <w:iCs/>
          <w:sz w:val="18"/>
          <w:szCs w:val="18"/>
        </w:rPr>
        <w:t xml:space="preserve">, </w:t>
      </w:r>
      <w:r>
        <w:rPr>
          <w:rFonts w:cstheme="minorHAnsi"/>
          <w:sz w:val="18"/>
          <w:szCs w:val="18"/>
        </w:rPr>
        <w:t>pp. 411.</w:t>
      </w:r>
    </w:p>
  </w:footnote>
  <w:footnote w:id="47">
    <w:p w14:paraId="42425603" w14:textId="77777777" w:rsidR="00474124" w:rsidRDefault="00474124" w:rsidP="00474124">
      <w:pPr>
        <w:pStyle w:val="FootnoteText"/>
        <w:ind w:left="142" w:hanging="142"/>
      </w:pPr>
      <w:r>
        <w:rPr>
          <w:rStyle w:val="FootnoteReference"/>
        </w:rPr>
        <w:footnoteRef/>
      </w:r>
      <w:r>
        <w:t xml:space="preserve"> </w:t>
      </w:r>
      <w:r w:rsidRPr="0094288B">
        <w:rPr>
          <w:rFonts w:cstheme="minorHAnsi"/>
          <w:sz w:val="18"/>
          <w:szCs w:val="18"/>
        </w:rPr>
        <w:t xml:space="preserve">Tayra M.C. Lanuza Navarro. ‘From Intense Teaching to Neglect: The Decline of Astrology at the University of Valencia and the Role of the Spanish </w:t>
      </w:r>
      <w:r w:rsidRPr="0094288B">
        <w:rPr>
          <w:rFonts w:cstheme="minorHAnsi"/>
          <w:i/>
          <w:iCs/>
          <w:sz w:val="18"/>
          <w:szCs w:val="18"/>
        </w:rPr>
        <w:t>Novatores’</w:t>
      </w:r>
      <w:r>
        <w:rPr>
          <w:rFonts w:cstheme="minorHAnsi"/>
          <w:i/>
          <w:iCs/>
          <w:sz w:val="18"/>
          <w:szCs w:val="18"/>
        </w:rPr>
        <w:t xml:space="preserve">, </w:t>
      </w:r>
      <w:r>
        <w:rPr>
          <w:rFonts w:cstheme="minorHAnsi"/>
          <w:sz w:val="18"/>
          <w:szCs w:val="18"/>
        </w:rPr>
        <w:t>pp. 411.</w:t>
      </w:r>
    </w:p>
  </w:footnote>
  <w:footnote w:id="48">
    <w:p w14:paraId="05EA83F7" w14:textId="77777777" w:rsidR="00474124" w:rsidRDefault="00474124" w:rsidP="00474124">
      <w:pPr>
        <w:pStyle w:val="FootnoteText"/>
        <w:ind w:left="142" w:hanging="142"/>
      </w:pPr>
      <w:r>
        <w:rPr>
          <w:rStyle w:val="FootnoteReference"/>
        </w:rPr>
        <w:footnoteRef/>
      </w:r>
      <w:r>
        <w:t xml:space="preserve"> </w:t>
      </w:r>
      <w:r w:rsidRPr="0094288B">
        <w:rPr>
          <w:rFonts w:cstheme="minorHAnsi"/>
          <w:sz w:val="18"/>
          <w:szCs w:val="18"/>
        </w:rPr>
        <w:t xml:space="preserve">Tayra M.C. Lanuza Navarro. ‘From Intense Teaching to Neglect: The Decline of Astrology at the University of Valencia and the Role of the Spanish </w:t>
      </w:r>
      <w:r w:rsidRPr="0094288B">
        <w:rPr>
          <w:rFonts w:cstheme="minorHAnsi"/>
          <w:i/>
          <w:iCs/>
          <w:sz w:val="18"/>
          <w:szCs w:val="18"/>
        </w:rPr>
        <w:t>Novatores’</w:t>
      </w:r>
      <w:r>
        <w:rPr>
          <w:rFonts w:cstheme="minorHAnsi"/>
          <w:i/>
          <w:iCs/>
          <w:sz w:val="18"/>
          <w:szCs w:val="18"/>
        </w:rPr>
        <w:t xml:space="preserve">, </w:t>
      </w:r>
      <w:r>
        <w:rPr>
          <w:rFonts w:cstheme="minorHAnsi"/>
          <w:sz w:val="18"/>
          <w:szCs w:val="18"/>
        </w:rPr>
        <w:t>pp. 411.</w:t>
      </w:r>
    </w:p>
  </w:footnote>
  <w:footnote w:id="49">
    <w:p w14:paraId="6E4F2E5C" w14:textId="77777777" w:rsidR="00EC2469" w:rsidRDefault="00EC2469" w:rsidP="00EC2469">
      <w:pPr>
        <w:pStyle w:val="FootnoteText"/>
        <w:ind w:left="142" w:hanging="142"/>
      </w:pPr>
      <w:r>
        <w:rPr>
          <w:rStyle w:val="FootnoteReference"/>
        </w:rPr>
        <w:footnoteRef/>
      </w:r>
      <w:r>
        <w:t xml:space="preserve"> </w:t>
      </w:r>
      <w:r w:rsidRPr="00B764EC">
        <w:rPr>
          <w:rFonts w:cstheme="minorHAnsi"/>
          <w:sz w:val="18"/>
          <w:szCs w:val="18"/>
        </w:rPr>
        <w:t xml:space="preserve">Avalos, Ana, </w:t>
      </w:r>
      <w:r w:rsidRPr="00B764EC">
        <w:rPr>
          <w:rFonts w:cstheme="minorHAnsi"/>
          <w:i/>
          <w:iCs/>
          <w:sz w:val="18"/>
          <w:szCs w:val="18"/>
        </w:rPr>
        <w:t xml:space="preserve">As Above, So Below: Astrology and the Inquisition in Seventeenth-Century New Spain. </w:t>
      </w:r>
      <w:r w:rsidRPr="00B764EC">
        <w:rPr>
          <w:rFonts w:cstheme="minorHAnsi"/>
          <w:sz w:val="18"/>
          <w:szCs w:val="18"/>
        </w:rPr>
        <w:t>Unpublished doctoral thesis, European University Institute, Florence 2007. pp. 6</w:t>
      </w:r>
      <w:r>
        <w:rPr>
          <w:rFonts w:cstheme="minorHAnsi"/>
          <w:sz w:val="18"/>
          <w:szCs w:val="18"/>
        </w:rPr>
        <w:t>5.</w:t>
      </w:r>
    </w:p>
  </w:footnote>
  <w:footnote w:id="50">
    <w:p w14:paraId="6EB26193" w14:textId="77777777" w:rsidR="00EC2469" w:rsidRPr="00DB1E61" w:rsidRDefault="00EC2469" w:rsidP="00EC2469">
      <w:pPr>
        <w:pStyle w:val="FootnoteText"/>
      </w:pPr>
      <w:r>
        <w:rPr>
          <w:rStyle w:val="FootnoteReference"/>
        </w:rPr>
        <w:footnoteRef/>
      </w:r>
      <w:r>
        <w:t xml:space="preserve"> </w:t>
      </w:r>
      <w:r w:rsidRPr="00B764EC">
        <w:rPr>
          <w:rFonts w:cstheme="minorHAnsi"/>
          <w:sz w:val="18"/>
          <w:szCs w:val="18"/>
        </w:rPr>
        <w:t xml:space="preserve">Avalos, Ana, </w:t>
      </w:r>
      <w:r w:rsidRPr="00B764EC">
        <w:rPr>
          <w:rFonts w:cstheme="minorHAnsi"/>
          <w:i/>
          <w:iCs/>
          <w:sz w:val="18"/>
          <w:szCs w:val="18"/>
        </w:rPr>
        <w:t>As Above, So Below: Astrology and the Inquisition in Seventeenth-Century New Spain.</w:t>
      </w:r>
      <w:r>
        <w:rPr>
          <w:rFonts w:cstheme="minorHAnsi"/>
          <w:sz w:val="18"/>
          <w:szCs w:val="18"/>
        </w:rPr>
        <w:t xml:space="preserve"> pp. 69</w:t>
      </w:r>
    </w:p>
  </w:footnote>
  <w:footnote w:id="51">
    <w:p w14:paraId="4C5642CE" w14:textId="77777777" w:rsidR="00EC2469" w:rsidRDefault="00EC2469" w:rsidP="00EC2469">
      <w:pPr>
        <w:pStyle w:val="FootnoteText"/>
        <w:ind w:left="142" w:hanging="142"/>
      </w:pPr>
      <w:r>
        <w:rPr>
          <w:rStyle w:val="FootnoteReference"/>
        </w:rPr>
        <w:footnoteRef/>
      </w:r>
      <w:r>
        <w:t xml:space="preserve"> </w:t>
      </w:r>
      <w:r w:rsidRPr="00E74A94">
        <w:rPr>
          <w:sz w:val="18"/>
          <w:szCs w:val="18"/>
        </w:rPr>
        <w:t xml:space="preserve">Nicholas Campion, </w:t>
      </w:r>
      <w:r w:rsidRPr="00E74A94">
        <w:rPr>
          <w:rFonts w:cstheme="minorHAnsi"/>
          <w:i/>
          <w:iCs/>
          <w:sz w:val="18"/>
          <w:szCs w:val="18"/>
        </w:rPr>
        <w:t xml:space="preserve">A History of Western Astrology, Volume 2: The Medieval and Modern Worlds. </w:t>
      </w:r>
      <w:r w:rsidRPr="00E74A94">
        <w:rPr>
          <w:rFonts w:cstheme="minorHAnsi"/>
          <w:sz w:val="18"/>
          <w:szCs w:val="18"/>
        </w:rPr>
        <w:t>(London: Bloomsbury Academic 2009). pp. 1</w:t>
      </w:r>
      <w:r>
        <w:rPr>
          <w:rFonts w:cstheme="minorHAnsi"/>
          <w:sz w:val="18"/>
          <w:szCs w:val="18"/>
        </w:rPr>
        <w:t>73.</w:t>
      </w:r>
    </w:p>
  </w:footnote>
  <w:footnote w:id="52">
    <w:p w14:paraId="244DC329" w14:textId="77777777" w:rsidR="00EC2469" w:rsidRPr="00D24C42" w:rsidRDefault="00EC2469" w:rsidP="00EC2469">
      <w:pPr>
        <w:pStyle w:val="Default"/>
        <w:ind w:left="142" w:hanging="142"/>
        <w:rPr>
          <w:sz w:val="18"/>
          <w:szCs w:val="18"/>
        </w:rPr>
      </w:pPr>
      <w:r w:rsidRPr="00D24C42">
        <w:rPr>
          <w:rStyle w:val="FootnoteReference"/>
          <w:rFonts w:asciiTheme="minorHAnsi" w:hAnsiTheme="minorHAnsi" w:cstheme="minorHAnsi"/>
          <w:sz w:val="18"/>
          <w:szCs w:val="18"/>
        </w:rPr>
        <w:footnoteRef/>
      </w:r>
      <w:r w:rsidRPr="00D24C42">
        <w:rPr>
          <w:rFonts w:asciiTheme="minorHAnsi" w:hAnsiTheme="minorHAnsi" w:cstheme="minorHAnsi"/>
          <w:sz w:val="18"/>
          <w:szCs w:val="18"/>
        </w:rPr>
        <w:t xml:space="preserve"> Paul</w:t>
      </w:r>
      <w:r w:rsidRPr="00A55F3E">
        <w:rPr>
          <w:sz w:val="18"/>
          <w:szCs w:val="18"/>
        </w:rPr>
        <w:t xml:space="preserve"> Thagard</w:t>
      </w:r>
      <w:r>
        <w:rPr>
          <w:sz w:val="18"/>
          <w:szCs w:val="18"/>
        </w:rPr>
        <w:t xml:space="preserve">, ‘Why Astrology is a Pseudoscience’, </w:t>
      </w:r>
      <w:r>
        <w:rPr>
          <w:i/>
          <w:iCs/>
          <w:sz w:val="18"/>
          <w:szCs w:val="18"/>
        </w:rPr>
        <w:t xml:space="preserve">PSA: Proceedings of the Biennial Meeting of the Philosophy of Science Association, </w:t>
      </w:r>
      <w:r>
        <w:rPr>
          <w:sz w:val="18"/>
          <w:szCs w:val="18"/>
        </w:rPr>
        <w:t xml:space="preserve">Volume 1978, Vol. 1: </w:t>
      </w:r>
      <w:r w:rsidRPr="00D24C42">
        <w:rPr>
          <w:sz w:val="18"/>
          <w:szCs w:val="18"/>
        </w:rPr>
        <w:t>Contributed Papers, The University of Chicago Press, 1978, pp. 22</w:t>
      </w:r>
      <w:r>
        <w:rPr>
          <w:sz w:val="18"/>
          <w:szCs w:val="18"/>
        </w:rPr>
        <w:t>9-230</w:t>
      </w:r>
      <w:r w:rsidRPr="00D24C42">
        <w:rPr>
          <w:sz w:val="18"/>
          <w:szCs w:val="18"/>
        </w:rPr>
        <w:t xml:space="preserve">. </w:t>
      </w:r>
      <w:r>
        <w:rPr>
          <w:sz w:val="18"/>
          <w:szCs w:val="18"/>
        </w:rPr>
        <w:t xml:space="preserve">                         </w:t>
      </w:r>
      <w:r w:rsidRPr="00D24C42">
        <w:rPr>
          <w:sz w:val="18"/>
          <w:szCs w:val="18"/>
        </w:rPr>
        <w:t xml:space="preserve">JSTOR </w:t>
      </w:r>
      <w:hyperlink r:id="rId1" w:history="1">
        <w:r w:rsidRPr="00137FCB">
          <w:rPr>
            <w:rStyle w:val="Hyperlink"/>
            <w:sz w:val="18"/>
            <w:szCs w:val="18"/>
          </w:rPr>
          <w:t>http://www.jstor.org/stable/192639</w:t>
        </w:r>
      </w:hyperlink>
      <w:r>
        <w:rPr>
          <w:sz w:val="23"/>
          <w:szCs w:val="23"/>
        </w:rPr>
        <w:t xml:space="preserve"> </w:t>
      </w:r>
    </w:p>
  </w:footnote>
  <w:footnote w:id="53">
    <w:p w14:paraId="5644CC11" w14:textId="77777777" w:rsidR="00EC2469" w:rsidRDefault="00EC2469" w:rsidP="00EC2469">
      <w:pPr>
        <w:pStyle w:val="FootnoteText"/>
      </w:pPr>
      <w:r>
        <w:rPr>
          <w:rStyle w:val="FootnoteReference"/>
        </w:rPr>
        <w:footnoteRef/>
      </w:r>
      <w:r>
        <w:t xml:space="preserve"> </w:t>
      </w:r>
      <w:r w:rsidRPr="00D24C42">
        <w:rPr>
          <w:rFonts w:cstheme="minorHAnsi"/>
          <w:sz w:val="18"/>
          <w:szCs w:val="18"/>
        </w:rPr>
        <w:t>Paul</w:t>
      </w:r>
      <w:r w:rsidRPr="00A55F3E">
        <w:rPr>
          <w:sz w:val="18"/>
          <w:szCs w:val="18"/>
        </w:rPr>
        <w:t xml:space="preserve"> Thagard</w:t>
      </w:r>
      <w:r>
        <w:rPr>
          <w:sz w:val="18"/>
          <w:szCs w:val="18"/>
        </w:rPr>
        <w:t>, ‘Why Astrology is a Pseudoscience’, pp. 229.</w:t>
      </w:r>
    </w:p>
  </w:footnote>
  <w:footnote w:id="54">
    <w:p w14:paraId="6B4C707D" w14:textId="77777777" w:rsidR="0027702C" w:rsidRDefault="0027702C" w:rsidP="0027702C">
      <w:pPr>
        <w:pStyle w:val="FootnoteText"/>
        <w:ind w:left="142" w:hanging="142"/>
      </w:pPr>
      <w:r>
        <w:rPr>
          <w:rStyle w:val="FootnoteReference"/>
        </w:rPr>
        <w:footnoteRef/>
      </w:r>
      <w:r>
        <w:t xml:space="preserve"> </w:t>
      </w:r>
      <w:r w:rsidRPr="00971B19">
        <w:rPr>
          <w:sz w:val="18"/>
          <w:szCs w:val="18"/>
        </w:rPr>
        <w:t xml:space="preserve">Darrel </w:t>
      </w:r>
      <w:r w:rsidRPr="00971B19">
        <w:rPr>
          <w:rFonts w:cstheme="minorHAnsi"/>
          <w:sz w:val="18"/>
          <w:szCs w:val="18"/>
        </w:rPr>
        <w:t xml:space="preserve">H. </w:t>
      </w:r>
      <w:proofErr w:type="spellStart"/>
      <w:r w:rsidRPr="00971B19">
        <w:rPr>
          <w:rFonts w:cstheme="minorHAnsi"/>
          <w:sz w:val="18"/>
          <w:szCs w:val="18"/>
        </w:rPr>
        <w:t>Rutkin</w:t>
      </w:r>
      <w:proofErr w:type="spellEnd"/>
      <w:r w:rsidRPr="00971B19">
        <w:rPr>
          <w:rFonts w:cstheme="minorHAnsi"/>
          <w:sz w:val="18"/>
          <w:szCs w:val="18"/>
        </w:rPr>
        <w:t xml:space="preserve">. “How to Accurately Account for Astrology’s Marginalization in the History of Science and Culture: The Central Importance of an Interpretive Framework.” </w:t>
      </w:r>
      <w:r w:rsidRPr="00971B19">
        <w:rPr>
          <w:rFonts w:cstheme="minorHAnsi"/>
          <w:i/>
          <w:iCs/>
          <w:sz w:val="18"/>
          <w:szCs w:val="18"/>
        </w:rPr>
        <w:t>Early Science and Medicine</w:t>
      </w:r>
      <w:r w:rsidRPr="00971B19">
        <w:rPr>
          <w:rFonts w:cstheme="minorHAnsi"/>
          <w:sz w:val="18"/>
          <w:szCs w:val="18"/>
        </w:rPr>
        <w:t>, vol. 23, no. 3, Brill, 2018, pp. 217.</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AFA78" w14:textId="3C164A7B" w:rsidR="000B11B7" w:rsidRPr="00B144B7" w:rsidRDefault="000B11B7" w:rsidP="00B144B7">
    <w:pPr>
      <w:pStyle w:val="Header"/>
      <w:jc w:val="right"/>
      <w:rPr>
        <w:sz w:val="18"/>
        <w:szCs w:val="18"/>
      </w:rPr>
    </w:pPr>
    <w:r>
      <w:rPr>
        <w:sz w:val="18"/>
        <w:szCs w:val="18"/>
      </w:rPr>
      <w:t>John Murray 2008616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9BE7E2" w14:textId="289CBCA8" w:rsidR="000B11B7" w:rsidRPr="008F4E28" w:rsidRDefault="000B11B7" w:rsidP="008F4E28">
    <w:pPr>
      <w:jc w:val="right"/>
      <w:rPr>
        <w:rFonts w:ascii="Arial" w:hAnsi="Arial" w:cs="Arial"/>
        <w:sz w:val="18"/>
        <w:szCs w:val="18"/>
      </w:rPr>
    </w:pPr>
    <w:r w:rsidRPr="008F4E28">
      <w:rPr>
        <w:rFonts w:ascii="Arial" w:hAnsi="Arial" w:cs="Arial"/>
        <w:sz w:val="18"/>
        <w:szCs w:val="18"/>
      </w:rPr>
      <w:t>John Murray – HPCA701</w:t>
    </w:r>
    <w:r w:rsidR="00C774DE">
      <w:rPr>
        <w:rFonts w:ascii="Arial" w:hAnsi="Arial" w:cs="Arial"/>
        <w:sz w:val="18"/>
        <w:szCs w:val="18"/>
      </w:rPr>
      <w:t>7</w:t>
    </w:r>
    <w:r w:rsidRPr="008F4E28">
      <w:rPr>
        <w:rFonts w:ascii="Arial" w:hAnsi="Arial" w:cs="Arial"/>
        <w:sz w:val="18"/>
        <w:szCs w:val="18"/>
      </w:rPr>
      <w:t xml:space="preserve"> – Essay </w:t>
    </w:r>
    <w:r w:rsidR="00C324D9">
      <w:rPr>
        <w:rFonts w:ascii="Arial" w:hAnsi="Arial" w:cs="Arial"/>
        <w:sz w:val="18"/>
        <w:szCs w:val="18"/>
      </w:rPr>
      <w:t>2</w:t>
    </w:r>
  </w:p>
  <w:p w14:paraId="09D87568" w14:textId="77777777" w:rsidR="000B11B7" w:rsidRDefault="000B11B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592862"/>
    <w:multiLevelType w:val="hybridMultilevel"/>
    <w:tmpl w:val="6D306808"/>
    <w:lvl w:ilvl="0" w:tplc="792CEB82">
      <w:start w:val="1"/>
      <w:numFmt w:val="bullet"/>
      <w:lvlText w:val="-"/>
      <w:lvlJc w:val="left"/>
      <w:pPr>
        <w:ind w:left="717" w:hanging="360"/>
      </w:pPr>
      <w:rPr>
        <w:rFonts w:ascii="Calibri" w:eastAsia="Times New Roman" w:hAnsi="Calibri" w:cs="Calibri" w:hint="default"/>
      </w:rPr>
    </w:lvl>
    <w:lvl w:ilvl="1" w:tplc="10090003" w:tentative="1">
      <w:start w:val="1"/>
      <w:numFmt w:val="bullet"/>
      <w:lvlText w:val="o"/>
      <w:lvlJc w:val="left"/>
      <w:pPr>
        <w:ind w:left="1437" w:hanging="360"/>
      </w:pPr>
      <w:rPr>
        <w:rFonts w:ascii="Courier New" w:hAnsi="Courier New" w:cs="Courier New" w:hint="default"/>
      </w:rPr>
    </w:lvl>
    <w:lvl w:ilvl="2" w:tplc="10090005" w:tentative="1">
      <w:start w:val="1"/>
      <w:numFmt w:val="bullet"/>
      <w:lvlText w:val=""/>
      <w:lvlJc w:val="left"/>
      <w:pPr>
        <w:ind w:left="2157" w:hanging="360"/>
      </w:pPr>
      <w:rPr>
        <w:rFonts w:ascii="Wingdings" w:hAnsi="Wingdings" w:hint="default"/>
      </w:rPr>
    </w:lvl>
    <w:lvl w:ilvl="3" w:tplc="10090001" w:tentative="1">
      <w:start w:val="1"/>
      <w:numFmt w:val="bullet"/>
      <w:lvlText w:val=""/>
      <w:lvlJc w:val="left"/>
      <w:pPr>
        <w:ind w:left="2877" w:hanging="360"/>
      </w:pPr>
      <w:rPr>
        <w:rFonts w:ascii="Symbol" w:hAnsi="Symbol" w:hint="default"/>
      </w:rPr>
    </w:lvl>
    <w:lvl w:ilvl="4" w:tplc="10090003" w:tentative="1">
      <w:start w:val="1"/>
      <w:numFmt w:val="bullet"/>
      <w:lvlText w:val="o"/>
      <w:lvlJc w:val="left"/>
      <w:pPr>
        <w:ind w:left="3597" w:hanging="360"/>
      </w:pPr>
      <w:rPr>
        <w:rFonts w:ascii="Courier New" w:hAnsi="Courier New" w:cs="Courier New" w:hint="default"/>
      </w:rPr>
    </w:lvl>
    <w:lvl w:ilvl="5" w:tplc="10090005" w:tentative="1">
      <w:start w:val="1"/>
      <w:numFmt w:val="bullet"/>
      <w:lvlText w:val=""/>
      <w:lvlJc w:val="left"/>
      <w:pPr>
        <w:ind w:left="4317" w:hanging="360"/>
      </w:pPr>
      <w:rPr>
        <w:rFonts w:ascii="Wingdings" w:hAnsi="Wingdings" w:hint="default"/>
      </w:rPr>
    </w:lvl>
    <w:lvl w:ilvl="6" w:tplc="10090001" w:tentative="1">
      <w:start w:val="1"/>
      <w:numFmt w:val="bullet"/>
      <w:lvlText w:val=""/>
      <w:lvlJc w:val="left"/>
      <w:pPr>
        <w:ind w:left="5037" w:hanging="360"/>
      </w:pPr>
      <w:rPr>
        <w:rFonts w:ascii="Symbol" w:hAnsi="Symbol" w:hint="default"/>
      </w:rPr>
    </w:lvl>
    <w:lvl w:ilvl="7" w:tplc="10090003" w:tentative="1">
      <w:start w:val="1"/>
      <w:numFmt w:val="bullet"/>
      <w:lvlText w:val="o"/>
      <w:lvlJc w:val="left"/>
      <w:pPr>
        <w:ind w:left="5757" w:hanging="360"/>
      </w:pPr>
      <w:rPr>
        <w:rFonts w:ascii="Courier New" w:hAnsi="Courier New" w:cs="Courier New" w:hint="default"/>
      </w:rPr>
    </w:lvl>
    <w:lvl w:ilvl="8" w:tplc="10090005" w:tentative="1">
      <w:start w:val="1"/>
      <w:numFmt w:val="bullet"/>
      <w:lvlText w:val=""/>
      <w:lvlJc w:val="left"/>
      <w:pPr>
        <w:ind w:left="6477" w:hanging="360"/>
      </w:pPr>
      <w:rPr>
        <w:rFonts w:ascii="Wingdings" w:hAnsi="Wingdings" w:hint="default"/>
      </w:rPr>
    </w:lvl>
  </w:abstractNum>
  <w:num w:numId="1" w16cid:durableId="8200034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grammar="clean"/>
  <w:defaultTabStop w:val="720"/>
  <w:evenAndOddHeaders/>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4E28"/>
    <w:rsid w:val="000009E4"/>
    <w:rsid w:val="00001AFE"/>
    <w:rsid w:val="00002ECA"/>
    <w:rsid w:val="0000710D"/>
    <w:rsid w:val="00023E98"/>
    <w:rsid w:val="00026C75"/>
    <w:rsid w:val="00052CC5"/>
    <w:rsid w:val="00054FBC"/>
    <w:rsid w:val="00055840"/>
    <w:rsid w:val="00056200"/>
    <w:rsid w:val="00061AC3"/>
    <w:rsid w:val="0006215E"/>
    <w:rsid w:val="00064424"/>
    <w:rsid w:val="00065D49"/>
    <w:rsid w:val="00071190"/>
    <w:rsid w:val="000745DF"/>
    <w:rsid w:val="00076D6D"/>
    <w:rsid w:val="00086277"/>
    <w:rsid w:val="000873D2"/>
    <w:rsid w:val="00092C89"/>
    <w:rsid w:val="00093C19"/>
    <w:rsid w:val="00094BCA"/>
    <w:rsid w:val="0009703E"/>
    <w:rsid w:val="000976ED"/>
    <w:rsid w:val="000A0C3F"/>
    <w:rsid w:val="000A60BD"/>
    <w:rsid w:val="000B11B7"/>
    <w:rsid w:val="000B3EE2"/>
    <w:rsid w:val="000B5EFE"/>
    <w:rsid w:val="000B6074"/>
    <w:rsid w:val="000E1D0F"/>
    <w:rsid w:val="000E4746"/>
    <w:rsid w:val="000E6C44"/>
    <w:rsid w:val="000E72A3"/>
    <w:rsid w:val="000F115B"/>
    <w:rsid w:val="000F441F"/>
    <w:rsid w:val="000F74EA"/>
    <w:rsid w:val="001001BE"/>
    <w:rsid w:val="00102794"/>
    <w:rsid w:val="00106C6A"/>
    <w:rsid w:val="00107135"/>
    <w:rsid w:val="0011133E"/>
    <w:rsid w:val="00116248"/>
    <w:rsid w:val="0011697E"/>
    <w:rsid w:val="00116BFA"/>
    <w:rsid w:val="00117286"/>
    <w:rsid w:val="00125F7D"/>
    <w:rsid w:val="00127052"/>
    <w:rsid w:val="001360E2"/>
    <w:rsid w:val="00142700"/>
    <w:rsid w:val="001442E7"/>
    <w:rsid w:val="001476AC"/>
    <w:rsid w:val="001500EE"/>
    <w:rsid w:val="00154386"/>
    <w:rsid w:val="00156488"/>
    <w:rsid w:val="0015761E"/>
    <w:rsid w:val="001646E2"/>
    <w:rsid w:val="00165BF4"/>
    <w:rsid w:val="00167FC6"/>
    <w:rsid w:val="00174363"/>
    <w:rsid w:val="00187067"/>
    <w:rsid w:val="001A717A"/>
    <w:rsid w:val="001A7253"/>
    <w:rsid w:val="001B1A9C"/>
    <w:rsid w:val="001B7998"/>
    <w:rsid w:val="001D3455"/>
    <w:rsid w:val="001D5046"/>
    <w:rsid w:val="001E5ABE"/>
    <w:rsid w:val="001F3B9A"/>
    <w:rsid w:val="0020065B"/>
    <w:rsid w:val="002042FE"/>
    <w:rsid w:val="002054BC"/>
    <w:rsid w:val="002134C4"/>
    <w:rsid w:val="00216A2B"/>
    <w:rsid w:val="0021787E"/>
    <w:rsid w:val="00242934"/>
    <w:rsid w:val="00244E3B"/>
    <w:rsid w:val="002470B0"/>
    <w:rsid w:val="00254645"/>
    <w:rsid w:val="002609E2"/>
    <w:rsid w:val="002701E3"/>
    <w:rsid w:val="0027041F"/>
    <w:rsid w:val="00272B94"/>
    <w:rsid w:val="00273A64"/>
    <w:rsid w:val="00273D4D"/>
    <w:rsid w:val="002769C3"/>
    <w:rsid w:val="0027702C"/>
    <w:rsid w:val="00282E91"/>
    <w:rsid w:val="002870D9"/>
    <w:rsid w:val="00292F4A"/>
    <w:rsid w:val="002A2F2A"/>
    <w:rsid w:val="002A6318"/>
    <w:rsid w:val="002B40C9"/>
    <w:rsid w:val="002B569A"/>
    <w:rsid w:val="002B627C"/>
    <w:rsid w:val="002D4284"/>
    <w:rsid w:val="002D678D"/>
    <w:rsid w:val="002E260E"/>
    <w:rsid w:val="002E2DBA"/>
    <w:rsid w:val="002E5AB3"/>
    <w:rsid w:val="002E629F"/>
    <w:rsid w:val="002F05BB"/>
    <w:rsid w:val="002F106F"/>
    <w:rsid w:val="002F5888"/>
    <w:rsid w:val="0030407F"/>
    <w:rsid w:val="00304F23"/>
    <w:rsid w:val="00310E4C"/>
    <w:rsid w:val="003113C5"/>
    <w:rsid w:val="00313D12"/>
    <w:rsid w:val="00323D50"/>
    <w:rsid w:val="00323F38"/>
    <w:rsid w:val="00324E28"/>
    <w:rsid w:val="00331601"/>
    <w:rsid w:val="003350D2"/>
    <w:rsid w:val="00341C9F"/>
    <w:rsid w:val="00342901"/>
    <w:rsid w:val="00343195"/>
    <w:rsid w:val="0034449C"/>
    <w:rsid w:val="0037489F"/>
    <w:rsid w:val="00374ED8"/>
    <w:rsid w:val="00390C52"/>
    <w:rsid w:val="00395E29"/>
    <w:rsid w:val="003A06C6"/>
    <w:rsid w:val="003A0A67"/>
    <w:rsid w:val="003A5649"/>
    <w:rsid w:val="003A6211"/>
    <w:rsid w:val="003B123D"/>
    <w:rsid w:val="003B3DFA"/>
    <w:rsid w:val="003C4E3F"/>
    <w:rsid w:val="003C5651"/>
    <w:rsid w:val="003C615E"/>
    <w:rsid w:val="003D0526"/>
    <w:rsid w:val="003D38E1"/>
    <w:rsid w:val="003D4486"/>
    <w:rsid w:val="003D54B7"/>
    <w:rsid w:val="003F091D"/>
    <w:rsid w:val="00406DA0"/>
    <w:rsid w:val="004156CE"/>
    <w:rsid w:val="00421AD2"/>
    <w:rsid w:val="00421E84"/>
    <w:rsid w:val="00422316"/>
    <w:rsid w:val="00422ED3"/>
    <w:rsid w:val="0044710C"/>
    <w:rsid w:val="00450C57"/>
    <w:rsid w:val="00452008"/>
    <w:rsid w:val="00457109"/>
    <w:rsid w:val="004601B0"/>
    <w:rsid w:val="004601F5"/>
    <w:rsid w:val="004615B9"/>
    <w:rsid w:val="00464DC0"/>
    <w:rsid w:val="00474124"/>
    <w:rsid w:val="004757C5"/>
    <w:rsid w:val="00485B72"/>
    <w:rsid w:val="00490F7C"/>
    <w:rsid w:val="004919C9"/>
    <w:rsid w:val="00496C85"/>
    <w:rsid w:val="004A2990"/>
    <w:rsid w:val="004A47A9"/>
    <w:rsid w:val="004A4C4A"/>
    <w:rsid w:val="004A4DFD"/>
    <w:rsid w:val="004B0116"/>
    <w:rsid w:val="004B1327"/>
    <w:rsid w:val="004B1745"/>
    <w:rsid w:val="004B5D1C"/>
    <w:rsid w:val="004C46EE"/>
    <w:rsid w:val="004C6CEA"/>
    <w:rsid w:val="004D1D1D"/>
    <w:rsid w:val="004D2CBD"/>
    <w:rsid w:val="004D3507"/>
    <w:rsid w:val="004D3B8B"/>
    <w:rsid w:val="004D3ED8"/>
    <w:rsid w:val="004F2FD0"/>
    <w:rsid w:val="004F4EE5"/>
    <w:rsid w:val="00501871"/>
    <w:rsid w:val="00505D5F"/>
    <w:rsid w:val="005107C2"/>
    <w:rsid w:val="00510A07"/>
    <w:rsid w:val="00527552"/>
    <w:rsid w:val="00527A1A"/>
    <w:rsid w:val="00534D19"/>
    <w:rsid w:val="00535CF0"/>
    <w:rsid w:val="00536627"/>
    <w:rsid w:val="005370A7"/>
    <w:rsid w:val="00550141"/>
    <w:rsid w:val="00552E6A"/>
    <w:rsid w:val="00562B0F"/>
    <w:rsid w:val="00566DE7"/>
    <w:rsid w:val="00570D97"/>
    <w:rsid w:val="005762EC"/>
    <w:rsid w:val="00576413"/>
    <w:rsid w:val="00576708"/>
    <w:rsid w:val="00585522"/>
    <w:rsid w:val="00590B01"/>
    <w:rsid w:val="0059673B"/>
    <w:rsid w:val="005A1601"/>
    <w:rsid w:val="005A4286"/>
    <w:rsid w:val="005A7A17"/>
    <w:rsid w:val="005B7A7B"/>
    <w:rsid w:val="005C15CB"/>
    <w:rsid w:val="005C2EFF"/>
    <w:rsid w:val="005D25A3"/>
    <w:rsid w:val="005D5951"/>
    <w:rsid w:val="005E58B3"/>
    <w:rsid w:val="005E7920"/>
    <w:rsid w:val="005F29A3"/>
    <w:rsid w:val="00613211"/>
    <w:rsid w:val="0061604D"/>
    <w:rsid w:val="00616C91"/>
    <w:rsid w:val="00626F1F"/>
    <w:rsid w:val="00630BA8"/>
    <w:rsid w:val="00633CD6"/>
    <w:rsid w:val="00644144"/>
    <w:rsid w:val="006465FC"/>
    <w:rsid w:val="00661948"/>
    <w:rsid w:val="006626E2"/>
    <w:rsid w:val="0066513A"/>
    <w:rsid w:val="00665B7E"/>
    <w:rsid w:val="00666275"/>
    <w:rsid w:val="006673FA"/>
    <w:rsid w:val="006676E6"/>
    <w:rsid w:val="006751AC"/>
    <w:rsid w:val="00675436"/>
    <w:rsid w:val="00675672"/>
    <w:rsid w:val="006776C0"/>
    <w:rsid w:val="0068503A"/>
    <w:rsid w:val="00686F3D"/>
    <w:rsid w:val="006A0540"/>
    <w:rsid w:val="006A296A"/>
    <w:rsid w:val="006A7322"/>
    <w:rsid w:val="006A73B4"/>
    <w:rsid w:val="006B2407"/>
    <w:rsid w:val="006B3C80"/>
    <w:rsid w:val="006C0E21"/>
    <w:rsid w:val="006C2216"/>
    <w:rsid w:val="006C275E"/>
    <w:rsid w:val="006D5E7A"/>
    <w:rsid w:val="006D7008"/>
    <w:rsid w:val="006E51C8"/>
    <w:rsid w:val="006E6EB2"/>
    <w:rsid w:val="006F25D8"/>
    <w:rsid w:val="006F5061"/>
    <w:rsid w:val="006F5F3D"/>
    <w:rsid w:val="006F6070"/>
    <w:rsid w:val="006F6C3A"/>
    <w:rsid w:val="007027EF"/>
    <w:rsid w:val="0070710A"/>
    <w:rsid w:val="0071529E"/>
    <w:rsid w:val="00715A7B"/>
    <w:rsid w:val="00715E17"/>
    <w:rsid w:val="00724B20"/>
    <w:rsid w:val="00726E33"/>
    <w:rsid w:val="007279EA"/>
    <w:rsid w:val="00740F4B"/>
    <w:rsid w:val="00743C4B"/>
    <w:rsid w:val="007463E9"/>
    <w:rsid w:val="007564DB"/>
    <w:rsid w:val="00760E58"/>
    <w:rsid w:val="00770BB4"/>
    <w:rsid w:val="00773DE0"/>
    <w:rsid w:val="00775421"/>
    <w:rsid w:val="00775E82"/>
    <w:rsid w:val="007778C2"/>
    <w:rsid w:val="00780931"/>
    <w:rsid w:val="00783AE4"/>
    <w:rsid w:val="00793CF1"/>
    <w:rsid w:val="00796F5F"/>
    <w:rsid w:val="007A1A08"/>
    <w:rsid w:val="007A74F4"/>
    <w:rsid w:val="007B01F1"/>
    <w:rsid w:val="007B068E"/>
    <w:rsid w:val="007B18F9"/>
    <w:rsid w:val="007B2025"/>
    <w:rsid w:val="007B70E4"/>
    <w:rsid w:val="007C2693"/>
    <w:rsid w:val="007D17AA"/>
    <w:rsid w:val="007E145A"/>
    <w:rsid w:val="007E64F6"/>
    <w:rsid w:val="007F1218"/>
    <w:rsid w:val="007F6D73"/>
    <w:rsid w:val="00803D31"/>
    <w:rsid w:val="00805F93"/>
    <w:rsid w:val="00806469"/>
    <w:rsid w:val="00815445"/>
    <w:rsid w:val="008236A4"/>
    <w:rsid w:val="00833216"/>
    <w:rsid w:val="008341A4"/>
    <w:rsid w:val="008359CE"/>
    <w:rsid w:val="00840A40"/>
    <w:rsid w:val="00844801"/>
    <w:rsid w:val="00844ABB"/>
    <w:rsid w:val="00850AC2"/>
    <w:rsid w:val="00856D52"/>
    <w:rsid w:val="00873DA6"/>
    <w:rsid w:val="00881EA2"/>
    <w:rsid w:val="008959AB"/>
    <w:rsid w:val="008A2C3B"/>
    <w:rsid w:val="008A6F5B"/>
    <w:rsid w:val="008B20D1"/>
    <w:rsid w:val="008B29D9"/>
    <w:rsid w:val="008B7BF8"/>
    <w:rsid w:val="008C0B0A"/>
    <w:rsid w:val="008C1741"/>
    <w:rsid w:val="008C5B7C"/>
    <w:rsid w:val="008C6E1C"/>
    <w:rsid w:val="008D1721"/>
    <w:rsid w:val="008D197A"/>
    <w:rsid w:val="008D6AA4"/>
    <w:rsid w:val="008D7428"/>
    <w:rsid w:val="008E19AD"/>
    <w:rsid w:val="008E2E0A"/>
    <w:rsid w:val="008E4B77"/>
    <w:rsid w:val="008F4E28"/>
    <w:rsid w:val="009007C8"/>
    <w:rsid w:val="00902B86"/>
    <w:rsid w:val="00903D2A"/>
    <w:rsid w:val="00906D00"/>
    <w:rsid w:val="009148CE"/>
    <w:rsid w:val="00915A0D"/>
    <w:rsid w:val="00927553"/>
    <w:rsid w:val="009278C2"/>
    <w:rsid w:val="009410A9"/>
    <w:rsid w:val="00941D0F"/>
    <w:rsid w:val="00952AAA"/>
    <w:rsid w:val="00954634"/>
    <w:rsid w:val="00960FE8"/>
    <w:rsid w:val="00967C8F"/>
    <w:rsid w:val="00971A2F"/>
    <w:rsid w:val="009777A0"/>
    <w:rsid w:val="009811DD"/>
    <w:rsid w:val="009814D5"/>
    <w:rsid w:val="0098511D"/>
    <w:rsid w:val="0099324F"/>
    <w:rsid w:val="00994ADF"/>
    <w:rsid w:val="009A024C"/>
    <w:rsid w:val="009A7993"/>
    <w:rsid w:val="009A7EDA"/>
    <w:rsid w:val="009B08D0"/>
    <w:rsid w:val="009B3A40"/>
    <w:rsid w:val="009C6926"/>
    <w:rsid w:val="009E515C"/>
    <w:rsid w:val="009E6590"/>
    <w:rsid w:val="009E7341"/>
    <w:rsid w:val="009E75BB"/>
    <w:rsid w:val="009F2BF8"/>
    <w:rsid w:val="009F5A9B"/>
    <w:rsid w:val="00A014C6"/>
    <w:rsid w:val="00A02E0F"/>
    <w:rsid w:val="00A05035"/>
    <w:rsid w:val="00A06F5D"/>
    <w:rsid w:val="00A16D5D"/>
    <w:rsid w:val="00A301B6"/>
    <w:rsid w:val="00A3254B"/>
    <w:rsid w:val="00A34AAF"/>
    <w:rsid w:val="00A350DC"/>
    <w:rsid w:val="00A372F7"/>
    <w:rsid w:val="00A37F0D"/>
    <w:rsid w:val="00A40DDD"/>
    <w:rsid w:val="00A4146A"/>
    <w:rsid w:val="00A42AF2"/>
    <w:rsid w:val="00A478FB"/>
    <w:rsid w:val="00A601BB"/>
    <w:rsid w:val="00A67238"/>
    <w:rsid w:val="00A67855"/>
    <w:rsid w:val="00A83A36"/>
    <w:rsid w:val="00A87697"/>
    <w:rsid w:val="00A9101D"/>
    <w:rsid w:val="00A9462F"/>
    <w:rsid w:val="00AA12D8"/>
    <w:rsid w:val="00AA1AD0"/>
    <w:rsid w:val="00AB17AE"/>
    <w:rsid w:val="00AC0AB7"/>
    <w:rsid w:val="00AC19C8"/>
    <w:rsid w:val="00AC2A92"/>
    <w:rsid w:val="00AC3328"/>
    <w:rsid w:val="00AC6410"/>
    <w:rsid w:val="00AD70BD"/>
    <w:rsid w:val="00AE2A4B"/>
    <w:rsid w:val="00AE3A9F"/>
    <w:rsid w:val="00AE424A"/>
    <w:rsid w:val="00AE5915"/>
    <w:rsid w:val="00AE5993"/>
    <w:rsid w:val="00AE6CDE"/>
    <w:rsid w:val="00AF0D81"/>
    <w:rsid w:val="00AF6991"/>
    <w:rsid w:val="00AF6D56"/>
    <w:rsid w:val="00B03852"/>
    <w:rsid w:val="00B04228"/>
    <w:rsid w:val="00B10F40"/>
    <w:rsid w:val="00B111D6"/>
    <w:rsid w:val="00B144B7"/>
    <w:rsid w:val="00B33C14"/>
    <w:rsid w:val="00B433D0"/>
    <w:rsid w:val="00B43F38"/>
    <w:rsid w:val="00B44799"/>
    <w:rsid w:val="00B4612D"/>
    <w:rsid w:val="00B4746F"/>
    <w:rsid w:val="00B52806"/>
    <w:rsid w:val="00B53B64"/>
    <w:rsid w:val="00B53B6D"/>
    <w:rsid w:val="00B61273"/>
    <w:rsid w:val="00B61A9F"/>
    <w:rsid w:val="00B64FC5"/>
    <w:rsid w:val="00B67FAC"/>
    <w:rsid w:val="00B71345"/>
    <w:rsid w:val="00B71E8A"/>
    <w:rsid w:val="00B84003"/>
    <w:rsid w:val="00B96B63"/>
    <w:rsid w:val="00B972A7"/>
    <w:rsid w:val="00BA0525"/>
    <w:rsid w:val="00BA3FDC"/>
    <w:rsid w:val="00BB0A90"/>
    <w:rsid w:val="00BB18E4"/>
    <w:rsid w:val="00BC103C"/>
    <w:rsid w:val="00BC23C9"/>
    <w:rsid w:val="00BC32E5"/>
    <w:rsid w:val="00BC5893"/>
    <w:rsid w:val="00BC676A"/>
    <w:rsid w:val="00BC7010"/>
    <w:rsid w:val="00BD6B96"/>
    <w:rsid w:val="00BD77DC"/>
    <w:rsid w:val="00BE2BF7"/>
    <w:rsid w:val="00BE4E9C"/>
    <w:rsid w:val="00BF376A"/>
    <w:rsid w:val="00C0399B"/>
    <w:rsid w:val="00C16697"/>
    <w:rsid w:val="00C22968"/>
    <w:rsid w:val="00C27F0E"/>
    <w:rsid w:val="00C302AC"/>
    <w:rsid w:val="00C324D9"/>
    <w:rsid w:val="00C3359B"/>
    <w:rsid w:val="00C36EA2"/>
    <w:rsid w:val="00C44D72"/>
    <w:rsid w:val="00C4520E"/>
    <w:rsid w:val="00C50AD2"/>
    <w:rsid w:val="00C513C0"/>
    <w:rsid w:val="00C51BA4"/>
    <w:rsid w:val="00C61E07"/>
    <w:rsid w:val="00C61F0C"/>
    <w:rsid w:val="00C6275D"/>
    <w:rsid w:val="00C64288"/>
    <w:rsid w:val="00C65C6C"/>
    <w:rsid w:val="00C67C90"/>
    <w:rsid w:val="00C774DE"/>
    <w:rsid w:val="00C77C39"/>
    <w:rsid w:val="00C9033C"/>
    <w:rsid w:val="00C9170A"/>
    <w:rsid w:val="00CA4A0D"/>
    <w:rsid w:val="00CB3617"/>
    <w:rsid w:val="00CC25F4"/>
    <w:rsid w:val="00CC4FAB"/>
    <w:rsid w:val="00CC76DB"/>
    <w:rsid w:val="00CC7F43"/>
    <w:rsid w:val="00CD22D2"/>
    <w:rsid w:val="00CD3246"/>
    <w:rsid w:val="00CD3D32"/>
    <w:rsid w:val="00CE2876"/>
    <w:rsid w:val="00CF228A"/>
    <w:rsid w:val="00D06884"/>
    <w:rsid w:val="00D1387F"/>
    <w:rsid w:val="00D16686"/>
    <w:rsid w:val="00D16D0A"/>
    <w:rsid w:val="00D211F6"/>
    <w:rsid w:val="00D21B9F"/>
    <w:rsid w:val="00D2259A"/>
    <w:rsid w:val="00D22DA8"/>
    <w:rsid w:val="00D31EF7"/>
    <w:rsid w:val="00D3737E"/>
    <w:rsid w:val="00D42996"/>
    <w:rsid w:val="00D579CC"/>
    <w:rsid w:val="00D57F07"/>
    <w:rsid w:val="00D626A9"/>
    <w:rsid w:val="00D65CB6"/>
    <w:rsid w:val="00D72D60"/>
    <w:rsid w:val="00D817A7"/>
    <w:rsid w:val="00D83309"/>
    <w:rsid w:val="00D86300"/>
    <w:rsid w:val="00D90F20"/>
    <w:rsid w:val="00DA31F4"/>
    <w:rsid w:val="00DA3A88"/>
    <w:rsid w:val="00DB0159"/>
    <w:rsid w:val="00DB15DD"/>
    <w:rsid w:val="00DB32D7"/>
    <w:rsid w:val="00DB5BFC"/>
    <w:rsid w:val="00DB65D5"/>
    <w:rsid w:val="00DC0E29"/>
    <w:rsid w:val="00DC2433"/>
    <w:rsid w:val="00DC463B"/>
    <w:rsid w:val="00DC768F"/>
    <w:rsid w:val="00DE3A4F"/>
    <w:rsid w:val="00DE55B5"/>
    <w:rsid w:val="00DE6A9E"/>
    <w:rsid w:val="00DF41AB"/>
    <w:rsid w:val="00E00B50"/>
    <w:rsid w:val="00E01534"/>
    <w:rsid w:val="00E04213"/>
    <w:rsid w:val="00E125C1"/>
    <w:rsid w:val="00E132CC"/>
    <w:rsid w:val="00E14937"/>
    <w:rsid w:val="00E14BF5"/>
    <w:rsid w:val="00E2082D"/>
    <w:rsid w:val="00E21449"/>
    <w:rsid w:val="00E3388C"/>
    <w:rsid w:val="00E35913"/>
    <w:rsid w:val="00E408F3"/>
    <w:rsid w:val="00E42761"/>
    <w:rsid w:val="00E51D98"/>
    <w:rsid w:val="00E53035"/>
    <w:rsid w:val="00E5305D"/>
    <w:rsid w:val="00E56E1D"/>
    <w:rsid w:val="00E67708"/>
    <w:rsid w:val="00E67EE4"/>
    <w:rsid w:val="00E737DA"/>
    <w:rsid w:val="00E73973"/>
    <w:rsid w:val="00E753AF"/>
    <w:rsid w:val="00E7694F"/>
    <w:rsid w:val="00E80576"/>
    <w:rsid w:val="00E80DE5"/>
    <w:rsid w:val="00E83F29"/>
    <w:rsid w:val="00E910CE"/>
    <w:rsid w:val="00E938E7"/>
    <w:rsid w:val="00E95070"/>
    <w:rsid w:val="00EA7323"/>
    <w:rsid w:val="00EB077B"/>
    <w:rsid w:val="00EC2469"/>
    <w:rsid w:val="00EC465D"/>
    <w:rsid w:val="00ED3021"/>
    <w:rsid w:val="00ED3FB2"/>
    <w:rsid w:val="00EE3272"/>
    <w:rsid w:val="00EE5E50"/>
    <w:rsid w:val="00EE79A8"/>
    <w:rsid w:val="00EF1EF5"/>
    <w:rsid w:val="00EF3162"/>
    <w:rsid w:val="00EF3F6C"/>
    <w:rsid w:val="00F0537D"/>
    <w:rsid w:val="00F06ACD"/>
    <w:rsid w:val="00F0746D"/>
    <w:rsid w:val="00F100E2"/>
    <w:rsid w:val="00F21C6D"/>
    <w:rsid w:val="00F360B7"/>
    <w:rsid w:val="00F3632F"/>
    <w:rsid w:val="00F37769"/>
    <w:rsid w:val="00F402D7"/>
    <w:rsid w:val="00F40B23"/>
    <w:rsid w:val="00F448BE"/>
    <w:rsid w:val="00F44B86"/>
    <w:rsid w:val="00F45305"/>
    <w:rsid w:val="00F57F93"/>
    <w:rsid w:val="00F6028A"/>
    <w:rsid w:val="00F7163D"/>
    <w:rsid w:val="00F800E5"/>
    <w:rsid w:val="00F8016A"/>
    <w:rsid w:val="00F82A2E"/>
    <w:rsid w:val="00F939F2"/>
    <w:rsid w:val="00FA034C"/>
    <w:rsid w:val="00FA0758"/>
    <w:rsid w:val="00FA3961"/>
    <w:rsid w:val="00FB1B63"/>
    <w:rsid w:val="00FB330B"/>
    <w:rsid w:val="00FB5AD3"/>
    <w:rsid w:val="00FB712D"/>
    <w:rsid w:val="00FC0CF0"/>
    <w:rsid w:val="00FC622B"/>
    <w:rsid w:val="00FC73DE"/>
    <w:rsid w:val="00FC78DA"/>
    <w:rsid w:val="00FD4AAB"/>
    <w:rsid w:val="00FD5C4C"/>
    <w:rsid w:val="00FE0C70"/>
    <w:rsid w:val="00FE2472"/>
    <w:rsid w:val="00FE621F"/>
    <w:rsid w:val="00FE6660"/>
    <w:rsid w:val="00FF389B"/>
    <w:rsid w:val="00FF4C4B"/>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795C2A"/>
  <w15:chartTrackingRefBased/>
  <w15:docId w15:val="{F173D418-72DE-4D99-8889-AB7E920419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CA"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qFormat/>
    <w:rsid w:val="002E629F"/>
    <w:pPr>
      <w:keepNext/>
      <w:spacing w:after="0" w:line="240" w:lineRule="auto"/>
      <w:ind w:left="720"/>
      <w:jc w:val="both"/>
      <w:outlineLvl w:val="2"/>
    </w:pPr>
    <w:rPr>
      <w:rFonts w:ascii="Tahoma" w:eastAsia="SimSun" w:hAnsi="Tahoma" w:cs="Tahoma"/>
      <w:b/>
      <w:bCs/>
      <w:sz w:val="20"/>
      <w:szCs w:val="20"/>
      <w:lang w:val="en-GB"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F4E28"/>
    <w:pPr>
      <w:tabs>
        <w:tab w:val="center" w:pos="4680"/>
        <w:tab w:val="right" w:pos="9360"/>
      </w:tabs>
      <w:spacing w:after="0" w:line="240" w:lineRule="auto"/>
    </w:pPr>
  </w:style>
  <w:style w:type="character" w:customStyle="1" w:styleId="HeaderChar">
    <w:name w:val="Header Char"/>
    <w:basedOn w:val="DefaultParagraphFont"/>
    <w:link w:val="Header"/>
    <w:uiPriority w:val="99"/>
    <w:rsid w:val="008F4E28"/>
  </w:style>
  <w:style w:type="paragraph" w:styleId="Footer">
    <w:name w:val="footer"/>
    <w:basedOn w:val="Normal"/>
    <w:link w:val="FooterChar"/>
    <w:uiPriority w:val="99"/>
    <w:unhideWhenUsed/>
    <w:rsid w:val="008F4E28"/>
    <w:pPr>
      <w:tabs>
        <w:tab w:val="center" w:pos="4680"/>
        <w:tab w:val="right" w:pos="9360"/>
      </w:tabs>
      <w:spacing w:after="0" w:line="240" w:lineRule="auto"/>
    </w:pPr>
  </w:style>
  <w:style w:type="character" w:customStyle="1" w:styleId="FooterChar">
    <w:name w:val="Footer Char"/>
    <w:basedOn w:val="DefaultParagraphFont"/>
    <w:link w:val="Footer"/>
    <w:uiPriority w:val="99"/>
    <w:rsid w:val="008F4E28"/>
  </w:style>
  <w:style w:type="paragraph" w:styleId="FootnoteText">
    <w:name w:val="footnote text"/>
    <w:basedOn w:val="Normal"/>
    <w:link w:val="FootnoteTextChar"/>
    <w:uiPriority w:val="99"/>
    <w:unhideWhenUsed/>
    <w:rsid w:val="00F7163D"/>
    <w:pPr>
      <w:spacing w:after="0" w:line="240" w:lineRule="auto"/>
    </w:pPr>
    <w:rPr>
      <w:sz w:val="20"/>
      <w:szCs w:val="20"/>
    </w:rPr>
  </w:style>
  <w:style w:type="character" w:customStyle="1" w:styleId="FootnoteTextChar">
    <w:name w:val="Footnote Text Char"/>
    <w:basedOn w:val="DefaultParagraphFont"/>
    <w:link w:val="FootnoteText"/>
    <w:uiPriority w:val="99"/>
    <w:rsid w:val="00F7163D"/>
    <w:rPr>
      <w:sz w:val="20"/>
      <w:szCs w:val="20"/>
    </w:rPr>
  </w:style>
  <w:style w:type="character" w:styleId="FootnoteReference">
    <w:name w:val="footnote reference"/>
    <w:basedOn w:val="DefaultParagraphFont"/>
    <w:uiPriority w:val="99"/>
    <w:unhideWhenUsed/>
    <w:rsid w:val="00F7163D"/>
    <w:rPr>
      <w:vertAlign w:val="superscript"/>
    </w:rPr>
  </w:style>
  <w:style w:type="character" w:styleId="Hyperlink">
    <w:name w:val="Hyperlink"/>
    <w:basedOn w:val="DefaultParagraphFont"/>
    <w:uiPriority w:val="99"/>
    <w:unhideWhenUsed/>
    <w:rsid w:val="00C4520E"/>
    <w:rPr>
      <w:color w:val="0563C1" w:themeColor="hyperlink"/>
      <w:u w:val="single"/>
    </w:rPr>
  </w:style>
  <w:style w:type="character" w:styleId="UnresolvedMention">
    <w:name w:val="Unresolved Mention"/>
    <w:basedOn w:val="DefaultParagraphFont"/>
    <w:uiPriority w:val="99"/>
    <w:semiHidden/>
    <w:unhideWhenUsed/>
    <w:rsid w:val="00C4520E"/>
    <w:rPr>
      <w:color w:val="605E5C"/>
      <w:shd w:val="clear" w:color="auto" w:fill="E1DFDD"/>
    </w:rPr>
  </w:style>
  <w:style w:type="paragraph" w:styleId="NormalWeb">
    <w:name w:val="Normal (Web)"/>
    <w:basedOn w:val="Normal"/>
    <w:uiPriority w:val="99"/>
    <w:unhideWhenUsed/>
    <w:rsid w:val="003A6211"/>
    <w:pPr>
      <w:spacing w:before="100" w:beforeAutospacing="1" w:after="100" w:afterAutospacing="1" w:line="240" w:lineRule="auto"/>
    </w:pPr>
    <w:rPr>
      <w:rFonts w:ascii="Times New Roman" w:eastAsia="Times New Roman" w:hAnsi="Times New Roman" w:cs="Times New Roman"/>
      <w:sz w:val="24"/>
      <w:szCs w:val="24"/>
      <w:lang w:eastAsia="en-CA"/>
    </w:rPr>
  </w:style>
  <w:style w:type="paragraph" w:styleId="ListParagraph">
    <w:name w:val="List Paragraph"/>
    <w:basedOn w:val="Normal"/>
    <w:uiPriority w:val="34"/>
    <w:qFormat/>
    <w:rsid w:val="00102794"/>
    <w:pPr>
      <w:ind w:left="720"/>
      <w:contextualSpacing/>
    </w:pPr>
  </w:style>
  <w:style w:type="paragraph" w:customStyle="1" w:styleId="Default">
    <w:name w:val="Default"/>
    <w:rsid w:val="00A67238"/>
    <w:pPr>
      <w:autoSpaceDE w:val="0"/>
      <w:autoSpaceDN w:val="0"/>
      <w:adjustRightInd w:val="0"/>
      <w:spacing w:after="0" w:line="240" w:lineRule="auto"/>
    </w:pPr>
    <w:rPr>
      <w:rFonts w:ascii="Code" w:hAnsi="Code" w:cs="Code"/>
      <w:color w:val="000000"/>
      <w:sz w:val="24"/>
      <w:szCs w:val="24"/>
    </w:rPr>
  </w:style>
  <w:style w:type="paragraph" w:styleId="Caption">
    <w:name w:val="caption"/>
    <w:basedOn w:val="Normal"/>
    <w:next w:val="Normal"/>
    <w:uiPriority w:val="35"/>
    <w:unhideWhenUsed/>
    <w:qFormat/>
    <w:rsid w:val="009F5A9B"/>
    <w:pPr>
      <w:spacing w:after="200" w:line="240" w:lineRule="auto"/>
    </w:pPr>
    <w:rPr>
      <w:rFonts w:ascii="Times New Roman" w:eastAsia="Times New Roman" w:hAnsi="Times New Roman" w:cs="Times New Roman"/>
      <w:i/>
      <w:iCs/>
      <w:color w:val="44546A" w:themeColor="text2"/>
      <w:sz w:val="18"/>
      <w:szCs w:val="18"/>
      <w:lang w:eastAsia="en-CA"/>
    </w:rPr>
  </w:style>
  <w:style w:type="character" w:customStyle="1" w:styleId="Heading3Char">
    <w:name w:val="Heading 3 Char"/>
    <w:basedOn w:val="DefaultParagraphFont"/>
    <w:link w:val="Heading3"/>
    <w:rsid w:val="002E629F"/>
    <w:rPr>
      <w:rFonts w:ascii="Tahoma" w:eastAsia="SimSun" w:hAnsi="Tahoma" w:cs="Tahoma"/>
      <w:b/>
      <w:bCs/>
      <w:sz w:val="20"/>
      <w:szCs w:val="20"/>
      <w:lang w:val="en-GB"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76905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stor.org/stable/26567120" TargetMode="External"/><Relationship Id="rId18" Type="http://schemas.openxmlformats.org/officeDocument/2006/relationships/hyperlink" Target="https://www.jstor.org/stable/26567118"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4.jpg"/><Relationship Id="rId17" Type="http://schemas.openxmlformats.org/officeDocument/2006/relationships/hyperlink" Target="https://www-proquest-com.ezproxy.uwtsd.ac.uk/books/sphere-marcus-manilius-made-english-poem-with/docview/2240943129/se-2?accountid=130472"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jstor.org/stable/26567137" TargetMode="External"/><Relationship Id="rId20" Type="http://schemas.openxmlformats.org/officeDocument/2006/relationships/hyperlink" Target="http://www.jstor.org/stable/19263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jstor.org/stable/26567119" TargetMode="External"/><Relationship Id="rId23" Type="http://schemas.openxmlformats.org/officeDocument/2006/relationships/footer" Target="footer1.xml"/><Relationship Id="rId10" Type="http://schemas.openxmlformats.org/officeDocument/2006/relationships/image" Target="media/image2.jpg"/><Relationship Id="rId19" Type="http://schemas.openxmlformats.org/officeDocument/2006/relationships/hyperlink" Target="http://www.jstor.org/stable/40371233" TargetMode="External"/><Relationship Id="rId4" Type="http://schemas.openxmlformats.org/officeDocument/2006/relationships/settings" Target="settings.xml"/><Relationship Id="rId9" Type="http://schemas.openxmlformats.org/officeDocument/2006/relationships/hyperlink" Target="mailto:2008616@student.uwtsd.ac.uk" TargetMode="External"/><Relationship Id="rId14" Type="http://schemas.openxmlformats.org/officeDocument/2006/relationships/hyperlink" Target="http://www.jstor.org/stable/301650" TargetMode="External"/><Relationship Id="rId22" Type="http://schemas.openxmlformats.org/officeDocument/2006/relationships/header" Target="header2.xml"/></Relationships>
</file>

<file path=word/_rels/footnotes.xml.rels><?xml version="1.0" encoding="UTF-8" standalone="yes"?>
<Relationships xmlns="http://schemas.openxmlformats.org/package/2006/relationships"><Relationship Id="rId1" Type="http://schemas.openxmlformats.org/officeDocument/2006/relationships/hyperlink" Target="http://www.jstor.org/stable/19263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0BD3F94A-431B-4A4E-90C2-3D20BD3D9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20</Pages>
  <Words>5530</Words>
  <Characters>31526</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Murray</dc:creator>
  <cp:keywords/>
  <dc:description/>
  <cp:lastModifiedBy>John Murray</cp:lastModifiedBy>
  <cp:revision>33</cp:revision>
  <cp:lastPrinted>2022-04-28T22:03:00Z</cp:lastPrinted>
  <dcterms:created xsi:type="dcterms:W3CDTF">2022-04-28T21:42:00Z</dcterms:created>
  <dcterms:modified xsi:type="dcterms:W3CDTF">2022-04-28T22:44:00Z</dcterms:modified>
</cp:coreProperties>
</file>