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DFC41B" w14:textId="77777777" w:rsidR="00F9316C" w:rsidRPr="0055462B" w:rsidRDefault="00F9316C" w:rsidP="00F9316C">
      <w:pPr>
        <w:rPr>
          <w:b/>
          <w:bCs/>
          <w:sz w:val="34"/>
          <w:szCs w:val="34"/>
        </w:rPr>
      </w:pPr>
      <w:r w:rsidRPr="0055462B">
        <w:rPr>
          <w:noProof/>
        </w:rPr>
        <w:drawing>
          <wp:inline distT="0" distB="0" distL="0" distR="0" wp14:anchorId="761CF18A" wp14:editId="4F6B2AED">
            <wp:extent cx="2466975" cy="1038225"/>
            <wp:effectExtent l="0" t="0" r="9525" b="9525"/>
            <wp:docPr id="1"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sign&#10;&#10;AI-generated content may be incorrect."/>
                    <pic:cNvPicPr/>
                  </pic:nvPicPr>
                  <pic:blipFill>
                    <a:blip r:embed="rId5"/>
                    <a:stretch>
                      <a:fillRect/>
                    </a:stretch>
                  </pic:blipFill>
                  <pic:spPr>
                    <a:xfrm>
                      <a:off x="0" y="0"/>
                      <a:ext cx="2466975" cy="1038225"/>
                    </a:xfrm>
                    <a:prstGeom prst="rect">
                      <a:avLst/>
                    </a:prstGeom>
                  </pic:spPr>
                </pic:pic>
              </a:graphicData>
            </a:graphic>
          </wp:inline>
        </w:drawing>
      </w:r>
    </w:p>
    <w:p w14:paraId="117324E4" w14:textId="77777777" w:rsidR="00F9316C" w:rsidRPr="007606BB" w:rsidRDefault="00F9316C" w:rsidP="00F9316C">
      <w:pPr>
        <w:jc w:val="center"/>
        <w:rPr>
          <w:b/>
          <w:bCs/>
          <w:sz w:val="30"/>
          <w:szCs w:val="30"/>
        </w:rPr>
      </w:pPr>
      <w:r w:rsidRPr="007606BB">
        <w:rPr>
          <w:rFonts w:cs="Arial"/>
          <w:b/>
          <w:bCs/>
          <w:sz w:val="30"/>
          <w:szCs w:val="30"/>
        </w:rPr>
        <w:t>Master of Business Administration</w:t>
      </w:r>
    </w:p>
    <w:p w14:paraId="095AF395" w14:textId="4F382A81" w:rsidR="00F9316C" w:rsidRPr="003313A9" w:rsidRDefault="00F9316C" w:rsidP="00F9316C">
      <w:pPr>
        <w:jc w:val="center"/>
        <w:rPr>
          <w:b/>
          <w:bCs/>
          <w:sz w:val="36"/>
          <w:szCs w:val="32"/>
        </w:rPr>
      </w:pPr>
      <w:r w:rsidRPr="003313A9">
        <w:rPr>
          <w:b/>
          <w:bCs/>
          <w:sz w:val="36"/>
          <w:szCs w:val="32"/>
        </w:rPr>
        <w:t xml:space="preserve">Module: </w:t>
      </w:r>
      <w:r w:rsidRPr="00A259DC">
        <w:rPr>
          <w:b/>
          <w:bCs/>
          <w:sz w:val="36"/>
          <w:szCs w:val="32"/>
        </w:rPr>
        <w:t xml:space="preserve">International </w:t>
      </w:r>
      <w:r>
        <w:rPr>
          <w:b/>
          <w:bCs/>
          <w:sz w:val="36"/>
          <w:szCs w:val="32"/>
        </w:rPr>
        <w:t>Business Concepts</w:t>
      </w:r>
    </w:p>
    <w:p w14:paraId="013F49D0" w14:textId="46A0BABA" w:rsidR="00F9316C" w:rsidRPr="003313A9" w:rsidRDefault="00F9316C" w:rsidP="00F9316C">
      <w:pPr>
        <w:jc w:val="center"/>
        <w:rPr>
          <w:b/>
          <w:bCs/>
          <w:sz w:val="36"/>
          <w:szCs w:val="32"/>
        </w:rPr>
      </w:pPr>
      <w:r w:rsidRPr="003313A9">
        <w:rPr>
          <w:b/>
          <w:bCs/>
          <w:sz w:val="36"/>
          <w:szCs w:val="32"/>
        </w:rPr>
        <w:t>Module code: LC</w:t>
      </w:r>
      <w:r>
        <w:rPr>
          <w:b/>
          <w:bCs/>
          <w:sz w:val="36"/>
          <w:szCs w:val="32"/>
        </w:rPr>
        <w:t>M</w:t>
      </w:r>
      <w:r w:rsidRPr="003313A9">
        <w:rPr>
          <w:b/>
          <w:bCs/>
          <w:sz w:val="36"/>
          <w:szCs w:val="32"/>
        </w:rPr>
        <w:t>B</w:t>
      </w:r>
      <w:r>
        <w:rPr>
          <w:b/>
          <w:bCs/>
          <w:sz w:val="36"/>
          <w:szCs w:val="32"/>
        </w:rPr>
        <w:t>70</w:t>
      </w:r>
      <w:r>
        <w:rPr>
          <w:b/>
          <w:bCs/>
          <w:sz w:val="36"/>
          <w:szCs w:val="32"/>
        </w:rPr>
        <w:t>34</w:t>
      </w:r>
    </w:p>
    <w:p w14:paraId="73FF6A41" w14:textId="09121F20" w:rsidR="00F9316C" w:rsidRPr="003313A9" w:rsidRDefault="00F9316C" w:rsidP="00F9316C">
      <w:pPr>
        <w:jc w:val="center"/>
        <w:rPr>
          <w:b/>
          <w:bCs/>
          <w:sz w:val="36"/>
          <w:szCs w:val="32"/>
        </w:rPr>
      </w:pPr>
      <w:r w:rsidRPr="003313A9">
        <w:rPr>
          <w:b/>
          <w:bCs/>
          <w:sz w:val="36"/>
          <w:szCs w:val="32"/>
        </w:rPr>
        <w:t xml:space="preserve">Lecturer: </w:t>
      </w:r>
      <w:r>
        <w:rPr>
          <w:b/>
          <w:bCs/>
          <w:sz w:val="36"/>
          <w:szCs w:val="32"/>
        </w:rPr>
        <w:t>Babar Syed</w:t>
      </w:r>
      <w:r w:rsidRPr="00B2649E">
        <w:rPr>
          <w:rFonts w:ascii="Arial" w:hAnsi="Arial" w:cs="Arial"/>
          <w:b/>
        </w:rPr>
        <w:t xml:space="preserve">  </w:t>
      </w:r>
    </w:p>
    <w:p w14:paraId="289C3A93" w14:textId="66AE3999" w:rsidR="00F9316C" w:rsidRDefault="00F9316C" w:rsidP="00F9316C">
      <w:pPr>
        <w:jc w:val="center"/>
        <w:rPr>
          <w:b/>
          <w:bCs/>
          <w:sz w:val="36"/>
          <w:szCs w:val="32"/>
        </w:rPr>
      </w:pPr>
      <w:r>
        <w:rPr>
          <w:b/>
          <w:bCs/>
          <w:sz w:val="36"/>
          <w:szCs w:val="32"/>
        </w:rPr>
        <w:t>Report: International Business Concepts</w:t>
      </w:r>
    </w:p>
    <w:p w14:paraId="0C7FDB45" w14:textId="77777777" w:rsidR="00F9316C" w:rsidRPr="003313A9" w:rsidRDefault="00F9316C" w:rsidP="00F9316C">
      <w:pPr>
        <w:jc w:val="center"/>
        <w:rPr>
          <w:b/>
          <w:bCs/>
          <w:sz w:val="36"/>
          <w:szCs w:val="32"/>
        </w:rPr>
      </w:pPr>
      <w:r w:rsidRPr="003313A9">
        <w:rPr>
          <w:b/>
          <w:bCs/>
          <w:sz w:val="36"/>
          <w:szCs w:val="32"/>
        </w:rPr>
        <w:t>Student ID: 2014968</w:t>
      </w:r>
    </w:p>
    <w:p w14:paraId="200B8C95" w14:textId="77777777" w:rsidR="00F9316C" w:rsidRPr="003313A9" w:rsidRDefault="00F9316C" w:rsidP="00F9316C">
      <w:pPr>
        <w:jc w:val="center"/>
        <w:rPr>
          <w:b/>
          <w:bCs/>
          <w:sz w:val="36"/>
          <w:szCs w:val="32"/>
        </w:rPr>
      </w:pPr>
      <w:r w:rsidRPr="003313A9">
        <w:rPr>
          <w:b/>
          <w:bCs/>
          <w:sz w:val="36"/>
          <w:szCs w:val="32"/>
        </w:rPr>
        <w:t>Student Name: SILVIU-MIRCEA MOISA</w:t>
      </w:r>
    </w:p>
    <w:p w14:paraId="7CAE814E" w14:textId="13EDA739" w:rsidR="00593E65" w:rsidRDefault="00593E65"/>
    <w:p w14:paraId="1F34ED02" w14:textId="77777777" w:rsidR="00593E65" w:rsidRDefault="00593E65">
      <w:r>
        <w:br w:type="page"/>
      </w:r>
    </w:p>
    <w:p w14:paraId="7710C99B" w14:textId="2B3FC1C1" w:rsidR="00FD55E6" w:rsidRDefault="00FD55E6">
      <w:pPr>
        <w:pStyle w:val="TOC1"/>
        <w:tabs>
          <w:tab w:val="right" w:leader="dot" w:pos="9016"/>
        </w:tabs>
        <w:rPr>
          <w:noProof/>
        </w:rPr>
      </w:pPr>
      <w:r>
        <w:lastRenderedPageBreak/>
        <w:fldChar w:fldCharType="begin"/>
      </w:r>
      <w:r>
        <w:instrText xml:space="preserve"> TOC \o "1-2" \h \z \u </w:instrText>
      </w:r>
      <w:r>
        <w:fldChar w:fldCharType="separate"/>
      </w:r>
      <w:hyperlink w:anchor="_Toc214479619" w:history="1">
        <w:r w:rsidRPr="004B034E">
          <w:rPr>
            <w:rStyle w:val="Hyperlink"/>
            <w:rFonts w:ascii="Arial" w:hAnsi="Arial" w:cs="Arial"/>
            <w:noProof/>
          </w:rPr>
          <w:t>1. Introduction</w:t>
        </w:r>
        <w:r>
          <w:rPr>
            <w:noProof/>
            <w:webHidden/>
          </w:rPr>
          <w:tab/>
        </w:r>
        <w:r>
          <w:rPr>
            <w:noProof/>
            <w:webHidden/>
          </w:rPr>
          <w:fldChar w:fldCharType="begin"/>
        </w:r>
        <w:r>
          <w:rPr>
            <w:noProof/>
            <w:webHidden/>
          </w:rPr>
          <w:instrText xml:space="preserve"> PAGEREF _Toc214479619 \h </w:instrText>
        </w:r>
        <w:r>
          <w:rPr>
            <w:noProof/>
            <w:webHidden/>
          </w:rPr>
        </w:r>
        <w:r>
          <w:rPr>
            <w:noProof/>
            <w:webHidden/>
          </w:rPr>
          <w:fldChar w:fldCharType="separate"/>
        </w:r>
        <w:r>
          <w:rPr>
            <w:noProof/>
            <w:webHidden/>
          </w:rPr>
          <w:t>3</w:t>
        </w:r>
        <w:r>
          <w:rPr>
            <w:noProof/>
            <w:webHidden/>
          </w:rPr>
          <w:fldChar w:fldCharType="end"/>
        </w:r>
      </w:hyperlink>
    </w:p>
    <w:p w14:paraId="5A133877" w14:textId="32163D17" w:rsidR="00FD55E6" w:rsidRDefault="00FD55E6">
      <w:pPr>
        <w:pStyle w:val="TOC1"/>
        <w:tabs>
          <w:tab w:val="right" w:leader="dot" w:pos="9016"/>
        </w:tabs>
        <w:rPr>
          <w:noProof/>
        </w:rPr>
      </w:pPr>
      <w:hyperlink w:anchor="_Toc214479620" w:history="1">
        <w:r w:rsidRPr="004B034E">
          <w:rPr>
            <w:rStyle w:val="Hyperlink"/>
            <w:rFonts w:ascii="Arial" w:hAnsi="Arial" w:cs="Arial"/>
            <w:noProof/>
          </w:rPr>
          <w:t>2. Benefits and Challenges of International Operations</w:t>
        </w:r>
        <w:r>
          <w:rPr>
            <w:noProof/>
            <w:webHidden/>
          </w:rPr>
          <w:tab/>
        </w:r>
        <w:r>
          <w:rPr>
            <w:noProof/>
            <w:webHidden/>
          </w:rPr>
          <w:fldChar w:fldCharType="begin"/>
        </w:r>
        <w:r>
          <w:rPr>
            <w:noProof/>
            <w:webHidden/>
          </w:rPr>
          <w:instrText xml:space="preserve"> PAGEREF _Toc214479620 \h </w:instrText>
        </w:r>
        <w:r>
          <w:rPr>
            <w:noProof/>
            <w:webHidden/>
          </w:rPr>
        </w:r>
        <w:r>
          <w:rPr>
            <w:noProof/>
            <w:webHidden/>
          </w:rPr>
          <w:fldChar w:fldCharType="separate"/>
        </w:r>
        <w:r>
          <w:rPr>
            <w:noProof/>
            <w:webHidden/>
          </w:rPr>
          <w:t>4</w:t>
        </w:r>
        <w:r>
          <w:rPr>
            <w:noProof/>
            <w:webHidden/>
          </w:rPr>
          <w:fldChar w:fldCharType="end"/>
        </w:r>
      </w:hyperlink>
    </w:p>
    <w:p w14:paraId="2E6A227F" w14:textId="1AAA6927" w:rsidR="00FD55E6" w:rsidRDefault="00FD55E6">
      <w:pPr>
        <w:pStyle w:val="TOC2"/>
        <w:tabs>
          <w:tab w:val="right" w:leader="dot" w:pos="9016"/>
        </w:tabs>
        <w:rPr>
          <w:noProof/>
        </w:rPr>
      </w:pPr>
      <w:hyperlink w:anchor="_Toc214479621" w:history="1">
        <w:r w:rsidRPr="004B034E">
          <w:rPr>
            <w:rStyle w:val="Hyperlink"/>
            <w:rFonts w:ascii="Arial" w:hAnsi="Arial" w:cs="Arial"/>
            <w:noProof/>
          </w:rPr>
          <w:t>a. Why IKEA Qualifies as an MNC/TNC</w:t>
        </w:r>
        <w:r>
          <w:rPr>
            <w:noProof/>
            <w:webHidden/>
          </w:rPr>
          <w:tab/>
        </w:r>
        <w:r>
          <w:rPr>
            <w:noProof/>
            <w:webHidden/>
          </w:rPr>
          <w:fldChar w:fldCharType="begin"/>
        </w:r>
        <w:r>
          <w:rPr>
            <w:noProof/>
            <w:webHidden/>
          </w:rPr>
          <w:instrText xml:space="preserve"> PAGEREF _Toc214479621 \h </w:instrText>
        </w:r>
        <w:r>
          <w:rPr>
            <w:noProof/>
            <w:webHidden/>
          </w:rPr>
        </w:r>
        <w:r>
          <w:rPr>
            <w:noProof/>
            <w:webHidden/>
          </w:rPr>
          <w:fldChar w:fldCharType="separate"/>
        </w:r>
        <w:r>
          <w:rPr>
            <w:noProof/>
            <w:webHidden/>
          </w:rPr>
          <w:t>4</w:t>
        </w:r>
        <w:r>
          <w:rPr>
            <w:noProof/>
            <w:webHidden/>
          </w:rPr>
          <w:fldChar w:fldCharType="end"/>
        </w:r>
      </w:hyperlink>
    </w:p>
    <w:p w14:paraId="38BA1FE1" w14:textId="48E3AF75" w:rsidR="00FD55E6" w:rsidRDefault="00FD55E6">
      <w:pPr>
        <w:pStyle w:val="TOC2"/>
        <w:tabs>
          <w:tab w:val="right" w:leader="dot" w:pos="9016"/>
        </w:tabs>
        <w:rPr>
          <w:noProof/>
        </w:rPr>
      </w:pPr>
      <w:hyperlink w:anchor="_Toc214479622" w:history="1">
        <w:r w:rsidRPr="004B034E">
          <w:rPr>
            <w:rStyle w:val="Hyperlink"/>
            <w:rFonts w:ascii="Arial" w:hAnsi="Arial" w:cs="Arial"/>
            <w:noProof/>
          </w:rPr>
          <w:t>b. IKEA’s Global Value Chain: R&amp;D, Sourcing, Production, Sales and Financing</w:t>
        </w:r>
        <w:r>
          <w:rPr>
            <w:noProof/>
            <w:webHidden/>
          </w:rPr>
          <w:tab/>
        </w:r>
        <w:r>
          <w:rPr>
            <w:noProof/>
            <w:webHidden/>
          </w:rPr>
          <w:fldChar w:fldCharType="begin"/>
        </w:r>
        <w:r>
          <w:rPr>
            <w:noProof/>
            <w:webHidden/>
          </w:rPr>
          <w:instrText xml:space="preserve"> PAGEREF _Toc214479622 \h </w:instrText>
        </w:r>
        <w:r>
          <w:rPr>
            <w:noProof/>
            <w:webHidden/>
          </w:rPr>
        </w:r>
        <w:r>
          <w:rPr>
            <w:noProof/>
            <w:webHidden/>
          </w:rPr>
          <w:fldChar w:fldCharType="separate"/>
        </w:r>
        <w:r>
          <w:rPr>
            <w:noProof/>
            <w:webHidden/>
          </w:rPr>
          <w:t>5</w:t>
        </w:r>
        <w:r>
          <w:rPr>
            <w:noProof/>
            <w:webHidden/>
          </w:rPr>
          <w:fldChar w:fldCharType="end"/>
        </w:r>
      </w:hyperlink>
    </w:p>
    <w:p w14:paraId="5765C7FD" w14:textId="5B0609E2" w:rsidR="00FD55E6" w:rsidRDefault="00FD55E6">
      <w:pPr>
        <w:pStyle w:val="TOC2"/>
        <w:tabs>
          <w:tab w:val="right" w:leader="dot" w:pos="9016"/>
        </w:tabs>
        <w:rPr>
          <w:noProof/>
        </w:rPr>
      </w:pPr>
      <w:hyperlink w:anchor="_Toc214479623" w:history="1">
        <w:r w:rsidRPr="004B034E">
          <w:rPr>
            <w:rStyle w:val="Hyperlink"/>
            <w:rFonts w:ascii="Arial" w:hAnsi="Arial" w:cs="Arial"/>
            <w:noProof/>
          </w:rPr>
          <w:t>c. Entry Modes Used by IKEA in Different Markets</w:t>
        </w:r>
        <w:r>
          <w:rPr>
            <w:noProof/>
            <w:webHidden/>
          </w:rPr>
          <w:tab/>
        </w:r>
        <w:r>
          <w:rPr>
            <w:noProof/>
            <w:webHidden/>
          </w:rPr>
          <w:fldChar w:fldCharType="begin"/>
        </w:r>
        <w:r>
          <w:rPr>
            <w:noProof/>
            <w:webHidden/>
          </w:rPr>
          <w:instrText xml:space="preserve"> PAGEREF _Toc214479623 \h </w:instrText>
        </w:r>
        <w:r>
          <w:rPr>
            <w:noProof/>
            <w:webHidden/>
          </w:rPr>
        </w:r>
        <w:r>
          <w:rPr>
            <w:noProof/>
            <w:webHidden/>
          </w:rPr>
          <w:fldChar w:fldCharType="separate"/>
        </w:r>
        <w:r>
          <w:rPr>
            <w:noProof/>
            <w:webHidden/>
          </w:rPr>
          <w:t>6</w:t>
        </w:r>
        <w:r>
          <w:rPr>
            <w:noProof/>
            <w:webHidden/>
          </w:rPr>
          <w:fldChar w:fldCharType="end"/>
        </w:r>
      </w:hyperlink>
    </w:p>
    <w:p w14:paraId="76B61929" w14:textId="0DBB3AF8" w:rsidR="00FD55E6" w:rsidRDefault="00FD55E6">
      <w:pPr>
        <w:pStyle w:val="TOC2"/>
        <w:tabs>
          <w:tab w:val="right" w:leader="dot" w:pos="9016"/>
        </w:tabs>
        <w:rPr>
          <w:noProof/>
        </w:rPr>
      </w:pPr>
      <w:hyperlink w:anchor="_Toc214479624" w:history="1">
        <w:r w:rsidRPr="004B034E">
          <w:rPr>
            <w:rStyle w:val="Hyperlink"/>
            <w:rFonts w:ascii="Arial" w:hAnsi="Arial" w:cs="Arial"/>
            <w:noProof/>
          </w:rPr>
          <w:t>d. Benefits of IKEA’s International Operations</w:t>
        </w:r>
        <w:r>
          <w:rPr>
            <w:noProof/>
            <w:webHidden/>
          </w:rPr>
          <w:tab/>
        </w:r>
        <w:r>
          <w:rPr>
            <w:noProof/>
            <w:webHidden/>
          </w:rPr>
          <w:fldChar w:fldCharType="begin"/>
        </w:r>
        <w:r>
          <w:rPr>
            <w:noProof/>
            <w:webHidden/>
          </w:rPr>
          <w:instrText xml:space="preserve"> PAGEREF _Toc214479624 \h </w:instrText>
        </w:r>
        <w:r>
          <w:rPr>
            <w:noProof/>
            <w:webHidden/>
          </w:rPr>
        </w:r>
        <w:r>
          <w:rPr>
            <w:noProof/>
            <w:webHidden/>
          </w:rPr>
          <w:fldChar w:fldCharType="separate"/>
        </w:r>
        <w:r>
          <w:rPr>
            <w:noProof/>
            <w:webHidden/>
          </w:rPr>
          <w:t>7</w:t>
        </w:r>
        <w:r>
          <w:rPr>
            <w:noProof/>
            <w:webHidden/>
          </w:rPr>
          <w:fldChar w:fldCharType="end"/>
        </w:r>
      </w:hyperlink>
    </w:p>
    <w:p w14:paraId="42F03B72" w14:textId="299314B7" w:rsidR="00FD55E6" w:rsidRDefault="00FD55E6">
      <w:pPr>
        <w:pStyle w:val="TOC1"/>
        <w:tabs>
          <w:tab w:val="right" w:leader="dot" w:pos="9016"/>
        </w:tabs>
        <w:rPr>
          <w:noProof/>
        </w:rPr>
      </w:pPr>
      <w:hyperlink w:anchor="_Toc214479625" w:history="1">
        <w:r w:rsidRPr="004B034E">
          <w:rPr>
            <w:rStyle w:val="Hyperlink"/>
            <w:rFonts w:ascii="Arial" w:hAnsi="Arial" w:cs="Arial"/>
            <w:noProof/>
          </w:rPr>
          <w:t>3. OLI factors (Ownership, Location and Internalisation) and their impact on IKEA’s market entry mode in India</w:t>
        </w:r>
        <w:r>
          <w:rPr>
            <w:noProof/>
            <w:webHidden/>
          </w:rPr>
          <w:tab/>
        </w:r>
        <w:r>
          <w:rPr>
            <w:noProof/>
            <w:webHidden/>
          </w:rPr>
          <w:fldChar w:fldCharType="begin"/>
        </w:r>
        <w:r>
          <w:rPr>
            <w:noProof/>
            <w:webHidden/>
          </w:rPr>
          <w:instrText xml:space="preserve"> PAGEREF _Toc214479625 \h </w:instrText>
        </w:r>
        <w:r>
          <w:rPr>
            <w:noProof/>
            <w:webHidden/>
          </w:rPr>
        </w:r>
        <w:r>
          <w:rPr>
            <w:noProof/>
            <w:webHidden/>
          </w:rPr>
          <w:fldChar w:fldCharType="separate"/>
        </w:r>
        <w:r>
          <w:rPr>
            <w:noProof/>
            <w:webHidden/>
          </w:rPr>
          <w:t>8</w:t>
        </w:r>
        <w:r>
          <w:rPr>
            <w:noProof/>
            <w:webHidden/>
          </w:rPr>
          <w:fldChar w:fldCharType="end"/>
        </w:r>
      </w:hyperlink>
    </w:p>
    <w:p w14:paraId="15256081" w14:textId="1632A1EF" w:rsidR="00FD55E6" w:rsidRDefault="00FD55E6">
      <w:pPr>
        <w:pStyle w:val="TOC1"/>
        <w:tabs>
          <w:tab w:val="right" w:leader="dot" w:pos="9016"/>
        </w:tabs>
        <w:rPr>
          <w:noProof/>
        </w:rPr>
      </w:pPr>
      <w:hyperlink w:anchor="_Toc214479626" w:history="1">
        <w:r w:rsidRPr="004B034E">
          <w:rPr>
            <w:rStyle w:val="Hyperlink"/>
            <w:rFonts w:ascii="Arial" w:hAnsi="Arial" w:cs="Arial"/>
            <w:noProof/>
          </w:rPr>
          <w:t>4. Cultural Differences and Their Impact on Strategy and Success</w:t>
        </w:r>
        <w:r>
          <w:rPr>
            <w:noProof/>
            <w:webHidden/>
          </w:rPr>
          <w:tab/>
        </w:r>
        <w:r>
          <w:rPr>
            <w:noProof/>
            <w:webHidden/>
          </w:rPr>
          <w:fldChar w:fldCharType="begin"/>
        </w:r>
        <w:r>
          <w:rPr>
            <w:noProof/>
            <w:webHidden/>
          </w:rPr>
          <w:instrText xml:space="preserve"> PAGEREF _Toc214479626 \h </w:instrText>
        </w:r>
        <w:r>
          <w:rPr>
            <w:noProof/>
            <w:webHidden/>
          </w:rPr>
        </w:r>
        <w:r>
          <w:rPr>
            <w:noProof/>
            <w:webHidden/>
          </w:rPr>
          <w:fldChar w:fldCharType="separate"/>
        </w:r>
        <w:r>
          <w:rPr>
            <w:noProof/>
            <w:webHidden/>
          </w:rPr>
          <w:t>13</w:t>
        </w:r>
        <w:r>
          <w:rPr>
            <w:noProof/>
            <w:webHidden/>
          </w:rPr>
          <w:fldChar w:fldCharType="end"/>
        </w:r>
      </w:hyperlink>
    </w:p>
    <w:p w14:paraId="55F3F168" w14:textId="1E8BA606" w:rsidR="00FD55E6" w:rsidRDefault="00FD55E6">
      <w:pPr>
        <w:pStyle w:val="TOC2"/>
        <w:tabs>
          <w:tab w:val="right" w:leader="dot" w:pos="9016"/>
        </w:tabs>
        <w:rPr>
          <w:noProof/>
        </w:rPr>
      </w:pPr>
      <w:hyperlink w:anchor="_Toc214479627" w:history="1">
        <w:r w:rsidRPr="004B034E">
          <w:rPr>
            <w:rStyle w:val="Hyperlink"/>
            <w:rFonts w:ascii="Arial" w:hAnsi="Arial" w:cs="Arial"/>
            <w:noProof/>
          </w:rPr>
          <w:t>4.1 Theoretical Perspectives on Culture and International Strategy</w:t>
        </w:r>
        <w:r>
          <w:rPr>
            <w:noProof/>
            <w:webHidden/>
          </w:rPr>
          <w:tab/>
        </w:r>
        <w:r>
          <w:rPr>
            <w:noProof/>
            <w:webHidden/>
          </w:rPr>
          <w:fldChar w:fldCharType="begin"/>
        </w:r>
        <w:r>
          <w:rPr>
            <w:noProof/>
            <w:webHidden/>
          </w:rPr>
          <w:instrText xml:space="preserve"> PAGEREF _Toc214479627 \h </w:instrText>
        </w:r>
        <w:r>
          <w:rPr>
            <w:noProof/>
            <w:webHidden/>
          </w:rPr>
        </w:r>
        <w:r>
          <w:rPr>
            <w:noProof/>
            <w:webHidden/>
          </w:rPr>
          <w:fldChar w:fldCharType="separate"/>
        </w:r>
        <w:r>
          <w:rPr>
            <w:noProof/>
            <w:webHidden/>
          </w:rPr>
          <w:t>13</w:t>
        </w:r>
        <w:r>
          <w:rPr>
            <w:noProof/>
            <w:webHidden/>
          </w:rPr>
          <w:fldChar w:fldCharType="end"/>
        </w:r>
      </w:hyperlink>
    </w:p>
    <w:p w14:paraId="0A80F3A2" w14:textId="65FC874D" w:rsidR="00FD55E6" w:rsidRDefault="00FD55E6">
      <w:pPr>
        <w:pStyle w:val="TOC2"/>
        <w:tabs>
          <w:tab w:val="right" w:leader="dot" w:pos="9016"/>
        </w:tabs>
        <w:rPr>
          <w:noProof/>
        </w:rPr>
      </w:pPr>
      <w:hyperlink w:anchor="_Toc214479628" w:history="1">
        <w:r w:rsidRPr="004B034E">
          <w:rPr>
            <w:rStyle w:val="Hyperlink"/>
            <w:rFonts w:ascii="Arial" w:hAnsi="Arial" w:cs="Arial"/>
            <w:noProof/>
          </w:rPr>
          <w:t>4.2 Cultural Distance Between Sweden and India and Its Strategic Implications</w:t>
        </w:r>
        <w:r>
          <w:rPr>
            <w:noProof/>
            <w:webHidden/>
          </w:rPr>
          <w:tab/>
        </w:r>
        <w:r>
          <w:rPr>
            <w:noProof/>
            <w:webHidden/>
          </w:rPr>
          <w:fldChar w:fldCharType="begin"/>
        </w:r>
        <w:r>
          <w:rPr>
            <w:noProof/>
            <w:webHidden/>
          </w:rPr>
          <w:instrText xml:space="preserve"> PAGEREF _Toc214479628 \h </w:instrText>
        </w:r>
        <w:r>
          <w:rPr>
            <w:noProof/>
            <w:webHidden/>
          </w:rPr>
        </w:r>
        <w:r>
          <w:rPr>
            <w:noProof/>
            <w:webHidden/>
          </w:rPr>
          <w:fldChar w:fldCharType="separate"/>
        </w:r>
        <w:r>
          <w:rPr>
            <w:noProof/>
            <w:webHidden/>
          </w:rPr>
          <w:t>13</w:t>
        </w:r>
        <w:r>
          <w:rPr>
            <w:noProof/>
            <w:webHidden/>
          </w:rPr>
          <w:fldChar w:fldCharType="end"/>
        </w:r>
      </w:hyperlink>
    </w:p>
    <w:p w14:paraId="100F40F5" w14:textId="500C57D1" w:rsidR="00FD55E6" w:rsidRDefault="00FD55E6">
      <w:pPr>
        <w:pStyle w:val="TOC2"/>
        <w:tabs>
          <w:tab w:val="right" w:leader="dot" w:pos="9016"/>
        </w:tabs>
        <w:rPr>
          <w:noProof/>
        </w:rPr>
      </w:pPr>
      <w:hyperlink w:anchor="_Toc214479629" w:history="1">
        <w:r w:rsidRPr="004B034E">
          <w:rPr>
            <w:rStyle w:val="Hyperlink"/>
            <w:rFonts w:ascii="Arial" w:hAnsi="Arial" w:cs="Arial"/>
            <w:noProof/>
          </w:rPr>
          <w:t>4.3 Cultural Influences on Consumer Behaviour and Market Acceptance</w:t>
        </w:r>
        <w:r>
          <w:rPr>
            <w:noProof/>
            <w:webHidden/>
          </w:rPr>
          <w:tab/>
        </w:r>
        <w:r>
          <w:rPr>
            <w:noProof/>
            <w:webHidden/>
          </w:rPr>
          <w:fldChar w:fldCharType="begin"/>
        </w:r>
        <w:r>
          <w:rPr>
            <w:noProof/>
            <w:webHidden/>
          </w:rPr>
          <w:instrText xml:space="preserve"> PAGEREF _Toc214479629 \h </w:instrText>
        </w:r>
        <w:r>
          <w:rPr>
            <w:noProof/>
            <w:webHidden/>
          </w:rPr>
        </w:r>
        <w:r>
          <w:rPr>
            <w:noProof/>
            <w:webHidden/>
          </w:rPr>
          <w:fldChar w:fldCharType="separate"/>
        </w:r>
        <w:r>
          <w:rPr>
            <w:noProof/>
            <w:webHidden/>
          </w:rPr>
          <w:t>14</w:t>
        </w:r>
        <w:r>
          <w:rPr>
            <w:noProof/>
            <w:webHidden/>
          </w:rPr>
          <w:fldChar w:fldCharType="end"/>
        </w:r>
      </w:hyperlink>
    </w:p>
    <w:p w14:paraId="343BA5D6" w14:textId="68BF50A6" w:rsidR="00FD55E6" w:rsidRDefault="00FD55E6">
      <w:pPr>
        <w:pStyle w:val="TOC2"/>
        <w:tabs>
          <w:tab w:val="right" w:leader="dot" w:pos="9016"/>
        </w:tabs>
        <w:rPr>
          <w:noProof/>
        </w:rPr>
      </w:pPr>
      <w:hyperlink w:anchor="_Toc214479630" w:history="1">
        <w:r w:rsidRPr="004B034E">
          <w:rPr>
            <w:rStyle w:val="Hyperlink"/>
            <w:rFonts w:ascii="Arial" w:hAnsi="Arial" w:cs="Arial"/>
            <w:noProof/>
          </w:rPr>
          <w:t>4.4 Cultural Effects on Human Resource Management and Organisational Practices</w:t>
        </w:r>
        <w:r>
          <w:rPr>
            <w:noProof/>
            <w:webHidden/>
          </w:rPr>
          <w:tab/>
        </w:r>
        <w:r>
          <w:rPr>
            <w:noProof/>
            <w:webHidden/>
          </w:rPr>
          <w:fldChar w:fldCharType="begin"/>
        </w:r>
        <w:r>
          <w:rPr>
            <w:noProof/>
            <w:webHidden/>
          </w:rPr>
          <w:instrText xml:space="preserve"> PAGEREF _Toc214479630 \h </w:instrText>
        </w:r>
        <w:r>
          <w:rPr>
            <w:noProof/>
            <w:webHidden/>
          </w:rPr>
        </w:r>
        <w:r>
          <w:rPr>
            <w:noProof/>
            <w:webHidden/>
          </w:rPr>
          <w:fldChar w:fldCharType="separate"/>
        </w:r>
        <w:r>
          <w:rPr>
            <w:noProof/>
            <w:webHidden/>
          </w:rPr>
          <w:t>15</w:t>
        </w:r>
        <w:r>
          <w:rPr>
            <w:noProof/>
            <w:webHidden/>
          </w:rPr>
          <w:fldChar w:fldCharType="end"/>
        </w:r>
      </w:hyperlink>
    </w:p>
    <w:p w14:paraId="6F55CA5F" w14:textId="3EA5B3BC" w:rsidR="00FD55E6" w:rsidRDefault="00FD55E6">
      <w:pPr>
        <w:pStyle w:val="TOC2"/>
        <w:tabs>
          <w:tab w:val="right" w:leader="dot" w:pos="9016"/>
        </w:tabs>
        <w:rPr>
          <w:noProof/>
        </w:rPr>
      </w:pPr>
      <w:hyperlink w:anchor="_Toc214479631" w:history="1">
        <w:r w:rsidRPr="004B034E">
          <w:rPr>
            <w:rStyle w:val="Hyperlink"/>
            <w:rFonts w:ascii="Arial" w:hAnsi="Arial" w:cs="Arial"/>
            <w:noProof/>
          </w:rPr>
          <w:t>4.5 Overall Impact of Cultural Adaptation on IKEA’s Success in India</w:t>
        </w:r>
        <w:r>
          <w:rPr>
            <w:noProof/>
            <w:webHidden/>
          </w:rPr>
          <w:tab/>
        </w:r>
        <w:r>
          <w:rPr>
            <w:noProof/>
            <w:webHidden/>
          </w:rPr>
          <w:fldChar w:fldCharType="begin"/>
        </w:r>
        <w:r>
          <w:rPr>
            <w:noProof/>
            <w:webHidden/>
          </w:rPr>
          <w:instrText xml:space="preserve"> PAGEREF _Toc214479631 \h </w:instrText>
        </w:r>
        <w:r>
          <w:rPr>
            <w:noProof/>
            <w:webHidden/>
          </w:rPr>
        </w:r>
        <w:r>
          <w:rPr>
            <w:noProof/>
            <w:webHidden/>
          </w:rPr>
          <w:fldChar w:fldCharType="separate"/>
        </w:r>
        <w:r>
          <w:rPr>
            <w:noProof/>
            <w:webHidden/>
          </w:rPr>
          <w:t>16</w:t>
        </w:r>
        <w:r>
          <w:rPr>
            <w:noProof/>
            <w:webHidden/>
          </w:rPr>
          <w:fldChar w:fldCharType="end"/>
        </w:r>
      </w:hyperlink>
    </w:p>
    <w:p w14:paraId="4941913A" w14:textId="1F71A82B" w:rsidR="00FD55E6" w:rsidRDefault="00FD55E6">
      <w:pPr>
        <w:pStyle w:val="TOC1"/>
        <w:tabs>
          <w:tab w:val="right" w:leader="dot" w:pos="9016"/>
        </w:tabs>
        <w:rPr>
          <w:noProof/>
        </w:rPr>
      </w:pPr>
      <w:hyperlink w:anchor="_Toc214479632" w:history="1">
        <w:r w:rsidRPr="004B034E">
          <w:rPr>
            <w:rStyle w:val="Hyperlink"/>
            <w:rFonts w:ascii="Arial" w:hAnsi="Arial" w:cs="Arial"/>
            <w:noProof/>
          </w:rPr>
          <w:t>5. Recommendations and Adjustments to IKEA’s Standard Operating Procedures (SOPs)</w:t>
        </w:r>
        <w:r>
          <w:rPr>
            <w:noProof/>
            <w:webHidden/>
          </w:rPr>
          <w:tab/>
        </w:r>
        <w:r>
          <w:rPr>
            <w:noProof/>
            <w:webHidden/>
          </w:rPr>
          <w:fldChar w:fldCharType="begin"/>
        </w:r>
        <w:r>
          <w:rPr>
            <w:noProof/>
            <w:webHidden/>
          </w:rPr>
          <w:instrText xml:space="preserve"> PAGEREF _Toc214479632 \h </w:instrText>
        </w:r>
        <w:r>
          <w:rPr>
            <w:noProof/>
            <w:webHidden/>
          </w:rPr>
        </w:r>
        <w:r>
          <w:rPr>
            <w:noProof/>
            <w:webHidden/>
          </w:rPr>
          <w:fldChar w:fldCharType="separate"/>
        </w:r>
        <w:r>
          <w:rPr>
            <w:noProof/>
            <w:webHidden/>
          </w:rPr>
          <w:t>17</w:t>
        </w:r>
        <w:r>
          <w:rPr>
            <w:noProof/>
            <w:webHidden/>
          </w:rPr>
          <w:fldChar w:fldCharType="end"/>
        </w:r>
      </w:hyperlink>
    </w:p>
    <w:p w14:paraId="736D3B81" w14:textId="3CF84507" w:rsidR="00FD55E6" w:rsidRDefault="00FD55E6">
      <w:pPr>
        <w:pStyle w:val="TOC2"/>
        <w:tabs>
          <w:tab w:val="right" w:leader="dot" w:pos="9016"/>
        </w:tabs>
        <w:rPr>
          <w:noProof/>
        </w:rPr>
      </w:pPr>
      <w:hyperlink w:anchor="_Toc214479633" w:history="1">
        <w:r w:rsidRPr="004B034E">
          <w:rPr>
            <w:rStyle w:val="Hyperlink"/>
            <w:rFonts w:ascii="Arial" w:hAnsi="Arial" w:cs="Arial"/>
            <w:noProof/>
          </w:rPr>
          <w:t>5.1 Product Strategy and Design Adaptation</w:t>
        </w:r>
        <w:r>
          <w:rPr>
            <w:noProof/>
            <w:webHidden/>
          </w:rPr>
          <w:tab/>
        </w:r>
        <w:r>
          <w:rPr>
            <w:noProof/>
            <w:webHidden/>
          </w:rPr>
          <w:fldChar w:fldCharType="begin"/>
        </w:r>
        <w:r>
          <w:rPr>
            <w:noProof/>
            <w:webHidden/>
          </w:rPr>
          <w:instrText xml:space="preserve"> PAGEREF _Toc214479633 \h </w:instrText>
        </w:r>
        <w:r>
          <w:rPr>
            <w:noProof/>
            <w:webHidden/>
          </w:rPr>
        </w:r>
        <w:r>
          <w:rPr>
            <w:noProof/>
            <w:webHidden/>
          </w:rPr>
          <w:fldChar w:fldCharType="separate"/>
        </w:r>
        <w:r>
          <w:rPr>
            <w:noProof/>
            <w:webHidden/>
          </w:rPr>
          <w:t>17</w:t>
        </w:r>
        <w:r>
          <w:rPr>
            <w:noProof/>
            <w:webHidden/>
          </w:rPr>
          <w:fldChar w:fldCharType="end"/>
        </w:r>
      </w:hyperlink>
    </w:p>
    <w:p w14:paraId="4090B11C" w14:textId="212E9EAD" w:rsidR="00FD55E6" w:rsidRDefault="00FD55E6">
      <w:pPr>
        <w:pStyle w:val="TOC2"/>
        <w:tabs>
          <w:tab w:val="right" w:leader="dot" w:pos="9016"/>
        </w:tabs>
        <w:rPr>
          <w:noProof/>
        </w:rPr>
      </w:pPr>
      <w:hyperlink w:anchor="_Toc214479634" w:history="1">
        <w:r w:rsidRPr="004B034E">
          <w:rPr>
            <w:rStyle w:val="Hyperlink"/>
            <w:rFonts w:ascii="Arial" w:hAnsi="Arial" w:cs="Arial"/>
            <w:noProof/>
          </w:rPr>
          <w:t>5.2 Customer Experience and Service Delivery</w:t>
        </w:r>
        <w:r>
          <w:rPr>
            <w:noProof/>
            <w:webHidden/>
          </w:rPr>
          <w:tab/>
        </w:r>
        <w:r>
          <w:rPr>
            <w:noProof/>
            <w:webHidden/>
          </w:rPr>
          <w:fldChar w:fldCharType="begin"/>
        </w:r>
        <w:r>
          <w:rPr>
            <w:noProof/>
            <w:webHidden/>
          </w:rPr>
          <w:instrText xml:space="preserve"> PAGEREF _Toc214479634 \h </w:instrText>
        </w:r>
        <w:r>
          <w:rPr>
            <w:noProof/>
            <w:webHidden/>
          </w:rPr>
        </w:r>
        <w:r>
          <w:rPr>
            <w:noProof/>
            <w:webHidden/>
          </w:rPr>
          <w:fldChar w:fldCharType="separate"/>
        </w:r>
        <w:r>
          <w:rPr>
            <w:noProof/>
            <w:webHidden/>
          </w:rPr>
          <w:t>17</w:t>
        </w:r>
        <w:r>
          <w:rPr>
            <w:noProof/>
            <w:webHidden/>
          </w:rPr>
          <w:fldChar w:fldCharType="end"/>
        </w:r>
      </w:hyperlink>
    </w:p>
    <w:p w14:paraId="09E752B8" w14:textId="115D4A95" w:rsidR="00FD55E6" w:rsidRDefault="00FD55E6">
      <w:pPr>
        <w:pStyle w:val="TOC2"/>
        <w:tabs>
          <w:tab w:val="right" w:leader="dot" w:pos="9016"/>
        </w:tabs>
        <w:rPr>
          <w:noProof/>
        </w:rPr>
      </w:pPr>
      <w:hyperlink w:anchor="_Toc214479635" w:history="1">
        <w:r w:rsidRPr="004B034E">
          <w:rPr>
            <w:rStyle w:val="Hyperlink"/>
            <w:rFonts w:ascii="Arial" w:hAnsi="Arial" w:cs="Arial"/>
            <w:noProof/>
          </w:rPr>
          <w:t>5.3 Supply Chain Development and Local Sourcing</w:t>
        </w:r>
        <w:r>
          <w:rPr>
            <w:noProof/>
            <w:webHidden/>
          </w:rPr>
          <w:tab/>
        </w:r>
        <w:r>
          <w:rPr>
            <w:noProof/>
            <w:webHidden/>
          </w:rPr>
          <w:fldChar w:fldCharType="begin"/>
        </w:r>
        <w:r>
          <w:rPr>
            <w:noProof/>
            <w:webHidden/>
          </w:rPr>
          <w:instrText xml:space="preserve"> PAGEREF _Toc214479635 \h </w:instrText>
        </w:r>
        <w:r>
          <w:rPr>
            <w:noProof/>
            <w:webHidden/>
          </w:rPr>
        </w:r>
        <w:r>
          <w:rPr>
            <w:noProof/>
            <w:webHidden/>
          </w:rPr>
          <w:fldChar w:fldCharType="separate"/>
        </w:r>
        <w:r>
          <w:rPr>
            <w:noProof/>
            <w:webHidden/>
          </w:rPr>
          <w:t>18</w:t>
        </w:r>
        <w:r>
          <w:rPr>
            <w:noProof/>
            <w:webHidden/>
          </w:rPr>
          <w:fldChar w:fldCharType="end"/>
        </w:r>
      </w:hyperlink>
    </w:p>
    <w:p w14:paraId="0A5D24A1" w14:textId="62136D9E" w:rsidR="00FD55E6" w:rsidRDefault="00FD55E6">
      <w:pPr>
        <w:pStyle w:val="TOC2"/>
        <w:tabs>
          <w:tab w:val="right" w:leader="dot" w:pos="9016"/>
        </w:tabs>
        <w:rPr>
          <w:noProof/>
        </w:rPr>
      </w:pPr>
      <w:hyperlink w:anchor="_Toc214479636" w:history="1">
        <w:r w:rsidRPr="004B034E">
          <w:rPr>
            <w:rStyle w:val="Hyperlink"/>
            <w:rFonts w:ascii="Arial" w:hAnsi="Arial" w:cs="Arial"/>
            <w:noProof/>
          </w:rPr>
          <w:t>5.4 Human Resource Management and Organisational Culture</w:t>
        </w:r>
        <w:r>
          <w:rPr>
            <w:noProof/>
            <w:webHidden/>
          </w:rPr>
          <w:tab/>
        </w:r>
        <w:r>
          <w:rPr>
            <w:noProof/>
            <w:webHidden/>
          </w:rPr>
          <w:fldChar w:fldCharType="begin"/>
        </w:r>
        <w:r>
          <w:rPr>
            <w:noProof/>
            <w:webHidden/>
          </w:rPr>
          <w:instrText xml:space="preserve"> PAGEREF _Toc214479636 \h </w:instrText>
        </w:r>
        <w:r>
          <w:rPr>
            <w:noProof/>
            <w:webHidden/>
          </w:rPr>
        </w:r>
        <w:r>
          <w:rPr>
            <w:noProof/>
            <w:webHidden/>
          </w:rPr>
          <w:fldChar w:fldCharType="separate"/>
        </w:r>
        <w:r>
          <w:rPr>
            <w:noProof/>
            <w:webHidden/>
          </w:rPr>
          <w:t>18</w:t>
        </w:r>
        <w:r>
          <w:rPr>
            <w:noProof/>
            <w:webHidden/>
          </w:rPr>
          <w:fldChar w:fldCharType="end"/>
        </w:r>
      </w:hyperlink>
    </w:p>
    <w:p w14:paraId="3252E86A" w14:textId="103E08E7" w:rsidR="00FD55E6" w:rsidRDefault="00FD55E6">
      <w:pPr>
        <w:pStyle w:val="TOC2"/>
        <w:tabs>
          <w:tab w:val="right" w:leader="dot" w:pos="9016"/>
        </w:tabs>
        <w:rPr>
          <w:noProof/>
        </w:rPr>
      </w:pPr>
      <w:hyperlink w:anchor="_Toc214479637" w:history="1">
        <w:r w:rsidRPr="004B034E">
          <w:rPr>
            <w:rStyle w:val="Hyperlink"/>
            <w:rFonts w:ascii="Arial" w:hAnsi="Arial" w:cs="Arial"/>
            <w:noProof/>
          </w:rPr>
          <w:t>5.5 Marketing, Communication and Customer Education</w:t>
        </w:r>
        <w:r>
          <w:rPr>
            <w:noProof/>
            <w:webHidden/>
          </w:rPr>
          <w:tab/>
        </w:r>
        <w:r>
          <w:rPr>
            <w:noProof/>
            <w:webHidden/>
          </w:rPr>
          <w:fldChar w:fldCharType="begin"/>
        </w:r>
        <w:r>
          <w:rPr>
            <w:noProof/>
            <w:webHidden/>
          </w:rPr>
          <w:instrText xml:space="preserve"> PAGEREF _Toc214479637 \h </w:instrText>
        </w:r>
        <w:r>
          <w:rPr>
            <w:noProof/>
            <w:webHidden/>
          </w:rPr>
        </w:r>
        <w:r>
          <w:rPr>
            <w:noProof/>
            <w:webHidden/>
          </w:rPr>
          <w:fldChar w:fldCharType="separate"/>
        </w:r>
        <w:r>
          <w:rPr>
            <w:noProof/>
            <w:webHidden/>
          </w:rPr>
          <w:t>19</w:t>
        </w:r>
        <w:r>
          <w:rPr>
            <w:noProof/>
            <w:webHidden/>
          </w:rPr>
          <w:fldChar w:fldCharType="end"/>
        </w:r>
      </w:hyperlink>
    </w:p>
    <w:p w14:paraId="31AAFFA1" w14:textId="0758D912" w:rsidR="00FD55E6" w:rsidRDefault="00FD55E6">
      <w:pPr>
        <w:pStyle w:val="TOC2"/>
        <w:tabs>
          <w:tab w:val="right" w:leader="dot" w:pos="9016"/>
        </w:tabs>
        <w:rPr>
          <w:noProof/>
        </w:rPr>
      </w:pPr>
      <w:hyperlink w:anchor="_Toc214479638" w:history="1">
        <w:r w:rsidRPr="004B034E">
          <w:rPr>
            <w:rStyle w:val="Hyperlink"/>
            <w:rFonts w:ascii="Arial" w:hAnsi="Arial" w:cs="Arial"/>
            <w:noProof/>
          </w:rPr>
          <w:t>5.6 Digital Integration and Omni-Channel Strategy</w:t>
        </w:r>
        <w:r>
          <w:rPr>
            <w:noProof/>
            <w:webHidden/>
          </w:rPr>
          <w:tab/>
        </w:r>
        <w:r>
          <w:rPr>
            <w:noProof/>
            <w:webHidden/>
          </w:rPr>
          <w:fldChar w:fldCharType="begin"/>
        </w:r>
        <w:r>
          <w:rPr>
            <w:noProof/>
            <w:webHidden/>
          </w:rPr>
          <w:instrText xml:space="preserve"> PAGEREF _Toc214479638 \h </w:instrText>
        </w:r>
        <w:r>
          <w:rPr>
            <w:noProof/>
            <w:webHidden/>
          </w:rPr>
        </w:r>
        <w:r>
          <w:rPr>
            <w:noProof/>
            <w:webHidden/>
          </w:rPr>
          <w:fldChar w:fldCharType="separate"/>
        </w:r>
        <w:r>
          <w:rPr>
            <w:noProof/>
            <w:webHidden/>
          </w:rPr>
          <w:t>19</w:t>
        </w:r>
        <w:r>
          <w:rPr>
            <w:noProof/>
            <w:webHidden/>
          </w:rPr>
          <w:fldChar w:fldCharType="end"/>
        </w:r>
      </w:hyperlink>
    </w:p>
    <w:p w14:paraId="081D8428" w14:textId="7F5BBC1E" w:rsidR="00FD55E6" w:rsidRDefault="00FD55E6">
      <w:pPr>
        <w:pStyle w:val="TOC1"/>
        <w:tabs>
          <w:tab w:val="right" w:leader="dot" w:pos="9016"/>
        </w:tabs>
        <w:rPr>
          <w:noProof/>
        </w:rPr>
      </w:pPr>
      <w:hyperlink w:anchor="_Toc214479639" w:history="1">
        <w:r w:rsidRPr="004B034E">
          <w:rPr>
            <w:rStyle w:val="Hyperlink"/>
            <w:rFonts w:ascii="Arial" w:hAnsi="Arial" w:cs="Arial"/>
            <w:noProof/>
          </w:rPr>
          <w:t>6. Conclusion</w:t>
        </w:r>
        <w:r>
          <w:rPr>
            <w:noProof/>
            <w:webHidden/>
          </w:rPr>
          <w:tab/>
        </w:r>
        <w:r>
          <w:rPr>
            <w:noProof/>
            <w:webHidden/>
          </w:rPr>
          <w:fldChar w:fldCharType="begin"/>
        </w:r>
        <w:r>
          <w:rPr>
            <w:noProof/>
            <w:webHidden/>
          </w:rPr>
          <w:instrText xml:space="preserve"> PAGEREF _Toc214479639 \h </w:instrText>
        </w:r>
        <w:r>
          <w:rPr>
            <w:noProof/>
            <w:webHidden/>
          </w:rPr>
        </w:r>
        <w:r>
          <w:rPr>
            <w:noProof/>
            <w:webHidden/>
          </w:rPr>
          <w:fldChar w:fldCharType="separate"/>
        </w:r>
        <w:r>
          <w:rPr>
            <w:noProof/>
            <w:webHidden/>
          </w:rPr>
          <w:t>21</w:t>
        </w:r>
        <w:r>
          <w:rPr>
            <w:noProof/>
            <w:webHidden/>
          </w:rPr>
          <w:fldChar w:fldCharType="end"/>
        </w:r>
      </w:hyperlink>
    </w:p>
    <w:p w14:paraId="6F639CA3" w14:textId="067FF18A" w:rsidR="00FD55E6" w:rsidRDefault="00FD55E6">
      <w:pPr>
        <w:pStyle w:val="TOC1"/>
        <w:tabs>
          <w:tab w:val="right" w:leader="dot" w:pos="9016"/>
        </w:tabs>
        <w:rPr>
          <w:noProof/>
        </w:rPr>
      </w:pPr>
      <w:hyperlink w:anchor="_Toc214479640" w:history="1">
        <w:r w:rsidRPr="004B034E">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_Toc214479640 \h </w:instrText>
        </w:r>
        <w:r>
          <w:rPr>
            <w:noProof/>
            <w:webHidden/>
          </w:rPr>
        </w:r>
        <w:r>
          <w:rPr>
            <w:noProof/>
            <w:webHidden/>
          </w:rPr>
          <w:fldChar w:fldCharType="separate"/>
        </w:r>
        <w:r>
          <w:rPr>
            <w:noProof/>
            <w:webHidden/>
          </w:rPr>
          <w:t>23</w:t>
        </w:r>
        <w:r>
          <w:rPr>
            <w:noProof/>
            <w:webHidden/>
          </w:rPr>
          <w:fldChar w:fldCharType="end"/>
        </w:r>
      </w:hyperlink>
    </w:p>
    <w:p w14:paraId="2FE8E032" w14:textId="5B7D1C90" w:rsidR="00593E65" w:rsidRDefault="00FD55E6">
      <w:r>
        <w:fldChar w:fldCharType="end"/>
      </w:r>
    </w:p>
    <w:p w14:paraId="5BC37EE3" w14:textId="77777777" w:rsidR="00593E65" w:rsidRDefault="00593E65">
      <w:r>
        <w:br w:type="page"/>
      </w:r>
    </w:p>
    <w:p w14:paraId="7EB3378B" w14:textId="77777777" w:rsidR="00593E65" w:rsidRPr="009F4657" w:rsidRDefault="00593E65" w:rsidP="00593E65">
      <w:pPr>
        <w:pStyle w:val="Heading1"/>
        <w:rPr>
          <w:rFonts w:ascii="Arial" w:hAnsi="Arial" w:cs="Arial"/>
        </w:rPr>
      </w:pPr>
      <w:bookmarkStart w:id="0" w:name="_Toc214475466"/>
      <w:bookmarkStart w:id="1" w:name="_Toc214479619"/>
      <w:r w:rsidRPr="009F4657">
        <w:rPr>
          <w:rFonts w:ascii="Arial" w:hAnsi="Arial" w:cs="Arial"/>
        </w:rPr>
        <w:lastRenderedPageBreak/>
        <w:t>1. Introduction</w:t>
      </w:r>
      <w:bookmarkEnd w:id="0"/>
      <w:bookmarkEnd w:id="1"/>
    </w:p>
    <w:p w14:paraId="3C66DE76" w14:textId="698D4566" w:rsidR="00593E65" w:rsidRPr="009F4657" w:rsidRDefault="00593E65" w:rsidP="00593E65">
      <w:pPr>
        <w:spacing w:line="360" w:lineRule="auto"/>
        <w:rPr>
          <w:rFonts w:ascii="Arial" w:hAnsi="Arial" w:cs="Arial"/>
          <w:sz w:val="24"/>
          <w:szCs w:val="24"/>
        </w:rPr>
      </w:pPr>
      <w:r w:rsidRPr="009F4657">
        <w:rPr>
          <w:rFonts w:ascii="Arial" w:hAnsi="Arial" w:cs="Arial"/>
          <w:sz w:val="24"/>
          <w:szCs w:val="24"/>
        </w:rPr>
        <w:t xml:space="preserve">International expansion has become a central strategic approach for firms seeking diversified revenue streams, enhanced competitiveness, and access to emerging consumer markets (Cavusgil et al., 2014). IKEA exemplifies this pattern of internationalisation, having developed from a Swedish furniture retailer into a global multinational corporation (MNC) operating across more than 60 countries. Its entry into India represents one of its most strategically significant expansions, driven by the country’s large population, rising disposable incomes, and rapid urbanisation (PwC, 2020). Entering India required IKEA to adapt both its market strategy and value-chain configuration due to regulatory constraints and the complexity of India’s retail ecosystem </w:t>
      </w:r>
      <w:r w:rsidR="00FA40CB">
        <w:rPr>
          <w:rFonts w:ascii="Arial" w:hAnsi="Arial" w:cs="Arial"/>
          <w:sz w:val="24"/>
          <w:szCs w:val="24"/>
        </w:rPr>
        <w:t>(Deloitte &amp; RAI, 2019)</w:t>
      </w:r>
      <w:r w:rsidRPr="009F4657">
        <w:rPr>
          <w:rFonts w:ascii="Arial" w:hAnsi="Arial" w:cs="Arial"/>
          <w:sz w:val="24"/>
          <w:szCs w:val="24"/>
        </w:rPr>
        <w:t>. This report critically examines IKEA’s international operations with a focus on its activities in India, analysing the benefits and challenges associated with its global presence. It applies the Ownership–Location–Internalisation (OLI) framework (Dunning, 1988) to evaluate IKEA’s entry mode decisions and considers cultural influences that shape organisational practices. Finally, it offers evidence-based recommendations for adjustments to IKEA’s Standard Operating Procedures (SOPs) to support sustained success in the Indian market.</w:t>
      </w:r>
    </w:p>
    <w:p w14:paraId="439F6E33" w14:textId="1E700E3C" w:rsidR="00593E65" w:rsidRDefault="00593E65" w:rsidP="00593E65">
      <w:pPr>
        <w:spacing w:line="360" w:lineRule="auto"/>
        <w:rPr>
          <w:rFonts w:ascii="Arial" w:hAnsi="Arial" w:cs="Arial"/>
          <w:sz w:val="24"/>
          <w:szCs w:val="24"/>
        </w:rPr>
      </w:pPr>
    </w:p>
    <w:p w14:paraId="4BDEE8FD" w14:textId="77777777" w:rsidR="00593E65" w:rsidRDefault="00593E65">
      <w:pPr>
        <w:rPr>
          <w:rFonts w:ascii="Arial" w:hAnsi="Arial" w:cs="Arial"/>
          <w:sz w:val="24"/>
          <w:szCs w:val="24"/>
        </w:rPr>
      </w:pPr>
      <w:r>
        <w:rPr>
          <w:rFonts w:ascii="Arial" w:hAnsi="Arial" w:cs="Arial"/>
          <w:sz w:val="24"/>
          <w:szCs w:val="24"/>
        </w:rPr>
        <w:br w:type="page"/>
      </w:r>
    </w:p>
    <w:p w14:paraId="16A8FD41" w14:textId="77777777" w:rsidR="001C5589" w:rsidRPr="00B3464F" w:rsidRDefault="001C5589" w:rsidP="001C5589">
      <w:pPr>
        <w:pStyle w:val="Heading1"/>
        <w:rPr>
          <w:rFonts w:ascii="Arial" w:hAnsi="Arial" w:cs="Arial"/>
        </w:rPr>
      </w:pPr>
      <w:bookmarkStart w:id="2" w:name="_Toc214475467"/>
      <w:bookmarkStart w:id="3" w:name="_Toc214479620"/>
      <w:r w:rsidRPr="00B3464F">
        <w:rPr>
          <w:rFonts w:ascii="Arial" w:hAnsi="Arial" w:cs="Arial"/>
        </w:rPr>
        <w:lastRenderedPageBreak/>
        <w:t>2. Benefits and Challenges of International Operations</w:t>
      </w:r>
      <w:bookmarkEnd w:id="2"/>
      <w:bookmarkEnd w:id="3"/>
    </w:p>
    <w:p w14:paraId="6C08542B" w14:textId="77777777" w:rsidR="001C5589" w:rsidRPr="00B3464F" w:rsidRDefault="001C5589" w:rsidP="001C5589">
      <w:pPr>
        <w:spacing w:line="360" w:lineRule="auto"/>
        <w:rPr>
          <w:rFonts w:ascii="Arial" w:hAnsi="Arial" w:cs="Arial"/>
          <w:sz w:val="24"/>
          <w:szCs w:val="24"/>
        </w:rPr>
      </w:pPr>
      <w:r w:rsidRPr="00B3464F">
        <w:rPr>
          <w:rFonts w:ascii="Arial" w:hAnsi="Arial" w:cs="Arial"/>
          <w:sz w:val="24"/>
          <w:szCs w:val="24"/>
        </w:rPr>
        <w:t>IKEA’s international expansion has transformed it from a regional Scandinavian retailer into one of the world’s most recognisable multinational corporations. Today the company operates in more than 60 countries across Europe, North America, the Middle East and Asia, relying on a highly integrated global value chain (Jonsson and Foss, 2011). India has become one of IKEA’s most strategically significant emerging markets. Understanding the benefits and challenges associated with IKEA’s multinational operations is therefore central to evaluating its entry and growth strategy. This chapter explains why IKEA is classified as an MNC/TNC, outlines the structure of its global value chain, examines its entry modes, and identifies the key benefits and challenges of internationalisation.</w:t>
      </w:r>
    </w:p>
    <w:p w14:paraId="1691E03F" w14:textId="77777777" w:rsidR="001C5589" w:rsidRPr="00B3464F" w:rsidRDefault="001C5589" w:rsidP="001C5589">
      <w:pPr>
        <w:pStyle w:val="Heading2"/>
        <w:rPr>
          <w:rFonts w:ascii="Arial" w:eastAsiaTheme="minorHAnsi" w:hAnsi="Arial" w:cs="Arial"/>
        </w:rPr>
      </w:pPr>
      <w:bookmarkStart w:id="4" w:name="_Toc214475468"/>
      <w:bookmarkStart w:id="5" w:name="_Toc214479621"/>
      <w:r w:rsidRPr="00B3464F">
        <w:rPr>
          <w:rFonts w:ascii="Arial" w:eastAsiaTheme="minorHAnsi" w:hAnsi="Arial" w:cs="Arial"/>
        </w:rPr>
        <w:t>a. Why IKEA Qualifies as an MNC/TNC</w:t>
      </w:r>
      <w:bookmarkEnd w:id="4"/>
      <w:bookmarkEnd w:id="5"/>
    </w:p>
    <w:p w14:paraId="755496A4" w14:textId="77777777" w:rsidR="001C5589" w:rsidRPr="00B3464F" w:rsidRDefault="001C5589" w:rsidP="001C5589">
      <w:pPr>
        <w:spacing w:line="360" w:lineRule="auto"/>
        <w:rPr>
          <w:rFonts w:ascii="Arial" w:hAnsi="Arial" w:cs="Arial"/>
          <w:sz w:val="24"/>
          <w:szCs w:val="24"/>
        </w:rPr>
      </w:pPr>
      <w:r w:rsidRPr="00B3464F">
        <w:rPr>
          <w:rFonts w:ascii="Arial" w:hAnsi="Arial" w:cs="Arial"/>
          <w:sz w:val="24"/>
          <w:szCs w:val="24"/>
        </w:rPr>
        <w:t>IKEA clearly meets the criteria of a multinational corporation due to the international dispersion of its ownership, operations and value-adding activities (Bartlett and Beamish, 2018). Although founded in Sweden, the firm’s governance structure is centred in the Netherlands, with ownership distributed across the Ingka Foundation and Inter IKEA Systems B.V. (Jonsson and Foss, 2011). IKEA operates more than 450 stores, employs over 200,000 workers worldwide, and coordinates a global supplier network of more than 1,000 partners in around 50 countries (Inter IKEA Group, 2023).</w:t>
      </w:r>
    </w:p>
    <w:p w14:paraId="492415E7" w14:textId="77777777" w:rsidR="001C5589" w:rsidRPr="00B3464F" w:rsidRDefault="001C5589" w:rsidP="001C5589">
      <w:pPr>
        <w:spacing w:line="360" w:lineRule="auto"/>
        <w:rPr>
          <w:rFonts w:ascii="Arial" w:hAnsi="Arial" w:cs="Arial"/>
          <w:sz w:val="24"/>
          <w:szCs w:val="24"/>
        </w:rPr>
      </w:pPr>
      <w:r w:rsidRPr="00B3464F">
        <w:rPr>
          <w:rFonts w:ascii="Arial" w:hAnsi="Arial" w:cs="Arial"/>
          <w:sz w:val="24"/>
          <w:szCs w:val="24"/>
        </w:rPr>
        <w:t>Beyond traditional MNC characteristics, IKEA also exhibits features associated with transnational corporations (TNCs), including dispersed but interdependent operations, global knowledge-sharing systems, and the ability to coordinate functions across borders (Ghemawat, 2018). Product development, sourcing, manufacturing, logistics and retailing are all geographically distributed yet strategically integrated. This combination of global presence and systemic interconnection supports its classification as an MNC/TNC.</w:t>
      </w:r>
    </w:p>
    <w:p w14:paraId="7F3EAD84" w14:textId="77777777" w:rsidR="00FA40CB" w:rsidRDefault="00FA40CB" w:rsidP="001C5589">
      <w:pPr>
        <w:pStyle w:val="Heading2"/>
        <w:rPr>
          <w:rFonts w:ascii="Arial" w:eastAsiaTheme="minorHAnsi" w:hAnsi="Arial" w:cs="Arial"/>
        </w:rPr>
      </w:pPr>
      <w:bookmarkStart w:id="6" w:name="_Toc214475469"/>
    </w:p>
    <w:p w14:paraId="0869105E" w14:textId="2DA071E8" w:rsidR="001C5589" w:rsidRPr="00B3464F" w:rsidRDefault="001C5589" w:rsidP="001C5589">
      <w:pPr>
        <w:pStyle w:val="Heading2"/>
        <w:rPr>
          <w:rFonts w:ascii="Arial" w:eastAsiaTheme="minorHAnsi" w:hAnsi="Arial" w:cs="Arial"/>
        </w:rPr>
      </w:pPr>
      <w:bookmarkStart w:id="7" w:name="_Toc214479622"/>
      <w:r w:rsidRPr="00B3464F">
        <w:rPr>
          <w:rFonts w:ascii="Arial" w:eastAsiaTheme="minorHAnsi" w:hAnsi="Arial" w:cs="Arial"/>
        </w:rPr>
        <w:t>b. IKEA’s Global Value Chain: R&amp;D, Sourcing, Production, Sales and Financing</w:t>
      </w:r>
      <w:bookmarkEnd w:id="6"/>
      <w:bookmarkEnd w:id="7"/>
    </w:p>
    <w:p w14:paraId="41A5AAA2" w14:textId="77777777" w:rsidR="001C5589" w:rsidRPr="00B3464F" w:rsidRDefault="001C5589" w:rsidP="001C5589">
      <w:pPr>
        <w:spacing w:line="360" w:lineRule="auto"/>
        <w:rPr>
          <w:rFonts w:ascii="Arial" w:hAnsi="Arial" w:cs="Arial"/>
          <w:sz w:val="24"/>
          <w:szCs w:val="24"/>
        </w:rPr>
      </w:pPr>
      <w:r w:rsidRPr="00B3464F">
        <w:rPr>
          <w:rFonts w:ascii="Arial" w:hAnsi="Arial" w:cs="Arial"/>
          <w:sz w:val="24"/>
          <w:szCs w:val="24"/>
        </w:rPr>
        <w:t>Research and Development (R&amp;D)</w:t>
      </w:r>
    </w:p>
    <w:p w14:paraId="0B8FE372" w14:textId="77777777" w:rsidR="001C5589" w:rsidRPr="00B3464F" w:rsidRDefault="001C5589" w:rsidP="001C5589">
      <w:pPr>
        <w:spacing w:line="360" w:lineRule="auto"/>
        <w:rPr>
          <w:rFonts w:ascii="Arial" w:hAnsi="Arial" w:cs="Arial"/>
          <w:sz w:val="24"/>
          <w:szCs w:val="24"/>
        </w:rPr>
      </w:pPr>
      <w:r w:rsidRPr="00B3464F">
        <w:rPr>
          <w:rFonts w:ascii="Arial" w:hAnsi="Arial" w:cs="Arial"/>
          <w:sz w:val="24"/>
          <w:szCs w:val="24"/>
        </w:rPr>
        <w:t>IKEA’s R&amp;D activities are anchored in its design centres in Älmhult, Sweden, but supported by regional studios in China, India and other markets. These centres allow the company to incorporate local cultural knowledge into product development, ensure relevance to regional consumption patterns, and respond to sustainability and material-efficiency imperatives (Edvardsson and Enquist, 2011).</w:t>
      </w:r>
    </w:p>
    <w:p w14:paraId="2A1530AE" w14:textId="77777777" w:rsidR="001C5589" w:rsidRPr="00B3464F" w:rsidRDefault="001C5589" w:rsidP="001C5589">
      <w:pPr>
        <w:spacing w:line="360" w:lineRule="auto"/>
        <w:rPr>
          <w:rFonts w:ascii="Arial" w:hAnsi="Arial" w:cs="Arial"/>
          <w:sz w:val="24"/>
          <w:szCs w:val="24"/>
        </w:rPr>
      </w:pPr>
      <w:r w:rsidRPr="00B3464F">
        <w:rPr>
          <w:rFonts w:ascii="Arial" w:hAnsi="Arial" w:cs="Arial"/>
          <w:sz w:val="24"/>
          <w:szCs w:val="24"/>
        </w:rPr>
        <w:t>Global Sourcing</w:t>
      </w:r>
    </w:p>
    <w:p w14:paraId="09F959C2" w14:textId="49AE5A16" w:rsidR="001C5589" w:rsidRPr="00B3464F" w:rsidRDefault="001C5589" w:rsidP="001C5589">
      <w:pPr>
        <w:spacing w:line="360" w:lineRule="auto"/>
        <w:rPr>
          <w:rFonts w:ascii="Arial" w:hAnsi="Arial" w:cs="Arial"/>
          <w:sz w:val="24"/>
          <w:szCs w:val="24"/>
        </w:rPr>
      </w:pPr>
      <w:r w:rsidRPr="00B3464F">
        <w:rPr>
          <w:rFonts w:ascii="Arial" w:hAnsi="Arial" w:cs="Arial"/>
          <w:sz w:val="24"/>
          <w:szCs w:val="24"/>
        </w:rPr>
        <w:t xml:space="preserve">IKEA’s sourcing model is one of the most geographically diversified in global retail. It collaborates with long-term suppliers across Europe and Asia, benefiting from economies of scale and consistent quality standards (Spring and Araujo, 2017). Key sourcing countries include Poland, China, Vietnam and India. India is particularly important for textiles, carpets and lighting, where traditional craftsmanship and cost advantages create strong value-added potential </w:t>
      </w:r>
      <w:r w:rsidR="00FA40CB">
        <w:rPr>
          <w:rFonts w:ascii="Arial" w:hAnsi="Arial" w:cs="Arial"/>
          <w:sz w:val="24"/>
          <w:szCs w:val="24"/>
        </w:rPr>
        <w:t>(Deloitte &amp; RAI, 2019)</w:t>
      </w:r>
      <w:r w:rsidRPr="00B3464F">
        <w:rPr>
          <w:rFonts w:ascii="Arial" w:hAnsi="Arial" w:cs="Arial"/>
          <w:sz w:val="24"/>
          <w:szCs w:val="24"/>
        </w:rPr>
        <w:t>. Supplier relationships are collaborative and often involve capability-building and sustainability upgrading (Inter IKEA Group, 2023).</w:t>
      </w:r>
    </w:p>
    <w:p w14:paraId="3DF51316" w14:textId="77777777" w:rsidR="001C5589" w:rsidRPr="00B3464F" w:rsidRDefault="001C5589" w:rsidP="001C5589">
      <w:pPr>
        <w:spacing w:line="360" w:lineRule="auto"/>
        <w:rPr>
          <w:rFonts w:ascii="Arial" w:hAnsi="Arial" w:cs="Arial"/>
          <w:sz w:val="24"/>
          <w:szCs w:val="24"/>
        </w:rPr>
      </w:pPr>
      <w:r w:rsidRPr="00B3464F">
        <w:rPr>
          <w:rFonts w:ascii="Arial" w:hAnsi="Arial" w:cs="Arial"/>
          <w:sz w:val="24"/>
          <w:szCs w:val="24"/>
        </w:rPr>
        <w:t>Manufacturing and Production</w:t>
      </w:r>
    </w:p>
    <w:p w14:paraId="7DEA01E3" w14:textId="77777777" w:rsidR="001C5589" w:rsidRPr="00B3464F" w:rsidRDefault="001C5589" w:rsidP="001C5589">
      <w:pPr>
        <w:spacing w:line="360" w:lineRule="auto"/>
        <w:rPr>
          <w:rFonts w:ascii="Arial" w:hAnsi="Arial" w:cs="Arial"/>
          <w:sz w:val="24"/>
          <w:szCs w:val="24"/>
        </w:rPr>
      </w:pPr>
      <w:r w:rsidRPr="00B3464F">
        <w:rPr>
          <w:rFonts w:ascii="Arial" w:hAnsi="Arial" w:cs="Arial"/>
          <w:sz w:val="24"/>
          <w:szCs w:val="24"/>
        </w:rPr>
        <w:t>While IKEA rarely owns production facilities, it maintains high levels of oversight through technical support teams, quality systems and long-term contractual arrangements (Jonsson and Foss, 2011). Many production partners are located in emerging economies, where cost advantages are significant. India’s manufacturing base has grown in line with the government’s Make in India initiative, with clusters specialising in textiles, wood products and home décor (PwC, 2020). Modular design and flat-pack technologies further reduce logistics costs and underpin IKEA’s global standardisation strategy.</w:t>
      </w:r>
    </w:p>
    <w:p w14:paraId="15576BEF" w14:textId="77777777" w:rsidR="001C5589" w:rsidRPr="00B3464F" w:rsidRDefault="001C5589" w:rsidP="001C5589">
      <w:pPr>
        <w:spacing w:line="360" w:lineRule="auto"/>
        <w:rPr>
          <w:rFonts w:ascii="Arial" w:hAnsi="Arial" w:cs="Arial"/>
          <w:sz w:val="24"/>
          <w:szCs w:val="24"/>
        </w:rPr>
      </w:pPr>
      <w:r w:rsidRPr="00B3464F">
        <w:rPr>
          <w:rFonts w:ascii="Arial" w:hAnsi="Arial" w:cs="Arial"/>
          <w:sz w:val="24"/>
          <w:szCs w:val="24"/>
        </w:rPr>
        <w:t>Distribution and Sales</w:t>
      </w:r>
    </w:p>
    <w:p w14:paraId="55D47D13" w14:textId="77777777" w:rsidR="001C5589" w:rsidRPr="00B3464F" w:rsidRDefault="001C5589" w:rsidP="001C5589">
      <w:pPr>
        <w:spacing w:line="360" w:lineRule="auto"/>
        <w:rPr>
          <w:rFonts w:ascii="Arial" w:hAnsi="Arial" w:cs="Arial"/>
          <w:sz w:val="24"/>
          <w:szCs w:val="24"/>
        </w:rPr>
      </w:pPr>
      <w:r w:rsidRPr="00B3464F">
        <w:rPr>
          <w:rFonts w:ascii="Arial" w:hAnsi="Arial" w:cs="Arial"/>
          <w:sz w:val="24"/>
          <w:szCs w:val="24"/>
        </w:rPr>
        <w:t xml:space="preserve">IKEA’s distribution network spans major distribution centres in Europe, China and North America, supplying both retail and e-commerce channels (Christopher, 2016). </w:t>
      </w:r>
      <w:r w:rsidRPr="00B3464F">
        <w:rPr>
          <w:rFonts w:ascii="Arial" w:hAnsi="Arial" w:cs="Arial"/>
          <w:sz w:val="24"/>
          <w:szCs w:val="24"/>
        </w:rPr>
        <w:lastRenderedPageBreak/>
        <w:t>Although historically dependent on large suburban warehouse stores, IKEA has diversified into small urban formats, planning studios and online channels to adapt to changing consumer behaviour—especially in densely populated markets such as China and India (Statista, 2023).</w:t>
      </w:r>
    </w:p>
    <w:p w14:paraId="53CF2628" w14:textId="77777777" w:rsidR="001C5589" w:rsidRPr="00B3464F" w:rsidRDefault="001C5589" w:rsidP="001C5589">
      <w:pPr>
        <w:spacing w:line="360" w:lineRule="auto"/>
        <w:rPr>
          <w:rFonts w:ascii="Arial" w:hAnsi="Arial" w:cs="Arial"/>
          <w:sz w:val="24"/>
          <w:szCs w:val="24"/>
        </w:rPr>
      </w:pPr>
      <w:r w:rsidRPr="00B3464F">
        <w:rPr>
          <w:rFonts w:ascii="Arial" w:hAnsi="Arial" w:cs="Arial"/>
          <w:sz w:val="24"/>
          <w:szCs w:val="24"/>
        </w:rPr>
        <w:t>Financing and Ownership</w:t>
      </w:r>
    </w:p>
    <w:p w14:paraId="4CF7A7B8" w14:textId="77777777" w:rsidR="001C5589" w:rsidRPr="00B3464F" w:rsidRDefault="001C5589" w:rsidP="001C5589">
      <w:pPr>
        <w:spacing w:line="360" w:lineRule="auto"/>
        <w:rPr>
          <w:rFonts w:ascii="Arial" w:hAnsi="Arial" w:cs="Arial"/>
          <w:sz w:val="24"/>
          <w:szCs w:val="24"/>
        </w:rPr>
      </w:pPr>
      <w:r w:rsidRPr="00B3464F">
        <w:rPr>
          <w:rFonts w:ascii="Arial" w:hAnsi="Arial" w:cs="Arial"/>
          <w:sz w:val="24"/>
          <w:szCs w:val="24"/>
        </w:rPr>
        <w:t>IKEA’s ownership structure—centred on the Ingka Foundation and Inter IKEA Systems—supports long-term investment and insulates the company from short-term financial pressures (Baraldi, 2008). The separation between retail operations and intellectual-property ownership also enables flexible global expansion, efficient capital allocation and robust protection of brand assets.</w:t>
      </w:r>
    </w:p>
    <w:p w14:paraId="53EA19DB" w14:textId="77777777" w:rsidR="001C5589" w:rsidRPr="00B3464F" w:rsidRDefault="001C5589" w:rsidP="001C5589">
      <w:pPr>
        <w:pStyle w:val="Heading2"/>
        <w:rPr>
          <w:rFonts w:ascii="Arial" w:eastAsiaTheme="minorHAnsi" w:hAnsi="Arial" w:cs="Arial"/>
        </w:rPr>
      </w:pPr>
      <w:bookmarkStart w:id="8" w:name="_Toc214475470"/>
      <w:bookmarkStart w:id="9" w:name="_Toc214479623"/>
      <w:r w:rsidRPr="00B3464F">
        <w:rPr>
          <w:rFonts w:ascii="Arial" w:eastAsiaTheme="minorHAnsi" w:hAnsi="Arial" w:cs="Arial"/>
        </w:rPr>
        <w:t>c. Entry Modes Used by IKEA in Different Markets</w:t>
      </w:r>
      <w:bookmarkEnd w:id="8"/>
      <w:bookmarkEnd w:id="9"/>
    </w:p>
    <w:p w14:paraId="56EEC27F" w14:textId="77777777" w:rsidR="001C5589" w:rsidRPr="00B3464F" w:rsidRDefault="001C5589" w:rsidP="001C5589">
      <w:pPr>
        <w:spacing w:line="360" w:lineRule="auto"/>
        <w:rPr>
          <w:rFonts w:ascii="Arial" w:hAnsi="Arial" w:cs="Arial"/>
          <w:sz w:val="24"/>
          <w:szCs w:val="24"/>
        </w:rPr>
      </w:pPr>
      <w:r w:rsidRPr="00B3464F">
        <w:rPr>
          <w:rFonts w:ascii="Arial" w:hAnsi="Arial" w:cs="Arial"/>
          <w:sz w:val="24"/>
          <w:szCs w:val="24"/>
        </w:rPr>
        <w:t>Wholly Owned Subsidiaries (WOS)</w:t>
      </w:r>
    </w:p>
    <w:p w14:paraId="20A8571C" w14:textId="77777777" w:rsidR="001C5589" w:rsidRPr="00B3464F" w:rsidRDefault="001C5589" w:rsidP="001C5589">
      <w:pPr>
        <w:spacing w:line="360" w:lineRule="auto"/>
        <w:rPr>
          <w:rFonts w:ascii="Arial" w:hAnsi="Arial" w:cs="Arial"/>
          <w:sz w:val="24"/>
          <w:szCs w:val="24"/>
        </w:rPr>
      </w:pPr>
      <w:r w:rsidRPr="00B3464F">
        <w:rPr>
          <w:rFonts w:ascii="Arial" w:hAnsi="Arial" w:cs="Arial"/>
          <w:sz w:val="24"/>
          <w:szCs w:val="24"/>
        </w:rPr>
        <w:t>IKEA’s dominant entry mode is full ownership, used in major markets such as the United States, China, Germany and India (Inter IKEA Group, 2023). This mode ensures strategic control over supply chains, sustainability commitments and brand experience (Ghemawat, 2018).</w:t>
      </w:r>
    </w:p>
    <w:p w14:paraId="75227FE5" w14:textId="77777777" w:rsidR="001C5589" w:rsidRPr="00B3464F" w:rsidRDefault="001C5589" w:rsidP="001C5589">
      <w:pPr>
        <w:spacing w:line="360" w:lineRule="auto"/>
        <w:rPr>
          <w:rFonts w:ascii="Arial" w:hAnsi="Arial" w:cs="Arial"/>
          <w:sz w:val="24"/>
          <w:szCs w:val="24"/>
        </w:rPr>
      </w:pPr>
      <w:r w:rsidRPr="00B3464F">
        <w:rPr>
          <w:rFonts w:ascii="Arial" w:hAnsi="Arial" w:cs="Arial"/>
          <w:sz w:val="24"/>
          <w:szCs w:val="24"/>
        </w:rPr>
        <w:t>Franchising</w:t>
      </w:r>
    </w:p>
    <w:p w14:paraId="47917345" w14:textId="77777777" w:rsidR="001C5589" w:rsidRPr="00B3464F" w:rsidRDefault="001C5589" w:rsidP="001C5589">
      <w:pPr>
        <w:spacing w:line="360" w:lineRule="auto"/>
        <w:rPr>
          <w:rFonts w:ascii="Arial" w:hAnsi="Arial" w:cs="Arial"/>
          <w:sz w:val="24"/>
          <w:szCs w:val="24"/>
        </w:rPr>
      </w:pPr>
      <w:r w:rsidRPr="00B3464F">
        <w:rPr>
          <w:rFonts w:ascii="Arial" w:hAnsi="Arial" w:cs="Arial"/>
          <w:sz w:val="24"/>
          <w:szCs w:val="24"/>
        </w:rPr>
        <w:t>Franchising is employed in markets where local knowledge accelerates market penetration or where regulatory barriers restrict foreign ownership. Examples include Kuwait, Saudi Arabia, Taiwan and Hong Kong. Franchisees operate under strictly controlled agreements to ensure consistent brand standards (Baraldi, 2008).</w:t>
      </w:r>
    </w:p>
    <w:p w14:paraId="31FFFA4E" w14:textId="77777777" w:rsidR="001C5589" w:rsidRPr="00B3464F" w:rsidRDefault="001C5589" w:rsidP="001C5589">
      <w:pPr>
        <w:spacing w:line="360" w:lineRule="auto"/>
        <w:rPr>
          <w:rFonts w:ascii="Arial" w:hAnsi="Arial" w:cs="Arial"/>
          <w:sz w:val="24"/>
          <w:szCs w:val="24"/>
        </w:rPr>
      </w:pPr>
      <w:r w:rsidRPr="00B3464F">
        <w:rPr>
          <w:rFonts w:ascii="Arial" w:hAnsi="Arial" w:cs="Arial"/>
          <w:sz w:val="24"/>
          <w:szCs w:val="24"/>
        </w:rPr>
        <w:t>Joint Ventures and Strategic Partnerships</w:t>
      </w:r>
    </w:p>
    <w:p w14:paraId="44324CD1" w14:textId="77777777" w:rsidR="001C5589" w:rsidRPr="00B3464F" w:rsidRDefault="001C5589" w:rsidP="001C5589">
      <w:pPr>
        <w:spacing w:line="360" w:lineRule="auto"/>
        <w:rPr>
          <w:rFonts w:ascii="Arial" w:hAnsi="Arial" w:cs="Arial"/>
          <w:sz w:val="24"/>
          <w:szCs w:val="24"/>
        </w:rPr>
      </w:pPr>
      <w:r w:rsidRPr="00B3464F">
        <w:rPr>
          <w:rFonts w:ascii="Arial" w:hAnsi="Arial" w:cs="Arial"/>
          <w:sz w:val="24"/>
          <w:szCs w:val="24"/>
        </w:rPr>
        <w:t>Although less common, IKEA has used joint ventures in markets with complex regulatory or land-use environments. In China, early joint ventures assisted the company in navigating regulatory constraints before shifting to wholly owned operations (Jonsson and Foss, 2011).</w:t>
      </w:r>
    </w:p>
    <w:p w14:paraId="58B9B688" w14:textId="77777777" w:rsidR="001C5589" w:rsidRPr="00B3464F" w:rsidRDefault="001C5589" w:rsidP="001C5589">
      <w:pPr>
        <w:spacing w:line="360" w:lineRule="auto"/>
        <w:rPr>
          <w:rFonts w:ascii="Arial" w:hAnsi="Arial" w:cs="Arial"/>
          <w:sz w:val="24"/>
          <w:szCs w:val="24"/>
        </w:rPr>
      </w:pPr>
      <w:r w:rsidRPr="00B3464F">
        <w:rPr>
          <w:rFonts w:ascii="Arial" w:hAnsi="Arial" w:cs="Arial"/>
          <w:sz w:val="24"/>
          <w:szCs w:val="24"/>
        </w:rPr>
        <w:t>Entry Mode in India</w:t>
      </w:r>
    </w:p>
    <w:p w14:paraId="679C599E" w14:textId="0D325FD0" w:rsidR="001C5589" w:rsidRDefault="001C5589" w:rsidP="001C5589">
      <w:pPr>
        <w:spacing w:line="360" w:lineRule="auto"/>
        <w:rPr>
          <w:rFonts w:ascii="Arial" w:hAnsi="Arial" w:cs="Arial"/>
          <w:sz w:val="24"/>
          <w:szCs w:val="24"/>
        </w:rPr>
      </w:pPr>
      <w:r w:rsidRPr="00B3464F">
        <w:rPr>
          <w:rFonts w:ascii="Arial" w:hAnsi="Arial" w:cs="Arial"/>
          <w:sz w:val="24"/>
          <w:szCs w:val="24"/>
        </w:rPr>
        <w:t xml:space="preserve">Prior restrictions on single-brand FDI made market entry challenging. After reforms allowing 100% FDI in single-brand retail, IKEA entered India through a wholly owned subsidiary in 2013 </w:t>
      </w:r>
      <w:r w:rsidR="00FA40CB">
        <w:rPr>
          <w:rFonts w:ascii="Arial" w:hAnsi="Arial" w:cs="Arial"/>
          <w:sz w:val="24"/>
          <w:szCs w:val="24"/>
        </w:rPr>
        <w:t>(Deloitte &amp; RAI, 2019)</w:t>
      </w:r>
      <w:r w:rsidRPr="00B3464F">
        <w:rPr>
          <w:rFonts w:ascii="Arial" w:hAnsi="Arial" w:cs="Arial"/>
          <w:sz w:val="24"/>
          <w:szCs w:val="24"/>
        </w:rPr>
        <w:t>. This decision reflects the company’s long-</w:t>
      </w:r>
      <w:r w:rsidRPr="00B3464F">
        <w:rPr>
          <w:rFonts w:ascii="Arial" w:hAnsi="Arial" w:cs="Arial"/>
          <w:sz w:val="24"/>
          <w:szCs w:val="24"/>
        </w:rPr>
        <w:lastRenderedPageBreak/>
        <w:t>term commitment and the need for direct control over product standards, sustainability targets and retail formats.</w:t>
      </w:r>
    </w:p>
    <w:p w14:paraId="7426F6E9" w14:textId="77777777" w:rsidR="001C5589" w:rsidRPr="00B3464F" w:rsidRDefault="001C5589" w:rsidP="001C5589">
      <w:pPr>
        <w:spacing w:line="360" w:lineRule="auto"/>
        <w:rPr>
          <w:rFonts w:ascii="Arial" w:hAnsi="Arial" w:cs="Arial"/>
          <w:sz w:val="24"/>
          <w:szCs w:val="24"/>
        </w:rPr>
      </w:pPr>
    </w:p>
    <w:p w14:paraId="15DB33CB" w14:textId="77777777" w:rsidR="001C5589" w:rsidRPr="00B3464F" w:rsidRDefault="001C5589" w:rsidP="001C5589">
      <w:pPr>
        <w:pStyle w:val="Heading2"/>
        <w:rPr>
          <w:rFonts w:ascii="Arial" w:eastAsiaTheme="minorHAnsi" w:hAnsi="Arial" w:cs="Arial"/>
        </w:rPr>
      </w:pPr>
      <w:bookmarkStart w:id="10" w:name="_Toc214475471"/>
      <w:bookmarkStart w:id="11" w:name="_Toc214479624"/>
      <w:r w:rsidRPr="00B3464F">
        <w:rPr>
          <w:rFonts w:ascii="Arial" w:eastAsiaTheme="minorHAnsi" w:hAnsi="Arial" w:cs="Arial"/>
        </w:rPr>
        <w:t>d. Benefits of IKEA’s International Operations</w:t>
      </w:r>
      <w:bookmarkEnd w:id="10"/>
      <w:bookmarkEnd w:id="11"/>
    </w:p>
    <w:p w14:paraId="155EC2FF" w14:textId="77777777" w:rsidR="001C5589" w:rsidRPr="00B3464F" w:rsidRDefault="001C5589" w:rsidP="001C5589">
      <w:pPr>
        <w:spacing w:line="360" w:lineRule="auto"/>
        <w:rPr>
          <w:rFonts w:ascii="Arial" w:hAnsi="Arial" w:cs="Arial"/>
          <w:sz w:val="24"/>
          <w:szCs w:val="24"/>
        </w:rPr>
      </w:pPr>
      <w:r w:rsidRPr="00B3464F">
        <w:rPr>
          <w:rFonts w:ascii="Arial" w:hAnsi="Arial" w:cs="Arial"/>
          <w:sz w:val="24"/>
          <w:szCs w:val="24"/>
        </w:rPr>
        <w:t>Economies of Scale</w:t>
      </w:r>
    </w:p>
    <w:p w14:paraId="6F6B78B7" w14:textId="77777777" w:rsidR="001C5589" w:rsidRPr="00B3464F" w:rsidRDefault="001C5589" w:rsidP="001C5589">
      <w:pPr>
        <w:spacing w:line="360" w:lineRule="auto"/>
        <w:rPr>
          <w:rFonts w:ascii="Arial" w:hAnsi="Arial" w:cs="Arial"/>
          <w:sz w:val="24"/>
          <w:szCs w:val="24"/>
        </w:rPr>
      </w:pPr>
      <w:r w:rsidRPr="00B3464F">
        <w:rPr>
          <w:rFonts w:ascii="Arial" w:hAnsi="Arial" w:cs="Arial"/>
          <w:sz w:val="24"/>
          <w:szCs w:val="24"/>
        </w:rPr>
        <w:t>Global operations allow substantial cost efficiencies in procurement, production and distribution, reinforcing IKEA’s low-cost competitive advantage (Christopher, 2016).</w:t>
      </w:r>
    </w:p>
    <w:p w14:paraId="0902FAA5" w14:textId="77777777" w:rsidR="001C5589" w:rsidRPr="00B3464F" w:rsidRDefault="001C5589" w:rsidP="001C5589">
      <w:pPr>
        <w:spacing w:line="360" w:lineRule="auto"/>
        <w:rPr>
          <w:rFonts w:ascii="Arial" w:hAnsi="Arial" w:cs="Arial"/>
          <w:sz w:val="24"/>
          <w:szCs w:val="24"/>
        </w:rPr>
      </w:pPr>
      <w:r w:rsidRPr="00B3464F">
        <w:rPr>
          <w:rFonts w:ascii="Arial" w:hAnsi="Arial" w:cs="Arial"/>
          <w:sz w:val="24"/>
          <w:szCs w:val="24"/>
        </w:rPr>
        <w:t>Market and Revenue Diversification</w:t>
      </w:r>
    </w:p>
    <w:p w14:paraId="525650A6" w14:textId="77777777" w:rsidR="001C5589" w:rsidRPr="00B3464F" w:rsidRDefault="001C5589" w:rsidP="001C5589">
      <w:pPr>
        <w:spacing w:line="360" w:lineRule="auto"/>
        <w:rPr>
          <w:rFonts w:ascii="Arial" w:hAnsi="Arial" w:cs="Arial"/>
          <w:sz w:val="24"/>
          <w:szCs w:val="24"/>
        </w:rPr>
      </w:pPr>
      <w:r w:rsidRPr="00B3464F">
        <w:rPr>
          <w:rFonts w:ascii="Arial" w:hAnsi="Arial" w:cs="Arial"/>
          <w:sz w:val="24"/>
          <w:szCs w:val="24"/>
        </w:rPr>
        <w:t>Internationalisation reduces dependence on mature European markets and spreads risk. Emerging economies such as India and China create new growth potential driven by expanding middle-class consumers (PwC, 2020).</w:t>
      </w:r>
    </w:p>
    <w:p w14:paraId="5460DFCC" w14:textId="77777777" w:rsidR="001C5589" w:rsidRPr="00B3464F" w:rsidRDefault="001C5589" w:rsidP="001C5589">
      <w:pPr>
        <w:spacing w:line="360" w:lineRule="auto"/>
        <w:rPr>
          <w:rFonts w:ascii="Arial" w:hAnsi="Arial" w:cs="Arial"/>
          <w:sz w:val="24"/>
          <w:szCs w:val="24"/>
        </w:rPr>
      </w:pPr>
      <w:r w:rsidRPr="00B3464F">
        <w:rPr>
          <w:rFonts w:ascii="Arial" w:hAnsi="Arial" w:cs="Arial"/>
          <w:sz w:val="24"/>
          <w:szCs w:val="24"/>
        </w:rPr>
        <w:t>Labour and Production Cost Advantages</w:t>
      </w:r>
    </w:p>
    <w:p w14:paraId="237679BD" w14:textId="733E0706" w:rsidR="001C5589" w:rsidRPr="00B3464F" w:rsidRDefault="001C5589" w:rsidP="001C5589">
      <w:pPr>
        <w:spacing w:line="360" w:lineRule="auto"/>
        <w:rPr>
          <w:rFonts w:ascii="Arial" w:hAnsi="Arial" w:cs="Arial"/>
          <w:sz w:val="24"/>
          <w:szCs w:val="24"/>
        </w:rPr>
      </w:pPr>
      <w:r w:rsidRPr="00B3464F">
        <w:rPr>
          <w:rFonts w:ascii="Arial" w:hAnsi="Arial" w:cs="Arial"/>
          <w:sz w:val="24"/>
          <w:szCs w:val="24"/>
        </w:rPr>
        <w:t xml:space="preserve">Sourcing and manufacturing in lower-cost locations enable IKEA to maintain price competitiveness. India’s artisanal and textile sectors play an important role in cost-effective supply </w:t>
      </w:r>
      <w:r w:rsidR="00FA40CB">
        <w:rPr>
          <w:rFonts w:ascii="Arial" w:hAnsi="Arial" w:cs="Arial"/>
          <w:sz w:val="24"/>
          <w:szCs w:val="24"/>
        </w:rPr>
        <w:t>(Deloitte &amp; RAI, 2019)</w:t>
      </w:r>
      <w:r w:rsidRPr="00B3464F">
        <w:rPr>
          <w:rFonts w:ascii="Arial" w:hAnsi="Arial" w:cs="Arial"/>
          <w:sz w:val="24"/>
          <w:szCs w:val="24"/>
        </w:rPr>
        <w:t>.</w:t>
      </w:r>
    </w:p>
    <w:p w14:paraId="13291F54" w14:textId="77777777" w:rsidR="001C5589" w:rsidRPr="00B3464F" w:rsidRDefault="001C5589" w:rsidP="001C5589">
      <w:pPr>
        <w:spacing w:line="360" w:lineRule="auto"/>
        <w:rPr>
          <w:rFonts w:ascii="Arial" w:hAnsi="Arial" w:cs="Arial"/>
          <w:sz w:val="24"/>
          <w:szCs w:val="24"/>
        </w:rPr>
      </w:pPr>
      <w:r w:rsidRPr="00B3464F">
        <w:rPr>
          <w:rFonts w:ascii="Arial" w:hAnsi="Arial" w:cs="Arial"/>
          <w:sz w:val="24"/>
          <w:szCs w:val="24"/>
        </w:rPr>
        <w:t>Access to Global Talent and Innovation</w:t>
      </w:r>
    </w:p>
    <w:p w14:paraId="2BA3A0ED" w14:textId="77777777" w:rsidR="001C5589" w:rsidRPr="00B3464F" w:rsidRDefault="001C5589" w:rsidP="001C5589">
      <w:pPr>
        <w:spacing w:line="360" w:lineRule="auto"/>
        <w:rPr>
          <w:rFonts w:ascii="Arial" w:hAnsi="Arial" w:cs="Arial"/>
          <w:sz w:val="24"/>
          <w:szCs w:val="24"/>
        </w:rPr>
      </w:pPr>
      <w:r w:rsidRPr="00B3464F">
        <w:rPr>
          <w:rFonts w:ascii="Arial" w:hAnsi="Arial" w:cs="Arial"/>
          <w:sz w:val="24"/>
          <w:szCs w:val="24"/>
        </w:rPr>
        <w:t>Operating across diverse markets enhances cross-market learning, design innovation and sustainability experimentation (Edvardsson and Enquist, 2011). Insights from India’s small-space living constraints, for example, influence global product ranges.</w:t>
      </w:r>
    </w:p>
    <w:p w14:paraId="3F615B8C" w14:textId="77777777" w:rsidR="001C5589" w:rsidRPr="00B3464F" w:rsidRDefault="001C5589" w:rsidP="001C5589">
      <w:pPr>
        <w:spacing w:line="360" w:lineRule="auto"/>
        <w:rPr>
          <w:rFonts w:ascii="Arial" w:hAnsi="Arial" w:cs="Arial"/>
          <w:sz w:val="24"/>
          <w:szCs w:val="24"/>
        </w:rPr>
      </w:pPr>
      <w:r w:rsidRPr="00B3464F">
        <w:rPr>
          <w:rFonts w:ascii="Arial" w:hAnsi="Arial" w:cs="Arial"/>
          <w:sz w:val="24"/>
          <w:szCs w:val="24"/>
        </w:rPr>
        <w:t>Supply Chain Resilience</w:t>
      </w:r>
    </w:p>
    <w:p w14:paraId="1501CD39" w14:textId="77777777" w:rsidR="001C5589" w:rsidRPr="00B3464F" w:rsidRDefault="001C5589" w:rsidP="001C5589">
      <w:pPr>
        <w:spacing w:line="360" w:lineRule="auto"/>
        <w:rPr>
          <w:rFonts w:ascii="Arial" w:hAnsi="Arial" w:cs="Arial"/>
          <w:sz w:val="24"/>
          <w:szCs w:val="24"/>
        </w:rPr>
      </w:pPr>
      <w:r w:rsidRPr="00B3464F">
        <w:rPr>
          <w:rFonts w:ascii="Arial" w:hAnsi="Arial" w:cs="Arial"/>
          <w:sz w:val="24"/>
          <w:szCs w:val="24"/>
        </w:rPr>
        <w:t>A broad supplier base reduces dependency on individual regions and mitigates risks associated with geopolitical disruptions. Increasing procurement from India supports IKEA’s strategy to diversify away from China (Inter IKEA Group, 2023).</w:t>
      </w:r>
    </w:p>
    <w:p w14:paraId="012AC280" w14:textId="77777777" w:rsidR="001C5589" w:rsidRPr="00B3464F" w:rsidRDefault="001C5589" w:rsidP="001C5589">
      <w:pPr>
        <w:spacing w:line="360" w:lineRule="auto"/>
        <w:rPr>
          <w:rFonts w:ascii="Arial" w:hAnsi="Arial" w:cs="Arial"/>
          <w:sz w:val="24"/>
          <w:szCs w:val="24"/>
        </w:rPr>
      </w:pPr>
      <w:r w:rsidRPr="00B3464F">
        <w:rPr>
          <w:rFonts w:ascii="Arial" w:hAnsi="Arial" w:cs="Arial"/>
          <w:sz w:val="24"/>
          <w:szCs w:val="24"/>
        </w:rPr>
        <w:t>Strengthened Global Brand Equity</w:t>
      </w:r>
    </w:p>
    <w:p w14:paraId="7BD86C1A" w14:textId="229391CC" w:rsidR="001C5589" w:rsidRDefault="001C5589" w:rsidP="00FA40CB">
      <w:pPr>
        <w:spacing w:line="360" w:lineRule="auto"/>
        <w:rPr>
          <w:rFonts w:ascii="Arial" w:hAnsi="Arial" w:cs="Arial"/>
          <w:sz w:val="24"/>
          <w:szCs w:val="24"/>
        </w:rPr>
      </w:pPr>
      <w:r w:rsidRPr="00B3464F">
        <w:rPr>
          <w:rFonts w:ascii="Arial" w:hAnsi="Arial" w:cs="Arial"/>
          <w:sz w:val="24"/>
          <w:szCs w:val="24"/>
        </w:rPr>
        <w:t>Operating internationally reinforces IKEA’s identity as a global leader in affordable, functional home furnishings. Successful expansion into culturally diverse settings strengthens the brand’s global appeal (Ghemawat, 2018).</w:t>
      </w:r>
      <w:r>
        <w:rPr>
          <w:rFonts w:ascii="Arial" w:hAnsi="Arial" w:cs="Arial"/>
          <w:sz w:val="24"/>
          <w:szCs w:val="24"/>
        </w:rPr>
        <w:br w:type="page"/>
      </w:r>
    </w:p>
    <w:p w14:paraId="5A913ABD" w14:textId="77777777" w:rsidR="001C5589" w:rsidRPr="009F4657" w:rsidRDefault="001C5589" w:rsidP="001C5589">
      <w:pPr>
        <w:pStyle w:val="Heading1"/>
        <w:rPr>
          <w:rFonts w:ascii="Arial" w:hAnsi="Arial" w:cs="Arial"/>
        </w:rPr>
      </w:pPr>
      <w:bookmarkStart w:id="12" w:name="_Toc214304702"/>
      <w:bookmarkStart w:id="13" w:name="_Toc214475472"/>
      <w:bookmarkStart w:id="14" w:name="_Toc214479625"/>
      <w:r w:rsidRPr="009F4657">
        <w:rPr>
          <w:rFonts w:ascii="Arial" w:hAnsi="Arial" w:cs="Arial"/>
        </w:rPr>
        <w:lastRenderedPageBreak/>
        <w:t>3. OLI factors (Ownership, Location and Internalisation) and their impact on IKEA’s market entry mode in India</w:t>
      </w:r>
      <w:bookmarkEnd w:id="12"/>
      <w:bookmarkEnd w:id="13"/>
      <w:bookmarkEnd w:id="14"/>
    </w:p>
    <w:p w14:paraId="10874EC3" w14:textId="77777777" w:rsidR="001C5589" w:rsidRPr="009F4657" w:rsidRDefault="001C5589" w:rsidP="001C5589">
      <w:pPr>
        <w:spacing w:line="360" w:lineRule="auto"/>
        <w:rPr>
          <w:rFonts w:ascii="Arial" w:hAnsi="Arial" w:cs="Arial"/>
          <w:sz w:val="24"/>
          <w:szCs w:val="24"/>
        </w:rPr>
      </w:pPr>
      <w:r w:rsidRPr="009F4657">
        <w:rPr>
          <w:rFonts w:ascii="Arial" w:hAnsi="Arial" w:cs="Arial"/>
          <w:sz w:val="24"/>
          <w:szCs w:val="24"/>
        </w:rPr>
        <w:t>The OLI (Ownership–Location–Internalisation) framework developed by Dunning (1988) provides a comprehensive theoretical lens through which a firm’s international market entry decisions can be understood. Applying this paradigm to IKEA’s expansion into India illustrates how firm-specific ownership advantages, India’s location-specific characteristics and IKEA’s preference for internal control collectively shaped the decision to enter the country through a wholly owned subsidiary. This chapter critically evaluates the role of each component of the OLI model in influencing IKEA’s entry mode strategy, while also considering the constraints and opportunities arising from India’s institutional environment.</w:t>
      </w:r>
    </w:p>
    <w:p w14:paraId="31E54A1C" w14:textId="77777777" w:rsidR="001C5589" w:rsidRPr="009F4657" w:rsidRDefault="001C5589" w:rsidP="001C5589">
      <w:pPr>
        <w:rPr>
          <w:rFonts w:ascii="Arial" w:hAnsi="Arial" w:cs="Arial"/>
          <w:sz w:val="28"/>
          <w:szCs w:val="28"/>
        </w:rPr>
      </w:pPr>
      <w:r w:rsidRPr="009F4657">
        <w:rPr>
          <w:rFonts w:ascii="Arial" w:hAnsi="Arial" w:cs="Arial"/>
          <w:sz w:val="28"/>
          <w:szCs w:val="28"/>
        </w:rPr>
        <w:t>Ownership advantages</w:t>
      </w:r>
    </w:p>
    <w:p w14:paraId="4458E1A6" w14:textId="77777777" w:rsidR="001C5589" w:rsidRPr="009F4657" w:rsidRDefault="001C5589" w:rsidP="001C5589">
      <w:pPr>
        <w:spacing w:line="360" w:lineRule="auto"/>
        <w:rPr>
          <w:rFonts w:ascii="Arial" w:hAnsi="Arial" w:cs="Arial"/>
          <w:sz w:val="24"/>
          <w:szCs w:val="24"/>
        </w:rPr>
      </w:pPr>
      <w:r w:rsidRPr="009F4657">
        <w:rPr>
          <w:rFonts w:ascii="Arial" w:hAnsi="Arial" w:cs="Arial"/>
          <w:sz w:val="24"/>
          <w:szCs w:val="24"/>
        </w:rPr>
        <w:t>Ownership-specific advantages refer to the unique assets, capabilities and resources that a firm possesses and can exploit effectively in international markets (Rugman, 2010). IKEA’s ownership advantages are extensive and strongly rooted in its globally consistent business model.</w:t>
      </w:r>
    </w:p>
    <w:p w14:paraId="20D5701A" w14:textId="77777777" w:rsidR="001C5589" w:rsidRPr="009F4657" w:rsidRDefault="001C5589" w:rsidP="001C5589">
      <w:pPr>
        <w:rPr>
          <w:rFonts w:ascii="Arial" w:hAnsi="Arial" w:cs="Arial"/>
          <w:sz w:val="28"/>
          <w:szCs w:val="28"/>
        </w:rPr>
      </w:pPr>
      <w:r w:rsidRPr="009F4657">
        <w:rPr>
          <w:rFonts w:ascii="Arial" w:hAnsi="Arial" w:cs="Arial"/>
          <w:sz w:val="28"/>
          <w:szCs w:val="28"/>
        </w:rPr>
        <w:t>Brand reputation and global identity</w:t>
      </w:r>
    </w:p>
    <w:p w14:paraId="373A6445" w14:textId="77777777" w:rsidR="001C5589" w:rsidRPr="009F4657" w:rsidRDefault="001C5589" w:rsidP="001C5589">
      <w:pPr>
        <w:spacing w:line="360" w:lineRule="auto"/>
        <w:rPr>
          <w:rFonts w:ascii="Arial" w:hAnsi="Arial" w:cs="Arial"/>
          <w:sz w:val="24"/>
          <w:szCs w:val="24"/>
        </w:rPr>
      </w:pPr>
      <w:r w:rsidRPr="009F4657">
        <w:rPr>
          <w:rFonts w:ascii="Arial" w:hAnsi="Arial" w:cs="Arial"/>
          <w:sz w:val="24"/>
          <w:szCs w:val="24"/>
        </w:rPr>
        <w:t>IKEA’s globally recognised brand—associated with affordability, Scandinavian design and standardised quality—constitutes a significant ownership advantage (Jonsson and Foss, 2011). Preserving this brand identity was a critical consideration when entering India, a market characterised by fragmented retail structures and inconsistent quality standards in the furniture sector (PwC, 2020). A fully controlled entry mode helped prevent dilution of the brand through misalignment with local operators.</w:t>
      </w:r>
    </w:p>
    <w:p w14:paraId="56258834" w14:textId="77777777" w:rsidR="001C5589" w:rsidRPr="009F4657" w:rsidRDefault="001C5589" w:rsidP="001C5589">
      <w:pPr>
        <w:rPr>
          <w:rFonts w:ascii="Arial" w:hAnsi="Arial" w:cs="Arial"/>
          <w:sz w:val="28"/>
          <w:szCs w:val="28"/>
        </w:rPr>
      </w:pPr>
      <w:r w:rsidRPr="009F4657">
        <w:rPr>
          <w:rFonts w:ascii="Arial" w:hAnsi="Arial" w:cs="Arial"/>
          <w:sz w:val="28"/>
          <w:szCs w:val="28"/>
        </w:rPr>
        <w:t>Proprietary design and product development capabilities</w:t>
      </w:r>
    </w:p>
    <w:p w14:paraId="78E70442" w14:textId="77777777" w:rsidR="001C5589" w:rsidRPr="009F4657" w:rsidRDefault="001C5589" w:rsidP="001C5589">
      <w:pPr>
        <w:spacing w:line="360" w:lineRule="auto"/>
        <w:rPr>
          <w:rFonts w:ascii="Arial" w:hAnsi="Arial" w:cs="Arial"/>
          <w:sz w:val="24"/>
          <w:szCs w:val="24"/>
        </w:rPr>
      </w:pPr>
      <w:r w:rsidRPr="009F4657">
        <w:rPr>
          <w:rFonts w:ascii="Arial" w:hAnsi="Arial" w:cs="Arial"/>
          <w:sz w:val="24"/>
          <w:szCs w:val="24"/>
        </w:rPr>
        <w:t xml:space="preserve">IKEA’s unique product design philosophy, built around modularity, functionality and cost-efficient engineering, forms another key ownership asset (Edvardsson and Enquist, 2011). These competencies rely heavily on long-term collaboration between designers, engineers and global suppliers. Allowing local firms in India to exert influence over product development or store layout would have posed risks to IKEA’s </w:t>
      </w:r>
      <w:r w:rsidRPr="009F4657">
        <w:rPr>
          <w:rFonts w:ascii="Arial" w:hAnsi="Arial" w:cs="Arial"/>
          <w:sz w:val="24"/>
          <w:szCs w:val="24"/>
        </w:rPr>
        <w:lastRenderedPageBreak/>
        <w:t>integrated design-to-production system, further reinforcing the case for internalised entry.</w:t>
      </w:r>
    </w:p>
    <w:p w14:paraId="519B6238" w14:textId="77777777" w:rsidR="001C5589" w:rsidRPr="009F4657" w:rsidRDefault="001C5589" w:rsidP="001C5589">
      <w:pPr>
        <w:rPr>
          <w:rFonts w:ascii="Arial" w:hAnsi="Arial" w:cs="Arial"/>
          <w:sz w:val="28"/>
          <w:szCs w:val="28"/>
        </w:rPr>
      </w:pPr>
      <w:r w:rsidRPr="009F4657">
        <w:rPr>
          <w:rFonts w:ascii="Arial" w:hAnsi="Arial" w:cs="Arial"/>
          <w:sz w:val="28"/>
          <w:szCs w:val="28"/>
        </w:rPr>
        <w:t>Advanced supply chain capabilities</w:t>
      </w:r>
    </w:p>
    <w:p w14:paraId="5113DD21" w14:textId="77777777" w:rsidR="001C5589" w:rsidRPr="009F4657" w:rsidRDefault="001C5589" w:rsidP="001C5589">
      <w:pPr>
        <w:spacing w:line="360" w:lineRule="auto"/>
        <w:rPr>
          <w:rFonts w:ascii="Arial" w:hAnsi="Arial" w:cs="Arial"/>
          <w:sz w:val="24"/>
          <w:szCs w:val="24"/>
        </w:rPr>
      </w:pPr>
      <w:r w:rsidRPr="009F4657">
        <w:rPr>
          <w:rFonts w:ascii="Arial" w:hAnsi="Arial" w:cs="Arial"/>
          <w:sz w:val="24"/>
          <w:szCs w:val="24"/>
        </w:rPr>
        <w:t>IKEA’s global supply chain—characterised by scale efficiencies, long-term supplier partnerships and sustainable sourcing practices—represents a competitive advantage that local Indian furniture retailers could not easily replicate (Spring and Araujo, 2017). These capabilities necessitate strict control over logistics, inventory and supplier management. Fully owned operations in India enabled IKEA to integrate the new market into its existing supply chain architecture without compromising operational standards.</w:t>
      </w:r>
    </w:p>
    <w:p w14:paraId="02170C37" w14:textId="77777777" w:rsidR="001C5589" w:rsidRPr="009F4657" w:rsidRDefault="001C5589" w:rsidP="001C5589">
      <w:pPr>
        <w:rPr>
          <w:rFonts w:ascii="Arial" w:hAnsi="Arial" w:cs="Arial"/>
          <w:sz w:val="28"/>
          <w:szCs w:val="28"/>
        </w:rPr>
      </w:pPr>
      <w:r w:rsidRPr="009F4657">
        <w:rPr>
          <w:rFonts w:ascii="Arial" w:hAnsi="Arial" w:cs="Arial"/>
          <w:sz w:val="28"/>
          <w:szCs w:val="28"/>
        </w:rPr>
        <w:t>Financial strength and long-term investment capacity</w:t>
      </w:r>
    </w:p>
    <w:p w14:paraId="493C498F" w14:textId="380C82E3" w:rsidR="001C5589" w:rsidRPr="009F4657" w:rsidRDefault="001C5589" w:rsidP="001C5589">
      <w:pPr>
        <w:spacing w:line="360" w:lineRule="auto"/>
        <w:rPr>
          <w:rFonts w:ascii="Arial" w:hAnsi="Arial" w:cs="Arial"/>
          <w:sz w:val="24"/>
          <w:szCs w:val="24"/>
        </w:rPr>
      </w:pPr>
      <w:r w:rsidRPr="009F4657">
        <w:rPr>
          <w:rFonts w:ascii="Arial" w:hAnsi="Arial" w:cs="Arial"/>
          <w:sz w:val="24"/>
          <w:szCs w:val="24"/>
        </w:rPr>
        <w:t xml:space="preserve">Entering India required substantial upfront investment due to regulatory requirements mandating local sourcing and the high costs of developing large retail formats </w:t>
      </w:r>
      <w:r w:rsidR="00FA40CB">
        <w:rPr>
          <w:rFonts w:ascii="Arial" w:hAnsi="Arial" w:cs="Arial"/>
          <w:sz w:val="24"/>
          <w:szCs w:val="24"/>
        </w:rPr>
        <w:t>(Deloitte &amp; RAI, 2019)</w:t>
      </w:r>
      <w:r w:rsidRPr="009F4657">
        <w:rPr>
          <w:rFonts w:ascii="Arial" w:hAnsi="Arial" w:cs="Arial"/>
          <w:sz w:val="24"/>
          <w:szCs w:val="24"/>
        </w:rPr>
        <w:t>. IKEA’s robust financial structure, supported by its foundation governance system, equips it with the capacity to absorb long-term investments without short-term shareholder pressure (Baraldi, 2008). Ownership advantages therefore strengthened IKEA’s ability to commit to a high-control entry mode.</w:t>
      </w:r>
    </w:p>
    <w:p w14:paraId="28DED9E8" w14:textId="77777777" w:rsidR="001C5589" w:rsidRPr="009F4657" w:rsidRDefault="001C5589" w:rsidP="001C5589">
      <w:pPr>
        <w:spacing w:line="360" w:lineRule="auto"/>
        <w:rPr>
          <w:rFonts w:ascii="Arial" w:hAnsi="Arial" w:cs="Arial"/>
          <w:sz w:val="24"/>
          <w:szCs w:val="24"/>
        </w:rPr>
      </w:pPr>
      <w:r w:rsidRPr="009F4657">
        <w:rPr>
          <w:rFonts w:ascii="Arial" w:hAnsi="Arial" w:cs="Arial"/>
          <w:sz w:val="24"/>
          <w:szCs w:val="24"/>
        </w:rPr>
        <w:t>Taken together, these ownership advantages created strong incentives for IKEA to retain complete operational and strategic control in India, favouring a wholly owned subsidiary model.</w:t>
      </w:r>
    </w:p>
    <w:p w14:paraId="085A536E" w14:textId="77777777" w:rsidR="001C5589" w:rsidRPr="009F4657" w:rsidRDefault="001C5589" w:rsidP="001C5589">
      <w:pPr>
        <w:rPr>
          <w:rFonts w:ascii="Arial" w:hAnsi="Arial" w:cs="Arial"/>
          <w:sz w:val="28"/>
          <w:szCs w:val="28"/>
        </w:rPr>
      </w:pPr>
      <w:r w:rsidRPr="009F4657">
        <w:rPr>
          <w:rFonts w:ascii="Arial" w:hAnsi="Arial" w:cs="Arial"/>
          <w:sz w:val="28"/>
          <w:szCs w:val="28"/>
        </w:rPr>
        <w:t>Location advantages</w:t>
      </w:r>
    </w:p>
    <w:p w14:paraId="0C3F54A4" w14:textId="77777777" w:rsidR="001C5589" w:rsidRPr="009F4657" w:rsidRDefault="001C5589" w:rsidP="001C5589">
      <w:pPr>
        <w:spacing w:line="360" w:lineRule="auto"/>
        <w:rPr>
          <w:rFonts w:ascii="Arial" w:hAnsi="Arial" w:cs="Arial"/>
          <w:sz w:val="24"/>
          <w:szCs w:val="24"/>
        </w:rPr>
      </w:pPr>
      <w:r w:rsidRPr="009F4657">
        <w:rPr>
          <w:rFonts w:ascii="Arial" w:hAnsi="Arial" w:cs="Arial"/>
          <w:sz w:val="24"/>
          <w:szCs w:val="24"/>
        </w:rPr>
        <w:t>Location advantages concern the benefits a host country provides that attract foreign investment, such as market potential, natural resources, labour costs or institutional incentives (Dunning, 1998). India offers a distinct set of location advantages that align closely with IKEA’s long-term strategic objectives.</w:t>
      </w:r>
    </w:p>
    <w:p w14:paraId="749EDB76" w14:textId="77777777" w:rsidR="001C5589" w:rsidRPr="009F4657" w:rsidRDefault="001C5589" w:rsidP="001C5589">
      <w:pPr>
        <w:rPr>
          <w:rFonts w:ascii="Arial" w:hAnsi="Arial" w:cs="Arial"/>
          <w:sz w:val="28"/>
          <w:szCs w:val="28"/>
        </w:rPr>
      </w:pPr>
      <w:r w:rsidRPr="009F4657">
        <w:rPr>
          <w:rFonts w:ascii="Arial" w:hAnsi="Arial" w:cs="Arial"/>
          <w:sz w:val="28"/>
          <w:szCs w:val="28"/>
        </w:rPr>
        <w:t>Large and growing consumer market</w:t>
      </w:r>
    </w:p>
    <w:p w14:paraId="0D562D70" w14:textId="77777777" w:rsidR="001C5589" w:rsidRPr="009F4657" w:rsidRDefault="001C5589" w:rsidP="001C5589">
      <w:pPr>
        <w:spacing w:line="360" w:lineRule="auto"/>
        <w:rPr>
          <w:rFonts w:ascii="Arial" w:hAnsi="Arial" w:cs="Arial"/>
          <w:sz w:val="24"/>
          <w:szCs w:val="24"/>
        </w:rPr>
      </w:pPr>
      <w:r w:rsidRPr="009F4657">
        <w:rPr>
          <w:rFonts w:ascii="Arial" w:hAnsi="Arial" w:cs="Arial"/>
          <w:sz w:val="24"/>
          <w:szCs w:val="24"/>
        </w:rPr>
        <w:t>India’s expanding middle class, rising urbanisation and demographic profile represent powerful demand-side advantages (Statista, 2023). The Indian home furnishing market is expected to grow rapidly due to increasing home ownership and lifestyle aspirations (PwC, 2020). For IKEA, these conditions create a lucrative long-</w:t>
      </w:r>
      <w:r w:rsidRPr="009F4657">
        <w:rPr>
          <w:rFonts w:ascii="Arial" w:hAnsi="Arial" w:cs="Arial"/>
          <w:sz w:val="24"/>
          <w:szCs w:val="24"/>
        </w:rPr>
        <w:lastRenderedPageBreak/>
        <w:t>term growth opportunity, one that justified the sunk costs associated with establishing wholly owned stores.</w:t>
      </w:r>
    </w:p>
    <w:p w14:paraId="3E19E6FF" w14:textId="77777777" w:rsidR="001C5589" w:rsidRPr="009F4657" w:rsidRDefault="001C5589" w:rsidP="001C5589">
      <w:pPr>
        <w:rPr>
          <w:rFonts w:ascii="Arial" w:hAnsi="Arial" w:cs="Arial"/>
          <w:sz w:val="28"/>
          <w:szCs w:val="28"/>
        </w:rPr>
      </w:pPr>
      <w:r w:rsidRPr="009F4657">
        <w:rPr>
          <w:rFonts w:ascii="Arial" w:hAnsi="Arial" w:cs="Arial"/>
          <w:sz w:val="28"/>
          <w:szCs w:val="28"/>
        </w:rPr>
        <w:t>Local sourcing potential</w:t>
      </w:r>
    </w:p>
    <w:p w14:paraId="02BF9F27" w14:textId="28A07F62" w:rsidR="001C5589" w:rsidRPr="009F4657" w:rsidRDefault="001C5589" w:rsidP="001C5589">
      <w:pPr>
        <w:spacing w:line="360" w:lineRule="auto"/>
        <w:rPr>
          <w:rFonts w:ascii="Arial" w:hAnsi="Arial" w:cs="Arial"/>
          <w:sz w:val="24"/>
          <w:szCs w:val="24"/>
        </w:rPr>
      </w:pPr>
      <w:r w:rsidRPr="009F4657">
        <w:rPr>
          <w:rFonts w:ascii="Arial" w:hAnsi="Arial" w:cs="Arial"/>
          <w:sz w:val="24"/>
          <w:szCs w:val="24"/>
        </w:rPr>
        <w:t xml:space="preserve">India offers abundant sourcing opportunities, particularly in textiles, carpets, handicrafts and light manufacturing—categories that are central to IKEA’s global assortment </w:t>
      </w:r>
      <w:r w:rsidR="00FA40CB">
        <w:rPr>
          <w:rFonts w:ascii="Arial" w:hAnsi="Arial" w:cs="Arial"/>
          <w:sz w:val="24"/>
          <w:szCs w:val="24"/>
        </w:rPr>
        <w:t>(Deloitte &amp; RAI, 2019)</w:t>
      </w:r>
      <w:r w:rsidRPr="009F4657">
        <w:rPr>
          <w:rFonts w:ascii="Arial" w:hAnsi="Arial" w:cs="Arial"/>
          <w:sz w:val="24"/>
          <w:szCs w:val="24"/>
        </w:rPr>
        <w:t>. The availability of cost-efficient, skilled labour further strengthens India’s attractiveness as a supplier base. The Indian government’s 30% local sourcing requirement for FDI in single-brand retail also encouraged IKEA to deepen local supplier relationships. By internalising operations, IKEA positioned itself to more effectively coordinate sourcing and ensure compliance with both internal and external standards.</w:t>
      </w:r>
    </w:p>
    <w:p w14:paraId="0C495ED5" w14:textId="77777777" w:rsidR="001C5589" w:rsidRPr="009F4657" w:rsidRDefault="001C5589" w:rsidP="001C5589">
      <w:pPr>
        <w:rPr>
          <w:rFonts w:ascii="Arial" w:hAnsi="Arial" w:cs="Arial"/>
          <w:sz w:val="28"/>
          <w:szCs w:val="28"/>
        </w:rPr>
      </w:pPr>
      <w:r w:rsidRPr="009F4657">
        <w:rPr>
          <w:rFonts w:ascii="Arial" w:hAnsi="Arial" w:cs="Arial"/>
          <w:sz w:val="28"/>
          <w:szCs w:val="28"/>
        </w:rPr>
        <w:t>Government incentives and regulatory changes</w:t>
      </w:r>
    </w:p>
    <w:p w14:paraId="75C7C5AE" w14:textId="77777777" w:rsidR="001C5589" w:rsidRPr="009F4657" w:rsidRDefault="001C5589" w:rsidP="001C5589">
      <w:pPr>
        <w:spacing w:line="360" w:lineRule="auto"/>
        <w:rPr>
          <w:rFonts w:ascii="Arial" w:hAnsi="Arial" w:cs="Arial"/>
          <w:sz w:val="24"/>
          <w:szCs w:val="24"/>
        </w:rPr>
      </w:pPr>
      <w:r w:rsidRPr="009F4657">
        <w:rPr>
          <w:rFonts w:ascii="Arial" w:hAnsi="Arial" w:cs="Arial"/>
          <w:sz w:val="24"/>
          <w:szCs w:val="24"/>
        </w:rPr>
        <w:t>India’s gradual liberalisation of foreign direct investment rules has created more favourable conditions for international retailers (Government of India, 2018). Once 100% FDI in single-brand retail was permitted, IKEA gained the legal freedom to establish fully owned stores. This regulatory opening was a key location advantage—without it, franchising or joint ventures would have been the only viable options.</w:t>
      </w:r>
    </w:p>
    <w:p w14:paraId="0BF78CCE" w14:textId="77777777" w:rsidR="001C5589" w:rsidRPr="009F4657" w:rsidRDefault="001C5589" w:rsidP="001C5589">
      <w:pPr>
        <w:rPr>
          <w:rFonts w:ascii="Arial" w:hAnsi="Arial" w:cs="Arial"/>
          <w:sz w:val="28"/>
          <w:szCs w:val="28"/>
        </w:rPr>
      </w:pPr>
      <w:r w:rsidRPr="009F4657">
        <w:rPr>
          <w:rFonts w:ascii="Arial" w:hAnsi="Arial" w:cs="Arial"/>
          <w:sz w:val="28"/>
          <w:szCs w:val="28"/>
        </w:rPr>
        <w:t>Geopolitical and supply chain diversification</w:t>
      </w:r>
    </w:p>
    <w:p w14:paraId="32E1750E" w14:textId="77777777" w:rsidR="001C5589" w:rsidRPr="009F4657" w:rsidRDefault="001C5589" w:rsidP="001C5589">
      <w:pPr>
        <w:spacing w:line="360" w:lineRule="auto"/>
        <w:rPr>
          <w:rFonts w:ascii="Arial" w:hAnsi="Arial" w:cs="Arial"/>
          <w:sz w:val="24"/>
          <w:szCs w:val="24"/>
        </w:rPr>
      </w:pPr>
      <w:r w:rsidRPr="009F4657">
        <w:rPr>
          <w:rFonts w:ascii="Arial" w:hAnsi="Arial" w:cs="Arial"/>
          <w:sz w:val="24"/>
          <w:szCs w:val="24"/>
        </w:rPr>
        <w:t>Shifts in global supply chain strategies have encouraged firms to diversify production beyond China (Ghemawat, 2018). India’s growing manufacturing capabilities make it an increasingly attractive alternative. IKEA’s decision to internalise operations in India thus reflected not only domestic opportunities but also broader global supply chain risk considerations.</w:t>
      </w:r>
    </w:p>
    <w:p w14:paraId="0E547919" w14:textId="77777777" w:rsidR="001C5589" w:rsidRPr="009F4657" w:rsidRDefault="001C5589" w:rsidP="001C5589">
      <w:pPr>
        <w:rPr>
          <w:rFonts w:ascii="Arial" w:hAnsi="Arial" w:cs="Arial"/>
          <w:sz w:val="28"/>
          <w:szCs w:val="28"/>
        </w:rPr>
      </w:pPr>
      <w:r w:rsidRPr="009F4657">
        <w:rPr>
          <w:rFonts w:ascii="Arial" w:hAnsi="Arial" w:cs="Arial"/>
          <w:sz w:val="28"/>
          <w:szCs w:val="28"/>
        </w:rPr>
        <w:t>Operating challenges as countervailing location factors</w:t>
      </w:r>
    </w:p>
    <w:p w14:paraId="59B673D8" w14:textId="77777777" w:rsidR="001C5589" w:rsidRPr="009F4657" w:rsidRDefault="001C5589" w:rsidP="001C5589">
      <w:pPr>
        <w:spacing w:line="360" w:lineRule="auto"/>
        <w:rPr>
          <w:rFonts w:ascii="Arial" w:hAnsi="Arial" w:cs="Arial"/>
          <w:sz w:val="24"/>
          <w:szCs w:val="24"/>
        </w:rPr>
      </w:pPr>
      <w:r w:rsidRPr="009F4657">
        <w:rPr>
          <w:rFonts w:ascii="Arial" w:hAnsi="Arial" w:cs="Arial"/>
          <w:sz w:val="24"/>
          <w:szCs w:val="24"/>
        </w:rPr>
        <w:t xml:space="preserve">Despite these advantages, India also presents location-specific challenges, including infrastructural limitations, bureaucratic complexity and fragmented retail markets (Kapur and Ray, 2019). These factors could have undermined operational efficiency if IKEA had relied on local partners unfamiliar with its business model. By maintaining internal control, IKEA mitigated the risk that external partners would </w:t>
      </w:r>
      <w:r w:rsidRPr="009F4657">
        <w:rPr>
          <w:rFonts w:ascii="Arial" w:hAnsi="Arial" w:cs="Arial"/>
          <w:sz w:val="24"/>
          <w:szCs w:val="24"/>
        </w:rPr>
        <w:lastRenderedPageBreak/>
        <w:t>struggle to meet its requirements related to logistics, supply chain integration and customer experience.</w:t>
      </w:r>
    </w:p>
    <w:p w14:paraId="47871569" w14:textId="77777777" w:rsidR="001C5589" w:rsidRPr="009F4657" w:rsidRDefault="001C5589" w:rsidP="001C5589">
      <w:pPr>
        <w:spacing w:line="360" w:lineRule="auto"/>
        <w:rPr>
          <w:rFonts w:ascii="Arial" w:hAnsi="Arial" w:cs="Arial"/>
          <w:sz w:val="24"/>
          <w:szCs w:val="24"/>
        </w:rPr>
      </w:pPr>
      <w:r w:rsidRPr="009F4657">
        <w:rPr>
          <w:rFonts w:ascii="Arial" w:hAnsi="Arial" w:cs="Arial"/>
          <w:sz w:val="24"/>
          <w:szCs w:val="24"/>
        </w:rPr>
        <w:t>The net effect of India’s location advantages was therefore supportive of an internalised, high-commitment entry mode, complementing IKEA’s ownership strengths.</w:t>
      </w:r>
    </w:p>
    <w:p w14:paraId="244D4539" w14:textId="77777777" w:rsidR="001C5589" w:rsidRPr="009F4657" w:rsidRDefault="001C5589" w:rsidP="001C5589">
      <w:pPr>
        <w:rPr>
          <w:rFonts w:ascii="Arial" w:hAnsi="Arial" w:cs="Arial"/>
          <w:sz w:val="28"/>
          <w:szCs w:val="28"/>
        </w:rPr>
      </w:pPr>
      <w:r w:rsidRPr="009F4657">
        <w:rPr>
          <w:rFonts w:ascii="Arial" w:hAnsi="Arial" w:cs="Arial"/>
          <w:sz w:val="28"/>
          <w:szCs w:val="28"/>
        </w:rPr>
        <w:t>Internalisation advantages</w:t>
      </w:r>
    </w:p>
    <w:p w14:paraId="43655AA6" w14:textId="77777777" w:rsidR="001C5589" w:rsidRPr="009F4657" w:rsidRDefault="001C5589" w:rsidP="001C5589">
      <w:pPr>
        <w:spacing w:line="360" w:lineRule="auto"/>
        <w:rPr>
          <w:rFonts w:ascii="Arial" w:hAnsi="Arial" w:cs="Arial"/>
          <w:sz w:val="24"/>
          <w:szCs w:val="24"/>
        </w:rPr>
      </w:pPr>
      <w:r w:rsidRPr="009F4657">
        <w:rPr>
          <w:rFonts w:ascii="Arial" w:hAnsi="Arial" w:cs="Arial"/>
          <w:sz w:val="24"/>
          <w:szCs w:val="24"/>
        </w:rPr>
        <w:t>Internalisation advantages describe a firm’s incentives to exert direct control over foreign operations rather than contract with external partners (Rugman and Verbeke, 2003). For IKEA, these advantages were particularly strong in India.</w:t>
      </w:r>
    </w:p>
    <w:p w14:paraId="22535BF6" w14:textId="77777777" w:rsidR="001C5589" w:rsidRPr="009F4657" w:rsidRDefault="001C5589" w:rsidP="001C5589">
      <w:pPr>
        <w:rPr>
          <w:rFonts w:ascii="Arial" w:hAnsi="Arial" w:cs="Arial"/>
          <w:sz w:val="28"/>
          <w:szCs w:val="28"/>
        </w:rPr>
      </w:pPr>
      <w:r w:rsidRPr="009F4657">
        <w:rPr>
          <w:rFonts w:ascii="Arial" w:hAnsi="Arial" w:cs="Arial"/>
          <w:sz w:val="28"/>
          <w:szCs w:val="28"/>
        </w:rPr>
        <w:t>Protection of product and process quality</w:t>
      </w:r>
    </w:p>
    <w:p w14:paraId="72FBB50B" w14:textId="77777777" w:rsidR="001C5589" w:rsidRPr="009F4657" w:rsidRDefault="001C5589" w:rsidP="001C5589">
      <w:pPr>
        <w:spacing w:line="360" w:lineRule="auto"/>
        <w:rPr>
          <w:rFonts w:ascii="Arial" w:hAnsi="Arial" w:cs="Arial"/>
          <w:sz w:val="24"/>
          <w:szCs w:val="24"/>
        </w:rPr>
      </w:pPr>
      <w:r w:rsidRPr="009F4657">
        <w:rPr>
          <w:rFonts w:ascii="Arial" w:hAnsi="Arial" w:cs="Arial"/>
          <w:sz w:val="24"/>
          <w:szCs w:val="24"/>
        </w:rPr>
        <w:t>IKEA’s business model relies on tight control over store layout, product presentation and customer experience. Entrusting these elements to franchise partners in India—where retail standards vary widely—would risk inconsistencies that could damage the brand (Jonsson and Foss, 2011). Internalisation therefore offered IKEA the ability to maintain its global standards.</w:t>
      </w:r>
    </w:p>
    <w:p w14:paraId="3D5D6E8B" w14:textId="77777777" w:rsidR="001C5589" w:rsidRPr="009F4657" w:rsidRDefault="001C5589" w:rsidP="001C5589">
      <w:pPr>
        <w:rPr>
          <w:rFonts w:ascii="Arial" w:hAnsi="Arial" w:cs="Arial"/>
          <w:sz w:val="28"/>
          <w:szCs w:val="28"/>
        </w:rPr>
      </w:pPr>
      <w:r w:rsidRPr="009F4657">
        <w:rPr>
          <w:rFonts w:ascii="Arial" w:hAnsi="Arial" w:cs="Arial"/>
          <w:sz w:val="28"/>
          <w:szCs w:val="28"/>
        </w:rPr>
        <w:t>Safeguarding intellectual property and design integrity</w:t>
      </w:r>
    </w:p>
    <w:p w14:paraId="4466949A" w14:textId="77777777" w:rsidR="001C5589" w:rsidRPr="009F4657" w:rsidRDefault="001C5589" w:rsidP="001C5589">
      <w:pPr>
        <w:spacing w:line="360" w:lineRule="auto"/>
        <w:rPr>
          <w:rFonts w:ascii="Arial" w:hAnsi="Arial" w:cs="Arial"/>
          <w:sz w:val="24"/>
          <w:szCs w:val="24"/>
        </w:rPr>
      </w:pPr>
      <w:r w:rsidRPr="009F4657">
        <w:rPr>
          <w:rFonts w:ascii="Arial" w:hAnsi="Arial" w:cs="Arial"/>
          <w:sz w:val="24"/>
          <w:szCs w:val="24"/>
        </w:rPr>
        <w:t>Although IKEA primarily relies on outsourcing for manufacturing, its product designs, proprietary packaging systems and logistics processes represent valuable intangible assets (Edvardsson and Enquist, 2011). A franchising or joint venture model would introduce additional risks of knowledge leakage or misappropriation, particularly in the highly competitive Indian furniture market.</w:t>
      </w:r>
    </w:p>
    <w:p w14:paraId="2E5FA413" w14:textId="77777777" w:rsidR="001C5589" w:rsidRPr="009F4657" w:rsidRDefault="001C5589" w:rsidP="001C5589">
      <w:pPr>
        <w:rPr>
          <w:rFonts w:ascii="Arial" w:hAnsi="Arial" w:cs="Arial"/>
          <w:sz w:val="28"/>
          <w:szCs w:val="28"/>
        </w:rPr>
      </w:pPr>
      <w:r w:rsidRPr="009F4657">
        <w:rPr>
          <w:rFonts w:ascii="Arial" w:hAnsi="Arial" w:cs="Arial"/>
          <w:sz w:val="28"/>
          <w:szCs w:val="28"/>
        </w:rPr>
        <w:t>Supply chain coordination</w:t>
      </w:r>
    </w:p>
    <w:p w14:paraId="2626355C" w14:textId="77777777" w:rsidR="001C5589" w:rsidRPr="009F4657" w:rsidRDefault="001C5589" w:rsidP="001C5589">
      <w:pPr>
        <w:spacing w:line="360" w:lineRule="auto"/>
        <w:rPr>
          <w:rFonts w:ascii="Arial" w:hAnsi="Arial" w:cs="Arial"/>
          <w:sz w:val="24"/>
          <w:szCs w:val="24"/>
        </w:rPr>
      </w:pPr>
      <w:r w:rsidRPr="009F4657">
        <w:rPr>
          <w:rFonts w:ascii="Arial" w:hAnsi="Arial" w:cs="Arial"/>
          <w:sz w:val="24"/>
          <w:szCs w:val="24"/>
        </w:rPr>
        <w:t>IKEA’s tightly integrated supply chain requires seamless coordination across sourcing, manufacturing, logistics and retailing (Christopher, 2016). Fragmentation of control across different actors would undermine cost efficiencies and hinder the implementation of sustainability initiatives. Internalisation ensures that suppliers meet IKEA’s standards, particularly regarding labour practices and environmental performance.</w:t>
      </w:r>
    </w:p>
    <w:p w14:paraId="22D9D6B3" w14:textId="77777777" w:rsidR="001C5589" w:rsidRPr="009F4657" w:rsidRDefault="001C5589" w:rsidP="001C5589">
      <w:pPr>
        <w:rPr>
          <w:rFonts w:ascii="Arial" w:hAnsi="Arial" w:cs="Arial"/>
          <w:sz w:val="28"/>
          <w:szCs w:val="28"/>
        </w:rPr>
      </w:pPr>
      <w:r w:rsidRPr="009F4657">
        <w:rPr>
          <w:rFonts w:ascii="Arial" w:hAnsi="Arial" w:cs="Arial"/>
          <w:sz w:val="28"/>
          <w:szCs w:val="28"/>
        </w:rPr>
        <w:t>Cultural adaptation and operational learning</w:t>
      </w:r>
    </w:p>
    <w:p w14:paraId="1A0E676C" w14:textId="77777777" w:rsidR="001C5589" w:rsidRPr="009F4657" w:rsidRDefault="001C5589" w:rsidP="001C5589">
      <w:pPr>
        <w:spacing w:line="360" w:lineRule="auto"/>
        <w:rPr>
          <w:rFonts w:ascii="Arial" w:hAnsi="Arial" w:cs="Arial"/>
          <w:sz w:val="24"/>
          <w:szCs w:val="24"/>
        </w:rPr>
      </w:pPr>
      <w:r w:rsidRPr="009F4657">
        <w:rPr>
          <w:rFonts w:ascii="Arial" w:hAnsi="Arial" w:cs="Arial"/>
          <w:sz w:val="24"/>
          <w:szCs w:val="24"/>
        </w:rPr>
        <w:lastRenderedPageBreak/>
        <w:t>Entering a culturally complex and heterogeneous market such as India requires ongoing learning. Internal control facilitates direct customer engagement, deeper market insights and faster adaptation of offerings—capabilities that franchising would limit (Kapur and Ray, 2019).</w:t>
      </w:r>
    </w:p>
    <w:p w14:paraId="35A25E45" w14:textId="77777777" w:rsidR="001C5589" w:rsidRPr="009F4657" w:rsidRDefault="001C5589" w:rsidP="001C5589">
      <w:pPr>
        <w:rPr>
          <w:rFonts w:ascii="Arial" w:hAnsi="Arial" w:cs="Arial"/>
          <w:sz w:val="28"/>
          <w:szCs w:val="28"/>
        </w:rPr>
      </w:pPr>
      <w:r w:rsidRPr="009F4657">
        <w:rPr>
          <w:rFonts w:ascii="Arial" w:hAnsi="Arial" w:cs="Arial"/>
          <w:sz w:val="28"/>
          <w:szCs w:val="28"/>
        </w:rPr>
        <w:t>Regulatory risk management</w:t>
      </w:r>
    </w:p>
    <w:p w14:paraId="31075436" w14:textId="2F6C1A87" w:rsidR="001C5589" w:rsidRPr="009F4657" w:rsidRDefault="001C5589" w:rsidP="001C5589">
      <w:pPr>
        <w:spacing w:line="360" w:lineRule="auto"/>
        <w:rPr>
          <w:rFonts w:ascii="Arial" w:hAnsi="Arial" w:cs="Arial"/>
          <w:sz w:val="24"/>
          <w:szCs w:val="24"/>
        </w:rPr>
      </w:pPr>
      <w:r w:rsidRPr="009F4657">
        <w:rPr>
          <w:rFonts w:ascii="Arial" w:hAnsi="Arial" w:cs="Arial"/>
          <w:sz w:val="24"/>
          <w:szCs w:val="24"/>
        </w:rPr>
        <w:t xml:space="preserve">India’s evolving regulatory landscape makes compliance an ongoing challenge. Internalisation reduces ambiguity by allowing IKEA to manage legal requirements directly, rather than relying on local partners who may interpret or prioritise compliance differently </w:t>
      </w:r>
      <w:r w:rsidR="00FA40CB">
        <w:rPr>
          <w:rFonts w:ascii="Arial" w:hAnsi="Arial" w:cs="Arial"/>
          <w:sz w:val="24"/>
          <w:szCs w:val="24"/>
        </w:rPr>
        <w:t>(Deloitte &amp; RAI, 2019)</w:t>
      </w:r>
      <w:r w:rsidRPr="009F4657">
        <w:rPr>
          <w:rFonts w:ascii="Arial" w:hAnsi="Arial" w:cs="Arial"/>
          <w:sz w:val="24"/>
          <w:szCs w:val="24"/>
        </w:rPr>
        <w:t>.</w:t>
      </w:r>
    </w:p>
    <w:p w14:paraId="0136589D" w14:textId="77777777" w:rsidR="001C5589" w:rsidRPr="009F4657" w:rsidRDefault="001C5589" w:rsidP="001C5589">
      <w:pPr>
        <w:spacing w:line="360" w:lineRule="auto"/>
        <w:rPr>
          <w:rFonts w:ascii="Arial" w:hAnsi="Arial" w:cs="Arial"/>
          <w:sz w:val="24"/>
          <w:szCs w:val="24"/>
        </w:rPr>
      </w:pPr>
      <w:r w:rsidRPr="009F4657">
        <w:rPr>
          <w:rFonts w:ascii="Arial" w:hAnsi="Arial" w:cs="Arial"/>
          <w:sz w:val="24"/>
          <w:szCs w:val="24"/>
        </w:rPr>
        <w:t>Overall, internalisation advantages strongly supported IKEA’s decision to operate through wholly owned subsidiaries, enabling the firm to uphold its business model and mitigate operational risks.</w:t>
      </w:r>
    </w:p>
    <w:p w14:paraId="1CF22CF8" w14:textId="77777777" w:rsidR="001C5589" w:rsidRPr="009F4657" w:rsidRDefault="001C5589" w:rsidP="001C5589">
      <w:pPr>
        <w:rPr>
          <w:rFonts w:ascii="Arial" w:hAnsi="Arial" w:cs="Arial"/>
          <w:sz w:val="28"/>
          <w:szCs w:val="28"/>
        </w:rPr>
      </w:pPr>
      <w:r w:rsidRPr="009F4657">
        <w:rPr>
          <w:rFonts w:ascii="Arial" w:hAnsi="Arial" w:cs="Arial"/>
          <w:sz w:val="28"/>
          <w:szCs w:val="28"/>
        </w:rPr>
        <w:t>Impact of OLI on IKEA’s entry mode in India</w:t>
      </w:r>
    </w:p>
    <w:p w14:paraId="11B3E6D6" w14:textId="77777777" w:rsidR="001C5589" w:rsidRPr="009F4657" w:rsidRDefault="001C5589" w:rsidP="001C5589">
      <w:pPr>
        <w:spacing w:line="360" w:lineRule="auto"/>
        <w:rPr>
          <w:rFonts w:ascii="Arial" w:hAnsi="Arial" w:cs="Arial"/>
          <w:sz w:val="24"/>
          <w:szCs w:val="24"/>
        </w:rPr>
      </w:pPr>
      <w:r w:rsidRPr="009F4657">
        <w:rPr>
          <w:rFonts w:ascii="Arial" w:hAnsi="Arial" w:cs="Arial"/>
          <w:sz w:val="24"/>
          <w:szCs w:val="24"/>
        </w:rPr>
        <w:t>The interaction of Ownership, Location and Internalisation advantages clearly indicates why IKEA selected a wholly owned subsidiary as its entry mode in India.</w:t>
      </w:r>
    </w:p>
    <w:p w14:paraId="3DAB5C52" w14:textId="77777777" w:rsidR="001C5589" w:rsidRPr="009F4657" w:rsidRDefault="001C5589" w:rsidP="001C5589">
      <w:pPr>
        <w:numPr>
          <w:ilvl w:val="0"/>
          <w:numId w:val="1"/>
        </w:numPr>
        <w:spacing w:line="360" w:lineRule="auto"/>
        <w:rPr>
          <w:rFonts w:ascii="Arial" w:hAnsi="Arial" w:cs="Arial"/>
          <w:sz w:val="24"/>
          <w:szCs w:val="24"/>
        </w:rPr>
      </w:pPr>
      <w:r w:rsidRPr="009F4657">
        <w:rPr>
          <w:rFonts w:ascii="Arial" w:hAnsi="Arial" w:cs="Arial"/>
          <w:sz w:val="24"/>
          <w:szCs w:val="24"/>
        </w:rPr>
        <w:t>Ownership advantages—particularly brand reputation, design capabilities and financial strength—created a strong need for strategic and operational control.</w:t>
      </w:r>
    </w:p>
    <w:p w14:paraId="72019D4D" w14:textId="77777777" w:rsidR="001C5589" w:rsidRPr="009F4657" w:rsidRDefault="001C5589" w:rsidP="001C5589">
      <w:pPr>
        <w:numPr>
          <w:ilvl w:val="0"/>
          <w:numId w:val="1"/>
        </w:numPr>
        <w:spacing w:line="360" w:lineRule="auto"/>
        <w:rPr>
          <w:rFonts w:ascii="Arial" w:hAnsi="Arial" w:cs="Arial"/>
          <w:sz w:val="24"/>
          <w:szCs w:val="24"/>
        </w:rPr>
      </w:pPr>
      <w:r w:rsidRPr="009F4657">
        <w:rPr>
          <w:rFonts w:ascii="Arial" w:hAnsi="Arial" w:cs="Arial"/>
          <w:sz w:val="24"/>
          <w:szCs w:val="24"/>
        </w:rPr>
        <w:t>Location advantages—including market size, sourcing potential and regulatory liberalisation—made India an attractive site for long-term investment.</w:t>
      </w:r>
    </w:p>
    <w:p w14:paraId="42FC7D85" w14:textId="77777777" w:rsidR="001C5589" w:rsidRPr="009F4657" w:rsidRDefault="001C5589" w:rsidP="001C5589">
      <w:pPr>
        <w:numPr>
          <w:ilvl w:val="0"/>
          <w:numId w:val="1"/>
        </w:numPr>
        <w:spacing w:line="360" w:lineRule="auto"/>
        <w:rPr>
          <w:rFonts w:ascii="Arial" w:hAnsi="Arial" w:cs="Arial"/>
          <w:sz w:val="24"/>
          <w:szCs w:val="24"/>
        </w:rPr>
      </w:pPr>
      <w:r w:rsidRPr="009F4657">
        <w:rPr>
          <w:rFonts w:ascii="Arial" w:hAnsi="Arial" w:cs="Arial"/>
          <w:sz w:val="24"/>
          <w:szCs w:val="24"/>
        </w:rPr>
        <w:t>Internalisation advantages—related to quality control, supply chain integration and knowledge protection—made external partnerships less appealing.</w:t>
      </w:r>
    </w:p>
    <w:p w14:paraId="6B683C8B" w14:textId="77777777" w:rsidR="001C5589" w:rsidRPr="009F4657" w:rsidRDefault="001C5589" w:rsidP="001C5589">
      <w:pPr>
        <w:spacing w:line="360" w:lineRule="auto"/>
        <w:rPr>
          <w:rFonts w:ascii="Arial" w:hAnsi="Arial" w:cs="Arial"/>
          <w:sz w:val="24"/>
          <w:szCs w:val="24"/>
        </w:rPr>
      </w:pPr>
      <w:r w:rsidRPr="009F4657">
        <w:rPr>
          <w:rFonts w:ascii="Arial" w:hAnsi="Arial" w:cs="Arial"/>
          <w:sz w:val="24"/>
          <w:szCs w:val="24"/>
        </w:rPr>
        <w:t>Although India’s regulatory and infrastructural challenges posed potential barriers, these factors further strengthened the case for internalisation, as IKEA required full control to maintain its global standards.</w:t>
      </w:r>
    </w:p>
    <w:p w14:paraId="18E7898C" w14:textId="77777777" w:rsidR="001C5589" w:rsidRPr="009F4657" w:rsidRDefault="001C5589" w:rsidP="001C5589">
      <w:pPr>
        <w:spacing w:line="360" w:lineRule="auto"/>
        <w:rPr>
          <w:rFonts w:ascii="Arial" w:hAnsi="Arial" w:cs="Arial"/>
          <w:sz w:val="24"/>
          <w:szCs w:val="24"/>
        </w:rPr>
      </w:pPr>
      <w:r w:rsidRPr="009F4657">
        <w:rPr>
          <w:rFonts w:ascii="Arial" w:hAnsi="Arial" w:cs="Arial"/>
          <w:sz w:val="24"/>
          <w:szCs w:val="24"/>
        </w:rPr>
        <w:t>Collectively, the OLI framework demonstrates that IKEA’s market entry strategy was shaped by the complementarity of its ownership strengths, India’s market and supply-side potential, and the need for internal control to safeguard its business model.</w:t>
      </w:r>
    </w:p>
    <w:p w14:paraId="5DC6CFA9" w14:textId="031B5783" w:rsidR="001C5589" w:rsidRDefault="001C5589" w:rsidP="00593E65">
      <w:pPr>
        <w:spacing w:line="360" w:lineRule="auto"/>
        <w:rPr>
          <w:rFonts w:ascii="Arial" w:hAnsi="Arial" w:cs="Arial"/>
          <w:sz w:val="24"/>
          <w:szCs w:val="24"/>
        </w:rPr>
      </w:pPr>
    </w:p>
    <w:p w14:paraId="3AE430A6" w14:textId="77777777" w:rsidR="00A81E33" w:rsidRPr="009F4657" w:rsidRDefault="00A81E33" w:rsidP="00A81E33">
      <w:pPr>
        <w:pStyle w:val="Heading1"/>
        <w:rPr>
          <w:rFonts w:ascii="Arial" w:hAnsi="Arial" w:cs="Arial"/>
        </w:rPr>
      </w:pPr>
      <w:bookmarkStart w:id="15" w:name="_Toc214304703"/>
      <w:bookmarkStart w:id="16" w:name="_Toc214475473"/>
      <w:bookmarkStart w:id="17" w:name="_Toc214479626"/>
      <w:r w:rsidRPr="009F4657">
        <w:rPr>
          <w:rFonts w:ascii="Arial" w:hAnsi="Arial" w:cs="Arial"/>
        </w:rPr>
        <w:lastRenderedPageBreak/>
        <w:t>4. Cultural Differences and Their Impact on Strategy and Success</w:t>
      </w:r>
      <w:bookmarkEnd w:id="15"/>
      <w:bookmarkEnd w:id="16"/>
      <w:bookmarkEnd w:id="17"/>
    </w:p>
    <w:p w14:paraId="5F2B111E" w14:textId="77777777" w:rsidR="00A81E33" w:rsidRPr="00717134" w:rsidRDefault="00A81E33" w:rsidP="00A81E33">
      <w:pPr>
        <w:spacing w:line="360" w:lineRule="auto"/>
        <w:rPr>
          <w:rFonts w:ascii="Arial" w:hAnsi="Arial" w:cs="Arial"/>
          <w:sz w:val="24"/>
          <w:szCs w:val="24"/>
        </w:rPr>
      </w:pPr>
      <w:r w:rsidRPr="00717134">
        <w:rPr>
          <w:rFonts w:ascii="Arial" w:hAnsi="Arial" w:cs="Arial"/>
          <w:sz w:val="24"/>
          <w:szCs w:val="24"/>
        </w:rPr>
        <w:t>Cultural differences are a central determinant of the strategic and operational choices made by multinational enterprises, particularly when they expand into culturally complex emerging markets. For IKEA, the transition from its Swedish cultural origins to the Indian retail environment required significant adaptation in order to maintain brand consistency while meeting local expectations. This section analyses how cultural dynamics have influenced IKEA’s strategy and performance in India, drawing on established cross-cultural management frameworks to explain how cultural distance shapes consumer behaviour, organisational practices and market acceptance.</w:t>
      </w:r>
    </w:p>
    <w:p w14:paraId="123C8A50" w14:textId="77777777" w:rsidR="00A81E33" w:rsidRPr="009F4657" w:rsidRDefault="00A81E33" w:rsidP="00A81E33">
      <w:pPr>
        <w:pStyle w:val="Heading2"/>
        <w:rPr>
          <w:rFonts w:ascii="Arial" w:hAnsi="Arial" w:cs="Arial"/>
        </w:rPr>
      </w:pPr>
      <w:bookmarkStart w:id="18" w:name="_Toc214304704"/>
      <w:bookmarkStart w:id="19" w:name="_Toc214475474"/>
      <w:bookmarkStart w:id="20" w:name="_Toc214479627"/>
      <w:r w:rsidRPr="009F4657">
        <w:rPr>
          <w:rFonts w:ascii="Arial" w:hAnsi="Arial" w:cs="Arial"/>
        </w:rPr>
        <w:t>4.1 Theoretical Perspectives on Culture and International Strategy</w:t>
      </w:r>
      <w:bookmarkEnd w:id="18"/>
      <w:bookmarkEnd w:id="19"/>
      <w:bookmarkEnd w:id="20"/>
    </w:p>
    <w:p w14:paraId="3792CD72" w14:textId="77777777" w:rsidR="00A81E33" w:rsidRPr="00717134" w:rsidRDefault="00A81E33" w:rsidP="00A81E33">
      <w:pPr>
        <w:spacing w:line="360" w:lineRule="auto"/>
        <w:rPr>
          <w:rFonts w:ascii="Arial" w:hAnsi="Arial" w:cs="Arial"/>
          <w:sz w:val="24"/>
          <w:szCs w:val="24"/>
        </w:rPr>
      </w:pPr>
      <w:r w:rsidRPr="00717134">
        <w:rPr>
          <w:rFonts w:ascii="Arial" w:hAnsi="Arial" w:cs="Arial"/>
          <w:sz w:val="24"/>
          <w:szCs w:val="24"/>
        </w:rPr>
        <w:t>Cultural frameworks such as Hofstede’s (2011) cultural dimensions, Hall’s (1976) high-context/low-context communication theory and Trompenaars and Hampden-Turner’s (2012) value orientations offer systematic tools for comparing national cultures and predicting their influence on business operations. These frameworks highlight substantial contrasts between Sweden and India—contrasts that have direct implications for IKEA’s entry strategy and ongoing operations. International business research consistently emphasises that firms entering culturally distant markets must adopt locally responsive strategies to avoid misalignment between global practices and local expectations (Meyer and Peng, 2016). IKEA’s experience in India demonstrates the importance of this alignment.</w:t>
      </w:r>
    </w:p>
    <w:p w14:paraId="15E0529A" w14:textId="77777777" w:rsidR="00A81E33" w:rsidRPr="009F4657" w:rsidRDefault="00A81E33" w:rsidP="00A81E33">
      <w:pPr>
        <w:pStyle w:val="Heading2"/>
        <w:rPr>
          <w:rFonts w:ascii="Arial" w:hAnsi="Arial" w:cs="Arial"/>
        </w:rPr>
      </w:pPr>
      <w:bookmarkStart w:id="21" w:name="_Toc214304705"/>
      <w:bookmarkStart w:id="22" w:name="_Toc214475475"/>
      <w:bookmarkStart w:id="23" w:name="_Toc214479628"/>
      <w:r w:rsidRPr="009F4657">
        <w:rPr>
          <w:rFonts w:ascii="Arial" w:hAnsi="Arial" w:cs="Arial"/>
        </w:rPr>
        <w:t>4.2 Cultural Distance Between Sweden and India and Its Strategic Implications</w:t>
      </w:r>
      <w:bookmarkEnd w:id="21"/>
      <w:bookmarkEnd w:id="22"/>
      <w:bookmarkEnd w:id="23"/>
    </w:p>
    <w:p w14:paraId="59CD9CA9" w14:textId="77777777" w:rsidR="00A81E33" w:rsidRPr="00717134" w:rsidRDefault="00A81E33" w:rsidP="00A81E33">
      <w:pPr>
        <w:spacing w:line="360" w:lineRule="auto"/>
        <w:rPr>
          <w:rFonts w:ascii="Arial" w:hAnsi="Arial" w:cs="Arial"/>
          <w:sz w:val="24"/>
          <w:szCs w:val="24"/>
        </w:rPr>
      </w:pPr>
      <w:r w:rsidRPr="00717134">
        <w:rPr>
          <w:rFonts w:ascii="Arial" w:hAnsi="Arial" w:cs="Arial"/>
          <w:sz w:val="24"/>
          <w:szCs w:val="24"/>
        </w:rPr>
        <w:t xml:space="preserve">One of the most significant cultural contrasts between Sweden and India relates to power distance. Sweden’s low power distance promotes egalitarian structures and autonomous decision-making, whereas India’s </w:t>
      </w:r>
      <w:r w:rsidRPr="009F4657">
        <w:rPr>
          <w:rFonts w:ascii="Arial" w:hAnsi="Arial" w:cs="Arial"/>
          <w:sz w:val="24"/>
          <w:szCs w:val="24"/>
        </w:rPr>
        <w:t>high-power</w:t>
      </w:r>
      <w:r w:rsidRPr="00717134">
        <w:rPr>
          <w:rFonts w:ascii="Arial" w:hAnsi="Arial" w:cs="Arial"/>
          <w:sz w:val="24"/>
          <w:szCs w:val="24"/>
        </w:rPr>
        <w:t xml:space="preserve"> distance reinforces hierarchical expectations and strong managerial authority (Hofstede, 2011). This difference has influenced IKEA’s in-store practices; while IKEA’s global model emphasises self-service and independent browsing, Indian consumers have shown a preference for guidance, interpersonal support and visible staff availability. To </w:t>
      </w:r>
      <w:r w:rsidRPr="00717134">
        <w:rPr>
          <w:rFonts w:ascii="Arial" w:hAnsi="Arial" w:cs="Arial"/>
          <w:sz w:val="24"/>
          <w:szCs w:val="24"/>
        </w:rPr>
        <w:lastRenderedPageBreak/>
        <w:t>address this, IKEA increased staff presence and introduced more structured customer interaction within stores.</w:t>
      </w:r>
    </w:p>
    <w:p w14:paraId="3FFFDA82" w14:textId="77777777" w:rsidR="00A81E33" w:rsidRPr="00717134" w:rsidRDefault="00A81E33" w:rsidP="00A81E33">
      <w:pPr>
        <w:spacing w:line="360" w:lineRule="auto"/>
        <w:rPr>
          <w:rFonts w:ascii="Arial" w:hAnsi="Arial" w:cs="Arial"/>
          <w:sz w:val="24"/>
          <w:szCs w:val="24"/>
        </w:rPr>
      </w:pPr>
      <w:r w:rsidRPr="00717134">
        <w:rPr>
          <w:rFonts w:ascii="Arial" w:hAnsi="Arial" w:cs="Arial"/>
          <w:sz w:val="24"/>
          <w:szCs w:val="24"/>
        </w:rPr>
        <w:t>Differences in individualism and collectivism further shaped IKEA’s strategy. Swedish society’s individualistic orientation contrasts with India’s collectivist values, in which household decisions often involve multiple family members. Research indicates that purchase decisions in collectivist contexts are influenced by group norms and intergenerational needs (Triandis, 1995). Accordingly, IKEA adapted its product displays and marketing messages to emphasise family-oriented living spaces rather than the solo-living scenarios often highlighted in European markets.</w:t>
      </w:r>
    </w:p>
    <w:p w14:paraId="556E8245" w14:textId="77777777" w:rsidR="00A81E33" w:rsidRPr="00717134" w:rsidRDefault="00A81E33" w:rsidP="00A81E33">
      <w:pPr>
        <w:spacing w:line="360" w:lineRule="auto"/>
        <w:rPr>
          <w:rFonts w:ascii="Arial" w:hAnsi="Arial" w:cs="Arial"/>
          <w:sz w:val="24"/>
          <w:szCs w:val="24"/>
        </w:rPr>
      </w:pPr>
      <w:r w:rsidRPr="00717134">
        <w:rPr>
          <w:rFonts w:ascii="Arial" w:hAnsi="Arial" w:cs="Arial"/>
          <w:sz w:val="24"/>
          <w:szCs w:val="24"/>
        </w:rPr>
        <w:t>Communication styles also differ markedly. Swedish communication is predominantly low-context—direct, explicit and concise—whereas Indian communication tends to be high-context, relying on relational cues, situational understanding and implicit meanings (Hall, 1976). This necessitated changes to IKEA’s marketing and customer engagement strategies, requiring more narrative-driven, emotionally resonant messaging and culturally grounded storytelling in advertisements.</w:t>
      </w:r>
    </w:p>
    <w:p w14:paraId="0B887121" w14:textId="77777777" w:rsidR="00A81E33" w:rsidRPr="00717134" w:rsidRDefault="00A81E33" w:rsidP="00A81E33">
      <w:pPr>
        <w:spacing w:line="360" w:lineRule="auto"/>
        <w:rPr>
          <w:rFonts w:ascii="Arial" w:hAnsi="Arial" w:cs="Arial"/>
          <w:sz w:val="24"/>
          <w:szCs w:val="24"/>
        </w:rPr>
      </w:pPr>
      <w:r w:rsidRPr="00717134">
        <w:rPr>
          <w:rFonts w:ascii="Arial" w:hAnsi="Arial" w:cs="Arial"/>
          <w:sz w:val="24"/>
          <w:szCs w:val="24"/>
        </w:rPr>
        <w:t>The countries also diverge on uncertainty avoidance. While Swedish consumers readily embrace novel consumption practices such as DIY assembly, Indian consumers—characterised by moderate to high uncertainty avoidance—often perceive self-assembly as inconvenient or risky (Hofstede, 2011). Consistent with research on consumer risk aversion in emerging markets (Steenkamp, 2001), IKEA responded by expanding assembly services, localising product instructions and offering low-cost installation options.</w:t>
      </w:r>
    </w:p>
    <w:p w14:paraId="0C68AD39" w14:textId="77777777" w:rsidR="00A81E33" w:rsidRPr="00717134" w:rsidRDefault="00A81E33" w:rsidP="00A81E33">
      <w:pPr>
        <w:spacing w:line="360" w:lineRule="auto"/>
        <w:rPr>
          <w:rFonts w:ascii="Arial" w:hAnsi="Arial" w:cs="Arial"/>
          <w:sz w:val="24"/>
          <w:szCs w:val="24"/>
        </w:rPr>
      </w:pPr>
      <w:r w:rsidRPr="00717134">
        <w:rPr>
          <w:rFonts w:ascii="Arial" w:hAnsi="Arial" w:cs="Arial"/>
          <w:sz w:val="24"/>
          <w:szCs w:val="24"/>
        </w:rPr>
        <w:t>Finally, India’s strong long-term orientation, compared with Sweden’s moderate orientation, has shaped expectations around product durability and value. Indian consumers place considerable emphasis on long-lasting materials and long-term household investments (Kapur and Ray, 2019). In response, IKEA positioned product durability and sustainability more prominently in its Indian marketing and adapted materials for specific climatic and usage conditions.</w:t>
      </w:r>
    </w:p>
    <w:p w14:paraId="26CA19F5" w14:textId="77777777" w:rsidR="00A81E33" w:rsidRPr="009F4657" w:rsidRDefault="00A81E33" w:rsidP="00A81E33">
      <w:pPr>
        <w:pStyle w:val="Heading2"/>
        <w:rPr>
          <w:rFonts w:ascii="Arial" w:hAnsi="Arial" w:cs="Arial"/>
        </w:rPr>
      </w:pPr>
      <w:bookmarkStart w:id="24" w:name="_Toc214304706"/>
      <w:bookmarkStart w:id="25" w:name="_Toc214475476"/>
      <w:bookmarkStart w:id="26" w:name="_Toc214479629"/>
      <w:r w:rsidRPr="009F4657">
        <w:rPr>
          <w:rFonts w:ascii="Arial" w:hAnsi="Arial" w:cs="Arial"/>
        </w:rPr>
        <w:t>4.3 Cultural Influences on Consumer Behaviour and Market Acceptance</w:t>
      </w:r>
      <w:bookmarkEnd w:id="24"/>
      <w:bookmarkEnd w:id="25"/>
      <w:bookmarkEnd w:id="26"/>
    </w:p>
    <w:p w14:paraId="325292F6" w14:textId="77777777" w:rsidR="00A81E33" w:rsidRPr="00717134" w:rsidRDefault="00A81E33" w:rsidP="00A81E33">
      <w:pPr>
        <w:spacing w:line="360" w:lineRule="auto"/>
        <w:rPr>
          <w:rFonts w:ascii="Arial" w:hAnsi="Arial" w:cs="Arial"/>
          <w:sz w:val="24"/>
          <w:szCs w:val="24"/>
        </w:rPr>
      </w:pPr>
      <w:r w:rsidRPr="00717134">
        <w:rPr>
          <w:rFonts w:ascii="Arial" w:hAnsi="Arial" w:cs="Arial"/>
          <w:sz w:val="24"/>
          <w:szCs w:val="24"/>
        </w:rPr>
        <w:t xml:space="preserve">The success of multinational retailers in emerging markets depends on aligning product offering and customer experience with local cultural norms (Arnold and </w:t>
      </w:r>
      <w:r w:rsidRPr="00717134">
        <w:rPr>
          <w:rFonts w:ascii="Arial" w:hAnsi="Arial" w:cs="Arial"/>
          <w:sz w:val="24"/>
          <w:szCs w:val="24"/>
        </w:rPr>
        <w:lastRenderedPageBreak/>
        <w:t>Quelch, 1998). In India, cultural values influence home furnishing preferences, shopping habits and expectations around service delivery. Customisation is highly valued, and traditional furniture styles—often associated with solid wood and handcrafted design—remain popular. IKEA sought to navigate this by locally adapting its textile and kitchenware lines, incorporating culturally specific items such as masala storage solutions and tiffin-compatible containers.</w:t>
      </w:r>
    </w:p>
    <w:p w14:paraId="24DCC1BC" w14:textId="77777777" w:rsidR="00A81E33" w:rsidRPr="00717134" w:rsidRDefault="00A81E33" w:rsidP="00A81E33">
      <w:pPr>
        <w:spacing w:line="360" w:lineRule="auto"/>
        <w:rPr>
          <w:rFonts w:ascii="Arial" w:hAnsi="Arial" w:cs="Arial"/>
          <w:sz w:val="24"/>
          <w:szCs w:val="24"/>
        </w:rPr>
      </w:pPr>
      <w:r w:rsidRPr="00717134">
        <w:rPr>
          <w:rFonts w:ascii="Arial" w:hAnsi="Arial" w:cs="Arial"/>
          <w:sz w:val="24"/>
          <w:szCs w:val="24"/>
        </w:rPr>
        <w:t>Food culture also plays a notable role in shaping consumer expectations. Recognising the centrality of food in Indian family life and social interaction, IKEA adapted its restaurant offerings by introducing Indian dishes and predominantly vegetarian menus. This aligns with findings that cultural congruence in complementary services enhances store attractiveness in international retailing (Reinartz et al., 2011).</w:t>
      </w:r>
    </w:p>
    <w:p w14:paraId="4400FF05" w14:textId="77777777" w:rsidR="00A81E33" w:rsidRPr="00717134" w:rsidRDefault="00A81E33" w:rsidP="00A81E33">
      <w:pPr>
        <w:spacing w:line="360" w:lineRule="auto"/>
        <w:rPr>
          <w:rFonts w:ascii="Arial" w:hAnsi="Arial" w:cs="Arial"/>
          <w:sz w:val="24"/>
          <w:szCs w:val="24"/>
        </w:rPr>
      </w:pPr>
      <w:r w:rsidRPr="00717134">
        <w:rPr>
          <w:rFonts w:ascii="Arial" w:hAnsi="Arial" w:cs="Arial"/>
          <w:sz w:val="24"/>
          <w:szCs w:val="24"/>
        </w:rPr>
        <w:t>Price sensitivity, another culturally influenced factor, is pronounced in India’s value-conscious middle class. Retail research underscores the importance of local price positioning for global brands entering emerging markets (Khanna and Palepu, 2010). As a result, IKEA expanded its range of India-specific low-price items, supported by increased local sourcing to reduce import costs.</w:t>
      </w:r>
    </w:p>
    <w:p w14:paraId="754445B8" w14:textId="77777777" w:rsidR="00A81E33" w:rsidRPr="009F4657" w:rsidRDefault="00A81E33" w:rsidP="00A81E33">
      <w:pPr>
        <w:pStyle w:val="Heading2"/>
        <w:rPr>
          <w:rFonts w:ascii="Arial" w:hAnsi="Arial" w:cs="Arial"/>
        </w:rPr>
      </w:pPr>
      <w:bookmarkStart w:id="27" w:name="_Toc214304707"/>
      <w:bookmarkStart w:id="28" w:name="_Toc214475477"/>
      <w:bookmarkStart w:id="29" w:name="_Toc214479630"/>
      <w:r w:rsidRPr="009F4657">
        <w:rPr>
          <w:rFonts w:ascii="Arial" w:hAnsi="Arial" w:cs="Arial"/>
        </w:rPr>
        <w:t>4.4 Cultural Effects on Human Resource Management and Organisational Practices</w:t>
      </w:r>
      <w:bookmarkEnd w:id="27"/>
      <w:bookmarkEnd w:id="28"/>
      <w:bookmarkEnd w:id="29"/>
    </w:p>
    <w:p w14:paraId="57339B0E" w14:textId="77777777" w:rsidR="00A81E33" w:rsidRPr="00717134" w:rsidRDefault="00A81E33" w:rsidP="00A81E33">
      <w:pPr>
        <w:spacing w:line="360" w:lineRule="auto"/>
        <w:rPr>
          <w:rFonts w:ascii="Arial" w:hAnsi="Arial" w:cs="Arial"/>
          <w:sz w:val="24"/>
          <w:szCs w:val="24"/>
        </w:rPr>
      </w:pPr>
      <w:r w:rsidRPr="00717134">
        <w:rPr>
          <w:rFonts w:ascii="Arial" w:hAnsi="Arial" w:cs="Arial"/>
          <w:sz w:val="24"/>
          <w:szCs w:val="24"/>
        </w:rPr>
        <w:t>Cultural distance also affects internal organisational dynamics. While IKEA’s Scandinavian work culture emphasises flat structures and egalitarian communication, employees in India typically expect clearer hierarchies and directive leadership. Cross-cultural management literature indicates that misalignment in leadership expectations can reduce employee satisfaction and organisational performance (Morris et al., 2008). IKEA addressed this by adapting HR practices—introducing more formal reporting structures, expanding leadership development for local managers and offering cultural intelligence training for expatriate staff.</w:t>
      </w:r>
    </w:p>
    <w:p w14:paraId="71D0419F" w14:textId="77777777" w:rsidR="00A81E33" w:rsidRPr="00717134" w:rsidRDefault="00A81E33" w:rsidP="00A81E33">
      <w:pPr>
        <w:spacing w:line="360" w:lineRule="auto"/>
        <w:rPr>
          <w:rFonts w:ascii="Arial" w:hAnsi="Arial" w:cs="Arial"/>
          <w:sz w:val="24"/>
          <w:szCs w:val="24"/>
        </w:rPr>
      </w:pPr>
      <w:r w:rsidRPr="00717134">
        <w:rPr>
          <w:rFonts w:ascii="Arial" w:hAnsi="Arial" w:cs="Arial"/>
          <w:sz w:val="24"/>
          <w:szCs w:val="24"/>
        </w:rPr>
        <w:t xml:space="preserve">Another dimension of cultural adaptation relates to gender inclusion. IKEA’s global commitment to gender equality encountered differing social norms in India regarding women’s participation in formal employment. To advance inclusion, IKEA established gender-sensitive workplace policies and partnered with local organisations to </w:t>
      </w:r>
      <w:r w:rsidRPr="00717134">
        <w:rPr>
          <w:rFonts w:ascii="Arial" w:hAnsi="Arial" w:cs="Arial"/>
          <w:sz w:val="24"/>
          <w:szCs w:val="24"/>
        </w:rPr>
        <w:lastRenderedPageBreak/>
        <w:t>increase female workforce participation, reflecting best practices in inclusive HRM for emerging markets (Budhwar and Varma, 2010).</w:t>
      </w:r>
    </w:p>
    <w:p w14:paraId="5D727349" w14:textId="77777777" w:rsidR="00A81E33" w:rsidRPr="009F4657" w:rsidRDefault="00A81E33" w:rsidP="00A81E33">
      <w:pPr>
        <w:pStyle w:val="Heading2"/>
        <w:rPr>
          <w:rFonts w:ascii="Arial" w:hAnsi="Arial" w:cs="Arial"/>
        </w:rPr>
      </w:pPr>
      <w:bookmarkStart w:id="30" w:name="_Toc214304708"/>
      <w:bookmarkStart w:id="31" w:name="_Toc214475478"/>
      <w:bookmarkStart w:id="32" w:name="_Toc214479631"/>
      <w:r w:rsidRPr="009F4657">
        <w:rPr>
          <w:rFonts w:ascii="Arial" w:hAnsi="Arial" w:cs="Arial"/>
        </w:rPr>
        <w:t>4.5 Overall Impact of Cultural Adaptation on IKEA’s Success in India</w:t>
      </w:r>
      <w:bookmarkEnd w:id="30"/>
      <w:bookmarkEnd w:id="31"/>
      <w:bookmarkEnd w:id="32"/>
    </w:p>
    <w:p w14:paraId="0ABDA18C" w14:textId="77777777" w:rsidR="00A81E33" w:rsidRPr="00717134" w:rsidRDefault="00A81E33" w:rsidP="00A81E33">
      <w:pPr>
        <w:spacing w:line="360" w:lineRule="auto"/>
        <w:rPr>
          <w:rFonts w:ascii="Arial" w:hAnsi="Arial" w:cs="Arial"/>
          <w:sz w:val="24"/>
          <w:szCs w:val="24"/>
        </w:rPr>
      </w:pPr>
      <w:r w:rsidRPr="00717134">
        <w:rPr>
          <w:rFonts w:ascii="Arial" w:hAnsi="Arial" w:cs="Arial"/>
          <w:sz w:val="24"/>
          <w:szCs w:val="24"/>
        </w:rPr>
        <w:t>The cultural adaptations undertaken by IKEA have been central to its acceptance and competitiveness in India. By modifying store layouts, expanding service offerings, adjusting communication styles, localising products and adapting HR practices, IKEA has demonstrated the strategic importance of cultural responsiveness. This aligns with the broader international business perspective that global firms succeed in emerging markets when they balance global integration with deep local adaptation (Ghemawat, 2018).</w:t>
      </w:r>
    </w:p>
    <w:p w14:paraId="27EB2C29" w14:textId="77777777" w:rsidR="00A81E33" w:rsidRPr="00717134" w:rsidRDefault="00A81E33" w:rsidP="00A81E33">
      <w:pPr>
        <w:spacing w:line="360" w:lineRule="auto"/>
        <w:rPr>
          <w:rFonts w:ascii="Arial" w:hAnsi="Arial" w:cs="Arial"/>
          <w:sz w:val="24"/>
          <w:szCs w:val="24"/>
        </w:rPr>
      </w:pPr>
      <w:r w:rsidRPr="00717134">
        <w:rPr>
          <w:rFonts w:ascii="Arial" w:hAnsi="Arial" w:cs="Arial"/>
          <w:sz w:val="24"/>
          <w:szCs w:val="24"/>
        </w:rPr>
        <w:t>IKEA’s ability to identify and respond to cultural dynamics has therefore played a critical role in mitigating market-entry risks, enhancing customer trust and building long-term brand relevance in India. As the company continues its expansion, sustained attention to cultural nuance will remain vital to operational effectiveness and strategic success.</w:t>
      </w:r>
    </w:p>
    <w:p w14:paraId="4AF8EA12" w14:textId="77777777" w:rsidR="001C5589" w:rsidRDefault="001C5589">
      <w:pPr>
        <w:rPr>
          <w:rFonts w:ascii="Arial" w:hAnsi="Arial" w:cs="Arial"/>
          <w:sz w:val="24"/>
          <w:szCs w:val="24"/>
        </w:rPr>
      </w:pPr>
      <w:r>
        <w:rPr>
          <w:rFonts w:ascii="Arial" w:hAnsi="Arial" w:cs="Arial"/>
          <w:sz w:val="24"/>
          <w:szCs w:val="24"/>
        </w:rPr>
        <w:br w:type="page"/>
      </w:r>
    </w:p>
    <w:p w14:paraId="7B8E6EB2" w14:textId="77777777" w:rsidR="00FA40CB" w:rsidRPr="009F4657" w:rsidRDefault="00FA40CB" w:rsidP="00FA40CB">
      <w:pPr>
        <w:pStyle w:val="Heading1"/>
        <w:rPr>
          <w:rFonts w:ascii="Arial" w:hAnsi="Arial" w:cs="Arial"/>
        </w:rPr>
      </w:pPr>
      <w:bookmarkStart w:id="33" w:name="_Toc214304709"/>
      <w:bookmarkStart w:id="34" w:name="_Toc214475479"/>
      <w:bookmarkStart w:id="35" w:name="_Toc214479632"/>
      <w:r w:rsidRPr="009F4657">
        <w:rPr>
          <w:rFonts w:ascii="Arial" w:hAnsi="Arial" w:cs="Arial"/>
        </w:rPr>
        <w:lastRenderedPageBreak/>
        <w:t>5. Recommendations and Adjustments to IKEA’s Standard Operating Procedures (SOPs)</w:t>
      </w:r>
      <w:bookmarkEnd w:id="33"/>
      <w:bookmarkEnd w:id="34"/>
      <w:bookmarkEnd w:id="35"/>
    </w:p>
    <w:p w14:paraId="22398D84" w14:textId="77777777" w:rsidR="00FA40CB" w:rsidRPr="00FE405E" w:rsidRDefault="00FA40CB" w:rsidP="00FA40CB">
      <w:pPr>
        <w:spacing w:line="360" w:lineRule="auto"/>
        <w:rPr>
          <w:rFonts w:ascii="Arial" w:hAnsi="Arial" w:cs="Arial"/>
          <w:sz w:val="24"/>
          <w:szCs w:val="24"/>
        </w:rPr>
      </w:pPr>
      <w:r w:rsidRPr="00FE405E">
        <w:rPr>
          <w:rFonts w:ascii="Arial" w:hAnsi="Arial" w:cs="Arial"/>
          <w:sz w:val="24"/>
          <w:szCs w:val="24"/>
        </w:rPr>
        <w:t>This section provides evidence-based recommendations for how IKEA can refine its Standard Operating Procedures (SOPs) to enhance performance and long-term competitiveness in the Indian market. These recommendations are grounded in the preceding analysis of IKEA’s global operations, OLI factors, and cultural differences, and draw on international business, supply chain and cross-cultural management literature.</w:t>
      </w:r>
    </w:p>
    <w:p w14:paraId="14F6B555" w14:textId="77777777" w:rsidR="00FA40CB" w:rsidRPr="009F4657" w:rsidRDefault="00FA40CB" w:rsidP="00FA40CB">
      <w:pPr>
        <w:pStyle w:val="Heading2"/>
        <w:rPr>
          <w:rFonts w:ascii="Arial" w:hAnsi="Arial" w:cs="Arial"/>
        </w:rPr>
      </w:pPr>
      <w:bookmarkStart w:id="36" w:name="_Toc214304710"/>
      <w:bookmarkStart w:id="37" w:name="_Toc214475480"/>
      <w:bookmarkStart w:id="38" w:name="_Toc214479633"/>
      <w:r w:rsidRPr="009F4657">
        <w:rPr>
          <w:rFonts w:ascii="Arial" w:hAnsi="Arial" w:cs="Arial"/>
        </w:rPr>
        <w:t>5.1 Product Strategy and Design Adaptation</w:t>
      </w:r>
      <w:bookmarkEnd w:id="36"/>
      <w:bookmarkEnd w:id="37"/>
      <w:bookmarkEnd w:id="38"/>
    </w:p>
    <w:p w14:paraId="57973014" w14:textId="77777777" w:rsidR="00FA40CB" w:rsidRPr="00FE405E" w:rsidRDefault="00FA40CB" w:rsidP="00FA40CB">
      <w:pPr>
        <w:spacing w:line="360" w:lineRule="auto"/>
        <w:rPr>
          <w:rFonts w:ascii="Arial" w:hAnsi="Arial" w:cs="Arial"/>
          <w:sz w:val="24"/>
          <w:szCs w:val="24"/>
        </w:rPr>
      </w:pPr>
      <w:r w:rsidRPr="00FE405E">
        <w:rPr>
          <w:rFonts w:ascii="Arial" w:hAnsi="Arial" w:cs="Arial"/>
          <w:sz w:val="24"/>
          <w:szCs w:val="24"/>
        </w:rPr>
        <w:t>IKEA’s entry into India has already required significant product-level localisation, yet further refinement is necessary given the diversity of regional preferences and the spatial constraints of Indian homes. Research emphasises that successful multinational retailers must balance global standardisation with local responsiveness (Prahalad and Doz, 1987), and IKEA’s product development processes should therefore integrate India-specific requirements more systematically.</w:t>
      </w:r>
    </w:p>
    <w:p w14:paraId="5E1C63ED" w14:textId="77777777" w:rsidR="00FA40CB" w:rsidRPr="00FE405E" w:rsidRDefault="00FA40CB" w:rsidP="00FA40CB">
      <w:pPr>
        <w:spacing w:line="360" w:lineRule="auto"/>
        <w:rPr>
          <w:rFonts w:ascii="Arial" w:hAnsi="Arial" w:cs="Arial"/>
          <w:sz w:val="24"/>
          <w:szCs w:val="24"/>
        </w:rPr>
      </w:pPr>
      <w:r w:rsidRPr="00FE405E">
        <w:rPr>
          <w:rFonts w:ascii="Arial" w:hAnsi="Arial" w:cs="Arial"/>
          <w:sz w:val="24"/>
          <w:szCs w:val="24"/>
        </w:rPr>
        <w:t>A stronger localisation mechanism could be institutionalised by embedding India-focused design cycles within IKEA’s global R&amp;D procedures. This would involve formalising structured market research inputs—from ethnographic studies, consumer observation and local design collaborations—into the product development SOP. Literature on emerging market adaptation stresses that such structured localisation supports both consumer relevance and operational coherence (Khanna and Palepu, 2010). Additionally, given that Indian households typically have smaller urban spaces, IKEA’s SOPs should require designers to evaluate product prototypes in standardised small-apartment models that reflect Indian housing realities. Doing so would strengthen alignment between design intent and practical usability.</w:t>
      </w:r>
    </w:p>
    <w:p w14:paraId="02327430" w14:textId="77777777" w:rsidR="00FA40CB" w:rsidRPr="009F4657" w:rsidRDefault="00FA40CB" w:rsidP="00FA40CB">
      <w:pPr>
        <w:pStyle w:val="Heading2"/>
        <w:rPr>
          <w:rFonts w:ascii="Arial" w:hAnsi="Arial" w:cs="Arial"/>
        </w:rPr>
      </w:pPr>
      <w:bookmarkStart w:id="39" w:name="_Toc214304711"/>
      <w:bookmarkStart w:id="40" w:name="_Toc214475481"/>
      <w:bookmarkStart w:id="41" w:name="_Toc214479634"/>
      <w:r w:rsidRPr="009F4657">
        <w:rPr>
          <w:rFonts w:ascii="Arial" w:hAnsi="Arial" w:cs="Arial"/>
        </w:rPr>
        <w:t>5.2 Customer Experience and Service Delivery</w:t>
      </w:r>
      <w:bookmarkEnd w:id="39"/>
      <w:bookmarkEnd w:id="40"/>
      <w:bookmarkEnd w:id="41"/>
    </w:p>
    <w:p w14:paraId="649FF6EE" w14:textId="77777777" w:rsidR="00FA40CB" w:rsidRPr="00FE405E" w:rsidRDefault="00FA40CB" w:rsidP="00FA40CB">
      <w:pPr>
        <w:spacing w:line="360" w:lineRule="auto"/>
        <w:rPr>
          <w:rFonts w:ascii="Arial" w:hAnsi="Arial" w:cs="Arial"/>
          <w:sz w:val="24"/>
          <w:szCs w:val="24"/>
        </w:rPr>
      </w:pPr>
      <w:r w:rsidRPr="00FE405E">
        <w:rPr>
          <w:rFonts w:ascii="Arial" w:hAnsi="Arial" w:cs="Arial"/>
          <w:sz w:val="24"/>
          <w:szCs w:val="24"/>
        </w:rPr>
        <w:t xml:space="preserve">Cultural differences have a substantial influence on customer expectations in India, particularly regarding service intensity and the role of in-store guidance. As discussed earlier, India’s </w:t>
      </w:r>
      <w:r w:rsidRPr="009F4657">
        <w:rPr>
          <w:rFonts w:ascii="Arial" w:hAnsi="Arial" w:cs="Arial"/>
          <w:sz w:val="24"/>
          <w:szCs w:val="24"/>
        </w:rPr>
        <w:t>high-power</w:t>
      </w:r>
      <w:r w:rsidRPr="00FE405E">
        <w:rPr>
          <w:rFonts w:ascii="Arial" w:hAnsi="Arial" w:cs="Arial"/>
          <w:sz w:val="24"/>
          <w:szCs w:val="24"/>
        </w:rPr>
        <w:t xml:space="preserve"> distance and collective decision-making increase the need for relational customer interactions and staff presence (Hofstede, 2011). To reflect this, IKEA’s SOPs should specify higher staff-to-customer ratios and </w:t>
      </w:r>
      <w:r w:rsidRPr="00FE405E">
        <w:rPr>
          <w:rFonts w:ascii="Arial" w:hAnsi="Arial" w:cs="Arial"/>
          <w:sz w:val="24"/>
          <w:szCs w:val="24"/>
        </w:rPr>
        <w:lastRenderedPageBreak/>
        <w:t>greater emphasis on guided navigation within stores. This adaptation aligns with findings that service-oriented retail environments in emerging markets require greater human engagement than self-service models typical of Western contexts (Reinartz et al., 2011).</w:t>
      </w:r>
    </w:p>
    <w:p w14:paraId="67D0E9B8" w14:textId="77777777" w:rsidR="00FA40CB" w:rsidRPr="00FE405E" w:rsidRDefault="00FA40CB" w:rsidP="00FA40CB">
      <w:pPr>
        <w:spacing w:line="360" w:lineRule="auto"/>
        <w:rPr>
          <w:rFonts w:ascii="Arial" w:hAnsi="Arial" w:cs="Arial"/>
          <w:sz w:val="24"/>
          <w:szCs w:val="24"/>
        </w:rPr>
      </w:pPr>
      <w:r w:rsidRPr="00FE405E">
        <w:rPr>
          <w:rFonts w:ascii="Arial" w:hAnsi="Arial" w:cs="Arial"/>
          <w:sz w:val="24"/>
          <w:szCs w:val="24"/>
        </w:rPr>
        <w:t>A further area requiring SOP refinement is IKEA’s approach to furniture assembly. DIY culture is not deeply embedded in India, and studies of consumer behaviour indicate that uncertainty avoidance contributes to customers’ reluctance to undertake home assembly (Steenkamp, 2001). Standardising the provision of affordable, readily accessible assembly and installation services within the SOP framework would therefore address a key barrier to purchase and enhance customer satisfaction.</w:t>
      </w:r>
    </w:p>
    <w:p w14:paraId="54A31FD8" w14:textId="77777777" w:rsidR="00FA40CB" w:rsidRPr="009F4657" w:rsidRDefault="00FA40CB" w:rsidP="00FA40CB">
      <w:pPr>
        <w:pStyle w:val="Heading2"/>
        <w:rPr>
          <w:rFonts w:ascii="Arial" w:hAnsi="Arial" w:cs="Arial"/>
        </w:rPr>
      </w:pPr>
      <w:bookmarkStart w:id="42" w:name="_Toc214304712"/>
      <w:bookmarkStart w:id="43" w:name="_Toc214475482"/>
      <w:bookmarkStart w:id="44" w:name="_Toc214479635"/>
      <w:r w:rsidRPr="009F4657">
        <w:rPr>
          <w:rFonts w:ascii="Arial" w:hAnsi="Arial" w:cs="Arial"/>
        </w:rPr>
        <w:t>5.3 Supply Chain Development and Local Sourcing</w:t>
      </w:r>
      <w:bookmarkEnd w:id="42"/>
      <w:bookmarkEnd w:id="43"/>
      <w:bookmarkEnd w:id="44"/>
    </w:p>
    <w:p w14:paraId="11097FCF" w14:textId="77777777" w:rsidR="00FA40CB" w:rsidRPr="00FE405E" w:rsidRDefault="00FA40CB" w:rsidP="00FA40CB">
      <w:pPr>
        <w:spacing w:line="360" w:lineRule="auto"/>
        <w:rPr>
          <w:rFonts w:ascii="Arial" w:hAnsi="Arial" w:cs="Arial"/>
          <w:sz w:val="24"/>
          <w:szCs w:val="24"/>
        </w:rPr>
      </w:pPr>
      <w:r w:rsidRPr="00FE405E">
        <w:rPr>
          <w:rFonts w:ascii="Arial" w:hAnsi="Arial" w:cs="Arial"/>
          <w:sz w:val="24"/>
          <w:szCs w:val="24"/>
        </w:rPr>
        <w:t>IKEA’s strategic commitment to sourcing from India aligns with both institutional requirements and global supply chain diversification. However, India’s supplier landscape remains fragmented, with varying levels of technological sophistication and quality control. Empirical research on global value chains shows that sustained capability building among suppliers increases performance, reduces transaction costs and enhances integration (Gereffi, 2018). IKEA’s SOPs should therefore formalise supplier development programmes that include technical training, sustainability audits and operational mentoring. These measures would strengthen supplier reliability and support compliance with IKEA’s global sustainability standards.</w:t>
      </w:r>
    </w:p>
    <w:p w14:paraId="3478CF9D" w14:textId="77777777" w:rsidR="00FA40CB" w:rsidRPr="00FE405E" w:rsidRDefault="00FA40CB" w:rsidP="00FA40CB">
      <w:pPr>
        <w:spacing w:line="360" w:lineRule="auto"/>
        <w:rPr>
          <w:rFonts w:ascii="Arial" w:hAnsi="Arial" w:cs="Arial"/>
          <w:sz w:val="24"/>
          <w:szCs w:val="24"/>
        </w:rPr>
      </w:pPr>
      <w:r w:rsidRPr="00FE405E">
        <w:rPr>
          <w:rFonts w:ascii="Arial" w:hAnsi="Arial" w:cs="Arial"/>
          <w:sz w:val="24"/>
          <w:szCs w:val="24"/>
        </w:rPr>
        <w:t>Moreover, infrastructural challenges in India—such as inconsistent transport networks and regional logistical disparities—necessitate operational flexibility. Establishing SOPs for regional distribution hubs, with guidelines on buffer inventory and multimodal transport planning, would improve supply chain resilience. This approach aligns with research emphasising the importance of geographically distributed logistics structures in emerging markets (Christopher, 2016).</w:t>
      </w:r>
    </w:p>
    <w:p w14:paraId="19C18258" w14:textId="77777777" w:rsidR="00FA40CB" w:rsidRPr="009F4657" w:rsidRDefault="00FA40CB" w:rsidP="00FA40CB">
      <w:pPr>
        <w:pStyle w:val="Heading2"/>
        <w:rPr>
          <w:rFonts w:ascii="Arial" w:hAnsi="Arial" w:cs="Arial"/>
        </w:rPr>
      </w:pPr>
      <w:bookmarkStart w:id="45" w:name="_Toc214304713"/>
      <w:bookmarkStart w:id="46" w:name="_Toc214475483"/>
      <w:bookmarkStart w:id="47" w:name="_Toc214479636"/>
      <w:r w:rsidRPr="009F4657">
        <w:rPr>
          <w:rFonts w:ascii="Arial" w:hAnsi="Arial" w:cs="Arial"/>
        </w:rPr>
        <w:t>5.4 Human Resource Management and Organisational Culture</w:t>
      </w:r>
      <w:bookmarkEnd w:id="45"/>
      <w:bookmarkEnd w:id="46"/>
      <w:bookmarkEnd w:id="47"/>
    </w:p>
    <w:p w14:paraId="2FB2284F" w14:textId="77777777" w:rsidR="00FA40CB" w:rsidRPr="00FE405E" w:rsidRDefault="00FA40CB" w:rsidP="00FA40CB">
      <w:pPr>
        <w:spacing w:line="360" w:lineRule="auto"/>
        <w:rPr>
          <w:rFonts w:ascii="Arial" w:hAnsi="Arial" w:cs="Arial"/>
          <w:sz w:val="24"/>
          <w:szCs w:val="24"/>
        </w:rPr>
      </w:pPr>
      <w:r w:rsidRPr="00FE405E">
        <w:rPr>
          <w:rFonts w:ascii="Arial" w:hAnsi="Arial" w:cs="Arial"/>
          <w:sz w:val="24"/>
          <w:szCs w:val="24"/>
        </w:rPr>
        <w:t xml:space="preserve">Cross-cultural management literature highlights the importance of adapting HRM practices to local cultural norms while retaining core organisational values (Morris et al., 2008). IKEA’s Swedish organisational culture emphasises egalitarianism and </w:t>
      </w:r>
      <w:r w:rsidRPr="00FE405E">
        <w:rPr>
          <w:rFonts w:ascii="Arial" w:hAnsi="Arial" w:cs="Arial"/>
          <w:sz w:val="24"/>
          <w:szCs w:val="24"/>
        </w:rPr>
        <w:lastRenderedPageBreak/>
        <w:t>informality, but these assumptions may conflict with hierarchical expectations in India. Updating HR SOPs to incorporate structured leadership development pathways, clearer reporting mechanisms and comprehensive cultural intelligence training would facilitate more effective management across cultural contexts.</w:t>
      </w:r>
    </w:p>
    <w:p w14:paraId="60C13D55" w14:textId="77777777" w:rsidR="00FA40CB" w:rsidRPr="00FE405E" w:rsidRDefault="00FA40CB" w:rsidP="00FA40CB">
      <w:pPr>
        <w:spacing w:line="360" w:lineRule="auto"/>
        <w:rPr>
          <w:rFonts w:ascii="Arial" w:hAnsi="Arial" w:cs="Arial"/>
          <w:sz w:val="24"/>
          <w:szCs w:val="24"/>
        </w:rPr>
      </w:pPr>
      <w:r w:rsidRPr="00FE405E">
        <w:rPr>
          <w:rFonts w:ascii="Arial" w:hAnsi="Arial" w:cs="Arial"/>
          <w:sz w:val="24"/>
          <w:szCs w:val="24"/>
        </w:rPr>
        <w:t>Gender inclusion represents another key strategic priority. IKEA’s ambition to maintain a 50% female workforce aligns with global best practices in diversity management, but the Indian labour market presents distinctive challenges, including social norms surrounding women’s mobility and employment. Integrating gender-sensitive policies—such as flexible scheduling, safe transportation and partnerships with women’s empowerment organisations—into HR SOPs would support inclusivity and contribute to IKEA’s broader social impact objectives (Kapur and Ray, 2019).</w:t>
      </w:r>
    </w:p>
    <w:p w14:paraId="705ACF86" w14:textId="77777777" w:rsidR="00FA40CB" w:rsidRPr="009F4657" w:rsidRDefault="00FA40CB" w:rsidP="00FA40CB">
      <w:pPr>
        <w:pStyle w:val="Heading2"/>
        <w:rPr>
          <w:rFonts w:ascii="Arial" w:hAnsi="Arial" w:cs="Arial"/>
        </w:rPr>
      </w:pPr>
      <w:bookmarkStart w:id="48" w:name="_Toc214304714"/>
      <w:bookmarkStart w:id="49" w:name="_Toc214475484"/>
      <w:bookmarkStart w:id="50" w:name="_Toc214479637"/>
      <w:r w:rsidRPr="009F4657">
        <w:rPr>
          <w:rFonts w:ascii="Arial" w:hAnsi="Arial" w:cs="Arial"/>
        </w:rPr>
        <w:t>5.5 Marketing, Communication and Customer Education</w:t>
      </w:r>
      <w:bookmarkEnd w:id="48"/>
      <w:bookmarkEnd w:id="49"/>
      <w:bookmarkEnd w:id="50"/>
    </w:p>
    <w:p w14:paraId="66D84C3A" w14:textId="77777777" w:rsidR="00FA40CB" w:rsidRPr="00FE405E" w:rsidRDefault="00FA40CB" w:rsidP="00FA40CB">
      <w:pPr>
        <w:spacing w:line="360" w:lineRule="auto"/>
        <w:rPr>
          <w:rFonts w:ascii="Arial" w:hAnsi="Arial" w:cs="Arial"/>
          <w:sz w:val="24"/>
          <w:szCs w:val="24"/>
        </w:rPr>
      </w:pPr>
      <w:r w:rsidRPr="00FE405E">
        <w:rPr>
          <w:rFonts w:ascii="Arial" w:hAnsi="Arial" w:cs="Arial"/>
          <w:sz w:val="24"/>
          <w:szCs w:val="24"/>
        </w:rPr>
        <w:t>Given India’s high-context communication environment, marketing strategies must generate emotional resonance and cultural relevance. Research shows that localisation of marketing narratives enhances consumer identification and willingness to adopt global brands (De Mooij and Hofstede, 2010). SOPs should therefore embed culturally grounded storytelling principles within the marketing development process, ensuring that campaigns reflect Indian family structures, traditions and everyday lifestyle patterns.</w:t>
      </w:r>
    </w:p>
    <w:p w14:paraId="12F1335A" w14:textId="77777777" w:rsidR="00FA40CB" w:rsidRPr="00FE405E" w:rsidRDefault="00FA40CB" w:rsidP="00FA40CB">
      <w:pPr>
        <w:spacing w:line="360" w:lineRule="auto"/>
        <w:rPr>
          <w:rFonts w:ascii="Arial" w:hAnsi="Arial" w:cs="Arial"/>
          <w:sz w:val="24"/>
          <w:szCs w:val="24"/>
        </w:rPr>
      </w:pPr>
      <w:r w:rsidRPr="00FE405E">
        <w:rPr>
          <w:rFonts w:ascii="Arial" w:hAnsi="Arial" w:cs="Arial"/>
          <w:sz w:val="24"/>
          <w:szCs w:val="24"/>
        </w:rPr>
        <w:t>In addition, long-term success in India depends partly on educating consumers about modular living and DIY assembly—concepts less familiar in this market. Instituting educational initiatives such as in-store demonstrations, multilingual tutorials and partnerships with local influencers would encourage adoption of IKEA’s product philosophy. This aligns with diffusion of innovation theory, which highlights the role of consumer learning in the uptake of novel product systems (Rogers, 2003).</w:t>
      </w:r>
    </w:p>
    <w:p w14:paraId="4A4BB4D9" w14:textId="77777777" w:rsidR="00FA40CB" w:rsidRPr="009F4657" w:rsidRDefault="00FA40CB" w:rsidP="00FA40CB">
      <w:pPr>
        <w:pStyle w:val="Heading2"/>
        <w:rPr>
          <w:rFonts w:ascii="Arial" w:hAnsi="Arial" w:cs="Arial"/>
        </w:rPr>
      </w:pPr>
      <w:bookmarkStart w:id="51" w:name="_Toc214304715"/>
      <w:bookmarkStart w:id="52" w:name="_Toc214475485"/>
      <w:bookmarkStart w:id="53" w:name="_Toc214479638"/>
      <w:r w:rsidRPr="009F4657">
        <w:rPr>
          <w:rFonts w:ascii="Arial" w:hAnsi="Arial" w:cs="Arial"/>
        </w:rPr>
        <w:t>5.6 Digital Integration and Omni-Channel Strategy</w:t>
      </w:r>
      <w:bookmarkEnd w:id="51"/>
      <w:bookmarkEnd w:id="52"/>
      <w:bookmarkEnd w:id="53"/>
    </w:p>
    <w:p w14:paraId="5565C8AA" w14:textId="77777777" w:rsidR="00FA40CB" w:rsidRPr="00FE405E" w:rsidRDefault="00FA40CB" w:rsidP="00FA40CB">
      <w:pPr>
        <w:spacing w:line="360" w:lineRule="auto"/>
        <w:rPr>
          <w:rFonts w:ascii="Arial" w:hAnsi="Arial" w:cs="Arial"/>
          <w:sz w:val="24"/>
          <w:szCs w:val="24"/>
        </w:rPr>
      </w:pPr>
      <w:r w:rsidRPr="00FE405E">
        <w:rPr>
          <w:rFonts w:ascii="Arial" w:hAnsi="Arial" w:cs="Arial"/>
          <w:sz w:val="24"/>
          <w:szCs w:val="24"/>
        </w:rPr>
        <w:t xml:space="preserve">As India experiences rapid digital adoption, retailers must integrate online and offline channels to meet evolving consumer expectations. Enhancing digital tools—such as room planners adapted to Indian home layouts and mobile apps available in local languages—would increase engagement and reduce purchase uncertainty. Literature on omni-channel retailing emphasises the importance of unified inventory visibility and seamless service integration for consumer trust and satisfaction </w:t>
      </w:r>
      <w:r w:rsidRPr="00FE405E">
        <w:rPr>
          <w:rFonts w:ascii="Arial" w:hAnsi="Arial" w:cs="Arial"/>
          <w:sz w:val="24"/>
          <w:szCs w:val="24"/>
        </w:rPr>
        <w:lastRenderedPageBreak/>
        <w:t>(Verhoef et al., 2015). Incorporating these elements into digital operations SOPs would therefore support IKEA’s competitiveness as the Indian retail sector becomes increasingly hybrid.</w:t>
      </w:r>
    </w:p>
    <w:p w14:paraId="78662EB9" w14:textId="714D6397" w:rsidR="00FA40CB" w:rsidRDefault="00FA40CB" w:rsidP="00593E65">
      <w:pPr>
        <w:spacing w:line="360" w:lineRule="auto"/>
        <w:rPr>
          <w:rFonts w:ascii="Arial" w:hAnsi="Arial" w:cs="Arial"/>
          <w:sz w:val="24"/>
          <w:szCs w:val="24"/>
        </w:rPr>
      </w:pPr>
    </w:p>
    <w:p w14:paraId="40F2822E" w14:textId="77777777" w:rsidR="00FA40CB" w:rsidRDefault="00FA40CB">
      <w:pPr>
        <w:rPr>
          <w:rFonts w:ascii="Arial" w:hAnsi="Arial" w:cs="Arial"/>
          <w:sz w:val="24"/>
          <w:szCs w:val="24"/>
        </w:rPr>
      </w:pPr>
      <w:r>
        <w:rPr>
          <w:rFonts w:ascii="Arial" w:hAnsi="Arial" w:cs="Arial"/>
          <w:sz w:val="24"/>
          <w:szCs w:val="24"/>
        </w:rPr>
        <w:br w:type="page"/>
      </w:r>
    </w:p>
    <w:p w14:paraId="2C86E316" w14:textId="77777777" w:rsidR="00FA40CB" w:rsidRPr="009F4657" w:rsidRDefault="00FA40CB" w:rsidP="00FA40CB">
      <w:pPr>
        <w:pStyle w:val="Heading1"/>
        <w:rPr>
          <w:rFonts w:ascii="Arial" w:hAnsi="Arial" w:cs="Arial"/>
        </w:rPr>
      </w:pPr>
      <w:bookmarkStart w:id="54" w:name="_Toc214304716"/>
      <w:bookmarkStart w:id="55" w:name="_Toc214475486"/>
      <w:bookmarkStart w:id="56" w:name="_Toc214479639"/>
      <w:r w:rsidRPr="009F4657">
        <w:rPr>
          <w:rFonts w:ascii="Arial" w:hAnsi="Arial" w:cs="Arial"/>
        </w:rPr>
        <w:lastRenderedPageBreak/>
        <w:t>6. Conclusion</w:t>
      </w:r>
      <w:bookmarkEnd w:id="54"/>
      <w:bookmarkEnd w:id="55"/>
      <w:bookmarkEnd w:id="56"/>
    </w:p>
    <w:p w14:paraId="4DC2957D" w14:textId="77777777" w:rsidR="00FA40CB" w:rsidRPr="00717134" w:rsidRDefault="00FA40CB" w:rsidP="00FA40CB">
      <w:pPr>
        <w:spacing w:line="360" w:lineRule="auto"/>
        <w:rPr>
          <w:rFonts w:ascii="Arial" w:hAnsi="Arial" w:cs="Arial"/>
          <w:sz w:val="24"/>
          <w:szCs w:val="24"/>
        </w:rPr>
      </w:pPr>
      <w:r w:rsidRPr="00717134">
        <w:rPr>
          <w:rFonts w:ascii="Arial" w:hAnsi="Arial" w:cs="Arial"/>
          <w:sz w:val="24"/>
          <w:szCs w:val="24"/>
        </w:rPr>
        <w:t>IKEA’s expansion into India represents a significant milestone in the company’s long-standing internationalisation strategy. As this report has demonstrated, IKEA’s success in global markets derives from a combination of strong ownership advantages—such as its brand reputation, product design capabilities and integrated supply chain—alongside the ability to leverage location-specific opportunities and internalise operations where strategic control is essential. The OLI framework provided a structured lens to explain why IKEA opted for a wholly owned subsidiary in India, reflecting not only the firm’s desire for operational consistency but also the country’s evolving regulatory environment, large consumer base and growing potential as a sourcing destination.</w:t>
      </w:r>
    </w:p>
    <w:p w14:paraId="3CEDB5BA" w14:textId="77777777" w:rsidR="00FA40CB" w:rsidRPr="00717134" w:rsidRDefault="00FA40CB" w:rsidP="00FA40CB">
      <w:pPr>
        <w:spacing w:line="360" w:lineRule="auto"/>
        <w:rPr>
          <w:rFonts w:ascii="Arial" w:hAnsi="Arial" w:cs="Arial"/>
          <w:sz w:val="24"/>
          <w:szCs w:val="24"/>
        </w:rPr>
      </w:pPr>
      <w:r w:rsidRPr="00717134">
        <w:rPr>
          <w:rFonts w:ascii="Arial" w:hAnsi="Arial" w:cs="Arial"/>
          <w:sz w:val="24"/>
          <w:szCs w:val="24"/>
        </w:rPr>
        <w:t>Yet, as the analysis has shown, international expansion involves more than structural or economic considerations. Cultural factors exert profound influence on organisational strategy and market performance, particularly in culturally distant emerging economies. India’s distinctive cultural characteristics—ranging from hierarchical social norms to collectivist consumption patterns and high-context communication styles—required substantial adaptation across IKEA’s product design, customer engagement, HR practices and marketing communications. The company’s willingness to navigate cultural complexities, rather than impose a standardised formula, has been instrumental in building trust and relevance among Indian consumers.</w:t>
      </w:r>
    </w:p>
    <w:p w14:paraId="066167D5" w14:textId="77777777" w:rsidR="00FA40CB" w:rsidRPr="00717134" w:rsidRDefault="00FA40CB" w:rsidP="00FA40CB">
      <w:pPr>
        <w:spacing w:line="360" w:lineRule="auto"/>
        <w:rPr>
          <w:rFonts w:ascii="Arial" w:hAnsi="Arial" w:cs="Arial"/>
          <w:sz w:val="24"/>
          <w:szCs w:val="24"/>
        </w:rPr>
      </w:pPr>
      <w:r w:rsidRPr="00717134">
        <w:rPr>
          <w:rFonts w:ascii="Arial" w:hAnsi="Arial" w:cs="Arial"/>
          <w:sz w:val="24"/>
          <w:szCs w:val="24"/>
        </w:rPr>
        <w:t>The recommendations outlined in Part 5 highlight the importance of institutionalising these adaptations through systematic adjustments to IKEA’s Standard Operating Procedures. Strengthening local product development processes, enhancing service delivery, investing in supplier capability-building and refining HR practices are essential steps for ensuring long-term competitiveness. Moreover, as India’s retail landscape becomes increasingly hybrid and digitally integrated, continued investment in omni-channel systems and localised digital tools will be critical.</w:t>
      </w:r>
    </w:p>
    <w:p w14:paraId="61D8FFE3" w14:textId="77777777" w:rsidR="00FA40CB" w:rsidRPr="00717134" w:rsidRDefault="00FA40CB" w:rsidP="00FA40CB">
      <w:pPr>
        <w:spacing w:line="360" w:lineRule="auto"/>
        <w:rPr>
          <w:rFonts w:ascii="Arial" w:hAnsi="Arial" w:cs="Arial"/>
          <w:sz w:val="24"/>
          <w:szCs w:val="24"/>
        </w:rPr>
      </w:pPr>
      <w:r w:rsidRPr="00717134">
        <w:rPr>
          <w:rFonts w:ascii="Arial" w:hAnsi="Arial" w:cs="Arial"/>
          <w:sz w:val="24"/>
          <w:szCs w:val="24"/>
        </w:rPr>
        <w:t xml:space="preserve">Overall, IKEA’s entry into India illustrates the interplay between global standardisation and local responsiveness that defines the operations of modern multinational corporations. The company’s experience reinforces broader insights from international business scholarship: that sustainable success in emerging </w:t>
      </w:r>
      <w:r w:rsidRPr="00717134">
        <w:rPr>
          <w:rFonts w:ascii="Arial" w:hAnsi="Arial" w:cs="Arial"/>
          <w:sz w:val="24"/>
          <w:szCs w:val="24"/>
        </w:rPr>
        <w:lastRenderedPageBreak/>
        <w:t>markets depends on deep cultural understanding, strategic flexibility and the ability to embed localisation within global organisational systems. As IKEA continues to expand its presence in India, its capacity to integrate global capabilities with nuanced local adaptation will determine the strength of its position in one of the world’s most dynamic and complex consumer markets.</w:t>
      </w:r>
    </w:p>
    <w:p w14:paraId="455537E0" w14:textId="0249D21F" w:rsidR="00FA40CB" w:rsidRDefault="00FA40CB" w:rsidP="00593E65">
      <w:pPr>
        <w:spacing w:line="360" w:lineRule="auto"/>
        <w:rPr>
          <w:rFonts w:ascii="Arial" w:hAnsi="Arial" w:cs="Arial"/>
          <w:sz w:val="24"/>
          <w:szCs w:val="24"/>
        </w:rPr>
      </w:pPr>
    </w:p>
    <w:p w14:paraId="650E8FA1" w14:textId="77777777" w:rsidR="00FA40CB" w:rsidRDefault="00FA40CB">
      <w:pPr>
        <w:rPr>
          <w:rFonts w:ascii="Arial" w:hAnsi="Arial" w:cs="Arial"/>
          <w:sz w:val="24"/>
          <w:szCs w:val="24"/>
        </w:rPr>
      </w:pPr>
      <w:r>
        <w:rPr>
          <w:rFonts w:ascii="Arial" w:hAnsi="Arial" w:cs="Arial"/>
          <w:sz w:val="24"/>
          <w:szCs w:val="24"/>
        </w:rPr>
        <w:br w:type="page"/>
      </w:r>
    </w:p>
    <w:p w14:paraId="40E591B7" w14:textId="77777777" w:rsidR="00FD55E6" w:rsidRPr="009F4657" w:rsidRDefault="00FD55E6" w:rsidP="00FD55E6">
      <w:pPr>
        <w:pStyle w:val="Heading1"/>
        <w:rPr>
          <w:rFonts w:ascii="Arial" w:hAnsi="Arial" w:cs="Arial"/>
        </w:rPr>
      </w:pPr>
      <w:bookmarkStart w:id="57" w:name="_Toc214304717"/>
      <w:bookmarkStart w:id="58" w:name="_Toc214475487"/>
      <w:bookmarkStart w:id="59" w:name="_Toc214479640"/>
      <w:r w:rsidRPr="009F4657">
        <w:rPr>
          <w:rFonts w:ascii="Arial" w:hAnsi="Arial" w:cs="Arial"/>
        </w:rPr>
        <w:lastRenderedPageBreak/>
        <w:t>References</w:t>
      </w:r>
      <w:bookmarkEnd w:id="57"/>
      <w:bookmarkEnd w:id="58"/>
      <w:bookmarkEnd w:id="59"/>
    </w:p>
    <w:p w14:paraId="24165C2E" w14:textId="77777777" w:rsidR="007E18F0" w:rsidRDefault="00FD55E6" w:rsidP="00FD55E6">
      <w:pPr>
        <w:spacing w:line="360" w:lineRule="auto"/>
        <w:rPr>
          <w:rFonts w:ascii="Arial" w:hAnsi="Arial" w:cs="Arial"/>
          <w:sz w:val="24"/>
          <w:szCs w:val="24"/>
        </w:rPr>
      </w:pPr>
      <w:r w:rsidRPr="008F5504">
        <w:rPr>
          <w:rFonts w:ascii="Arial" w:hAnsi="Arial" w:cs="Arial"/>
          <w:sz w:val="24"/>
          <w:szCs w:val="24"/>
        </w:rPr>
        <w:t xml:space="preserve">Arnold, D. and Quelch, J. (1998) ‘New strategies in emerging markets’, </w:t>
      </w:r>
      <w:r w:rsidRPr="008F5504">
        <w:rPr>
          <w:rFonts w:ascii="Arial" w:hAnsi="Arial" w:cs="Arial"/>
          <w:i/>
          <w:iCs/>
          <w:sz w:val="24"/>
          <w:szCs w:val="24"/>
        </w:rPr>
        <w:t>Sloan Management Review</w:t>
      </w:r>
      <w:r w:rsidRPr="008F5504">
        <w:rPr>
          <w:rFonts w:ascii="Arial" w:hAnsi="Arial" w:cs="Arial"/>
          <w:sz w:val="24"/>
          <w:szCs w:val="24"/>
        </w:rPr>
        <w:t>, 40(1), pp. 7–20.</w:t>
      </w:r>
      <w:r w:rsidRPr="008F5504">
        <w:rPr>
          <w:rFonts w:ascii="Arial" w:hAnsi="Arial" w:cs="Arial"/>
          <w:sz w:val="24"/>
          <w:szCs w:val="24"/>
        </w:rPr>
        <w:br/>
        <w:t xml:space="preserve">Baraldi, E. (2008) ‘Strategy in industrial networks: Experiences from IKEA’, </w:t>
      </w:r>
      <w:r w:rsidRPr="008F5504">
        <w:rPr>
          <w:rFonts w:ascii="Arial" w:hAnsi="Arial" w:cs="Arial"/>
          <w:i/>
          <w:iCs/>
          <w:sz w:val="24"/>
          <w:szCs w:val="24"/>
        </w:rPr>
        <w:t>California Management Review</w:t>
      </w:r>
      <w:r w:rsidRPr="008F5504">
        <w:rPr>
          <w:rFonts w:ascii="Arial" w:hAnsi="Arial" w:cs="Arial"/>
          <w:sz w:val="24"/>
          <w:szCs w:val="24"/>
        </w:rPr>
        <w:t>, 50(4), pp. 99–126.</w:t>
      </w:r>
      <w:r w:rsidRPr="008F5504">
        <w:rPr>
          <w:rFonts w:ascii="Arial" w:hAnsi="Arial" w:cs="Arial"/>
          <w:sz w:val="24"/>
          <w:szCs w:val="24"/>
        </w:rPr>
        <w:br/>
        <w:t xml:space="preserve">Bartlett, C. and Beamish, P. (2018) </w:t>
      </w:r>
      <w:r w:rsidRPr="008F5504">
        <w:rPr>
          <w:rFonts w:ascii="Arial" w:hAnsi="Arial" w:cs="Arial"/>
          <w:i/>
          <w:iCs/>
          <w:sz w:val="24"/>
          <w:szCs w:val="24"/>
        </w:rPr>
        <w:t>Transnational Management: Text, Cases, and Readings in Cross-Border Management</w:t>
      </w:r>
      <w:r w:rsidRPr="008F5504">
        <w:rPr>
          <w:rFonts w:ascii="Arial" w:hAnsi="Arial" w:cs="Arial"/>
          <w:sz w:val="24"/>
          <w:szCs w:val="24"/>
        </w:rPr>
        <w:t>. 8th edn. New York: McGraw-Hill.</w:t>
      </w:r>
      <w:r w:rsidRPr="008F5504">
        <w:rPr>
          <w:rFonts w:ascii="Arial" w:hAnsi="Arial" w:cs="Arial"/>
          <w:sz w:val="24"/>
          <w:szCs w:val="24"/>
        </w:rPr>
        <w:br/>
        <w:t xml:space="preserve">Budhwar, P. and Varma, A. (2010) </w:t>
      </w:r>
      <w:r w:rsidRPr="008F5504">
        <w:rPr>
          <w:rFonts w:ascii="Arial" w:hAnsi="Arial" w:cs="Arial"/>
          <w:i/>
          <w:iCs/>
          <w:sz w:val="24"/>
          <w:szCs w:val="24"/>
        </w:rPr>
        <w:t>Doing Business in India</w:t>
      </w:r>
      <w:r w:rsidRPr="008F5504">
        <w:rPr>
          <w:rFonts w:ascii="Arial" w:hAnsi="Arial" w:cs="Arial"/>
          <w:sz w:val="24"/>
          <w:szCs w:val="24"/>
        </w:rPr>
        <w:t>. Abingdon: Routledge.</w:t>
      </w:r>
      <w:r w:rsidRPr="008F5504">
        <w:rPr>
          <w:rFonts w:ascii="Arial" w:hAnsi="Arial" w:cs="Arial"/>
          <w:sz w:val="24"/>
          <w:szCs w:val="24"/>
        </w:rPr>
        <w:br/>
        <w:t xml:space="preserve">Cavusgil, S., Knight, G. and Riesenberger, J. (2014) </w:t>
      </w:r>
      <w:r w:rsidRPr="008F5504">
        <w:rPr>
          <w:rFonts w:ascii="Arial" w:hAnsi="Arial" w:cs="Arial"/>
          <w:i/>
          <w:iCs/>
          <w:sz w:val="24"/>
          <w:szCs w:val="24"/>
        </w:rPr>
        <w:t>International Business: The New Realities</w:t>
      </w:r>
      <w:r w:rsidRPr="008F5504">
        <w:rPr>
          <w:rFonts w:ascii="Arial" w:hAnsi="Arial" w:cs="Arial"/>
          <w:sz w:val="24"/>
          <w:szCs w:val="24"/>
        </w:rPr>
        <w:t>. 3rd edn. Harlow: Pearson.</w:t>
      </w:r>
      <w:r w:rsidRPr="008F5504">
        <w:rPr>
          <w:rFonts w:ascii="Arial" w:hAnsi="Arial" w:cs="Arial"/>
          <w:sz w:val="24"/>
          <w:szCs w:val="24"/>
        </w:rPr>
        <w:br/>
        <w:t xml:space="preserve">Christopher, M. (2016) </w:t>
      </w:r>
      <w:r w:rsidRPr="008F5504">
        <w:rPr>
          <w:rFonts w:ascii="Arial" w:hAnsi="Arial" w:cs="Arial"/>
          <w:i/>
          <w:iCs/>
          <w:sz w:val="24"/>
          <w:szCs w:val="24"/>
        </w:rPr>
        <w:t>Logistics and Supply Chain Management</w:t>
      </w:r>
      <w:r w:rsidRPr="008F5504">
        <w:rPr>
          <w:rFonts w:ascii="Arial" w:hAnsi="Arial" w:cs="Arial"/>
          <w:sz w:val="24"/>
          <w:szCs w:val="24"/>
        </w:rPr>
        <w:t>. 5th edn. Harlow: Pearson.</w:t>
      </w:r>
      <w:r w:rsidRPr="008F5504">
        <w:rPr>
          <w:rFonts w:ascii="Arial" w:hAnsi="Arial" w:cs="Arial"/>
          <w:sz w:val="24"/>
          <w:szCs w:val="24"/>
        </w:rPr>
        <w:br/>
        <w:t xml:space="preserve">De Mooij, M. and Hofstede, G. (2010) ‘The Hofstede model: Applications to global branding and advertising strategy and research’, </w:t>
      </w:r>
      <w:r w:rsidRPr="008F5504">
        <w:rPr>
          <w:rFonts w:ascii="Arial" w:hAnsi="Arial" w:cs="Arial"/>
          <w:i/>
          <w:iCs/>
          <w:sz w:val="24"/>
          <w:szCs w:val="24"/>
        </w:rPr>
        <w:t>International Journal of Advertising</w:t>
      </w:r>
      <w:r w:rsidRPr="008F5504">
        <w:rPr>
          <w:rFonts w:ascii="Arial" w:hAnsi="Arial" w:cs="Arial"/>
          <w:sz w:val="24"/>
          <w:szCs w:val="24"/>
        </w:rPr>
        <w:t>, 29(1), pp. 85–110.</w:t>
      </w:r>
      <w:r w:rsidRPr="008F5504">
        <w:rPr>
          <w:rFonts w:ascii="Arial" w:hAnsi="Arial" w:cs="Arial"/>
          <w:sz w:val="24"/>
          <w:szCs w:val="24"/>
        </w:rPr>
        <w:br/>
        <w:t xml:space="preserve">Deloitte &amp; RAI (2019) </w:t>
      </w:r>
      <w:r w:rsidRPr="008F5504">
        <w:rPr>
          <w:rFonts w:ascii="Arial" w:hAnsi="Arial" w:cs="Arial"/>
          <w:i/>
          <w:iCs/>
          <w:sz w:val="24"/>
          <w:szCs w:val="24"/>
        </w:rPr>
        <w:t>Unravelling the Indian Consumer</w:t>
      </w:r>
      <w:r w:rsidRPr="008F5504">
        <w:rPr>
          <w:rFonts w:ascii="Arial" w:hAnsi="Arial" w:cs="Arial"/>
          <w:sz w:val="24"/>
          <w:szCs w:val="24"/>
        </w:rPr>
        <w:t>. Mumbai: Deloitte &amp; Retailers Association of India.</w:t>
      </w:r>
      <w:r w:rsidRPr="008F5504">
        <w:rPr>
          <w:rFonts w:ascii="Arial" w:hAnsi="Arial" w:cs="Arial"/>
          <w:sz w:val="24"/>
          <w:szCs w:val="24"/>
        </w:rPr>
        <w:br/>
        <w:t xml:space="preserve">Dunning, J. (1988) ‘The eclectic paradigm of international production’, </w:t>
      </w:r>
      <w:r w:rsidRPr="008F5504">
        <w:rPr>
          <w:rFonts w:ascii="Arial" w:hAnsi="Arial" w:cs="Arial"/>
          <w:i/>
          <w:iCs/>
          <w:sz w:val="24"/>
          <w:szCs w:val="24"/>
        </w:rPr>
        <w:t>Journal of International Business Studies</w:t>
      </w:r>
      <w:r w:rsidRPr="008F5504">
        <w:rPr>
          <w:rFonts w:ascii="Arial" w:hAnsi="Arial" w:cs="Arial"/>
          <w:sz w:val="24"/>
          <w:szCs w:val="24"/>
        </w:rPr>
        <w:t>, 19(1), pp. 1–31.</w:t>
      </w:r>
      <w:r w:rsidRPr="008F5504">
        <w:rPr>
          <w:rFonts w:ascii="Arial" w:hAnsi="Arial" w:cs="Arial"/>
          <w:sz w:val="24"/>
          <w:szCs w:val="24"/>
        </w:rPr>
        <w:br/>
        <w:t xml:space="preserve">Edvardsson, B. and Enquist, B. (2011) </w:t>
      </w:r>
      <w:r w:rsidRPr="008F5504">
        <w:rPr>
          <w:rFonts w:ascii="Arial" w:hAnsi="Arial" w:cs="Arial"/>
          <w:i/>
          <w:iCs/>
          <w:sz w:val="24"/>
          <w:szCs w:val="24"/>
        </w:rPr>
        <w:t>Values-based Service Brands: Narratives from IKEA</w:t>
      </w:r>
      <w:r w:rsidRPr="008F5504">
        <w:rPr>
          <w:rFonts w:ascii="Arial" w:hAnsi="Arial" w:cs="Arial"/>
          <w:sz w:val="24"/>
          <w:szCs w:val="24"/>
        </w:rPr>
        <w:t>. London: Routledge.</w:t>
      </w:r>
      <w:r w:rsidRPr="008F5504">
        <w:rPr>
          <w:rFonts w:ascii="Arial" w:hAnsi="Arial" w:cs="Arial"/>
          <w:sz w:val="24"/>
          <w:szCs w:val="24"/>
        </w:rPr>
        <w:br/>
        <w:t xml:space="preserve">Gereffi, G. (2018) </w:t>
      </w:r>
      <w:r w:rsidRPr="008F5504">
        <w:rPr>
          <w:rFonts w:ascii="Arial" w:hAnsi="Arial" w:cs="Arial"/>
          <w:i/>
          <w:iCs/>
          <w:sz w:val="24"/>
          <w:szCs w:val="24"/>
        </w:rPr>
        <w:t>Global Value Chains and Development</w:t>
      </w:r>
      <w:r w:rsidRPr="008F5504">
        <w:rPr>
          <w:rFonts w:ascii="Arial" w:hAnsi="Arial" w:cs="Arial"/>
          <w:sz w:val="24"/>
          <w:szCs w:val="24"/>
        </w:rPr>
        <w:t>. Cambridge: Cambridge University Press.</w:t>
      </w:r>
      <w:r w:rsidRPr="008F5504">
        <w:rPr>
          <w:rFonts w:ascii="Arial" w:hAnsi="Arial" w:cs="Arial"/>
          <w:sz w:val="24"/>
          <w:szCs w:val="24"/>
        </w:rPr>
        <w:br/>
        <w:t xml:space="preserve">Ghemawat, P. (2018) </w:t>
      </w:r>
      <w:r w:rsidRPr="008F5504">
        <w:rPr>
          <w:rFonts w:ascii="Arial" w:hAnsi="Arial" w:cs="Arial"/>
          <w:i/>
          <w:iCs/>
          <w:sz w:val="24"/>
          <w:szCs w:val="24"/>
        </w:rPr>
        <w:t>Redefining Global Strategy</w:t>
      </w:r>
      <w:r w:rsidRPr="008F5504">
        <w:rPr>
          <w:rFonts w:ascii="Arial" w:hAnsi="Arial" w:cs="Arial"/>
          <w:sz w:val="24"/>
          <w:szCs w:val="24"/>
        </w:rPr>
        <w:t>. Boston: Harvard Business Review Press.</w:t>
      </w:r>
      <w:r w:rsidRPr="008F5504">
        <w:rPr>
          <w:rFonts w:ascii="Arial" w:hAnsi="Arial" w:cs="Arial"/>
          <w:sz w:val="24"/>
          <w:szCs w:val="24"/>
        </w:rPr>
        <w:br/>
        <w:t xml:space="preserve">Government of India (2018) </w:t>
      </w:r>
      <w:r w:rsidRPr="008F5504">
        <w:rPr>
          <w:rFonts w:ascii="Arial" w:hAnsi="Arial" w:cs="Arial"/>
          <w:i/>
          <w:iCs/>
          <w:sz w:val="24"/>
          <w:szCs w:val="24"/>
        </w:rPr>
        <w:t>Foreign Direct Investment (FDI) Policy Circular</w:t>
      </w:r>
      <w:r w:rsidRPr="008F5504">
        <w:rPr>
          <w:rFonts w:ascii="Arial" w:hAnsi="Arial" w:cs="Arial"/>
          <w:sz w:val="24"/>
          <w:szCs w:val="24"/>
        </w:rPr>
        <w:t>. Ministry of Commerce and Industry, Government of India.</w:t>
      </w:r>
      <w:r w:rsidRPr="008F5504">
        <w:rPr>
          <w:rFonts w:ascii="Arial" w:hAnsi="Arial" w:cs="Arial"/>
          <w:sz w:val="24"/>
          <w:szCs w:val="24"/>
        </w:rPr>
        <w:br/>
        <w:t xml:space="preserve">Hall, E. (1976) </w:t>
      </w:r>
      <w:r w:rsidRPr="008F5504">
        <w:rPr>
          <w:rFonts w:ascii="Arial" w:hAnsi="Arial" w:cs="Arial"/>
          <w:i/>
          <w:iCs/>
          <w:sz w:val="24"/>
          <w:szCs w:val="24"/>
        </w:rPr>
        <w:t>Beyond Culture</w:t>
      </w:r>
      <w:r w:rsidRPr="008F5504">
        <w:rPr>
          <w:rFonts w:ascii="Arial" w:hAnsi="Arial" w:cs="Arial"/>
          <w:sz w:val="24"/>
          <w:szCs w:val="24"/>
        </w:rPr>
        <w:t>. New York: Anchor Books.</w:t>
      </w:r>
      <w:r w:rsidRPr="008F5504">
        <w:rPr>
          <w:rFonts w:ascii="Arial" w:hAnsi="Arial" w:cs="Arial"/>
          <w:sz w:val="24"/>
          <w:szCs w:val="24"/>
        </w:rPr>
        <w:br/>
        <w:t xml:space="preserve">Hofstede, G. (2011) </w:t>
      </w:r>
      <w:r w:rsidRPr="008F5504">
        <w:rPr>
          <w:rFonts w:ascii="Arial" w:hAnsi="Arial" w:cs="Arial"/>
          <w:i/>
          <w:iCs/>
          <w:sz w:val="24"/>
          <w:szCs w:val="24"/>
        </w:rPr>
        <w:t>Cultures and Organizations: Software of the Mind</w:t>
      </w:r>
      <w:r w:rsidRPr="008F5504">
        <w:rPr>
          <w:rFonts w:ascii="Arial" w:hAnsi="Arial" w:cs="Arial"/>
          <w:sz w:val="24"/>
          <w:szCs w:val="24"/>
        </w:rPr>
        <w:t>. 3rd ed. New York: McGraw-Hill.</w:t>
      </w:r>
      <w:r w:rsidRPr="008F5504">
        <w:rPr>
          <w:rFonts w:ascii="Arial" w:hAnsi="Arial" w:cs="Arial"/>
          <w:sz w:val="24"/>
          <w:szCs w:val="24"/>
        </w:rPr>
        <w:br/>
        <w:t xml:space="preserve">Inter IKEA Group (2023) </w:t>
      </w:r>
      <w:r w:rsidRPr="008F5504">
        <w:rPr>
          <w:rFonts w:ascii="Arial" w:hAnsi="Arial" w:cs="Arial"/>
          <w:i/>
          <w:iCs/>
          <w:sz w:val="24"/>
          <w:szCs w:val="24"/>
        </w:rPr>
        <w:t>Inter IKEA Group: Sustainability and Performance Summary</w:t>
      </w:r>
      <w:r w:rsidRPr="008F5504">
        <w:rPr>
          <w:rFonts w:ascii="Arial" w:hAnsi="Arial" w:cs="Arial"/>
          <w:sz w:val="24"/>
          <w:szCs w:val="24"/>
        </w:rPr>
        <w:t>. Delft: Inter IKEA Systems B.V.</w:t>
      </w:r>
      <w:r w:rsidRPr="008F5504">
        <w:rPr>
          <w:rFonts w:ascii="Arial" w:hAnsi="Arial" w:cs="Arial"/>
          <w:sz w:val="24"/>
          <w:szCs w:val="24"/>
        </w:rPr>
        <w:br/>
      </w:r>
    </w:p>
    <w:p w14:paraId="1D2A7EA9" w14:textId="5A229248" w:rsidR="00793EBF" w:rsidRPr="00593E65" w:rsidRDefault="00FD55E6" w:rsidP="00FD55E6">
      <w:pPr>
        <w:spacing w:line="360" w:lineRule="auto"/>
        <w:rPr>
          <w:rFonts w:ascii="Arial" w:hAnsi="Arial" w:cs="Arial"/>
          <w:sz w:val="24"/>
          <w:szCs w:val="24"/>
        </w:rPr>
      </w:pPr>
      <w:r w:rsidRPr="008F5504">
        <w:rPr>
          <w:rFonts w:ascii="Arial" w:hAnsi="Arial" w:cs="Arial"/>
          <w:sz w:val="24"/>
          <w:szCs w:val="24"/>
        </w:rPr>
        <w:lastRenderedPageBreak/>
        <w:t xml:space="preserve">Jonsson, A. and Foss, N. (2011) ‘International expansion through flexible replication: Learning from the internationalization experience of IKEA’, </w:t>
      </w:r>
      <w:r w:rsidRPr="008F5504">
        <w:rPr>
          <w:rFonts w:ascii="Arial" w:hAnsi="Arial" w:cs="Arial"/>
          <w:i/>
          <w:iCs/>
          <w:sz w:val="24"/>
          <w:szCs w:val="24"/>
        </w:rPr>
        <w:t>Journal of International Business Studies</w:t>
      </w:r>
      <w:r w:rsidRPr="008F5504">
        <w:rPr>
          <w:rFonts w:ascii="Arial" w:hAnsi="Arial" w:cs="Arial"/>
          <w:sz w:val="24"/>
          <w:szCs w:val="24"/>
        </w:rPr>
        <w:t>, 42(9), pp. 1079–1102.</w:t>
      </w:r>
      <w:r w:rsidRPr="008F5504">
        <w:rPr>
          <w:rFonts w:ascii="Arial" w:hAnsi="Arial" w:cs="Arial"/>
          <w:sz w:val="24"/>
          <w:szCs w:val="24"/>
        </w:rPr>
        <w:br/>
        <w:t xml:space="preserve">Kapur, D. and Ray, A. (2019) </w:t>
      </w:r>
      <w:r w:rsidRPr="008F5504">
        <w:rPr>
          <w:rFonts w:ascii="Arial" w:hAnsi="Arial" w:cs="Arial"/>
          <w:i/>
          <w:iCs/>
          <w:sz w:val="24"/>
          <w:szCs w:val="24"/>
        </w:rPr>
        <w:t>Society and Markets in India</w:t>
      </w:r>
      <w:r w:rsidRPr="008F5504">
        <w:rPr>
          <w:rFonts w:ascii="Arial" w:hAnsi="Arial" w:cs="Arial"/>
          <w:sz w:val="24"/>
          <w:szCs w:val="24"/>
        </w:rPr>
        <w:t>. New Delhi: Oxford University Press.</w:t>
      </w:r>
      <w:r w:rsidRPr="008F5504">
        <w:rPr>
          <w:rFonts w:ascii="Arial" w:hAnsi="Arial" w:cs="Arial"/>
          <w:sz w:val="24"/>
          <w:szCs w:val="24"/>
        </w:rPr>
        <w:br/>
        <w:t xml:space="preserve">Khanna, T. and Palepu, K. (2010) </w:t>
      </w:r>
      <w:r w:rsidRPr="008F5504">
        <w:rPr>
          <w:rFonts w:ascii="Arial" w:hAnsi="Arial" w:cs="Arial"/>
          <w:i/>
          <w:iCs/>
          <w:sz w:val="24"/>
          <w:szCs w:val="24"/>
        </w:rPr>
        <w:t>Winning in Emerging Markets: A Roadmap for Strategy and Execution</w:t>
      </w:r>
      <w:r w:rsidRPr="008F5504">
        <w:rPr>
          <w:rFonts w:ascii="Arial" w:hAnsi="Arial" w:cs="Arial"/>
          <w:sz w:val="24"/>
          <w:szCs w:val="24"/>
        </w:rPr>
        <w:t>. Boston: Harvard Business School Press.</w:t>
      </w:r>
      <w:r w:rsidRPr="008F5504">
        <w:rPr>
          <w:rFonts w:ascii="Arial" w:hAnsi="Arial" w:cs="Arial"/>
          <w:sz w:val="24"/>
          <w:szCs w:val="24"/>
        </w:rPr>
        <w:br/>
        <w:t xml:space="preserve">Meyer, K. and Peng, M. (2016) ‘Theoretical foundations of emerging economy business research’, </w:t>
      </w:r>
      <w:r w:rsidRPr="008F5504">
        <w:rPr>
          <w:rFonts w:ascii="Arial" w:hAnsi="Arial" w:cs="Arial"/>
          <w:i/>
          <w:iCs/>
          <w:sz w:val="24"/>
          <w:szCs w:val="24"/>
        </w:rPr>
        <w:t>Journal of International Business Studies</w:t>
      </w:r>
      <w:r w:rsidRPr="008F5504">
        <w:rPr>
          <w:rFonts w:ascii="Arial" w:hAnsi="Arial" w:cs="Arial"/>
          <w:sz w:val="24"/>
          <w:szCs w:val="24"/>
        </w:rPr>
        <w:t>, 47(1), pp. 3–22.</w:t>
      </w:r>
      <w:r w:rsidRPr="008F5504">
        <w:rPr>
          <w:rFonts w:ascii="Arial" w:hAnsi="Arial" w:cs="Arial"/>
          <w:sz w:val="24"/>
          <w:szCs w:val="24"/>
        </w:rPr>
        <w:br/>
        <w:t xml:space="preserve">Morris, S., Wright, P. and Trevor, J. (2008) ‘The global HR function’, </w:t>
      </w:r>
      <w:r w:rsidRPr="008F5504">
        <w:rPr>
          <w:rFonts w:ascii="Arial" w:hAnsi="Arial" w:cs="Arial"/>
          <w:i/>
          <w:iCs/>
          <w:sz w:val="24"/>
          <w:szCs w:val="24"/>
        </w:rPr>
        <w:t>Human Resource Management</w:t>
      </w:r>
      <w:r w:rsidRPr="008F5504">
        <w:rPr>
          <w:rFonts w:ascii="Arial" w:hAnsi="Arial" w:cs="Arial"/>
          <w:sz w:val="24"/>
          <w:szCs w:val="24"/>
        </w:rPr>
        <w:t>, 47(4), pp. 667–687.</w:t>
      </w:r>
      <w:r w:rsidRPr="008F5504">
        <w:rPr>
          <w:rFonts w:ascii="Arial" w:hAnsi="Arial" w:cs="Arial"/>
          <w:sz w:val="24"/>
          <w:szCs w:val="24"/>
        </w:rPr>
        <w:br/>
        <w:t xml:space="preserve">Prahalad, C.K. and Doz, Y. (1987) </w:t>
      </w:r>
      <w:r w:rsidRPr="008F5504">
        <w:rPr>
          <w:rFonts w:ascii="Arial" w:hAnsi="Arial" w:cs="Arial"/>
          <w:i/>
          <w:iCs/>
          <w:sz w:val="24"/>
          <w:szCs w:val="24"/>
        </w:rPr>
        <w:t>The Multinational Mission: Balancing Local Demands and Global Vision</w:t>
      </w:r>
      <w:r w:rsidRPr="008F5504">
        <w:rPr>
          <w:rFonts w:ascii="Arial" w:hAnsi="Arial" w:cs="Arial"/>
          <w:sz w:val="24"/>
          <w:szCs w:val="24"/>
        </w:rPr>
        <w:t>. New York: Free Press.</w:t>
      </w:r>
      <w:r w:rsidRPr="008F5504">
        <w:rPr>
          <w:rFonts w:ascii="Arial" w:hAnsi="Arial" w:cs="Arial"/>
          <w:sz w:val="24"/>
          <w:szCs w:val="24"/>
        </w:rPr>
        <w:br/>
        <w:t xml:space="preserve">PwC (2020) </w:t>
      </w:r>
      <w:r w:rsidRPr="008F5504">
        <w:rPr>
          <w:rFonts w:ascii="Arial" w:hAnsi="Arial" w:cs="Arial"/>
          <w:i/>
          <w:iCs/>
          <w:sz w:val="24"/>
          <w:szCs w:val="24"/>
        </w:rPr>
        <w:t>India Retailing Outlook: Consumer Trends and Opportunities</w:t>
      </w:r>
      <w:r w:rsidRPr="008F5504">
        <w:rPr>
          <w:rFonts w:ascii="Arial" w:hAnsi="Arial" w:cs="Arial"/>
          <w:sz w:val="24"/>
          <w:szCs w:val="24"/>
        </w:rPr>
        <w:t>. PwC India Market Report.</w:t>
      </w:r>
      <w:r w:rsidRPr="008F5504">
        <w:rPr>
          <w:rFonts w:ascii="Arial" w:hAnsi="Arial" w:cs="Arial"/>
          <w:sz w:val="24"/>
          <w:szCs w:val="24"/>
        </w:rPr>
        <w:br/>
        <w:t xml:space="preserve">Reinartz, W., Dellaert, B., Krafft, M., Kumar, V. and Varadarajan, R. (2011) ‘Retailing innovations in a globalising retail market environment’, </w:t>
      </w:r>
      <w:r w:rsidRPr="008F5504">
        <w:rPr>
          <w:rFonts w:ascii="Arial" w:hAnsi="Arial" w:cs="Arial"/>
          <w:i/>
          <w:iCs/>
          <w:sz w:val="24"/>
          <w:szCs w:val="24"/>
        </w:rPr>
        <w:t>Journal of Retailing</w:t>
      </w:r>
      <w:r w:rsidRPr="008F5504">
        <w:rPr>
          <w:rFonts w:ascii="Arial" w:hAnsi="Arial" w:cs="Arial"/>
          <w:sz w:val="24"/>
          <w:szCs w:val="24"/>
        </w:rPr>
        <w:t>, 87(Suppl. 1), pp. S53–S66.</w:t>
      </w:r>
      <w:r w:rsidRPr="008F5504">
        <w:rPr>
          <w:rFonts w:ascii="Arial" w:hAnsi="Arial" w:cs="Arial"/>
          <w:sz w:val="24"/>
          <w:szCs w:val="24"/>
        </w:rPr>
        <w:br/>
        <w:t xml:space="preserve">Rogers, E. (2003) </w:t>
      </w:r>
      <w:r w:rsidRPr="008F5504">
        <w:rPr>
          <w:rFonts w:ascii="Arial" w:hAnsi="Arial" w:cs="Arial"/>
          <w:i/>
          <w:iCs/>
          <w:sz w:val="24"/>
          <w:szCs w:val="24"/>
        </w:rPr>
        <w:t>Diffusion of Innovations</w:t>
      </w:r>
      <w:r w:rsidRPr="008F5504">
        <w:rPr>
          <w:rFonts w:ascii="Arial" w:hAnsi="Arial" w:cs="Arial"/>
          <w:sz w:val="24"/>
          <w:szCs w:val="24"/>
        </w:rPr>
        <w:t>. 5th edn. New York: Free Press.</w:t>
      </w:r>
      <w:r w:rsidRPr="008F5504">
        <w:rPr>
          <w:rFonts w:ascii="Arial" w:hAnsi="Arial" w:cs="Arial"/>
          <w:sz w:val="24"/>
          <w:szCs w:val="24"/>
        </w:rPr>
        <w:br/>
        <w:t xml:space="preserve">Rugman, A. (2010) </w:t>
      </w:r>
      <w:r w:rsidRPr="008F5504">
        <w:rPr>
          <w:rFonts w:ascii="Arial" w:hAnsi="Arial" w:cs="Arial"/>
          <w:i/>
          <w:iCs/>
          <w:sz w:val="24"/>
          <w:szCs w:val="24"/>
        </w:rPr>
        <w:t>The Oxford Handbook of International Business</w:t>
      </w:r>
      <w:r w:rsidRPr="008F5504">
        <w:rPr>
          <w:rFonts w:ascii="Arial" w:hAnsi="Arial" w:cs="Arial"/>
          <w:sz w:val="24"/>
          <w:szCs w:val="24"/>
        </w:rPr>
        <w:t>. 2nd edn. Oxford: Oxford University Press.</w:t>
      </w:r>
      <w:r w:rsidRPr="008F5504">
        <w:rPr>
          <w:rFonts w:ascii="Arial" w:hAnsi="Arial" w:cs="Arial"/>
          <w:sz w:val="24"/>
          <w:szCs w:val="24"/>
        </w:rPr>
        <w:br/>
        <w:t xml:space="preserve">Rugman, A. and Verbeke, A. (2003) ‘Extending the theory of the multinational enterprise’, </w:t>
      </w:r>
      <w:r w:rsidRPr="008F5504">
        <w:rPr>
          <w:rFonts w:ascii="Arial" w:hAnsi="Arial" w:cs="Arial"/>
          <w:i/>
          <w:iCs/>
          <w:sz w:val="24"/>
          <w:szCs w:val="24"/>
        </w:rPr>
        <w:t>Journal of International Business Studies</w:t>
      </w:r>
      <w:r w:rsidRPr="008F5504">
        <w:rPr>
          <w:rFonts w:ascii="Arial" w:hAnsi="Arial" w:cs="Arial"/>
          <w:sz w:val="24"/>
          <w:szCs w:val="24"/>
        </w:rPr>
        <w:t>, 34(2), pp. 125–137.</w:t>
      </w:r>
      <w:r w:rsidRPr="008F5504">
        <w:rPr>
          <w:rFonts w:ascii="Arial" w:hAnsi="Arial" w:cs="Arial"/>
          <w:sz w:val="24"/>
          <w:szCs w:val="24"/>
        </w:rPr>
        <w:br/>
        <w:t xml:space="preserve">Spring, M. and Araujo, L. (2017) ‘Product biographies in servitization and the circular economy’, </w:t>
      </w:r>
      <w:r w:rsidRPr="008F5504">
        <w:rPr>
          <w:rFonts w:ascii="Arial" w:hAnsi="Arial" w:cs="Arial"/>
          <w:i/>
          <w:iCs/>
          <w:sz w:val="24"/>
          <w:szCs w:val="24"/>
        </w:rPr>
        <w:t>Industrial Marketing Management</w:t>
      </w:r>
      <w:r w:rsidRPr="008F5504">
        <w:rPr>
          <w:rFonts w:ascii="Arial" w:hAnsi="Arial" w:cs="Arial"/>
          <w:sz w:val="24"/>
          <w:szCs w:val="24"/>
        </w:rPr>
        <w:t>, 60, pp. 126–137.</w:t>
      </w:r>
      <w:r w:rsidRPr="008F5504">
        <w:rPr>
          <w:rFonts w:ascii="Arial" w:hAnsi="Arial" w:cs="Arial"/>
          <w:sz w:val="24"/>
          <w:szCs w:val="24"/>
        </w:rPr>
        <w:br/>
        <w:t xml:space="preserve">Statista (2023) </w:t>
      </w:r>
      <w:r w:rsidRPr="008F5504">
        <w:rPr>
          <w:rFonts w:ascii="Arial" w:hAnsi="Arial" w:cs="Arial"/>
          <w:i/>
          <w:iCs/>
          <w:sz w:val="24"/>
          <w:szCs w:val="24"/>
        </w:rPr>
        <w:t>India Furniture and Homeware Market Outlook</w:t>
      </w:r>
      <w:r w:rsidRPr="008F5504">
        <w:rPr>
          <w:rFonts w:ascii="Arial" w:hAnsi="Arial" w:cs="Arial"/>
          <w:sz w:val="24"/>
          <w:szCs w:val="24"/>
        </w:rPr>
        <w:t>. Statista Market Insights.</w:t>
      </w:r>
      <w:r w:rsidRPr="008F5504">
        <w:rPr>
          <w:rFonts w:ascii="Arial" w:hAnsi="Arial" w:cs="Arial"/>
          <w:sz w:val="24"/>
          <w:szCs w:val="24"/>
        </w:rPr>
        <w:br/>
        <w:t xml:space="preserve">Steenkamp, J.-B. (2001) ‘The role of national culture in international marketing research’, </w:t>
      </w:r>
      <w:r w:rsidRPr="008F5504">
        <w:rPr>
          <w:rFonts w:ascii="Arial" w:hAnsi="Arial" w:cs="Arial"/>
          <w:i/>
          <w:iCs/>
          <w:sz w:val="24"/>
          <w:szCs w:val="24"/>
        </w:rPr>
        <w:t>International Marketing Review</w:t>
      </w:r>
      <w:r w:rsidRPr="008F5504">
        <w:rPr>
          <w:rFonts w:ascii="Arial" w:hAnsi="Arial" w:cs="Arial"/>
          <w:sz w:val="24"/>
          <w:szCs w:val="24"/>
        </w:rPr>
        <w:t>, 18(1), pp. 30–44.</w:t>
      </w:r>
      <w:r w:rsidRPr="008F5504">
        <w:rPr>
          <w:rFonts w:ascii="Arial" w:hAnsi="Arial" w:cs="Arial"/>
          <w:sz w:val="24"/>
          <w:szCs w:val="24"/>
        </w:rPr>
        <w:br/>
        <w:t>Triandis, H.</w:t>
      </w:r>
      <w:r w:rsidR="00F9316C">
        <w:rPr>
          <w:rFonts w:ascii="Arial" w:hAnsi="Arial" w:cs="Arial"/>
          <w:sz w:val="24"/>
          <w:szCs w:val="24"/>
        </w:rPr>
        <w:t>C.</w:t>
      </w:r>
      <w:r w:rsidRPr="008F5504">
        <w:rPr>
          <w:rFonts w:ascii="Arial" w:hAnsi="Arial" w:cs="Arial"/>
          <w:sz w:val="24"/>
          <w:szCs w:val="24"/>
        </w:rPr>
        <w:t xml:space="preserve"> (1995) </w:t>
      </w:r>
      <w:r w:rsidRPr="008F5504">
        <w:rPr>
          <w:rFonts w:ascii="Arial" w:hAnsi="Arial" w:cs="Arial"/>
          <w:i/>
          <w:iCs/>
          <w:sz w:val="24"/>
          <w:szCs w:val="24"/>
        </w:rPr>
        <w:t>Individualism and Collectivism</w:t>
      </w:r>
      <w:r w:rsidRPr="008F5504">
        <w:rPr>
          <w:rFonts w:ascii="Arial" w:hAnsi="Arial" w:cs="Arial"/>
          <w:sz w:val="24"/>
          <w:szCs w:val="24"/>
        </w:rPr>
        <w:t>. Boulder: Westview Press.</w:t>
      </w:r>
      <w:r w:rsidRPr="008F5504">
        <w:rPr>
          <w:rFonts w:ascii="Arial" w:hAnsi="Arial" w:cs="Arial"/>
          <w:sz w:val="24"/>
          <w:szCs w:val="24"/>
        </w:rPr>
        <w:br/>
        <w:t xml:space="preserve">Trompenaars, F. and Hampden-Turner, C. (2012) </w:t>
      </w:r>
      <w:r w:rsidRPr="008F5504">
        <w:rPr>
          <w:rFonts w:ascii="Arial" w:hAnsi="Arial" w:cs="Arial"/>
          <w:i/>
          <w:iCs/>
          <w:sz w:val="24"/>
          <w:szCs w:val="24"/>
        </w:rPr>
        <w:t>Riding the Waves of Culture: Understanding Diversity in Global Business</w:t>
      </w:r>
      <w:r w:rsidRPr="008F5504">
        <w:rPr>
          <w:rFonts w:ascii="Arial" w:hAnsi="Arial" w:cs="Arial"/>
          <w:sz w:val="24"/>
          <w:szCs w:val="24"/>
        </w:rPr>
        <w:t>. 3rd edn. London: Nicholas Brealey.</w:t>
      </w:r>
      <w:r w:rsidRPr="008F5504">
        <w:rPr>
          <w:rFonts w:ascii="Arial" w:hAnsi="Arial" w:cs="Arial"/>
          <w:sz w:val="24"/>
          <w:szCs w:val="24"/>
        </w:rPr>
        <w:br/>
        <w:t xml:space="preserve">Verhoef, P., Kannan, P. and Inman, J. (2015) ‘From multi-channel retailing to omni-channel retailing’, </w:t>
      </w:r>
      <w:r w:rsidRPr="008F5504">
        <w:rPr>
          <w:rFonts w:ascii="Arial" w:hAnsi="Arial" w:cs="Arial"/>
          <w:i/>
          <w:iCs/>
          <w:sz w:val="24"/>
          <w:szCs w:val="24"/>
        </w:rPr>
        <w:t>Journal of Retailing</w:t>
      </w:r>
      <w:r w:rsidRPr="008F5504">
        <w:rPr>
          <w:rFonts w:ascii="Arial" w:hAnsi="Arial" w:cs="Arial"/>
          <w:sz w:val="24"/>
          <w:szCs w:val="24"/>
        </w:rPr>
        <w:t>, 91(2), pp. 174–181</w:t>
      </w:r>
    </w:p>
    <w:sectPr w:rsidR="00793EBF" w:rsidRPr="00593E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C564593"/>
    <w:multiLevelType w:val="multilevel"/>
    <w:tmpl w:val="C9E27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159612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1420"/>
    <w:rsid w:val="001C5589"/>
    <w:rsid w:val="00424DCD"/>
    <w:rsid w:val="004E1B5B"/>
    <w:rsid w:val="00593E65"/>
    <w:rsid w:val="00793EBF"/>
    <w:rsid w:val="007E18F0"/>
    <w:rsid w:val="009552B7"/>
    <w:rsid w:val="009E5550"/>
    <w:rsid w:val="00A21420"/>
    <w:rsid w:val="00A81E33"/>
    <w:rsid w:val="00F9316C"/>
    <w:rsid w:val="00FA40CB"/>
    <w:rsid w:val="00FD55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4266BC"/>
  <w15:chartTrackingRefBased/>
  <w15:docId w15:val="{D280E293-1A56-4FF3-8733-9B8EFCCC46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142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2142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2142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214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214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214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214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214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214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14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214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214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214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214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214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14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14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1420"/>
    <w:rPr>
      <w:rFonts w:eastAsiaTheme="majorEastAsia" w:cstheme="majorBidi"/>
      <w:color w:val="272727" w:themeColor="text1" w:themeTint="D8"/>
    </w:rPr>
  </w:style>
  <w:style w:type="paragraph" w:styleId="Title">
    <w:name w:val="Title"/>
    <w:basedOn w:val="Normal"/>
    <w:next w:val="Normal"/>
    <w:link w:val="TitleChar"/>
    <w:uiPriority w:val="10"/>
    <w:qFormat/>
    <w:rsid w:val="00A214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14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14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214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1420"/>
    <w:pPr>
      <w:spacing w:before="160"/>
      <w:jc w:val="center"/>
    </w:pPr>
    <w:rPr>
      <w:i/>
      <w:iCs/>
      <w:color w:val="404040" w:themeColor="text1" w:themeTint="BF"/>
    </w:rPr>
  </w:style>
  <w:style w:type="character" w:customStyle="1" w:styleId="QuoteChar">
    <w:name w:val="Quote Char"/>
    <w:basedOn w:val="DefaultParagraphFont"/>
    <w:link w:val="Quote"/>
    <w:uiPriority w:val="29"/>
    <w:rsid w:val="00A21420"/>
    <w:rPr>
      <w:i/>
      <w:iCs/>
      <w:color w:val="404040" w:themeColor="text1" w:themeTint="BF"/>
    </w:rPr>
  </w:style>
  <w:style w:type="paragraph" w:styleId="ListParagraph">
    <w:name w:val="List Paragraph"/>
    <w:basedOn w:val="Normal"/>
    <w:uiPriority w:val="34"/>
    <w:qFormat/>
    <w:rsid w:val="00A21420"/>
    <w:pPr>
      <w:ind w:left="720"/>
      <w:contextualSpacing/>
    </w:pPr>
  </w:style>
  <w:style w:type="character" w:styleId="IntenseEmphasis">
    <w:name w:val="Intense Emphasis"/>
    <w:basedOn w:val="DefaultParagraphFont"/>
    <w:uiPriority w:val="21"/>
    <w:qFormat/>
    <w:rsid w:val="00A21420"/>
    <w:rPr>
      <w:i/>
      <w:iCs/>
      <w:color w:val="0F4761" w:themeColor="accent1" w:themeShade="BF"/>
    </w:rPr>
  </w:style>
  <w:style w:type="paragraph" w:styleId="IntenseQuote">
    <w:name w:val="Intense Quote"/>
    <w:basedOn w:val="Normal"/>
    <w:next w:val="Normal"/>
    <w:link w:val="IntenseQuoteChar"/>
    <w:uiPriority w:val="30"/>
    <w:qFormat/>
    <w:rsid w:val="00A214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21420"/>
    <w:rPr>
      <w:i/>
      <w:iCs/>
      <w:color w:val="0F4761" w:themeColor="accent1" w:themeShade="BF"/>
    </w:rPr>
  </w:style>
  <w:style w:type="character" w:styleId="IntenseReference">
    <w:name w:val="Intense Reference"/>
    <w:basedOn w:val="DefaultParagraphFont"/>
    <w:uiPriority w:val="32"/>
    <w:qFormat/>
    <w:rsid w:val="00A21420"/>
    <w:rPr>
      <w:b/>
      <w:bCs/>
      <w:smallCaps/>
      <w:color w:val="0F4761" w:themeColor="accent1" w:themeShade="BF"/>
      <w:spacing w:val="5"/>
    </w:rPr>
  </w:style>
  <w:style w:type="paragraph" w:styleId="TOC1">
    <w:name w:val="toc 1"/>
    <w:basedOn w:val="Normal"/>
    <w:next w:val="Normal"/>
    <w:autoRedefine/>
    <w:uiPriority w:val="39"/>
    <w:unhideWhenUsed/>
    <w:rsid w:val="00FD55E6"/>
    <w:pPr>
      <w:spacing w:after="100"/>
    </w:pPr>
  </w:style>
  <w:style w:type="paragraph" w:styleId="TOC2">
    <w:name w:val="toc 2"/>
    <w:basedOn w:val="Normal"/>
    <w:next w:val="Normal"/>
    <w:autoRedefine/>
    <w:uiPriority w:val="39"/>
    <w:unhideWhenUsed/>
    <w:rsid w:val="00FD55E6"/>
    <w:pPr>
      <w:spacing w:after="100"/>
      <w:ind w:left="220"/>
    </w:pPr>
  </w:style>
  <w:style w:type="character" w:styleId="Hyperlink">
    <w:name w:val="Hyperlink"/>
    <w:basedOn w:val="DefaultParagraphFont"/>
    <w:uiPriority w:val="99"/>
    <w:unhideWhenUsed/>
    <w:rsid w:val="00FD55E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24</Pages>
  <Words>6530</Words>
  <Characters>37225</Characters>
  <Application>Microsoft Office Word</Application>
  <DocSecurity>0</DocSecurity>
  <Lines>310</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Silviu Mircea Moisa (2014968)</dc:creator>
  <cp:keywords/>
  <dc:description/>
  <cp:lastModifiedBy>Silviu Mircea Moisa (2014968)</cp:lastModifiedBy>
  <cp:revision>3</cp:revision>
  <dcterms:created xsi:type="dcterms:W3CDTF">2025-11-19T20:36:00Z</dcterms:created>
  <dcterms:modified xsi:type="dcterms:W3CDTF">2025-11-21T19:48:00Z</dcterms:modified>
</cp:coreProperties>
</file>