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E783F" w14:textId="77777777" w:rsidR="006E0C47" w:rsidRPr="006E0C47" w:rsidRDefault="006E0C47" w:rsidP="006E0C47">
      <w:pPr>
        <w:spacing w:line="360" w:lineRule="auto"/>
        <w:jc w:val="center"/>
        <w:rPr>
          <w:rFonts w:ascii="Arial" w:hAnsi="Arial" w:cs="Arial"/>
          <w:color w:val="000000" w:themeColor="text1"/>
          <w:sz w:val="22"/>
          <w:szCs w:val="22"/>
        </w:rPr>
      </w:pPr>
    </w:p>
    <w:p w14:paraId="0DA7EA5F" w14:textId="77777777" w:rsidR="006E0C47" w:rsidRPr="006E0C47" w:rsidRDefault="006E0C47" w:rsidP="006E0C47">
      <w:pPr>
        <w:spacing w:line="360" w:lineRule="auto"/>
        <w:jc w:val="center"/>
        <w:rPr>
          <w:rFonts w:ascii="Arial" w:hAnsi="Arial" w:cs="Arial"/>
          <w:color w:val="000000" w:themeColor="text1"/>
          <w:sz w:val="22"/>
          <w:szCs w:val="22"/>
        </w:rPr>
      </w:pPr>
    </w:p>
    <w:p w14:paraId="7DD6FE1F" w14:textId="77777777" w:rsidR="006E0C47" w:rsidRPr="006E0C47" w:rsidRDefault="006E0C47" w:rsidP="006E0C47">
      <w:pPr>
        <w:spacing w:line="360" w:lineRule="auto"/>
        <w:jc w:val="center"/>
        <w:rPr>
          <w:rFonts w:ascii="Arial" w:hAnsi="Arial" w:cs="Arial"/>
          <w:color w:val="000000" w:themeColor="text1"/>
          <w:sz w:val="22"/>
          <w:szCs w:val="22"/>
        </w:rPr>
      </w:pPr>
    </w:p>
    <w:p w14:paraId="3BDFF3A2" w14:textId="77777777" w:rsidR="006E0C47" w:rsidRPr="006E0C47" w:rsidRDefault="006E0C47" w:rsidP="006E0C47">
      <w:pPr>
        <w:spacing w:line="360" w:lineRule="auto"/>
        <w:jc w:val="center"/>
        <w:rPr>
          <w:rFonts w:ascii="Arial" w:hAnsi="Arial" w:cs="Arial"/>
          <w:color w:val="000000" w:themeColor="text1"/>
          <w:sz w:val="22"/>
          <w:szCs w:val="22"/>
        </w:rPr>
      </w:pPr>
    </w:p>
    <w:p w14:paraId="199257CF" w14:textId="77777777" w:rsidR="006E0C47" w:rsidRPr="006E0C47" w:rsidRDefault="006E0C47" w:rsidP="006E0C47">
      <w:pPr>
        <w:spacing w:line="360" w:lineRule="auto"/>
        <w:jc w:val="center"/>
        <w:rPr>
          <w:rFonts w:ascii="Arial" w:hAnsi="Arial" w:cs="Arial"/>
          <w:color w:val="000000" w:themeColor="text1"/>
          <w:sz w:val="22"/>
          <w:szCs w:val="22"/>
        </w:rPr>
      </w:pPr>
    </w:p>
    <w:p w14:paraId="1E3F5E64" w14:textId="77777777" w:rsidR="006E0C47" w:rsidRPr="006E0C47" w:rsidRDefault="006E0C47" w:rsidP="006E0C47">
      <w:pPr>
        <w:spacing w:line="360" w:lineRule="auto"/>
        <w:jc w:val="center"/>
        <w:rPr>
          <w:rFonts w:ascii="Arial" w:hAnsi="Arial" w:cs="Arial"/>
          <w:color w:val="000000" w:themeColor="text1"/>
          <w:sz w:val="22"/>
          <w:szCs w:val="22"/>
        </w:rPr>
      </w:pPr>
    </w:p>
    <w:p w14:paraId="0014F308" w14:textId="77777777" w:rsidR="006E0C47" w:rsidRPr="006E0C47" w:rsidRDefault="006E0C47" w:rsidP="006E0C47">
      <w:pPr>
        <w:spacing w:line="360" w:lineRule="auto"/>
        <w:jc w:val="center"/>
        <w:rPr>
          <w:rFonts w:ascii="Arial" w:hAnsi="Arial" w:cs="Arial"/>
          <w:color w:val="000000" w:themeColor="text1"/>
          <w:sz w:val="22"/>
          <w:szCs w:val="22"/>
        </w:rPr>
      </w:pPr>
    </w:p>
    <w:p w14:paraId="3EBC1F12" w14:textId="77777777" w:rsidR="006E0C47" w:rsidRPr="006E0C47" w:rsidRDefault="006E0C47" w:rsidP="006E0C47">
      <w:pPr>
        <w:spacing w:line="360" w:lineRule="auto"/>
        <w:jc w:val="center"/>
        <w:rPr>
          <w:rFonts w:ascii="Arial" w:hAnsi="Arial" w:cs="Arial"/>
          <w:color w:val="000000" w:themeColor="text1"/>
          <w:sz w:val="22"/>
          <w:szCs w:val="22"/>
        </w:rPr>
      </w:pPr>
    </w:p>
    <w:p w14:paraId="5200D2FA" w14:textId="77777777" w:rsidR="006E0C47" w:rsidRPr="006E0C47" w:rsidRDefault="006E0C47" w:rsidP="006E0C47">
      <w:pPr>
        <w:spacing w:line="360" w:lineRule="auto"/>
        <w:jc w:val="center"/>
        <w:rPr>
          <w:rFonts w:ascii="Arial" w:hAnsi="Arial" w:cs="Arial"/>
          <w:color w:val="000000" w:themeColor="text1"/>
          <w:sz w:val="22"/>
          <w:szCs w:val="22"/>
        </w:rPr>
      </w:pPr>
    </w:p>
    <w:p w14:paraId="04AA9558" w14:textId="77777777" w:rsidR="001E1635" w:rsidRPr="006E0C47" w:rsidRDefault="004065D9" w:rsidP="006E0C47">
      <w:pPr>
        <w:spacing w:line="360" w:lineRule="auto"/>
        <w:jc w:val="center"/>
        <w:rPr>
          <w:rFonts w:ascii="Arial" w:hAnsi="Arial" w:cs="Arial"/>
          <w:color w:val="000000" w:themeColor="text1"/>
          <w:sz w:val="22"/>
          <w:szCs w:val="22"/>
        </w:rPr>
      </w:pPr>
      <w:r w:rsidRPr="006E0C47">
        <w:rPr>
          <w:rFonts w:ascii="Arial" w:hAnsi="Arial" w:cs="Arial"/>
          <w:noProof/>
          <w:color w:val="000000" w:themeColor="text1"/>
          <w:sz w:val="22"/>
          <w:szCs w:val="22"/>
        </w:rPr>
        <w:drawing>
          <wp:inline distT="0" distB="0" distL="0" distR="0" wp14:anchorId="0E51D6A8" wp14:editId="74A491C4">
            <wp:extent cx="2419350" cy="800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2419350" cy="800100"/>
                    </a:xfrm>
                    <a:prstGeom prst="rect">
                      <a:avLst/>
                    </a:prstGeom>
                  </pic:spPr>
                </pic:pic>
              </a:graphicData>
            </a:graphic>
          </wp:inline>
        </w:drawing>
      </w:r>
    </w:p>
    <w:p w14:paraId="1F300040" w14:textId="77777777" w:rsidR="001E1635" w:rsidRPr="006E0C47" w:rsidRDefault="001E1635" w:rsidP="006E0C47">
      <w:pPr>
        <w:spacing w:after="200" w:line="360" w:lineRule="auto"/>
        <w:rPr>
          <w:rFonts w:ascii="Arial" w:hAnsi="Arial" w:cs="Arial"/>
          <w:color w:val="000000" w:themeColor="text1"/>
          <w:sz w:val="22"/>
          <w:szCs w:val="22"/>
        </w:rPr>
      </w:pPr>
    </w:p>
    <w:p w14:paraId="0F866255" w14:textId="77777777" w:rsidR="001E1635" w:rsidRPr="006E0C47" w:rsidRDefault="004065D9" w:rsidP="006E0C47">
      <w:pPr>
        <w:spacing w:after="100" w:line="360" w:lineRule="auto"/>
        <w:jc w:val="center"/>
        <w:rPr>
          <w:rFonts w:ascii="Arial" w:hAnsi="Arial" w:cs="Arial"/>
          <w:color w:val="000000" w:themeColor="text1"/>
          <w:sz w:val="22"/>
          <w:szCs w:val="22"/>
        </w:rPr>
      </w:pPr>
      <w:r w:rsidRPr="006E0C47">
        <w:rPr>
          <w:rFonts w:ascii="Arial" w:eastAsia="Arial" w:hAnsi="Arial" w:cs="Arial"/>
          <w:b/>
          <w:bCs/>
          <w:color w:val="000000" w:themeColor="text1"/>
          <w:sz w:val="22"/>
          <w:szCs w:val="22"/>
        </w:rPr>
        <w:t xml:space="preserve">Module name: </w:t>
      </w:r>
      <w:r w:rsidRPr="006E0C47">
        <w:rPr>
          <w:rFonts w:ascii="Arial" w:eastAsia="Arial" w:hAnsi="Arial" w:cs="Arial"/>
          <w:color w:val="000000" w:themeColor="text1"/>
          <w:sz w:val="22"/>
          <w:szCs w:val="22"/>
        </w:rPr>
        <w:t>Introduction to Health and Social Care</w:t>
      </w:r>
    </w:p>
    <w:p w14:paraId="31770A81" w14:textId="77777777" w:rsidR="001E1635" w:rsidRPr="006E0C47" w:rsidRDefault="004065D9" w:rsidP="006E0C47">
      <w:pPr>
        <w:spacing w:after="100" w:line="360" w:lineRule="auto"/>
        <w:jc w:val="center"/>
        <w:rPr>
          <w:rFonts w:ascii="Arial" w:hAnsi="Arial" w:cs="Arial"/>
          <w:color w:val="000000" w:themeColor="text1"/>
          <w:sz w:val="22"/>
          <w:szCs w:val="22"/>
        </w:rPr>
      </w:pPr>
      <w:r w:rsidRPr="006E0C47">
        <w:rPr>
          <w:rFonts w:ascii="Arial" w:eastAsia="Arial" w:hAnsi="Arial" w:cs="Arial"/>
          <w:b/>
          <w:bCs/>
          <w:color w:val="000000" w:themeColor="text1"/>
          <w:sz w:val="22"/>
          <w:szCs w:val="22"/>
        </w:rPr>
        <w:t xml:space="preserve">Module code: </w:t>
      </w:r>
      <w:r w:rsidRPr="006E0C47">
        <w:rPr>
          <w:rFonts w:ascii="Arial" w:eastAsia="Arial" w:hAnsi="Arial" w:cs="Arial"/>
          <w:color w:val="000000" w:themeColor="text1"/>
          <w:sz w:val="22"/>
          <w:szCs w:val="22"/>
        </w:rPr>
        <w:t>LCHS4003</w:t>
      </w:r>
    </w:p>
    <w:p w14:paraId="3EDAD679" w14:textId="6FE69F21" w:rsidR="001E1635" w:rsidRPr="006E0C47" w:rsidRDefault="004065D9" w:rsidP="006E0C47">
      <w:pPr>
        <w:spacing w:after="100" w:line="360" w:lineRule="auto"/>
        <w:jc w:val="center"/>
        <w:rPr>
          <w:rFonts w:ascii="Arial" w:hAnsi="Arial" w:cs="Arial"/>
          <w:color w:val="000000" w:themeColor="text1"/>
          <w:sz w:val="22"/>
          <w:szCs w:val="22"/>
        </w:rPr>
      </w:pPr>
      <w:r w:rsidRPr="006E0C47">
        <w:rPr>
          <w:rFonts w:ascii="Arial" w:eastAsia="Arial" w:hAnsi="Arial" w:cs="Arial"/>
          <w:b/>
          <w:bCs/>
          <w:color w:val="000000" w:themeColor="text1"/>
          <w:sz w:val="22"/>
          <w:szCs w:val="22"/>
        </w:rPr>
        <w:t xml:space="preserve">Student name: </w:t>
      </w:r>
      <w:r w:rsidR="001B295E" w:rsidRPr="001B295E">
        <w:rPr>
          <w:rFonts w:ascii="Arial" w:eastAsia="Arial" w:hAnsi="Arial" w:cs="Arial"/>
          <w:color w:val="000000" w:themeColor="text1"/>
          <w:sz w:val="22"/>
          <w:szCs w:val="22"/>
        </w:rPr>
        <w:t>Rachel Amon</w:t>
      </w:r>
    </w:p>
    <w:p w14:paraId="6C62B11A" w14:textId="3BA325DA" w:rsidR="001E1635" w:rsidRPr="006E0C47" w:rsidRDefault="004065D9" w:rsidP="006E0C47">
      <w:pPr>
        <w:spacing w:after="100" w:line="360" w:lineRule="auto"/>
        <w:jc w:val="center"/>
        <w:rPr>
          <w:rFonts w:ascii="Arial" w:hAnsi="Arial" w:cs="Arial"/>
          <w:color w:val="000000" w:themeColor="text1"/>
          <w:sz w:val="22"/>
          <w:szCs w:val="22"/>
        </w:rPr>
      </w:pPr>
      <w:r w:rsidRPr="006E0C47">
        <w:rPr>
          <w:rFonts w:ascii="Arial" w:eastAsia="Arial" w:hAnsi="Arial" w:cs="Arial"/>
          <w:b/>
          <w:bCs/>
          <w:color w:val="000000" w:themeColor="text1"/>
          <w:sz w:val="22"/>
          <w:szCs w:val="22"/>
        </w:rPr>
        <w:t xml:space="preserve">Student ID: </w:t>
      </w:r>
      <w:r w:rsidR="001B295E" w:rsidRPr="001B295E">
        <w:rPr>
          <w:rFonts w:ascii="Arial" w:eastAsia="Arial" w:hAnsi="Arial" w:cs="Arial"/>
          <w:color w:val="000000" w:themeColor="text1"/>
          <w:sz w:val="22"/>
          <w:szCs w:val="22"/>
        </w:rPr>
        <w:t>2532272</w:t>
      </w:r>
    </w:p>
    <w:p w14:paraId="75D00EE0" w14:textId="6F454357" w:rsidR="001E1635" w:rsidRPr="006E0C47" w:rsidRDefault="004065D9" w:rsidP="001B295E">
      <w:pPr>
        <w:spacing w:after="100" w:line="360" w:lineRule="auto"/>
        <w:jc w:val="center"/>
        <w:rPr>
          <w:rFonts w:ascii="Arial" w:hAnsi="Arial" w:cs="Arial"/>
          <w:color w:val="000000" w:themeColor="text1"/>
          <w:sz w:val="22"/>
          <w:szCs w:val="22"/>
        </w:rPr>
      </w:pPr>
      <w:r w:rsidRPr="006E0C47">
        <w:rPr>
          <w:rFonts w:ascii="Arial" w:eastAsia="Arial" w:hAnsi="Arial" w:cs="Arial"/>
          <w:b/>
          <w:bCs/>
          <w:color w:val="000000" w:themeColor="text1"/>
          <w:sz w:val="22"/>
          <w:szCs w:val="22"/>
        </w:rPr>
        <w:t xml:space="preserve">Lecturer's name: </w:t>
      </w:r>
      <w:r w:rsidR="001B295E">
        <w:rPr>
          <w:rFonts w:ascii="Arial" w:eastAsia="Arial" w:hAnsi="Arial" w:cs="Arial"/>
          <w:color w:val="000000" w:themeColor="text1"/>
          <w:sz w:val="22"/>
          <w:szCs w:val="22"/>
        </w:rPr>
        <w:t>Sam Parker</w:t>
      </w:r>
      <w:r w:rsidRPr="006E0C47">
        <w:rPr>
          <w:rFonts w:ascii="Arial" w:hAnsi="Arial" w:cs="Arial"/>
          <w:color w:val="000000" w:themeColor="text1"/>
          <w:sz w:val="22"/>
          <w:szCs w:val="22"/>
        </w:rPr>
        <w:br w:type="page"/>
      </w:r>
    </w:p>
    <w:p w14:paraId="49D7A4CE" w14:textId="77777777" w:rsidR="001E1635" w:rsidRPr="006E0C47" w:rsidRDefault="004065D9" w:rsidP="006E0C47">
      <w:pPr>
        <w:jc w:val="center"/>
        <w:rPr>
          <w:rFonts w:ascii="Arial" w:hAnsi="Arial" w:cs="Arial"/>
          <w:b/>
          <w:sz w:val="26"/>
          <w:szCs w:val="26"/>
        </w:rPr>
      </w:pPr>
      <w:bookmarkStart w:id="0" w:name="_Toc238137508"/>
      <w:r w:rsidRPr="006E0C47">
        <w:rPr>
          <w:rFonts w:ascii="Arial" w:eastAsia="Arial" w:hAnsi="Arial" w:cs="Arial"/>
          <w:b/>
          <w:sz w:val="26"/>
          <w:szCs w:val="26"/>
        </w:rPr>
        <w:lastRenderedPageBreak/>
        <w:t>Table of contents</w:t>
      </w:r>
      <w:bookmarkEnd w:id="0"/>
    </w:p>
    <w:sdt>
      <w:sdtPr>
        <w:rPr>
          <w:rFonts w:ascii="Arial" w:hAnsi="Arial" w:cs="Arial"/>
          <w:color w:val="000000" w:themeColor="text1"/>
          <w:sz w:val="22"/>
          <w:szCs w:val="22"/>
        </w:rPr>
        <w:alias w:val="Table of Contents"/>
        <w:id w:val="1703739064"/>
      </w:sdtPr>
      <w:sdtContent>
        <w:p w14:paraId="70DA4F5F" w14:textId="77777777" w:rsidR="006E0C47" w:rsidRPr="006E0C47" w:rsidRDefault="004065D9" w:rsidP="006E0C47">
          <w:pPr>
            <w:pStyle w:val="TOC1"/>
            <w:tabs>
              <w:tab w:val="right" w:leader="dot" w:pos="9016"/>
            </w:tabs>
            <w:spacing w:line="360" w:lineRule="auto"/>
            <w:rPr>
              <w:rFonts w:ascii="Arial" w:hAnsi="Arial" w:cs="Arial"/>
              <w:noProof/>
              <w:color w:val="000000" w:themeColor="text1"/>
              <w:sz w:val="22"/>
              <w:szCs w:val="22"/>
            </w:rPr>
          </w:pPr>
          <w:r w:rsidRPr="006E0C47">
            <w:rPr>
              <w:rFonts w:ascii="Arial" w:hAnsi="Arial" w:cs="Arial"/>
              <w:color w:val="000000" w:themeColor="text1"/>
              <w:sz w:val="22"/>
              <w:szCs w:val="22"/>
            </w:rPr>
            <w:fldChar w:fldCharType="begin"/>
          </w:r>
          <w:r w:rsidRPr="006E0C47">
            <w:rPr>
              <w:rFonts w:ascii="Arial" w:hAnsi="Arial" w:cs="Arial"/>
              <w:color w:val="000000" w:themeColor="text1"/>
              <w:sz w:val="22"/>
              <w:szCs w:val="22"/>
            </w:rPr>
            <w:instrText>TOC \h \o "1-1"</w:instrText>
          </w:r>
          <w:r w:rsidRPr="006E0C47">
            <w:rPr>
              <w:rFonts w:ascii="Arial" w:hAnsi="Arial" w:cs="Arial"/>
              <w:color w:val="000000" w:themeColor="text1"/>
              <w:sz w:val="22"/>
              <w:szCs w:val="22"/>
            </w:rPr>
            <w:fldChar w:fldCharType="separate"/>
          </w:r>
        </w:p>
        <w:p w14:paraId="0223D5DE"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09" w:history="1">
            <w:r w:rsidRPr="006E0C47">
              <w:rPr>
                <w:rStyle w:val="Hyperlink"/>
                <w:rFonts w:ascii="Arial" w:eastAsia="Arial" w:hAnsi="Arial" w:cs="Arial"/>
                <w:bCs/>
                <w:noProof/>
                <w:color w:val="000000" w:themeColor="text1"/>
                <w:sz w:val="22"/>
                <w:szCs w:val="22"/>
              </w:rPr>
              <w:t>1. Introduction</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_Toc238137509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3</w:t>
            </w:r>
            <w:r w:rsidRPr="006E0C47">
              <w:rPr>
                <w:rFonts w:ascii="Arial" w:hAnsi="Arial" w:cs="Arial"/>
                <w:noProof/>
                <w:color w:val="000000" w:themeColor="text1"/>
                <w:sz w:val="22"/>
                <w:szCs w:val="22"/>
              </w:rPr>
              <w:fldChar w:fldCharType="end"/>
            </w:r>
          </w:hyperlink>
        </w:p>
        <w:p w14:paraId="33D05DEC"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10" w:history="1">
            <w:r w:rsidRPr="006E0C47">
              <w:rPr>
                <w:rStyle w:val="Hyperlink"/>
                <w:rFonts w:ascii="Arial" w:eastAsia="Arial" w:hAnsi="Arial" w:cs="Arial"/>
                <w:bCs/>
                <w:noProof/>
                <w:color w:val="000000" w:themeColor="text1"/>
                <w:sz w:val="22"/>
                <w:szCs w:val="22"/>
              </w:rPr>
              <w:t>2. Importance of effective communication</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_Toc238137510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3</w:t>
            </w:r>
            <w:r w:rsidRPr="006E0C47">
              <w:rPr>
                <w:rFonts w:ascii="Arial" w:hAnsi="Arial" w:cs="Arial"/>
                <w:noProof/>
                <w:color w:val="000000" w:themeColor="text1"/>
                <w:sz w:val="22"/>
                <w:szCs w:val="22"/>
              </w:rPr>
              <w:fldChar w:fldCharType="end"/>
            </w:r>
          </w:hyperlink>
        </w:p>
        <w:p w14:paraId="5BAFEA05"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11" w:history="1">
            <w:r w:rsidRPr="006E0C47">
              <w:rPr>
                <w:rStyle w:val="Hyperlink"/>
                <w:rFonts w:ascii="Arial" w:eastAsia="Arial" w:hAnsi="Arial" w:cs="Arial"/>
                <w:bCs/>
                <w:noProof/>
                <w:color w:val="000000" w:themeColor="text1"/>
                <w:sz w:val="22"/>
                <w:szCs w:val="22"/>
              </w:rPr>
              <w:t>3. Importance of good administrative skills</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_Toc238137511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4</w:t>
            </w:r>
            <w:r w:rsidRPr="006E0C47">
              <w:rPr>
                <w:rFonts w:ascii="Arial" w:hAnsi="Arial" w:cs="Arial"/>
                <w:noProof/>
                <w:color w:val="000000" w:themeColor="text1"/>
                <w:sz w:val="22"/>
                <w:szCs w:val="22"/>
              </w:rPr>
              <w:fldChar w:fldCharType="end"/>
            </w:r>
          </w:hyperlink>
        </w:p>
        <w:p w14:paraId="06B1B702"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12" w:history="1">
            <w:r w:rsidRPr="006E0C47">
              <w:rPr>
                <w:rStyle w:val="Hyperlink"/>
                <w:rFonts w:ascii="Arial" w:eastAsia="Arial" w:hAnsi="Arial" w:cs="Arial"/>
                <w:bCs/>
                <w:noProof/>
                <w:color w:val="000000" w:themeColor="text1"/>
                <w:sz w:val="22"/>
                <w:szCs w:val="22"/>
              </w:rPr>
              <w:t>4. Importance of working collaboratively</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_Toc238137512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5</w:t>
            </w:r>
            <w:r w:rsidRPr="006E0C47">
              <w:rPr>
                <w:rFonts w:ascii="Arial" w:hAnsi="Arial" w:cs="Arial"/>
                <w:noProof/>
                <w:color w:val="000000" w:themeColor="text1"/>
                <w:sz w:val="22"/>
                <w:szCs w:val="22"/>
              </w:rPr>
              <w:fldChar w:fldCharType="end"/>
            </w:r>
          </w:hyperlink>
        </w:p>
        <w:p w14:paraId="6AC67E7F"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13" w:history="1">
            <w:r w:rsidRPr="006E0C47">
              <w:rPr>
                <w:rStyle w:val="Hyperlink"/>
                <w:rFonts w:ascii="Arial" w:eastAsia="Arial" w:hAnsi="Arial" w:cs="Arial"/>
                <w:bCs/>
                <w:noProof/>
                <w:color w:val="000000" w:themeColor="text1"/>
                <w:sz w:val="22"/>
                <w:szCs w:val="22"/>
              </w:rPr>
              <w:t>5. Conclusion</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_Toc238137513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6</w:t>
            </w:r>
            <w:r w:rsidRPr="006E0C47">
              <w:rPr>
                <w:rFonts w:ascii="Arial" w:hAnsi="Arial" w:cs="Arial"/>
                <w:noProof/>
                <w:color w:val="000000" w:themeColor="text1"/>
                <w:sz w:val="22"/>
                <w:szCs w:val="22"/>
              </w:rPr>
              <w:fldChar w:fldCharType="end"/>
            </w:r>
          </w:hyperlink>
        </w:p>
        <w:p w14:paraId="5BEFC5DF" w14:textId="77777777" w:rsidR="006E0C47" w:rsidRPr="006E0C47" w:rsidRDefault="006E0C47" w:rsidP="006E0C47">
          <w:pPr>
            <w:pStyle w:val="TOC1"/>
            <w:tabs>
              <w:tab w:val="right" w:leader="dot" w:pos="9016"/>
            </w:tabs>
            <w:spacing w:line="360" w:lineRule="auto"/>
            <w:rPr>
              <w:rFonts w:ascii="Arial" w:hAnsi="Arial" w:cs="Arial"/>
              <w:noProof/>
              <w:color w:val="000000" w:themeColor="text1"/>
              <w:sz w:val="22"/>
              <w:szCs w:val="22"/>
            </w:rPr>
          </w:pPr>
          <w:hyperlink w:anchor="_Toc238137514" w:history="1">
            <w:r w:rsidRPr="006E0C47">
              <w:rPr>
                <w:rStyle w:val="Hyperlink"/>
                <w:rFonts w:ascii="Arial" w:eastAsia="Arial" w:hAnsi="Arial" w:cs="Arial"/>
                <w:bCs/>
                <w:noProof/>
                <w:color w:val="000000" w:themeColor="text1"/>
                <w:sz w:val="22"/>
                <w:szCs w:val="22"/>
              </w:rPr>
              <w:t>References</w:t>
            </w:r>
            <w:r w:rsidRPr="006E0C47">
              <w:rPr>
                <w:rFonts w:ascii="Arial" w:hAnsi="Arial" w:cs="Arial"/>
                <w:noProof/>
                <w:color w:val="000000" w:themeColor="text1"/>
                <w:sz w:val="22"/>
                <w:szCs w:val="22"/>
              </w:rPr>
              <w:tab/>
            </w:r>
            <w:r w:rsidRPr="006E0C47">
              <w:rPr>
                <w:rFonts w:ascii="Arial" w:hAnsi="Arial" w:cs="Arial"/>
                <w:noProof/>
                <w:color w:val="000000" w:themeColor="text1"/>
                <w:sz w:val="22"/>
                <w:szCs w:val="22"/>
              </w:rPr>
              <w:fldChar w:fldCharType="begin"/>
            </w:r>
            <w:r w:rsidRPr="006E0C47">
              <w:rPr>
                <w:rFonts w:ascii="Arial" w:hAnsi="Arial" w:cs="Arial"/>
                <w:noProof/>
                <w:color w:val="000000" w:themeColor="text1"/>
                <w:sz w:val="22"/>
                <w:szCs w:val="22"/>
              </w:rPr>
              <w:instrText xml:space="preserve"> PAGEREF _Toc238137514 \h </w:instrText>
            </w:r>
            <w:r w:rsidRPr="006E0C47">
              <w:rPr>
                <w:rFonts w:ascii="Arial" w:hAnsi="Arial" w:cs="Arial"/>
                <w:noProof/>
                <w:color w:val="000000" w:themeColor="text1"/>
                <w:sz w:val="22"/>
                <w:szCs w:val="22"/>
              </w:rPr>
            </w:r>
            <w:r w:rsidRPr="006E0C47">
              <w:rPr>
                <w:rFonts w:ascii="Arial" w:hAnsi="Arial" w:cs="Arial"/>
                <w:noProof/>
                <w:color w:val="000000" w:themeColor="text1"/>
                <w:sz w:val="22"/>
                <w:szCs w:val="22"/>
              </w:rPr>
              <w:fldChar w:fldCharType="separate"/>
            </w:r>
            <w:r w:rsidR="004775FB">
              <w:rPr>
                <w:rFonts w:ascii="Arial" w:hAnsi="Arial" w:cs="Arial"/>
                <w:noProof/>
                <w:color w:val="000000" w:themeColor="text1"/>
                <w:sz w:val="22"/>
                <w:szCs w:val="22"/>
              </w:rPr>
              <w:t>7</w:t>
            </w:r>
            <w:r w:rsidRPr="006E0C47">
              <w:rPr>
                <w:rFonts w:ascii="Arial" w:hAnsi="Arial" w:cs="Arial"/>
                <w:noProof/>
                <w:color w:val="000000" w:themeColor="text1"/>
                <w:sz w:val="22"/>
                <w:szCs w:val="22"/>
              </w:rPr>
              <w:fldChar w:fldCharType="end"/>
            </w:r>
          </w:hyperlink>
        </w:p>
        <w:p w14:paraId="1886E00B" w14:textId="77777777" w:rsidR="001E1635" w:rsidRPr="006E0C47" w:rsidRDefault="004065D9" w:rsidP="006E0C47">
          <w:pPr>
            <w:spacing w:line="360" w:lineRule="auto"/>
            <w:rPr>
              <w:rFonts w:ascii="Arial" w:hAnsi="Arial" w:cs="Arial"/>
              <w:color w:val="000000" w:themeColor="text1"/>
              <w:sz w:val="22"/>
              <w:szCs w:val="22"/>
            </w:rPr>
          </w:pPr>
          <w:r w:rsidRPr="006E0C47">
            <w:rPr>
              <w:rFonts w:ascii="Arial" w:hAnsi="Arial" w:cs="Arial"/>
              <w:color w:val="000000" w:themeColor="text1"/>
              <w:sz w:val="22"/>
              <w:szCs w:val="22"/>
            </w:rPr>
            <w:fldChar w:fldCharType="end"/>
          </w:r>
        </w:p>
      </w:sdtContent>
    </w:sdt>
    <w:p w14:paraId="094DCC48" w14:textId="77777777" w:rsidR="001E1635" w:rsidRPr="006E0C47" w:rsidRDefault="004065D9" w:rsidP="006E0C47">
      <w:pPr>
        <w:spacing w:line="360" w:lineRule="auto"/>
        <w:rPr>
          <w:rFonts w:ascii="Arial" w:hAnsi="Arial" w:cs="Arial"/>
          <w:color w:val="000000" w:themeColor="text1"/>
          <w:sz w:val="22"/>
          <w:szCs w:val="22"/>
        </w:rPr>
      </w:pPr>
      <w:r w:rsidRPr="006E0C47">
        <w:rPr>
          <w:rFonts w:ascii="Arial" w:hAnsi="Arial" w:cs="Arial"/>
          <w:color w:val="000000" w:themeColor="text1"/>
          <w:sz w:val="22"/>
          <w:szCs w:val="22"/>
        </w:rPr>
        <w:br w:type="page"/>
      </w:r>
    </w:p>
    <w:p w14:paraId="08A2A82C" w14:textId="77777777" w:rsidR="001E1635" w:rsidRPr="006E0C47" w:rsidRDefault="004065D9" w:rsidP="006E0C47">
      <w:pPr>
        <w:pStyle w:val="Heading1"/>
        <w:spacing w:before="300" w:after="200" w:line="360" w:lineRule="auto"/>
        <w:rPr>
          <w:rFonts w:ascii="Arial" w:hAnsi="Arial" w:cs="Arial"/>
          <w:color w:val="000000" w:themeColor="text1"/>
          <w:sz w:val="22"/>
          <w:szCs w:val="22"/>
        </w:rPr>
      </w:pPr>
      <w:bookmarkStart w:id="1" w:name="_Toc238137509"/>
      <w:r w:rsidRPr="006E0C47">
        <w:rPr>
          <w:rFonts w:ascii="Arial" w:eastAsia="Arial" w:hAnsi="Arial" w:cs="Arial"/>
          <w:b/>
          <w:bCs/>
          <w:color w:val="000000" w:themeColor="text1"/>
          <w:sz w:val="22"/>
          <w:szCs w:val="22"/>
        </w:rPr>
        <w:lastRenderedPageBreak/>
        <w:t>1. Introduction</w:t>
      </w:r>
      <w:bookmarkEnd w:id="1"/>
    </w:p>
    <w:p w14:paraId="631A546F" w14:textId="77777777" w:rsidR="001E1635" w:rsidRPr="006E0C47" w:rsidRDefault="006E0C47" w:rsidP="006E0C47">
      <w:pPr>
        <w:spacing w:after="200" w:line="360" w:lineRule="auto"/>
        <w:jc w:val="both"/>
        <w:rPr>
          <w:rFonts w:ascii="Arial" w:hAnsi="Arial" w:cs="Arial"/>
          <w:color w:val="000000" w:themeColor="text1"/>
          <w:sz w:val="22"/>
          <w:szCs w:val="22"/>
        </w:rPr>
      </w:pPr>
      <w:r w:rsidRPr="006E0C47">
        <w:rPr>
          <w:rFonts w:ascii="Arial" w:eastAsia="Arial" w:hAnsi="Arial" w:cs="Arial"/>
          <w:color w:val="000000" w:themeColor="text1"/>
          <w:sz w:val="22"/>
          <w:szCs w:val="22"/>
        </w:rPr>
        <w:t xml:space="preserve">This report explores three interrelated aspects of professional practice in health and social care, taking the example of Mrs Thompson, </w:t>
      </w:r>
      <w:proofErr w:type="gramStart"/>
      <w:r w:rsidRPr="006E0C47">
        <w:rPr>
          <w:rFonts w:ascii="Arial" w:eastAsia="Arial" w:hAnsi="Arial" w:cs="Arial"/>
          <w:color w:val="000000" w:themeColor="text1"/>
          <w:sz w:val="22"/>
          <w:szCs w:val="22"/>
        </w:rPr>
        <w:t>a</w:t>
      </w:r>
      <w:proofErr w:type="gramEnd"/>
      <w:r w:rsidRPr="006E0C47">
        <w:rPr>
          <w:rFonts w:ascii="Arial" w:eastAsia="Arial" w:hAnsi="Arial" w:cs="Arial"/>
          <w:color w:val="000000" w:themeColor="text1"/>
          <w:sz w:val="22"/>
          <w:szCs w:val="22"/>
        </w:rPr>
        <w:t xml:space="preserve"> </w:t>
      </w:r>
      <w:proofErr w:type="gramStart"/>
      <w:r w:rsidRPr="006E0C47">
        <w:rPr>
          <w:rFonts w:ascii="Arial" w:eastAsia="Arial" w:hAnsi="Arial" w:cs="Arial"/>
          <w:color w:val="000000" w:themeColor="text1"/>
          <w:sz w:val="22"/>
          <w:szCs w:val="22"/>
        </w:rPr>
        <w:t>84 year old</w:t>
      </w:r>
      <w:proofErr w:type="gramEnd"/>
      <w:r w:rsidRPr="006E0C47">
        <w:rPr>
          <w:rFonts w:ascii="Arial" w:eastAsia="Arial" w:hAnsi="Arial" w:cs="Arial"/>
          <w:color w:val="000000" w:themeColor="text1"/>
          <w:sz w:val="22"/>
          <w:szCs w:val="22"/>
        </w:rPr>
        <w:t xml:space="preserve"> woman who has recently been discharged from hospital after suffering from pneumonia who has mild dementia. Mrs Thompson is a person receiving twice daily domiciliary care and lives independently, she has recently had some issues such as being left without medicine and one occasion when she was found outside without appropriate clothing for the cold weather, this has led to a review of her medicine and a local authority case review. The report initially reflects on the need for effective communication with Mrs Thompson and her family, based on a consideration of the Equality Act 2010 (Equality Act 2010) and a recognised model of communication. It then covers the importance of good administrative skills, and the Data Protection Act 20</w:t>
      </w:r>
      <w:r w:rsidR="00996081">
        <w:rPr>
          <w:rFonts w:ascii="Arial" w:eastAsia="Arial" w:hAnsi="Arial" w:cs="Arial"/>
          <w:color w:val="000000" w:themeColor="text1"/>
          <w:sz w:val="22"/>
          <w:szCs w:val="22"/>
        </w:rPr>
        <w:t>18 (DPA) in particular, emphasis</w:t>
      </w:r>
      <w:r w:rsidRPr="006E0C47">
        <w:rPr>
          <w:rFonts w:ascii="Arial" w:eastAsia="Arial" w:hAnsi="Arial" w:cs="Arial"/>
          <w:color w:val="000000" w:themeColor="text1"/>
          <w:sz w:val="22"/>
          <w:szCs w:val="22"/>
        </w:rPr>
        <w:t>ing record keeping. Lastly, it examines the importance of inter-professional working for the professionals supporting Mrs Thompson.</w:t>
      </w:r>
    </w:p>
    <w:p w14:paraId="042605DD" w14:textId="77777777" w:rsidR="001E1635" w:rsidRPr="006E0C47" w:rsidRDefault="004065D9" w:rsidP="006E0C47">
      <w:pPr>
        <w:pStyle w:val="Heading1"/>
        <w:spacing w:before="300" w:after="200" w:line="360" w:lineRule="auto"/>
        <w:rPr>
          <w:rFonts w:ascii="Arial" w:hAnsi="Arial" w:cs="Arial"/>
          <w:color w:val="000000" w:themeColor="text1"/>
          <w:sz w:val="22"/>
          <w:szCs w:val="22"/>
        </w:rPr>
      </w:pPr>
      <w:bookmarkStart w:id="2" w:name="_Toc238137510"/>
      <w:r w:rsidRPr="006E0C47">
        <w:rPr>
          <w:rFonts w:ascii="Arial" w:eastAsia="Arial" w:hAnsi="Arial" w:cs="Arial"/>
          <w:b/>
          <w:bCs/>
          <w:color w:val="000000" w:themeColor="text1"/>
          <w:sz w:val="22"/>
          <w:szCs w:val="22"/>
        </w:rPr>
        <w:t>2. Importance of effective communication</w:t>
      </w:r>
      <w:bookmarkEnd w:id="2"/>
    </w:p>
    <w:p w14:paraId="41BB931A" w14:textId="77777777" w:rsidR="001E1635" w:rsidRPr="006E0C47" w:rsidRDefault="006E0C47" w:rsidP="006E0C47">
      <w:pPr>
        <w:spacing w:after="200" w:line="360" w:lineRule="auto"/>
        <w:jc w:val="both"/>
        <w:rPr>
          <w:rFonts w:ascii="Arial" w:eastAsia="Arial" w:hAnsi="Arial" w:cs="Arial"/>
          <w:color w:val="000000" w:themeColor="text1"/>
          <w:sz w:val="22"/>
          <w:szCs w:val="22"/>
        </w:rPr>
      </w:pPr>
      <w:r w:rsidRPr="006E0C47">
        <w:rPr>
          <w:rFonts w:ascii="Arial" w:eastAsia="Arial" w:hAnsi="Arial" w:cs="Arial"/>
          <w:color w:val="000000" w:themeColor="text1"/>
          <w:sz w:val="22"/>
          <w:szCs w:val="22"/>
        </w:rPr>
        <w:t>Communication is integral to the majority of health and social care activities. Good communication between practitioners and service users is crucial to the successful delivery of individualised care, as this not only requires clinical skills but requires courtesy, patience and willingness of the practitioner to allocate enough time to the person being supported (</w:t>
      </w:r>
      <w:proofErr w:type="spellStart"/>
      <w:r w:rsidRPr="006E0C47">
        <w:rPr>
          <w:rFonts w:ascii="Arial" w:eastAsia="Arial" w:hAnsi="Arial" w:cs="Arial"/>
          <w:color w:val="000000" w:themeColor="text1"/>
          <w:sz w:val="22"/>
          <w:szCs w:val="22"/>
        </w:rPr>
        <w:t>Kourkouta</w:t>
      </w:r>
      <w:proofErr w:type="spellEnd"/>
      <w:r w:rsidRPr="006E0C47">
        <w:rPr>
          <w:rFonts w:ascii="Arial" w:eastAsia="Arial" w:hAnsi="Arial" w:cs="Arial"/>
          <w:color w:val="000000" w:themeColor="text1"/>
          <w:sz w:val="22"/>
          <w:szCs w:val="22"/>
        </w:rPr>
        <w:t xml:space="preserve">, Papathanasiou, 2014). For Mrs Thompson: Choosing and tailoring the communication to take account of her mild dementia, using short, clear sentences, giving time for her to process, repeating important information e.g. medication directions, and providing visual or written information in addition to verbal explanations. A recent medication error was associated with a higher rate of confusion, so it is very important to determine that the medication instructions have been properly understood, not just assumed, in order to prevent future medication errors. Careful management of communication with Mrs Thompson's family is required. Relatives have the potential to offer important information regarding her normal behaviours and subtle shifts in presentation, which can help to ensure continuity in care provision, but it is important to remember Mrs Thompson's rights to confidentiality and, if applicable, her preferences regarding who should know the information and what they should know. This is directly relevant to the Equality Act 2010. The Act provides people with protection from discrimination based on the following nine protected characteristics: age and disability (in particular, dementia is understood to be a disability under the Equality Act 2010). It is practitioners' responsibility to make reasonable adjustments to their communication with Mrs Thompson, e.g. speaking more slowly, using fewer complex words or phrases, allowing more time to understand what is being said rather than assuming a lack of understanding indicates </w:t>
      </w:r>
      <w:r w:rsidRPr="006E0C47">
        <w:rPr>
          <w:rFonts w:ascii="Arial" w:eastAsia="Arial" w:hAnsi="Arial" w:cs="Arial"/>
          <w:color w:val="000000" w:themeColor="text1"/>
          <w:sz w:val="22"/>
          <w:szCs w:val="22"/>
        </w:rPr>
        <w:lastRenderedPageBreak/>
        <w:t>non-compliance. Also consistent with the principles of the Act of fairness and respect means to communicate with her as though she were present, not just to her relatives or carers. A useful theoretical framework in relation to communication with Mrs Thompson is Argyle's (1972) communication cycle, which sees communication as a continuous process, in which an idea is converted to a message, the message is transmitted, the receiver receives the message, the receiver decodes the message and the message is checked using feedback and then the cycle repeats. When using this model, it b</w:t>
      </w:r>
      <w:r w:rsidR="00996081">
        <w:rPr>
          <w:rFonts w:ascii="Arial" w:eastAsia="Arial" w:hAnsi="Arial" w:cs="Arial"/>
          <w:color w:val="000000" w:themeColor="text1"/>
          <w:sz w:val="22"/>
          <w:szCs w:val="22"/>
        </w:rPr>
        <w:t xml:space="preserve">ecomes clear that information </w:t>
      </w:r>
      <w:r w:rsidRPr="006E0C47">
        <w:rPr>
          <w:rFonts w:ascii="Arial" w:eastAsia="Arial" w:hAnsi="Arial" w:cs="Arial"/>
          <w:color w:val="000000" w:themeColor="text1"/>
          <w:sz w:val="22"/>
          <w:szCs w:val="22"/>
        </w:rPr>
        <w:t>for example, a medication sche</w:t>
      </w:r>
      <w:r>
        <w:rPr>
          <w:rFonts w:ascii="Arial" w:eastAsia="Arial" w:hAnsi="Arial" w:cs="Arial"/>
          <w:color w:val="000000" w:themeColor="text1"/>
          <w:sz w:val="22"/>
          <w:szCs w:val="22"/>
        </w:rPr>
        <w:t>dule</w:t>
      </w:r>
      <w:r w:rsidRPr="006E0C47">
        <w:rPr>
          <w:rFonts w:ascii="Arial" w:eastAsia="Arial" w:hAnsi="Arial" w:cs="Arial"/>
          <w:color w:val="000000" w:themeColor="text1"/>
          <w:sz w:val="22"/>
          <w:szCs w:val="22"/>
        </w:rPr>
        <w:t xml:space="preserve"> can only be described as ‘communicated' once there is confirmation from the communication partner that Mrs Thompson understands and can act on that information. If the feedback mode is missing or the feedback is misunderstood, as may have been the case before she missed a dose, there is a risk of a ‘breakdown' in care. From a practical perspective, this facilitates the implementation of teach-back techniques; that is, Mrs Thompson is asked to repeat the instructions in her own words and family and domiciliary carers reinforce the instructions consistently over time to complete the communication loop.</w:t>
      </w:r>
    </w:p>
    <w:p w14:paraId="54071F8A" w14:textId="77777777" w:rsidR="001E1635" w:rsidRPr="006E0C47" w:rsidRDefault="004065D9" w:rsidP="006E0C47">
      <w:pPr>
        <w:pStyle w:val="Heading1"/>
        <w:spacing w:before="300" w:after="200" w:line="360" w:lineRule="auto"/>
        <w:rPr>
          <w:rFonts w:ascii="Arial" w:hAnsi="Arial" w:cs="Arial"/>
          <w:color w:val="000000" w:themeColor="text1"/>
          <w:sz w:val="22"/>
          <w:szCs w:val="22"/>
        </w:rPr>
      </w:pPr>
      <w:bookmarkStart w:id="3" w:name="_Toc238137511"/>
      <w:r w:rsidRPr="006E0C47">
        <w:rPr>
          <w:rFonts w:ascii="Arial" w:eastAsia="Arial" w:hAnsi="Arial" w:cs="Arial"/>
          <w:b/>
          <w:bCs/>
          <w:color w:val="000000" w:themeColor="text1"/>
          <w:sz w:val="22"/>
          <w:szCs w:val="22"/>
        </w:rPr>
        <w:t>3. Importance of good administrative skills</w:t>
      </w:r>
      <w:bookmarkEnd w:id="3"/>
    </w:p>
    <w:p w14:paraId="3051DBD5" w14:textId="77777777" w:rsidR="001E1635" w:rsidRPr="006E0C47" w:rsidRDefault="006E0C47" w:rsidP="006E0C47">
      <w:pPr>
        <w:spacing w:after="200" w:line="360" w:lineRule="auto"/>
        <w:jc w:val="both"/>
        <w:rPr>
          <w:rFonts w:ascii="Arial" w:eastAsia="Arial" w:hAnsi="Arial" w:cs="Arial"/>
          <w:color w:val="000000" w:themeColor="text1"/>
          <w:sz w:val="22"/>
          <w:szCs w:val="22"/>
        </w:rPr>
      </w:pPr>
      <w:r w:rsidRPr="006E0C47">
        <w:rPr>
          <w:rFonts w:ascii="Arial" w:eastAsia="Arial" w:hAnsi="Arial" w:cs="Arial"/>
          <w:color w:val="000000" w:themeColor="text1"/>
          <w:sz w:val="22"/>
          <w:szCs w:val="22"/>
        </w:rPr>
        <w:t xml:space="preserve">One of the essential skills in health and social care is good administrative practice, especially in relation to accurate and timely record keeping. The Nursing and Midwifery Council (2018) include record keeping in their definition of a safe and effective practice, stating that records must be accurate, factual, contemporary and free from unnecessary jargon so that anyone reading them will understand the care provided and decisions made. In Mrs Thompson's scenario, this incident process captured her missed medication, and the request for a medication review demonstrates the importance of administrative diligence. It is hard for the GP, community nurse and domiciliary care team to spot trends (such as a possible association between missed doses and her increased confusion), or to show that concerns were addressed properly if no clear, timely record of what took place is available. The same applies to the separate incident involving her being found outside without suitable clothing; it is important that both incidents are considered together and not as isolated incidents in the ongoing case review of the local authority for making a sound judgment regarding the situation and potential capacity of this child. Book-keeping in this context is subject to the requirements of the Data Protection Act 2018 which and incorporates the General Data Protection Regulation (GDPR) of the European Union (EU) into UK law. The following principles are directly relevant to Mrs Thompson's records and apply to it: information should be processed in a lawful, fair and transparent manner; it should be collected for the purposes for which the data controller has authorised its processing; it should not be used in a way which is incompatible with those purposes; it should be limited to what is necessary for those purposes; </w:t>
      </w:r>
      <w:r w:rsidRPr="006E0C47">
        <w:rPr>
          <w:rFonts w:ascii="Arial" w:eastAsia="Arial" w:hAnsi="Arial" w:cs="Arial"/>
          <w:color w:val="000000" w:themeColor="text1"/>
          <w:sz w:val="22"/>
          <w:szCs w:val="22"/>
        </w:rPr>
        <w:lastRenderedPageBreak/>
        <w:t xml:space="preserve">it should be kept accurate and up to date for those purposes; it should not be retained for longer than necessary for those purposes; and it should be held securely and have the necessary safeguards around confidentiality (Data Protection Act 2018). Health and care information is considered special category data for which extra protection measures are applicable and information should be accessed only by those who have a need to access it in order to provide or coordinate care for her. These principles do not exclude appropriate information sharing, but actually offer a structure in which information can be shared safely. The Information Commissioner's Office (ICO) has said that health and social care professionals 'must share data proportionately and appropriately' when this is needed to coordinate care and prevent harm. This would include Mrs Thompson's GP, community nurse, domiciliary carers and local authority being able to share information about her medication review and information on the safeguarding concern, but not too much more than what they need to know to do their job properly. By contrast, inadequate administrative practice </w:t>
      </w:r>
      <w:r w:rsidR="00996081">
        <w:rPr>
          <w:rFonts w:ascii="Arial" w:eastAsia="Arial" w:hAnsi="Arial" w:cs="Arial"/>
          <w:color w:val="000000" w:themeColor="text1"/>
          <w:sz w:val="22"/>
          <w:szCs w:val="22"/>
        </w:rPr>
        <w:t>can lead to a lack of synchronis</w:t>
      </w:r>
      <w:r w:rsidRPr="006E0C47">
        <w:rPr>
          <w:rFonts w:ascii="Arial" w:eastAsia="Arial" w:hAnsi="Arial" w:cs="Arial"/>
          <w:color w:val="000000" w:themeColor="text1"/>
          <w:sz w:val="22"/>
          <w:szCs w:val="22"/>
        </w:rPr>
        <w:t>ation, uniformity, and can compromise accountability if her situation further compounds.</w:t>
      </w:r>
    </w:p>
    <w:p w14:paraId="4F6B4708" w14:textId="77777777" w:rsidR="001E1635" w:rsidRPr="006E0C47" w:rsidRDefault="004065D9" w:rsidP="006E0C47">
      <w:pPr>
        <w:pStyle w:val="Heading1"/>
        <w:spacing w:before="300" w:after="200" w:line="360" w:lineRule="auto"/>
        <w:rPr>
          <w:rFonts w:ascii="Arial" w:hAnsi="Arial" w:cs="Arial"/>
          <w:color w:val="000000" w:themeColor="text1"/>
          <w:sz w:val="22"/>
          <w:szCs w:val="22"/>
        </w:rPr>
      </w:pPr>
      <w:bookmarkStart w:id="4" w:name="_Toc238137512"/>
      <w:r w:rsidRPr="006E0C47">
        <w:rPr>
          <w:rFonts w:ascii="Arial" w:eastAsia="Arial" w:hAnsi="Arial" w:cs="Arial"/>
          <w:b/>
          <w:bCs/>
          <w:color w:val="000000" w:themeColor="text1"/>
          <w:sz w:val="22"/>
          <w:szCs w:val="22"/>
        </w:rPr>
        <w:t>4. Importance of working collaboratively</w:t>
      </w:r>
      <w:bookmarkEnd w:id="4"/>
    </w:p>
    <w:p w14:paraId="6190D0C6" w14:textId="77777777" w:rsidR="001E1635" w:rsidRPr="006E0C47" w:rsidRDefault="006E0C47" w:rsidP="006E0C47">
      <w:pPr>
        <w:spacing w:after="200" w:line="360" w:lineRule="auto"/>
        <w:jc w:val="both"/>
        <w:rPr>
          <w:rFonts w:ascii="Arial" w:eastAsia="Arial" w:hAnsi="Arial" w:cs="Arial"/>
          <w:color w:val="000000" w:themeColor="text1"/>
          <w:sz w:val="22"/>
          <w:szCs w:val="22"/>
        </w:rPr>
      </w:pPr>
      <w:r w:rsidRPr="006E0C47">
        <w:rPr>
          <w:rFonts w:ascii="Arial" w:eastAsia="Arial" w:hAnsi="Arial" w:cs="Arial"/>
          <w:color w:val="000000" w:themeColor="text1"/>
          <w:sz w:val="22"/>
          <w:szCs w:val="22"/>
        </w:rPr>
        <w:t xml:space="preserve">Mrs Thompson's care, as well as being managed by the local authority, now working on her case, is reliant on a number of professionals working with her, including her GP, community nurse, and domiciliary care workers. As older adults are often found to have multiple needs that are interrelated, and none of them are solvable by any one profession, multidisciplinary team working is a key aspect of geriatric medicine, as observed by Ellis and </w:t>
      </w:r>
      <w:proofErr w:type="spellStart"/>
      <w:r w:rsidRPr="006E0C47">
        <w:rPr>
          <w:rFonts w:ascii="Arial" w:eastAsia="Arial" w:hAnsi="Arial" w:cs="Arial"/>
          <w:color w:val="000000" w:themeColor="text1"/>
          <w:sz w:val="22"/>
          <w:szCs w:val="22"/>
        </w:rPr>
        <w:t>Sevdalis</w:t>
      </w:r>
      <w:proofErr w:type="spellEnd"/>
      <w:r w:rsidRPr="006E0C47">
        <w:rPr>
          <w:rFonts w:ascii="Arial" w:eastAsia="Arial" w:hAnsi="Arial" w:cs="Arial"/>
          <w:color w:val="000000" w:themeColor="text1"/>
          <w:sz w:val="22"/>
          <w:szCs w:val="22"/>
        </w:rPr>
        <w:t xml:space="preserve"> (2019). The situation of Mrs Thompson is an example of this, with memory loss, managing medication and a safety issue outside the home all interconnected, but not strictly separate issues. There are unique but complementary contributions from each professional. In this instance, the incident was reported as a result of observations made by the domiciliary care workers that see Mrs Thompson twice a day who are often the first to notice subtle changes, such as increased confusion or a missed dose. The community nurse can evaluate her physical health and provide assistance with safe medicines administration and the GP can take a leading role in the requested review of any medicines and any wider clinical assessment, including if her capacity may require formal consideration under the Mental Capacity Act 2005 due to her dementia diagnosis. The coordinated work of these professions (for instance in the form of shared care plans and review meetings) enables issues to be triangulated, not assessed individually. If this does not take place, there is a genuine danger that th</w:t>
      </w:r>
      <w:r w:rsidR="00996081">
        <w:rPr>
          <w:rFonts w:ascii="Arial" w:eastAsia="Arial" w:hAnsi="Arial" w:cs="Arial"/>
          <w:color w:val="000000" w:themeColor="text1"/>
          <w:sz w:val="22"/>
          <w:szCs w:val="22"/>
        </w:rPr>
        <w:t>e incidents will not be recognis</w:t>
      </w:r>
      <w:r w:rsidRPr="006E0C47">
        <w:rPr>
          <w:rFonts w:ascii="Arial" w:eastAsia="Arial" w:hAnsi="Arial" w:cs="Arial"/>
          <w:color w:val="000000" w:themeColor="text1"/>
          <w:sz w:val="22"/>
          <w:szCs w:val="22"/>
        </w:rPr>
        <w:t xml:space="preserve">ed as a pattern but will be looked upon as scattered events that need individual responses. Collaborative working thus enables earlier identification of risk, more effective </w:t>
      </w:r>
      <w:r w:rsidRPr="006E0C47">
        <w:rPr>
          <w:rFonts w:ascii="Arial" w:eastAsia="Arial" w:hAnsi="Arial" w:cs="Arial"/>
          <w:color w:val="000000" w:themeColor="text1"/>
          <w:sz w:val="22"/>
          <w:szCs w:val="22"/>
        </w:rPr>
        <w:lastRenderedPageBreak/>
        <w:t>decision making and a care plan for Mrs Thompson, which is based on her whole situation, not just one professionals.</w:t>
      </w:r>
    </w:p>
    <w:p w14:paraId="0BA63817" w14:textId="77777777" w:rsidR="001E1635" w:rsidRPr="006E0C47" w:rsidRDefault="004065D9" w:rsidP="006E0C47">
      <w:pPr>
        <w:pStyle w:val="Heading1"/>
        <w:spacing w:before="300" w:after="200" w:line="360" w:lineRule="auto"/>
        <w:rPr>
          <w:rFonts w:ascii="Arial" w:hAnsi="Arial" w:cs="Arial"/>
          <w:color w:val="000000" w:themeColor="text1"/>
          <w:sz w:val="22"/>
          <w:szCs w:val="22"/>
        </w:rPr>
      </w:pPr>
      <w:bookmarkStart w:id="5" w:name="_Toc238137513"/>
      <w:r w:rsidRPr="006E0C47">
        <w:rPr>
          <w:rFonts w:ascii="Arial" w:eastAsia="Arial" w:hAnsi="Arial" w:cs="Arial"/>
          <w:b/>
          <w:bCs/>
          <w:color w:val="000000" w:themeColor="text1"/>
          <w:sz w:val="22"/>
          <w:szCs w:val="22"/>
        </w:rPr>
        <w:t>5. Conclusion</w:t>
      </w:r>
      <w:bookmarkEnd w:id="5"/>
    </w:p>
    <w:p w14:paraId="02C27D03" w14:textId="6E714F76" w:rsidR="001E1635" w:rsidRPr="006E0C47" w:rsidRDefault="006E0C47" w:rsidP="006E0C47">
      <w:pPr>
        <w:spacing w:after="200" w:line="360" w:lineRule="auto"/>
        <w:jc w:val="both"/>
        <w:rPr>
          <w:rFonts w:ascii="Arial" w:hAnsi="Arial" w:cs="Arial"/>
          <w:color w:val="000000" w:themeColor="text1"/>
          <w:sz w:val="22"/>
          <w:szCs w:val="22"/>
        </w:rPr>
      </w:pPr>
      <w:r w:rsidRPr="006E0C47">
        <w:rPr>
          <w:rFonts w:ascii="Arial" w:eastAsia="Arial" w:hAnsi="Arial" w:cs="Arial"/>
          <w:color w:val="000000" w:themeColor="text1"/>
          <w:sz w:val="22"/>
          <w:szCs w:val="22"/>
        </w:rPr>
        <w:t>This report has demonstrated that effective communication, sound administration and true co-operation between the professions are strongly interdependent aspects of good quality care for Mrs Thompson. Communication that meets her needs and is based on the Equality Act 2010 and Argyle's communication cycle ensures that important information, such as instructions on medication can be understood not just heard. The ability to record the correct information in accordance with the Data Protection Act 2018 gives the evidence base to identify patterns and support decisions. Finally, a collaborative approach between the GP, community nurse and domiciliary care team means that the incidents that have recently occurred with Mrs Thompson are viewed as a whole and this leads to a more person</w:t>
      </w:r>
      <w:r w:rsidR="001B295E">
        <w:rPr>
          <w:rFonts w:ascii="Arial" w:eastAsia="Arial" w:hAnsi="Arial" w:cs="Arial"/>
          <w:color w:val="000000" w:themeColor="text1"/>
          <w:sz w:val="22"/>
          <w:szCs w:val="22"/>
        </w:rPr>
        <w:t xml:space="preserve">- </w:t>
      </w:r>
      <w:r w:rsidRPr="006E0C47">
        <w:rPr>
          <w:rFonts w:ascii="Arial" w:eastAsia="Arial" w:hAnsi="Arial" w:cs="Arial"/>
          <w:color w:val="000000" w:themeColor="text1"/>
          <w:sz w:val="22"/>
          <w:szCs w:val="22"/>
        </w:rPr>
        <w:t>centred and safer approach to the care that is provided for her changing needs.</w:t>
      </w:r>
    </w:p>
    <w:p w14:paraId="7A428778" w14:textId="77777777" w:rsidR="001E1635" w:rsidRPr="006E0C47" w:rsidRDefault="004065D9" w:rsidP="006E0C47">
      <w:pPr>
        <w:spacing w:line="360" w:lineRule="auto"/>
        <w:rPr>
          <w:rFonts w:ascii="Arial" w:hAnsi="Arial" w:cs="Arial"/>
          <w:color w:val="000000" w:themeColor="text1"/>
          <w:sz w:val="22"/>
          <w:szCs w:val="22"/>
        </w:rPr>
      </w:pPr>
      <w:r w:rsidRPr="006E0C47">
        <w:rPr>
          <w:rFonts w:ascii="Arial" w:hAnsi="Arial" w:cs="Arial"/>
          <w:color w:val="000000" w:themeColor="text1"/>
          <w:sz w:val="22"/>
          <w:szCs w:val="22"/>
        </w:rPr>
        <w:br w:type="page"/>
      </w:r>
    </w:p>
    <w:p w14:paraId="65540D51" w14:textId="77777777" w:rsidR="001E1635" w:rsidRPr="006E0C47" w:rsidRDefault="004065D9" w:rsidP="006E0C47">
      <w:pPr>
        <w:pStyle w:val="Heading1"/>
        <w:spacing w:line="360" w:lineRule="auto"/>
        <w:rPr>
          <w:rFonts w:ascii="Arial" w:hAnsi="Arial" w:cs="Arial"/>
          <w:color w:val="000000" w:themeColor="text1"/>
          <w:sz w:val="22"/>
          <w:szCs w:val="22"/>
        </w:rPr>
      </w:pPr>
      <w:bookmarkStart w:id="6" w:name="_Toc238137514"/>
      <w:r w:rsidRPr="006E0C47">
        <w:rPr>
          <w:rFonts w:ascii="Arial" w:eastAsia="Arial" w:hAnsi="Arial" w:cs="Arial"/>
          <w:b/>
          <w:bCs/>
          <w:color w:val="000000" w:themeColor="text1"/>
          <w:sz w:val="22"/>
          <w:szCs w:val="22"/>
        </w:rPr>
        <w:lastRenderedPageBreak/>
        <w:t>References</w:t>
      </w:r>
      <w:bookmarkEnd w:id="6"/>
    </w:p>
    <w:p w14:paraId="648FBD9B"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Argyle, M. (1972) The Psychology of Interpersonal Behaviour. Harmondsworth: Penguin.</w:t>
      </w:r>
    </w:p>
    <w:p w14:paraId="7969D3B3"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Data Protection Act 2018. London: The Stationery Office. Available at: https://www.legislation.gov.uk/ukpga/2018/12/contents (Accessed: 20 August 2026).</w:t>
      </w:r>
    </w:p>
    <w:p w14:paraId="6BEB658C"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 xml:space="preserve">Ellis, G. and </w:t>
      </w:r>
      <w:proofErr w:type="spellStart"/>
      <w:r w:rsidRPr="006E0C47">
        <w:rPr>
          <w:rFonts w:ascii="Arial" w:eastAsia="Arial" w:hAnsi="Arial" w:cs="Arial"/>
          <w:color w:val="000000" w:themeColor="text1"/>
          <w:sz w:val="22"/>
          <w:szCs w:val="22"/>
        </w:rPr>
        <w:t>Sevdalis</w:t>
      </w:r>
      <w:proofErr w:type="spellEnd"/>
      <w:r w:rsidRPr="006E0C47">
        <w:rPr>
          <w:rFonts w:ascii="Arial" w:eastAsia="Arial" w:hAnsi="Arial" w:cs="Arial"/>
          <w:color w:val="000000" w:themeColor="text1"/>
          <w:sz w:val="22"/>
          <w:szCs w:val="22"/>
        </w:rPr>
        <w:t>, N. (2019) 'Understanding and improving multidisciplinary team working in geriatric medicine', Age and Ageing, 48(4), pp. 498-505. doi:10.1093/ageing/afz021.</w:t>
      </w:r>
    </w:p>
    <w:p w14:paraId="40A39EE0"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Equality Act 2010. London: The Stationery Office. Available at: https://www.legislation.gov.uk/ukpga/2010/15/contents (Accessed: 20 August 2026).</w:t>
      </w:r>
    </w:p>
    <w:p w14:paraId="6012CA52"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Information Commissioner's Office (2021) Data Sharing: A Code of Practice. Wilmslow: ICO. Available at: https://ico.org.uk/ (Accessed: 20 August 2026).</w:t>
      </w:r>
    </w:p>
    <w:p w14:paraId="4BE8888D" w14:textId="77777777" w:rsidR="001E1635" w:rsidRPr="006E0C47" w:rsidRDefault="004065D9" w:rsidP="006E0C47">
      <w:pPr>
        <w:spacing w:after="200" w:line="360" w:lineRule="auto"/>
        <w:ind w:left="720" w:hanging="720"/>
        <w:rPr>
          <w:rFonts w:ascii="Arial" w:hAnsi="Arial" w:cs="Arial"/>
          <w:color w:val="000000" w:themeColor="text1"/>
          <w:sz w:val="22"/>
          <w:szCs w:val="22"/>
        </w:rPr>
      </w:pPr>
      <w:proofErr w:type="spellStart"/>
      <w:r w:rsidRPr="006E0C47">
        <w:rPr>
          <w:rFonts w:ascii="Arial" w:eastAsia="Arial" w:hAnsi="Arial" w:cs="Arial"/>
          <w:color w:val="000000" w:themeColor="text1"/>
          <w:sz w:val="22"/>
          <w:szCs w:val="22"/>
        </w:rPr>
        <w:t>Kourkouta</w:t>
      </w:r>
      <w:proofErr w:type="spellEnd"/>
      <w:r w:rsidRPr="006E0C47">
        <w:rPr>
          <w:rFonts w:ascii="Arial" w:eastAsia="Arial" w:hAnsi="Arial" w:cs="Arial"/>
          <w:color w:val="000000" w:themeColor="text1"/>
          <w:sz w:val="22"/>
          <w:szCs w:val="22"/>
        </w:rPr>
        <w:t>, L. and Papathanasiou, I.V. (2014) 'Communication in nursing practice', Materia Socio-Medica, 26(1), pp. 65-67. doi:10.5455/msm.2014.26.65-67.</w:t>
      </w:r>
    </w:p>
    <w:p w14:paraId="32CB5E1E"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Mental Capacity Act 2005. London: The Stationery Office. Available at: https://www.legislation.gov.uk/ukpga/2005/9/contents (Accessed: 20 August 2026).</w:t>
      </w:r>
    </w:p>
    <w:p w14:paraId="3EE67705"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Nursing and Midwifery Council (2018) The Code: Professional Standards of Practice and Behaviour for Nurses, Midwives and Nursing Associates. London: NMC.</w:t>
      </w:r>
    </w:p>
    <w:p w14:paraId="2A70D7A7"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Social Care Institute for Excellence (2023) Personalisation and the Equality Act 2010. London: SCIE. Available at: https://www.scie.org.uk/ (Accessed: 20 August 2026).</w:t>
      </w:r>
    </w:p>
    <w:p w14:paraId="460DFD88" w14:textId="77777777" w:rsidR="001E1635" w:rsidRPr="006E0C47" w:rsidRDefault="004065D9" w:rsidP="006E0C47">
      <w:pPr>
        <w:spacing w:after="200" w:line="360" w:lineRule="auto"/>
        <w:ind w:left="720" w:hanging="720"/>
        <w:rPr>
          <w:rFonts w:ascii="Arial" w:hAnsi="Arial" w:cs="Arial"/>
          <w:color w:val="000000" w:themeColor="text1"/>
          <w:sz w:val="22"/>
          <w:szCs w:val="22"/>
        </w:rPr>
      </w:pPr>
      <w:r w:rsidRPr="006E0C47">
        <w:rPr>
          <w:rFonts w:ascii="Arial" w:eastAsia="Arial" w:hAnsi="Arial" w:cs="Arial"/>
          <w:color w:val="000000" w:themeColor="text1"/>
          <w:sz w:val="22"/>
          <w:szCs w:val="22"/>
        </w:rPr>
        <w:t>UK Government (2014) Care Act 2014. London: The Stationery Office. Available at: https://www.legislation.gov.uk/ukpga/2014/23/contents (Accessed: 20 August 2026).</w:t>
      </w:r>
    </w:p>
    <w:sectPr w:rsidR="001E1635" w:rsidRPr="006E0C47">
      <w:footerReference w:type="default" r:id="rId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71BB1" w14:textId="77777777" w:rsidR="00855E0F" w:rsidRDefault="00855E0F" w:rsidP="00485E20">
      <w:r>
        <w:separator/>
      </w:r>
    </w:p>
  </w:endnote>
  <w:endnote w:type="continuationSeparator" w:id="0">
    <w:p w14:paraId="6FE4D9D7" w14:textId="77777777" w:rsidR="00855E0F" w:rsidRDefault="00855E0F" w:rsidP="00485E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4999638"/>
      <w:docPartObj>
        <w:docPartGallery w:val="Page Numbers (Bottom of Page)"/>
        <w:docPartUnique/>
      </w:docPartObj>
    </w:sdtPr>
    <w:sdtEndPr>
      <w:rPr>
        <w:color w:val="7F7F7F" w:themeColor="background1" w:themeShade="7F"/>
        <w:spacing w:val="60"/>
      </w:rPr>
    </w:sdtEndPr>
    <w:sdtContent>
      <w:p w14:paraId="3ECAFC7A" w14:textId="77777777" w:rsidR="00485E20" w:rsidRDefault="00485E2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85E20">
          <w:rPr>
            <w:b/>
            <w:bCs/>
            <w:noProof/>
          </w:rPr>
          <w:t>3</w:t>
        </w:r>
        <w:r>
          <w:rPr>
            <w:b/>
            <w:bCs/>
            <w:noProof/>
          </w:rPr>
          <w:fldChar w:fldCharType="end"/>
        </w:r>
        <w:r>
          <w:rPr>
            <w:b/>
            <w:bCs/>
          </w:rPr>
          <w:t xml:space="preserve"> | </w:t>
        </w:r>
        <w:r>
          <w:rPr>
            <w:color w:val="7F7F7F" w:themeColor="background1" w:themeShade="7F"/>
            <w:spacing w:val="60"/>
          </w:rPr>
          <w:t>Page</w:t>
        </w:r>
      </w:p>
    </w:sdtContent>
  </w:sdt>
  <w:p w14:paraId="0C44B3A2" w14:textId="77777777" w:rsidR="00485E20" w:rsidRDefault="00485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B9975" w14:textId="77777777" w:rsidR="00855E0F" w:rsidRDefault="00855E0F" w:rsidP="00485E20">
      <w:r>
        <w:separator/>
      </w:r>
    </w:p>
  </w:footnote>
  <w:footnote w:type="continuationSeparator" w:id="0">
    <w:p w14:paraId="6843CB2E" w14:textId="77777777" w:rsidR="00855E0F" w:rsidRDefault="00855E0F" w:rsidP="00485E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02A60"/>
    <w:multiLevelType w:val="hybridMultilevel"/>
    <w:tmpl w:val="D832B00E"/>
    <w:lvl w:ilvl="0" w:tplc="9CA27186">
      <w:start w:val="1"/>
      <w:numFmt w:val="bullet"/>
      <w:lvlText w:val="●"/>
      <w:lvlJc w:val="left"/>
      <w:pPr>
        <w:ind w:left="720" w:hanging="360"/>
      </w:pPr>
    </w:lvl>
    <w:lvl w:ilvl="1" w:tplc="AC3048B0">
      <w:start w:val="1"/>
      <w:numFmt w:val="bullet"/>
      <w:lvlText w:val="○"/>
      <w:lvlJc w:val="left"/>
      <w:pPr>
        <w:ind w:left="1440" w:hanging="360"/>
      </w:pPr>
    </w:lvl>
    <w:lvl w:ilvl="2" w:tplc="18E0915A">
      <w:start w:val="1"/>
      <w:numFmt w:val="bullet"/>
      <w:lvlText w:val="■"/>
      <w:lvlJc w:val="left"/>
      <w:pPr>
        <w:ind w:left="2160" w:hanging="360"/>
      </w:pPr>
    </w:lvl>
    <w:lvl w:ilvl="3" w:tplc="C488234E">
      <w:start w:val="1"/>
      <w:numFmt w:val="bullet"/>
      <w:lvlText w:val="●"/>
      <w:lvlJc w:val="left"/>
      <w:pPr>
        <w:ind w:left="2880" w:hanging="360"/>
      </w:pPr>
    </w:lvl>
    <w:lvl w:ilvl="4" w:tplc="CF9E7FE0">
      <w:start w:val="1"/>
      <w:numFmt w:val="bullet"/>
      <w:lvlText w:val="○"/>
      <w:lvlJc w:val="left"/>
      <w:pPr>
        <w:ind w:left="3600" w:hanging="360"/>
      </w:pPr>
    </w:lvl>
    <w:lvl w:ilvl="5" w:tplc="31645902">
      <w:start w:val="1"/>
      <w:numFmt w:val="bullet"/>
      <w:lvlText w:val="■"/>
      <w:lvlJc w:val="left"/>
      <w:pPr>
        <w:ind w:left="4320" w:hanging="360"/>
      </w:pPr>
    </w:lvl>
    <w:lvl w:ilvl="6" w:tplc="36D2665E">
      <w:start w:val="1"/>
      <w:numFmt w:val="bullet"/>
      <w:lvlText w:val="●"/>
      <w:lvlJc w:val="left"/>
      <w:pPr>
        <w:ind w:left="5040" w:hanging="360"/>
      </w:pPr>
    </w:lvl>
    <w:lvl w:ilvl="7" w:tplc="9F668EB4">
      <w:start w:val="1"/>
      <w:numFmt w:val="bullet"/>
      <w:lvlText w:val="●"/>
      <w:lvlJc w:val="left"/>
      <w:pPr>
        <w:ind w:left="5760" w:hanging="360"/>
      </w:pPr>
    </w:lvl>
    <w:lvl w:ilvl="8" w:tplc="1A5CC046">
      <w:start w:val="1"/>
      <w:numFmt w:val="bullet"/>
      <w:lvlText w:val="●"/>
      <w:lvlJc w:val="left"/>
      <w:pPr>
        <w:ind w:left="6480" w:hanging="360"/>
      </w:pPr>
    </w:lvl>
  </w:abstractNum>
  <w:num w:numId="1" w16cid:durableId="19053472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635"/>
    <w:rsid w:val="001B295E"/>
    <w:rsid w:val="001E1635"/>
    <w:rsid w:val="004065D9"/>
    <w:rsid w:val="004775FB"/>
    <w:rsid w:val="00485E20"/>
    <w:rsid w:val="006E0C47"/>
    <w:rsid w:val="00855E0F"/>
    <w:rsid w:val="00914C5F"/>
    <w:rsid w:val="00996081"/>
    <w:rsid w:val="00D61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671B"/>
  <w15:docId w15:val="{0018B7F2-22B1-4B53-940E-FA1E65E18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6E0C47"/>
    <w:pPr>
      <w:spacing w:after="100"/>
    </w:pPr>
  </w:style>
  <w:style w:type="paragraph" w:styleId="BalloonText">
    <w:name w:val="Balloon Text"/>
    <w:basedOn w:val="Normal"/>
    <w:link w:val="BalloonTextChar"/>
    <w:uiPriority w:val="99"/>
    <w:semiHidden/>
    <w:unhideWhenUsed/>
    <w:rsid w:val="00485E2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E20"/>
    <w:rPr>
      <w:rFonts w:ascii="Segoe UI" w:hAnsi="Segoe UI" w:cs="Segoe UI"/>
      <w:sz w:val="18"/>
      <w:szCs w:val="18"/>
    </w:rPr>
  </w:style>
  <w:style w:type="paragraph" w:styleId="Header">
    <w:name w:val="header"/>
    <w:basedOn w:val="Normal"/>
    <w:link w:val="HeaderChar"/>
    <w:uiPriority w:val="99"/>
    <w:unhideWhenUsed/>
    <w:rsid w:val="00485E20"/>
    <w:pPr>
      <w:tabs>
        <w:tab w:val="center" w:pos="4680"/>
        <w:tab w:val="right" w:pos="9360"/>
      </w:tabs>
    </w:pPr>
  </w:style>
  <w:style w:type="character" w:customStyle="1" w:styleId="HeaderChar">
    <w:name w:val="Header Char"/>
    <w:basedOn w:val="DefaultParagraphFont"/>
    <w:link w:val="Header"/>
    <w:uiPriority w:val="99"/>
    <w:rsid w:val="00485E20"/>
  </w:style>
  <w:style w:type="paragraph" w:styleId="Footer">
    <w:name w:val="footer"/>
    <w:basedOn w:val="Normal"/>
    <w:link w:val="FooterChar"/>
    <w:uiPriority w:val="99"/>
    <w:unhideWhenUsed/>
    <w:rsid w:val="00485E20"/>
    <w:pPr>
      <w:tabs>
        <w:tab w:val="center" w:pos="4680"/>
        <w:tab w:val="right" w:pos="9360"/>
      </w:tabs>
    </w:pPr>
  </w:style>
  <w:style w:type="character" w:customStyle="1" w:styleId="FooterChar">
    <w:name w:val="Footer Char"/>
    <w:basedOn w:val="DefaultParagraphFont"/>
    <w:link w:val="Footer"/>
    <w:uiPriority w:val="99"/>
    <w:rsid w:val="00485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1867</Words>
  <Characters>10644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rachel amon</cp:lastModifiedBy>
  <cp:revision>2</cp:revision>
  <cp:lastPrinted>2026-08-20T12:11:00Z</cp:lastPrinted>
  <dcterms:created xsi:type="dcterms:W3CDTF">2026-08-21T08:05:00Z</dcterms:created>
  <dcterms:modified xsi:type="dcterms:W3CDTF">2026-08-21T08:05:00Z</dcterms:modified>
</cp:coreProperties>
</file>