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9699351" w14:textId="1FC15762" w:rsidR="00CF7217" w:rsidRDefault="00C17339">
      <w:pPr>
        <w:spacing w:after="200" w:line="360" w:lineRule="auto"/>
      </w:pPr>
      <w:r>
        <w:rPr>
          <w:noProof/>
        </w:rPr>
        <w:drawing>
          <wp:inline distT="0" distB="0" distL="0" distR="0" wp14:anchorId="574207AB" wp14:editId="1B2D0663">
            <wp:extent cx="3343275" cy="1135380"/>
            <wp:effectExtent l="0" t="0" r="9525" b="7620"/>
            <wp:docPr id="1878388433" name="image1.jp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jpg" descr="UWTSD logo | Discover Dylan Thomas"/>
                    <pic:cNvPicPr preferRelativeResize="0"/>
                  </pic:nvPicPr>
                  <pic:blipFill>
                    <a:blip r:embed="rId7"/>
                    <a:srcRect/>
                    <a:stretch>
                      <a:fillRect/>
                    </a:stretch>
                  </pic:blipFill>
                  <pic:spPr>
                    <a:xfrm>
                      <a:off x="0" y="0"/>
                      <a:ext cx="3343275" cy="1135380"/>
                    </a:xfrm>
                    <a:prstGeom prst="rect">
                      <a:avLst/>
                    </a:prstGeom>
                    <a:ln/>
                  </pic:spPr>
                </pic:pic>
              </a:graphicData>
            </a:graphic>
          </wp:inline>
        </w:drawing>
      </w:r>
    </w:p>
    <w:p w14:paraId="62457353" w14:textId="77777777" w:rsidR="00CF7217" w:rsidRDefault="00CF7217">
      <w:pPr>
        <w:spacing w:after="200" w:line="360" w:lineRule="auto"/>
      </w:pPr>
    </w:p>
    <w:p w14:paraId="1D663376" w14:textId="77777777" w:rsidR="00CF7217" w:rsidRDefault="00000000">
      <w:pPr>
        <w:spacing w:after="120" w:line="360" w:lineRule="auto"/>
        <w:jc w:val="center"/>
      </w:pPr>
      <w:r>
        <w:rPr>
          <w:b/>
          <w:bCs/>
          <w:sz w:val="28"/>
          <w:szCs w:val="28"/>
        </w:rPr>
        <w:t>BSc (Hons) Health and Social Care</w:t>
      </w:r>
    </w:p>
    <w:p w14:paraId="74D0F674" w14:textId="77777777" w:rsidR="00CF7217" w:rsidRDefault="00000000">
      <w:pPr>
        <w:spacing w:after="120" w:line="360" w:lineRule="auto"/>
        <w:jc w:val="center"/>
      </w:pPr>
      <w:r>
        <w:rPr>
          <w:b/>
          <w:bCs/>
          <w:sz w:val="26"/>
          <w:szCs w:val="26"/>
        </w:rPr>
        <w:t>BMHP5019 – Introduction to Independent Research Skills</w:t>
      </w:r>
    </w:p>
    <w:p w14:paraId="0F8BB003" w14:textId="77777777" w:rsidR="00CF7217" w:rsidRDefault="00CF7217">
      <w:pPr>
        <w:spacing w:after="400" w:line="360" w:lineRule="auto"/>
      </w:pPr>
    </w:p>
    <w:p w14:paraId="7CEC1DE8" w14:textId="77777777" w:rsidR="00CF7217" w:rsidRDefault="00000000">
      <w:pPr>
        <w:spacing w:after="120" w:line="360" w:lineRule="auto"/>
        <w:jc w:val="center"/>
      </w:pPr>
      <w:r>
        <w:rPr>
          <w:b/>
          <w:bCs/>
          <w:sz w:val="26"/>
          <w:szCs w:val="26"/>
        </w:rPr>
        <w:t>Component 2: Written Assignment (Research Report)</w:t>
      </w:r>
    </w:p>
    <w:p w14:paraId="09443DAD" w14:textId="77777777" w:rsidR="00CF7217" w:rsidRDefault="00CF7217">
      <w:pPr>
        <w:spacing w:after="200" w:line="360" w:lineRule="auto"/>
      </w:pPr>
    </w:p>
    <w:p w14:paraId="19FEDB02" w14:textId="77777777" w:rsidR="00CF7217" w:rsidRDefault="00000000">
      <w:pPr>
        <w:spacing w:after="120" w:line="360" w:lineRule="auto"/>
        <w:jc w:val="center"/>
      </w:pPr>
      <w:r>
        <w:rPr>
          <w:i/>
          <w:iCs/>
          <w:sz w:val="24"/>
          <w:szCs w:val="24"/>
        </w:rPr>
        <w:t>Burnout among health and social care staff in the UK: a scoping review</w:t>
      </w:r>
    </w:p>
    <w:p w14:paraId="6124A84D" w14:textId="77777777" w:rsidR="00CF7217" w:rsidRDefault="00CF7217">
      <w:pPr>
        <w:spacing w:after="600" w:line="360" w:lineRule="auto"/>
      </w:pPr>
    </w:p>
    <w:p w14:paraId="5659843D" w14:textId="326E69DE" w:rsidR="00CF7217" w:rsidRDefault="00000000">
      <w:pPr>
        <w:spacing w:after="120" w:line="360" w:lineRule="auto"/>
        <w:jc w:val="center"/>
      </w:pPr>
      <w:r>
        <w:t xml:space="preserve">Student name: </w:t>
      </w:r>
      <w:r w:rsidR="00F85610">
        <w:t>Andreea Anca</w:t>
      </w:r>
    </w:p>
    <w:p w14:paraId="4332F213" w14:textId="7394F215" w:rsidR="00CF7217" w:rsidRDefault="00000000">
      <w:pPr>
        <w:spacing w:after="120" w:line="360" w:lineRule="auto"/>
        <w:jc w:val="center"/>
      </w:pPr>
      <w:r>
        <w:t xml:space="preserve">Student ID number: </w:t>
      </w:r>
      <w:r w:rsidR="00F85610" w:rsidRPr="00B26A34">
        <w:rPr>
          <w:lang w:val="nl-NL"/>
        </w:rPr>
        <w:t>2327259</w:t>
      </w:r>
    </w:p>
    <w:p w14:paraId="147D9B8C" w14:textId="77777777" w:rsidR="00CF7217" w:rsidRDefault="00000000">
      <w:pPr>
        <w:spacing w:after="120" w:line="360" w:lineRule="auto"/>
        <w:jc w:val="center"/>
      </w:pPr>
      <w:r>
        <w:t>Lecturer: Bianca Sanfilippo</w:t>
      </w:r>
    </w:p>
    <w:p w14:paraId="31C4F8C4" w14:textId="77777777" w:rsidR="00CF7217" w:rsidRDefault="00000000">
      <w:pPr>
        <w:spacing w:after="120" w:line="360" w:lineRule="auto"/>
        <w:jc w:val="center"/>
      </w:pPr>
      <w:r>
        <w:t>Submission date: 14 August 2026</w:t>
      </w:r>
    </w:p>
    <w:p w14:paraId="6C8845CD" w14:textId="77777777" w:rsidR="00CF7217" w:rsidRDefault="00000000">
      <w:pPr>
        <w:spacing w:after="120" w:line="360" w:lineRule="auto"/>
        <w:jc w:val="center"/>
      </w:pPr>
      <w:r>
        <w:t>Word count: 3,586</w:t>
      </w:r>
    </w:p>
    <w:p w14:paraId="42EAB811" w14:textId="77777777" w:rsidR="00CF7217" w:rsidRDefault="00000000">
      <w:r>
        <w:br w:type="page"/>
      </w:r>
    </w:p>
    <w:p w14:paraId="41A441E9" w14:textId="77777777" w:rsidR="00CF7217" w:rsidRDefault="00000000">
      <w:pPr>
        <w:spacing w:before="240" w:after="120" w:line="360" w:lineRule="auto"/>
      </w:pPr>
      <w:r>
        <w:rPr>
          <w:b/>
          <w:bCs/>
          <w:sz w:val="24"/>
          <w:szCs w:val="24"/>
        </w:rPr>
        <w:lastRenderedPageBreak/>
        <w:t>Contents</w:t>
      </w:r>
    </w:p>
    <w:p w14:paraId="55816A66" w14:textId="77777777" w:rsidR="00CF7217" w:rsidRDefault="00000000">
      <w:pPr>
        <w:tabs>
          <w:tab w:val="right" w:leader="dot" w:pos="9026"/>
        </w:tabs>
        <w:spacing w:after="120" w:line="360" w:lineRule="auto"/>
      </w:pPr>
      <w:r>
        <w:t>1. Introduction</w:t>
      </w:r>
      <w:r>
        <w:tab/>
        <w:t>3</w:t>
      </w:r>
    </w:p>
    <w:p w14:paraId="60DBB454" w14:textId="77777777" w:rsidR="00CF7217" w:rsidRDefault="00000000">
      <w:pPr>
        <w:tabs>
          <w:tab w:val="right" w:leader="dot" w:pos="9026"/>
        </w:tabs>
        <w:spacing w:after="120" w:line="360" w:lineRule="auto"/>
      </w:pPr>
      <w:r>
        <w:t>2. Background</w:t>
      </w:r>
      <w:r>
        <w:tab/>
        <w:t>3</w:t>
      </w:r>
    </w:p>
    <w:p w14:paraId="67A1DC38" w14:textId="77777777" w:rsidR="00CF7217" w:rsidRDefault="00000000">
      <w:pPr>
        <w:tabs>
          <w:tab w:val="right" w:leader="dot" w:pos="9026"/>
        </w:tabs>
        <w:spacing w:after="120" w:line="360" w:lineRule="auto"/>
      </w:pPr>
      <w:r>
        <w:t>3. Methods</w:t>
      </w:r>
      <w:r>
        <w:tab/>
        <w:t>5</w:t>
      </w:r>
    </w:p>
    <w:p w14:paraId="478A4B27" w14:textId="77777777" w:rsidR="00CF7217" w:rsidRDefault="00000000">
      <w:pPr>
        <w:tabs>
          <w:tab w:val="right" w:leader="dot" w:pos="9026"/>
        </w:tabs>
        <w:spacing w:after="120" w:line="360" w:lineRule="auto"/>
      </w:pPr>
      <w:r>
        <w:t>4. Results</w:t>
      </w:r>
      <w:r>
        <w:tab/>
        <w:t>6</w:t>
      </w:r>
    </w:p>
    <w:p w14:paraId="1F71E5D8" w14:textId="77777777" w:rsidR="00CF7217" w:rsidRDefault="00000000">
      <w:pPr>
        <w:tabs>
          <w:tab w:val="right" w:leader="dot" w:pos="9026"/>
        </w:tabs>
        <w:spacing w:after="120" w:line="360" w:lineRule="auto"/>
      </w:pPr>
      <w:r>
        <w:t>5. Discussion</w:t>
      </w:r>
      <w:r>
        <w:tab/>
        <w:t>9</w:t>
      </w:r>
    </w:p>
    <w:p w14:paraId="6F8B5EAA" w14:textId="77777777" w:rsidR="00CF7217" w:rsidRDefault="00000000">
      <w:pPr>
        <w:tabs>
          <w:tab w:val="right" w:leader="dot" w:pos="9026"/>
        </w:tabs>
        <w:spacing w:after="120" w:line="360" w:lineRule="auto"/>
      </w:pPr>
      <w:r>
        <w:t>6. Conclusion and Recommendations</w:t>
      </w:r>
      <w:r>
        <w:tab/>
        <w:t>10</w:t>
      </w:r>
    </w:p>
    <w:p w14:paraId="50BB9FBC" w14:textId="77777777" w:rsidR="00CF7217" w:rsidRDefault="00000000">
      <w:pPr>
        <w:tabs>
          <w:tab w:val="right" w:leader="dot" w:pos="9026"/>
        </w:tabs>
        <w:spacing w:after="120" w:line="360" w:lineRule="auto"/>
      </w:pPr>
      <w:r>
        <w:t>References</w:t>
      </w:r>
      <w:r>
        <w:tab/>
        <w:t>12</w:t>
      </w:r>
    </w:p>
    <w:p w14:paraId="48EBD26D" w14:textId="77777777" w:rsidR="00CF7217" w:rsidRDefault="00000000">
      <w:r>
        <w:br w:type="page"/>
      </w:r>
    </w:p>
    <w:p w14:paraId="19F4855A" w14:textId="77777777" w:rsidR="00CF7217" w:rsidRDefault="00000000">
      <w:pPr>
        <w:spacing w:before="240" w:after="120" w:line="360" w:lineRule="auto"/>
      </w:pPr>
      <w:r>
        <w:rPr>
          <w:b/>
          <w:bCs/>
          <w:sz w:val="24"/>
          <w:szCs w:val="24"/>
        </w:rPr>
        <w:lastRenderedPageBreak/>
        <w:t>1. Introduction</w:t>
      </w:r>
    </w:p>
    <w:p w14:paraId="54AC9ACC" w14:textId="77777777" w:rsidR="00CF7217" w:rsidRDefault="00000000">
      <w:pPr>
        <w:spacing w:after="200" w:line="360" w:lineRule="auto"/>
        <w:jc w:val="both"/>
      </w:pPr>
      <w:r>
        <w:t>Burnout is usually described as a state of emotional exhaustion, depersonalisation and a reduced sense of personal accomplishment that develops after long-term stress at work (Maslach and Jackson, 1981). The World Health Organization (2019) now classifies burnout in the International Classification of Diseases (ICD-11) as an "occupational phenomenon" resulting from chronic workplace stress that has not been successfully managed. It has three main dimensions: feeling exhausted or drained of energy, feeling mentally distant or negative about the job, and a reduced sense of professional efficacy (World Health Organization, 2019). Burnout is therefore not the same thing as ordinary tiredness or a diagnosed mental illness such as depression; it refers specifically to the workplace, and it develops gradually when the demands of a job stay too high for too long and the person does not have enough support or resources to cope. This distinction matters, because it means that burnout is best understood as a problem of the work environment as much as of the individual worker.</w:t>
      </w:r>
    </w:p>
    <w:p w14:paraId="7CBB5A6C" w14:textId="77777777" w:rsidR="00CF7217" w:rsidRDefault="00000000">
      <w:pPr>
        <w:spacing w:after="200" w:line="360" w:lineRule="auto"/>
        <w:jc w:val="both"/>
      </w:pPr>
      <w:r>
        <w:t>This topic matters a great deal for the UK health and social care workforce. Services are under pressure from high demand, staff shortages and the long-term effects of the COVID-19 pandemic, and a parliamentary inquiry described workforce burnout as an emergency that affects staff health and the delivery of safe care (Health and Social Care Committee, 2021). Burnout does not only harm the individual member of staff; it is also connected to sickness absence, staff leaving their jobs and lower quality of care, which affects patients and people who use services.</w:t>
      </w:r>
    </w:p>
    <w:p w14:paraId="3A88EB07" w14:textId="77777777" w:rsidR="00CF7217" w:rsidRDefault="00000000">
      <w:pPr>
        <w:spacing w:after="200" w:line="360" w:lineRule="auto"/>
        <w:jc w:val="both"/>
      </w:pPr>
      <w:r>
        <w:t>This report presents the scoping review that I proposed in my Component 1 research proposal, on the same topic. A scoping review was chosen because the aim is to map what recent research says about a broad topic, using peer-reviewed primary and secondary studies, rather than to test a single intervention. The review question is: what is known from recent peer-reviewed literature about the prevalence of burnout among UK health and social care staff, the factors that contribute to it, and its consequences for the workforce? The objectives are: first, to map the recent peer-reviewed evidence on burnout in this workforce; second, to identify the main contributing factors reported in the studies; and third, to describe the consequences of burnout for staff wellbeing, retention and quality of care. The report includes a background section on the UK context, the methods of the scoping review, the results with a summary table and thematic analysis of five selected studies, a discussion of the findings, and conclusions with recommendations for research, policy and practice.</w:t>
      </w:r>
    </w:p>
    <w:p w14:paraId="31AD46E2" w14:textId="77777777" w:rsidR="00CF7217" w:rsidRDefault="00000000">
      <w:pPr>
        <w:spacing w:before="240" w:after="120" w:line="360" w:lineRule="auto"/>
      </w:pPr>
      <w:r>
        <w:rPr>
          <w:b/>
          <w:bCs/>
          <w:sz w:val="24"/>
          <w:szCs w:val="24"/>
        </w:rPr>
        <w:t>2. Background</w:t>
      </w:r>
    </w:p>
    <w:p w14:paraId="5F850FAF" w14:textId="77777777" w:rsidR="00CF7217" w:rsidRDefault="00000000">
      <w:pPr>
        <w:spacing w:after="200" w:line="360" w:lineRule="auto"/>
        <w:jc w:val="both"/>
      </w:pPr>
      <w:r>
        <w:lastRenderedPageBreak/>
        <w:t>National data suggest that burnout and work-related stress are widespread in the NHS. In the 2024 NHS Staff Survey, just over 30% of staff said they often or always feel burnt out because of their work, and about 42% reported feeling unwell as a result of work-related stress in the last year (NHS England, 2025). Although the burnout figure was slightly lower than in previous years, it still means that almost one in three NHS workers regularly feels burnt out. The wider national picture is similar. The Health and Safety Executive (2025) estimates that 964,000 workers in Great Britain suffered from work-related stress, depression or anxiety in 2024/25, leading to around 22 million working days lost. Human health and social work is one of the three industries with the highest rates of work-related stress, clearly above the average for all industries, which the Health and Safety Executive (2025) links to the high levels of emotional demand and public contact involved in this kind of work. These figures show that the pressures on care staff are not only an internal NHS issue but part of a wider occupational health problem.</w:t>
      </w:r>
    </w:p>
    <w:p w14:paraId="0EB7A6A3" w14:textId="77777777" w:rsidR="00CF7217" w:rsidRDefault="00000000">
      <w:pPr>
        <w:spacing w:after="200" w:line="360" w:lineRule="auto"/>
        <w:jc w:val="both"/>
      </w:pPr>
      <w:r>
        <w:t>The COVID-19 pandemic made an already difficult situation worse. During the pandemic, staff faced redeployment into unfamiliar roles, fears about infection and protective equipment, higher death rates among the people they cared for, and long periods of working under emergency conditions (Health and Social Care Committee, 2021). Although the emergency phase has passed, services are still dealing with its after-effects, including waiting list backlogs and staff who carried heavy psychological loads through that period. This history is important for understanding the studies included in this review, several of which collected their data during the pandemic.</w:t>
      </w:r>
    </w:p>
    <w:p w14:paraId="36806A92" w14:textId="77777777" w:rsidR="00CF7217" w:rsidRDefault="00000000">
      <w:pPr>
        <w:spacing w:after="200" w:line="360" w:lineRule="auto"/>
        <w:jc w:val="both"/>
      </w:pPr>
      <w:r>
        <w:t>The situation in adult social care is also concerning, and in some ways more difficult than in the NHS. The sector had around 111,000 vacant posts in 2024/25, a vacancy rate of 7.0%, and a turnover rate of 23.1% among directly employed staff (Skills for Care, 2025). Social care workers are often paid less than similar roles in the NHS, and many work for a large number of small independent employers rather than one national organisation, which makes it harder to recruit and keep staff and harder to organise consistent wellbeing support (The King's Fund, 2025). The government has recently started to measure the work-related quality of life of the adult social care workforce through a national survey, which shows growing recognition of the problem (Department of Health and Social Care, 2025). The Care Quality Commission (2025) has also reported that ongoing workforce pressures continue to affect access to care and its quality in England. When staff leave because of burnout, the remaining staff face heavier workloads, which can create a cycle in which pressure produces vacancies and vacancies produce more pressure.</w:t>
      </w:r>
    </w:p>
    <w:p w14:paraId="77853515" w14:textId="77777777" w:rsidR="00CF7217" w:rsidRDefault="00000000">
      <w:pPr>
        <w:spacing w:after="200" w:line="360" w:lineRule="auto"/>
        <w:jc w:val="both"/>
      </w:pPr>
      <w:r>
        <w:lastRenderedPageBreak/>
        <w:t>Policy has begun to respond. The Health and Social Care Committee (2021) recommended better workforce planning and more support for staff wellbeing, and the NHS Long Term Workforce Plan set out actions to train more staff and improve retention in the NHS (NHS England, 2023). However, policy documents on their own do not explain what actually causes burnout on the ground or what protects staff from it. For that, research evidence is needed. Much of the published research focuses on the NHS, while social care staff have received less attention, even though their working conditions are often more precarious. This gap supports the rationale for a scoping review that looks at recent peer-reviewed evidence across both health and social care in the UK.</w:t>
      </w:r>
    </w:p>
    <w:p w14:paraId="4C5262DC" w14:textId="77777777" w:rsidR="00CF7217" w:rsidRDefault="00000000">
      <w:pPr>
        <w:spacing w:before="240" w:after="120" w:line="360" w:lineRule="auto"/>
      </w:pPr>
      <w:r>
        <w:rPr>
          <w:b/>
          <w:bCs/>
          <w:sz w:val="24"/>
          <w:szCs w:val="24"/>
        </w:rPr>
        <w:t>3. Methods</w:t>
      </w:r>
    </w:p>
    <w:p w14:paraId="0FA7720F" w14:textId="77777777" w:rsidR="00CF7217" w:rsidRDefault="00000000">
      <w:pPr>
        <w:spacing w:before="160" w:after="120" w:line="360" w:lineRule="auto"/>
      </w:pPr>
      <w:r>
        <w:rPr>
          <w:b/>
          <w:bCs/>
        </w:rPr>
        <w:t>3.1 Design</w:t>
      </w:r>
    </w:p>
    <w:p w14:paraId="25CF5EA6" w14:textId="77777777" w:rsidR="00CF7217" w:rsidRDefault="00000000">
      <w:pPr>
        <w:spacing w:after="200" w:line="360" w:lineRule="auto"/>
        <w:jc w:val="both"/>
      </w:pPr>
      <w:r>
        <w:t>This secondary research took the form of a scoping review of peer-reviewed primary and secondary studies. A scoping review is a suitable design when the aim is to map the available evidence on a broad topic rather than to answer a narrow question about the effect of one intervention (Munn et al., 2018). I followed the five-stage framework of Arksey and O'Malley (2005): identifying the research question; identifying relevant studies; selecting studies; charting the data; and collating, summarising and reporting the results. I also drew on the updated JBI methodological guidance for scoping reviews (Peters et al., 2020), and the reporting was guided by the PRISMA extension for scoping reviews, PRISMA-ScR (Tricco et al., 2018).</w:t>
      </w:r>
    </w:p>
    <w:p w14:paraId="1F6EDECC" w14:textId="77777777" w:rsidR="00CF7217" w:rsidRDefault="00000000">
      <w:pPr>
        <w:spacing w:before="160" w:after="120" w:line="360" w:lineRule="auto"/>
      </w:pPr>
      <w:r>
        <w:rPr>
          <w:b/>
          <w:bCs/>
        </w:rPr>
        <w:t>3.2 Data collection</w:t>
      </w:r>
    </w:p>
    <w:p w14:paraId="7B65FF70" w14:textId="77777777" w:rsidR="00CF7217" w:rsidRDefault="00000000">
      <w:pPr>
        <w:spacing w:after="200" w:line="360" w:lineRule="auto"/>
        <w:jc w:val="both"/>
      </w:pPr>
      <w:r>
        <w:t xml:space="preserve">Studies were identified through reliable academic databases, as recommended in the module guidance. I searched PubMed and, through the university library, the EBSCOhost platform, which includes CINAHL and PsycINFO. These databases were chosen because together they cover medical, nursing and allied health literature as well as psychological research, which fits a topic that sits across health, social care and staff mental health. Search terms combined words such as "burnout", "wellbeing", "stress", "NHS", "health staff", "social care staff", "workforce" and "United Kingdom", using the Boolean operators AND and OR. An example of a search combination used was: ("burnout" OR "wellbeing" OR "work-related stress") AND ("NHS" OR "health staff" OR "social care staff") AND ("UK" OR "United Kingdom"). Reference lists of relevant articles were also checked for further studies, which is a recognised part of the study identification stage (Arksey and O'Malley, 2005). To be included, a study had to be: a peer-reviewed primary or secondary research study published in an academic journal; published within the last five years; focused on staff working in health and/or social care in the </w:t>
      </w:r>
      <w:r>
        <w:lastRenderedPageBreak/>
        <w:t>UK; related to burnout or closely connected aspects of staff wellbeing; and written in English. Policy papers, guidance reports, editorials, commentaries and conference papers were excluded from the review itself, although documents of this type were used in the background section of this report. Studies about patients rather than staff, and studies from outside the UK, were also excluded. The five-year limit was chosen to keep the review focused on the current situation, in line with the module guidance that sources should be up to date. Titles and abstracts were screened first, then the full texts of potentially relevant articles were read against the inclusion criteria. From the full texts, five studies were selected for the review, which is within the range recommended in the assessment guidance. They were chosen because they matched the review question closely and together covered different settings (NHS and social care), different groups of staff (nurses, doctors, allied health professionals, social workers and care workers) and different research methods (quantitative, qualitative, mixed methods and a systematic review). Choosing a deliberately varied set of studies allowed the review to look at the topic from several angles rather than repeating the same type of evidence five times.</w:t>
      </w:r>
    </w:p>
    <w:p w14:paraId="130568E5" w14:textId="77777777" w:rsidR="00CF7217" w:rsidRDefault="00000000">
      <w:pPr>
        <w:spacing w:before="160" w:after="120" w:line="360" w:lineRule="auto"/>
      </w:pPr>
      <w:r>
        <w:rPr>
          <w:b/>
          <w:bCs/>
        </w:rPr>
        <w:t>3.3 Data analysis</w:t>
      </w:r>
    </w:p>
    <w:p w14:paraId="5195E0BF" w14:textId="77777777" w:rsidR="00CF7217" w:rsidRDefault="00000000">
      <w:pPr>
        <w:spacing w:after="200" w:line="360" w:lineRule="auto"/>
        <w:jc w:val="both"/>
      </w:pPr>
      <w:r>
        <w:t>Key details of each included study (author, year, setting, sample, design and methods, aim and key findings) were charted into a summary table, which is presented in the results section. The findings of the studies were then analysed using thematic analysis, following the six phases described by Braun and Clarke (2006): becoming familiar with the data, generating initial codes, searching for themes, reviewing themes, defining and naming themes, and producing the report. In practice, this meant reading each study several times, noting codes such as "workload", "rest breaks", "peer support", "coping style" and "moral injury", and then grouping related codes into broader themes that appeared across more than one study. This process produced four themes, which are described in the results. Thematic analysis was appropriate here because the included studies used different methods and different measures, so their findings could not be combined statistically; instead, the analysis focused on the patterns of meaning shared across them (Braun and Clarke, 2006).</w:t>
      </w:r>
    </w:p>
    <w:p w14:paraId="7DDBEB21" w14:textId="77777777" w:rsidR="00CF7217" w:rsidRDefault="00000000">
      <w:pPr>
        <w:spacing w:before="160" w:after="120" w:line="360" w:lineRule="auto"/>
      </w:pPr>
      <w:r>
        <w:rPr>
          <w:b/>
          <w:bCs/>
        </w:rPr>
        <w:t>3.4 Ethical considerations</w:t>
      </w:r>
    </w:p>
    <w:p w14:paraId="78D858D5" w14:textId="77777777" w:rsidR="00CF7217" w:rsidRDefault="00000000">
      <w:pPr>
        <w:spacing w:after="200" w:line="360" w:lineRule="auto"/>
        <w:jc w:val="both"/>
      </w:pPr>
      <w:r>
        <w:t>This was secondary research based only on published studies, so no human participants were involved and formal ethical approval from an NHS research ethics committee was not required. Ethical research practice was still important. I followed the University's research ethics policy, reported the findings of the included studies honestly and without misrepresentation, avoided plagiarism by citing and referencing all sources in the Harvard style, and selected studies that appeared to have received appropriate ethical approval for their original data collection.</w:t>
      </w:r>
    </w:p>
    <w:p w14:paraId="1ED4C95C" w14:textId="77777777" w:rsidR="00CF7217" w:rsidRDefault="00000000">
      <w:pPr>
        <w:spacing w:before="240" w:after="120" w:line="360" w:lineRule="auto"/>
      </w:pPr>
      <w:r>
        <w:rPr>
          <w:b/>
          <w:bCs/>
          <w:sz w:val="24"/>
          <w:szCs w:val="24"/>
        </w:rPr>
        <w:lastRenderedPageBreak/>
        <w:t>4. Results</w:t>
      </w:r>
    </w:p>
    <w:p w14:paraId="643D8A23" w14:textId="77777777" w:rsidR="00CF7217" w:rsidRDefault="00000000">
      <w:pPr>
        <w:spacing w:before="160" w:after="120" w:line="360" w:lineRule="auto"/>
      </w:pPr>
      <w:r>
        <w:rPr>
          <w:b/>
          <w:bCs/>
        </w:rPr>
        <w:t>4.1 Overview of included studies</w:t>
      </w:r>
    </w:p>
    <w:p w14:paraId="27E95801" w14:textId="77777777" w:rsidR="00CF7217" w:rsidRDefault="00000000">
      <w:pPr>
        <w:spacing w:after="200" w:line="360" w:lineRule="auto"/>
        <w:jc w:val="both"/>
      </w:pPr>
      <w:r>
        <w:t xml:space="preserve">Five peer-reviewed studies published between 2021 and 2025 were included: four primary studies and one secondary study. </w:t>
      </w:r>
      <w:proofErr w:type="spellStart"/>
      <w:r>
        <w:t>Gemine</w:t>
      </w:r>
      <w:proofErr w:type="spellEnd"/>
      <w:r>
        <w:t xml:space="preserve"> et al. (2021) carried out a cross-sectional mixed methods study of NHS staff in one health board in Wales during the first wave of the pandemic, measuring work-related burnout and exploring the factors connected to it. Aughterson et al. (2021) interviewed 25 frontline health and social care professionals from across the UK, including nurses, doctors, social workers and other roles, about the psychosocial impact of the pandemic on their wellbeing. McFadden et al. (2021) surveyed over 3,400 UK nurses, midwives, allied health professionals, social care workers and social workers about coping, wellbeing and work-related quality of life. Davies et al. (2025) surveyed the adult social care workforce in England after the emergency phase of the pandemic, measuring wellbeing, burnout and moral injury. Finally, Sideri et al. (2025) conducted a systematic review of the prevalence and risk factors of burnout among mental health professionals working in the NHS. Together these studies cover NHS and social care settings, a wide range of professional groups, and quantitative, qualitative and review evidence. Table 1 </w:t>
      </w:r>
      <w:proofErr w:type="spellStart"/>
      <w:r>
        <w:t>summarises</w:t>
      </w:r>
      <w:proofErr w:type="spellEnd"/>
      <w:r>
        <w:t xml:space="preserve"> the included studies.</w:t>
      </w:r>
    </w:p>
    <w:p w14:paraId="3DE1D86F" w14:textId="77777777" w:rsidR="00CF7217" w:rsidRDefault="00000000">
      <w:pPr>
        <w:spacing w:after="120" w:line="360" w:lineRule="auto"/>
      </w:pPr>
      <w:r>
        <w:rPr>
          <w:b/>
          <w:bCs/>
        </w:rPr>
        <w:t>Table 1: Summary of the studies included in the scoping review</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50"/>
        <w:gridCol w:w="1850"/>
        <w:gridCol w:w="1450"/>
        <w:gridCol w:w="1900"/>
        <w:gridCol w:w="2576"/>
      </w:tblGrid>
      <w:tr w:rsidR="00CF7217" w14:paraId="593443D5" w14:textId="77777777">
        <w:tc>
          <w:tcPr>
            <w:tcW w:w="1250" w:type="dxa"/>
            <w:shd w:val="clear" w:color="auto" w:fill="E8E8E8"/>
            <w:tcMar>
              <w:top w:w="60" w:type="dxa"/>
              <w:left w:w="80" w:type="dxa"/>
              <w:bottom w:w="60" w:type="dxa"/>
              <w:right w:w="80" w:type="dxa"/>
            </w:tcMar>
          </w:tcPr>
          <w:p w14:paraId="1C38EB66" w14:textId="77777777" w:rsidR="00CF7217" w:rsidRDefault="00000000">
            <w:r>
              <w:rPr>
                <w:b/>
                <w:bCs/>
                <w:sz w:val="19"/>
                <w:szCs w:val="19"/>
              </w:rPr>
              <w:t>Study</w:t>
            </w:r>
          </w:p>
        </w:tc>
        <w:tc>
          <w:tcPr>
            <w:tcW w:w="1850" w:type="dxa"/>
            <w:shd w:val="clear" w:color="auto" w:fill="E8E8E8"/>
            <w:tcMar>
              <w:top w:w="60" w:type="dxa"/>
              <w:left w:w="80" w:type="dxa"/>
              <w:bottom w:w="60" w:type="dxa"/>
              <w:right w:w="80" w:type="dxa"/>
            </w:tcMar>
          </w:tcPr>
          <w:p w14:paraId="4EAB700F" w14:textId="77777777" w:rsidR="00CF7217" w:rsidRDefault="00000000">
            <w:r>
              <w:rPr>
                <w:b/>
                <w:bCs/>
                <w:sz w:val="19"/>
                <w:szCs w:val="19"/>
              </w:rPr>
              <w:t>Setting and sample</w:t>
            </w:r>
          </w:p>
        </w:tc>
        <w:tc>
          <w:tcPr>
            <w:tcW w:w="1450" w:type="dxa"/>
            <w:shd w:val="clear" w:color="auto" w:fill="E8E8E8"/>
            <w:tcMar>
              <w:top w:w="60" w:type="dxa"/>
              <w:left w:w="80" w:type="dxa"/>
              <w:bottom w:w="60" w:type="dxa"/>
              <w:right w:w="80" w:type="dxa"/>
            </w:tcMar>
          </w:tcPr>
          <w:p w14:paraId="21F6DEA5" w14:textId="77777777" w:rsidR="00CF7217" w:rsidRDefault="00000000">
            <w:r>
              <w:rPr>
                <w:b/>
                <w:bCs/>
                <w:sz w:val="19"/>
                <w:szCs w:val="19"/>
              </w:rPr>
              <w:t>Design and methods</w:t>
            </w:r>
          </w:p>
        </w:tc>
        <w:tc>
          <w:tcPr>
            <w:tcW w:w="1900" w:type="dxa"/>
            <w:shd w:val="clear" w:color="auto" w:fill="E8E8E8"/>
            <w:tcMar>
              <w:top w:w="60" w:type="dxa"/>
              <w:left w:w="80" w:type="dxa"/>
              <w:bottom w:w="60" w:type="dxa"/>
              <w:right w:w="80" w:type="dxa"/>
            </w:tcMar>
          </w:tcPr>
          <w:p w14:paraId="16C828B3" w14:textId="77777777" w:rsidR="00CF7217" w:rsidRDefault="00000000">
            <w:r>
              <w:rPr>
                <w:b/>
                <w:bCs/>
                <w:sz w:val="19"/>
                <w:szCs w:val="19"/>
              </w:rPr>
              <w:t>Aim</w:t>
            </w:r>
          </w:p>
        </w:tc>
        <w:tc>
          <w:tcPr>
            <w:tcW w:w="2576" w:type="dxa"/>
            <w:shd w:val="clear" w:color="auto" w:fill="E8E8E8"/>
            <w:tcMar>
              <w:top w:w="60" w:type="dxa"/>
              <w:left w:w="80" w:type="dxa"/>
              <w:bottom w:w="60" w:type="dxa"/>
              <w:right w:w="80" w:type="dxa"/>
            </w:tcMar>
          </w:tcPr>
          <w:p w14:paraId="17CE1CD1" w14:textId="77777777" w:rsidR="00CF7217" w:rsidRDefault="00000000">
            <w:r>
              <w:rPr>
                <w:b/>
                <w:bCs/>
                <w:sz w:val="19"/>
                <w:szCs w:val="19"/>
              </w:rPr>
              <w:t>Key findings</w:t>
            </w:r>
          </w:p>
        </w:tc>
      </w:tr>
      <w:tr w:rsidR="00CF7217" w14:paraId="4E83314D" w14:textId="77777777">
        <w:tc>
          <w:tcPr>
            <w:tcW w:w="1250" w:type="dxa"/>
            <w:tcMar>
              <w:top w:w="60" w:type="dxa"/>
              <w:left w:w="80" w:type="dxa"/>
              <w:bottom w:w="60" w:type="dxa"/>
              <w:right w:w="80" w:type="dxa"/>
            </w:tcMar>
          </w:tcPr>
          <w:p w14:paraId="451B2E47" w14:textId="77777777" w:rsidR="00CF7217" w:rsidRDefault="00000000">
            <w:proofErr w:type="spellStart"/>
            <w:r>
              <w:rPr>
                <w:sz w:val="19"/>
                <w:szCs w:val="19"/>
              </w:rPr>
              <w:t>Gemine</w:t>
            </w:r>
            <w:proofErr w:type="spellEnd"/>
            <w:r>
              <w:rPr>
                <w:sz w:val="19"/>
                <w:szCs w:val="19"/>
              </w:rPr>
              <w:t xml:space="preserve"> et al. (2021)</w:t>
            </w:r>
          </w:p>
        </w:tc>
        <w:tc>
          <w:tcPr>
            <w:tcW w:w="1850" w:type="dxa"/>
            <w:tcMar>
              <w:top w:w="60" w:type="dxa"/>
              <w:left w:w="80" w:type="dxa"/>
              <w:bottom w:w="60" w:type="dxa"/>
              <w:right w:w="80" w:type="dxa"/>
            </w:tcMar>
          </w:tcPr>
          <w:p w14:paraId="3ECB22D9" w14:textId="77777777" w:rsidR="00CF7217" w:rsidRDefault="00000000">
            <w:r>
              <w:rPr>
                <w:sz w:val="19"/>
                <w:szCs w:val="19"/>
              </w:rPr>
              <w:t>NHS staff in one health board in Wales</w:t>
            </w:r>
          </w:p>
        </w:tc>
        <w:tc>
          <w:tcPr>
            <w:tcW w:w="1450" w:type="dxa"/>
            <w:tcMar>
              <w:top w:w="60" w:type="dxa"/>
              <w:left w:w="80" w:type="dxa"/>
              <w:bottom w:w="60" w:type="dxa"/>
              <w:right w:w="80" w:type="dxa"/>
            </w:tcMar>
          </w:tcPr>
          <w:p w14:paraId="1204BC7F" w14:textId="77777777" w:rsidR="00CF7217" w:rsidRDefault="00000000">
            <w:r>
              <w:rPr>
                <w:sz w:val="19"/>
                <w:szCs w:val="19"/>
              </w:rPr>
              <w:t>Cross-sectional mixed methods study</w:t>
            </w:r>
          </w:p>
        </w:tc>
        <w:tc>
          <w:tcPr>
            <w:tcW w:w="1900" w:type="dxa"/>
            <w:tcMar>
              <w:top w:w="60" w:type="dxa"/>
              <w:left w:w="80" w:type="dxa"/>
              <w:bottom w:w="60" w:type="dxa"/>
              <w:right w:w="80" w:type="dxa"/>
            </w:tcMar>
          </w:tcPr>
          <w:p w14:paraId="5AC0098F" w14:textId="77777777" w:rsidR="00CF7217" w:rsidRDefault="00000000">
            <w:r>
              <w:rPr>
                <w:sz w:val="19"/>
                <w:szCs w:val="19"/>
              </w:rPr>
              <w:t>To measure work-related burnout in NHS staff during COVID-19 and identify associated factors</w:t>
            </w:r>
          </w:p>
        </w:tc>
        <w:tc>
          <w:tcPr>
            <w:tcW w:w="2576" w:type="dxa"/>
            <w:tcMar>
              <w:top w:w="60" w:type="dxa"/>
              <w:left w:w="80" w:type="dxa"/>
              <w:bottom w:w="60" w:type="dxa"/>
              <w:right w:w="80" w:type="dxa"/>
            </w:tcMar>
          </w:tcPr>
          <w:p w14:paraId="143BA059" w14:textId="77777777" w:rsidR="00CF7217" w:rsidRDefault="00000000">
            <w:r>
              <w:rPr>
                <w:sz w:val="19"/>
                <w:szCs w:val="19"/>
              </w:rPr>
              <w:t>Burnout was common; not being able to take rest breaks, concerns about PPE and working in a COVID-19 role were linked with higher burnout.</w:t>
            </w:r>
          </w:p>
        </w:tc>
      </w:tr>
      <w:tr w:rsidR="00CF7217" w14:paraId="29405CE8" w14:textId="77777777">
        <w:tc>
          <w:tcPr>
            <w:tcW w:w="1250" w:type="dxa"/>
            <w:tcMar>
              <w:top w:w="60" w:type="dxa"/>
              <w:left w:w="80" w:type="dxa"/>
              <w:bottom w:w="60" w:type="dxa"/>
              <w:right w:w="80" w:type="dxa"/>
            </w:tcMar>
          </w:tcPr>
          <w:p w14:paraId="1A072EF1" w14:textId="77777777" w:rsidR="00CF7217" w:rsidRDefault="00000000">
            <w:r>
              <w:rPr>
                <w:sz w:val="19"/>
                <w:szCs w:val="19"/>
              </w:rPr>
              <w:t>Aughterson et al. (2021)</w:t>
            </w:r>
          </w:p>
        </w:tc>
        <w:tc>
          <w:tcPr>
            <w:tcW w:w="1850" w:type="dxa"/>
            <w:tcMar>
              <w:top w:w="60" w:type="dxa"/>
              <w:left w:w="80" w:type="dxa"/>
              <w:bottom w:w="60" w:type="dxa"/>
              <w:right w:w="80" w:type="dxa"/>
            </w:tcMar>
          </w:tcPr>
          <w:p w14:paraId="20A09078" w14:textId="77777777" w:rsidR="00CF7217" w:rsidRDefault="00000000">
            <w:r>
              <w:rPr>
                <w:sz w:val="19"/>
                <w:szCs w:val="19"/>
              </w:rPr>
              <w:t>25 frontline health and social care professionals across the UK</w:t>
            </w:r>
          </w:p>
        </w:tc>
        <w:tc>
          <w:tcPr>
            <w:tcW w:w="1450" w:type="dxa"/>
            <w:tcMar>
              <w:top w:w="60" w:type="dxa"/>
              <w:left w:w="80" w:type="dxa"/>
              <w:bottom w:w="60" w:type="dxa"/>
              <w:right w:w="80" w:type="dxa"/>
            </w:tcMar>
          </w:tcPr>
          <w:p w14:paraId="4AD318EB" w14:textId="77777777" w:rsidR="00CF7217" w:rsidRDefault="00000000">
            <w:r>
              <w:rPr>
                <w:sz w:val="19"/>
                <w:szCs w:val="19"/>
              </w:rPr>
              <w:t>Qualitative interview study</w:t>
            </w:r>
          </w:p>
        </w:tc>
        <w:tc>
          <w:tcPr>
            <w:tcW w:w="1900" w:type="dxa"/>
            <w:tcMar>
              <w:top w:w="60" w:type="dxa"/>
              <w:left w:w="80" w:type="dxa"/>
              <w:bottom w:w="60" w:type="dxa"/>
              <w:right w:w="80" w:type="dxa"/>
            </w:tcMar>
          </w:tcPr>
          <w:p w14:paraId="1F6FDA99" w14:textId="77777777" w:rsidR="00CF7217" w:rsidRDefault="00000000">
            <w:r>
              <w:rPr>
                <w:sz w:val="19"/>
                <w:szCs w:val="19"/>
              </w:rPr>
              <w:t>To explore the psychosocial impact of the pandemic on frontline staff</w:t>
            </w:r>
          </w:p>
        </w:tc>
        <w:tc>
          <w:tcPr>
            <w:tcW w:w="2576" w:type="dxa"/>
            <w:tcMar>
              <w:top w:w="60" w:type="dxa"/>
              <w:left w:w="80" w:type="dxa"/>
              <w:bottom w:w="60" w:type="dxa"/>
              <w:right w:w="80" w:type="dxa"/>
            </w:tcMar>
          </w:tcPr>
          <w:p w14:paraId="2121D04A" w14:textId="77777777" w:rsidR="00CF7217" w:rsidRDefault="00000000">
            <w:r>
              <w:rPr>
                <w:sz w:val="19"/>
                <w:szCs w:val="19"/>
              </w:rPr>
              <w:t>Staff described heavy workloads, emotional strain and communication challenges; peer and organisational support and coping strategies protected wellbeing; some staff also reported personal growth.</w:t>
            </w:r>
          </w:p>
        </w:tc>
      </w:tr>
      <w:tr w:rsidR="00CF7217" w14:paraId="1714207C" w14:textId="77777777">
        <w:tc>
          <w:tcPr>
            <w:tcW w:w="1250" w:type="dxa"/>
            <w:tcMar>
              <w:top w:w="60" w:type="dxa"/>
              <w:left w:w="80" w:type="dxa"/>
              <w:bottom w:w="60" w:type="dxa"/>
              <w:right w:w="80" w:type="dxa"/>
            </w:tcMar>
          </w:tcPr>
          <w:p w14:paraId="253908B3" w14:textId="77777777" w:rsidR="00CF7217" w:rsidRDefault="00000000">
            <w:r>
              <w:rPr>
                <w:sz w:val="19"/>
                <w:szCs w:val="19"/>
              </w:rPr>
              <w:t>McFadden et al. (2021)</w:t>
            </w:r>
          </w:p>
        </w:tc>
        <w:tc>
          <w:tcPr>
            <w:tcW w:w="1850" w:type="dxa"/>
            <w:tcMar>
              <w:top w:w="60" w:type="dxa"/>
              <w:left w:w="80" w:type="dxa"/>
              <w:bottom w:w="60" w:type="dxa"/>
              <w:right w:w="80" w:type="dxa"/>
            </w:tcMar>
          </w:tcPr>
          <w:p w14:paraId="180F7B65" w14:textId="77777777" w:rsidR="00CF7217" w:rsidRDefault="00000000">
            <w:r>
              <w:rPr>
                <w:sz w:val="19"/>
                <w:szCs w:val="19"/>
              </w:rPr>
              <w:t>Over 3,400 UK nurses, midwives, allied health professionals, social care workers and social workers</w:t>
            </w:r>
          </w:p>
        </w:tc>
        <w:tc>
          <w:tcPr>
            <w:tcW w:w="1450" w:type="dxa"/>
            <w:tcMar>
              <w:top w:w="60" w:type="dxa"/>
              <w:left w:w="80" w:type="dxa"/>
              <w:bottom w:w="60" w:type="dxa"/>
              <w:right w:w="80" w:type="dxa"/>
            </w:tcMar>
          </w:tcPr>
          <w:p w14:paraId="24FD864B" w14:textId="77777777" w:rsidR="00CF7217" w:rsidRDefault="00000000">
            <w:r>
              <w:rPr>
                <w:sz w:val="19"/>
                <w:szCs w:val="19"/>
              </w:rPr>
              <w:t>Cross-sectional online survey</w:t>
            </w:r>
          </w:p>
        </w:tc>
        <w:tc>
          <w:tcPr>
            <w:tcW w:w="1900" w:type="dxa"/>
            <w:tcMar>
              <w:top w:w="60" w:type="dxa"/>
              <w:left w:w="80" w:type="dxa"/>
              <w:bottom w:w="60" w:type="dxa"/>
              <w:right w:w="80" w:type="dxa"/>
            </w:tcMar>
          </w:tcPr>
          <w:p w14:paraId="2D15B25B" w14:textId="77777777" w:rsidR="00CF7217" w:rsidRDefault="00000000">
            <w:r>
              <w:rPr>
                <w:sz w:val="19"/>
                <w:szCs w:val="19"/>
              </w:rPr>
              <w:t>To examine the role of coping in staff wellbeing and work-related quality of life</w:t>
            </w:r>
          </w:p>
        </w:tc>
        <w:tc>
          <w:tcPr>
            <w:tcW w:w="2576" w:type="dxa"/>
            <w:tcMar>
              <w:top w:w="60" w:type="dxa"/>
              <w:left w:w="80" w:type="dxa"/>
              <w:bottom w:w="60" w:type="dxa"/>
              <w:right w:w="80" w:type="dxa"/>
            </w:tcMar>
          </w:tcPr>
          <w:p w14:paraId="34680EFF" w14:textId="77777777" w:rsidR="00CF7217" w:rsidRDefault="00000000">
            <w:r>
              <w:rPr>
                <w:sz w:val="19"/>
                <w:szCs w:val="19"/>
              </w:rPr>
              <w:t>Positive coping (active coping, seeking help) was linked with better wellbeing; avoidance coping was linked with worse wellbeing and lower quality of working life.</w:t>
            </w:r>
          </w:p>
        </w:tc>
      </w:tr>
      <w:tr w:rsidR="00CF7217" w14:paraId="7C8977D7" w14:textId="77777777">
        <w:tc>
          <w:tcPr>
            <w:tcW w:w="1250" w:type="dxa"/>
            <w:tcMar>
              <w:top w:w="60" w:type="dxa"/>
              <w:left w:w="80" w:type="dxa"/>
              <w:bottom w:w="60" w:type="dxa"/>
              <w:right w:w="80" w:type="dxa"/>
            </w:tcMar>
          </w:tcPr>
          <w:p w14:paraId="7A2EF256" w14:textId="77777777" w:rsidR="00CF7217" w:rsidRDefault="00000000">
            <w:r>
              <w:rPr>
                <w:sz w:val="19"/>
                <w:szCs w:val="19"/>
              </w:rPr>
              <w:t>Davies et al. (2025)</w:t>
            </w:r>
          </w:p>
        </w:tc>
        <w:tc>
          <w:tcPr>
            <w:tcW w:w="1850" w:type="dxa"/>
            <w:tcMar>
              <w:top w:w="60" w:type="dxa"/>
              <w:left w:w="80" w:type="dxa"/>
              <w:bottom w:w="60" w:type="dxa"/>
              <w:right w:w="80" w:type="dxa"/>
            </w:tcMar>
          </w:tcPr>
          <w:p w14:paraId="7613BD68" w14:textId="77777777" w:rsidR="00CF7217" w:rsidRDefault="00000000">
            <w:r>
              <w:rPr>
                <w:sz w:val="19"/>
                <w:szCs w:val="19"/>
              </w:rPr>
              <w:t>Adult social care workforce in England</w:t>
            </w:r>
          </w:p>
        </w:tc>
        <w:tc>
          <w:tcPr>
            <w:tcW w:w="1450" w:type="dxa"/>
            <w:tcMar>
              <w:top w:w="60" w:type="dxa"/>
              <w:left w:w="80" w:type="dxa"/>
              <w:bottom w:w="60" w:type="dxa"/>
              <w:right w:w="80" w:type="dxa"/>
            </w:tcMar>
          </w:tcPr>
          <w:p w14:paraId="6E563BD6" w14:textId="77777777" w:rsidR="00CF7217" w:rsidRDefault="00000000">
            <w:r>
              <w:rPr>
                <w:sz w:val="19"/>
                <w:szCs w:val="19"/>
              </w:rPr>
              <w:t>Survey study</w:t>
            </w:r>
          </w:p>
        </w:tc>
        <w:tc>
          <w:tcPr>
            <w:tcW w:w="1900" w:type="dxa"/>
            <w:tcMar>
              <w:top w:w="60" w:type="dxa"/>
              <w:left w:w="80" w:type="dxa"/>
              <w:bottom w:w="60" w:type="dxa"/>
              <w:right w:w="80" w:type="dxa"/>
            </w:tcMar>
          </w:tcPr>
          <w:p w14:paraId="7D4260B9" w14:textId="77777777" w:rsidR="00CF7217" w:rsidRDefault="00000000">
            <w:r>
              <w:rPr>
                <w:sz w:val="19"/>
                <w:szCs w:val="19"/>
              </w:rPr>
              <w:t xml:space="preserve">To measure wellbeing, burnout and moral injury in </w:t>
            </w:r>
            <w:r>
              <w:rPr>
                <w:sz w:val="19"/>
                <w:szCs w:val="19"/>
              </w:rPr>
              <w:lastRenderedPageBreak/>
              <w:t>the adult social care workforce</w:t>
            </w:r>
          </w:p>
        </w:tc>
        <w:tc>
          <w:tcPr>
            <w:tcW w:w="2576" w:type="dxa"/>
            <w:tcMar>
              <w:top w:w="60" w:type="dxa"/>
              <w:left w:w="80" w:type="dxa"/>
              <w:bottom w:w="60" w:type="dxa"/>
              <w:right w:w="80" w:type="dxa"/>
            </w:tcMar>
          </w:tcPr>
          <w:p w14:paraId="76858D45" w14:textId="77777777" w:rsidR="00CF7217" w:rsidRDefault="00000000">
            <w:r>
              <w:rPr>
                <w:sz w:val="19"/>
                <w:szCs w:val="19"/>
              </w:rPr>
              <w:lastRenderedPageBreak/>
              <w:t xml:space="preserve">Around a third of workers had likely burnout and another third were at risk; </w:t>
            </w:r>
            <w:r>
              <w:rPr>
                <w:sz w:val="19"/>
                <w:szCs w:val="19"/>
              </w:rPr>
              <w:lastRenderedPageBreak/>
              <w:t>feeling safe and well-resourced at work appeared protective; moral injury was also identified.</w:t>
            </w:r>
          </w:p>
        </w:tc>
      </w:tr>
      <w:tr w:rsidR="00CF7217" w14:paraId="1CED96E9" w14:textId="77777777">
        <w:tc>
          <w:tcPr>
            <w:tcW w:w="1250" w:type="dxa"/>
            <w:tcMar>
              <w:top w:w="60" w:type="dxa"/>
              <w:left w:w="80" w:type="dxa"/>
              <w:bottom w:w="60" w:type="dxa"/>
              <w:right w:w="80" w:type="dxa"/>
            </w:tcMar>
          </w:tcPr>
          <w:p w14:paraId="40C762F9" w14:textId="77777777" w:rsidR="00CF7217" w:rsidRDefault="00000000">
            <w:r>
              <w:rPr>
                <w:sz w:val="19"/>
                <w:szCs w:val="19"/>
              </w:rPr>
              <w:lastRenderedPageBreak/>
              <w:t>Sideri et al. (2025)</w:t>
            </w:r>
          </w:p>
        </w:tc>
        <w:tc>
          <w:tcPr>
            <w:tcW w:w="1850" w:type="dxa"/>
            <w:tcMar>
              <w:top w:w="60" w:type="dxa"/>
              <w:left w:w="80" w:type="dxa"/>
              <w:bottom w:w="60" w:type="dxa"/>
              <w:right w:w="80" w:type="dxa"/>
            </w:tcMar>
          </w:tcPr>
          <w:p w14:paraId="3C2CCBA4" w14:textId="77777777" w:rsidR="00CF7217" w:rsidRDefault="00000000">
            <w:r>
              <w:rPr>
                <w:sz w:val="19"/>
                <w:szCs w:val="19"/>
              </w:rPr>
              <w:t>NHS mental health professionals (review of published studies)</w:t>
            </w:r>
          </w:p>
        </w:tc>
        <w:tc>
          <w:tcPr>
            <w:tcW w:w="1450" w:type="dxa"/>
            <w:tcMar>
              <w:top w:w="60" w:type="dxa"/>
              <w:left w:w="80" w:type="dxa"/>
              <w:bottom w:w="60" w:type="dxa"/>
              <w:right w:w="80" w:type="dxa"/>
            </w:tcMar>
          </w:tcPr>
          <w:p w14:paraId="1D8D1C9C" w14:textId="77777777" w:rsidR="00CF7217" w:rsidRDefault="00000000">
            <w:r>
              <w:rPr>
                <w:sz w:val="19"/>
                <w:szCs w:val="19"/>
              </w:rPr>
              <w:t>Systematic review</w:t>
            </w:r>
          </w:p>
        </w:tc>
        <w:tc>
          <w:tcPr>
            <w:tcW w:w="1900" w:type="dxa"/>
            <w:tcMar>
              <w:top w:w="60" w:type="dxa"/>
              <w:left w:w="80" w:type="dxa"/>
              <w:bottom w:w="60" w:type="dxa"/>
              <w:right w:w="80" w:type="dxa"/>
            </w:tcMar>
          </w:tcPr>
          <w:p w14:paraId="498F51D5" w14:textId="77777777" w:rsidR="00CF7217" w:rsidRDefault="00000000">
            <w:r>
              <w:rPr>
                <w:sz w:val="19"/>
                <w:szCs w:val="19"/>
              </w:rPr>
              <w:t>To assess the prevalence and risk factors of burnout among NHS mental health professionals</w:t>
            </w:r>
          </w:p>
        </w:tc>
        <w:tc>
          <w:tcPr>
            <w:tcW w:w="2576" w:type="dxa"/>
            <w:tcMar>
              <w:top w:w="60" w:type="dxa"/>
              <w:left w:w="80" w:type="dxa"/>
              <w:bottom w:w="60" w:type="dxa"/>
              <w:right w:w="80" w:type="dxa"/>
            </w:tcMar>
          </w:tcPr>
          <w:p w14:paraId="1A4324F5" w14:textId="77777777" w:rsidR="00CF7217" w:rsidRDefault="00000000">
            <w:r>
              <w:rPr>
                <w:sz w:val="19"/>
                <w:szCs w:val="19"/>
              </w:rPr>
              <w:t>Burnout levels were high; organisational factors, especially heavy workload and limited support, were the main risk factors.</w:t>
            </w:r>
          </w:p>
        </w:tc>
      </w:tr>
    </w:tbl>
    <w:p w14:paraId="61C31C32" w14:textId="77777777" w:rsidR="00CF7217" w:rsidRDefault="00CF7217">
      <w:pPr>
        <w:spacing w:after="200"/>
      </w:pPr>
    </w:p>
    <w:p w14:paraId="151D82CF" w14:textId="77777777" w:rsidR="00CF7217" w:rsidRDefault="00000000">
      <w:pPr>
        <w:spacing w:before="160" w:after="120" w:line="360" w:lineRule="auto"/>
      </w:pPr>
      <w:r>
        <w:rPr>
          <w:b/>
          <w:bCs/>
        </w:rPr>
        <w:t>4.2 Theme 1: Burnout and poor wellbeing are common across the workforce</w:t>
      </w:r>
    </w:p>
    <w:p w14:paraId="282FEE1B" w14:textId="16E47220" w:rsidR="00CF7217" w:rsidRDefault="00000000">
      <w:pPr>
        <w:spacing w:after="200" w:line="360" w:lineRule="auto"/>
        <w:jc w:val="both"/>
      </w:pPr>
      <w:r>
        <w:t xml:space="preserve">All five studies suggest that burnout and related problems are common. </w:t>
      </w:r>
      <w:proofErr w:type="spellStart"/>
      <w:r>
        <w:t>Gemine</w:t>
      </w:r>
      <w:proofErr w:type="spellEnd"/>
      <w:r>
        <w:t xml:space="preserve"> et al. (2021) found that work-related burnout was widespread among NHS staff in Wales during the first wave of the pandemic. In adult social care, Davies et al. (2025) found that around a third of the workforce in England </w:t>
      </w:r>
      <w:r w:rsidR="006F3F17">
        <w:t>were</w:t>
      </w:r>
      <w:r>
        <w:t xml:space="preserve"> likely </w:t>
      </w:r>
      <w:r w:rsidR="006F3F17">
        <w:t xml:space="preserve">to be experiencing </w:t>
      </w:r>
      <w:r>
        <w:t>burnout, with another third at risk of it. The systematic review by Sideri et al. (2025) reported high levels of burnout among NHS mental health professionals across the studies they reviewed. The qualitative and survey evidence points in the same direction, with staff describing exhaustion and emotional strain (Aughterson et al., 2021) and reduced wellbeing and quality of working life (McFadden et al., 2021). It should be noted that the studies measured burnout in different ways, using different questionnaires and definitions, so their exact figures cannot be compared directly; however, the overall direction of the evidence is consistent across settings and methods.</w:t>
      </w:r>
    </w:p>
    <w:p w14:paraId="51CE5068" w14:textId="77777777" w:rsidR="00CF7217" w:rsidRDefault="00000000">
      <w:pPr>
        <w:spacing w:before="160" w:after="120" w:line="360" w:lineRule="auto"/>
      </w:pPr>
      <w:r>
        <w:rPr>
          <w:b/>
          <w:bCs/>
        </w:rPr>
        <w:t>4.3 Theme 2: Work and organisational factors are the main drivers</w:t>
      </w:r>
    </w:p>
    <w:p w14:paraId="72EF945F" w14:textId="3E288DAE" w:rsidR="00CF7217" w:rsidRDefault="00000000">
      <w:pPr>
        <w:spacing w:after="200" w:line="360" w:lineRule="auto"/>
        <w:jc w:val="both"/>
      </w:pPr>
      <w:r>
        <w:t xml:space="preserve">The studies consistently link burnout to the way work is </w:t>
      </w:r>
      <w:proofErr w:type="spellStart"/>
      <w:r>
        <w:t>organised</w:t>
      </w:r>
      <w:proofErr w:type="spellEnd"/>
      <w:r>
        <w:t xml:space="preserve"> rather than to weaknesses in individual staff. </w:t>
      </w:r>
      <w:proofErr w:type="spellStart"/>
      <w:r>
        <w:t>Gemine</w:t>
      </w:r>
      <w:proofErr w:type="spellEnd"/>
      <w:r>
        <w:t xml:space="preserve"> et al. (2021) found that being </w:t>
      </w:r>
      <w:r w:rsidR="00DD5CCB">
        <w:t>unable</w:t>
      </w:r>
      <w:r>
        <w:t xml:space="preserve"> to take rest breaks, concerns about personal protective equipment</w:t>
      </w:r>
      <w:r w:rsidR="00B35112">
        <w:t>,</w:t>
      </w:r>
      <w:r>
        <w:t xml:space="preserve"> and working in a COVID-19 role were associated with higher burnout. Sideri et al. (2025) identified organisational factors, especially heavy workload and limited support, as the main risk factors for burnout in mental health services. Participants in Aughterson et al. (2021) described heavy workloads, fast-changing guidance and communication difficulties as major sources of stress. Davies et al. (2025) similarly found that workers who felt less safe and less well-resourced at work reported worse outcomes, which suggests that the working environment plays a central role.</w:t>
      </w:r>
    </w:p>
    <w:p w14:paraId="6C1C049C" w14:textId="77777777" w:rsidR="00CF7217" w:rsidRDefault="00000000">
      <w:pPr>
        <w:spacing w:before="160" w:after="120" w:line="360" w:lineRule="auto"/>
      </w:pPr>
      <w:r>
        <w:rPr>
          <w:b/>
          <w:bCs/>
        </w:rPr>
        <w:t>4.4 Theme 3: Support and positive coping protect staff wellbeing</w:t>
      </w:r>
    </w:p>
    <w:p w14:paraId="09E9B782" w14:textId="77777777" w:rsidR="00CF7217" w:rsidRDefault="00000000">
      <w:pPr>
        <w:spacing w:after="200" w:line="360" w:lineRule="auto"/>
        <w:jc w:val="both"/>
      </w:pPr>
      <w:r>
        <w:t xml:space="preserve">The third theme concerns what helps. McFadden et al. (2021) found that positive coping strategies, such as active coping and seeking help from others, were associated with better wellbeing and work-related quality of life, while avoidance coping was associated with worse outcomes. Aughterson et al. (2021) found that support from colleagues, managers and the wider organisation protected staff wellbeing, and many participants relied on peer support to </w:t>
      </w:r>
      <w:r>
        <w:lastRenderedPageBreak/>
        <w:t>get through difficult periods. Davies et al. (2025) found that satisfaction with safety measures and having enough resources appeared to protect against burnout. These findings suggest that both organisational support and personal coping styles influence how work pressures translate into burnout.</w:t>
      </w:r>
    </w:p>
    <w:p w14:paraId="663199D1" w14:textId="77777777" w:rsidR="00CF7217" w:rsidRDefault="00000000">
      <w:pPr>
        <w:spacing w:before="160" w:after="120" w:line="360" w:lineRule="auto"/>
      </w:pPr>
      <w:r>
        <w:rPr>
          <w:b/>
          <w:bCs/>
        </w:rPr>
        <w:t>4.5 Theme 4: Burnout has serious consequences, but some staff also report growth</w:t>
      </w:r>
    </w:p>
    <w:p w14:paraId="17E6CB7B" w14:textId="77777777" w:rsidR="00CF7217" w:rsidRDefault="00000000">
      <w:pPr>
        <w:spacing w:after="200" w:line="360" w:lineRule="auto"/>
        <w:jc w:val="both"/>
      </w:pPr>
      <w:r>
        <w:t>The included studies connect burnout with serious consequences for individuals and services. Davies et al. (2025) measured moral injury alongside burnout, showing that many social care staff carried psychological harm from working through the pandemic. Sideri et al. (2025) argue that high burnout in mental health services threatens workforce sustainability, which matters for retention and continuity of care. Burnout was also connected with staff thinking about leaving their roles, which links the individual experience of exhaustion to the vacancy and turnover problems described in the background section. At the same time, the evidence is not entirely negative: some participants in Aughterson et al. (2021) also described personal growth, such as a stronger sense of purpose and closer team relationships, developed through facing difficult experiences together. This suggests that even under extreme pressure, meaningful work and strong teams can support staff, although this should not be used as a reason to leave the underlying pressures unaddressed.</w:t>
      </w:r>
    </w:p>
    <w:p w14:paraId="0C18FE63" w14:textId="77777777" w:rsidR="00CF7217" w:rsidRDefault="00000000">
      <w:pPr>
        <w:spacing w:before="240" w:after="120" w:line="360" w:lineRule="auto"/>
      </w:pPr>
      <w:r>
        <w:rPr>
          <w:b/>
          <w:bCs/>
          <w:sz w:val="24"/>
          <w:szCs w:val="24"/>
        </w:rPr>
        <w:t>5. Discussion</w:t>
      </w:r>
    </w:p>
    <w:p w14:paraId="35E3C121" w14:textId="77777777" w:rsidR="00CF7217" w:rsidRDefault="00000000">
      <w:pPr>
        <w:spacing w:after="200" w:line="360" w:lineRule="auto"/>
        <w:jc w:val="both"/>
      </w:pPr>
      <w:r>
        <w:t>The findings of this scoping review answer the review question in three parts. On prevalence, recent peer-reviewed evidence suggests that burnout affects a large minority, and in some groups around a third, of UK health and social care staff (</w:t>
      </w:r>
      <w:proofErr w:type="spellStart"/>
      <w:r>
        <w:t>Gemine</w:t>
      </w:r>
      <w:proofErr w:type="spellEnd"/>
      <w:r>
        <w:t xml:space="preserve"> et al., 2021; Davies et al., 2025; Sideri et al., 2025). On contributing factors, the strongest and most consistent finding is that organisational conditions, such as workload, staffing, rest breaks, resources and support, drive burnout more than individual weakness does. On consequences, burnout is linked with psychological harm, threats to retention and risks to the quality and continuity of care.</w:t>
      </w:r>
    </w:p>
    <w:p w14:paraId="7D74EC6C" w14:textId="77777777" w:rsidR="00CF7217" w:rsidRDefault="00000000">
      <w:pPr>
        <w:spacing w:after="200" w:line="360" w:lineRule="auto"/>
        <w:jc w:val="both"/>
      </w:pPr>
      <w:r>
        <w:t xml:space="preserve">These findings fit well with the wider national picture described in the background. The survey data showing that around 30% of NHS staff regularly feel burnt out (NHS England, 2025) match the levels reported in the included studies, and the high vacancy and turnover rates in social care (Skills for Care, 2025) are consistent with a workforce under strain. This agreement between national statistics and peer-reviewed studies strengthens the overall picture. The finding that organisational factors are the main drivers is important for practice, because it suggests that interventions aimed only at individual resilience, such as wellbeing apps or one-off stress management sessions, are unlikely to solve the problem if workload and staffing are not addressed. This point was also made by the Health and Social Care Committee (2021), </w:t>
      </w:r>
      <w:r>
        <w:lastRenderedPageBreak/>
        <w:t xml:space="preserve">which </w:t>
      </w:r>
      <w:proofErr w:type="spellStart"/>
      <w:r>
        <w:t>criticised</w:t>
      </w:r>
      <w:proofErr w:type="spellEnd"/>
      <w:r>
        <w:t xml:space="preserve"> the tendency to treat burnout as an individual failing rather than a consequence of how services are staffed and </w:t>
      </w:r>
      <w:proofErr w:type="spellStart"/>
      <w:r>
        <w:t>organised</w:t>
      </w:r>
      <w:proofErr w:type="spellEnd"/>
      <w:r>
        <w:t>.</w:t>
      </w:r>
    </w:p>
    <w:p w14:paraId="099ED87C" w14:textId="7E8D157A" w:rsidR="00CF7217" w:rsidRDefault="00000000">
      <w:pPr>
        <w:spacing w:after="200" w:line="360" w:lineRule="auto"/>
        <w:jc w:val="both"/>
      </w:pPr>
      <w:r>
        <w:t xml:space="preserve">The findings on support and coping have practical value as well. If peer support, supportive management and positive coping protect wellbeing (Aughterson et al., 2021; McFadden et al., 2021), then employers can act on this now, even while the larger workforce problems are being addressed. Regular supervision, team reflection time, encouraging staff to seek help early, and training managers to recognise the signs of burnout are all realistic steps that follow directly from the reviewed evidence. The WHO definition discussed in the introduction also supports this reading: if burnout results from workplace stress that has "not been successfully managed" (World Health </w:t>
      </w:r>
      <w:r w:rsidR="00DD5CCB">
        <w:t>Organisation</w:t>
      </w:r>
      <w:r>
        <w:t>, 2019), then the management of that stress is an organisational duty, not only a personal one.</w:t>
      </w:r>
    </w:p>
    <w:p w14:paraId="2DE3BA3B" w14:textId="77777777" w:rsidR="00CF7217" w:rsidRDefault="00000000">
      <w:pPr>
        <w:spacing w:after="200" w:line="360" w:lineRule="auto"/>
        <w:jc w:val="both"/>
      </w:pPr>
      <w:r>
        <w:t>It is also worth reflecting on the difference between the two sectors. The NHS has national surveys, a national workforce plan and central wellbeing programmes, while social care is fragmented across many employers with fewer resources (The King's Fund, 2025). Yet the social care study in this review (Davies et al., 2025) found levels of burnout at least as concerning as those in NHS settings. This imbalance between where the evidence and support are concentrated and where the need exists is one of the clearest messages of this review.</w:t>
      </w:r>
    </w:p>
    <w:p w14:paraId="146C3138" w14:textId="77777777" w:rsidR="00CF7217" w:rsidRDefault="00000000">
      <w:pPr>
        <w:spacing w:after="200" w:line="360" w:lineRule="auto"/>
        <w:jc w:val="both"/>
      </w:pPr>
      <w:r>
        <w:t>The review has strengths. It followed an established framework (Arksey and O'Malley, 2005) and recent methodological guidance (Peters et al., 2020), and it included different types of evidence, from a large multi-professional survey to in-depth qualitative interviews, across both health and social care. This variety allows a fuller picture than any single study could give.</w:t>
      </w:r>
    </w:p>
    <w:p w14:paraId="15A8E546" w14:textId="1D54D4A1" w:rsidR="00CF7217" w:rsidRDefault="00122A3A">
      <w:pPr>
        <w:spacing w:after="200" w:line="360" w:lineRule="auto"/>
        <w:jc w:val="both"/>
      </w:pPr>
      <w:r>
        <w:t>Some limitations should be acknowledged. Only five studies were reviewed, so the review is a map of key evidence rather than a complete picture. Three of the five studies collected their data during the COVID-19 pandemic, which was an exceptional period, so their findings may overstate current levels of burnout, although the 2024 staff survey data suggest the problem has continued (NHS England, 2025). In line with scoping review methodology, the quality of the included studies was not formally appraised (Munn et al., 2018), so weaker and stronger studies are treated equally. The studies also measured burnout in different ways, which makes direct comparison difficult. Finally, the screening and selection were carried out by one student researcher, which increases the risk of selection bias, and the small number of social care studies means the evidence base for that sector remains thinner than for the NHS. These limitations reflect the limits of my knowledge claims: the review can describe what the recent literature reports, but it cannot prove causes or measure exact national prevalence.</w:t>
      </w:r>
    </w:p>
    <w:p w14:paraId="0B705D30" w14:textId="77777777" w:rsidR="00CF7217" w:rsidRDefault="00000000">
      <w:pPr>
        <w:spacing w:before="240" w:after="120" w:line="360" w:lineRule="auto"/>
      </w:pPr>
      <w:r>
        <w:rPr>
          <w:b/>
          <w:bCs/>
          <w:sz w:val="24"/>
          <w:szCs w:val="24"/>
        </w:rPr>
        <w:lastRenderedPageBreak/>
        <w:t>6. Conclusion and Recommendations</w:t>
      </w:r>
    </w:p>
    <w:p w14:paraId="70B3BB19" w14:textId="77777777" w:rsidR="00CF7217" w:rsidRDefault="00000000">
      <w:pPr>
        <w:spacing w:after="200" w:line="360" w:lineRule="auto"/>
        <w:jc w:val="both"/>
      </w:pPr>
      <w:r>
        <w:t>This scoping review set out to examine what recent peer-reviewed literature says about burnout among UK health and social care staff. The evidence reviewed shows that burnout is common across the workforce, that it is driven mainly by organisational factors such as workload, staffing and lack of support, and that support from colleagues and managers, together with positive coping, helps protect staff. The consequences of burnout reach beyond individual staff members to retention and the quality of care, which makes this a whole-system problem rather than a personal one.</w:t>
      </w:r>
    </w:p>
    <w:p w14:paraId="3A1DA4EB" w14:textId="77777777" w:rsidR="00CF7217" w:rsidRDefault="00000000">
      <w:pPr>
        <w:spacing w:after="200" w:line="360" w:lineRule="auto"/>
        <w:jc w:val="both"/>
      </w:pPr>
      <w:r>
        <w:t>Based on these findings, I would make the following recommendations. For future research, more post-pandemic studies are needed to show whether burnout levels have changed since 2020-21, and social care staff deserve more research attention, ideally using consistent measures of burnout so results can be compared over time. For policy, workforce plans such as the NHS Long Term Workforce Plan (NHS England, 2023) should include clear, measurable commitments on staff wellbeing, and the pay and conditions gap between social care and the NHS should be addressed, as it contributes to turnover (The King's Fund, 2025; Skills for Care, 2025). For UK practice, employers in health and social care should focus on the organisational basics that the reviewed studies highlight: realistic workloads, protected rest breaks, adequate resources, visible and supportive management, and structured peer support. Individual-level support such as counselling and occupational health still has a place, but it should sit on top of decent working conditions rather than replace them.</w:t>
      </w:r>
    </w:p>
    <w:p w14:paraId="1E4CA882" w14:textId="77777777" w:rsidR="00CF7217" w:rsidRDefault="00000000">
      <w:pPr>
        <w:spacing w:after="200" w:line="360" w:lineRule="auto"/>
        <w:jc w:val="both"/>
      </w:pPr>
      <w:r>
        <w:t xml:space="preserve">This review has clear limits, as only five studies were examined by a single student researcher, so its conclusions should be read as a map of the recent evidence rather than the final word. Even so, the direction of that evidence is consistent and difficult to ignore. Burnout in the UK health and social care workforce is common, understandable and, most importantly, changeable, because the factors that drive it are features of how work is </w:t>
      </w:r>
      <w:proofErr w:type="spellStart"/>
      <w:r>
        <w:t>organised</w:t>
      </w:r>
      <w:proofErr w:type="spellEnd"/>
      <w:r>
        <w:t>. Taking these steps would protect staff, and through them, the people who rely on their care.</w:t>
      </w:r>
    </w:p>
    <w:p w14:paraId="7DE95498" w14:textId="77777777" w:rsidR="00CF7217" w:rsidRDefault="00000000">
      <w:r>
        <w:br w:type="page"/>
      </w:r>
    </w:p>
    <w:p w14:paraId="7B5F5575" w14:textId="77777777" w:rsidR="00CF7217" w:rsidRDefault="00000000">
      <w:pPr>
        <w:spacing w:before="240" w:after="120" w:line="360" w:lineRule="auto"/>
      </w:pPr>
      <w:r>
        <w:rPr>
          <w:b/>
          <w:bCs/>
          <w:sz w:val="24"/>
          <w:szCs w:val="24"/>
        </w:rPr>
        <w:lastRenderedPageBreak/>
        <w:t>References</w:t>
      </w:r>
    </w:p>
    <w:p w14:paraId="135E6EA8" w14:textId="77777777" w:rsidR="00CF7217" w:rsidRDefault="00000000">
      <w:pPr>
        <w:spacing w:after="200" w:line="360" w:lineRule="auto"/>
      </w:pPr>
      <w:r>
        <w:t xml:space="preserve">Arksey, H. and O'Malley, L. (2005) 'Scoping studies: towards a methodological framework', </w:t>
      </w:r>
      <w:r>
        <w:rPr>
          <w:i/>
          <w:iCs/>
        </w:rPr>
        <w:t>International Journal of Social Research Methodology</w:t>
      </w:r>
      <w:r>
        <w:t>, 8(1), pp. 19–32.</w:t>
      </w:r>
    </w:p>
    <w:p w14:paraId="28C7CDF8" w14:textId="77777777" w:rsidR="00CF7217" w:rsidRDefault="00000000">
      <w:pPr>
        <w:spacing w:after="200" w:line="360" w:lineRule="auto"/>
      </w:pPr>
      <w:r>
        <w:t xml:space="preserve">Aughterson, H., McKinlay, A.R., </w:t>
      </w:r>
      <w:proofErr w:type="spellStart"/>
      <w:r>
        <w:t>Fancourt</w:t>
      </w:r>
      <w:proofErr w:type="spellEnd"/>
      <w:r>
        <w:t xml:space="preserve">, D. and Burton, A. (2021) 'Psychosocial impact on frontline health and social care professionals in the UK during the COVID-19 pandemic: a qualitative interview study', </w:t>
      </w:r>
      <w:r>
        <w:rPr>
          <w:i/>
          <w:iCs/>
        </w:rPr>
        <w:t>BMJ Open</w:t>
      </w:r>
      <w:r>
        <w:t>, 11(2), e047353.</w:t>
      </w:r>
    </w:p>
    <w:p w14:paraId="143559A5" w14:textId="77777777" w:rsidR="00CF7217" w:rsidRDefault="00000000">
      <w:pPr>
        <w:spacing w:after="200" w:line="360" w:lineRule="auto"/>
      </w:pPr>
      <w:r>
        <w:t xml:space="preserve">Braun, V. and Clarke, V. (2006) 'Using thematic analysis in psychology', </w:t>
      </w:r>
      <w:r>
        <w:rPr>
          <w:i/>
          <w:iCs/>
        </w:rPr>
        <w:t>Qualitative Research in Psychology</w:t>
      </w:r>
      <w:r>
        <w:t>, 3(2), pp. 77–101.</w:t>
      </w:r>
    </w:p>
    <w:p w14:paraId="5DBCCB68" w14:textId="77777777" w:rsidR="00CF7217" w:rsidRDefault="00000000">
      <w:pPr>
        <w:spacing w:after="200" w:line="360" w:lineRule="auto"/>
      </w:pPr>
      <w:r>
        <w:t xml:space="preserve">Care Quality Commission (2025) </w:t>
      </w:r>
      <w:r>
        <w:rPr>
          <w:i/>
          <w:iCs/>
        </w:rPr>
        <w:t>The state of health care and adult social care in England 2024/25</w:t>
      </w:r>
      <w:r>
        <w:t>. HC 1367. London: CQC. Available at: https://www.cqc.org.uk/publications/major-report/state-care/2024-2025 (Accessed: 27 July 2026).</w:t>
      </w:r>
    </w:p>
    <w:p w14:paraId="2ED44506" w14:textId="77777777" w:rsidR="00CF7217" w:rsidRDefault="00000000">
      <w:pPr>
        <w:spacing w:after="200" w:line="360" w:lineRule="auto"/>
      </w:pPr>
      <w:r>
        <w:t xml:space="preserve">Davies, S. et al. (2025) '“Living with Covid”: well-being, burnout, and moral injury in England's adult social care workforce – a survey study', </w:t>
      </w:r>
      <w:r>
        <w:rPr>
          <w:i/>
          <w:iCs/>
        </w:rPr>
        <w:t>Journal of Long-Term Care</w:t>
      </w:r>
      <w:r>
        <w:t>, 2025, pp. 168–181.</w:t>
      </w:r>
    </w:p>
    <w:p w14:paraId="2068D4C4" w14:textId="77777777" w:rsidR="00CF7217" w:rsidRDefault="00000000">
      <w:pPr>
        <w:spacing w:after="200" w:line="360" w:lineRule="auto"/>
      </w:pPr>
      <w:r>
        <w:t xml:space="preserve">Department of Health and Social Care (2025) </w:t>
      </w:r>
      <w:r>
        <w:rPr>
          <w:i/>
          <w:iCs/>
        </w:rPr>
        <w:t>The adult social care workforce and their work-related quality of life: survey main findings</w:t>
      </w:r>
      <w:r>
        <w:t>. London: Department of Health and Social Care. Available at: https://www.gov.uk/government/publications (Accessed: 27 July 2026).</w:t>
      </w:r>
    </w:p>
    <w:p w14:paraId="70B73805" w14:textId="77777777" w:rsidR="00CF7217" w:rsidRDefault="00000000">
      <w:pPr>
        <w:spacing w:after="200" w:line="360" w:lineRule="auto"/>
      </w:pPr>
      <w:proofErr w:type="spellStart"/>
      <w:r>
        <w:t>Gemine</w:t>
      </w:r>
      <w:proofErr w:type="spellEnd"/>
      <w:r>
        <w:t xml:space="preserve">, R., Davies, G.R., Tarrant, S., Davies, R.M., James, M. and Lewis, K. (2021) 'Factors associated with work-related burnout in NHS staff during COVID-19: a cross-sectional mixed methods study', </w:t>
      </w:r>
      <w:r>
        <w:rPr>
          <w:i/>
          <w:iCs/>
        </w:rPr>
        <w:t>BMJ Open</w:t>
      </w:r>
      <w:r>
        <w:t>, 11(1), e042591.</w:t>
      </w:r>
    </w:p>
    <w:p w14:paraId="3FED0955" w14:textId="77777777" w:rsidR="00CF7217" w:rsidRDefault="00000000">
      <w:pPr>
        <w:spacing w:after="200" w:line="360" w:lineRule="auto"/>
      </w:pPr>
      <w:r>
        <w:t xml:space="preserve">Health and Safety Executive (2025) </w:t>
      </w:r>
      <w:r>
        <w:rPr>
          <w:i/>
          <w:iCs/>
        </w:rPr>
        <w:t>Work-related stress, depression or anxiety statistics in Great Britain, 2025</w:t>
      </w:r>
      <w:r>
        <w:t>. Available at: https://www.hse.gov.uk/statistics/assets/docs/stress.pdf (Accessed: 27 July 2026).</w:t>
      </w:r>
    </w:p>
    <w:p w14:paraId="038BE2EA" w14:textId="77777777" w:rsidR="00CF7217" w:rsidRDefault="00000000">
      <w:pPr>
        <w:spacing w:after="200" w:line="360" w:lineRule="auto"/>
      </w:pPr>
      <w:r>
        <w:t xml:space="preserve">Health and Social Care Committee (2021) </w:t>
      </w:r>
      <w:r>
        <w:rPr>
          <w:i/>
          <w:iCs/>
        </w:rPr>
        <w:t>Workforce burnout and resilience in the NHS and social care. Second Report of Session 2021–22</w:t>
      </w:r>
      <w:r>
        <w:t>, HC 22. London: House of Commons. Available at: https://committees.parliament.uk/publications/6158/documents/68766/default/ (Accessed: 27 July 2026).</w:t>
      </w:r>
    </w:p>
    <w:p w14:paraId="288CE71A" w14:textId="77777777" w:rsidR="00CF7217" w:rsidRDefault="00000000">
      <w:pPr>
        <w:spacing w:after="200" w:line="360" w:lineRule="auto"/>
      </w:pPr>
      <w:r>
        <w:t xml:space="preserve">Maslach, C. and Jackson, S.E. (1981) 'The measurement of experienced burnout', </w:t>
      </w:r>
      <w:r>
        <w:rPr>
          <w:i/>
          <w:iCs/>
        </w:rPr>
        <w:t>Journal of Occupational Behaviour</w:t>
      </w:r>
      <w:r>
        <w:t>, 2(2), pp. 99–113.</w:t>
      </w:r>
    </w:p>
    <w:p w14:paraId="408A9DD9" w14:textId="77777777" w:rsidR="00CF7217" w:rsidRDefault="00000000">
      <w:pPr>
        <w:spacing w:after="200" w:line="360" w:lineRule="auto"/>
      </w:pPr>
      <w:r>
        <w:t xml:space="preserve">McFadden, P., Ross, J., </w:t>
      </w:r>
      <w:proofErr w:type="spellStart"/>
      <w:r>
        <w:t>Moriarty</w:t>
      </w:r>
      <w:proofErr w:type="spellEnd"/>
      <w:r>
        <w:t xml:space="preserve">, J., </w:t>
      </w:r>
      <w:proofErr w:type="spellStart"/>
      <w:r>
        <w:t>Mallett</w:t>
      </w:r>
      <w:proofErr w:type="spellEnd"/>
      <w:r>
        <w:t xml:space="preserve">, J., Schroder, H., </w:t>
      </w:r>
      <w:proofErr w:type="spellStart"/>
      <w:r>
        <w:t>Ravalier</w:t>
      </w:r>
      <w:proofErr w:type="spellEnd"/>
      <w:r>
        <w:t xml:space="preserve">, J., </w:t>
      </w:r>
      <w:proofErr w:type="spellStart"/>
      <w:r>
        <w:t>Manthorpe</w:t>
      </w:r>
      <w:proofErr w:type="spellEnd"/>
      <w:r>
        <w:t xml:space="preserve">, J., Currie, D., </w:t>
      </w:r>
      <w:proofErr w:type="spellStart"/>
      <w:r>
        <w:t>Harron</w:t>
      </w:r>
      <w:proofErr w:type="spellEnd"/>
      <w:r>
        <w:t xml:space="preserve">, J. and </w:t>
      </w:r>
      <w:proofErr w:type="spellStart"/>
      <w:r>
        <w:t>Gillen</w:t>
      </w:r>
      <w:proofErr w:type="spellEnd"/>
      <w:r>
        <w:t>, P. (2021) 'The role of coping in the wellbeing and work-</w:t>
      </w:r>
      <w:r>
        <w:lastRenderedPageBreak/>
        <w:t xml:space="preserve">related quality of life of UK health and social care workers during COVID-19', </w:t>
      </w:r>
      <w:r>
        <w:rPr>
          <w:i/>
          <w:iCs/>
        </w:rPr>
        <w:t>International Journal of Environmental Research and Public Health</w:t>
      </w:r>
      <w:r>
        <w:t>, 18(2), 815.</w:t>
      </w:r>
    </w:p>
    <w:p w14:paraId="20D659A9" w14:textId="77777777" w:rsidR="00CF7217" w:rsidRDefault="00000000">
      <w:pPr>
        <w:spacing w:after="200" w:line="360" w:lineRule="auto"/>
      </w:pPr>
      <w:r>
        <w:t xml:space="preserve">Munn, Z., Peters, M.D.J., Stern, C., Tufanaru, C., McArthur, A. and Aromataris, E. (2018) 'Systematic review or scoping review? Guidance for authors when choosing between a systematic or scoping review approach', </w:t>
      </w:r>
      <w:r>
        <w:rPr>
          <w:i/>
          <w:iCs/>
        </w:rPr>
        <w:t>BMC Medical Research Methodology</w:t>
      </w:r>
      <w:r>
        <w:t>, 18, 143.</w:t>
      </w:r>
    </w:p>
    <w:p w14:paraId="5A3A7B57" w14:textId="77777777" w:rsidR="00CF7217" w:rsidRDefault="00000000">
      <w:pPr>
        <w:spacing w:after="200" w:line="360" w:lineRule="auto"/>
      </w:pPr>
      <w:r>
        <w:t xml:space="preserve">NHS England (2023) </w:t>
      </w:r>
      <w:r>
        <w:rPr>
          <w:i/>
          <w:iCs/>
        </w:rPr>
        <w:t>NHS Long Term Workforce Plan</w:t>
      </w:r>
      <w:r>
        <w:t>. Available at: https://www.england.nhs.uk/publication/nhs-long-term-workforce-plan/ (Accessed: 27 July 2026).</w:t>
      </w:r>
    </w:p>
    <w:p w14:paraId="109A955F" w14:textId="77777777" w:rsidR="00CF7217" w:rsidRDefault="00000000">
      <w:pPr>
        <w:spacing w:after="200" w:line="360" w:lineRule="auto"/>
      </w:pPr>
      <w:r>
        <w:t xml:space="preserve">NHS England (2025) </w:t>
      </w:r>
      <w:r>
        <w:rPr>
          <w:i/>
          <w:iCs/>
        </w:rPr>
        <w:t>NHS Staff Survey 2024: national results briefing</w:t>
      </w:r>
      <w:r>
        <w:t>. Available at: https://www.nhsstaffsurveys.com/results/national-results/ (Accessed: 27 July 2026).</w:t>
      </w:r>
    </w:p>
    <w:p w14:paraId="15610C0C" w14:textId="77777777" w:rsidR="00CF7217" w:rsidRDefault="00000000">
      <w:pPr>
        <w:spacing w:after="200" w:line="360" w:lineRule="auto"/>
      </w:pPr>
      <w:r>
        <w:t xml:space="preserve">Peters, M.D.J., Marnie, C., Tricco, A.C., Pollock, D., Munn, Z., Alexander, L., McInerney, P., Godfrey, C.M. and Khalil, H. (2020) 'Updated methodological guidance for the conduct of scoping reviews', </w:t>
      </w:r>
      <w:r>
        <w:rPr>
          <w:i/>
          <w:iCs/>
        </w:rPr>
        <w:t>JBI Evidence Synthesis</w:t>
      </w:r>
      <w:r>
        <w:t>, 18(10), pp. 2119–2126.</w:t>
      </w:r>
    </w:p>
    <w:p w14:paraId="4717D41E" w14:textId="77777777" w:rsidR="00CF7217" w:rsidRDefault="00000000">
      <w:pPr>
        <w:spacing w:after="200" w:line="360" w:lineRule="auto"/>
      </w:pPr>
      <w:r>
        <w:t xml:space="preserve">Sideri, A.D., Kipoulas, E., Leddy, A. and Hackmann, C. (2025) 'Prevalence and risk factors of burnout among mental health professionals in the NHS: a systematic review', </w:t>
      </w:r>
      <w:r>
        <w:rPr>
          <w:i/>
          <w:iCs/>
        </w:rPr>
        <w:t>Counselling and Psychotherapy Research</w:t>
      </w:r>
      <w:r>
        <w:t>, 25(4), e70055.</w:t>
      </w:r>
    </w:p>
    <w:p w14:paraId="78315FBB" w14:textId="77777777" w:rsidR="00CF7217" w:rsidRDefault="00000000">
      <w:pPr>
        <w:spacing w:after="200" w:line="360" w:lineRule="auto"/>
      </w:pPr>
      <w:r>
        <w:t xml:space="preserve">Skills for Care (2025) </w:t>
      </w:r>
      <w:r>
        <w:rPr>
          <w:i/>
          <w:iCs/>
        </w:rPr>
        <w:t>The state of the adult social care sector and workforce in England 2025</w:t>
      </w:r>
      <w:r>
        <w:t>. Leeds: Skills for Care.</w:t>
      </w:r>
    </w:p>
    <w:p w14:paraId="19328B29" w14:textId="77777777" w:rsidR="00CF7217" w:rsidRDefault="00000000">
      <w:pPr>
        <w:spacing w:after="200" w:line="360" w:lineRule="auto"/>
      </w:pPr>
      <w:r>
        <w:t xml:space="preserve">The King's Fund (2025) </w:t>
      </w:r>
      <w:r>
        <w:rPr>
          <w:i/>
          <w:iCs/>
        </w:rPr>
        <w:t>Social care 360: workforce and carers</w:t>
      </w:r>
      <w:r>
        <w:t>. Available at: https://www.kingsfund.org.uk/insight-and-analysis/long-reads/social-care-360-workforce-carers (Accessed: 27 July 2026).</w:t>
      </w:r>
    </w:p>
    <w:p w14:paraId="4311720B" w14:textId="77777777" w:rsidR="00CF7217" w:rsidRDefault="00000000">
      <w:pPr>
        <w:spacing w:after="200" w:line="360" w:lineRule="auto"/>
      </w:pPr>
      <w:r>
        <w:t xml:space="preserve">Tricco, A.C. et al. (2018) 'PRISMA extension for scoping reviews (PRISMA-ScR): checklist and explanation', </w:t>
      </w:r>
      <w:r>
        <w:rPr>
          <w:i/>
          <w:iCs/>
        </w:rPr>
        <w:t>Annals of Internal Medicine</w:t>
      </w:r>
      <w:r>
        <w:t>, 169(7), pp. 467–473.</w:t>
      </w:r>
    </w:p>
    <w:p w14:paraId="0F50FB26" w14:textId="59E9AF1A" w:rsidR="00CF7217" w:rsidRDefault="00000000">
      <w:pPr>
        <w:spacing w:after="200" w:line="360" w:lineRule="auto"/>
      </w:pPr>
      <w:r>
        <w:t xml:space="preserve">World Health </w:t>
      </w:r>
      <w:r w:rsidR="00D97072">
        <w:t>Organisation</w:t>
      </w:r>
      <w:r>
        <w:t xml:space="preserve"> (2019) </w:t>
      </w:r>
      <w:r>
        <w:rPr>
          <w:i/>
          <w:iCs/>
        </w:rPr>
        <w:t>Burn-out an 'occupational phenomenon': International Classification of Diseases</w:t>
      </w:r>
      <w:r>
        <w:t>. Available at: https://www.who.int/news/item/28-05-2019-burn-out-an-occupational-phenomenon-international-classification-of-diseases (Accessed: 27 July 2026).</w:t>
      </w:r>
    </w:p>
    <w:sectPr w:rsidR="00CF721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9634BAA" w14:textId="77777777" w:rsidR="002502E1" w:rsidRDefault="002502E1">
      <w:r>
        <w:separator/>
      </w:r>
    </w:p>
  </w:endnote>
  <w:endnote w:type="continuationSeparator" w:id="0">
    <w:p w14:paraId="1C37F7ED" w14:textId="77777777" w:rsidR="002502E1" w:rsidRDefault="002502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177EFCB" w14:textId="77777777" w:rsidR="00CF7217" w:rsidRDefault="00000000">
    <w:pPr>
      <w:jc w:val="center"/>
    </w:pPr>
    <w:r>
      <w:rPr>
        <w:sz w:val="20"/>
        <w:szCs w:val="20"/>
      </w:rPr>
      <w:fldChar w:fldCharType="begin"/>
    </w:r>
    <w:r>
      <w:rPr>
        <w:sz w:val="20"/>
        <w:szCs w:val="20"/>
      </w:rPr>
      <w:instrText>PAGE</w:instrText>
    </w:r>
    <w:r>
      <w:rPr>
        <w:sz w:val="20"/>
        <w:szCs w:val="20"/>
      </w:rPr>
      <w:fldChar w:fldCharType="separate"/>
    </w:r>
    <w:r w:rsidR="00F85610">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0A334C7" w14:textId="77777777" w:rsidR="002502E1" w:rsidRDefault="002502E1">
      <w:r>
        <w:separator/>
      </w:r>
    </w:p>
  </w:footnote>
  <w:footnote w:type="continuationSeparator" w:id="0">
    <w:p w14:paraId="354117F4" w14:textId="77777777" w:rsidR="002502E1" w:rsidRDefault="002502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BE37E61"/>
    <w:multiLevelType w:val="hybridMultilevel"/>
    <w:tmpl w:val="D48CC0E0"/>
    <w:lvl w:ilvl="0" w:tplc="EDDA43EC">
      <w:start w:val="1"/>
      <w:numFmt w:val="bullet"/>
      <w:lvlText w:val="●"/>
      <w:lvlJc w:val="left"/>
      <w:pPr>
        <w:ind w:left="720" w:hanging="360"/>
      </w:pPr>
    </w:lvl>
    <w:lvl w:ilvl="1" w:tplc="1BDAFB84">
      <w:start w:val="1"/>
      <w:numFmt w:val="bullet"/>
      <w:lvlText w:val="○"/>
      <w:lvlJc w:val="left"/>
      <w:pPr>
        <w:ind w:left="1440" w:hanging="360"/>
      </w:pPr>
    </w:lvl>
    <w:lvl w:ilvl="2" w:tplc="B54EF734">
      <w:start w:val="1"/>
      <w:numFmt w:val="bullet"/>
      <w:lvlText w:val="■"/>
      <w:lvlJc w:val="left"/>
      <w:pPr>
        <w:ind w:left="2160" w:hanging="360"/>
      </w:pPr>
    </w:lvl>
    <w:lvl w:ilvl="3" w:tplc="5262EE6A">
      <w:start w:val="1"/>
      <w:numFmt w:val="bullet"/>
      <w:lvlText w:val="●"/>
      <w:lvlJc w:val="left"/>
      <w:pPr>
        <w:ind w:left="2880" w:hanging="360"/>
      </w:pPr>
    </w:lvl>
    <w:lvl w:ilvl="4" w:tplc="FB601C7E">
      <w:start w:val="1"/>
      <w:numFmt w:val="bullet"/>
      <w:lvlText w:val="○"/>
      <w:lvlJc w:val="left"/>
      <w:pPr>
        <w:ind w:left="3600" w:hanging="360"/>
      </w:pPr>
    </w:lvl>
    <w:lvl w:ilvl="5" w:tplc="6C9049F6">
      <w:start w:val="1"/>
      <w:numFmt w:val="bullet"/>
      <w:lvlText w:val="■"/>
      <w:lvlJc w:val="left"/>
      <w:pPr>
        <w:ind w:left="4320" w:hanging="360"/>
      </w:pPr>
    </w:lvl>
    <w:lvl w:ilvl="6" w:tplc="C73C03A4">
      <w:start w:val="1"/>
      <w:numFmt w:val="bullet"/>
      <w:lvlText w:val="●"/>
      <w:lvlJc w:val="left"/>
      <w:pPr>
        <w:ind w:left="5040" w:hanging="360"/>
      </w:pPr>
    </w:lvl>
    <w:lvl w:ilvl="7" w:tplc="E5F44322">
      <w:start w:val="1"/>
      <w:numFmt w:val="bullet"/>
      <w:lvlText w:val="●"/>
      <w:lvlJc w:val="left"/>
      <w:pPr>
        <w:ind w:left="5760" w:hanging="360"/>
      </w:pPr>
    </w:lvl>
    <w:lvl w:ilvl="8" w:tplc="E83246D0">
      <w:start w:val="1"/>
      <w:numFmt w:val="bullet"/>
      <w:lvlText w:val="●"/>
      <w:lvlJc w:val="left"/>
      <w:pPr>
        <w:ind w:left="6480" w:hanging="360"/>
      </w:pPr>
    </w:lvl>
  </w:abstractNum>
  <w:num w:numId="1" w16cid:durableId="119424754">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displayBackgroundShap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7217"/>
    <w:rsid w:val="00122A3A"/>
    <w:rsid w:val="002502E1"/>
    <w:rsid w:val="002E33DA"/>
    <w:rsid w:val="002F7A82"/>
    <w:rsid w:val="00396DD1"/>
    <w:rsid w:val="003E253F"/>
    <w:rsid w:val="004953A3"/>
    <w:rsid w:val="00516B86"/>
    <w:rsid w:val="006F3F17"/>
    <w:rsid w:val="007339CD"/>
    <w:rsid w:val="00854EA3"/>
    <w:rsid w:val="0089749B"/>
    <w:rsid w:val="008A1FE5"/>
    <w:rsid w:val="00B35112"/>
    <w:rsid w:val="00C17339"/>
    <w:rsid w:val="00C508E4"/>
    <w:rsid w:val="00C563B7"/>
    <w:rsid w:val="00CA10E6"/>
    <w:rsid w:val="00CF4234"/>
    <w:rsid w:val="00CF7217"/>
    <w:rsid w:val="00D97072"/>
    <w:rsid w:val="00DD5CCB"/>
    <w:rsid w:val="00E929A0"/>
    <w:rsid w:val="00F856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6F855"/>
  <w15:docId w15:val="{D2352102-BF23-4B7B-B1D1-782E18C1F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uiPriority w:val="9"/>
    <w:qFormat/>
    <w:pPr>
      <w:outlineLvl w:val="0"/>
    </w:pPr>
    <w:rPr>
      <w:color w:val="2E74B5"/>
      <w:sz w:val="32"/>
      <w:szCs w:val="32"/>
    </w:rPr>
  </w:style>
  <w:style w:type="paragraph" w:styleId="Titlu2">
    <w:name w:val="heading 2"/>
    <w:uiPriority w:val="9"/>
    <w:semiHidden/>
    <w:unhideWhenUsed/>
    <w:qFormat/>
    <w:pPr>
      <w:outlineLvl w:val="1"/>
    </w:pPr>
    <w:rPr>
      <w:color w:val="2E74B5"/>
      <w:sz w:val="26"/>
      <w:szCs w:val="26"/>
    </w:rPr>
  </w:style>
  <w:style w:type="paragraph" w:styleId="Titlu3">
    <w:name w:val="heading 3"/>
    <w:uiPriority w:val="9"/>
    <w:semiHidden/>
    <w:unhideWhenUsed/>
    <w:qFormat/>
    <w:pPr>
      <w:outlineLvl w:val="2"/>
    </w:pPr>
    <w:rPr>
      <w:color w:val="1F4D78"/>
      <w:sz w:val="24"/>
      <w:szCs w:val="24"/>
    </w:rPr>
  </w:style>
  <w:style w:type="paragraph" w:styleId="Titlu4">
    <w:name w:val="heading 4"/>
    <w:uiPriority w:val="9"/>
    <w:semiHidden/>
    <w:unhideWhenUsed/>
    <w:qFormat/>
    <w:pPr>
      <w:outlineLvl w:val="3"/>
    </w:pPr>
    <w:rPr>
      <w:i/>
      <w:iCs/>
      <w:color w:val="2E74B5"/>
    </w:rPr>
  </w:style>
  <w:style w:type="paragraph" w:styleId="Titlu5">
    <w:name w:val="heading 5"/>
    <w:uiPriority w:val="9"/>
    <w:semiHidden/>
    <w:unhideWhenUsed/>
    <w:qFormat/>
    <w:pPr>
      <w:outlineLvl w:val="4"/>
    </w:pPr>
    <w:rPr>
      <w:color w:val="2E74B5"/>
    </w:rPr>
  </w:style>
  <w:style w:type="paragraph" w:styleId="Titlu6">
    <w:name w:val="heading 6"/>
    <w:uiPriority w:val="9"/>
    <w:semiHidden/>
    <w:unhideWhenUsed/>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uiPriority w:val="10"/>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rPr>
      <w:sz w:val="20"/>
      <w:szCs w:val="20"/>
    </w:rPr>
  </w:style>
  <w:style w:type="character" w:customStyle="1" w:styleId="TextnotdesubsolCaracter">
    <w:name w:val="Text notă de subsol Caracter"/>
    <w:link w:val="Textnotdesubsol"/>
    <w:uiPriority w:val="99"/>
    <w:semiHidden/>
    <w:unhideWhenUsed/>
    <w:rPr>
      <w:sz w:val="20"/>
      <w:szCs w:val="20"/>
    </w:rPr>
  </w:style>
  <w:style w:type="character" w:styleId="Referinnotdefinal">
    <w:name w:val="endnote reference"/>
    <w:uiPriority w:val="99"/>
    <w:semiHidden/>
    <w:unhideWhenUsed/>
    <w:rPr>
      <w:vertAlign w:val="superscript"/>
    </w:rPr>
  </w:style>
  <w:style w:type="paragraph" w:styleId="Textnotdefinal">
    <w:name w:val="endnote text"/>
    <w:link w:val="TextnotdefinalCaracter"/>
    <w:uiPriority w:val="99"/>
    <w:semiHidden/>
    <w:unhideWhenUsed/>
    <w:rPr>
      <w:sz w:val="20"/>
      <w:szCs w:val="20"/>
    </w:rPr>
  </w:style>
  <w:style w:type="character" w:customStyle="1" w:styleId="TextnotdefinalCaracter">
    <w:name w:val="Text notă de final Caracter"/>
    <w:link w:val="Textnotdefinal"/>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4397</Words>
  <Characters>25508</Characters>
  <Application>Microsoft Office Word</Application>
  <DocSecurity>0</DocSecurity>
  <Lines>212</Lines>
  <Paragraphs>59</Paragraphs>
  <ScaleCrop>false</ScaleCrop>
  <Company/>
  <LinksUpToDate>false</LinksUpToDate>
  <CharactersWithSpaces>29846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Andreea Anca (2327259)</cp:lastModifiedBy>
  <cp:revision>14</cp:revision>
  <dcterms:created xsi:type="dcterms:W3CDTF">2026-07-27T17:05:00Z</dcterms:created>
  <dcterms:modified xsi:type="dcterms:W3CDTF">2026-08-04T20:10:00Z</dcterms:modified>
</cp:coreProperties>
</file>