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E9FC6" w14:textId="106BF486" w:rsidR="00026207" w:rsidRPr="00FA5739" w:rsidRDefault="00026207" w:rsidP="00FB38E4">
      <w:pPr>
        <w:spacing w:line="360" w:lineRule="auto"/>
        <w:rPr>
          <w:rFonts w:ascii="Arial" w:hAnsi="Arial" w:cs="Arial"/>
          <w:b/>
          <w:bCs/>
          <w:sz w:val="22"/>
          <w:szCs w:val="22"/>
        </w:rPr>
      </w:pPr>
    </w:p>
    <w:p w14:paraId="5E310748" w14:textId="6898280A" w:rsidR="00BD5E6B" w:rsidRPr="00FA5739" w:rsidRDefault="00BD5E6B" w:rsidP="00FB38E4">
      <w:pPr>
        <w:spacing w:after="0" w:line="360" w:lineRule="auto"/>
        <w:jc w:val="center"/>
        <w:rPr>
          <w:rFonts w:ascii="Arial" w:eastAsia="Times New Roman" w:hAnsi="Arial" w:cs="Arial"/>
          <w:b/>
          <w:bCs/>
          <w:color w:val="000000"/>
          <w:kern w:val="0"/>
          <w:sz w:val="22"/>
          <w:szCs w:val="22"/>
          <w:lang w:eastAsia="en-GB"/>
          <w14:ligatures w14:val="none"/>
        </w:rPr>
      </w:pPr>
      <w:r w:rsidRPr="00FA5739">
        <w:rPr>
          <w:rFonts w:ascii="Arial" w:hAnsi="Arial" w:cs="Arial"/>
          <w:b/>
          <w:bCs/>
          <w:noProof/>
          <w:sz w:val="22"/>
          <w:szCs w:val="22"/>
        </w:rPr>
        <w:drawing>
          <wp:inline distT="0" distB="0" distL="0" distR="0" wp14:anchorId="3044ED3D" wp14:editId="1098BB10">
            <wp:extent cx="4808086" cy="2524125"/>
            <wp:effectExtent l="0" t="0" r="0" b="0"/>
            <wp:docPr id="1603356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56558" name="Picture 1603356558"/>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8634" cy="2540162"/>
                    </a:xfrm>
                    <a:prstGeom prst="rect">
                      <a:avLst/>
                    </a:prstGeom>
                  </pic:spPr>
                </pic:pic>
              </a:graphicData>
            </a:graphic>
          </wp:inline>
        </w:drawing>
      </w:r>
    </w:p>
    <w:p w14:paraId="7F2F2EED" w14:textId="77777777" w:rsidR="00BD5E6B" w:rsidRPr="00FA5739" w:rsidRDefault="00BD5E6B" w:rsidP="00FB38E4">
      <w:pPr>
        <w:spacing w:after="0" w:line="360" w:lineRule="auto"/>
        <w:jc w:val="center"/>
        <w:rPr>
          <w:rFonts w:ascii="Arial" w:eastAsia="Times New Roman" w:hAnsi="Arial" w:cs="Arial"/>
          <w:b/>
          <w:bCs/>
          <w:color w:val="000000"/>
          <w:kern w:val="0"/>
          <w:sz w:val="22"/>
          <w:szCs w:val="22"/>
          <w:lang w:eastAsia="en-GB"/>
          <w14:ligatures w14:val="none"/>
        </w:rPr>
      </w:pPr>
    </w:p>
    <w:p w14:paraId="64DA6B6E" w14:textId="4E4D1BC5" w:rsidR="00026207" w:rsidRPr="00FA5739" w:rsidRDefault="00026207" w:rsidP="00FB38E4">
      <w:pPr>
        <w:spacing w:after="0" w:line="360" w:lineRule="auto"/>
        <w:jc w:val="center"/>
        <w:rPr>
          <w:rFonts w:ascii="Arial" w:eastAsia="Times New Roman" w:hAnsi="Arial" w:cs="Arial"/>
          <w:kern w:val="0"/>
          <w:sz w:val="22"/>
          <w:szCs w:val="22"/>
          <w:lang w:eastAsia="en-GB"/>
          <w14:ligatures w14:val="none"/>
        </w:rPr>
      </w:pPr>
      <w:r w:rsidRPr="00FA5739">
        <w:rPr>
          <w:rFonts w:ascii="Arial" w:eastAsia="Times New Roman" w:hAnsi="Arial" w:cs="Arial"/>
          <w:b/>
          <w:bCs/>
          <w:color w:val="000000"/>
          <w:kern w:val="0"/>
          <w:sz w:val="22"/>
          <w:szCs w:val="22"/>
          <w:lang w:eastAsia="en-GB"/>
          <w14:ligatures w14:val="none"/>
        </w:rPr>
        <w:t>BSC (HONS) HEALTH AND SOCIAL CARE</w:t>
      </w:r>
    </w:p>
    <w:p w14:paraId="0E1599F0" w14:textId="77777777" w:rsidR="00026207" w:rsidRPr="00FA5739" w:rsidRDefault="00026207" w:rsidP="00FB38E4">
      <w:pPr>
        <w:spacing w:line="360" w:lineRule="auto"/>
        <w:jc w:val="center"/>
        <w:rPr>
          <w:rFonts w:ascii="Arial" w:hAnsi="Arial" w:cs="Arial"/>
          <w:b/>
          <w:bCs/>
          <w:sz w:val="22"/>
          <w:szCs w:val="22"/>
        </w:rPr>
      </w:pPr>
    </w:p>
    <w:p w14:paraId="67FD09BC" w14:textId="77777777" w:rsidR="00026207" w:rsidRPr="00FA5739" w:rsidRDefault="00026207" w:rsidP="00FB38E4">
      <w:pPr>
        <w:spacing w:line="360" w:lineRule="auto"/>
        <w:rPr>
          <w:rFonts w:ascii="Arial" w:hAnsi="Arial" w:cs="Arial"/>
          <w:b/>
          <w:bCs/>
          <w:sz w:val="22"/>
          <w:szCs w:val="22"/>
        </w:rPr>
      </w:pPr>
    </w:p>
    <w:p w14:paraId="716B5ADE" w14:textId="77777777" w:rsidR="00026207" w:rsidRPr="00FA5739" w:rsidRDefault="00026207" w:rsidP="00FB38E4">
      <w:pPr>
        <w:spacing w:line="360" w:lineRule="auto"/>
        <w:jc w:val="center"/>
        <w:rPr>
          <w:rFonts w:ascii="Arial" w:hAnsi="Arial" w:cs="Arial"/>
          <w:sz w:val="22"/>
          <w:szCs w:val="22"/>
        </w:rPr>
      </w:pPr>
      <w:r w:rsidRPr="00FA5739">
        <w:rPr>
          <w:rFonts w:ascii="Arial" w:hAnsi="Arial" w:cs="Arial"/>
          <w:sz w:val="22"/>
          <w:szCs w:val="22"/>
        </w:rPr>
        <w:t>STUDENT NAME &amp; ID.</w:t>
      </w:r>
    </w:p>
    <w:p w14:paraId="3E89F43B" w14:textId="77777777" w:rsidR="00026207" w:rsidRPr="00FA5739" w:rsidRDefault="00026207" w:rsidP="00FB38E4">
      <w:pPr>
        <w:spacing w:line="360" w:lineRule="auto"/>
        <w:jc w:val="center"/>
        <w:rPr>
          <w:rFonts w:ascii="Arial" w:hAnsi="Arial" w:cs="Arial"/>
          <w:b/>
          <w:bCs/>
          <w:sz w:val="22"/>
          <w:szCs w:val="22"/>
        </w:rPr>
      </w:pPr>
      <w:r w:rsidRPr="00FA5739">
        <w:rPr>
          <w:rFonts w:ascii="Arial" w:hAnsi="Arial" w:cs="Arial"/>
          <w:b/>
          <w:bCs/>
          <w:sz w:val="22"/>
          <w:szCs w:val="22"/>
        </w:rPr>
        <w:t>JOELLY OYONO</w:t>
      </w:r>
    </w:p>
    <w:p w14:paraId="224A1A72" w14:textId="56F2ABB6" w:rsidR="00026207" w:rsidRPr="00FA5739" w:rsidRDefault="00026207" w:rsidP="00FB38E4">
      <w:pPr>
        <w:spacing w:line="360" w:lineRule="auto"/>
        <w:jc w:val="center"/>
        <w:rPr>
          <w:rFonts w:ascii="Arial" w:hAnsi="Arial" w:cs="Arial"/>
          <w:b/>
          <w:bCs/>
          <w:sz w:val="22"/>
          <w:szCs w:val="22"/>
        </w:rPr>
      </w:pPr>
      <w:r w:rsidRPr="00FA5739">
        <w:rPr>
          <w:rFonts w:ascii="Arial" w:hAnsi="Arial" w:cs="Arial"/>
          <w:b/>
          <w:bCs/>
          <w:sz w:val="22"/>
          <w:szCs w:val="22"/>
        </w:rPr>
        <w:t>2317543</w:t>
      </w:r>
    </w:p>
    <w:p w14:paraId="0FE554D2" w14:textId="77777777" w:rsidR="00026207" w:rsidRPr="00FA5739" w:rsidRDefault="00026207" w:rsidP="00FB38E4">
      <w:pPr>
        <w:spacing w:line="360" w:lineRule="auto"/>
        <w:rPr>
          <w:rFonts w:ascii="Arial" w:hAnsi="Arial" w:cs="Arial"/>
          <w:b/>
          <w:bCs/>
          <w:sz w:val="22"/>
          <w:szCs w:val="22"/>
        </w:rPr>
      </w:pPr>
    </w:p>
    <w:p w14:paraId="0003B45C" w14:textId="77777777" w:rsidR="00026207" w:rsidRPr="00FA5739" w:rsidRDefault="00026207" w:rsidP="00FB38E4">
      <w:pPr>
        <w:spacing w:line="360" w:lineRule="auto"/>
        <w:rPr>
          <w:rFonts w:ascii="Arial" w:hAnsi="Arial" w:cs="Arial"/>
          <w:b/>
          <w:bCs/>
          <w:sz w:val="22"/>
          <w:szCs w:val="22"/>
        </w:rPr>
      </w:pPr>
    </w:p>
    <w:p w14:paraId="7569AA59" w14:textId="77777777" w:rsidR="00026207" w:rsidRPr="00FA5739" w:rsidRDefault="00026207" w:rsidP="00FB38E4">
      <w:pPr>
        <w:spacing w:line="360" w:lineRule="auto"/>
        <w:rPr>
          <w:rFonts w:ascii="Arial" w:hAnsi="Arial" w:cs="Arial"/>
          <w:b/>
          <w:bCs/>
          <w:sz w:val="22"/>
          <w:szCs w:val="22"/>
        </w:rPr>
      </w:pPr>
    </w:p>
    <w:p w14:paraId="292AE4CC" w14:textId="77777777" w:rsidR="00026207" w:rsidRPr="00FA5739" w:rsidRDefault="00026207" w:rsidP="00FB38E4">
      <w:pPr>
        <w:spacing w:line="360" w:lineRule="auto"/>
        <w:jc w:val="center"/>
        <w:rPr>
          <w:rFonts w:ascii="Arial" w:hAnsi="Arial" w:cs="Arial"/>
          <w:sz w:val="22"/>
          <w:szCs w:val="22"/>
        </w:rPr>
      </w:pPr>
      <w:r w:rsidRPr="00FA5739">
        <w:rPr>
          <w:rFonts w:ascii="Arial" w:hAnsi="Arial" w:cs="Arial"/>
          <w:sz w:val="22"/>
          <w:szCs w:val="22"/>
        </w:rPr>
        <w:t>MODULE &amp; CODE</w:t>
      </w:r>
    </w:p>
    <w:p w14:paraId="413D31A9" w14:textId="5E962ACE" w:rsidR="00BD5E6B" w:rsidRPr="00FA5739" w:rsidRDefault="003A500B" w:rsidP="00FB38E4">
      <w:pPr>
        <w:spacing w:after="0" w:line="360" w:lineRule="auto"/>
        <w:jc w:val="center"/>
        <w:rPr>
          <w:rFonts w:ascii="Arial" w:eastAsia="Times New Roman" w:hAnsi="Arial" w:cs="Arial"/>
          <w:kern w:val="0"/>
          <w:sz w:val="22"/>
          <w:szCs w:val="22"/>
          <w:lang w:eastAsia="en-GB"/>
          <w14:ligatures w14:val="none"/>
        </w:rPr>
      </w:pPr>
      <w:r w:rsidRPr="00FA5739">
        <w:rPr>
          <w:rFonts w:ascii="Arial" w:eastAsia="Times New Roman" w:hAnsi="Arial" w:cs="Arial"/>
          <w:b/>
          <w:bCs/>
          <w:color w:val="000000"/>
          <w:kern w:val="0"/>
          <w:sz w:val="22"/>
          <w:szCs w:val="22"/>
          <w:lang w:eastAsia="en-GB"/>
          <w14:ligatures w14:val="none"/>
        </w:rPr>
        <w:t>CHANGEMAKERS: BUILDING YOUR PERSONAL BRAND FOR SUSTAINABLE EMPLOYMENT</w:t>
      </w:r>
    </w:p>
    <w:p w14:paraId="54831D0A" w14:textId="77777777" w:rsidR="00026207" w:rsidRPr="00FA5739" w:rsidRDefault="00026207" w:rsidP="00FB38E4">
      <w:pPr>
        <w:spacing w:after="0" w:line="360" w:lineRule="auto"/>
        <w:jc w:val="center"/>
        <w:rPr>
          <w:rFonts w:ascii="Arial" w:eastAsia="Times New Roman" w:hAnsi="Arial" w:cs="Arial"/>
          <w:kern w:val="0"/>
          <w:sz w:val="22"/>
          <w:szCs w:val="22"/>
          <w:lang w:eastAsia="en-GB"/>
          <w14:ligatures w14:val="none"/>
        </w:rPr>
      </w:pPr>
    </w:p>
    <w:p w14:paraId="19495CED" w14:textId="77777777" w:rsidR="00914D61" w:rsidRPr="00FA5739" w:rsidRDefault="00914D61" w:rsidP="00FB38E4">
      <w:pPr>
        <w:spacing w:after="0" w:line="360" w:lineRule="auto"/>
        <w:jc w:val="center"/>
        <w:rPr>
          <w:rFonts w:ascii="Arial" w:eastAsia="Times New Roman" w:hAnsi="Arial" w:cs="Arial"/>
          <w:kern w:val="0"/>
          <w:sz w:val="22"/>
          <w:szCs w:val="22"/>
          <w:lang w:eastAsia="en-GB"/>
          <w14:ligatures w14:val="none"/>
        </w:rPr>
      </w:pPr>
      <w:r w:rsidRPr="00914D61">
        <w:rPr>
          <w:rFonts w:ascii="Arial" w:eastAsia="Times New Roman" w:hAnsi="Arial" w:cs="Arial"/>
          <w:b/>
          <w:bCs/>
          <w:color w:val="000000"/>
          <w:kern w:val="0"/>
          <w:sz w:val="22"/>
          <w:szCs w:val="22"/>
          <w:lang w:eastAsia="en-GB"/>
          <w14:ligatures w14:val="none"/>
        </w:rPr>
        <w:t>BMHP5019</w:t>
      </w:r>
    </w:p>
    <w:p w14:paraId="53D9A211" w14:textId="539BC563" w:rsidR="00026207" w:rsidRPr="00FA5739" w:rsidRDefault="00026207" w:rsidP="00FB38E4">
      <w:pPr>
        <w:spacing w:line="360" w:lineRule="auto"/>
        <w:jc w:val="center"/>
        <w:rPr>
          <w:rFonts w:ascii="Arial" w:hAnsi="Arial" w:cs="Arial"/>
          <w:sz w:val="22"/>
          <w:szCs w:val="22"/>
        </w:rPr>
      </w:pPr>
      <w:r w:rsidRPr="00FA5739">
        <w:rPr>
          <w:rFonts w:ascii="Arial" w:hAnsi="Arial" w:cs="Arial"/>
          <w:sz w:val="22"/>
          <w:szCs w:val="22"/>
        </w:rPr>
        <w:t>LECTURER(S)</w:t>
      </w:r>
    </w:p>
    <w:p w14:paraId="7D82CA3D" w14:textId="77777777" w:rsidR="00914D61" w:rsidRPr="00FA5739" w:rsidRDefault="00914D61" w:rsidP="00FB38E4">
      <w:pPr>
        <w:spacing w:after="0" w:line="360" w:lineRule="auto"/>
        <w:jc w:val="center"/>
        <w:rPr>
          <w:rFonts w:ascii="Arial" w:eastAsia="Times New Roman" w:hAnsi="Arial" w:cs="Arial"/>
          <w:kern w:val="0"/>
          <w:sz w:val="22"/>
          <w:szCs w:val="22"/>
          <w:lang w:eastAsia="en-GB"/>
          <w14:ligatures w14:val="none"/>
        </w:rPr>
      </w:pPr>
      <w:r w:rsidRPr="00914D61">
        <w:rPr>
          <w:rFonts w:ascii="Arial" w:eastAsia="Times New Roman" w:hAnsi="Arial" w:cs="Arial"/>
          <w:b/>
          <w:bCs/>
          <w:color w:val="000000"/>
          <w:kern w:val="0"/>
          <w:sz w:val="22"/>
          <w:szCs w:val="22"/>
          <w:lang w:eastAsia="en-GB"/>
          <w14:ligatures w14:val="none"/>
        </w:rPr>
        <w:t>Bianca Sanfilippo</w:t>
      </w:r>
    </w:p>
    <w:p w14:paraId="046E1E65" w14:textId="77777777" w:rsidR="00914D61" w:rsidRPr="00FA5739" w:rsidRDefault="00914D61" w:rsidP="00FB38E4">
      <w:pPr>
        <w:spacing w:after="0" w:line="360" w:lineRule="auto"/>
        <w:jc w:val="center"/>
        <w:rPr>
          <w:rFonts w:ascii="Arial" w:eastAsia="Times New Roman" w:hAnsi="Arial" w:cs="Arial"/>
          <w:kern w:val="0"/>
          <w:sz w:val="22"/>
          <w:szCs w:val="22"/>
          <w:lang w:eastAsia="en-GB"/>
          <w14:ligatures w14:val="none"/>
        </w:rPr>
      </w:pPr>
      <w:r w:rsidRPr="00914D61">
        <w:rPr>
          <w:rFonts w:ascii="Arial" w:eastAsia="Times New Roman" w:hAnsi="Arial" w:cs="Arial"/>
          <w:b/>
          <w:bCs/>
          <w:color w:val="000000"/>
          <w:kern w:val="0"/>
          <w:sz w:val="22"/>
          <w:szCs w:val="22"/>
          <w:lang w:eastAsia="en-GB"/>
          <w14:ligatures w14:val="none"/>
        </w:rPr>
        <w:t xml:space="preserve">Dr </w:t>
      </w:r>
      <w:proofErr w:type="spellStart"/>
      <w:r w:rsidRPr="00914D61">
        <w:rPr>
          <w:rFonts w:ascii="Arial" w:eastAsia="Times New Roman" w:hAnsi="Arial" w:cs="Arial"/>
          <w:b/>
          <w:bCs/>
          <w:color w:val="000000"/>
          <w:kern w:val="0"/>
          <w:sz w:val="22"/>
          <w:szCs w:val="22"/>
          <w:lang w:eastAsia="en-GB"/>
          <w14:ligatures w14:val="none"/>
        </w:rPr>
        <w:t>Itse</w:t>
      </w:r>
      <w:proofErr w:type="spellEnd"/>
      <w:r w:rsidRPr="00914D61">
        <w:rPr>
          <w:rFonts w:ascii="Arial" w:eastAsia="Times New Roman" w:hAnsi="Arial" w:cs="Arial"/>
          <w:b/>
          <w:bCs/>
          <w:color w:val="000000"/>
          <w:kern w:val="0"/>
          <w:sz w:val="22"/>
          <w:szCs w:val="22"/>
          <w:lang w:eastAsia="en-GB"/>
          <w14:ligatures w14:val="none"/>
        </w:rPr>
        <w:t xml:space="preserve"> Olaoye</w:t>
      </w:r>
    </w:p>
    <w:p w14:paraId="2411FA33" w14:textId="77777777" w:rsidR="00026207" w:rsidRPr="00FA5739" w:rsidRDefault="00026207" w:rsidP="00FB38E4">
      <w:pPr>
        <w:spacing w:line="360" w:lineRule="auto"/>
        <w:rPr>
          <w:rFonts w:ascii="Arial" w:hAnsi="Arial" w:cs="Arial"/>
          <w:sz w:val="22"/>
          <w:szCs w:val="22"/>
        </w:rPr>
      </w:pPr>
    </w:p>
    <w:p w14:paraId="2F3398F4" w14:textId="6246A72E" w:rsidR="00A22949" w:rsidRPr="00FA5739" w:rsidRDefault="001D6317" w:rsidP="00FB38E4">
      <w:pPr>
        <w:spacing w:line="360" w:lineRule="auto"/>
        <w:jc w:val="center"/>
        <w:rPr>
          <w:rFonts w:ascii="Arial" w:hAnsi="Arial" w:cs="Arial"/>
          <w:sz w:val="22"/>
          <w:szCs w:val="22"/>
        </w:rPr>
      </w:pPr>
      <w:r>
        <w:rPr>
          <w:rFonts w:ascii="Arial" w:hAnsi="Arial" w:cs="Arial"/>
          <w:sz w:val="22"/>
          <w:szCs w:val="22"/>
        </w:rPr>
        <w:t>08</w:t>
      </w:r>
      <w:r w:rsidR="00026207" w:rsidRPr="00FA5739">
        <w:rPr>
          <w:rFonts w:ascii="Arial" w:hAnsi="Arial" w:cs="Arial"/>
          <w:sz w:val="22"/>
          <w:szCs w:val="22"/>
        </w:rPr>
        <w:t xml:space="preserve"> </w:t>
      </w:r>
      <w:r w:rsidR="00BD5E6B" w:rsidRPr="00FA5739">
        <w:rPr>
          <w:rFonts w:ascii="Arial" w:hAnsi="Arial" w:cs="Arial"/>
          <w:sz w:val="22"/>
          <w:szCs w:val="22"/>
        </w:rPr>
        <w:t>Dec</w:t>
      </w:r>
      <w:r w:rsidR="00026207" w:rsidRPr="00FA5739">
        <w:rPr>
          <w:rFonts w:ascii="Arial" w:hAnsi="Arial" w:cs="Arial"/>
          <w:sz w:val="22"/>
          <w:szCs w:val="22"/>
        </w:rPr>
        <w:t>, 2025</w:t>
      </w:r>
    </w:p>
    <w:sdt>
      <w:sdtPr>
        <w:id w:val="-32490002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A9878DD" w14:textId="53A6C466" w:rsidR="00F73EB8" w:rsidRDefault="00F73EB8">
          <w:pPr>
            <w:pStyle w:val="TOCHeading"/>
          </w:pPr>
          <w:r>
            <w:t>Table of Contents</w:t>
          </w:r>
        </w:p>
        <w:p w14:paraId="20CA84F9" w14:textId="01C33188" w:rsidR="00F73EB8" w:rsidRDefault="00F73EB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086851" w:history="1">
            <w:r w:rsidRPr="004C7082">
              <w:rPr>
                <w:rStyle w:val="Hyperlink"/>
                <w:rFonts w:ascii="Arial" w:hAnsi="Arial" w:cs="Arial"/>
                <w:noProof/>
              </w:rPr>
              <w:t>Review Question</w:t>
            </w:r>
            <w:r>
              <w:rPr>
                <w:noProof/>
                <w:webHidden/>
              </w:rPr>
              <w:tab/>
            </w:r>
            <w:r>
              <w:rPr>
                <w:noProof/>
                <w:webHidden/>
              </w:rPr>
              <w:fldChar w:fldCharType="begin"/>
            </w:r>
            <w:r>
              <w:rPr>
                <w:noProof/>
                <w:webHidden/>
              </w:rPr>
              <w:instrText xml:space="preserve"> PAGEREF _Toc216086851 \h </w:instrText>
            </w:r>
            <w:r>
              <w:rPr>
                <w:noProof/>
                <w:webHidden/>
              </w:rPr>
            </w:r>
            <w:r>
              <w:rPr>
                <w:noProof/>
                <w:webHidden/>
              </w:rPr>
              <w:fldChar w:fldCharType="separate"/>
            </w:r>
            <w:r>
              <w:rPr>
                <w:noProof/>
                <w:webHidden/>
              </w:rPr>
              <w:t>2</w:t>
            </w:r>
            <w:r>
              <w:rPr>
                <w:noProof/>
                <w:webHidden/>
              </w:rPr>
              <w:fldChar w:fldCharType="end"/>
            </w:r>
          </w:hyperlink>
        </w:p>
        <w:p w14:paraId="145C0F2A" w14:textId="6D59D899" w:rsidR="00F73EB8" w:rsidRDefault="00F73EB8">
          <w:pPr>
            <w:pStyle w:val="TOC2"/>
            <w:tabs>
              <w:tab w:val="right" w:leader="dot" w:pos="9016"/>
            </w:tabs>
            <w:rPr>
              <w:rFonts w:eastAsiaTheme="minorEastAsia"/>
              <w:noProof/>
              <w:lang w:eastAsia="en-GB"/>
            </w:rPr>
          </w:pPr>
          <w:hyperlink w:anchor="_Toc216086852" w:history="1">
            <w:r w:rsidRPr="004C7082">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_Toc216086852 \h </w:instrText>
            </w:r>
            <w:r>
              <w:rPr>
                <w:noProof/>
                <w:webHidden/>
              </w:rPr>
            </w:r>
            <w:r>
              <w:rPr>
                <w:noProof/>
                <w:webHidden/>
              </w:rPr>
              <w:fldChar w:fldCharType="separate"/>
            </w:r>
            <w:r>
              <w:rPr>
                <w:noProof/>
                <w:webHidden/>
              </w:rPr>
              <w:t>2</w:t>
            </w:r>
            <w:r>
              <w:rPr>
                <w:noProof/>
                <w:webHidden/>
              </w:rPr>
              <w:fldChar w:fldCharType="end"/>
            </w:r>
          </w:hyperlink>
        </w:p>
        <w:p w14:paraId="2ABE7568" w14:textId="236E8CF2" w:rsidR="00F73EB8" w:rsidRDefault="00F73EB8">
          <w:pPr>
            <w:pStyle w:val="TOC3"/>
            <w:tabs>
              <w:tab w:val="right" w:leader="dot" w:pos="9016"/>
            </w:tabs>
            <w:rPr>
              <w:rFonts w:eastAsiaTheme="minorEastAsia"/>
              <w:noProof/>
              <w:lang w:eastAsia="en-GB"/>
            </w:rPr>
          </w:pPr>
          <w:hyperlink w:anchor="_Toc216086853" w:history="1">
            <w:r w:rsidRPr="004C7082">
              <w:rPr>
                <w:rStyle w:val="Hyperlink"/>
                <w:rFonts w:ascii="Arial" w:hAnsi="Arial" w:cs="Arial"/>
                <w:noProof/>
              </w:rPr>
              <w:t>Overview and Rationale</w:t>
            </w:r>
            <w:r>
              <w:rPr>
                <w:noProof/>
                <w:webHidden/>
              </w:rPr>
              <w:tab/>
            </w:r>
            <w:r>
              <w:rPr>
                <w:noProof/>
                <w:webHidden/>
              </w:rPr>
              <w:fldChar w:fldCharType="begin"/>
            </w:r>
            <w:r>
              <w:rPr>
                <w:noProof/>
                <w:webHidden/>
              </w:rPr>
              <w:instrText xml:space="preserve"> PAGEREF _Toc216086853 \h </w:instrText>
            </w:r>
            <w:r>
              <w:rPr>
                <w:noProof/>
                <w:webHidden/>
              </w:rPr>
            </w:r>
            <w:r>
              <w:rPr>
                <w:noProof/>
                <w:webHidden/>
              </w:rPr>
              <w:fldChar w:fldCharType="separate"/>
            </w:r>
            <w:r>
              <w:rPr>
                <w:noProof/>
                <w:webHidden/>
              </w:rPr>
              <w:t>2</w:t>
            </w:r>
            <w:r>
              <w:rPr>
                <w:noProof/>
                <w:webHidden/>
              </w:rPr>
              <w:fldChar w:fldCharType="end"/>
            </w:r>
          </w:hyperlink>
        </w:p>
        <w:p w14:paraId="67AAE4A1" w14:textId="25A2FEE3" w:rsidR="00F73EB8" w:rsidRDefault="00F73EB8">
          <w:pPr>
            <w:pStyle w:val="TOC3"/>
            <w:tabs>
              <w:tab w:val="right" w:leader="dot" w:pos="9016"/>
            </w:tabs>
            <w:rPr>
              <w:rFonts w:eastAsiaTheme="minorEastAsia"/>
              <w:noProof/>
              <w:lang w:eastAsia="en-GB"/>
            </w:rPr>
          </w:pPr>
          <w:hyperlink w:anchor="_Toc216086854" w:history="1">
            <w:r w:rsidRPr="004C7082">
              <w:rPr>
                <w:rStyle w:val="Hyperlink"/>
                <w:rFonts w:ascii="Arial" w:hAnsi="Arial" w:cs="Arial"/>
                <w:noProof/>
              </w:rPr>
              <w:t>Definitions</w:t>
            </w:r>
            <w:r>
              <w:rPr>
                <w:noProof/>
                <w:webHidden/>
              </w:rPr>
              <w:tab/>
            </w:r>
            <w:r>
              <w:rPr>
                <w:noProof/>
                <w:webHidden/>
              </w:rPr>
              <w:fldChar w:fldCharType="begin"/>
            </w:r>
            <w:r>
              <w:rPr>
                <w:noProof/>
                <w:webHidden/>
              </w:rPr>
              <w:instrText xml:space="preserve"> PAGEREF _Toc216086854 \h </w:instrText>
            </w:r>
            <w:r>
              <w:rPr>
                <w:noProof/>
                <w:webHidden/>
              </w:rPr>
            </w:r>
            <w:r>
              <w:rPr>
                <w:noProof/>
                <w:webHidden/>
              </w:rPr>
              <w:fldChar w:fldCharType="separate"/>
            </w:r>
            <w:r>
              <w:rPr>
                <w:noProof/>
                <w:webHidden/>
              </w:rPr>
              <w:t>2</w:t>
            </w:r>
            <w:r>
              <w:rPr>
                <w:noProof/>
                <w:webHidden/>
              </w:rPr>
              <w:fldChar w:fldCharType="end"/>
            </w:r>
          </w:hyperlink>
        </w:p>
        <w:p w14:paraId="2211EA21" w14:textId="52620F3A" w:rsidR="00F73EB8" w:rsidRDefault="00F73EB8">
          <w:pPr>
            <w:pStyle w:val="TOC3"/>
            <w:tabs>
              <w:tab w:val="right" w:leader="dot" w:pos="9016"/>
            </w:tabs>
            <w:rPr>
              <w:rFonts w:eastAsiaTheme="minorEastAsia"/>
              <w:noProof/>
              <w:lang w:eastAsia="en-GB"/>
            </w:rPr>
          </w:pPr>
          <w:hyperlink w:anchor="_Toc216086855" w:history="1">
            <w:r w:rsidRPr="004C7082">
              <w:rPr>
                <w:rStyle w:val="Hyperlink"/>
                <w:rFonts w:ascii="Arial" w:hAnsi="Arial" w:cs="Arial"/>
                <w:noProof/>
              </w:rPr>
              <w:t>Objectives</w:t>
            </w:r>
            <w:r>
              <w:rPr>
                <w:noProof/>
                <w:webHidden/>
              </w:rPr>
              <w:tab/>
            </w:r>
            <w:r>
              <w:rPr>
                <w:noProof/>
                <w:webHidden/>
              </w:rPr>
              <w:fldChar w:fldCharType="begin"/>
            </w:r>
            <w:r>
              <w:rPr>
                <w:noProof/>
                <w:webHidden/>
              </w:rPr>
              <w:instrText xml:space="preserve"> PAGEREF _Toc216086855 \h </w:instrText>
            </w:r>
            <w:r>
              <w:rPr>
                <w:noProof/>
                <w:webHidden/>
              </w:rPr>
            </w:r>
            <w:r>
              <w:rPr>
                <w:noProof/>
                <w:webHidden/>
              </w:rPr>
              <w:fldChar w:fldCharType="separate"/>
            </w:r>
            <w:r>
              <w:rPr>
                <w:noProof/>
                <w:webHidden/>
              </w:rPr>
              <w:t>3</w:t>
            </w:r>
            <w:r>
              <w:rPr>
                <w:noProof/>
                <w:webHidden/>
              </w:rPr>
              <w:fldChar w:fldCharType="end"/>
            </w:r>
          </w:hyperlink>
        </w:p>
        <w:p w14:paraId="244FAE36" w14:textId="6933A974" w:rsidR="00F73EB8" w:rsidRDefault="00F73EB8">
          <w:pPr>
            <w:pStyle w:val="TOC2"/>
            <w:tabs>
              <w:tab w:val="right" w:leader="dot" w:pos="9016"/>
            </w:tabs>
            <w:rPr>
              <w:rFonts w:eastAsiaTheme="minorEastAsia"/>
              <w:noProof/>
              <w:lang w:eastAsia="en-GB"/>
            </w:rPr>
          </w:pPr>
          <w:hyperlink w:anchor="_Toc216086856" w:history="1">
            <w:r w:rsidRPr="004C7082">
              <w:rPr>
                <w:rStyle w:val="Hyperlink"/>
                <w:rFonts w:ascii="Arial" w:hAnsi="Arial" w:cs="Arial"/>
                <w:noProof/>
              </w:rPr>
              <w:t>2. Background</w:t>
            </w:r>
            <w:r>
              <w:rPr>
                <w:noProof/>
                <w:webHidden/>
              </w:rPr>
              <w:tab/>
            </w:r>
            <w:r>
              <w:rPr>
                <w:noProof/>
                <w:webHidden/>
              </w:rPr>
              <w:fldChar w:fldCharType="begin"/>
            </w:r>
            <w:r>
              <w:rPr>
                <w:noProof/>
                <w:webHidden/>
              </w:rPr>
              <w:instrText xml:space="preserve"> PAGEREF _Toc216086856 \h </w:instrText>
            </w:r>
            <w:r>
              <w:rPr>
                <w:noProof/>
                <w:webHidden/>
              </w:rPr>
            </w:r>
            <w:r>
              <w:rPr>
                <w:noProof/>
                <w:webHidden/>
              </w:rPr>
              <w:fldChar w:fldCharType="separate"/>
            </w:r>
            <w:r>
              <w:rPr>
                <w:noProof/>
                <w:webHidden/>
              </w:rPr>
              <w:t>3</w:t>
            </w:r>
            <w:r>
              <w:rPr>
                <w:noProof/>
                <w:webHidden/>
              </w:rPr>
              <w:fldChar w:fldCharType="end"/>
            </w:r>
          </w:hyperlink>
        </w:p>
        <w:p w14:paraId="1FDB0644" w14:textId="48B732AA" w:rsidR="00F73EB8" w:rsidRDefault="00F73EB8">
          <w:pPr>
            <w:pStyle w:val="TOC3"/>
            <w:tabs>
              <w:tab w:val="right" w:leader="dot" w:pos="9016"/>
            </w:tabs>
            <w:rPr>
              <w:rFonts w:eastAsiaTheme="minorEastAsia"/>
              <w:noProof/>
              <w:lang w:eastAsia="en-GB"/>
            </w:rPr>
          </w:pPr>
          <w:hyperlink w:anchor="_Toc216086857" w:history="1">
            <w:r w:rsidRPr="004C7082">
              <w:rPr>
                <w:rStyle w:val="Hyperlink"/>
                <w:rFonts w:ascii="Arial" w:hAnsi="Arial" w:cs="Arial"/>
                <w:noProof/>
              </w:rPr>
              <w:t>Context: The UK's aging population.</w:t>
            </w:r>
            <w:r>
              <w:rPr>
                <w:noProof/>
                <w:webHidden/>
              </w:rPr>
              <w:tab/>
            </w:r>
            <w:r>
              <w:rPr>
                <w:noProof/>
                <w:webHidden/>
              </w:rPr>
              <w:fldChar w:fldCharType="begin"/>
            </w:r>
            <w:r>
              <w:rPr>
                <w:noProof/>
                <w:webHidden/>
              </w:rPr>
              <w:instrText xml:space="preserve"> PAGEREF _Toc216086857 \h </w:instrText>
            </w:r>
            <w:r>
              <w:rPr>
                <w:noProof/>
                <w:webHidden/>
              </w:rPr>
            </w:r>
            <w:r>
              <w:rPr>
                <w:noProof/>
                <w:webHidden/>
              </w:rPr>
              <w:fldChar w:fldCharType="separate"/>
            </w:r>
            <w:r>
              <w:rPr>
                <w:noProof/>
                <w:webHidden/>
              </w:rPr>
              <w:t>3</w:t>
            </w:r>
            <w:r>
              <w:rPr>
                <w:noProof/>
                <w:webHidden/>
              </w:rPr>
              <w:fldChar w:fldCharType="end"/>
            </w:r>
          </w:hyperlink>
        </w:p>
        <w:p w14:paraId="308C1E78" w14:textId="4BA9C4B5" w:rsidR="00F73EB8" w:rsidRDefault="00F73EB8">
          <w:pPr>
            <w:pStyle w:val="TOC3"/>
            <w:tabs>
              <w:tab w:val="right" w:leader="dot" w:pos="9016"/>
            </w:tabs>
            <w:rPr>
              <w:rFonts w:eastAsiaTheme="minorEastAsia"/>
              <w:noProof/>
              <w:lang w:eastAsia="en-GB"/>
            </w:rPr>
          </w:pPr>
          <w:hyperlink w:anchor="_Toc216086858" w:history="1">
            <w:r w:rsidRPr="004C7082">
              <w:rPr>
                <w:rStyle w:val="Hyperlink"/>
                <w:rFonts w:ascii="Arial" w:hAnsi="Arial" w:cs="Arial"/>
                <w:noProof/>
              </w:rPr>
              <w:t>Policy landscape: A digital-first strategy</w:t>
            </w:r>
            <w:r>
              <w:rPr>
                <w:noProof/>
                <w:webHidden/>
              </w:rPr>
              <w:tab/>
            </w:r>
            <w:r>
              <w:rPr>
                <w:noProof/>
                <w:webHidden/>
              </w:rPr>
              <w:fldChar w:fldCharType="begin"/>
            </w:r>
            <w:r>
              <w:rPr>
                <w:noProof/>
                <w:webHidden/>
              </w:rPr>
              <w:instrText xml:space="preserve"> PAGEREF _Toc216086858 \h </w:instrText>
            </w:r>
            <w:r>
              <w:rPr>
                <w:noProof/>
                <w:webHidden/>
              </w:rPr>
            </w:r>
            <w:r>
              <w:rPr>
                <w:noProof/>
                <w:webHidden/>
              </w:rPr>
              <w:fldChar w:fldCharType="separate"/>
            </w:r>
            <w:r>
              <w:rPr>
                <w:noProof/>
                <w:webHidden/>
              </w:rPr>
              <w:t>3</w:t>
            </w:r>
            <w:r>
              <w:rPr>
                <w:noProof/>
                <w:webHidden/>
              </w:rPr>
              <w:fldChar w:fldCharType="end"/>
            </w:r>
          </w:hyperlink>
        </w:p>
        <w:p w14:paraId="0A79AB2D" w14:textId="5F704AFA" w:rsidR="00F73EB8" w:rsidRDefault="00F73EB8">
          <w:pPr>
            <w:pStyle w:val="TOC3"/>
            <w:tabs>
              <w:tab w:val="right" w:leader="dot" w:pos="9016"/>
            </w:tabs>
            <w:rPr>
              <w:rFonts w:eastAsiaTheme="minorEastAsia"/>
              <w:noProof/>
              <w:lang w:eastAsia="en-GB"/>
            </w:rPr>
          </w:pPr>
          <w:hyperlink w:anchor="_Toc216086859" w:history="1">
            <w:r w:rsidRPr="004C7082">
              <w:rPr>
                <w:rStyle w:val="Hyperlink"/>
                <w:rFonts w:ascii="Arial" w:hAnsi="Arial" w:cs="Arial"/>
                <w:noProof/>
              </w:rPr>
              <w:t>Practice and the digital switch</w:t>
            </w:r>
            <w:r>
              <w:rPr>
                <w:noProof/>
                <w:webHidden/>
              </w:rPr>
              <w:tab/>
            </w:r>
            <w:r>
              <w:rPr>
                <w:noProof/>
                <w:webHidden/>
              </w:rPr>
              <w:fldChar w:fldCharType="begin"/>
            </w:r>
            <w:r>
              <w:rPr>
                <w:noProof/>
                <w:webHidden/>
              </w:rPr>
              <w:instrText xml:space="preserve"> PAGEREF _Toc216086859 \h </w:instrText>
            </w:r>
            <w:r>
              <w:rPr>
                <w:noProof/>
                <w:webHidden/>
              </w:rPr>
            </w:r>
            <w:r>
              <w:rPr>
                <w:noProof/>
                <w:webHidden/>
              </w:rPr>
              <w:fldChar w:fldCharType="separate"/>
            </w:r>
            <w:r>
              <w:rPr>
                <w:noProof/>
                <w:webHidden/>
              </w:rPr>
              <w:t>4</w:t>
            </w:r>
            <w:r>
              <w:rPr>
                <w:noProof/>
                <w:webHidden/>
              </w:rPr>
              <w:fldChar w:fldCharType="end"/>
            </w:r>
          </w:hyperlink>
        </w:p>
        <w:p w14:paraId="78A89F0E" w14:textId="04DC183C" w:rsidR="00F73EB8" w:rsidRDefault="00F73EB8">
          <w:pPr>
            <w:pStyle w:val="TOC2"/>
            <w:tabs>
              <w:tab w:val="right" w:leader="dot" w:pos="9016"/>
            </w:tabs>
            <w:rPr>
              <w:rFonts w:eastAsiaTheme="minorEastAsia"/>
              <w:noProof/>
              <w:lang w:eastAsia="en-GB"/>
            </w:rPr>
          </w:pPr>
          <w:hyperlink w:anchor="_Toc216086860" w:history="1">
            <w:r w:rsidRPr="004C7082">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_Toc216086860 \h </w:instrText>
            </w:r>
            <w:r>
              <w:rPr>
                <w:noProof/>
                <w:webHidden/>
              </w:rPr>
            </w:r>
            <w:r>
              <w:rPr>
                <w:noProof/>
                <w:webHidden/>
              </w:rPr>
              <w:fldChar w:fldCharType="separate"/>
            </w:r>
            <w:r>
              <w:rPr>
                <w:noProof/>
                <w:webHidden/>
              </w:rPr>
              <w:t>4</w:t>
            </w:r>
            <w:r>
              <w:rPr>
                <w:noProof/>
                <w:webHidden/>
              </w:rPr>
              <w:fldChar w:fldCharType="end"/>
            </w:r>
          </w:hyperlink>
        </w:p>
        <w:p w14:paraId="77EAE7C0" w14:textId="6354D69D" w:rsidR="00F73EB8" w:rsidRDefault="00F73EB8">
          <w:pPr>
            <w:pStyle w:val="TOC3"/>
            <w:tabs>
              <w:tab w:val="right" w:leader="dot" w:pos="9016"/>
            </w:tabs>
            <w:rPr>
              <w:rFonts w:eastAsiaTheme="minorEastAsia"/>
              <w:noProof/>
              <w:lang w:eastAsia="en-GB"/>
            </w:rPr>
          </w:pPr>
          <w:hyperlink w:anchor="_Toc216086861" w:history="1">
            <w:r w:rsidRPr="004C7082">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_Toc216086861 \h </w:instrText>
            </w:r>
            <w:r>
              <w:rPr>
                <w:noProof/>
                <w:webHidden/>
              </w:rPr>
            </w:r>
            <w:r>
              <w:rPr>
                <w:noProof/>
                <w:webHidden/>
              </w:rPr>
              <w:fldChar w:fldCharType="separate"/>
            </w:r>
            <w:r>
              <w:rPr>
                <w:noProof/>
                <w:webHidden/>
              </w:rPr>
              <w:t>4</w:t>
            </w:r>
            <w:r>
              <w:rPr>
                <w:noProof/>
                <w:webHidden/>
              </w:rPr>
              <w:fldChar w:fldCharType="end"/>
            </w:r>
          </w:hyperlink>
        </w:p>
        <w:p w14:paraId="09C9A0C5" w14:textId="2A196833" w:rsidR="00F73EB8" w:rsidRDefault="00F73EB8">
          <w:pPr>
            <w:pStyle w:val="TOC3"/>
            <w:tabs>
              <w:tab w:val="right" w:leader="dot" w:pos="9016"/>
            </w:tabs>
            <w:rPr>
              <w:rFonts w:eastAsiaTheme="minorEastAsia"/>
              <w:noProof/>
              <w:lang w:eastAsia="en-GB"/>
            </w:rPr>
          </w:pPr>
          <w:hyperlink w:anchor="_Toc216086862" w:history="1">
            <w:r w:rsidRPr="004C7082">
              <w:rPr>
                <w:rStyle w:val="Hyperlink"/>
                <w:rFonts w:ascii="Arial" w:hAnsi="Arial" w:cs="Arial"/>
                <w:noProof/>
              </w:rPr>
              <w:t>Data collection strategy</w:t>
            </w:r>
            <w:r>
              <w:rPr>
                <w:noProof/>
                <w:webHidden/>
              </w:rPr>
              <w:tab/>
            </w:r>
            <w:r>
              <w:rPr>
                <w:noProof/>
                <w:webHidden/>
              </w:rPr>
              <w:fldChar w:fldCharType="begin"/>
            </w:r>
            <w:r>
              <w:rPr>
                <w:noProof/>
                <w:webHidden/>
              </w:rPr>
              <w:instrText xml:space="preserve"> PAGEREF _Toc216086862 \h </w:instrText>
            </w:r>
            <w:r>
              <w:rPr>
                <w:noProof/>
                <w:webHidden/>
              </w:rPr>
            </w:r>
            <w:r>
              <w:rPr>
                <w:noProof/>
                <w:webHidden/>
              </w:rPr>
              <w:fldChar w:fldCharType="separate"/>
            </w:r>
            <w:r>
              <w:rPr>
                <w:noProof/>
                <w:webHidden/>
              </w:rPr>
              <w:t>5</w:t>
            </w:r>
            <w:r>
              <w:rPr>
                <w:noProof/>
                <w:webHidden/>
              </w:rPr>
              <w:fldChar w:fldCharType="end"/>
            </w:r>
          </w:hyperlink>
        </w:p>
        <w:p w14:paraId="17296E53" w14:textId="6246697A" w:rsidR="00F73EB8" w:rsidRDefault="00F73EB8">
          <w:pPr>
            <w:pStyle w:val="TOC3"/>
            <w:tabs>
              <w:tab w:val="right" w:leader="dot" w:pos="9016"/>
            </w:tabs>
            <w:rPr>
              <w:rFonts w:eastAsiaTheme="minorEastAsia"/>
              <w:noProof/>
              <w:lang w:eastAsia="en-GB"/>
            </w:rPr>
          </w:pPr>
          <w:hyperlink w:anchor="_Toc216086863" w:history="1">
            <w:r w:rsidRPr="004C7082">
              <w:rPr>
                <w:rStyle w:val="Hyperlink"/>
                <w:rFonts w:ascii="Arial" w:hAnsi="Arial" w:cs="Arial"/>
                <w:noProof/>
              </w:rPr>
              <w:t>Study selection and analysis</w:t>
            </w:r>
            <w:r>
              <w:rPr>
                <w:noProof/>
                <w:webHidden/>
              </w:rPr>
              <w:tab/>
            </w:r>
            <w:r>
              <w:rPr>
                <w:noProof/>
                <w:webHidden/>
              </w:rPr>
              <w:fldChar w:fldCharType="begin"/>
            </w:r>
            <w:r>
              <w:rPr>
                <w:noProof/>
                <w:webHidden/>
              </w:rPr>
              <w:instrText xml:space="preserve"> PAGEREF _Toc216086863 \h </w:instrText>
            </w:r>
            <w:r>
              <w:rPr>
                <w:noProof/>
                <w:webHidden/>
              </w:rPr>
            </w:r>
            <w:r>
              <w:rPr>
                <w:noProof/>
                <w:webHidden/>
              </w:rPr>
              <w:fldChar w:fldCharType="separate"/>
            </w:r>
            <w:r>
              <w:rPr>
                <w:noProof/>
                <w:webHidden/>
              </w:rPr>
              <w:t>5</w:t>
            </w:r>
            <w:r>
              <w:rPr>
                <w:noProof/>
                <w:webHidden/>
              </w:rPr>
              <w:fldChar w:fldCharType="end"/>
            </w:r>
          </w:hyperlink>
        </w:p>
        <w:p w14:paraId="2B7A27F1" w14:textId="120D6C9E" w:rsidR="00F73EB8" w:rsidRDefault="00F73EB8">
          <w:pPr>
            <w:pStyle w:val="TOC3"/>
            <w:tabs>
              <w:tab w:val="right" w:leader="dot" w:pos="9016"/>
            </w:tabs>
            <w:rPr>
              <w:rFonts w:eastAsiaTheme="minorEastAsia"/>
              <w:noProof/>
              <w:lang w:eastAsia="en-GB"/>
            </w:rPr>
          </w:pPr>
          <w:hyperlink w:anchor="_Toc216086864" w:history="1">
            <w:r w:rsidRPr="004C7082">
              <w:rPr>
                <w:rStyle w:val="Hyperlink"/>
                <w:rFonts w:ascii="Arial" w:hAnsi="Arial" w:cs="Arial"/>
                <w:noProof/>
              </w:rPr>
              <w:t>Thematic analysis:</w:t>
            </w:r>
            <w:r>
              <w:rPr>
                <w:noProof/>
                <w:webHidden/>
              </w:rPr>
              <w:tab/>
            </w:r>
            <w:r>
              <w:rPr>
                <w:noProof/>
                <w:webHidden/>
              </w:rPr>
              <w:fldChar w:fldCharType="begin"/>
            </w:r>
            <w:r>
              <w:rPr>
                <w:noProof/>
                <w:webHidden/>
              </w:rPr>
              <w:instrText xml:space="preserve"> PAGEREF _Toc216086864 \h </w:instrText>
            </w:r>
            <w:r>
              <w:rPr>
                <w:noProof/>
                <w:webHidden/>
              </w:rPr>
            </w:r>
            <w:r>
              <w:rPr>
                <w:noProof/>
                <w:webHidden/>
              </w:rPr>
              <w:fldChar w:fldCharType="separate"/>
            </w:r>
            <w:r>
              <w:rPr>
                <w:noProof/>
                <w:webHidden/>
              </w:rPr>
              <w:t>5</w:t>
            </w:r>
            <w:r>
              <w:rPr>
                <w:noProof/>
                <w:webHidden/>
              </w:rPr>
              <w:fldChar w:fldCharType="end"/>
            </w:r>
          </w:hyperlink>
        </w:p>
        <w:p w14:paraId="085B0E76" w14:textId="0A496841" w:rsidR="00F73EB8" w:rsidRDefault="00F73EB8">
          <w:pPr>
            <w:pStyle w:val="TOC3"/>
            <w:tabs>
              <w:tab w:val="right" w:leader="dot" w:pos="9016"/>
            </w:tabs>
            <w:rPr>
              <w:rFonts w:eastAsiaTheme="minorEastAsia"/>
              <w:noProof/>
              <w:lang w:eastAsia="en-GB"/>
            </w:rPr>
          </w:pPr>
          <w:hyperlink w:anchor="_Toc216086865" w:history="1">
            <w:r w:rsidRPr="004C7082">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_Toc216086865 \h </w:instrText>
            </w:r>
            <w:r>
              <w:rPr>
                <w:noProof/>
                <w:webHidden/>
              </w:rPr>
            </w:r>
            <w:r>
              <w:rPr>
                <w:noProof/>
                <w:webHidden/>
              </w:rPr>
              <w:fldChar w:fldCharType="separate"/>
            </w:r>
            <w:r>
              <w:rPr>
                <w:noProof/>
                <w:webHidden/>
              </w:rPr>
              <w:t>5</w:t>
            </w:r>
            <w:r>
              <w:rPr>
                <w:noProof/>
                <w:webHidden/>
              </w:rPr>
              <w:fldChar w:fldCharType="end"/>
            </w:r>
          </w:hyperlink>
        </w:p>
        <w:p w14:paraId="28468A67" w14:textId="230948CF" w:rsidR="00F73EB8" w:rsidRDefault="00F73EB8">
          <w:pPr>
            <w:pStyle w:val="TOC2"/>
            <w:tabs>
              <w:tab w:val="right" w:leader="dot" w:pos="9016"/>
            </w:tabs>
            <w:rPr>
              <w:rFonts w:eastAsiaTheme="minorEastAsia"/>
              <w:noProof/>
              <w:lang w:eastAsia="en-GB"/>
            </w:rPr>
          </w:pPr>
          <w:hyperlink w:anchor="_Toc216086866" w:history="1">
            <w:r w:rsidRPr="004C7082">
              <w:rPr>
                <w:rStyle w:val="Hyperlink"/>
                <w:rFonts w:ascii="Arial" w:hAnsi="Arial" w:cs="Arial"/>
                <w:noProof/>
              </w:rPr>
              <w:t>4. Results</w:t>
            </w:r>
            <w:r>
              <w:rPr>
                <w:noProof/>
                <w:webHidden/>
              </w:rPr>
              <w:tab/>
            </w:r>
            <w:r>
              <w:rPr>
                <w:noProof/>
                <w:webHidden/>
              </w:rPr>
              <w:fldChar w:fldCharType="begin"/>
            </w:r>
            <w:r>
              <w:rPr>
                <w:noProof/>
                <w:webHidden/>
              </w:rPr>
              <w:instrText xml:space="preserve"> PAGEREF _Toc216086866 \h </w:instrText>
            </w:r>
            <w:r>
              <w:rPr>
                <w:noProof/>
                <w:webHidden/>
              </w:rPr>
            </w:r>
            <w:r>
              <w:rPr>
                <w:noProof/>
                <w:webHidden/>
              </w:rPr>
              <w:fldChar w:fldCharType="separate"/>
            </w:r>
            <w:r>
              <w:rPr>
                <w:noProof/>
                <w:webHidden/>
              </w:rPr>
              <w:t>6</w:t>
            </w:r>
            <w:r>
              <w:rPr>
                <w:noProof/>
                <w:webHidden/>
              </w:rPr>
              <w:fldChar w:fldCharType="end"/>
            </w:r>
          </w:hyperlink>
        </w:p>
        <w:p w14:paraId="35385A79" w14:textId="0C541851" w:rsidR="00F73EB8" w:rsidRDefault="00F73EB8">
          <w:pPr>
            <w:pStyle w:val="TOC3"/>
            <w:tabs>
              <w:tab w:val="right" w:leader="dot" w:pos="9016"/>
            </w:tabs>
            <w:rPr>
              <w:rFonts w:eastAsiaTheme="minorEastAsia"/>
              <w:noProof/>
              <w:lang w:eastAsia="en-GB"/>
            </w:rPr>
          </w:pPr>
          <w:hyperlink w:anchor="_Toc216086867" w:history="1">
            <w:r w:rsidRPr="004C7082">
              <w:rPr>
                <w:rStyle w:val="Hyperlink"/>
                <w:rFonts w:ascii="Arial" w:hAnsi="Arial" w:cs="Arial"/>
                <w:noProof/>
              </w:rPr>
              <w:t>Overview of included studies</w:t>
            </w:r>
            <w:r>
              <w:rPr>
                <w:noProof/>
                <w:webHidden/>
              </w:rPr>
              <w:tab/>
            </w:r>
            <w:r>
              <w:rPr>
                <w:noProof/>
                <w:webHidden/>
              </w:rPr>
              <w:fldChar w:fldCharType="begin"/>
            </w:r>
            <w:r>
              <w:rPr>
                <w:noProof/>
                <w:webHidden/>
              </w:rPr>
              <w:instrText xml:space="preserve"> PAGEREF _Toc216086867 \h </w:instrText>
            </w:r>
            <w:r>
              <w:rPr>
                <w:noProof/>
                <w:webHidden/>
              </w:rPr>
            </w:r>
            <w:r>
              <w:rPr>
                <w:noProof/>
                <w:webHidden/>
              </w:rPr>
              <w:fldChar w:fldCharType="separate"/>
            </w:r>
            <w:r>
              <w:rPr>
                <w:noProof/>
                <w:webHidden/>
              </w:rPr>
              <w:t>6</w:t>
            </w:r>
            <w:r>
              <w:rPr>
                <w:noProof/>
                <w:webHidden/>
              </w:rPr>
              <w:fldChar w:fldCharType="end"/>
            </w:r>
          </w:hyperlink>
        </w:p>
        <w:p w14:paraId="4DF3B19E" w14:textId="4DC0D0B6" w:rsidR="00F73EB8" w:rsidRDefault="00F73EB8">
          <w:pPr>
            <w:pStyle w:val="TOC3"/>
            <w:tabs>
              <w:tab w:val="right" w:leader="dot" w:pos="9016"/>
            </w:tabs>
            <w:rPr>
              <w:rFonts w:eastAsiaTheme="minorEastAsia"/>
              <w:noProof/>
              <w:lang w:eastAsia="en-GB"/>
            </w:rPr>
          </w:pPr>
          <w:hyperlink w:anchor="_Toc216086868" w:history="1">
            <w:r w:rsidRPr="004C7082">
              <w:rPr>
                <w:rStyle w:val="Hyperlink"/>
                <w:rFonts w:ascii="Arial" w:hAnsi="Arial" w:cs="Arial"/>
                <w:noProof/>
              </w:rPr>
              <w:t>Thematic analysis</w:t>
            </w:r>
            <w:r>
              <w:rPr>
                <w:noProof/>
                <w:webHidden/>
              </w:rPr>
              <w:tab/>
            </w:r>
            <w:r>
              <w:rPr>
                <w:noProof/>
                <w:webHidden/>
              </w:rPr>
              <w:fldChar w:fldCharType="begin"/>
            </w:r>
            <w:r>
              <w:rPr>
                <w:noProof/>
                <w:webHidden/>
              </w:rPr>
              <w:instrText xml:space="preserve"> PAGEREF _Toc216086868 \h </w:instrText>
            </w:r>
            <w:r>
              <w:rPr>
                <w:noProof/>
                <w:webHidden/>
              </w:rPr>
            </w:r>
            <w:r>
              <w:rPr>
                <w:noProof/>
                <w:webHidden/>
              </w:rPr>
              <w:fldChar w:fldCharType="separate"/>
            </w:r>
            <w:r>
              <w:rPr>
                <w:noProof/>
                <w:webHidden/>
              </w:rPr>
              <w:t>6</w:t>
            </w:r>
            <w:r>
              <w:rPr>
                <w:noProof/>
                <w:webHidden/>
              </w:rPr>
              <w:fldChar w:fldCharType="end"/>
            </w:r>
          </w:hyperlink>
        </w:p>
        <w:p w14:paraId="18F1D630" w14:textId="049F8CAE" w:rsidR="00F73EB8" w:rsidRDefault="00F73EB8">
          <w:pPr>
            <w:pStyle w:val="TOC2"/>
            <w:tabs>
              <w:tab w:val="right" w:leader="dot" w:pos="9016"/>
            </w:tabs>
            <w:rPr>
              <w:rFonts w:eastAsiaTheme="minorEastAsia"/>
              <w:noProof/>
              <w:lang w:eastAsia="en-GB"/>
            </w:rPr>
          </w:pPr>
          <w:hyperlink w:anchor="_Toc216086869" w:history="1">
            <w:r w:rsidRPr="004C7082">
              <w:rPr>
                <w:rStyle w:val="Hyperlink"/>
                <w:rFonts w:ascii="Arial" w:hAnsi="Arial" w:cs="Arial"/>
                <w:noProof/>
              </w:rPr>
              <w:t>Discussion</w:t>
            </w:r>
            <w:r>
              <w:rPr>
                <w:noProof/>
                <w:webHidden/>
              </w:rPr>
              <w:tab/>
            </w:r>
            <w:r>
              <w:rPr>
                <w:noProof/>
                <w:webHidden/>
              </w:rPr>
              <w:fldChar w:fldCharType="begin"/>
            </w:r>
            <w:r>
              <w:rPr>
                <w:noProof/>
                <w:webHidden/>
              </w:rPr>
              <w:instrText xml:space="preserve"> PAGEREF _Toc216086869 \h </w:instrText>
            </w:r>
            <w:r>
              <w:rPr>
                <w:noProof/>
                <w:webHidden/>
              </w:rPr>
            </w:r>
            <w:r>
              <w:rPr>
                <w:noProof/>
                <w:webHidden/>
              </w:rPr>
              <w:fldChar w:fldCharType="separate"/>
            </w:r>
            <w:r>
              <w:rPr>
                <w:noProof/>
                <w:webHidden/>
              </w:rPr>
              <w:t>7</w:t>
            </w:r>
            <w:r>
              <w:rPr>
                <w:noProof/>
                <w:webHidden/>
              </w:rPr>
              <w:fldChar w:fldCharType="end"/>
            </w:r>
          </w:hyperlink>
        </w:p>
        <w:p w14:paraId="10B2B679" w14:textId="16902AA7" w:rsidR="00F73EB8" w:rsidRDefault="00F73EB8">
          <w:pPr>
            <w:pStyle w:val="TOC3"/>
            <w:tabs>
              <w:tab w:val="right" w:leader="dot" w:pos="9016"/>
            </w:tabs>
            <w:rPr>
              <w:rFonts w:eastAsiaTheme="minorEastAsia"/>
              <w:noProof/>
              <w:lang w:eastAsia="en-GB"/>
            </w:rPr>
          </w:pPr>
          <w:hyperlink w:anchor="_Toc216086870" w:history="1">
            <w:r w:rsidRPr="004C7082">
              <w:rPr>
                <w:rStyle w:val="Hyperlink"/>
                <w:rFonts w:ascii="Arial" w:hAnsi="Arial" w:cs="Arial"/>
                <w:noProof/>
              </w:rPr>
              <w:t>Synthesis of findings</w:t>
            </w:r>
            <w:r>
              <w:rPr>
                <w:noProof/>
                <w:webHidden/>
              </w:rPr>
              <w:tab/>
            </w:r>
            <w:r>
              <w:rPr>
                <w:noProof/>
                <w:webHidden/>
              </w:rPr>
              <w:fldChar w:fldCharType="begin"/>
            </w:r>
            <w:r>
              <w:rPr>
                <w:noProof/>
                <w:webHidden/>
              </w:rPr>
              <w:instrText xml:space="preserve"> PAGEREF _Toc216086870 \h </w:instrText>
            </w:r>
            <w:r>
              <w:rPr>
                <w:noProof/>
                <w:webHidden/>
              </w:rPr>
            </w:r>
            <w:r>
              <w:rPr>
                <w:noProof/>
                <w:webHidden/>
              </w:rPr>
              <w:fldChar w:fldCharType="separate"/>
            </w:r>
            <w:r>
              <w:rPr>
                <w:noProof/>
                <w:webHidden/>
              </w:rPr>
              <w:t>7</w:t>
            </w:r>
            <w:r>
              <w:rPr>
                <w:noProof/>
                <w:webHidden/>
              </w:rPr>
              <w:fldChar w:fldCharType="end"/>
            </w:r>
          </w:hyperlink>
        </w:p>
        <w:p w14:paraId="330EFAED" w14:textId="0C48781E" w:rsidR="00F73EB8" w:rsidRDefault="00F73EB8">
          <w:pPr>
            <w:pStyle w:val="TOC3"/>
            <w:tabs>
              <w:tab w:val="right" w:leader="dot" w:pos="9016"/>
            </w:tabs>
            <w:rPr>
              <w:rFonts w:eastAsiaTheme="minorEastAsia"/>
              <w:noProof/>
              <w:lang w:eastAsia="en-GB"/>
            </w:rPr>
          </w:pPr>
          <w:hyperlink w:anchor="_Toc216086871" w:history="1">
            <w:r w:rsidRPr="004C7082">
              <w:rPr>
                <w:rStyle w:val="Hyperlink"/>
                <w:rFonts w:ascii="Arial" w:hAnsi="Arial" w:cs="Arial"/>
                <w:noProof/>
              </w:rPr>
              <w:t>The paradox of connection</w:t>
            </w:r>
            <w:r>
              <w:rPr>
                <w:noProof/>
                <w:webHidden/>
              </w:rPr>
              <w:tab/>
            </w:r>
            <w:r>
              <w:rPr>
                <w:noProof/>
                <w:webHidden/>
              </w:rPr>
              <w:fldChar w:fldCharType="begin"/>
            </w:r>
            <w:r>
              <w:rPr>
                <w:noProof/>
                <w:webHidden/>
              </w:rPr>
              <w:instrText xml:space="preserve"> PAGEREF _Toc216086871 \h </w:instrText>
            </w:r>
            <w:r>
              <w:rPr>
                <w:noProof/>
                <w:webHidden/>
              </w:rPr>
            </w:r>
            <w:r>
              <w:rPr>
                <w:noProof/>
                <w:webHidden/>
              </w:rPr>
              <w:fldChar w:fldCharType="separate"/>
            </w:r>
            <w:r>
              <w:rPr>
                <w:noProof/>
                <w:webHidden/>
              </w:rPr>
              <w:t>8</w:t>
            </w:r>
            <w:r>
              <w:rPr>
                <w:noProof/>
                <w:webHidden/>
              </w:rPr>
              <w:fldChar w:fldCharType="end"/>
            </w:r>
          </w:hyperlink>
        </w:p>
        <w:p w14:paraId="60BD2E10" w14:textId="2DD9B8CE" w:rsidR="00F73EB8" w:rsidRDefault="00F73EB8">
          <w:pPr>
            <w:pStyle w:val="TOC3"/>
            <w:tabs>
              <w:tab w:val="right" w:leader="dot" w:pos="9016"/>
            </w:tabs>
            <w:rPr>
              <w:rFonts w:eastAsiaTheme="minorEastAsia"/>
              <w:noProof/>
              <w:lang w:eastAsia="en-GB"/>
            </w:rPr>
          </w:pPr>
          <w:hyperlink w:anchor="_Toc216086872" w:history="1">
            <w:r w:rsidRPr="004C7082">
              <w:rPr>
                <w:rStyle w:val="Hyperlink"/>
                <w:rFonts w:ascii="Arial" w:hAnsi="Arial" w:cs="Arial"/>
                <w:noProof/>
              </w:rPr>
              <w:t>Technological determinism vs. user reality</w:t>
            </w:r>
            <w:r>
              <w:rPr>
                <w:noProof/>
                <w:webHidden/>
              </w:rPr>
              <w:tab/>
            </w:r>
            <w:r>
              <w:rPr>
                <w:noProof/>
                <w:webHidden/>
              </w:rPr>
              <w:fldChar w:fldCharType="begin"/>
            </w:r>
            <w:r>
              <w:rPr>
                <w:noProof/>
                <w:webHidden/>
              </w:rPr>
              <w:instrText xml:space="preserve"> PAGEREF _Toc216086872 \h </w:instrText>
            </w:r>
            <w:r>
              <w:rPr>
                <w:noProof/>
                <w:webHidden/>
              </w:rPr>
            </w:r>
            <w:r>
              <w:rPr>
                <w:noProof/>
                <w:webHidden/>
              </w:rPr>
              <w:fldChar w:fldCharType="separate"/>
            </w:r>
            <w:r>
              <w:rPr>
                <w:noProof/>
                <w:webHidden/>
              </w:rPr>
              <w:t>8</w:t>
            </w:r>
            <w:r>
              <w:rPr>
                <w:noProof/>
                <w:webHidden/>
              </w:rPr>
              <w:fldChar w:fldCharType="end"/>
            </w:r>
          </w:hyperlink>
        </w:p>
        <w:p w14:paraId="549CFF17" w14:textId="78003E1C" w:rsidR="00F73EB8" w:rsidRDefault="00F73EB8">
          <w:pPr>
            <w:pStyle w:val="TOC2"/>
            <w:tabs>
              <w:tab w:val="right" w:leader="dot" w:pos="9016"/>
            </w:tabs>
            <w:rPr>
              <w:rFonts w:eastAsiaTheme="minorEastAsia"/>
              <w:noProof/>
              <w:lang w:eastAsia="en-GB"/>
            </w:rPr>
          </w:pPr>
          <w:hyperlink w:anchor="_Toc216086873" w:history="1">
            <w:r w:rsidRPr="004C7082">
              <w:rPr>
                <w:rStyle w:val="Hyperlink"/>
                <w:rFonts w:ascii="Arial" w:hAnsi="Arial" w:cs="Arial"/>
                <w:noProof/>
              </w:rPr>
              <w:t>Limitations of the review</w:t>
            </w:r>
            <w:r>
              <w:rPr>
                <w:noProof/>
                <w:webHidden/>
              </w:rPr>
              <w:tab/>
            </w:r>
            <w:r>
              <w:rPr>
                <w:noProof/>
                <w:webHidden/>
              </w:rPr>
              <w:fldChar w:fldCharType="begin"/>
            </w:r>
            <w:r>
              <w:rPr>
                <w:noProof/>
                <w:webHidden/>
              </w:rPr>
              <w:instrText xml:space="preserve"> PAGEREF _Toc216086873 \h </w:instrText>
            </w:r>
            <w:r>
              <w:rPr>
                <w:noProof/>
                <w:webHidden/>
              </w:rPr>
            </w:r>
            <w:r>
              <w:rPr>
                <w:noProof/>
                <w:webHidden/>
              </w:rPr>
              <w:fldChar w:fldCharType="separate"/>
            </w:r>
            <w:r>
              <w:rPr>
                <w:noProof/>
                <w:webHidden/>
              </w:rPr>
              <w:t>8</w:t>
            </w:r>
            <w:r>
              <w:rPr>
                <w:noProof/>
                <w:webHidden/>
              </w:rPr>
              <w:fldChar w:fldCharType="end"/>
            </w:r>
          </w:hyperlink>
        </w:p>
        <w:p w14:paraId="25F3090C" w14:textId="22F9EC70" w:rsidR="00F73EB8" w:rsidRDefault="00F73EB8">
          <w:pPr>
            <w:pStyle w:val="TOC2"/>
            <w:tabs>
              <w:tab w:val="right" w:leader="dot" w:pos="9016"/>
            </w:tabs>
            <w:rPr>
              <w:rFonts w:eastAsiaTheme="minorEastAsia"/>
              <w:noProof/>
              <w:lang w:eastAsia="en-GB"/>
            </w:rPr>
          </w:pPr>
          <w:hyperlink w:anchor="_Toc216086874" w:history="1">
            <w:r w:rsidRPr="004C7082">
              <w:rPr>
                <w:rStyle w:val="Hyperlink"/>
                <w:rFonts w:ascii="Arial" w:hAnsi="Arial" w:cs="Arial"/>
                <w:noProof/>
              </w:rPr>
              <w:t>6. Conclusion and Recommendations</w:t>
            </w:r>
            <w:r>
              <w:rPr>
                <w:noProof/>
                <w:webHidden/>
              </w:rPr>
              <w:tab/>
            </w:r>
            <w:r>
              <w:rPr>
                <w:noProof/>
                <w:webHidden/>
              </w:rPr>
              <w:fldChar w:fldCharType="begin"/>
            </w:r>
            <w:r>
              <w:rPr>
                <w:noProof/>
                <w:webHidden/>
              </w:rPr>
              <w:instrText xml:space="preserve"> PAGEREF _Toc216086874 \h </w:instrText>
            </w:r>
            <w:r>
              <w:rPr>
                <w:noProof/>
                <w:webHidden/>
              </w:rPr>
            </w:r>
            <w:r>
              <w:rPr>
                <w:noProof/>
                <w:webHidden/>
              </w:rPr>
              <w:fldChar w:fldCharType="separate"/>
            </w:r>
            <w:r>
              <w:rPr>
                <w:noProof/>
                <w:webHidden/>
              </w:rPr>
              <w:t>9</w:t>
            </w:r>
            <w:r>
              <w:rPr>
                <w:noProof/>
                <w:webHidden/>
              </w:rPr>
              <w:fldChar w:fldCharType="end"/>
            </w:r>
          </w:hyperlink>
        </w:p>
        <w:p w14:paraId="77AED637" w14:textId="66142D7C" w:rsidR="00F73EB8" w:rsidRDefault="00F73EB8">
          <w:pPr>
            <w:pStyle w:val="TOC3"/>
            <w:tabs>
              <w:tab w:val="right" w:leader="dot" w:pos="9016"/>
            </w:tabs>
            <w:rPr>
              <w:rFonts w:eastAsiaTheme="minorEastAsia"/>
              <w:noProof/>
              <w:lang w:eastAsia="en-GB"/>
            </w:rPr>
          </w:pPr>
          <w:hyperlink w:anchor="_Toc216086875" w:history="1">
            <w:r w:rsidRPr="004C708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_Toc216086875 \h </w:instrText>
            </w:r>
            <w:r>
              <w:rPr>
                <w:noProof/>
                <w:webHidden/>
              </w:rPr>
            </w:r>
            <w:r>
              <w:rPr>
                <w:noProof/>
                <w:webHidden/>
              </w:rPr>
              <w:fldChar w:fldCharType="separate"/>
            </w:r>
            <w:r>
              <w:rPr>
                <w:noProof/>
                <w:webHidden/>
              </w:rPr>
              <w:t>9</w:t>
            </w:r>
            <w:r>
              <w:rPr>
                <w:noProof/>
                <w:webHidden/>
              </w:rPr>
              <w:fldChar w:fldCharType="end"/>
            </w:r>
          </w:hyperlink>
        </w:p>
        <w:p w14:paraId="095CF96A" w14:textId="3F48B244" w:rsidR="00F73EB8" w:rsidRDefault="00F73EB8">
          <w:pPr>
            <w:pStyle w:val="TOC3"/>
            <w:tabs>
              <w:tab w:val="right" w:leader="dot" w:pos="9016"/>
            </w:tabs>
            <w:rPr>
              <w:rFonts w:eastAsiaTheme="minorEastAsia"/>
              <w:noProof/>
              <w:lang w:eastAsia="en-GB"/>
            </w:rPr>
          </w:pPr>
          <w:hyperlink w:anchor="_Toc216086876" w:history="1">
            <w:r w:rsidRPr="004C708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_Toc216086876 \h </w:instrText>
            </w:r>
            <w:r>
              <w:rPr>
                <w:noProof/>
                <w:webHidden/>
              </w:rPr>
            </w:r>
            <w:r>
              <w:rPr>
                <w:noProof/>
                <w:webHidden/>
              </w:rPr>
              <w:fldChar w:fldCharType="separate"/>
            </w:r>
            <w:r>
              <w:rPr>
                <w:noProof/>
                <w:webHidden/>
              </w:rPr>
              <w:t>9</w:t>
            </w:r>
            <w:r>
              <w:rPr>
                <w:noProof/>
                <w:webHidden/>
              </w:rPr>
              <w:fldChar w:fldCharType="end"/>
            </w:r>
          </w:hyperlink>
        </w:p>
        <w:p w14:paraId="4ED90DAE" w14:textId="0560825B" w:rsidR="00F73EB8" w:rsidRDefault="00F73EB8">
          <w:pPr>
            <w:pStyle w:val="TOC2"/>
            <w:tabs>
              <w:tab w:val="right" w:leader="dot" w:pos="9016"/>
            </w:tabs>
            <w:rPr>
              <w:rFonts w:eastAsiaTheme="minorEastAsia"/>
              <w:noProof/>
              <w:lang w:eastAsia="en-GB"/>
            </w:rPr>
          </w:pPr>
          <w:hyperlink w:anchor="_Toc216086877" w:history="1">
            <w:r w:rsidRPr="004C708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_Toc216086877 \h </w:instrText>
            </w:r>
            <w:r>
              <w:rPr>
                <w:noProof/>
                <w:webHidden/>
              </w:rPr>
            </w:r>
            <w:r>
              <w:rPr>
                <w:noProof/>
                <w:webHidden/>
              </w:rPr>
              <w:fldChar w:fldCharType="separate"/>
            </w:r>
            <w:r>
              <w:rPr>
                <w:noProof/>
                <w:webHidden/>
              </w:rPr>
              <w:t>11</w:t>
            </w:r>
            <w:r>
              <w:rPr>
                <w:noProof/>
                <w:webHidden/>
              </w:rPr>
              <w:fldChar w:fldCharType="end"/>
            </w:r>
          </w:hyperlink>
        </w:p>
        <w:p w14:paraId="56618F13" w14:textId="62759374" w:rsidR="00F73EB8" w:rsidRDefault="00F73EB8">
          <w:r>
            <w:rPr>
              <w:b/>
              <w:bCs/>
              <w:noProof/>
            </w:rPr>
            <w:fldChar w:fldCharType="end"/>
          </w:r>
        </w:p>
      </w:sdtContent>
    </w:sdt>
    <w:p w14:paraId="0557AB5F" w14:textId="77777777" w:rsidR="00F73EB8" w:rsidRPr="00546A24" w:rsidRDefault="00F73EB8" w:rsidP="00546A24"/>
    <w:p w14:paraId="724CFEFC" w14:textId="5E65AD46" w:rsidR="002343D8" w:rsidRPr="00820994" w:rsidRDefault="002343D8" w:rsidP="00484FEE">
      <w:pPr>
        <w:spacing w:line="360" w:lineRule="auto"/>
        <w:jc w:val="center"/>
        <w:rPr>
          <w:rFonts w:ascii="Arial" w:hAnsi="Arial" w:cs="Arial"/>
          <w:b/>
          <w:bCs/>
          <w:sz w:val="22"/>
          <w:szCs w:val="22"/>
        </w:rPr>
      </w:pPr>
      <w:bookmarkStart w:id="0" w:name="_Toc216086851"/>
      <w:r w:rsidRPr="00820994">
        <w:rPr>
          <w:rStyle w:val="Heading2Char"/>
          <w:rFonts w:ascii="Arial" w:hAnsi="Arial" w:cs="Arial"/>
          <w:sz w:val="22"/>
          <w:szCs w:val="22"/>
        </w:rPr>
        <w:lastRenderedPageBreak/>
        <w:t>Review Question</w:t>
      </w:r>
      <w:bookmarkEnd w:id="0"/>
      <w:r w:rsidRPr="00820994">
        <w:rPr>
          <w:rFonts w:ascii="Arial" w:hAnsi="Arial" w:cs="Arial"/>
          <w:sz w:val="22"/>
          <w:szCs w:val="22"/>
        </w:rPr>
        <w:br/>
      </w:r>
      <w:r w:rsidR="00914D61" w:rsidRPr="00FA5739">
        <w:rPr>
          <w:rStyle w:val="Heading1Char"/>
          <w:rFonts w:ascii="Arial" w:hAnsi="Arial" w:cs="Arial"/>
          <w:b/>
          <w:bCs/>
          <w:sz w:val="22"/>
          <w:szCs w:val="22"/>
          <w:u w:val="single"/>
        </w:rPr>
        <w:t>WHAT IS THE IMPACT OF TELECARE AND REMOTE MONITORING TECHNOLOGIES ON THE INDEPENDENCE OF ELDERLY PEOPLE LIVING AT HOME IN THE UK?</w:t>
      </w:r>
    </w:p>
    <w:p w14:paraId="6F4B90C8" w14:textId="77777777" w:rsidR="002343D8" w:rsidRPr="00FA5739" w:rsidRDefault="002343D8" w:rsidP="00FB38E4">
      <w:pPr>
        <w:spacing w:line="360" w:lineRule="auto"/>
        <w:rPr>
          <w:rFonts w:ascii="Arial" w:hAnsi="Arial" w:cs="Arial"/>
          <w:b/>
          <w:bCs/>
          <w:sz w:val="22"/>
          <w:szCs w:val="22"/>
        </w:rPr>
      </w:pPr>
    </w:p>
    <w:p w14:paraId="15A77FA1" w14:textId="47003DB1" w:rsidR="00820994" w:rsidRPr="00FA5739" w:rsidRDefault="00820994" w:rsidP="00FB38E4">
      <w:pPr>
        <w:pStyle w:val="Heading2"/>
        <w:spacing w:line="360" w:lineRule="auto"/>
        <w:rPr>
          <w:rFonts w:ascii="Arial" w:hAnsi="Arial" w:cs="Arial"/>
          <w:sz w:val="22"/>
          <w:szCs w:val="22"/>
        </w:rPr>
      </w:pPr>
      <w:bookmarkStart w:id="1" w:name="_Toc216086852"/>
      <w:r w:rsidRPr="00FA5739">
        <w:rPr>
          <w:rFonts w:ascii="Arial" w:hAnsi="Arial" w:cs="Arial"/>
          <w:sz w:val="22"/>
          <w:szCs w:val="22"/>
        </w:rPr>
        <w:t>1. Introduction</w:t>
      </w:r>
      <w:bookmarkEnd w:id="1"/>
    </w:p>
    <w:p w14:paraId="7B80E5D5" w14:textId="77777777" w:rsidR="00820994" w:rsidRPr="00FA5739" w:rsidRDefault="00820994" w:rsidP="00FB38E4">
      <w:pPr>
        <w:pStyle w:val="Heading3"/>
        <w:spacing w:line="360" w:lineRule="auto"/>
        <w:rPr>
          <w:rFonts w:ascii="Arial" w:hAnsi="Arial" w:cs="Arial"/>
          <w:sz w:val="22"/>
          <w:szCs w:val="22"/>
        </w:rPr>
      </w:pPr>
      <w:bookmarkStart w:id="2" w:name="_Toc216086853"/>
      <w:r w:rsidRPr="00FA5739">
        <w:rPr>
          <w:rFonts w:ascii="Arial" w:hAnsi="Arial" w:cs="Arial"/>
          <w:sz w:val="22"/>
          <w:szCs w:val="22"/>
        </w:rPr>
        <w:t>Overview and Rationale</w:t>
      </w:r>
      <w:bookmarkEnd w:id="2"/>
    </w:p>
    <w:p w14:paraId="1AFE1923" w14:textId="7B94C198"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 xml:space="preserve">This question is critical because the United Kingdom is facing a significant demographic shift. The population aged over 85 is projected to rise from 1.6 million in 2021 to 2.6 million by 2036 (Foundations, 2024). This </w:t>
      </w:r>
      <w:r w:rsidR="009951A8">
        <w:rPr>
          <w:rFonts w:ascii="Arial" w:hAnsi="Arial" w:cs="Arial"/>
          <w:sz w:val="22"/>
          <w:szCs w:val="22"/>
        </w:rPr>
        <w:t>“</w:t>
      </w:r>
      <w:r w:rsidRPr="00820994">
        <w:rPr>
          <w:rFonts w:ascii="Arial" w:hAnsi="Arial" w:cs="Arial"/>
          <w:sz w:val="22"/>
          <w:szCs w:val="22"/>
        </w:rPr>
        <w:t>aging crisis</w:t>
      </w:r>
      <w:r w:rsidR="009951A8">
        <w:rPr>
          <w:rFonts w:ascii="Arial" w:hAnsi="Arial" w:cs="Arial"/>
          <w:sz w:val="22"/>
          <w:szCs w:val="22"/>
        </w:rPr>
        <w:t>”</w:t>
      </w:r>
      <w:r w:rsidRPr="00820994">
        <w:rPr>
          <w:rFonts w:ascii="Arial" w:hAnsi="Arial" w:cs="Arial"/>
          <w:sz w:val="22"/>
          <w:szCs w:val="22"/>
        </w:rPr>
        <w:t xml:space="preserve"> places unprecedented pressure on the National Health Service (NHS) and social care systems, necessitating innovative solutions to manage chronic conditions and frailty without over-relying on institutional care.</w:t>
      </w:r>
    </w:p>
    <w:p w14:paraId="211717D4" w14:textId="353804D2"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In this context, maintaining the independence of older adults in their own homes</w:t>
      </w:r>
      <w:r w:rsidR="00981479">
        <w:rPr>
          <w:rFonts w:ascii="Arial" w:hAnsi="Arial" w:cs="Arial"/>
          <w:sz w:val="22"/>
          <w:szCs w:val="22"/>
        </w:rPr>
        <w:t xml:space="preserve"> </w:t>
      </w:r>
      <w:r w:rsidRPr="00820994">
        <w:rPr>
          <w:rFonts w:ascii="Arial" w:hAnsi="Arial" w:cs="Arial"/>
          <w:sz w:val="22"/>
          <w:szCs w:val="22"/>
        </w:rPr>
        <w:t xml:space="preserve">often </w:t>
      </w:r>
      <w:r w:rsidR="00981479">
        <w:rPr>
          <w:rFonts w:ascii="Arial" w:hAnsi="Arial" w:cs="Arial"/>
          <w:sz w:val="22"/>
          <w:szCs w:val="22"/>
        </w:rPr>
        <w:t>called</w:t>
      </w:r>
      <w:r w:rsidRPr="00820994">
        <w:rPr>
          <w:rFonts w:ascii="Arial" w:hAnsi="Arial" w:cs="Arial"/>
          <w:sz w:val="22"/>
          <w:szCs w:val="22"/>
        </w:rPr>
        <w:t xml:space="preserve"> </w:t>
      </w:r>
      <w:r w:rsidR="009951A8">
        <w:rPr>
          <w:rFonts w:ascii="Arial" w:hAnsi="Arial" w:cs="Arial"/>
          <w:sz w:val="22"/>
          <w:szCs w:val="22"/>
        </w:rPr>
        <w:t>“</w:t>
      </w:r>
      <w:r w:rsidRPr="00820994">
        <w:rPr>
          <w:rFonts w:ascii="Arial" w:hAnsi="Arial" w:cs="Arial"/>
          <w:sz w:val="22"/>
          <w:szCs w:val="22"/>
        </w:rPr>
        <w:t>aging in place</w:t>
      </w:r>
      <w:r w:rsidR="009951A8">
        <w:rPr>
          <w:rFonts w:ascii="Arial" w:hAnsi="Arial" w:cs="Arial"/>
          <w:sz w:val="22"/>
          <w:szCs w:val="22"/>
        </w:rPr>
        <w:t>”</w:t>
      </w:r>
      <w:r w:rsidR="00981479">
        <w:rPr>
          <w:rFonts w:ascii="Arial" w:hAnsi="Arial" w:cs="Arial"/>
          <w:sz w:val="22"/>
          <w:szCs w:val="22"/>
        </w:rPr>
        <w:t xml:space="preserve"> </w:t>
      </w:r>
      <w:r w:rsidRPr="00820994">
        <w:rPr>
          <w:rFonts w:ascii="Arial" w:hAnsi="Arial" w:cs="Arial"/>
          <w:sz w:val="22"/>
          <w:szCs w:val="22"/>
        </w:rPr>
        <w:t xml:space="preserve">has become a primary policy objective. Telecare and remote monitoring technologies have emerged as central tools in this strategy, promising to bridge the gap between limited workforce capacity and growing demand by enabling </w:t>
      </w:r>
      <w:r w:rsidR="009951A8">
        <w:rPr>
          <w:rFonts w:ascii="Arial" w:hAnsi="Arial" w:cs="Arial"/>
          <w:sz w:val="22"/>
          <w:szCs w:val="22"/>
        </w:rPr>
        <w:t>“</w:t>
      </w:r>
      <w:r w:rsidRPr="00820994">
        <w:rPr>
          <w:rFonts w:ascii="Arial" w:hAnsi="Arial" w:cs="Arial"/>
          <w:sz w:val="22"/>
          <w:szCs w:val="22"/>
        </w:rPr>
        <w:t>care at a distance.</w:t>
      </w:r>
      <w:r w:rsidR="009951A8">
        <w:rPr>
          <w:rFonts w:ascii="Arial" w:hAnsi="Arial" w:cs="Arial"/>
          <w:sz w:val="22"/>
          <w:szCs w:val="22"/>
        </w:rPr>
        <w:t>”</w:t>
      </w:r>
      <w:r w:rsidRPr="00820994">
        <w:rPr>
          <w:rFonts w:ascii="Arial" w:hAnsi="Arial" w:cs="Arial"/>
          <w:sz w:val="22"/>
          <w:szCs w:val="22"/>
        </w:rPr>
        <w:t xml:space="preserve"> However, while the technological potential is vast, the actual impact on the lived experience of independence for elderly users remains complex. Does technology genuinely empower users, or does it merely shift the location of care? This review seeks to examine recent peer-reviewed evidence to answer this.</w:t>
      </w:r>
    </w:p>
    <w:p w14:paraId="0DF9D7C4" w14:textId="77777777" w:rsidR="00820994" w:rsidRPr="00FA5739" w:rsidRDefault="00820994" w:rsidP="00FB38E4">
      <w:pPr>
        <w:pStyle w:val="Heading3"/>
        <w:spacing w:line="360" w:lineRule="auto"/>
        <w:rPr>
          <w:rFonts w:ascii="Arial" w:hAnsi="Arial" w:cs="Arial"/>
          <w:sz w:val="22"/>
          <w:szCs w:val="22"/>
        </w:rPr>
      </w:pPr>
      <w:bookmarkStart w:id="3" w:name="_Toc216086854"/>
      <w:r w:rsidRPr="00FA5739">
        <w:rPr>
          <w:rFonts w:ascii="Arial" w:hAnsi="Arial" w:cs="Arial"/>
          <w:sz w:val="22"/>
          <w:szCs w:val="22"/>
        </w:rPr>
        <w:t>Definitions</w:t>
      </w:r>
      <w:bookmarkEnd w:id="3"/>
    </w:p>
    <w:p w14:paraId="44D73313" w14:textId="77777777"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For the purposes of this review, the following definitions are applied:</w:t>
      </w:r>
    </w:p>
    <w:p w14:paraId="0ECF3493" w14:textId="694165BA" w:rsidR="00820994" w:rsidRPr="00820994" w:rsidRDefault="00820994" w:rsidP="00FB38E4">
      <w:pPr>
        <w:numPr>
          <w:ilvl w:val="0"/>
          <w:numId w:val="8"/>
        </w:numPr>
        <w:spacing w:line="360" w:lineRule="auto"/>
        <w:rPr>
          <w:rFonts w:ascii="Arial" w:hAnsi="Arial" w:cs="Arial"/>
          <w:sz w:val="22"/>
          <w:szCs w:val="22"/>
        </w:rPr>
      </w:pPr>
      <w:r w:rsidRPr="00820994">
        <w:rPr>
          <w:rFonts w:ascii="Arial" w:hAnsi="Arial" w:cs="Arial"/>
          <w:b/>
          <w:bCs/>
          <w:sz w:val="22"/>
          <w:szCs w:val="22"/>
        </w:rPr>
        <w:t>Telecare:</w:t>
      </w:r>
      <w:r w:rsidRPr="00820994">
        <w:rPr>
          <w:rFonts w:ascii="Arial" w:hAnsi="Arial" w:cs="Arial"/>
          <w:sz w:val="22"/>
          <w:szCs w:val="22"/>
        </w:rPr>
        <w:t xml:space="preserve"> As defined by the UK </w:t>
      </w:r>
      <w:r w:rsidR="00001FF7" w:rsidRPr="00FA5739">
        <w:rPr>
          <w:rFonts w:ascii="Arial" w:hAnsi="Arial" w:cs="Arial"/>
          <w:sz w:val="22"/>
          <w:szCs w:val="22"/>
        </w:rPr>
        <w:t>d</w:t>
      </w:r>
      <w:r w:rsidRPr="00820994">
        <w:rPr>
          <w:rFonts w:ascii="Arial" w:hAnsi="Arial" w:cs="Arial"/>
          <w:sz w:val="22"/>
          <w:szCs w:val="22"/>
        </w:rPr>
        <w:t xml:space="preserve">epartment of </w:t>
      </w:r>
      <w:r w:rsidR="00001FF7" w:rsidRPr="00FA5739">
        <w:rPr>
          <w:rFonts w:ascii="Arial" w:hAnsi="Arial" w:cs="Arial"/>
          <w:sz w:val="22"/>
          <w:szCs w:val="22"/>
        </w:rPr>
        <w:t>h</w:t>
      </w:r>
      <w:r w:rsidRPr="00820994">
        <w:rPr>
          <w:rFonts w:ascii="Arial" w:hAnsi="Arial" w:cs="Arial"/>
          <w:sz w:val="22"/>
          <w:szCs w:val="22"/>
        </w:rPr>
        <w:t>ealth, this involves a combination of alarms, sensors, and other equipment (such as fall detectors and bed occupancy sensors) to help people live independently (Davies, 2011). It is primarily safety-focused and reactive.</w:t>
      </w:r>
    </w:p>
    <w:p w14:paraId="3E20A89F" w14:textId="39789E8A" w:rsidR="00820994" w:rsidRPr="00820994" w:rsidRDefault="00820994" w:rsidP="00FB38E4">
      <w:pPr>
        <w:numPr>
          <w:ilvl w:val="0"/>
          <w:numId w:val="8"/>
        </w:numPr>
        <w:spacing w:line="360" w:lineRule="auto"/>
        <w:rPr>
          <w:rFonts w:ascii="Arial" w:hAnsi="Arial" w:cs="Arial"/>
          <w:sz w:val="22"/>
          <w:szCs w:val="22"/>
        </w:rPr>
      </w:pPr>
      <w:r w:rsidRPr="00820994">
        <w:rPr>
          <w:rFonts w:ascii="Arial" w:hAnsi="Arial" w:cs="Arial"/>
          <w:b/>
          <w:bCs/>
          <w:sz w:val="22"/>
          <w:szCs w:val="22"/>
        </w:rPr>
        <w:t>Remote Patient Monitoring (RPM):</w:t>
      </w:r>
      <w:r w:rsidRPr="00820994">
        <w:rPr>
          <w:rFonts w:ascii="Arial" w:hAnsi="Arial" w:cs="Arial"/>
          <w:sz w:val="22"/>
          <w:szCs w:val="22"/>
        </w:rPr>
        <w:t xml:space="preserve"> Often used interchangeably with telehealth, this refers to the digital collection and transmission of health data (</w:t>
      </w:r>
      <w:proofErr w:type="spellStart"/>
      <w:r w:rsidRPr="00820994">
        <w:rPr>
          <w:rFonts w:ascii="Arial" w:hAnsi="Arial" w:cs="Arial"/>
          <w:sz w:val="22"/>
          <w:szCs w:val="22"/>
        </w:rPr>
        <w:t>e.g</w:t>
      </w:r>
      <w:proofErr w:type="spellEnd"/>
      <w:r w:rsidRPr="00820994">
        <w:rPr>
          <w:rFonts w:ascii="Arial" w:hAnsi="Arial" w:cs="Arial"/>
          <w:sz w:val="22"/>
          <w:szCs w:val="22"/>
        </w:rPr>
        <w:t xml:space="preserve"> blood pressure, oxygen levels) from a patient in one location to a healthcare provider in another for assessment and intervention (ScienceDirect, 2020).</w:t>
      </w:r>
    </w:p>
    <w:p w14:paraId="05F19E9A" w14:textId="52C19BC6" w:rsidR="00820994" w:rsidRPr="00820994" w:rsidRDefault="00820994" w:rsidP="00FB38E4">
      <w:pPr>
        <w:numPr>
          <w:ilvl w:val="0"/>
          <w:numId w:val="8"/>
        </w:numPr>
        <w:spacing w:line="360" w:lineRule="auto"/>
        <w:rPr>
          <w:rFonts w:ascii="Arial" w:hAnsi="Arial" w:cs="Arial"/>
          <w:sz w:val="22"/>
          <w:szCs w:val="22"/>
        </w:rPr>
      </w:pPr>
      <w:r w:rsidRPr="00820994">
        <w:rPr>
          <w:rFonts w:ascii="Arial" w:hAnsi="Arial" w:cs="Arial"/>
          <w:b/>
          <w:bCs/>
          <w:sz w:val="22"/>
          <w:szCs w:val="22"/>
        </w:rPr>
        <w:t>Independence:</w:t>
      </w:r>
      <w:r w:rsidRPr="00820994">
        <w:rPr>
          <w:rFonts w:ascii="Arial" w:hAnsi="Arial" w:cs="Arial"/>
          <w:sz w:val="22"/>
          <w:szCs w:val="22"/>
        </w:rPr>
        <w:t xml:space="preserve"> In the context of social care, this is not just the ability to perform physical tasks but also involves </w:t>
      </w:r>
      <w:r w:rsidR="009951A8">
        <w:rPr>
          <w:rFonts w:ascii="Arial" w:hAnsi="Arial" w:cs="Arial"/>
          <w:sz w:val="22"/>
          <w:szCs w:val="22"/>
        </w:rPr>
        <w:t>“</w:t>
      </w:r>
      <w:r w:rsidRPr="00820994">
        <w:rPr>
          <w:rFonts w:ascii="Arial" w:hAnsi="Arial" w:cs="Arial"/>
          <w:sz w:val="22"/>
          <w:szCs w:val="22"/>
        </w:rPr>
        <w:t>exercising choice and control,</w:t>
      </w:r>
      <w:r w:rsidR="009951A8">
        <w:rPr>
          <w:rFonts w:ascii="Arial" w:hAnsi="Arial" w:cs="Arial"/>
          <w:sz w:val="22"/>
          <w:szCs w:val="22"/>
        </w:rPr>
        <w:t>”</w:t>
      </w:r>
      <w:r w:rsidRPr="00820994">
        <w:rPr>
          <w:rFonts w:ascii="Arial" w:hAnsi="Arial" w:cs="Arial"/>
          <w:sz w:val="22"/>
          <w:szCs w:val="22"/>
        </w:rPr>
        <w:t xml:space="preserve"> enabling individuals to live with dignity and autonomy (Local Government Association, 2012).</w:t>
      </w:r>
    </w:p>
    <w:p w14:paraId="215E2E53" w14:textId="77777777" w:rsidR="00820994" w:rsidRPr="00FA5739" w:rsidRDefault="00820994" w:rsidP="00FB38E4">
      <w:pPr>
        <w:pStyle w:val="Heading3"/>
        <w:spacing w:line="360" w:lineRule="auto"/>
        <w:rPr>
          <w:rFonts w:ascii="Arial" w:hAnsi="Arial" w:cs="Arial"/>
          <w:sz w:val="22"/>
          <w:szCs w:val="22"/>
        </w:rPr>
      </w:pPr>
      <w:bookmarkStart w:id="4" w:name="_Toc216086855"/>
      <w:r w:rsidRPr="00FA5739">
        <w:rPr>
          <w:rFonts w:ascii="Arial" w:hAnsi="Arial" w:cs="Arial"/>
          <w:sz w:val="22"/>
          <w:szCs w:val="22"/>
        </w:rPr>
        <w:lastRenderedPageBreak/>
        <w:t>Objectives</w:t>
      </w:r>
      <w:bookmarkEnd w:id="4"/>
    </w:p>
    <w:p w14:paraId="3523D85B" w14:textId="77777777"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The objectives of this scoping review are to:</w:t>
      </w:r>
    </w:p>
    <w:p w14:paraId="3B2FE95C" w14:textId="77777777" w:rsidR="00820994" w:rsidRPr="00820994" w:rsidRDefault="00820994" w:rsidP="00FB38E4">
      <w:pPr>
        <w:numPr>
          <w:ilvl w:val="0"/>
          <w:numId w:val="9"/>
        </w:numPr>
        <w:spacing w:line="360" w:lineRule="auto"/>
        <w:rPr>
          <w:rFonts w:ascii="Arial" w:hAnsi="Arial" w:cs="Arial"/>
          <w:sz w:val="22"/>
          <w:szCs w:val="22"/>
        </w:rPr>
      </w:pPr>
      <w:r w:rsidRPr="00820994">
        <w:rPr>
          <w:rFonts w:ascii="Arial" w:hAnsi="Arial" w:cs="Arial"/>
          <w:sz w:val="22"/>
          <w:szCs w:val="22"/>
        </w:rPr>
        <w:t>Identify and analyse key peer-reviewed studies published in the last 10 years that focus on telecare use by the elderly in the UK.</w:t>
      </w:r>
    </w:p>
    <w:p w14:paraId="38184125" w14:textId="77777777" w:rsidR="00820994" w:rsidRPr="00820994" w:rsidRDefault="00820994" w:rsidP="00FB38E4">
      <w:pPr>
        <w:numPr>
          <w:ilvl w:val="0"/>
          <w:numId w:val="9"/>
        </w:numPr>
        <w:spacing w:line="360" w:lineRule="auto"/>
        <w:rPr>
          <w:rFonts w:ascii="Arial" w:hAnsi="Arial" w:cs="Arial"/>
          <w:sz w:val="22"/>
          <w:szCs w:val="22"/>
        </w:rPr>
      </w:pPr>
      <w:r w:rsidRPr="00820994">
        <w:rPr>
          <w:rFonts w:ascii="Arial" w:hAnsi="Arial" w:cs="Arial"/>
          <w:sz w:val="22"/>
          <w:szCs w:val="22"/>
        </w:rPr>
        <w:t>Evaluate how these technologies influence the users' sense of safety, autonomy, and control over their daily lives.</w:t>
      </w:r>
    </w:p>
    <w:p w14:paraId="1587F04D" w14:textId="77777777" w:rsidR="00820994" w:rsidRPr="00820994" w:rsidRDefault="00820994" w:rsidP="00FB38E4">
      <w:pPr>
        <w:numPr>
          <w:ilvl w:val="0"/>
          <w:numId w:val="9"/>
        </w:numPr>
        <w:spacing w:line="360" w:lineRule="auto"/>
        <w:rPr>
          <w:rFonts w:ascii="Arial" w:hAnsi="Arial" w:cs="Arial"/>
          <w:sz w:val="22"/>
          <w:szCs w:val="22"/>
        </w:rPr>
      </w:pPr>
      <w:r w:rsidRPr="00820994">
        <w:rPr>
          <w:rFonts w:ascii="Arial" w:hAnsi="Arial" w:cs="Arial"/>
          <w:sz w:val="22"/>
          <w:szCs w:val="22"/>
        </w:rPr>
        <w:t>Determine the barriers and facilitators to the successful adoption of these technologies in a domestic setting.</w:t>
      </w:r>
    </w:p>
    <w:p w14:paraId="1B1A74DE" w14:textId="77777777" w:rsidR="00820994" w:rsidRPr="00820994" w:rsidRDefault="00820994" w:rsidP="00FB38E4">
      <w:pPr>
        <w:numPr>
          <w:ilvl w:val="0"/>
          <w:numId w:val="9"/>
        </w:numPr>
        <w:spacing w:line="360" w:lineRule="auto"/>
        <w:rPr>
          <w:rFonts w:ascii="Arial" w:hAnsi="Arial" w:cs="Arial"/>
          <w:sz w:val="22"/>
          <w:szCs w:val="22"/>
        </w:rPr>
      </w:pPr>
      <w:r w:rsidRPr="00820994">
        <w:rPr>
          <w:rFonts w:ascii="Arial" w:hAnsi="Arial" w:cs="Arial"/>
          <w:sz w:val="22"/>
          <w:szCs w:val="22"/>
        </w:rPr>
        <w:t>Provide recommendations for UK practice and policy to optimise the deployment of telecare for enhancing independence.</w:t>
      </w:r>
    </w:p>
    <w:p w14:paraId="210DD154" w14:textId="77777777" w:rsidR="00820994" w:rsidRPr="00FA5739" w:rsidRDefault="00820994" w:rsidP="00FB38E4">
      <w:pPr>
        <w:pStyle w:val="Heading2"/>
        <w:spacing w:line="360" w:lineRule="auto"/>
        <w:rPr>
          <w:rFonts w:ascii="Arial" w:hAnsi="Arial" w:cs="Arial"/>
          <w:sz w:val="22"/>
          <w:szCs w:val="22"/>
        </w:rPr>
      </w:pPr>
      <w:bookmarkStart w:id="5" w:name="_Toc216086856"/>
      <w:r w:rsidRPr="00FA5739">
        <w:rPr>
          <w:rFonts w:ascii="Arial" w:hAnsi="Arial" w:cs="Arial"/>
          <w:sz w:val="22"/>
          <w:szCs w:val="22"/>
        </w:rPr>
        <w:t>2. Background</w:t>
      </w:r>
      <w:bookmarkEnd w:id="5"/>
    </w:p>
    <w:p w14:paraId="2A24351F" w14:textId="29E554E6" w:rsidR="00820994" w:rsidRPr="00FA5739" w:rsidRDefault="00820994" w:rsidP="00FB38E4">
      <w:pPr>
        <w:pStyle w:val="Heading3"/>
        <w:spacing w:line="360" w:lineRule="auto"/>
        <w:rPr>
          <w:rFonts w:ascii="Arial" w:hAnsi="Arial" w:cs="Arial"/>
          <w:sz w:val="22"/>
          <w:szCs w:val="22"/>
        </w:rPr>
      </w:pPr>
      <w:bookmarkStart w:id="6" w:name="_Toc216086857"/>
      <w:r w:rsidRPr="00FA5739">
        <w:rPr>
          <w:rFonts w:ascii="Arial" w:hAnsi="Arial" w:cs="Arial"/>
          <w:sz w:val="22"/>
          <w:szCs w:val="22"/>
        </w:rPr>
        <w:t xml:space="preserve">Context: The UK's </w:t>
      </w:r>
      <w:r w:rsidR="00981479">
        <w:rPr>
          <w:rFonts w:ascii="Arial" w:hAnsi="Arial" w:cs="Arial"/>
          <w:sz w:val="22"/>
          <w:szCs w:val="22"/>
        </w:rPr>
        <w:t>aging</w:t>
      </w:r>
      <w:r w:rsidRPr="00FA5739">
        <w:rPr>
          <w:rFonts w:ascii="Arial" w:hAnsi="Arial" w:cs="Arial"/>
          <w:sz w:val="22"/>
          <w:szCs w:val="22"/>
        </w:rPr>
        <w:t xml:space="preserve"> </w:t>
      </w:r>
      <w:r w:rsidR="00001FF7" w:rsidRPr="00FA5739">
        <w:rPr>
          <w:rFonts w:ascii="Arial" w:hAnsi="Arial" w:cs="Arial"/>
          <w:sz w:val="22"/>
          <w:szCs w:val="22"/>
        </w:rPr>
        <w:t>p</w:t>
      </w:r>
      <w:r w:rsidRPr="00FA5739">
        <w:rPr>
          <w:rFonts w:ascii="Arial" w:hAnsi="Arial" w:cs="Arial"/>
          <w:sz w:val="22"/>
          <w:szCs w:val="22"/>
        </w:rPr>
        <w:t>opulation</w:t>
      </w:r>
      <w:r w:rsidR="00001FF7" w:rsidRPr="00FA5739">
        <w:rPr>
          <w:rFonts w:ascii="Arial" w:hAnsi="Arial" w:cs="Arial"/>
          <w:sz w:val="22"/>
          <w:szCs w:val="22"/>
        </w:rPr>
        <w:t>.</w:t>
      </w:r>
      <w:bookmarkEnd w:id="6"/>
    </w:p>
    <w:p w14:paraId="4A16A32E" w14:textId="02E65C81"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 xml:space="preserve">The United Kingdom faces a profound demographic shift, with the population aged over 85 projected to nearly double from 1.6 million in 2021 to 2.6 million by 2036 (Foundations, 2024). This increase coincides with a shrinking working-age population available to provide care, creating a sustainability crisis for both the National Health Service (NHS) and local authority social care services. In response, UK policy has increasingly pivoted towards </w:t>
      </w:r>
      <w:r w:rsidR="009951A8">
        <w:rPr>
          <w:rFonts w:ascii="Arial" w:hAnsi="Arial" w:cs="Arial"/>
          <w:sz w:val="22"/>
          <w:szCs w:val="22"/>
        </w:rPr>
        <w:t>“</w:t>
      </w:r>
      <w:r w:rsidRPr="00820994">
        <w:rPr>
          <w:rFonts w:ascii="Arial" w:hAnsi="Arial" w:cs="Arial"/>
          <w:sz w:val="22"/>
          <w:szCs w:val="22"/>
        </w:rPr>
        <w:t>aging in place</w:t>
      </w:r>
      <w:r w:rsidR="009951A8">
        <w:rPr>
          <w:rFonts w:ascii="Arial" w:hAnsi="Arial" w:cs="Arial"/>
          <w:sz w:val="22"/>
          <w:szCs w:val="22"/>
        </w:rPr>
        <w:t xml:space="preserve">” </w:t>
      </w:r>
      <w:r w:rsidRPr="00820994">
        <w:rPr>
          <w:rFonts w:ascii="Arial" w:hAnsi="Arial" w:cs="Arial"/>
          <w:sz w:val="22"/>
          <w:szCs w:val="22"/>
        </w:rPr>
        <w:t>a strategy designed to support older adults to remain in their own homes for as long as possible, rather than moving into residential care settings. This approach is not merely financial but aligns with the strong preference of older adults to maintain their autonomy and community connections.</w:t>
      </w:r>
    </w:p>
    <w:p w14:paraId="617EE909" w14:textId="636B05BD" w:rsidR="00820994" w:rsidRPr="00FA5739" w:rsidRDefault="00820994" w:rsidP="00FB38E4">
      <w:pPr>
        <w:pStyle w:val="Heading3"/>
        <w:spacing w:line="360" w:lineRule="auto"/>
        <w:rPr>
          <w:rFonts w:ascii="Arial" w:hAnsi="Arial" w:cs="Arial"/>
          <w:sz w:val="22"/>
          <w:szCs w:val="22"/>
        </w:rPr>
      </w:pPr>
      <w:bookmarkStart w:id="7" w:name="_Toc216086858"/>
      <w:r w:rsidRPr="00FA5739">
        <w:rPr>
          <w:rFonts w:ascii="Arial" w:hAnsi="Arial" w:cs="Arial"/>
          <w:sz w:val="22"/>
          <w:szCs w:val="22"/>
        </w:rPr>
        <w:t xml:space="preserve">Policy </w:t>
      </w:r>
      <w:r w:rsidR="00001FF7" w:rsidRPr="00FA5739">
        <w:rPr>
          <w:rFonts w:ascii="Arial" w:hAnsi="Arial" w:cs="Arial"/>
          <w:sz w:val="22"/>
          <w:szCs w:val="22"/>
        </w:rPr>
        <w:t>l</w:t>
      </w:r>
      <w:r w:rsidRPr="00FA5739">
        <w:rPr>
          <w:rFonts w:ascii="Arial" w:hAnsi="Arial" w:cs="Arial"/>
          <w:sz w:val="22"/>
          <w:szCs w:val="22"/>
        </w:rPr>
        <w:t xml:space="preserve">andscape: A </w:t>
      </w:r>
      <w:r w:rsidR="00001FF7" w:rsidRPr="00FA5739">
        <w:rPr>
          <w:rFonts w:ascii="Arial" w:hAnsi="Arial" w:cs="Arial"/>
          <w:sz w:val="22"/>
          <w:szCs w:val="22"/>
        </w:rPr>
        <w:t>d</w:t>
      </w:r>
      <w:r w:rsidRPr="00FA5739">
        <w:rPr>
          <w:rFonts w:ascii="Arial" w:hAnsi="Arial" w:cs="Arial"/>
          <w:sz w:val="22"/>
          <w:szCs w:val="22"/>
        </w:rPr>
        <w:t>igital-</w:t>
      </w:r>
      <w:r w:rsidR="00001FF7" w:rsidRPr="00FA5739">
        <w:rPr>
          <w:rFonts w:ascii="Arial" w:hAnsi="Arial" w:cs="Arial"/>
          <w:sz w:val="22"/>
          <w:szCs w:val="22"/>
        </w:rPr>
        <w:t>f</w:t>
      </w:r>
      <w:r w:rsidRPr="00FA5739">
        <w:rPr>
          <w:rFonts w:ascii="Arial" w:hAnsi="Arial" w:cs="Arial"/>
          <w:sz w:val="22"/>
          <w:szCs w:val="22"/>
        </w:rPr>
        <w:t xml:space="preserve">irst </w:t>
      </w:r>
      <w:r w:rsidR="00001FF7" w:rsidRPr="00FA5739">
        <w:rPr>
          <w:rFonts w:ascii="Arial" w:hAnsi="Arial" w:cs="Arial"/>
          <w:sz w:val="22"/>
          <w:szCs w:val="22"/>
        </w:rPr>
        <w:t>s</w:t>
      </w:r>
      <w:r w:rsidRPr="00FA5739">
        <w:rPr>
          <w:rFonts w:ascii="Arial" w:hAnsi="Arial" w:cs="Arial"/>
          <w:sz w:val="22"/>
          <w:szCs w:val="22"/>
        </w:rPr>
        <w:t>trategy</w:t>
      </w:r>
      <w:bookmarkEnd w:id="7"/>
    </w:p>
    <w:p w14:paraId="5CBEE97E" w14:textId="77777777"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Several key pieces of legislation and policy guidance frame the use of telecare and remote monitoring as the primary vehicle for achieving this independence:</w:t>
      </w:r>
    </w:p>
    <w:p w14:paraId="23105DD8" w14:textId="026CA5D2" w:rsidR="00820994" w:rsidRPr="00820994" w:rsidRDefault="00820994" w:rsidP="00FB38E4">
      <w:pPr>
        <w:numPr>
          <w:ilvl w:val="0"/>
          <w:numId w:val="10"/>
        </w:numPr>
        <w:spacing w:line="360" w:lineRule="auto"/>
        <w:rPr>
          <w:rFonts w:ascii="Arial" w:hAnsi="Arial" w:cs="Arial"/>
          <w:sz w:val="22"/>
          <w:szCs w:val="22"/>
        </w:rPr>
      </w:pPr>
      <w:r w:rsidRPr="00820994">
        <w:rPr>
          <w:rFonts w:ascii="Arial" w:hAnsi="Arial" w:cs="Arial"/>
          <w:b/>
          <w:bCs/>
          <w:sz w:val="22"/>
          <w:szCs w:val="22"/>
        </w:rPr>
        <w:t>The Care Act 2014:</w:t>
      </w:r>
      <w:r w:rsidRPr="00820994">
        <w:rPr>
          <w:rFonts w:ascii="Arial" w:hAnsi="Arial" w:cs="Arial"/>
          <w:sz w:val="22"/>
          <w:szCs w:val="22"/>
        </w:rPr>
        <w:t xml:space="preserve"> This landmark legislation established the </w:t>
      </w:r>
      <w:r w:rsidR="009951A8">
        <w:rPr>
          <w:rFonts w:ascii="Arial" w:hAnsi="Arial" w:cs="Arial"/>
          <w:sz w:val="22"/>
          <w:szCs w:val="22"/>
        </w:rPr>
        <w:t>“</w:t>
      </w:r>
      <w:r w:rsidRPr="00820994">
        <w:rPr>
          <w:rFonts w:ascii="Arial" w:hAnsi="Arial" w:cs="Arial"/>
          <w:sz w:val="22"/>
          <w:szCs w:val="22"/>
        </w:rPr>
        <w:t>Wellbeing Principle,</w:t>
      </w:r>
      <w:r w:rsidR="009951A8">
        <w:rPr>
          <w:rFonts w:ascii="Arial" w:hAnsi="Arial" w:cs="Arial"/>
          <w:sz w:val="22"/>
          <w:szCs w:val="22"/>
        </w:rPr>
        <w:t>”</w:t>
      </w:r>
      <w:r w:rsidRPr="00820994">
        <w:rPr>
          <w:rFonts w:ascii="Arial" w:hAnsi="Arial" w:cs="Arial"/>
          <w:sz w:val="22"/>
          <w:szCs w:val="22"/>
        </w:rPr>
        <w:t xml:space="preserve"> placing a statutory duty on local authorities to promote an individual's wellbeing, which explicitly includes </w:t>
      </w:r>
      <w:r w:rsidR="009951A8">
        <w:rPr>
          <w:rFonts w:ascii="Arial" w:hAnsi="Arial" w:cs="Arial"/>
          <w:sz w:val="22"/>
          <w:szCs w:val="22"/>
        </w:rPr>
        <w:t>“</w:t>
      </w:r>
      <w:r w:rsidRPr="00820994">
        <w:rPr>
          <w:rFonts w:ascii="Arial" w:hAnsi="Arial" w:cs="Arial"/>
          <w:sz w:val="22"/>
          <w:szCs w:val="22"/>
        </w:rPr>
        <w:t>control by the individual over day-to-day life</w:t>
      </w:r>
      <w:r w:rsidR="009951A8">
        <w:rPr>
          <w:rFonts w:ascii="Arial" w:hAnsi="Arial" w:cs="Arial"/>
          <w:sz w:val="22"/>
          <w:szCs w:val="22"/>
        </w:rPr>
        <w:t>”</w:t>
      </w:r>
      <w:r w:rsidRPr="00820994">
        <w:rPr>
          <w:rFonts w:ascii="Arial" w:hAnsi="Arial" w:cs="Arial"/>
          <w:sz w:val="22"/>
          <w:szCs w:val="22"/>
        </w:rPr>
        <w:t xml:space="preserve"> (Care Act 2014, s.1). It shifted the focus from crisis management to prevention, positioning telecare as a tool to prevent needs from escalating.</w:t>
      </w:r>
    </w:p>
    <w:p w14:paraId="45ECDD7E" w14:textId="3D5D688E" w:rsidR="00820994" w:rsidRPr="00820994" w:rsidRDefault="00820994" w:rsidP="00FB38E4">
      <w:pPr>
        <w:numPr>
          <w:ilvl w:val="0"/>
          <w:numId w:val="10"/>
        </w:numPr>
        <w:spacing w:line="360" w:lineRule="auto"/>
        <w:rPr>
          <w:rFonts w:ascii="Arial" w:hAnsi="Arial" w:cs="Arial"/>
          <w:sz w:val="22"/>
          <w:szCs w:val="22"/>
        </w:rPr>
      </w:pPr>
      <w:r w:rsidRPr="00820994">
        <w:rPr>
          <w:rFonts w:ascii="Arial" w:hAnsi="Arial" w:cs="Arial"/>
          <w:b/>
          <w:bCs/>
          <w:sz w:val="22"/>
          <w:szCs w:val="22"/>
        </w:rPr>
        <w:t>The NHS Long Term Plan (2019):</w:t>
      </w:r>
      <w:r w:rsidRPr="00820994">
        <w:rPr>
          <w:rFonts w:ascii="Arial" w:hAnsi="Arial" w:cs="Arial"/>
          <w:sz w:val="22"/>
          <w:szCs w:val="22"/>
        </w:rPr>
        <w:t xml:space="preserve"> This strategic document committed the NHS to a </w:t>
      </w:r>
      <w:r w:rsidR="009951A8">
        <w:rPr>
          <w:rFonts w:ascii="Arial" w:hAnsi="Arial" w:cs="Arial"/>
          <w:sz w:val="22"/>
          <w:szCs w:val="22"/>
        </w:rPr>
        <w:t>“</w:t>
      </w:r>
      <w:r w:rsidRPr="00820994">
        <w:rPr>
          <w:rFonts w:ascii="Arial" w:hAnsi="Arial" w:cs="Arial"/>
          <w:sz w:val="22"/>
          <w:szCs w:val="22"/>
        </w:rPr>
        <w:t>digital-first</w:t>
      </w:r>
      <w:r w:rsidR="009951A8">
        <w:rPr>
          <w:rFonts w:ascii="Arial" w:hAnsi="Arial" w:cs="Arial"/>
          <w:sz w:val="22"/>
          <w:szCs w:val="22"/>
        </w:rPr>
        <w:t>”</w:t>
      </w:r>
      <w:r w:rsidRPr="00820994">
        <w:rPr>
          <w:rFonts w:ascii="Arial" w:hAnsi="Arial" w:cs="Arial"/>
          <w:sz w:val="22"/>
          <w:szCs w:val="22"/>
        </w:rPr>
        <w:t xml:space="preserve"> option for primary care and emphasized the expansion of remote monitoring for long-term conditions. It envisions a future where technology prevents </w:t>
      </w:r>
      <w:r w:rsidRPr="00820994">
        <w:rPr>
          <w:rFonts w:ascii="Arial" w:hAnsi="Arial" w:cs="Arial"/>
          <w:sz w:val="22"/>
          <w:szCs w:val="22"/>
        </w:rPr>
        <w:lastRenderedPageBreak/>
        <w:t>up to a third of face-to-face outpatient visits, fundamentally altering the patient-provider relationship (NHS England, 2019).</w:t>
      </w:r>
    </w:p>
    <w:p w14:paraId="2AFA0331" w14:textId="16570E45" w:rsidR="00820994" w:rsidRPr="00820994" w:rsidRDefault="00820994" w:rsidP="00FB38E4">
      <w:pPr>
        <w:numPr>
          <w:ilvl w:val="0"/>
          <w:numId w:val="10"/>
        </w:numPr>
        <w:spacing w:line="360" w:lineRule="auto"/>
        <w:rPr>
          <w:rFonts w:ascii="Arial" w:hAnsi="Arial" w:cs="Arial"/>
          <w:sz w:val="22"/>
          <w:szCs w:val="22"/>
        </w:rPr>
      </w:pPr>
      <w:r w:rsidRPr="00820994">
        <w:rPr>
          <w:rFonts w:ascii="Arial" w:hAnsi="Arial" w:cs="Arial"/>
          <w:b/>
          <w:bCs/>
          <w:sz w:val="22"/>
          <w:szCs w:val="22"/>
        </w:rPr>
        <w:t>People at the Heart of Care (2021):</w:t>
      </w:r>
      <w:r w:rsidRPr="00820994">
        <w:rPr>
          <w:rFonts w:ascii="Arial" w:hAnsi="Arial" w:cs="Arial"/>
          <w:sz w:val="22"/>
          <w:szCs w:val="22"/>
        </w:rPr>
        <w:t xml:space="preserve"> The government’s white paper on adult social care reform </w:t>
      </w:r>
      <w:r w:rsidR="009951A8">
        <w:rPr>
          <w:rFonts w:ascii="Arial" w:hAnsi="Arial" w:cs="Arial"/>
          <w:sz w:val="22"/>
          <w:szCs w:val="22"/>
        </w:rPr>
        <w:t>set aside</w:t>
      </w:r>
      <w:r w:rsidRPr="00820994">
        <w:rPr>
          <w:rFonts w:ascii="Arial" w:hAnsi="Arial" w:cs="Arial"/>
          <w:sz w:val="22"/>
          <w:szCs w:val="22"/>
        </w:rPr>
        <w:t xml:space="preserve"> £150 million to drive the adoption of technology in social care. It argues that digitisation is essential for offering people </w:t>
      </w:r>
      <w:r w:rsidR="009951A8">
        <w:rPr>
          <w:rFonts w:ascii="Arial" w:hAnsi="Arial" w:cs="Arial"/>
          <w:sz w:val="22"/>
          <w:szCs w:val="22"/>
        </w:rPr>
        <w:t>“</w:t>
      </w:r>
      <w:r w:rsidRPr="00820994">
        <w:rPr>
          <w:rFonts w:ascii="Arial" w:hAnsi="Arial" w:cs="Arial"/>
          <w:sz w:val="22"/>
          <w:szCs w:val="22"/>
        </w:rPr>
        <w:t>choice and control</w:t>
      </w:r>
      <w:r w:rsidR="009951A8">
        <w:rPr>
          <w:rFonts w:ascii="Arial" w:hAnsi="Arial" w:cs="Arial"/>
          <w:sz w:val="22"/>
          <w:szCs w:val="22"/>
        </w:rPr>
        <w:t>”</w:t>
      </w:r>
      <w:r w:rsidRPr="00820994">
        <w:rPr>
          <w:rFonts w:ascii="Arial" w:hAnsi="Arial" w:cs="Arial"/>
          <w:sz w:val="22"/>
          <w:szCs w:val="22"/>
        </w:rPr>
        <w:t xml:space="preserve"> over their care, reinforcing the narrative that technology equals independence (Department of Health and Social Care, 2021).</w:t>
      </w:r>
    </w:p>
    <w:p w14:paraId="54592F2A" w14:textId="3C6F7804" w:rsidR="00820994" w:rsidRPr="00FA5739" w:rsidRDefault="00820994" w:rsidP="00FB38E4">
      <w:pPr>
        <w:pStyle w:val="Heading3"/>
        <w:spacing w:line="360" w:lineRule="auto"/>
        <w:rPr>
          <w:rFonts w:ascii="Arial" w:hAnsi="Arial" w:cs="Arial"/>
          <w:sz w:val="22"/>
          <w:szCs w:val="22"/>
        </w:rPr>
      </w:pPr>
      <w:bookmarkStart w:id="8" w:name="_Toc216086859"/>
      <w:r w:rsidRPr="00FA5739">
        <w:rPr>
          <w:rFonts w:ascii="Arial" w:hAnsi="Arial" w:cs="Arial"/>
          <w:sz w:val="22"/>
          <w:szCs w:val="22"/>
        </w:rPr>
        <w:t xml:space="preserve">Practice and the </w:t>
      </w:r>
      <w:r w:rsidR="005A59DD" w:rsidRPr="00FA5739">
        <w:rPr>
          <w:rFonts w:ascii="Arial" w:hAnsi="Arial" w:cs="Arial"/>
          <w:sz w:val="22"/>
          <w:szCs w:val="22"/>
        </w:rPr>
        <w:t>d</w:t>
      </w:r>
      <w:r w:rsidRPr="00FA5739">
        <w:rPr>
          <w:rFonts w:ascii="Arial" w:hAnsi="Arial" w:cs="Arial"/>
          <w:sz w:val="22"/>
          <w:szCs w:val="22"/>
        </w:rPr>
        <w:t xml:space="preserve">igital </w:t>
      </w:r>
      <w:r w:rsidR="005A59DD" w:rsidRPr="00FA5739">
        <w:rPr>
          <w:rFonts w:ascii="Arial" w:hAnsi="Arial" w:cs="Arial"/>
          <w:sz w:val="22"/>
          <w:szCs w:val="22"/>
        </w:rPr>
        <w:t>s</w:t>
      </w:r>
      <w:r w:rsidRPr="00FA5739">
        <w:rPr>
          <w:rFonts w:ascii="Arial" w:hAnsi="Arial" w:cs="Arial"/>
          <w:sz w:val="22"/>
          <w:szCs w:val="22"/>
        </w:rPr>
        <w:t>witch</w:t>
      </w:r>
      <w:bookmarkEnd w:id="8"/>
    </w:p>
    <w:p w14:paraId="7C733938" w14:textId="04985A34"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 xml:space="preserve">In practice, telecare in the UK has traditionally relied on analogue </w:t>
      </w:r>
      <w:r w:rsidR="009951A8">
        <w:rPr>
          <w:rFonts w:ascii="Arial" w:hAnsi="Arial" w:cs="Arial"/>
          <w:sz w:val="22"/>
          <w:szCs w:val="22"/>
        </w:rPr>
        <w:t>“</w:t>
      </w:r>
      <w:r w:rsidRPr="00820994">
        <w:rPr>
          <w:rFonts w:ascii="Arial" w:hAnsi="Arial" w:cs="Arial"/>
          <w:sz w:val="22"/>
          <w:szCs w:val="22"/>
        </w:rPr>
        <w:t>pendant alarms</w:t>
      </w:r>
      <w:r w:rsidR="009951A8">
        <w:rPr>
          <w:rFonts w:ascii="Arial" w:hAnsi="Arial" w:cs="Arial"/>
          <w:sz w:val="22"/>
          <w:szCs w:val="22"/>
        </w:rPr>
        <w:t>”</w:t>
      </w:r>
      <w:r w:rsidRPr="00820994">
        <w:rPr>
          <w:rFonts w:ascii="Arial" w:hAnsi="Arial" w:cs="Arial"/>
          <w:sz w:val="22"/>
          <w:szCs w:val="22"/>
        </w:rPr>
        <w:t xml:space="preserve"> connected to landlines. However, the UK's telecommunications network is currently undergoing a </w:t>
      </w:r>
      <w:r w:rsidR="009951A8">
        <w:rPr>
          <w:rFonts w:ascii="Arial" w:hAnsi="Arial" w:cs="Arial"/>
          <w:sz w:val="22"/>
          <w:szCs w:val="22"/>
        </w:rPr>
        <w:t>“</w:t>
      </w:r>
      <w:r w:rsidRPr="00820994">
        <w:rPr>
          <w:rFonts w:ascii="Arial" w:hAnsi="Arial" w:cs="Arial"/>
          <w:sz w:val="22"/>
          <w:szCs w:val="22"/>
        </w:rPr>
        <w:t>Digital Switchover,</w:t>
      </w:r>
      <w:r w:rsidR="009951A8">
        <w:rPr>
          <w:rFonts w:ascii="Arial" w:hAnsi="Arial" w:cs="Arial"/>
          <w:sz w:val="22"/>
          <w:szCs w:val="22"/>
        </w:rPr>
        <w:t>”</w:t>
      </w:r>
      <w:r w:rsidRPr="00820994">
        <w:rPr>
          <w:rFonts w:ascii="Arial" w:hAnsi="Arial" w:cs="Arial"/>
          <w:sz w:val="22"/>
          <w:szCs w:val="22"/>
        </w:rPr>
        <w:t xml:space="preserve"> with all analogue lines due to be switched off by 2025 (</w:t>
      </w:r>
      <w:proofErr w:type="spellStart"/>
      <w:r w:rsidRPr="00820994">
        <w:rPr>
          <w:rFonts w:ascii="Arial" w:hAnsi="Arial" w:cs="Arial"/>
          <w:sz w:val="22"/>
          <w:szCs w:val="22"/>
        </w:rPr>
        <w:t>Keysafe</w:t>
      </w:r>
      <w:proofErr w:type="spellEnd"/>
      <w:r w:rsidRPr="00820994">
        <w:rPr>
          <w:rFonts w:ascii="Arial" w:hAnsi="Arial" w:cs="Arial"/>
          <w:sz w:val="22"/>
          <w:szCs w:val="22"/>
        </w:rPr>
        <w:t>, 2024). This transition is forcing a rapid modernisation of telecare services, moving from simple reactive alarms to proactive digital systems capable of collecting rich data on daily routines.</w:t>
      </w:r>
    </w:p>
    <w:p w14:paraId="6B6706D0" w14:textId="507D9A32"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 xml:space="preserve">Despite this high-level policy push, the reality on the ground is often fragmented. While NICE guidelines recommend training and technical support to help older people use digital tools (NICE, 2015), implementation varies significantly across regions. There is a growing concern in the </w:t>
      </w:r>
      <w:r w:rsidR="009951A8">
        <w:rPr>
          <w:rFonts w:ascii="Arial" w:hAnsi="Arial" w:cs="Arial"/>
          <w:sz w:val="22"/>
          <w:szCs w:val="22"/>
        </w:rPr>
        <w:t>“</w:t>
      </w:r>
      <w:r w:rsidRPr="00820994">
        <w:rPr>
          <w:rFonts w:ascii="Arial" w:hAnsi="Arial" w:cs="Arial"/>
          <w:sz w:val="22"/>
          <w:szCs w:val="22"/>
        </w:rPr>
        <w:t>grey literature</w:t>
      </w:r>
      <w:r w:rsidR="009951A8">
        <w:rPr>
          <w:rFonts w:ascii="Arial" w:hAnsi="Arial" w:cs="Arial"/>
          <w:sz w:val="22"/>
          <w:szCs w:val="22"/>
        </w:rPr>
        <w:t>”</w:t>
      </w:r>
      <w:r w:rsidRPr="00820994">
        <w:rPr>
          <w:rFonts w:ascii="Arial" w:hAnsi="Arial" w:cs="Arial"/>
          <w:sz w:val="22"/>
          <w:szCs w:val="22"/>
        </w:rPr>
        <w:t xml:space="preserve"> that without adequate support, the rapid digitalisation of care could lead to a </w:t>
      </w:r>
      <w:r w:rsidR="009951A8">
        <w:rPr>
          <w:rFonts w:ascii="Arial" w:hAnsi="Arial" w:cs="Arial"/>
          <w:sz w:val="22"/>
          <w:szCs w:val="22"/>
        </w:rPr>
        <w:t>“</w:t>
      </w:r>
      <w:r w:rsidRPr="00820994">
        <w:rPr>
          <w:rFonts w:ascii="Arial" w:hAnsi="Arial" w:cs="Arial"/>
          <w:sz w:val="22"/>
          <w:szCs w:val="22"/>
        </w:rPr>
        <w:t>digital divide,</w:t>
      </w:r>
      <w:r w:rsidR="009951A8">
        <w:rPr>
          <w:rFonts w:ascii="Arial" w:hAnsi="Arial" w:cs="Arial"/>
          <w:sz w:val="22"/>
          <w:szCs w:val="22"/>
        </w:rPr>
        <w:t>”</w:t>
      </w:r>
      <w:r w:rsidRPr="00820994">
        <w:rPr>
          <w:rFonts w:ascii="Arial" w:hAnsi="Arial" w:cs="Arial"/>
          <w:sz w:val="22"/>
          <w:szCs w:val="22"/>
        </w:rPr>
        <w:t xml:space="preserve"> where only the tech-literate reap the benefits of independence, while others feel alienated by the very tools meant to assist them.</w:t>
      </w:r>
    </w:p>
    <w:p w14:paraId="051DBBCB" w14:textId="77777777" w:rsidR="005A59DD" w:rsidRPr="00FA5739" w:rsidRDefault="005A59DD" w:rsidP="00FB38E4">
      <w:pPr>
        <w:spacing w:line="360" w:lineRule="auto"/>
        <w:rPr>
          <w:rFonts w:ascii="Arial" w:hAnsi="Arial" w:cs="Arial"/>
          <w:sz w:val="22"/>
          <w:szCs w:val="22"/>
        </w:rPr>
      </w:pPr>
    </w:p>
    <w:p w14:paraId="6EA405A8" w14:textId="1C33AA6C" w:rsidR="00820994" w:rsidRPr="00FA5739" w:rsidRDefault="00820994" w:rsidP="00FB38E4">
      <w:pPr>
        <w:pStyle w:val="Heading2"/>
        <w:spacing w:line="360" w:lineRule="auto"/>
        <w:rPr>
          <w:rFonts w:ascii="Arial" w:hAnsi="Arial" w:cs="Arial"/>
          <w:sz w:val="22"/>
          <w:szCs w:val="22"/>
        </w:rPr>
      </w:pPr>
      <w:bookmarkStart w:id="9" w:name="_Toc216086860"/>
      <w:r w:rsidRPr="00FA5739">
        <w:rPr>
          <w:rFonts w:ascii="Arial" w:hAnsi="Arial" w:cs="Arial"/>
          <w:sz w:val="22"/>
          <w:szCs w:val="22"/>
        </w:rPr>
        <w:t>3. Methodology</w:t>
      </w:r>
      <w:bookmarkEnd w:id="9"/>
    </w:p>
    <w:p w14:paraId="2579ED27" w14:textId="1109AF79" w:rsidR="00820994" w:rsidRPr="00FA5739" w:rsidRDefault="00820994" w:rsidP="00FB38E4">
      <w:pPr>
        <w:pStyle w:val="Heading3"/>
        <w:spacing w:line="360" w:lineRule="auto"/>
        <w:rPr>
          <w:rFonts w:ascii="Arial" w:hAnsi="Arial" w:cs="Arial"/>
          <w:sz w:val="22"/>
          <w:szCs w:val="22"/>
        </w:rPr>
      </w:pPr>
      <w:bookmarkStart w:id="10" w:name="_Toc216086861"/>
      <w:r w:rsidRPr="00FA5739">
        <w:rPr>
          <w:rFonts w:ascii="Arial" w:hAnsi="Arial" w:cs="Arial"/>
          <w:sz w:val="22"/>
          <w:szCs w:val="22"/>
        </w:rPr>
        <w:t xml:space="preserve">Research </w:t>
      </w:r>
      <w:r w:rsidR="005A59DD" w:rsidRPr="00FA5739">
        <w:rPr>
          <w:rFonts w:ascii="Arial" w:hAnsi="Arial" w:cs="Arial"/>
          <w:sz w:val="22"/>
          <w:szCs w:val="22"/>
        </w:rPr>
        <w:t>d</w:t>
      </w:r>
      <w:r w:rsidRPr="00FA5739">
        <w:rPr>
          <w:rFonts w:ascii="Arial" w:hAnsi="Arial" w:cs="Arial"/>
          <w:sz w:val="22"/>
          <w:szCs w:val="22"/>
        </w:rPr>
        <w:t>esign</w:t>
      </w:r>
      <w:bookmarkEnd w:id="10"/>
    </w:p>
    <w:p w14:paraId="518BB307" w14:textId="5FF1EE0F"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 xml:space="preserve">This study employs a scoping review methodology to map the existing literature on the impact of telecare and remote monitoring on the independence of elderly people in the UK. Unlike a systematic review, which typically seeks to answer a precise question about the effectiveness of a specific intervention, a scoping review is better suited to clarifying complex concepts (such as </w:t>
      </w:r>
      <w:r w:rsidR="009951A8">
        <w:rPr>
          <w:rFonts w:ascii="Arial" w:hAnsi="Arial" w:cs="Arial"/>
          <w:sz w:val="22"/>
          <w:szCs w:val="22"/>
        </w:rPr>
        <w:t>“</w:t>
      </w:r>
      <w:r w:rsidRPr="00820994">
        <w:rPr>
          <w:rFonts w:ascii="Arial" w:hAnsi="Arial" w:cs="Arial"/>
          <w:sz w:val="22"/>
          <w:szCs w:val="22"/>
        </w:rPr>
        <w:t>independence</w:t>
      </w:r>
      <w:r w:rsidR="009951A8">
        <w:rPr>
          <w:rFonts w:ascii="Arial" w:hAnsi="Arial" w:cs="Arial"/>
          <w:sz w:val="22"/>
          <w:szCs w:val="22"/>
        </w:rPr>
        <w:t>”</w:t>
      </w:r>
      <w:r w:rsidRPr="00820994">
        <w:rPr>
          <w:rFonts w:ascii="Arial" w:hAnsi="Arial" w:cs="Arial"/>
          <w:sz w:val="22"/>
          <w:szCs w:val="22"/>
        </w:rPr>
        <w:t>) and identifying key characteristics or gaps in the research field (Arksey and O'Malley, 2005). Given the rapid evolution of digital health technologies, this approach allows for a broader exploration of how independence is experienced and negotiated by users in a domestic setting.</w:t>
      </w:r>
    </w:p>
    <w:p w14:paraId="776006C8" w14:textId="0DCF6A58" w:rsidR="00820994" w:rsidRPr="00FA5739" w:rsidRDefault="00820994" w:rsidP="00FB38E4">
      <w:pPr>
        <w:pStyle w:val="Heading3"/>
        <w:spacing w:line="360" w:lineRule="auto"/>
        <w:rPr>
          <w:rFonts w:ascii="Arial" w:hAnsi="Arial" w:cs="Arial"/>
          <w:sz w:val="22"/>
          <w:szCs w:val="22"/>
        </w:rPr>
      </w:pPr>
      <w:bookmarkStart w:id="11" w:name="_Toc216086862"/>
      <w:r w:rsidRPr="00FA5739">
        <w:rPr>
          <w:rFonts w:ascii="Arial" w:hAnsi="Arial" w:cs="Arial"/>
          <w:sz w:val="22"/>
          <w:szCs w:val="22"/>
        </w:rPr>
        <w:lastRenderedPageBreak/>
        <w:t xml:space="preserve">Data </w:t>
      </w:r>
      <w:r w:rsidR="005A59DD" w:rsidRPr="00FA5739">
        <w:rPr>
          <w:rFonts w:ascii="Arial" w:hAnsi="Arial" w:cs="Arial"/>
          <w:sz w:val="22"/>
          <w:szCs w:val="22"/>
        </w:rPr>
        <w:t>c</w:t>
      </w:r>
      <w:r w:rsidRPr="00FA5739">
        <w:rPr>
          <w:rFonts w:ascii="Arial" w:hAnsi="Arial" w:cs="Arial"/>
          <w:sz w:val="22"/>
          <w:szCs w:val="22"/>
        </w:rPr>
        <w:t xml:space="preserve">ollection </w:t>
      </w:r>
      <w:r w:rsidR="005A59DD" w:rsidRPr="00FA5739">
        <w:rPr>
          <w:rFonts w:ascii="Arial" w:hAnsi="Arial" w:cs="Arial"/>
          <w:sz w:val="22"/>
          <w:szCs w:val="22"/>
        </w:rPr>
        <w:t>s</w:t>
      </w:r>
      <w:r w:rsidRPr="00FA5739">
        <w:rPr>
          <w:rFonts w:ascii="Arial" w:hAnsi="Arial" w:cs="Arial"/>
          <w:sz w:val="22"/>
          <w:szCs w:val="22"/>
        </w:rPr>
        <w:t>trategy</w:t>
      </w:r>
      <w:bookmarkEnd w:id="11"/>
    </w:p>
    <w:p w14:paraId="39F10E6F" w14:textId="359802C9"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To identify relevant peer-reviewed studies, a systematic search was conducted using the following academic databases</w:t>
      </w:r>
      <w:r w:rsidR="00981479">
        <w:rPr>
          <w:rFonts w:ascii="Arial" w:hAnsi="Arial" w:cs="Arial"/>
          <w:sz w:val="22"/>
          <w:szCs w:val="22"/>
        </w:rPr>
        <w:t xml:space="preserve"> </w:t>
      </w:r>
      <w:proofErr w:type="spellStart"/>
      <w:r w:rsidR="00981479">
        <w:rPr>
          <w:rFonts w:ascii="Arial" w:hAnsi="Arial" w:cs="Arial"/>
          <w:sz w:val="22"/>
          <w:szCs w:val="22"/>
        </w:rPr>
        <w:t>e.</w:t>
      </w:r>
      <w:r w:rsidR="00981479" w:rsidRPr="00981479">
        <w:rPr>
          <w:rFonts w:ascii="Arial" w:hAnsi="Arial" w:cs="Arial"/>
          <w:sz w:val="22"/>
          <w:szCs w:val="22"/>
        </w:rPr>
        <w:t>g</w:t>
      </w:r>
      <w:proofErr w:type="spellEnd"/>
      <w:r w:rsidRPr="00820994">
        <w:rPr>
          <w:rFonts w:ascii="Arial" w:hAnsi="Arial" w:cs="Arial"/>
          <w:sz w:val="22"/>
          <w:szCs w:val="22"/>
        </w:rPr>
        <w:t xml:space="preserve"> PubMed, CINAHL (Cumulative Index to Nursing and Allied Health Literature), and the UWTSD Library Catalogue. These databases were selected for their comprehensive coverage of nursing, social care, and gerontological research.</w:t>
      </w:r>
    </w:p>
    <w:p w14:paraId="503DE419" w14:textId="645CEAF8" w:rsidR="00820994" w:rsidRPr="00820994" w:rsidRDefault="00820994" w:rsidP="00FB38E4">
      <w:pPr>
        <w:spacing w:line="360" w:lineRule="auto"/>
        <w:rPr>
          <w:rFonts w:ascii="Arial" w:hAnsi="Arial" w:cs="Arial"/>
          <w:sz w:val="22"/>
          <w:szCs w:val="22"/>
        </w:rPr>
      </w:pPr>
      <w:r w:rsidRPr="00820994">
        <w:rPr>
          <w:rFonts w:ascii="Arial" w:hAnsi="Arial" w:cs="Arial"/>
          <w:b/>
          <w:bCs/>
          <w:sz w:val="22"/>
          <w:szCs w:val="22"/>
        </w:rPr>
        <w:t xml:space="preserve">Inclusion and </w:t>
      </w:r>
      <w:r w:rsidR="00137909" w:rsidRPr="00FA5739">
        <w:rPr>
          <w:rFonts w:ascii="Arial" w:hAnsi="Arial" w:cs="Arial"/>
          <w:b/>
          <w:bCs/>
          <w:sz w:val="22"/>
          <w:szCs w:val="22"/>
        </w:rPr>
        <w:t>e</w:t>
      </w:r>
      <w:r w:rsidRPr="00820994">
        <w:rPr>
          <w:rFonts w:ascii="Arial" w:hAnsi="Arial" w:cs="Arial"/>
          <w:b/>
          <w:bCs/>
          <w:sz w:val="22"/>
          <w:szCs w:val="22"/>
        </w:rPr>
        <w:t xml:space="preserve">xclusion </w:t>
      </w:r>
      <w:r w:rsidR="00137909" w:rsidRPr="00FA5739">
        <w:rPr>
          <w:rFonts w:ascii="Arial" w:hAnsi="Arial" w:cs="Arial"/>
          <w:b/>
          <w:bCs/>
          <w:sz w:val="22"/>
          <w:szCs w:val="22"/>
        </w:rPr>
        <w:t>c</w:t>
      </w:r>
      <w:r w:rsidRPr="00820994">
        <w:rPr>
          <w:rFonts w:ascii="Arial" w:hAnsi="Arial" w:cs="Arial"/>
          <w:b/>
          <w:bCs/>
          <w:sz w:val="22"/>
          <w:szCs w:val="22"/>
        </w:rPr>
        <w:t>riteria:</w:t>
      </w:r>
      <w:r w:rsidRPr="00820994">
        <w:rPr>
          <w:rFonts w:ascii="Arial" w:hAnsi="Arial" w:cs="Arial"/>
          <w:sz w:val="22"/>
          <w:szCs w:val="22"/>
        </w:rPr>
        <w:br/>
        <w:t>To ensuring the relevance and quality of the selected studies, the following criteria were applied:</w:t>
      </w:r>
    </w:p>
    <w:p w14:paraId="71648053" w14:textId="77777777" w:rsidR="00820994" w:rsidRPr="00820994" w:rsidRDefault="00820994" w:rsidP="00FB38E4">
      <w:pPr>
        <w:numPr>
          <w:ilvl w:val="0"/>
          <w:numId w:val="13"/>
        </w:numPr>
        <w:spacing w:line="360" w:lineRule="auto"/>
        <w:rPr>
          <w:rFonts w:ascii="Arial" w:hAnsi="Arial" w:cs="Arial"/>
          <w:sz w:val="22"/>
          <w:szCs w:val="22"/>
        </w:rPr>
      </w:pPr>
      <w:r w:rsidRPr="00820994">
        <w:rPr>
          <w:rFonts w:ascii="Arial" w:hAnsi="Arial" w:cs="Arial"/>
          <w:b/>
          <w:bCs/>
          <w:sz w:val="22"/>
          <w:szCs w:val="22"/>
        </w:rPr>
        <w:t>Inclusion:</w:t>
      </w:r>
      <w:r w:rsidRPr="00820994">
        <w:rPr>
          <w:rFonts w:ascii="Arial" w:hAnsi="Arial" w:cs="Arial"/>
          <w:sz w:val="22"/>
          <w:szCs w:val="22"/>
        </w:rPr>
        <w:t xml:space="preserve"> Peer-reviewed primary research articles (qualitative, quantitative, or mixed methods); published between 2014 and 2024; conducted in the United Kingdom; focused on community-dwelling older adults (not hospital inpatients).</w:t>
      </w:r>
    </w:p>
    <w:p w14:paraId="379BE9E9" w14:textId="77777777" w:rsidR="00820994" w:rsidRPr="00820994" w:rsidRDefault="00820994" w:rsidP="00FB38E4">
      <w:pPr>
        <w:numPr>
          <w:ilvl w:val="0"/>
          <w:numId w:val="13"/>
        </w:numPr>
        <w:spacing w:line="360" w:lineRule="auto"/>
        <w:rPr>
          <w:rFonts w:ascii="Arial" w:hAnsi="Arial" w:cs="Arial"/>
          <w:sz w:val="22"/>
          <w:szCs w:val="22"/>
        </w:rPr>
      </w:pPr>
      <w:r w:rsidRPr="00820994">
        <w:rPr>
          <w:rFonts w:ascii="Arial" w:hAnsi="Arial" w:cs="Arial"/>
          <w:b/>
          <w:bCs/>
          <w:sz w:val="22"/>
          <w:szCs w:val="22"/>
        </w:rPr>
        <w:t>Exclusion:</w:t>
      </w:r>
      <w:r w:rsidRPr="00820994">
        <w:rPr>
          <w:rFonts w:ascii="Arial" w:hAnsi="Arial" w:cs="Arial"/>
          <w:sz w:val="22"/>
          <w:szCs w:val="22"/>
        </w:rPr>
        <w:t xml:space="preserve"> Studies focusing solely on clinical outcomes (e.g., blood pressure reduction) without addressing independence; non-UK studies (due to differing social care systems); policy papers, editorials, or conference abstracts.</w:t>
      </w:r>
    </w:p>
    <w:p w14:paraId="73696FED" w14:textId="1C72B74E" w:rsidR="00820994" w:rsidRPr="00FA5739" w:rsidRDefault="00820994" w:rsidP="00FB38E4">
      <w:pPr>
        <w:pStyle w:val="Heading3"/>
        <w:spacing w:line="360" w:lineRule="auto"/>
        <w:rPr>
          <w:rFonts w:ascii="Arial" w:hAnsi="Arial" w:cs="Arial"/>
          <w:sz w:val="22"/>
          <w:szCs w:val="22"/>
        </w:rPr>
      </w:pPr>
      <w:bookmarkStart w:id="12" w:name="_Toc216086863"/>
      <w:r w:rsidRPr="00FA5739">
        <w:rPr>
          <w:rFonts w:ascii="Arial" w:hAnsi="Arial" w:cs="Arial"/>
          <w:sz w:val="22"/>
          <w:szCs w:val="22"/>
        </w:rPr>
        <w:t xml:space="preserve">Study </w:t>
      </w:r>
      <w:r w:rsidR="00137909" w:rsidRPr="00FA5739">
        <w:rPr>
          <w:rFonts w:ascii="Arial" w:hAnsi="Arial" w:cs="Arial"/>
          <w:sz w:val="22"/>
          <w:szCs w:val="22"/>
        </w:rPr>
        <w:t>s</w:t>
      </w:r>
      <w:r w:rsidRPr="00FA5739">
        <w:rPr>
          <w:rFonts w:ascii="Arial" w:hAnsi="Arial" w:cs="Arial"/>
          <w:sz w:val="22"/>
          <w:szCs w:val="22"/>
        </w:rPr>
        <w:t xml:space="preserve">election and </w:t>
      </w:r>
      <w:r w:rsidR="00137909" w:rsidRPr="00FA5739">
        <w:rPr>
          <w:rFonts w:ascii="Arial" w:hAnsi="Arial" w:cs="Arial"/>
          <w:sz w:val="22"/>
          <w:szCs w:val="22"/>
        </w:rPr>
        <w:t>a</w:t>
      </w:r>
      <w:r w:rsidRPr="00FA5739">
        <w:rPr>
          <w:rFonts w:ascii="Arial" w:hAnsi="Arial" w:cs="Arial"/>
          <w:sz w:val="22"/>
          <w:szCs w:val="22"/>
        </w:rPr>
        <w:t>nalysis</w:t>
      </w:r>
      <w:bookmarkEnd w:id="12"/>
    </w:p>
    <w:p w14:paraId="2EF7C099" w14:textId="28C9C312"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 xml:space="preserve">The initial search yielded a significant number of results. After screening titles and abstracts for relevance to the </w:t>
      </w:r>
      <w:r w:rsidR="009951A8">
        <w:rPr>
          <w:rFonts w:ascii="Arial" w:hAnsi="Arial" w:cs="Arial"/>
          <w:sz w:val="22"/>
          <w:szCs w:val="22"/>
        </w:rPr>
        <w:t>“</w:t>
      </w:r>
      <w:r w:rsidRPr="00820994">
        <w:rPr>
          <w:rFonts w:ascii="Arial" w:hAnsi="Arial" w:cs="Arial"/>
          <w:sz w:val="22"/>
          <w:szCs w:val="22"/>
        </w:rPr>
        <w:t>lived experience</w:t>
      </w:r>
      <w:r w:rsidR="009951A8">
        <w:rPr>
          <w:rFonts w:ascii="Arial" w:hAnsi="Arial" w:cs="Arial"/>
          <w:sz w:val="22"/>
          <w:szCs w:val="22"/>
        </w:rPr>
        <w:t>”</w:t>
      </w:r>
      <w:r w:rsidRPr="00820994">
        <w:rPr>
          <w:rFonts w:ascii="Arial" w:hAnsi="Arial" w:cs="Arial"/>
          <w:sz w:val="22"/>
          <w:szCs w:val="22"/>
        </w:rPr>
        <w:t xml:space="preserve"> of independence, five key studies were selected for detailed analysis.</w:t>
      </w:r>
    </w:p>
    <w:p w14:paraId="71A47DD4" w14:textId="7DCAF58F" w:rsidR="00820994" w:rsidRPr="00FA5739" w:rsidRDefault="00820994" w:rsidP="00FB38E4">
      <w:pPr>
        <w:spacing w:line="360" w:lineRule="auto"/>
        <w:rPr>
          <w:rFonts w:ascii="Arial" w:hAnsi="Arial" w:cs="Arial"/>
          <w:sz w:val="22"/>
          <w:szCs w:val="22"/>
        </w:rPr>
      </w:pPr>
      <w:bookmarkStart w:id="13" w:name="_Toc216086864"/>
      <w:r w:rsidRPr="00820994">
        <w:rPr>
          <w:rStyle w:val="Heading3Char"/>
          <w:rFonts w:ascii="Arial" w:hAnsi="Arial" w:cs="Arial"/>
          <w:sz w:val="22"/>
          <w:szCs w:val="22"/>
        </w:rPr>
        <w:t xml:space="preserve">Thematic </w:t>
      </w:r>
      <w:r w:rsidR="00137909" w:rsidRPr="00FA5739">
        <w:rPr>
          <w:rStyle w:val="Heading3Char"/>
          <w:rFonts w:ascii="Arial" w:hAnsi="Arial" w:cs="Arial"/>
          <w:sz w:val="22"/>
          <w:szCs w:val="22"/>
        </w:rPr>
        <w:t>a</w:t>
      </w:r>
      <w:r w:rsidRPr="00820994">
        <w:rPr>
          <w:rStyle w:val="Heading3Char"/>
          <w:rFonts w:ascii="Arial" w:hAnsi="Arial" w:cs="Arial"/>
          <w:sz w:val="22"/>
          <w:szCs w:val="22"/>
        </w:rPr>
        <w:t>nalysis:</w:t>
      </w:r>
      <w:bookmarkEnd w:id="13"/>
      <w:r w:rsidRPr="00820994">
        <w:rPr>
          <w:rFonts w:ascii="Arial" w:hAnsi="Arial" w:cs="Arial"/>
          <w:sz w:val="22"/>
          <w:szCs w:val="22"/>
        </w:rPr>
        <w:br/>
        <w:t xml:space="preserve">The selected studies were analysed using a thematic analysis approach (Braun and Clarke, 2006). This involved reading the full texts to identify recurring patterns and </w:t>
      </w:r>
      <w:r w:rsidR="009951A8">
        <w:rPr>
          <w:rFonts w:ascii="Arial" w:hAnsi="Arial" w:cs="Arial"/>
          <w:sz w:val="22"/>
          <w:szCs w:val="22"/>
        </w:rPr>
        <w:t>“</w:t>
      </w:r>
      <w:r w:rsidRPr="00820994">
        <w:rPr>
          <w:rFonts w:ascii="Arial" w:hAnsi="Arial" w:cs="Arial"/>
          <w:sz w:val="22"/>
          <w:szCs w:val="22"/>
        </w:rPr>
        <w:t>codes</w:t>
      </w:r>
      <w:r w:rsidR="009951A8">
        <w:rPr>
          <w:rFonts w:ascii="Arial" w:hAnsi="Arial" w:cs="Arial"/>
          <w:sz w:val="22"/>
          <w:szCs w:val="22"/>
        </w:rPr>
        <w:t>”</w:t>
      </w:r>
      <w:r w:rsidRPr="00820994">
        <w:rPr>
          <w:rFonts w:ascii="Arial" w:hAnsi="Arial" w:cs="Arial"/>
          <w:sz w:val="22"/>
          <w:szCs w:val="22"/>
        </w:rPr>
        <w:t xml:space="preserve"> related to independence. These codes were then grouped into broader themes (e.g., </w:t>
      </w:r>
      <w:r w:rsidR="009951A8">
        <w:rPr>
          <w:rFonts w:ascii="Arial" w:hAnsi="Arial" w:cs="Arial"/>
          <w:sz w:val="22"/>
          <w:szCs w:val="22"/>
        </w:rPr>
        <w:t>“</w:t>
      </w:r>
      <w:r w:rsidRPr="00820994">
        <w:rPr>
          <w:rFonts w:ascii="Arial" w:hAnsi="Arial" w:cs="Arial"/>
          <w:sz w:val="22"/>
          <w:szCs w:val="22"/>
        </w:rPr>
        <w:t>Safety vs. Surveillance,</w:t>
      </w:r>
      <w:r w:rsidR="009951A8">
        <w:rPr>
          <w:rFonts w:ascii="Arial" w:hAnsi="Arial" w:cs="Arial"/>
          <w:sz w:val="22"/>
          <w:szCs w:val="22"/>
        </w:rPr>
        <w:t>”</w:t>
      </w:r>
      <w:r w:rsidRPr="00820994">
        <w:rPr>
          <w:rFonts w:ascii="Arial" w:hAnsi="Arial" w:cs="Arial"/>
          <w:sz w:val="22"/>
          <w:szCs w:val="22"/>
        </w:rPr>
        <w:t xml:space="preserve"> </w:t>
      </w:r>
      <w:r w:rsidR="009951A8">
        <w:rPr>
          <w:rFonts w:ascii="Arial" w:hAnsi="Arial" w:cs="Arial"/>
          <w:sz w:val="22"/>
          <w:szCs w:val="22"/>
        </w:rPr>
        <w:t>“</w:t>
      </w:r>
      <w:r w:rsidRPr="00820994">
        <w:rPr>
          <w:rFonts w:ascii="Arial" w:hAnsi="Arial" w:cs="Arial"/>
          <w:sz w:val="22"/>
          <w:szCs w:val="22"/>
        </w:rPr>
        <w:t>The Role of Human Contact</w:t>
      </w:r>
      <w:r w:rsidR="009951A8">
        <w:rPr>
          <w:rFonts w:ascii="Arial" w:hAnsi="Arial" w:cs="Arial"/>
          <w:sz w:val="22"/>
          <w:szCs w:val="22"/>
        </w:rPr>
        <w:t>”</w:t>
      </w:r>
      <w:r w:rsidRPr="00820994">
        <w:rPr>
          <w:rFonts w:ascii="Arial" w:hAnsi="Arial" w:cs="Arial"/>
          <w:sz w:val="22"/>
          <w:szCs w:val="22"/>
        </w:rPr>
        <w:t>) to provide a structured synthesis of the findings. This method is particularly useful in secondary research for drawing meaningful conclusions across different types of qualitative and quantitative data (</w:t>
      </w:r>
      <w:proofErr w:type="spellStart"/>
      <w:r w:rsidRPr="00820994">
        <w:rPr>
          <w:rFonts w:ascii="Arial" w:hAnsi="Arial" w:cs="Arial"/>
          <w:sz w:val="22"/>
          <w:szCs w:val="22"/>
        </w:rPr>
        <w:t>Atlas.ti</w:t>
      </w:r>
      <w:proofErr w:type="spellEnd"/>
      <w:r w:rsidRPr="00820994">
        <w:rPr>
          <w:rFonts w:ascii="Arial" w:hAnsi="Arial" w:cs="Arial"/>
          <w:sz w:val="22"/>
          <w:szCs w:val="22"/>
        </w:rPr>
        <w:t>, 2024).</w:t>
      </w:r>
    </w:p>
    <w:p w14:paraId="07176206" w14:textId="77777777" w:rsidR="00137909" w:rsidRPr="00820994" w:rsidRDefault="00137909" w:rsidP="00FB38E4">
      <w:pPr>
        <w:spacing w:line="360" w:lineRule="auto"/>
        <w:rPr>
          <w:rFonts w:ascii="Arial" w:hAnsi="Arial" w:cs="Arial"/>
          <w:sz w:val="22"/>
          <w:szCs w:val="22"/>
        </w:rPr>
      </w:pPr>
    </w:p>
    <w:p w14:paraId="4E7C1C76" w14:textId="68684FD8" w:rsidR="00820994" w:rsidRPr="00FA5739" w:rsidRDefault="00820994" w:rsidP="00FB38E4">
      <w:pPr>
        <w:pStyle w:val="Heading3"/>
        <w:spacing w:line="360" w:lineRule="auto"/>
        <w:rPr>
          <w:rFonts w:ascii="Arial" w:hAnsi="Arial" w:cs="Arial"/>
          <w:sz w:val="22"/>
          <w:szCs w:val="22"/>
        </w:rPr>
      </w:pPr>
      <w:bookmarkStart w:id="14" w:name="_Toc216086865"/>
      <w:r w:rsidRPr="00FA5739">
        <w:rPr>
          <w:rFonts w:ascii="Arial" w:hAnsi="Arial" w:cs="Arial"/>
          <w:sz w:val="22"/>
          <w:szCs w:val="22"/>
        </w:rPr>
        <w:t xml:space="preserve">Ethical </w:t>
      </w:r>
      <w:r w:rsidR="00137909" w:rsidRPr="00FA5739">
        <w:rPr>
          <w:rFonts w:ascii="Arial" w:hAnsi="Arial" w:cs="Arial"/>
          <w:sz w:val="22"/>
          <w:szCs w:val="22"/>
        </w:rPr>
        <w:t>c</w:t>
      </w:r>
      <w:r w:rsidRPr="00FA5739">
        <w:rPr>
          <w:rFonts w:ascii="Arial" w:hAnsi="Arial" w:cs="Arial"/>
          <w:sz w:val="22"/>
          <w:szCs w:val="22"/>
        </w:rPr>
        <w:t>onsiderations</w:t>
      </w:r>
      <w:bookmarkEnd w:id="14"/>
    </w:p>
    <w:p w14:paraId="0A5CAAD2" w14:textId="3B8E2CB6"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As this is a piece of secondary research analysing already published data, formal ethical approval was not required. However, ethical standards of academic integrity were maintained throughout. This included providing accurate citations to avoid plagiarism and objectively reporting findings</w:t>
      </w:r>
      <w:r w:rsidR="00981479">
        <w:rPr>
          <w:rFonts w:ascii="Arial" w:hAnsi="Arial" w:cs="Arial"/>
          <w:sz w:val="22"/>
          <w:szCs w:val="22"/>
        </w:rPr>
        <w:t xml:space="preserve"> </w:t>
      </w:r>
      <w:r w:rsidRPr="00820994">
        <w:rPr>
          <w:rFonts w:ascii="Arial" w:hAnsi="Arial" w:cs="Arial"/>
          <w:sz w:val="22"/>
          <w:szCs w:val="22"/>
        </w:rPr>
        <w:t xml:space="preserve">even those that contradicted the prevailing </w:t>
      </w:r>
      <w:r w:rsidR="009951A8">
        <w:rPr>
          <w:rFonts w:ascii="Arial" w:hAnsi="Arial" w:cs="Arial"/>
          <w:sz w:val="22"/>
          <w:szCs w:val="22"/>
        </w:rPr>
        <w:t>“</w:t>
      </w:r>
      <w:r w:rsidRPr="00820994">
        <w:rPr>
          <w:rFonts w:ascii="Arial" w:hAnsi="Arial" w:cs="Arial"/>
          <w:sz w:val="22"/>
          <w:szCs w:val="22"/>
        </w:rPr>
        <w:t>tech-positive</w:t>
      </w:r>
      <w:r w:rsidR="009951A8">
        <w:rPr>
          <w:rFonts w:ascii="Arial" w:hAnsi="Arial" w:cs="Arial"/>
          <w:sz w:val="22"/>
          <w:szCs w:val="22"/>
        </w:rPr>
        <w:t>”</w:t>
      </w:r>
      <w:r w:rsidRPr="00820994">
        <w:rPr>
          <w:rFonts w:ascii="Arial" w:hAnsi="Arial" w:cs="Arial"/>
          <w:sz w:val="22"/>
          <w:szCs w:val="22"/>
        </w:rPr>
        <w:t xml:space="preserve"> policy narrative</w:t>
      </w:r>
      <w:r w:rsidR="00981479">
        <w:rPr>
          <w:rFonts w:ascii="Arial" w:hAnsi="Arial" w:cs="Arial"/>
          <w:sz w:val="22"/>
          <w:szCs w:val="22"/>
        </w:rPr>
        <w:t xml:space="preserve"> </w:t>
      </w:r>
      <w:r w:rsidRPr="00820994">
        <w:rPr>
          <w:rFonts w:ascii="Arial" w:hAnsi="Arial" w:cs="Arial"/>
          <w:sz w:val="22"/>
          <w:szCs w:val="22"/>
        </w:rPr>
        <w:t>to minimise researcher bias.</w:t>
      </w:r>
    </w:p>
    <w:p w14:paraId="26FFB8C5" w14:textId="77777777" w:rsidR="00137909" w:rsidRPr="00FA5739" w:rsidRDefault="00137909" w:rsidP="00FB38E4">
      <w:pPr>
        <w:spacing w:line="360" w:lineRule="auto"/>
        <w:rPr>
          <w:rFonts w:ascii="Arial" w:hAnsi="Arial" w:cs="Arial"/>
          <w:sz w:val="22"/>
          <w:szCs w:val="22"/>
        </w:rPr>
      </w:pPr>
    </w:p>
    <w:p w14:paraId="507B4641" w14:textId="2651B0FE" w:rsidR="00820994" w:rsidRPr="00FA5739" w:rsidRDefault="00820994" w:rsidP="00FB38E4">
      <w:pPr>
        <w:pStyle w:val="Heading2"/>
        <w:spacing w:line="360" w:lineRule="auto"/>
        <w:rPr>
          <w:rFonts w:ascii="Arial" w:hAnsi="Arial" w:cs="Arial"/>
          <w:sz w:val="22"/>
          <w:szCs w:val="22"/>
        </w:rPr>
      </w:pPr>
      <w:bookmarkStart w:id="15" w:name="_Toc216086866"/>
      <w:r w:rsidRPr="00FA5739">
        <w:rPr>
          <w:rFonts w:ascii="Arial" w:hAnsi="Arial" w:cs="Arial"/>
          <w:sz w:val="22"/>
          <w:szCs w:val="22"/>
        </w:rPr>
        <w:lastRenderedPageBreak/>
        <w:t>4. Results</w:t>
      </w:r>
      <w:bookmarkEnd w:id="15"/>
    </w:p>
    <w:p w14:paraId="24431AE2" w14:textId="5423B501" w:rsidR="00820994" w:rsidRPr="00FA5739" w:rsidRDefault="00820994" w:rsidP="00FB38E4">
      <w:pPr>
        <w:pStyle w:val="Heading3"/>
        <w:spacing w:line="360" w:lineRule="auto"/>
        <w:rPr>
          <w:rFonts w:ascii="Arial" w:hAnsi="Arial" w:cs="Arial"/>
          <w:sz w:val="22"/>
          <w:szCs w:val="22"/>
        </w:rPr>
      </w:pPr>
      <w:bookmarkStart w:id="16" w:name="_Toc216086867"/>
      <w:r w:rsidRPr="00FA5739">
        <w:rPr>
          <w:rFonts w:ascii="Arial" w:hAnsi="Arial" w:cs="Arial"/>
          <w:sz w:val="22"/>
          <w:szCs w:val="22"/>
        </w:rPr>
        <w:t xml:space="preserve">Overview of </w:t>
      </w:r>
      <w:r w:rsidR="00137909" w:rsidRPr="00FA5739">
        <w:rPr>
          <w:rFonts w:ascii="Arial" w:hAnsi="Arial" w:cs="Arial"/>
          <w:sz w:val="22"/>
          <w:szCs w:val="22"/>
        </w:rPr>
        <w:t>i</w:t>
      </w:r>
      <w:r w:rsidRPr="00FA5739">
        <w:rPr>
          <w:rFonts w:ascii="Arial" w:hAnsi="Arial" w:cs="Arial"/>
          <w:sz w:val="22"/>
          <w:szCs w:val="22"/>
        </w:rPr>
        <w:t xml:space="preserve">ncluded </w:t>
      </w:r>
      <w:r w:rsidR="00137909" w:rsidRPr="00FA5739">
        <w:rPr>
          <w:rFonts w:ascii="Arial" w:hAnsi="Arial" w:cs="Arial"/>
          <w:sz w:val="22"/>
          <w:szCs w:val="22"/>
        </w:rPr>
        <w:t>s</w:t>
      </w:r>
      <w:r w:rsidRPr="00FA5739">
        <w:rPr>
          <w:rFonts w:ascii="Arial" w:hAnsi="Arial" w:cs="Arial"/>
          <w:sz w:val="22"/>
          <w:szCs w:val="22"/>
        </w:rPr>
        <w:t>tudies</w:t>
      </w:r>
      <w:bookmarkEnd w:id="16"/>
    </w:p>
    <w:p w14:paraId="3D6B1FD3" w14:textId="77777777"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This scoping review synthesises findings from five key peer-reviewed studies selected for their relevance to the UK context. These studies employ a range of qualitative and mixed-method designs to explore the nuanced experience of telecare users.</w:t>
      </w:r>
    </w:p>
    <w:p w14:paraId="51B0C5AE" w14:textId="618560BB" w:rsidR="00820994" w:rsidRPr="00820994" w:rsidRDefault="00820994" w:rsidP="00FB38E4">
      <w:pPr>
        <w:spacing w:line="360" w:lineRule="auto"/>
        <w:rPr>
          <w:rFonts w:ascii="Arial" w:hAnsi="Arial" w:cs="Arial"/>
          <w:sz w:val="22"/>
          <w:szCs w:val="22"/>
        </w:rPr>
      </w:pPr>
      <w:r w:rsidRPr="00820994">
        <w:rPr>
          <w:rFonts w:ascii="Arial" w:hAnsi="Arial" w:cs="Arial"/>
          <w:b/>
          <w:bCs/>
          <w:sz w:val="22"/>
          <w:szCs w:val="22"/>
        </w:rPr>
        <w:t>Procter et al. (2014)</w:t>
      </w:r>
      <w:r w:rsidRPr="00820994">
        <w:rPr>
          <w:rFonts w:ascii="Arial" w:hAnsi="Arial" w:cs="Arial"/>
          <w:sz w:val="22"/>
          <w:szCs w:val="22"/>
        </w:rPr>
        <w:t xml:space="preserve"> conducted a qualitative interview study involving 15 older adults and staff within UK independent living services. Their work, </w:t>
      </w:r>
      <w:r w:rsidR="009951A8">
        <w:rPr>
          <w:rFonts w:ascii="Arial" w:hAnsi="Arial" w:cs="Arial"/>
          <w:sz w:val="22"/>
          <w:szCs w:val="22"/>
        </w:rPr>
        <w:t>“</w:t>
      </w:r>
      <w:r w:rsidRPr="00820994">
        <w:rPr>
          <w:rFonts w:ascii="Arial" w:hAnsi="Arial" w:cs="Arial"/>
          <w:i/>
          <w:iCs/>
          <w:sz w:val="22"/>
          <w:szCs w:val="22"/>
        </w:rPr>
        <w:t>Whose lifestyle is it anyway?</w:t>
      </w:r>
      <w:r w:rsidR="009951A8">
        <w:rPr>
          <w:rFonts w:ascii="Arial" w:hAnsi="Arial" w:cs="Arial"/>
          <w:i/>
          <w:iCs/>
          <w:sz w:val="22"/>
          <w:szCs w:val="22"/>
        </w:rPr>
        <w:t>”</w:t>
      </w:r>
      <w:r w:rsidRPr="00820994">
        <w:rPr>
          <w:rFonts w:ascii="Arial" w:hAnsi="Arial" w:cs="Arial"/>
          <w:sz w:val="22"/>
          <w:szCs w:val="22"/>
        </w:rPr>
        <w:t>, critically examined the tension between institutional monitoring and personal autonomy, revealing that users often resisted technologies they felt were imposed upon them.</w:t>
      </w:r>
    </w:p>
    <w:p w14:paraId="059C90DC" w14:textId="4076A5EE" w:rsidR="00820994" w:rsidRPr="00820994" w:rsidRDefault="00820994" w:rsidP="00FB38E4">
      <w:pPr>
        <w:spacing w:line="360" w:lineRule="auto"/>
        <w:rPr>
          <w:rFonts w:ascii="Arial" w:hAnsi="Arial" w:cs="Arial"/>
          <w:sz w:val="22"/>
          <w:szCs w:val="22"/>
        </w:rPr>
      </w:pPr>
      <w:r w:rsidRPr="00820994">
        <w:rPr>
          <w:rFonts w:ascii="Arial" w:hAnsi="Arial" w:cs="Arial"/>
          <w:b/>
          <w:bCs/>
          <w:sz w:val="22"/>
          <w:szCs w:val="22"/>
        </w:rPr>
        <w:t>Eccles (2020)</w:t>
      </w:r>
      <w:r w:rsidRPr="00820994">
        <w:rPr>
          <w:rFonts w:ascii="Arial" w:hAnsi="Arial" w:cs="Arial"/>
          <w:sz w:val="22"/>
          <w:szCs w:val="22"/>
        </w:rPr>
        <w:t xml:space="preserve"> provided a critical policy analysis in </w:t>
      </w:r>
      <w:r w:rsidR="009951A8">
        <w:rPr>
          <w:rFonts w:ascii="Arial" w:hAnsi="Arial" w:cs="Arial"/>
          <w:sz w:val="22"/>
          <w:szCs w:val="22"/>
        </w:rPr>
        <w:t>“</w:t>
      </w:r>
      <w:r w:rsidRPr="00820994">
        <w:rPr>
          <w:rFonts w:ascii="Arial" w:hAnsi="Arial" w:cs="Arial"/>
          <w:i/>
          <w:iCs/>
          <w:sz w:val="22"/>
          <w:szCs w:val="22"/>
        </w:rPr>
        <w:t>Remote care technologies, older people and the social care crisis</w:t>
      </w:r>
      <w:r w:rsidR="009951A8">
        <w:rPr>
          <w:rFonts w:ascii="Arial" w:hAnsi="Arial" w:cs="Arial"/>
          <w:i/>
          <w:iCs/>
          <w:sz w:val="22"/>
          <w:szCs w:val="22"/>
        </w:rPr>
        <w:t>”</w:t>
      </w:r>
      <w:r w:rsidRPr="00820994">
        <w:rPr>
          <w:rFonts w:ascii="Arial" w:hAnsi="Arial" w:cs="Arial"/>
          <w:sz w:val="22"/>
          <w:szCs w:val="22"/>
        </w:rPr>
        <w:t xml:space="preserve">. This study utilised a Multiple Streams Approach to scrutinise the political narrative that telecare is a </w:t>
      </w:r>
      <w:r w:rsidR="009951A8">
        <w:rPr>
          <w:rFonts w:ascii="Arial" w:hAnsi="Arial" w:cs="Arial"/>
          <w:sz w:val="22"/>
          <w:szCs w:val="22"/>
        </w:rPr>
        <w:t>“</w:t>
      </w:r>
      <w:r w:rsidRPr="00820994">
        <w:rPr>
          <w:rFonts w:ascii="Arial" w:hAnsi="Arial" w:cs="Arial"/>
          <w:sz w:val="22"/>
          <w:szCs w:val="22"/>
        </w:rPr>
        <w:t>silver bullet</w:t>
      </w:r>
      <w:r w:rsidR="009951A8">
        <w:rPr>
          <w:rFonts w:ascii="Arial" w:hAnsi="Arial" w:cs="Arial"/>
          <w:sz w:val="22"/>
          <w:szCs w:val="22"/>
        </w:rPr>
        <w:t>”</w:t>
      </w:r>
      <w:r w:rsidRPr="00820994">
        <w:rPr>
          <w:rFonts w:ascii="Arial" w:hAnsi="Arial" w:cs="Arial"/>
          <w:sz w:val="22"/>
          <w:szCs w:val="22"/>
        </w:rPr>
        <w:t xml:space="preserve"> for the social care crisis, arguing that the evidence </w:t>
      </w:r>
      <w:r w:rsidR="00137909" w:rsidRPr="00FA5739">
        <w:rPr>
          <w:rFonts w:ascii="Arial" w:hAnsi="Arial" w:cs="Arial"/>
          <w:sz w:val="22"/>
          <w:szCs w:val="22"/>
        </w:rPr>
        <w:t>bases</w:t>
      </w:r>
      <w:r w:rsidRPr="00820994">
        <w:rPr>
          <w:rFonts w:ascii="Arial" w:hAnsi="Arial" w:cs="Arial"/>
          <w:sz w:val="22"/>
          <w:szCs w:val="22"/>
        </w:rPr>
        <w:t xml:space="preserve"> for its effectiveness in promoting genuine independence is often overstated in policy documents.</w:t>
      </w:r>
    </w:p>
    <w:p w14:paraId="626E09EF" w14:textId="3C4C6571" w:rsidR="00820994" w:rsidRPr="00820994" w:rsidRDefault="00820994" w:rsidP="00FB38E4">
      <w:pPr>
        <w:spacing w:line="360" w:lineRule="auto"/>
        <w:rPr>
          <w:rFonts w:ascii="Arial" w:hAnsi="Arial" w:cs="Arial"/>
          <w:sz w:val="22"/>
          <w:szCs w:val="22"/>
        </w:rPr>
      </w:pPr>
      <w:r w:rsidRPr="00820994">
        <w:rPr>
          <w:rFonts w:ascii="Arial" w:hAnsi="Arial" w:cs="Arial"/>
          <w:b/>
          <w:bCs/>
          <w:sz w:val="22"/>
          <w:szCs w:val="22"/>
        </w:rPr>
        <w:t>Hamblin (2020)</w:t>
      </w:r>
      <w:r w:rsidRPr="00820994">
        <w:rPr>
          <w:rFonts w:ascii="Arial" w:hAnsi="Arial" w:cs="Arial"/>
          <w:sz w:val="22"/>
          <w:szCs w:val="22"/>
        </w:rPr>
        <w:t xml:space="preserve">, in </w:t>
      </w:r>
      <w:r w:rsidR="009951A8">
        <w:rPr>
          <w:rFonts w:ascii="Arial" w:hAnsi="Arial" w:cs="Arial"/>
          <w:sz w:val="22"/>
          <w:szCs w:val="22"/>
        </w:rPr>
        <w:t>“</w:t>
      </w:r>
      <w:r w:rsidRPr="00820994">
        <w:rPr>
          <w:rFonts w:ascii="Arial" w:hAnsi="Arial" w:cs="Arial"/>
          <w:i/>
          <w:iCs/>
          <w:sz w:val="22"/>
          <w:szCs w:val="22"/>
        </w:rPr>
        <w:t>Technology and social care in a digital world</w:t>
      </w:r>
      <w:r w:rsidR="009951A8">
        <w:rPr>
          <w:rFonts w:ascii="Arial" w:hAnsi="Arial" w:cs="Arial"/>
          <w:i/>
          <w:iCs/>
          <w:sz w:val="22"/>
          <w:szCs w:val="22"/>
        </w:rPr>
        <w:t>”</w:t>
      </w:r>
      <w:r w:rsidRPr="00820994">
        <w:rPr>
          <w:rFonts w:ascii="Arial" w:hAnsi="Arial" w:cs="Arial"/>
          <w:sz w:val="22"/>
          <w:szCs w:val="22"/>
        </w:rPr>
        <w:t xml:space="preserve">, employed a mixed-methods approach, combining secondary data analysis with case studies of UK local authorities. This research focused on the infrastructure of care, highlighting how the </w:t>
      </w:r>
      <w:r w:rsidR="009951A8">
        <w:rPr>
          <w:rFonts w:ascii="Arial" w:hAnsi="Arial" w:cs="Arial"/>
          <w:sz w:val="22"/>
          <w:szCs w:val="22"/>
        </w:rPr>
        <w:t>“</w:t>
      </w:r>
      <w:r w:rsidRPr="00820994">
        <w:rPr>
          <w:rFonts w:ascii="Arial" w:hAnsi="Arial" w:cs="Arial"/>
          <w:sz w:val="22"/>
          <w:szCs w:val="22"/>
        </w:rPr>
        <w:t>digital divide</w:t>
      </w:r>
      <w:r w:rsidR="009951A8">
        <w:rPr>
          <w:rFonts w:ascii="Arial" w:hAnsi="Arial" w:cs="Arial"/>
          <w:sz w:val="22"/>
          <w:szCs w:val="22"/>
        </w:rPr>
        <w:t>”</w:t>
      </w:r>
      <w:r w:rsidRPr="00820994">
        <w:rPr>
          <w:rFonts w:ascii="Arial" w:hAnsi="Arial" w:cs="Arial"/>
          <w:sz w:val="22"/>
          <w:szCs w:val="22"/>
        </w:rPr>
        <w:t xml:space="preserve"> creates unequal access to independence, with </w:t>
      </w:r>
      <w:r w:rsidR="009951A8">
        <w:rPr>
          <w:rFonts w:ascii="Arial" w:hAnsi="Arial" w:cs="Arial"/>
          <w:sz w:val="22"/>
          <w:szCs w:val="22"/>
        </w:rPr>
        <w:t>“</w:t>
      </w:r>
      <w:r w:rsidRPr="00820994">
        <w:rPr>
          <w:rFonts w:ascii="Arial" w:hAnsi="Arial" w:cs="Arial"/>
          <w:sz w:val="22"/>
          <w:szCs w:val="22"/>
        </w:rPr>
        <w:t>low-tech</w:t>
      </w:r>
      <w:r w:rsidR="009951A8">
        <w:rPr>
          <w:rFonts w:ascii="Arial" w:hAnsi="Arial" w:cs="Arial"/>
          <w:sz w:val="22"/>
          <w:szCs w:val="22"/>
        </w:rPr>
        <w:t>”</w:t>
      </w:r>
      <w:r w:rsidRPr="00820994">
        <w:rPr>
          <w:rFonts w:ascii="Arial" w:hAnsi="Arial" w:cs="Arial"/>
          <w:sz w:val="22"/>
          <w:szCs w:val="22"/>
        </w:rPr>
        <w:t xml:space="preserve"> solutions often proving more effective than complex digital systems.</w:t>
      </w:r>
    </w:p>
    <w:p w14:paraId="327FF0A3" w14:textId="18AC9745" w:rsidR="00820994" w:rsidRPr="00820994" w:rsidRDefault="00820994" w:rsidP="00FB38E4">
      <w:pPr>
        <w:spacing w:line="360" w:lineRule="auto"/>
        <w:rPr>
          <w:rFonts w:ascii="Arial" w:hAnsi="Arial" w:cs="Arial"/>
          <w:sz w:val="22"/>
          <w:szCs w:val="22"/>
        </w:rPr>
      </w:pPr>
      <w:r w:rsidRPr="00820994">
        <w:rPr>
          <w:rFonts w:ascii="Arial" w:hAnsi="Arial" w:cs="Arial"/>
          <w:b/>
          <w:bCs/>
          <w:sz w:val="22"/>
          <w:szCs w:val="22"/>
        </w:rPr>
        <w:t>Fothergill et al. (2023)</w:t>
      </w:r>
      <w:r w:rsidRPr="00820994">
        <w:rPr>
          <w:rFonts w:ascii="Arial" w:hAnsi="Arial" w:cs="Arial"/>
          <w:sz w:val="22"/>
          <w:szCs w:val="22"/>
        </w:rPr>
        <w:t xml:space="preserve"> offered a more recent perspective in </w:t>
      </w:r>
      <w:r w:rsidR="009951A8">
        <w:rPr>
          <w:rFonts w:ascii="Arial" w:hAnsi="Arial" w:cs="Arial"/>
          <w:sz w:val="22"/>
          <w:szCs w:val="22"/>
        </w:rPr>
        <w:t>“</w:t>
      </w:r>
      <w:r w:rsidRPr="00820994">
        <w:rPr>
          <w:rFonts w:ascii="Arial" w:hAnsi="Arial" w:cs="Arial"/>
          <w:i/>
          <w:iCs/>
          <w:sz w:val="22"/>
          <w:szCs w:val="22"/>
        </w:rPr>
        <w:t xml:space="preserve">Understanding the </w:t>
      </w:r>
      <w:r w:rsidR="009951A8">
        <w:rPr>
          <w:rFonts w:ascii="Arial" w:hAnsi="Arial" w:cs="Arial"/>
          <w:i/>
          <w:iCs/>
          <w:sz w:val="22"/>
          <w:szCs w:val="22"/>
        </w:rPr>
        <w:t>v</w:t>
      </w:r>
      <w:r w:rsidRPr="00820994">
        <w:rPr>
          <w:rFonts w:ascii="Arial" w:hAnsi="Arial" w:cs="Arial"/>
          <w:i/>
          <w:iCs/>
          <w:sz w:val="22"/>
          <w:szCs w:val="22"/>
        </w:rPr>
        <w:t xml:space="preserve">alue of a </w:t>
      </w:r>
      <w:r w:rsidR="009951A8">
        <w:rPr>
          <w:rFonts w:ascii="Arial" w:hAnsi="Arial" w:cs="Arial"/>
          <w:i/>
          <w:iCs/>
          <w:sz w:val="22"/>
          <w:szCs w:val="22"/>
        </w:rPr>
        <w:t>p</w:t>
      </w:r>
      <w:r w:rsidRPr="00820994">
        <w:rPr>
          <w:rFonts w:ascii="Arial" w:hAnsi="Arial" w:cs="Arial"/>
          <w:i/>
          <w:iCs/>
          <w:sz w:val="22"/>
          <w:szCs w:val="22"/>
        </w:rPr>
        <w:t xml:space="preserve">roactive </w:t>
      </w:r>
      <w:r w:rsidR="009951A8">
        <w:rPr>
          <w:rFonts w:ascii="Arial" w:hAnsi="Arial" w:cs="Arial"/>
          <w:i/>
          <w:iCs/>
          <w:sz w:val="22"/>
          <w:szCs w:val="22"/>
        </w:rPr>
        <w:t>t</w:t>
      </w:r>
      <w:r w:rsidRPr="00820994">
        <w:rPr>
          <w:rFonts w:ascii="Arial" w:hAnsi="Arial" w:cs="Arial"/>
          <w:i/>
          <w:iCs/>
          <w:sz w:val="22"/>
          <w:szCs w:val="22"/>
        </w:rPr>
        <w:t xml:space="preserve">elecare </w:t>
      </w:r>
      <w:r w:rsidR="009951A8">
        <w:rPr>
          <w:rFonts w:ascii="Arial" w:hAnsi="Arial" w:cs="Arial"/>
          <w:i/>
          <w:iCs/>
          <w:sz w:val="22"/>
          <w:szCs w:val="22"/>
        </w:rPr>
        <w:t>s</w:t>
      </w:r>
      <w:r w:rsidRPr="00820994">
        <w:rPr>
          <w:rFonts w:ascii="Arial" w:hAnsi="Arial" w:cs="Arial"/>
          <w:i/>
          <w:iCs/>
          <w:sz w:val="22"/>
          <w:szCs w:val="22"/>
        </w:rPr>
        <w:t>ystem</w:t>
      </w:r>
      <w:r w:rsidR="009951A8">
        <w:rPr>
          <w:rFonts w:ascii="Arial" w:hAnsi="Arial" w:cs="Arial"/>
          <w:i/>
          <w:iCs/>
          <w:sz w:val="22"/>
          <w:szCs w:val="22"/>
        </w:rPr>
        <w:t>”</w:t>
      </w:r>
      <w:r w:rsidRPr="00820994">
        <w:rPr>
          <w:rFonts w:ascii="Arial" w:hAnsi="Arial" w:cs="Arial"/>
          <w:sz w:val="22"/>
          <w:szCs w:val="22"/>
        </w:rPr>
        <w:t xml:space="preserve">. Through qualitative interviews with 30 participants—including users, families, and staff—this study explored the shift towards </w:t>
      </w:r>
      <w:r w:rsidR="009951A8">
        <w:rPr>
          <w:rFonts w:ascii="Arial" w:hAnsi="Arial" w:cs="Arial"/>
          <w:sz w:val="22"/>
          <w:szCs w:val="22"/>
        </w:rPr>
        <w:t>“</w:t>
      </w:r>
      <w:r w:rsidRPr="00820994">
        <w:rPr>
          <w:rFonts w:ascii="Arial" w:hAnsi="Arial" w:cs="Arial"/>
          <w:sz w:val="22"/>
          <w:szCs w:val="22"/>
        </w:rPr>
        <w:t>proactive</w:t>
      </w:r>
      <w:r w:rsidR="009951A8">
        <w:rPr>
          <w:rFonts w:ascii="Arial" w:hAnsi="Arial" w:cs="Arial"/>
          <w:sz w:val="22"/>
          <w:szCs w:val="22"/>
        </w:rPr>
        <w:t>”</w:t>
      </w:r>
      <w:r w:rsidRPr="00820994">
        <w:rPr>
          <w:rFonts w:ascii="Arial" w:hAnsi="Arial" w:cs="Arial"/>
          <w:sz w:val="22"/>
          <w:szCs w:val="22"/>
        </w:rPr>
        <w:t xml:space="preserve"> telecare (such as wellbeing calls) and found a strong link between the user's feeling of safety and their perceived independence.</w:t>
      </w:r>
    </w:p>
    <w:p w14:paraId="713F7CBF" w14:textId="112534DE"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 xml:space="preserve">Finally, </w:t>
      </w:r>
      <w:r w:rsidRPr="00820994">
        <w:rPr>
          <w:rFonts w:ascii="Arial" w:hAnsi="Arial" w:cs="Arial"/>
          <w:b/>
          <w:bCs/>
          <w:sz w:val="22"/>
          <w:szCs w:val="22"/>
        </w:rPr>
        <w:t>Wardlow et al. (2023)</w:t>
      </w:r>
      <w:r w:rsidRPr="00820994">
        <w:rPr>
          <w:rFonts w:ascii="Arial" w:hAnsi="Arial" w:cs="Arial"/>
          <w:sz w:val="22"/>
          <w:szCs w:val="22"/>
        </w:rPr>
        <w:t xml:space="preserve"> examined the barriers to adoption in </w:t>
      </w:r>
      <w:r w:rsidR="009951A8">
        <w:rPr>
          <w:rFonts w:ascii="Arial" w:hAnsi="Arial" w:cs="Arial"/>
          <w:sz w:val="22"/>
          <w:szCs w:val="22"/>
        </w:rPr>
        <w:t>“</w:t>
      </w:r>
      <w:r w:rsidRPr="00820994">
        <w:rPr>
          <w:rFonts w:ascii="Arial" w:hAnsi="Arial" w:cs="Arial"/>
          <w:i/>
          <w:iCs/>
          <w:sz w:val="22"/>
          <w:szCs w:val="22"/>
        </w:rPr>
        <w:t xml:space="preserve">Perceptions and </w:t>
      </w:r>
      <w:r w:rsidR="009951A8">
        <w:rPr>
          <w:rFonts w:ascii="Arial" w:hAnsi="Arial" w:cs="Arial"/>
          <w:i/>
          <w:iCs/>
          <w:sz w:val="22"/>
          <w:szCs w:val="22"/>
        </w:rPr>
        <w:t>u</w:t>
      </w:r>
      <w:r w:rsidRPr="00820994">
        <w:rPr>
          <w:rFonts w:ascii="Arial" w:hAnsi="Arial" w:cs="Arial"/>
          <w:i/>
          <w:iCs/>
          <w:sz w:val="22"/>
          <w:szCs w:val="22"/>
        </w:rPr>
        <w:t xml:space="preserve">ses of </w:t>
      </w:r>
      <w:r w:rsidR="009951A8">
        <w:rPr>
          <w:rFonts w:ascii="Arial" w:hAnsi="Arial" w:cs="Arial"/>
          <w:i/>
          <w:iCs/>
          <w:sz w:val="22"/>
          <w:szCs w:val="22"/>
        </w:rPr>
        <w:t>t</w:t>
      </w:r>
      <w:r w:rsidRPr="00820994">
        <w:rPr>
          <w:rFonts w:ascii="Arial" w:hAnsi="Arial" w:cs="Arial"/>
          <w:i/>
          <w:iCs/>
          <w:sz w:val="22"/>
          <w:szCs w:val="22"/>
        </w:rPr>
        <w:t xml:space="preserve">elehealth in the </w:t>
      </w:r>
      <w:r w:rsidR="009951A8">
        <w:rPr>
          <w:rFonts w:ascii="Arial" w:hAnsi="Arial" w:cs="Arial"/>
          <w:i/>
          <w:iCs/>
          <w:sz w:val="22"/>
          <w:szCs w:val="22"/>
        </w:rPr>
        <w:t>c</w:t>
      </w:r>
      <w:r w:rsidRPr="00820994">
        <w:rPr>
          <w:rFonts w:ascii="Arial" w:hAnsi="Arial" w:cs="Arial"/>
          <w:i/>
          <w:iCs/>
          <w:sz w:val="22"/>
          <w:szCs w:val="22"/>
        </w:rPr>
        <w:t xml:space="preserve">are of </w:t>
      </w:r>
      <w:r w:rsidR="009951A8">
        <w:rPr>
          <w:rFonts w:ascii="Arial" w:hAnsi="Arial" w:cs="Arial"/>
          <w:i/>
          <w:iCs/>
          <w:sz w:val="22"/>
          <w:szCs w:val="22"/>
        </w:rPr>
        <w:t>o</w:t>
      </w:r>
      <w:r w:rsidRPr="00820994">
        <w:rPr>
          <w:rFonts w:ascii="Arial" w:hAnsi="Arial" w:cs="Arial"/>
          <w:i/>
          <w:iCs/>
          <w:sz w:val="22"/>
          <w:szCs w:val="22"/>
        </w:rPr>
        <w:t xml:space="preserve">lder </w:t>
      </w:r>
      <w:r w:rsidR="009951A8">
        <w:rPr>
          <w:rFonts w:ascii="Arial" w:hAnsi="Arial" w:cs="Arial"/>
          <w:i/>
          <w:iCs/>
          <w:sz w:val="22"/>
          <w:szCs w:val="22"/>
        </w:rPr>
        <w:t>a</w:t>
      </w:r>
      <w:r w:rsidRPr="00820994">
        <w:rPr>
          <w:rFonts w:ascii="Arial" w:hAnsi="Arial" w:cs="Arial"/>
          <w:i/>
          <w:iCs/>
          <w:sz w:val="22"/>
          <w:szCs w:val="22"/>
        </w:rPr>
        <w:t>dults</w:t>
      </w:r>
      <w:r w:rsidR="009951A8">
        <w:rPr>
          <w:rFonts w:ascii="Arial" w:hAnsi="Arial" w:cs="Arial"/>
          <w:i/>
          <w:iCs/>
          <w:sz w:val="22"/>
          <w:szCs w:val="22"/>
        </w:rPr>
        <w:t>”</w:t>
      </w:r>
      <w:r w:rsidRPr="00820994">
        <w:rPr>
          <w:rFonts w:ascii="Arial" w:hAnsi="Arial" w:cs="Arial"/>
          <w:sz w:val="22"/>
          <w:szCs w:val="22"/>
        </w:rPr>
        <w:t>. Their survey data highlighted a significant disconnect between clinician concerns (privacy) and user concerns (preferences and usability), suggesting that independence is often compromised when technology does not align with the older adult's lifestyle.</w:t>
      </w:r>
    </w:p>
    <w:p w14:paraId="2BA19BEE" w14:textId="502BA114" w:rsidR="00820994" w:rsidRPr="00FA5739" w:rsidRDefault="00820994" w:rsidP="00FB38E4">
      <w:pPr>
        <w:pStyle w:val="Heading3"/>
        <w:spacing w:line="360" w:lineRule="auto"/>
        <w:rPr>
          <w:rFonts w:ascii="Arial" w:hAnsi="Arial" w:cs="Arial"/>
          <w:sz w:val="22"/>
          <w:szCs w:val="22"/>
        </w:rPr>
      </w:pPr>
      <w:bookmarkStart w:id="17" w:name="_Toc216086868"/>
      <w:r w:rsidRPr="00FA5739">
        <w:rPr>
          <w:rFonts w:ascii="Arial" w:hAnsi="Arial" w:cs="Arial"/>
          <w:sz w:val="22"/>
          <w:szCs w:val="22"/>
        </w:rPr>
        <w:t xml:space="preserve">Thematic </w:t>
      </w:r>
      <w:r w:rsidR="00FB38E4">
        <w:rPr>
          <w:rFonts w:ascii="Arial" w:hAnsi="Arial" w:cs="Arial"/>
          <w:sz w:val="22"/>
          <w:szCs w:val="22"/>
        </w:rPr>
        <w:t>a</w:t>
      </w:r>
      <w:r w:rsidRPr="00FA5739">
        <w:rPr>
          <w:rFonts w:ascii="Arial" w:hAnsi="Arial" w:cs="Arial"/>
          <w:sz w:val="22"/>
          <w:szCs w:val="22"/>
        </w:rPr>
        <w:t>nalysis</w:t>
      </w:r>
      <w:bookmarkEnd w:id="17"/>
    </w:p>
    <w:p w14:paraId="71E7CCB4" w14:textId="77777777"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The thematic analysis of these five studies revealed three dominant themes regarding the impact of telecare on independence:</w:t>
      </w:r>
    </w:p>
    <w:p w14:paraId="64A50E06" w14:textId="6292AA40" w:rsidR="00820994" w:rsidRPr="00820994" w:rsidRDefault="00820994" w:rsidP="00FB38E4">
      <w:pPr>
        <w:spacing w:line="360" w:lineRule="auto"/>
        <w:rPr>
          <w:rFonts w:ascii="Arial" w:hAnsi="Arial" w:cs="Arial"/>
          <w:sz w:val="22"/>
          <w:szCs w:val="22"/>
        </w:rPr>
      </w:pPr>
      <w:r w:rsidRPr="00820994">
        <w:rPr>
          <w:rStyle w:val="Heading4Char"/>
          <w:rFonts w:ascii="Arial" w:hAnsi="Arial" w:cs="Arial"/>
          <w:sz w:val="22"/>
          <w:szCs w:val="22"/>
        </w:rPr>
        <w:lastRenderedPageBreak/>
        <w:t xml:space="preserve">Theme 1: Independence as </w:t>
      </w:r>
      <w:r w:rsidR="009951A8">
        <w:rPr>
          <w:rStyle w:val="Heading4Char"/>
          <w:rFonts w:ascii="Arial" w:hAnsi="Arial" w:cs="Arial"/>
          <w:sz w:val="22"/>
          <w:szCs w:val="22"/>
        </w:rPr>
        <w:t>“s</w:t>
      </w:r>
      <w:r w:rsidRPr="00820994">
        <w:rPr>
          <w:rStyle w:val="Heading4Char"/>
          <w:rFonts w:ascii="Arial" w:hAnsi="Arial" w:cs="Arial"/>
          <w:sz w:val="22"/>
          <w:szCs w:val="22"/>
        </w:rPr>
        <w:t xml:space="preserve">ecurity at </w:t>
      </w:r>
      <w:r w:rsidR="00FB38E4">
        <w:rPr>
          <w:rStyle w:val="Heading4Char"/>
          <w:rFonts w:ascii="Arial" w:hAnsi="Arial" w:cs="Arial"/>
          <w:sz w:val="22"/>
          <w:szCs w:val="22"/>
        </w:rPr>
        <w:t>h</w:t>
      </w:r>
      <w:r w:rsidRPr="00820994">
        <w:rPr>
          <w:rStyle w:val="Heading4Char"/>
          <w:rFonts w:ascii="Arial" w:hAnsi="Arial" w:cs="Arial"/>
          <w:sz w:val="22"/>
          <w:szCs w:val="22"/>
        </w:rPr>
        <w:t>ome</w:t>
      </w:r>
      <w:r w:rsidR="009951A8">
        <w:rPr>
          <w:rStyle w:val="Heading4Char"/>
          <w:rFonts w:ascii="Arial" w:hAnsi="Arial" w:cs="Arial"/>
          <w:sz w:val="22"/>
          <w:szCs w:val="22"/>
        </w:rPr>
        <w:t>”</w:t>
      </w:r>
      <w:r w:rsidRPr="00820994">
        <w:rPr>
          <w:rStyle w:val="Heading4Char"/>
          <w:rFonts w:ascii="Arial" w:hAnsi="Arial" w:cs="Arial"/>
          <w:sz w:val="22"/>
          <w:szCs w:val="22"/>
        </w:rPr>
        <w:t xml:space="preserve"> vs. </w:t>
      </w:r>
      <w:r w:rsidR="009951A8">
        <w:rPr>
          <w:rStyle w:val="Heading4Char"/>
          <w:rFonts w:ascii="Arial" w:hAnsi="Arial" w:cs="Arial"/>
          <w:sz w:val="22"/>
          <w:szCs w:val="22"/>
        </w:rPr>
        <w:t>“s</w:t>
      </w:r>
      <w:r w:rsidRPr="00820994">
        <w:rPr>
          <w:rStyle w:val="Heading4Char"/>
          <w:rFonts w:ascii="Arial" w:hAnsi="Arial" w:cs="Arial"/>
          <w:sz w:val="22"/>
          <w:szCs w:val="22"/>
        </w:rPr>
        <w:t>urveillance</w:t>
      </w:r>
      <w:r w:rsidR="009951A8">
        <w:rPr>
          <w:rStyle w:val="Heading4Char"/>
          <w:rFonts w:ascii="Arial" w:hAnsi="Arial" w:cs="Arial"/>
          <w:sz w:val="22"/>
          <w:szCs w:val="22"/>
        </w:rPr>
        <w:t>”</w:t>
      </w:r>
      <w:r w:rsidRPr="00820994">
        <w:rPr>
          <w:rFonts w:ascii="Arial" w:hAnsi="Arial" w:cs="Arial"/>
          <w:sz w:val="22"/>
          <w:szCs w:val="22"/>
        </w:rPr>
        <w:br/>
        <w:t xml:space="preserve">A recurring finding across all studies was the dual nature of telecare. Fothergill et al. (2023) found that for many users, independence was functionally defined as </w:t>
      </w:r>
      <w:r w:rsidR="009951A8">
        <w:rPr>
          <w:rFonts w:ascii="Arial" w:hAnsi="Arial" w:cs="Arial"/>
          <w:sz w:val="22"/>
          <w:szCs w:val="22"/>
        </w:rPr>
        <w:t>“</w:t>
      </w:r>
      <w:r w:rsidRPr="00820994">
        <w:rPr>
          <w:rFonts w:ascii="Arial" w:hAnsi="Arial" w:cs="Arial"/>
          <w:sz w:val="22"/>
          <w:szCs w:val="22"/>
        </w:rPr>
        <w:t>staying at home</w:t>
      </w:r>
      <w:r w:rsidR="009951A8">
        <w:rPr>
          <w:rFonts w:ascii="Arial" w:hAnsi="Arial" w:cs="Arial"/>
          <w:sz w:val="22"/>
          <w:szCs w:val="22"/>
        </w:rPr>
        <w:t>”</w:t>
      </w:r>
      <w:r w:rsidRPr="00820994">
        <w:rPr>
          <w:rFonts w:ascii="Arial" w:hAnsi="Arial" w:cs="Arial"/>
          <w:sz w:val="22"/>
          <w:szCs w:val="22"/>
        </w:rPr>
        <w:t xml:space="preserve"> rather than moving to a care home. In this sense, telecare supported independence by managing risk (e.g., fall detection), which reassured both the user and their family. However, Procter et al. (2014) highlighted a critical counter-narrative: when systems were installed without user consultation, they were perceived as </w:t>
      </w:r>
      <w:r w:rsidR="009951A8">
        <w:rPr>
          <w:rFonts w:ascii="Arial" w:hAnsi="Arial" w:cs="Arial"/>
          <w:sz w:val="22"/>
          <w:szCs w:val="22"/>
        </w:rPr>
        <w:t>“</w:t>
      </w:r>
      <w:r w:rsidRPr="00820994">
        <w:rPr>
          <w:rFonts w:ascii="Arial" w:hAnsi="Arial" w:cs="Arial"/>
          <w:sz w:val="22"/>
          <w:szCs w:val="22"/>
        </w:rPr>
        <w:t>surveillance.</w:t>
      </w:r>
      <w:r w:rsidR="009951A8">
        <w:rPr>
          <w:rFonts w:ascii="Arial" w:hAnsi="Arial" w:cs="Arial"/>
          <w:sz w:val="22"/>
          <w:szCs w:val="22"/>
        </w:rPr>
        <w:t>”</w:t>
      </w:r>
      <w:r w:rsidRPr="00820994">
        <w:rPr>
          <w:rFonts w:ascii="Arial" w:hAnsi="Arial" w:cs="Arial"/>
          <w:sz w:val="22"/>
          <w:szCs w:val="22"/>
        </w:rPr>
        <w:t xml:space="preserve"> In these cases, the technology paradoxically </w:t>
      </w:r>
      <w:r w:rsidRPr="00820994">
        <w:rPr>
          <w:rFonts w:ascii="Arial" w:hAnsi="Arial" w:cs="Arial"/>
          <w:i/>
          <w:iCs/>
          <w:sz w:val="22"/>
          <w:szCs w:val="22"/>
        </w:rPr>
        <w:t>reduced</w:t>
      </w:r>
      <w:r w:rsidRPr="00820994">
        <w:rPr>
          <w:rFonts w:ascii="Arial" w:hAnsi="Arial" w:cs="Arial"/>
          <w:sz w:val="22"/>
          <w:szCs w:val="22"/>
        </w:rPr>
        <w:t xml:space="preserve"> the user's sense of autonomy, as they felt their daily routines were being judged by remote monitors. This led to </w:t>
      </w:r>
      <w:r w:rsidR="009951A8">
        <w:rPr>
          <w:rFonts w:ascii="Arial" w:hAnsi="Arial" w:cs="Arial"/>
          <w:sz w:val="22"/>
          <w:szCs w:val="22"/>
        </w:rPr>
        <w:t>“</w:t>
      </w:r>
      <w:r w:rsidRPr="00820994">
        <w:rPr>
          <w:rFonts w:ascii="Arial" w:hAnsi="Arial" w:cs="Arial"/>
          <w:sz w:val="22"/>
          <w:szCs w:val="22"/>
        </w:rPr>
        <w:t>performative compliance,</w:t>
      </w:r>
      <w:r w:rsidR="009951A8">
        <w:rPr>
          <w:rFonts w:ascii="Arial" w:hAnsi="Arial" w:cs="Arial"/>
          <w:sz w:val="22"/>
          <w:szCs w:val="22"/>
        </w:rPr>
        <w:t>”</w:t>
      </w:r>
      <w:r w:rsidRPr="00820994">
        <w:rPr>
          <w:rFonts w:ascii="Arial" w:hAnsi="Arial" w:cs="Arial"/>
          <w:sz w:val="22"/>
          <w:szCs w:val="22"/>
        </w:rPr>
        <w:t xml:space="preserve"> where users would modify their behaviour to satisfy the sensors rather than living naturally.</w:t>
      </w:r>
    </w:p>
    <w:p w14:paraId="2B17E71B" w14:textId="52E006B2" w:rsidR="00820994" w:rsidRPr="00820994" w:rsidRDefault="00820994" w:rsidP="00FB38E4">
      <w:pPr>
        <w:spacing w:line="360" w:lineRule="auto"/>
        <w:rPr>
          <w:rFonts w:ascii="Arial" w:hAnsi="Arial" w:cs="Arial"/>
          <w:sz w:val="22"/>
          <w:szCs w:val="22"/>
        </w:rPr>
      </w:pPr>
      <w:r w:rsidRPr="00820994">
        <w:rPr>
          <w:rStyle w:val="Heading4Char"/>
          <w:rFonts w:ascii="Arial" w:hAnsi="Arial" w:cs="Arial"/>
          <w:sz w:val="22"/>
          <w:szCs w:val="22"/>
        </w:rPr>
        <w:t xml:space="preserve">Theme 2: The </w:t>
      </w:r>
      <w:r w:rsidR="00FB38E4">
        <w:rPr>
          <w:rStyle w:val="Heading4Char"/>
          <w:rFonts w:ascii="Arial" w:hAnsi="Arial" w:cs="Arial"/>
          <w:sz w:val="22"/>
          <w:szCs w:val="22"/>
        </w:rPr>
        <w:t>i</w:t>
      </w:r>
      <w:r w:rsidRPr="00820994">
        <w:rPr>
          <w:rStyle w:val="Heading4Char"/>
          <w:rFonts w:ascii="Arial" w:hAnsi="Arial" w:cs="Arial"/>
          <w:sz w:val="22"/>
          <w:szCs w:val="22"/>
        </w:rPr>
        <w:t xml:space="preserve">mportance of the </w:t>
      </w:r>
      <w:r w:rsidR="009951A8">
        <w:rPr>
          <w:rStyle w:val="Heading4Char"/>
          <w:rFonts w:ascii="Arial" w:hAnsi="Arial" w:cs="Arial"/>
          <w:sz w:val="22"/>
          <w:szCs w:val="22"/>
        </w:rPr>
        <w:t>“</w:t>
      </w:r>
      <w:r w:rsidR="00FB38E4">
        <w:rPr>
          <w:rStyle w:val="Heading4Char"/>
          <w:rFonts w:ascii="Arial" w:hAnsi="Arial" w:cs="Arial"/>
          <w:sz w:val="22"/>
          <w:szCs w:val="22"/>
        </w:rPr>
        <w:t>h</w:t>
      </w:r>
      <w:r w:rsidRPr="00820994">
        <w:rPr>
          <w:rStyle w:val="Heading4Char"/>
          <w:rFonts w:ascii="Arial" w:hAnsi="Arial" w:cs="Arial"/>
          <w:sz w:val="22"/>
          <w:szCs w:val="22"/>
        </w:rPr>
        <w:t xml:space="preserve">uman </w:t>
      </w:r>
      <w:r w:rsidR="00FB38E4">
        <w:rPr>
          <w:rStyle w:val="Heading4Char"/>
          <w:rFonts w:ascii="Arial" w:hAnsi="Arial" w:cs="Arial"/>
          <w:sz w:val="22"/>
          <w:szCs w:val="22"/>
        </w:rPr>
        <w:t>e</w:t>
      </w:r>
      <w:r w:rsidRPr="00820994">
        <w:rPr>
          <w:rStyle w:val="Heading4Char"/>
          <w:rFonts w:ascii="Arial" w:hAnsi="Arial" w:cs="Arial"/>
          <w:sz w:val="22"/>
          <w:szCs w:val="22"/>
        </w:rPr>
        <w:t>lement</w:t>
      </w:r>
      <w:r w:rsidR="009951A8">
        <w:rPr>
          <w:rStyle w:val="Heading4Char"/>
          <w:rFonts w:ascii="Arial" w:hAnsi="Arial" w:cs="Arial"/>
          <w:sz w:val="22"/>
          <w:szCs w:val="22"/>
        </w:rPr>
        <w:t>”</w:t>
      </w:r>
      <w:r w:rsidRPr="00820994">
        <w:rPr>
          <w:rStyle w:val="Heading4Char"/>
          <w:rFonts w:ascii="Arial" w:hAnsi="Arial" w:cs="Arial"/>
          <w:sz w:val="22"/>
          <w:szCs w:val="22"/>
        </w:rPr>
        <w:t xml:space="preserve"> in </w:t>
      </w:r>
      <w:r w:rsidR="00FB38E4">
        <w:rPr>
          <w:rStyle w:val="Heading4Char"/>
          <w:rFonts w:ascii="Arial" w:hAnsi="Arial" w:cs="Arial"/>
          <w:sz w:val="22"/>
          <w:szCs w:val="22"/>
        </w:rPr>
        <w:t>d</w:t>
      </w:r>
      <w:r w:rsidRPr="00820994">
        <w:rPr>
          <w:rStyle w:val="Heading4Char"/>
          <w:rFonts w:ascii="Arial" w:hAnsi="Arial" w:cs="Arial"/>
          <w:sz w:val="22"/>
          <w:szCs w:val="22"/>
        </w:rPr>
        <w:t xml:space="preserve">igital </w:t>
      </w:r>
      <w:r w:rsidR="00FB38E4">
        <w:rPr>
          <w:rStyle w:val="Heading4Char"/>
          <w:rFonts w:ascii="Arial" w:hAnsi="Arial" w:cs="Arial"/>
          <w:sz w:val="22"/>
          <w:szCs w:val="22"/>
        </w:rPr>
        <w:t>c</w:t>
      </w:r>
      <w:r w:rsidRPr="00820994">
        <w:rPr>
          <w:rStyle w:val="Heading4Char"/>
          <w:rFonts w:ascii="Arial" w:hAnsi="Arial" w:cs="Arial"/>
          <w:sz w:val="22"/>
          <w:szCs w:val="22"/>
        </w:rPr>
        <w:t>are</w:t>
      </w:r>
      <w:r w:rsidR="00FB38E4">
        <w:rPr>
          <w:rStyle w:val="Heading4Char"/>
          <w:rFonts w:ascii="Arial" w:hAnsi="Arial" w:cs="Arial"/>
          <w:sz w:val="22"/>
          <w:szCs w:val="22"/>
        </w:rPr>
        <w:t>.</w:t>
      </w:r>
      <w:r w:rsidRPr="00820994">
        <w:rPr>
          <w:rStyle w:val="Heading4Char"/>
          <w:rFonts w:ascii="Arial" w:hAnsi="Arial" w:cs="Arial"/>
          <w:sz w:val="22"/>
          <w:szCs w:val="22"/>
        </w:rPr>
        <w:br/>
      </w:r>
      <w:r w:rsidRPr="00820994">
        <w:rPr>
          <w:rFonts w:ascii="Arial" w:hAnsi="Arial" w:cs="Arial"/>
          <w:sz w:val="22"/>
          <w:szCs w:val="22"/>
        </w:rPr>
        <w:t xml:space="preserve">Contrary to the policy goal of reducing workforce contact to save costs, the evidence suggests that telecare is most effective at supporting independence when it facilitates, rather than replaces, human connection. Fothergill et al. (2023) noted that </w:t>
      </w:r>
      <w:r w:rsidR="009951A8">
        <w:rPr>
          <w:rFonts w:ascii="Arial" w:hAnsi="Arial" w:cs="Arial"/>
          <w:sz w:val="22"/>
          <w:szCs w:val="22"/>
        </w:rPr>
        <w:t>“</w:t>
      </w:r>
      <w:r w:rsidRPr="00820994">
        <w:rPr>
          <w:rFonts w:ascii="Arial" w:hAnsi="Arial" w:cs="Arial"/>
          <w:sz w:val="22"/>
          <w:szCs w:val="22"/>
        </w:rPr>
        <w:t>proactive calls</w:t>
      </w:r>
      <w:r w:rsidR="009951A8">
        <w:rPr>
          <w:rFonts w:ascii="Arial" w:hAnsi="Arial" w:cs="Arial"/>
          <w:sz w:val="22"/>
          <w:szCs w:val="22"/>
        </w:rPr>
        <w:t>”</w:t>
      </w:r>
      <w:r w:rsidRPr="00820994">
        <w:rPr>
          <w:rFonts w:ascii="Arial" w:hAnsi="Arial" w:cs="Arial"/>
          <w:sz w:val="22"/>
          <w:szCs w:val="22"/>
        </w:rPr>
        <w:t xml:space="preserve"> from telecare staff were valued highly because they reduced social isolation, which is a key component of independent living. Conversely, Eccles (2020) warned that when technology is deployed solely to replace physical visits, it can exacerbate loneliness, effectively stripping the </w:t>
      </w:r>
      <w:r w:rsidR="009951A8">
        <w:rPr>
          <w:rFonts w:ascii="Arial" w:hAnsi="Arial" w:cs="Arial"/>
          <w:sz w:val="22"/>
          <w:szCs w:val="22"/>
        </w:rPr>
        <w:t>“</w:t>
      </w:r>
      <w:r w:rsidRPr="00820994">
        <w:rPr>
          <w:rFonts w:ascii="Arial" w:hAnsi="Arial" w:cs="Arial"/>
          <w:sz w:val="22"/>
          <w:szCs w:val="22"/>
        </w:rPr>
        <w:t>care</w:t>
      </w:r>
      <w:r w:rsidR="009951A8">
        <w:rPr>
          <w:rFonts w:ascii="Arial" w:hAnsi="Arial" w:cs="Arial"/>
          <w:sz w:val="22"/>
          <w:szCs w:val="22"/>
        </w:rPr>
        <w:t>”</w:t>
      </w:r>
      <w:r w:rsidRPr="00820994">
        <w:rPr>
          <w:rFonts w:ascii="Arial" w:hAnsi="Arial" w:cs="Arial"/>
          <w:sz w:val="22"/>
          <w:szCs w:val="22"/>
        </w:rPr>
        <w:t xml:space="preserve"> out of social care. The findings indicate that technology should be an </w:t>
      </w:r>
      <w:r w:rsidRPr="00820994">
        <w:rPr>
          <w:rFonts w:ascii="Arial" w:hAnsi="Arial" w:cs="Arial"/>
          <w:i/>
          <w:iCs/>
          <w:sz w:val="22"/>
          <w:szCs w:val="22"/>
        </w:rPr>
        <w:t>adjunct</w:t>
      </w:r>
      <w:r w:rsidRPr="00820994">
        <w:rPr>
          <w:rFonts w:ascii="Arial" w:hAnsi="Arial" w:cs="Arial"/>
          <w:sz w:val="22"/>
          <w:szCs w:val="22"/>
        </w:rPr>
        <w:t xml:space="preserve"> to human support, not a substitute, to truly foster independence.</w:t>
      </w:r>
    </w:p>
    <w:p w14:paraId="4F09B200" w14:textId="1BC548C0" w:rsidR="00820994" w:rsidRPr="00820994" w:rsidRDefault="00820994" w:rsidP="00FB38E4">
      <w:pPr>
        <w:spacing w:line="360" w:lineRule="auto"/>
        <w:rPr>
          <w:rFonts w:ascii="Arial" w:hAnsi="Arial" w:cs="Arial"/>
          <w:sz w:val="22"/>
          <w:szCs w:val="22"/>
        </w:rPr>
      </w:pPr>
      <w:r w:rsidRPr="00820994">
        <w:rPr>
          <w:rStyle w:val="Heading4Char"/>
          <w:rFonts w:ascii="Arial" w:hAnsi="Arial" w:cs="Arial"/>
          <w:sz w:val="22"/>
          <w:szCs w:val="22"/>
        </w:rPr>
        <w:t xml:space="preserve">Theme 3: The </w:t>
      </w:r>
      <w:r w:rsidR="009951A8">
        <w:rPr>
          <w:rStyle w:val="Heading4Char"/>
          <w:rFonts w:ascii="Arial" w:hAnsi="Arial" w:cs="Arial"/>
          <w:sz w:val="22"/>
          <w:szCs w:val="22"/>
        </w:rPr>
        <w:t>“</w:t>
      </w:r>
      <w:r w:rsidR="00FB38E4">
        <w:rPr>
          <w:rStyle w:val="Heading4Char"/>
          <w:rFonts w:ascii="Arial" w:hAnsi="Arial" w:cs="Arial"/>
          <w:sz w:val="22"/>
          <w:szCs w:val="22"/>
        </w:rPr>
        <w:t>d</w:t>
      </w:r>
      <w:r w:rsidRPr="00820994">
        <w:rPr>
          <w:rStyle w:val="Heading4Char"/>
          <w:rFonts w:ascii="Arial" w:hAnsi="Arial" w:cs="Arial"/>
          <w:sz w:val="22"/>
          <w:szCs w:val="22"/>
        </w:rPr>
        <w:t xml:space="preserve">igital </w:t>
      </w:r>
      <w:r w:rsidR="00FB38E4">
        <w:rPr>
          <w:rStyle w:val="Heading4Char"/>
          <w:rFonts w:ascii="Arial" w:hAnsi="Arial" w:cs="Arial"/>
          <w:sz w:val="22"/>
          <w:szCs w:val="22"/>
        </w:rPr>
        <w:t>d</w:t>
      </w:r>
      <w:r w:rsidRPr="00820994">
        <w:rPr>
          <w:rStyle w:val="Heading4Char"/>
          <w:rFonts w:ascii="Arial" w:hAnsi="Arial" w:cs="Arial"/>
          <w:sz w:val="22"/>
          <w:szCs w:val="22"/>
        </w:rPr>
        <w:t>ivide</w:t>
      </w:r>
      <w:r w:rsidR="009951A8">
        <w:rPr>
          <w:rStyle w:val="Heading4Char"/>
          <w:rFonts w:ascii="Arial" w:hAnsi="Arial" w:cs="Arial"/>
          <w:sz w:val="22"/>
          <w:szCs w:val="22"/>
        </w:rPr>
        <w:t>”</w:t>
      </w:r>
      <w:r w:rsidRPr="00820994">
        <w:rPr>
          <w:rStyle w:val="Heading4Char"/>
          <w:rFonts w:ascii="Arial" w:hAnsi="Arial" w:cs="Arial"/>
          <w:sz w:val="22"/>
          <w:szCs w:val="22"/>
        </w:rPr>
        <w:t xml:space="preserve"> as a </w:t>
      </w:r>
      <w:r w:rsidR="00FB38E4">
        <w:rPr>
          <w:rStyle w:val="Heading4Char"/>
          <w:rFonts w:ascii="Arial" w:hAnsi="Arial" w:cs="Arial"/>
          <w:sz w:val="22"/>
          <w:szCs w:val="22"/>
        </w:rPr>
        <w:t>b</w:t>
      </w:r>
      <w:r w:rsidRPr="00820994">
        <w:rPr>
          <w:rStyle w:val="Heading4Char"/>
          <w:rFonts w:ascii="Arial" w:hAnsi="Arial" w:cs="Arial"/>
          <w:sz w:val="22"/>
          <w:szCs w:val="22"/>
        </w:rPr>
        <w:t xml:space="preserve">arrier to </w:t>
      </w:r>
      <w:r w:rsidR="00FB38E4">
        <w:rPr>
          <w:rStyle w:val="Heading4Char"/>
          <w:rFonts w:ascii="Arial" w:hAnsi="Arial" w:cs="Arial"/>
          <w:sz w:val="22"/>
          <w:szCs w:val="22"/>
        </w:rPr>
        <w:t>a</w:t>
      </w:r>
      <w:r w:rsidRPr="00820994">
        <w:rPr>
          <w:rStyle w:val="Heading4Char"/>
          <w:rFonts w:ascii="Arial" w:hAnsi="Arial" w:cs="Arial"/>
          <w:sz w:val="22"/>
          <w:szCs w:val="22"/>
        </w:rPr>
        <w:t>utonomy</w:t>
      </w:r>
      <w:r w:rsidR="00FB38E4">
        <w:rPr>
          <w:rStyle w:val="Heading4Char"/>
          <w:rFonts w:ascii="Arial" w:hAnsi="Arial" w:cs="Arial"/>
          <w:sz w:val="22"/>
          <w:szCs w:val="22"/>
        </w:rPr>
        <w:t>.</w:t>
      </w:r>
      <w:r w:rsidRPr="00820994">
        <w:rPr>
          <w:rFonts w:ascii="Arial" w:hAnsi="Arial" w:cs="Arial"/>
          <w:sz w:val="22"/>
          <w:szCs w:val="22"/>
        </w:rPr>
        <w:br/>
        <w:t xml:space="preserve">Hamblin (2020) and Wardlow et al. (2023) both identified that independence is contingent on usability. A significant barrier to autonomy was the design of the technology itself. When devices were complex or required reliable high-speed internet—which remains inconsistent in parts of the UK—they became sources of stress rather than support. Hamblin (2020) found that older adults felt </w:t>
      </w:r>
      <w:r w:rsidRPr="00820994">
        <w:rPr>
          <w:rFonts w:ascii="Arial" w:hAnsi="Arial" w:cs="Arial"/>
          <w:i/>
          <w:iCs/>
          <w:sz w:val="22"/>
          <w:szCs w:val="22"/>
        </w:rPr>
        <w:t>less</w:t>
      </w:r>
      <w:r w:rsidRPr="00820994">
        <w:rPr>
          <w:rFonts w:ascii="Arial" w:hAnsi="Arial" w:cs="Arial"/>
          <w:sz w:val="22"/>
          <w:szCs w:val="22"/>
        </w:rPr>
        <w:t xml:space="preserve"> independent when they had to rely on younger relatives to set up or maintain the equipment. This finding is crucial, as it suggests that poorly designed digital interventions can shift dependency from </w:t>
      </w:r>
      <w:r w:rsidR="009951A8">
        <w:rPr>
          <w:rFonts w:ascii="Arial" w:hAnsi="Arial" w:cs="Arial"/>
          <w:sz w:val="22"/>
          <w:szCs w:val="22"/>
        </w:rPr>
        <w:t>“</w:t>
      </w:r>
      <w:r w:rsidRPr="00820994">
        <w:rPr>
          <w:rFonts w:ascii="Arial" w:hAnsi="Arial" w:cs="Arial"/>
          <w:sz w:val="22"/>
          <w:szCs w:val="22"/>
        </w:rPr>
        <w:t>carers</w:t>
      </w:r>
      <w:r w:rsidR="009951A8">
        <w:rPr>
          <w:rFonts w:ascii="Arial" w:hAnsi="Arial" w:cs="Arial"/>
          <w:sz w:val="22"/>
          <w:szCs w:val="22"/>
        </w:rPr>
        <w:t>”</w:t>
      </w:r>
      <w:r w:rsidRPr="00820994">
        <w:rPr>
          <w:rFonts w:ascii="Arial" w:hAnsi="Arial" w:cs="Arial"/>
          <w:sz w:val="22"/>
          <w:szCs w:val="22"/>
        </w:rPr>
        <w:t xml:space="preserve"> to </w:t>
      </w:r>
      <w:r w:rsidR="009951A8">
        <w:rPr>
          <w:rFonts w:ascii="Arial" w:hAnsi="Arial" w:cs="Arial"/>
          <w:sz w:val="22"/>
          <w:szCs w:val="22"/>
        </w:rPr>
        <w:t>“</w:t>
      </w:r>
      <w:r w:rsidRPr="00820994">
        <w:rPr>
          <w:rFonts w:ascii="Arial" w:hAnsi="Arial" w:cs="Arial"/>
          <w:sz w:val="22"/>
          <w:szCs w:val="22"/>
        </w:rPr>
        <w:t>tech support,</w:t>
      </w:r>
      <w:r w:rsidR="009951A8">
        <w:rPr>
          <w:rFonts w:ascii="Arial" w:hAnsi="Arial" w:cs="Arial"/>
          <w:sz w:val="22"/>
          <w:szCs w:val="22"/>
        </w:rPr>
        <w:t>”</w:t>
      </w:r>
      <w:r w:rsidRPr="00820994">
        <w:rPr>
          <w:rFonts w:ascii="Arial" w:hAnsi="Arial" w:cs="Arial"/>
          <w:sz w:val="22"/>
          <w:szCs w:val="22"/>
        </w:rPr>
        <w:t xml:space="preserve"> undermining the very autonomy they are intended to promote.</w:t>
      </w:r>
    </w:p>
    <w:p w14:paraId="6C0F0854" w14:textId="77777777" w:rsidR="00FB38E4" w:rsidRDefault="00FB38E4" w:rsidP="00FB38E4">
      <w:pPr>
        <w:pStyle w:val="Heading2"/>
        <w:spacing w:line="360" w:lineRule="auto"/>
        <w:rPr>
          <w:rFonts w:ascii="Arial" w:hAnsi="Arial" w:cs="Arial"/>
          <w:sz w:val="22"/>
          <w:szCs w:val="22"/>
        </w:rPr>
      </w:pPr>
    </w:p>
    <w:p w14:paraId="50CE3D3F" w14:textId="2C87AD45" w:rsidR="00820994" w:rsidRPr="00FA5739" w:rsidRDefault="00820994" w:rsidP="00FB38E4">
      <w:pPr>
        <w:pStyle w:val="Heading2"/>
        <w:spacing w:line="360" w:lineRule="auto"/>
        <w:rPr>
          <w:rFonts w:ascii="Arial" w:hAnsi="Arial" w:cs="Arial"/>
          <w:sz w:val="22"/>
          <w:szCs w:val="22"/>
        </w:rPr>
      </w:pPr>
      <w:bookmarkStart w:id="18" w:name="_Toc216086869"/>
      <w:r w:rsidRPr="00FA5739">
        <w:rPr>
          <w:rFonts w:ascii="Arial" w:hAnsi="Arial" w:cs="Arial"/>
          <w:sz w:val="22"/>
          <w:szCs w:val="22"/>
        </w:rPr>
        <w:t>Discussion</w:t>
      </w:r>
      <w:bookmarkEnd w:id="18"/>
    </w:p>
    <w:p w14:paraId="13108423" w14:textId="1969B99B" w:rsidR="00820994" w:rsidRPr="00FA5739" w:rsidRDefault="00820994" w:rsidP="00FB38E4">
      <w:pPr>
        <w:pStyle w:val="Heading3"/>
        <w:spacing w:line="360" w:lineRule="auto"/>
        <w:rPr>
          <w:rFonts w:ascii="Arial" w:hAnsi="Arial" w:cs="Arial"/>
          <w:sz w:val="22"/>
          <w:szCs w:val="22"/>
        </w:rPr>
      </w:pPr>
      <w:bookmarkStart w:id="19" w:name="_Toc216086870"/>
      <w:r w:rsidRPr="00FA5739">
        <w:rPr>
          <w:rFonts w:ascii="Arial" w:hAnsi="Arial" w:cs="Arial"/>
          <w:sz w:val="22"/>
          <w:szCs w:val="22"/>
        </w:rPr>
        <w:t xml:space="preserve">Synthesis of </w:t>
      </w:r>
      <w:r w:rsidR="006F5444" w:rsidRPr="00FA5739">
        <w:rPr>
          <w:rFonts w:ascii="Arial" w:hAnsi="Arial" w:cs="Arial"/>
          <w:sz w:val="22"/>
          <w:szCs w:val="22"/>
        </w:rPr>
        <w:t>f</w:t>
      </w:r>
      <w:r w:rsidRPr="00FA5739">
        <w:rPr>
          <w:rFonts w:ascii="Arial" w:hAnsi="Arial" w:cs="Arial"/>
          <w:sz w:val="22"/>
          <w:szCs w:val="22"/>
        </w:rPr>
        <w:t>indings</w:t>
      </w:r>
      <w:bookmarkEnd w:id="19"/>
    </w:p>
    <w:p w14:paraId="7BA9FBEB" w14:textId="255BDD44"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The findings of this scoping review reveal a complex and often contradictory picture of how telecare impacts independence. While UK policy</w:t>
      </w:r>
      <w:r w:rsidR="009951A8">
        <w:rPr>
          <w:rFonts w:ascii="Arial" w:hAnsi="Arial" w:cs="Arial"/>
          <w:sz w:val="22"/>
          <w:szCs w:val="22"/>
        </w:rPr>
        <w:t xml:space="preserve"> </w:t>
      </w:r>
      <w:r w:rsidR="009951A8" w:rsidRPr="00820994">
        <w:rPr>
          <w:rFonts w:ascii="Arial" w:hAnsi="Arial" w:cs="Arial"/>
          <w:sz w:val="22"/>
          <w:szCs w:val="22"/>
        </w:rPr>
        <w:t>characterised</w:t>
      </w:r>
      <w:r w:rsidRPr="00820994">
        <w:rPr>
          <w:rFonts w:ascii="Arial" w:hAnsi="Arial" w:cs="Arial"/>
          <w:sz w:val="22"/>
          <w:szCs w:val="22"/>
        </w:rPr>
        <w:t xml:space="preserve"> by the </w:t>
      </w:r>
      <w:r w:rsidRPr="00820994">
        <w:rPr>
          <w:rFonts w:ascii="Arial" w:hAnsi="Arial" w:cs="Arial"/>
          <w:i/>
          <w:iCs/>
          <w:sz w:val="22"/>
          <w:szCs w:val="22"/>
        </w:rPr>
        <w:t>Care Act 2014</w:t>
      </w:r>
      <w:r w:rsidRPr="00820994">
        <w:rPr>
          <w:rFonts w:ascii="Arial" w:hAnsi="Arial" w:cs="Arial"/>
          <w:sz w:val="22"/>
          <w:szCs w:val="22"/>
        </w:rPr>
        <w:t xml:space="preserve"> and the </w:t>
      </w:r>
      <w:r w:rsidRPr="00820994">
        <w:rPr>
          <w:rFonts w:ascii="Arial" w:hAnsi="Arial" w:cs="Arial"/>
          <w:i/>
          <w:iCs/>
          <w:sz w:val="22"/>
          <w:szCs w:val="22"/>
        </w:rPr>
        <w:t>NHS Long Term Plan</w:t>
      </w:r>
      <w:r w:rsidRPr="00820994">
        <w:rPr>
          <w:rFonts w:ascii="Arial" w:hAnsi="Arial" w:cs="Arial"/>
          <w:sz w:val="22"/>
          <w:szCs w:val="22"/>
        </w:rPr>
        <w:t>—frames technology as a primary enabler of autonomy, the peer-</w:t>
      </w:r>
      <w:r w:rsidRPr="00820994">
        <w:rPr>
          <w:rFonts w:ascii="Arial" w:hAnsi="Arial" w:cs="Arial"/>
          <w:sz w:val="22"/>
          <w:szCs w:val="22"/>
        </w:rPr>
        <w:lastRenderedPageBreak/>
        <w:t xml:space="preserve">reviewed evidence suggests a more nuanced reality. The central tension identified across the studies is between </w:t>
      </w:r>
      <w:r w:rsidR="009951A8">
        <w:rPr>
          <w:rFonts w:ascii="Arial" w:hAnsi="Arial" w:cs="Arial"/>
          <w:sz w:val="22"/>
          <w:szCs w:val="22"/>
        </w:rPr>
        <w:t>“</w:t>
      </w:r>
      <w:r w:rsidRPr="00820994">
        <w:rPr>
          <w:rFonts w:ascii="Arial" w:hAnsi="Arial" w:cs="Arial"/>
          <w:sz w:val="22"/>
          <w:szCs w:val="22"/>
        </w:rPr>
        <w:t>functional independence</w:t>
      </w:r>
      <w:r w:rsidR="009951A8">
        <w:rPr>
          <w:rFonts w:ascii="Arial" w:hAnsi="Arial" w:cs="Arial"/>
          <w:sz w:val="22"/>
          <w:szCs w:val="22"/>
        </w:rPr>
        <w:t>”</w:t>
      </w:r>
      <w:r w:rsidRPr="00820994">
        <w:rPr>
          <w:rFonts w:ascii="Arial" w:hAnsi="Arial" w:cs="Arial"/>
          <w:sz w:val="22"/>
          <w:szCs w:val="22"/>
        </w:rPr>
        <w:t xml:space="preserve"> (staying at home) and </w:t>
      </w:r>
      <w:r w:rsidR="009951A8">
        <w:rPr>
          <w:rFonts w:ascii="Arial" w:hAnsi="Arial" w:cs="Arial"/>
          <w:sz w:val="22"/>
          <w:szCs w:val="22"/>
        </w:rPr>
        <w:t>“</w:t>
      </w:r>
      <w:r w:rsidRPr="00820994">
        <w:rPr>
          <w:rFonts w:ascii="Arial" w:hAnsi="Arial" w:cs="Arial"/>
          <w:sz w:val="22"/>
          <w:szCs w:val="22"/>
        </w:rPr>
        <w:t>felt independence</w:t>
      </w:r>
      <w:r w:rsidR="009951A8">
        <w:rPr>
          <w:rFonts w:ascii="Arial" w:hAnsi="Arial" w:cs="Arial"/>
          <w:sz w:val="22"/>
          <w:szCs w:val="22"/>
        </w:rPr>
        <w:t>”</w:t>
      </w:r>
      <w:r w:rsidRPr="00820994">
        <w:rPr>
          <w:rFonts w:ascii="Arial" w:hAnsi="Arial" w:cs="Arial"/>
          <w:sz w:val="22"/>
          <w:szCs w:val="22"/>
        </w:rPr>
        <w:t xml:space="preserve"> (having control over one’s life).</w:t>
      </w:r>
    </w:p>
    <w:p w14:paraId="433251F8" w14:textId="01705021"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Fothergill et al. (2023) and Procter et al. (2014) both highlight that while telecare successfully manages risk, thereby allowing older adults to remain in their own homes (</w:t>
      </w:r>
      <w:r w:rsidR="009951A8">
        <w:rPr>
          <w:rFonts w:ascii="Arial" w:hAnsi="Arial" w:cs="Arial"/>
          <w:sz w:val="22"/>
          <w:szCs w:val="22"/>
        </w:rPr>
        <w:t>“</w:t>
      </w:r>
      <w:r w:rsidRPr="00820994">
        <w:rPr>
          <w:rFonts w:ascii="Arial" w:hAnsi="Arial" w:cs="Arial"/>
          <w:sz w:val="22"/>
          <w:szCs w:val="22"/>
        </w:rPr>
        <w:t>aging in place</w:t>
      </w:r>
      <w:r w:rsidR="009951A8">
        <w:rPr>
          <w:rFonts w:ascii="Arial" w:hAnsi="Arial" w:cs="Arial"/>
          <w:sz w:val="22"/>
          <w:szCs w:val="22"/>
        </w:rPr>
        <w:t>”</w:t>
      </w:r>
      <w:r w:rsidRPr="00820994">
        <w:rPr>
          <w:rFonts w:ascii="Arial" w:hAnsi="Arial" w:cs="Arial"/>
          <w:sz w:val="22"/>
          <w:szCs w:val="22"/>
        </w:rPr>
        <w:t xml:space="preserve">), this safety often comes at the cost of privacy. The concept of </w:t>
      </w:r>
      <w:r w:rsidR="009951A8">
        <w:rPr>
          <w:rFonts w:ascii="Arial" w:hAnsi="Arial" w:cs="Arial"/>
          <w:sz w:val="22"/>
          <w:szCs w:val="22"/>
        </w:rPr>
        <w:t>“</w:t>
      </w:r>
      <w:r w:rsidRPr="00820994">
        <w:rPr>
          <w:rFonts w:ascii="Arial" w:hAnsi="Arial" w:cs="Arial"/>
          <w:sz w:val="22"/>
          <w:szCs w:val="22"/>
        </w:rPr>
        <w:t>surveillance,</w:t>
      </w:r>
      <w:r w:rsidR="009951A8">
        <w:rPr>
          <w:rFonts w:ascii="Arial" w:hAnsi="Arial" w:cs="Arial"/>
          <w:sz w:val="22"/>
          <w:szCs w:val="22"/>
        </w:rPr>
        <w:t>”</w:t>
      </w:r>
      <w:r w:rsidRPr="00820994">
        <w:rPr>
          <w:rFonts w:ascii="Arial" w:hAnsi="Arial" w:cs="Arial"/>
          <w:sz w:val="22"/>
          <w:szCs w:val="22"/>
        </w:rPr>
        <w:t xml:space="preserve"> identified by Procter et al., directly challenges the </w:t>
      </w:r>
      <w:r w:rsidRPr="00820994">
        <w:rPr>
          <w:rFonts w:ascii="Arial" w:hAnsi="Arial" w:cs="Arial"/>
          <w:i/>
          <w:iCs/>
          <w:sz w:val="22"/>
          <w:szCs w:val="22"/>
        </w:rPr>
        <w:t>Care Act’s</w:t>
      </w:r>
      <w:r w:rsidRPr="00820994">
        <w:rPr>
          <w:rFonts w:ascii="Arial" w:hAnsi="Arial" w:cs="Arial"/>
          <w:sz w:val="22"/>
          <w:szCs w:val="22"/>
        </w:rPr>
        <w:t xml:space="preserve"> </w:t>
      </w:r>
      <w:r w:rsidR="009951A8">
        <w:rPr>
          <w:rFonts w:ascii="Arial" w:hAnsi="Arial" w:cs="Arial"/>
          <w:sz w:val="22"/>
          <w:szCs w:val="22"/>
        </w:rPr>
        <w:t>“</w:t>
      </w:r>
      <w:r w:rsidRPr="00820994">
        <w:rPr>
          <w:rFonts w:ascii="Arial" w:hAnsi="Arial" w:cs="Arial"/>
          <w:sz w:val="22"/>
          <w:szCs w:val="22"/>
        </w:rPr>
        <w:t>Wellbeing Principle.</w:t>
      </w:r>
      <w:r w:rsidR="009951A8">
        <w:rPr>
          <w:rFonts w:ascii="Arial" w:hAnsi="Arial" w:cs="Arial"/>
          <w:sz w:val="22"/>
          <w:szCs w:val="22"/>
        </w:rPr>
        <w:t>”</w:t>
      </w:r>
      <w:r w:rsidRPr="00820994">
        <w:rPr>
          <w:rFonts w:ascii="Arial" w:hAnsi="Arial" w:cs="Arial"/>
          <w:sz w:val="22"/>
          <w:szCs w:val="22"/>
        </w:rPr>
        <w:t xml:space="preserve"> If an individual feels watched or judged by their monitoring system, their psychological wellbeing is compromised, even if their physical safety is assured. This suggests that the current </w:t>
      </w:r>
      <w:r w:rsidR="009951A8">
        <w:rPr>
          <w:rFonts w:ascii="Arial" w:hAnsi="Arial" w:cs="Arial"/>
          <w:sz w:val="22"/>
          <w:szCs w:val="22"/>
        </w:rPr>
        <w:t>“</w:t>
      </w:r>
      <w:r w:rsidRPr="00820994">
        <w:rPr>
          <w:rFonts w:ascii="Arial" w:hAnsi="Arial" w:cs="Arial"/>
          <w:sz w:val="22"/>
          <w:szCs w:val="22"/>
        </w:rPr>
        <w:t>digital-first</w:t>
      </w:r>
      <w:r w:rsidR="009951A8">
        <w:rPr>
          <w:rFonts w:ascii="Arial" w:hAnsi="Arial" w:cs="Arial"/>
          <w:sz w:val="22"/>
          <w:szCs w:val="22"/>
        </w:rPr>
        <w:t>”</w:t>
      </w:r>
      <w:r w:rsidRPr="00820994">
        <w:rPr>
          <w:rFonts w:ascii="Arial" w:hAnsi="Arial" w:cs="Arial"/>
          <w:sz w:val="22"/>
          <w:szCs w:val="22"/>
        </w:rPr>
        <w:t xml:space="preserve"> strategy may be prioritising physical safety over psychological autonomy.</w:t>
      </w:r>
    </w:p>
    <w:p w14:paraId="7C7F6AA3" w14:textId="2AD40BFC" w:rsidR="00820994" w:rsidRPr="00FA5739" w:rsidRDefault="00820994" w:rsidP="00FB38E4">
      <w:pPr>
        <w:pStyle w:val="Heading3"/>
        <w:spacing w:line="360" w:lineRule="auto"/>
        <w:rPr>
          <w:rFonts w:ascii="Arial" w:hAnsi="Arial" w:cs="Arial"/>
          <w:sz w:val="22"/>
          <w:szCs w:val="22"/>
        </w:rPr>
      </w:pPr>
      <w:bookmarkStart w:id="20" w:name="_Toc216086871"/>
      <w:r w:rsidRPr="00FA5739">
        <w:rPr>
          <w:rFonts w:ascii="Arial" w:hAnsi="Arial" w:cs="Arial"/>
          <w:sz w:val="22"/>
          <w:szCs w:val="22"/>
        </w:rPr>
        <w:t xml:space="preserve">The </w:t>
      </w:r>
      <w:r w:rsidR="006F5444" w:rsidRPr="00FA5739">
        <w:rPr>
          <w:rFonts w:ascii="Arial" w:hAnsi="Arial" w:cs="Arial"/>
          <w:sz w:val="22"/>
          <w:szCs w:val="22"/>
        </w:rPr>
        <w:t>p</w:t>
      </w:r>
      <w:r w:rsidRPr="00FA5739">
        <w:rPr>
          <w:rFonts w:ascii="Arial" w:hAnsi="Arial" w:cs="Arial"/>
          <w:sz w:val="22"/>
          <w:szCs w:val="22"/>
        </w:rPr>
        <w:t xml:space="preserve">aradox of </w:t>
      </w:r>
      <w:r w:rsidR="006F5444" w:rsidRPr="00FA5739">
        <w:rPr>
          <w:rFonts w:ascii="Arial" w:hAnsi="Arial" w:cs="Arial"/>
          <w:sz w:val="22"/>
          <w:szCs w:val="22"/>
        </w:rPr>
        <w:t>c</w:t>
      </w:r>
      <w:r w:rsidRPr="00FA5739">
        <w:rPr>
          <w:rFonts w:ascii="Arial" w:hAnsi="Arial" w:cs="Arial"/>
          <w:sz w:val="22"/>
          <w:szCs w:val="22"/>
        </w:rPr>
        <w:t>onnection</w:t>
      </w:r>
      <w:bookmarkEnd w:id="20"/>
    </w:p>
    <w:p w14:paraId="3F2ADD5C" w14:textId="61DBE666"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 xml:space="preserve">A critical theme emerging from the synthesis is the </w:t>
      </w:r>
      <w:r w:rsidR="009951A8">
        <w:rPr>
          <w:rFonts w:ascii="Arial" w:hAnsi="Arial" w:cs="Arial"/>
          <w:sz w:val="22"/>
          <w:szCs w:val="22"/>
        </w:rPr>
        <w:t>“</w:t>
      </w:r>
      <w:r w:rsidRPr="00820994">
        <w:rPr>
          <w:rFonts w:ascii="Arial" w:hAnsi="Arial" w:cs="Arial"/>
          <w:sz w:val="22"/>
          <w:szCs w:val="22"/>
        </w:rPr>
        <w:t>paradox of connection.</w:t>
      </w:r>
      <w:r w:rsidR="009951A8">
        <w:rPr>
          <w:rFonts w:ascii="Arial" w:hAnsi="Arial" w:cs="Arial"/>
          <w:sz w:val="22"/>
          <w:szCs w:val="22"/>
        </w:rPr>
        <w:t>”</w:t>
      </w:r>
      <w:r w:rsidRPr="00820994">
        <w:rPr>
          <w:rFonts w:ascii="Arial" w:hAnsi="Arial" w:cs="Arial"/>
          <w:sz w:val="22"/>
          <w:szCs w:val="22"/>
        </w:rPr>
        <w:t xml:space="preserve"> Policy narratives often position telecare as a solution to workforce shortages (Eccles, 2020), implying that remote monitoring can replace face-to-face visits. However, the results from Fothergill et al. (2023) indicate that users value the technology most when it increases human contact, such as through proactive wellbeing calls. This finding aligns with the broader literature on social isolation, suggesting that independence is not a solitary state but is relational. When telecare is used to strip away human visits, it risks creating a </w:t>
      </w:r>
      <w:r w:rsidR="009951A8">
        <w:rPr>
          <w:rFonts w:ascii="Arial" w:hAnsi="Arial" w:cs="Arial"/>
          <w:sz w:val="22"/>
          <w:szCs w:val="22"/>
        </w:rPr>
        <w:t>“</w:t>
      </w:r>
      <w:r w:rsidRPr="00820994">
        <w:rPr>
          <w:rFonts w:ascii="Arial" w:hAnsi="Arial" w:cs="Arial"/>
          <w:sz w:val="22"/>
          <w:szCs w:val="22"/>
        </w:rPr>
        <w:t>secure isolation,</w:t>
      </w:r>
      <w:r w:rsidR="009951A8">
        <w:rPr>
          <w:rFonts w:ascii="Arial" w:hAnsi="Arial" w:cs="Arial"/>
          <w:sz w:val="22"/>
          <w:szCs w:val="22"/>
        </w:rPr>
        <w:t>”</w:t>
      </w:r>
      <w:r w:rsidRPr="00820994">
        <w:rPr>
          <w:rFonts w:ascii="Arial" w:hAnsi="Arial" w:cs="Arial"/>
          <w:sz w:val="22"/>
          <w:szCs w:val="22"/>
        </w:rPr>
        <w:t xml:space="preserve"> where an elderly person is safe from falls but socially abandoned. This directly contradicts the holistic definition of independence promoted in the </w:t>
      </w:r>
      <w:r w:rsidR="009951A8">
        <w:rPr>
          <w:rFonts w:ascii="Arial" w:hAnsi="Arial" w:cs="Arial"/>
          <w:sz w:val="22"/>
          <w:szCs w:val="22"/>
        </w:rPr>
        <w:t>“</w:t>
      </w:r>
      <w:r w:rsidRPr="00820994">
        <w:rPr>
          <w:rFonts w:ascii="Arial" w:hAnsi="Arial" w:cs="Arial"/>
          <w:i/>
          <w:iCs/>
          <w:sz w:val="22"/>
          <w:szCs w:val="22"/>
        </w:rPr>
        <w:t>People at the Heart of Care</w:t>
      </w:r>
      <w:r w:rsidRPr="00820994">
        <w:rPr>
          <w:rFonts w:ascii="Arial" w:hAnsi="Arial" w:cs="Arial"/>
          <w:sz w:val="22"/>
          <w:szCs w:val="22"/>
        </w:rPr>
        <w:t xml:space="preserve"> white paper</w:t>
      </w:r>
      <w:r w:rsidR="009951A8">
        <w:rPr>
          <w:rFonts w:ascii="Arial" w:hAnsi="Arial" w:cs="Arial"/>
          <w:sz w:val="22"/>
          <w:szCs w:val="22"/>
        </w:rPr>
        <w:t>”</w:t>
      </w:r>
      <w:r w:rsidRPr="00820994">
        <w:rPr>
          <w:rFonts w:ascii="Arial" w:hAnsi="Arial" w:cs="Arial"/>
          <w:sz w:val="22"/>
          <w:szCs w:val="22"/>
        </w:rPr>
        <w:t>.</w:t>
      </w:r>
    </w:p>
    <w:p w14:paraId="6A7AECDC" w14:textId="2118431D" w:rsidR="00820994" w:rsidRPr="00FA5739" w:rsidRDefault="00820994" w:rsidP="00FB38E4">
      <w:pPr>
        <w:pStyle w:val="Heading3"/>
        <w:spacing w:line="360" w:lineRule="auto"/>
        <w:rPr>
          <w:rFonts w:ascii="Arial" w:hAnsi="Arial" w:cs="Arial"/>
          <w:sz w:val="22"/>
          <w:szCs w:val="22"/>
        </w:rPr>
      </w:pPr>
      <w:bookmarkStart w:id="21" w:name="_Toc216086872"/>
      <w:r w:rsidRPr="00FA5739">
        <w:rPr>
          <w:rFonts w:ascii="Arial" w:hAnsi="Arial" w:cs="Arial"/>
          <w:sz w:val="22"/>
          <w:szCs w:val="22"/>
        </w:rPr>
        <w:t xml:space="preserve">Technological </w:t>
      </w:r>
      <w:r w:rsidR="006F5444" w:rsidRPr="00FA5739">
        <w:rPr>
          <w:rFonts w:ascii="Arial" w:hAnsi="Arial" w:cs="Arial"/>
          <w:sz w:val="22"/>
          <w:szCs w:val="22"/>
        </w:rPr>
        <w:t>d</w:t>
      </w:r>
      <w:r w:rsidRPr="00FA5739">
        <w:rPr>
          <w:rFonts w:ascii="Arial" w:hAnsi="Arial" w:cs="Arial"/>
          <w:sz w:val="22"/>
          <w:szCs w:val="22"/>
        </w:rPr>
        <w:t xml:space="preserve">eterminism vs. </w:t>
      </w:r>
      <w:r w:rsidR="006F5444" w:rsidRPr="00FA5739">
        <w:rPr>
          <w:rFonts w:ascii="Arial" w:hAnsi="Arial" w:cs="Arial"/>
          <w:sz w:val="22"/>
          <w:szCs w:val="22"/>
        </w:rPr>
        <w:t>u</w:t>
      </w:r>
      <w:r w:rsidRPr="00FA5739">
        <w:rPr>
          <w:rFonts w:ascii="Arial" w:hAnsi="Arial" w:cs="Arial"/>
          <w:sz w:val="22"/>
          <w:szCs w:val="22"/>
        </w:rPr>
        <w:t xml:space="preserve">ser </w:t>
      </w:r>
      <w:r w:rsidR="006F5444" w:rsidRPr="00FA5739">
        <w:rPr>
          <w:rFonts w:ascii="Arial" w:hAnsi="Arial" w:cs="Arial"/>
          <w:sz w:val="22"/>
          <w:szCs w:val="22"/>
        </w:rPr>
        <w:t>r</w:t>
      </w:r>
      <w:r w:rsidRPr="00FA5739">
        <w:rPr>
          <w:rFonts w:ascii="Arial" w:hAnsi="Arial" w:cs="Arial"/>
          <w:sz w:val="22"/>
          <w:szCs w:val="22"/>
        </w:rPr>
        <w:t>eality</w:t>
      </w:r>
      <w:bookmarkEnd w:id="21"/>
    </w:p>
    <w:p w14:paraId="08DD96FB" w14:textId="425A9969" w:rsidR="00820994" w:rsidRDefault="00820994" w:rsidP="00FB38E4">
      <w:pPr>
        <w:spacing w:line="360" w:lineRule="auto"/>
        <w:rPr>
          <w:rFonts w:ascii="Arial" w:hAnsi="Arial" w:cs="Arial"/>
          <w:sz w:val="22"/>
          <w:szCs w:val="22"/>
        </w:rPr>
      </w:pPr>
      <w:r w:rsidRPr="00820994">
        <w:rPr>
          <w:rFonts w:ascii="Arial" w:hAnsi="Arial" w:cs="Arial"/>
          <w:sz w:val="22"/>
          <w:szCs w:val="22"/>
        </w:rPr>
        <w:t xml:space="preserve">Hamblin’s (2020) identification of the </w:t>
      </w:r>
      <w:r w:rsidR="009951A8">
        <w:rPr>
          <w:rFonts w:ascii="Arial" w:hAnsi="Arial" w:cs="Arial"/>
          <w:sz w:val="22"/>
          <w:szCs w:val="22"/>
        </w:rPr>
        <w:t>“</w:t>
      </w:r>
      <w:r w:rsidRPr="00820994">
        <w:rPr>
          <w:rFonts w:ascii="Arial" w:hAnsi="Arial" w:cs="Arial"/>
          <w:sz w:val="22"/>
          <w:szCs w:val="22"/>
        </w:rPr>
        <w:t>digital divide</w:t>
      </w:r>
      <w:r w:rsidR="009951A8">
        <w:rPr>
          <w:rFonts w:ascii="Arial" w:hAnsi="Arial" w:cs="Arial"/>
          <w:sz w:val="22"/>
          <w:szCs w:val="22"/>
        </w:rPr>
        <w:t>”</w:t>
      </w:r>
      <w:r w:rsidRPr="00820994">
        <w:rPr>
          <w:rFonts w:ascii="Arial" w:hAnsi="Arial" w:cs="Arial"/>
          <w:sz w:val="22"/>
          <w:szCs w:val="22"/>
        </w:rPr>
        <w:t xml:space="preserve"> offers a crucial critique of the current </w:t>
      </w:r>
      <w:r w:rsidR="009951A8">
        <w:rPr>
          <w:rFonts w:ascii="Arial" w:hAnsi="Arial" w:cs="Arial"/>
          <w:sz w:val="22"/>
          <w:szCs w:val="22"/>
        </w:rPr>
        <w:t>“d</w:t>
      </w:r>
      <w:r w:rsidRPr="00820994">
        <w:rPr>
          <w:rFonts w:ascii="Arial" w:hAnsi="Arial" w:cs="Arial"/>
          <w:sz w:val="22"/>
          <w:szCs w:val="22"/>
        </w:rPr>
        <w:t xml:space="preserve">igital </w:t>
      </w:r>
      <w:r w:rsidR="009951A8">
        <w:rPr>
          <w:rFonts w:ascii="Arial" w:hAnsi="Arial" w:cs="Arial"/>
          <w:sz w:val="22"/>
          <w:szCs w:val="22"/>
        </w:rPr>
        <w:t>s</w:t>
      </w:r>
      <w:r w:rsidRPr="00820994">
        <w:rPr>
          <w:rFonts w:ascii="Arial" w:hAnsi="Arial" w:cs="Arial"/>
          <w:sz w:val="22"/>
          <w:szCs w:val="22"/>
        </w:rPr>
        <w:t>witch.</w:t>
      </w:r>
      <w:r w:rsidR="009951A8">
        <w:rPr>
          <w:rFonts w:ascii="Arial" w:hAnsi="Arial" w:cs="Arial"/>
          <w:sz w:val="22"/>
          <w:szCs w:val="22"/>
        </w:rPr>
        <w:t>”</w:t>
      </w:r>
      <w:r w:rsidRPr="00820994">
        <w:rPr>
          <w:rFonts w:ascii="Arial" w:hAnsi="Arial" w:cs="Arial"/>
          <w:sz w:val="22"/>
          <w:szCs w:val="22"/>
        </w:rPr>
        <w:t xml:space="preserve"> The assumption that all older adults can seamlessly adopt digital tools is a form of technological determinism that ignores the realities of cognitive decline, physical dexterity, and digital literacy. Wardlow et al. (2023) support this by showing that when technology is not </w:t>
      </w:r>
      <w:r w:rsidR="009951A8">
        <w:rPr>
          <w:rFonts w:ascii="Arial" w:hAnsi="Arial" w:cs="Arial"/>
          <w:sz w:val="22"/>
          <w:szCs w:val="22"/>
        </w:rPr>
        <w:t>“</w:t>
      </w:r>
      <w:r w:rsidRPr="00820994">
        <w:rPr>
          <w:rFonts w:ascii="Arial" w:hAnsi="Arial" w:cs="Arial"/>
          <w:sz w:val="22"/>
          <w:szCs w:val="22"/>
        </w:rPr>
        <w:t>age-friendly,</w:t>
      </w:r>
      <w:r w:rsidR="009951A8">
        <w:rPr>
          <w:rFonts w:ascii="Arial" w:hAnsi="Arial" w:cs="Arial"/>
          <w:sz w:val="22"/>
          <w:szCs w:val="22"/>
        </w:rPr>
        <w:t>”</w:t>
      </w:r>
      <w:r w:rsidRPr="00820994">
        <w:rPr>
          <w:rFonts w:ascii="Arial" w:hAnsi="Arial" w:cs="Arial"/>
          <w:sz w:val="22"/>
          <w:szCs w:val="22"/>
        </w:rPr>
        <w:t xml:space="preserve"> it creates a new form of dependency. Instead of relying on a carer for personal hygiene, the older adult becomes dependent on a relative for technical support. This </w:t>
      </w:r>
      <w:r w:rsidR="009951A8">
        <w:rPr>
          <w:rFonts w:ascii="Arial" w:hAnsi="Arial" w:cs="Arial"/>
          <w:sz w:val="22"/>
          <w:szCs w:val="22"/>
        </w:rPr>
        <w:t>“</w:t>
      </w:r>
      <w:r w:rsidRPr="00820994">
        <w:rPr>
          <w:rFonts w:ascii="Arial" w:hAnsi="Arial" w:cs="Arial"/>
          <w:sz w:val="22"/>
          <w:szCs w:val="22"/>
        </w:rPr>
        <w:t>shifting of dependency</w:t>
      </w:r>
      <w:r w:rsidR="009951A8">
        <w:rPr>
          <w:rFonts w:ascii="Arial" w:hAnsi="Arial" w:cs="Arial"/>
          <w:sz w:val="22"/>
          <w:szCs w:val="22"/>
        </w:rPr>
        <w:t>”</w:t>
      </w:r>
      <w:r w:rsidRPr="00820994">
        <w:rPr>
          <w:rFonts w:ascii="Arial" w:hAnsi="Arial" w:cs="Arial"/>
          <w:sz w:val="22"/>
          <w:szCs w:val="22"/>
        </w:rPr>
        <w:t xml:space="preserve"> suggests that without significant investment in user-centred design and training, the digitisation of care may inadvertently disempower the very demographic it aims to liberate.</w:t>
      </w:r>
    </w:p>
    <w:p w14:paraId="2844EC67" w14:textId="77777777" w:rsidR="00FB38E4" w:rsidRPr="00820994" w:rsidRDefault="00FB38E4" w:rsidP="00FB38E4">
      <w:pPr>
        <w:spacing w:line="360" w:lineRule="auto"/>
        <w:rPr>
          <w:rFonts w:ascii="Arial" w:hAnsi="Arial" w:cs="Arial"/>
          <w:sz w:val="22"/>
          <w:szCs w:val="22"/>
        </w:rPr>
      </w:pPr>
    </w:p>
    <w:p w14:paraId="37F5D39B" w14:textId="32ADA10B" w:rsidR="00820994" w:rsidRPr="00FA5739" w:rsidRDefault="00820994" w:rsidP="00FB38E4">
      <w:pPr>
        <w:pStyle w:val="Heading2"/>
        <w:spacing w:line="360" w:lineRule="auto"/>
        <w:rPr>
          <w:rFonts w:ascii="Arial" w:hAnsi="Arial" w:cs="Arial"/>
          <w:sz w:val="22"/>
          <w:szCs w:val="22"/>
        </w:rPr>
      </w:pPr>
      <w:bookmarkStart w:id="22" w:name="_Toc216086873"/>
      <w:r w:rsidRPr="00FA5739">
        <w:rPr>
          <w:rFonts w:ascii="Arial" w:hAnsi="Arial" w:cs="Arial"/>
          <w:sz w:val="22"/>
          <w:szCs w:val="22"/>
        </w:rPr>
        <w:t xml:space="preserve">Limitations of the </w:t>
      </w:r>
      <w:r w:rsidR="00FA5739" w:rsidRPr="00FA5739">
        <w:rPr>
          <w:rFonts w:ascii="Arial" w:hAnsi="Arial" w:cs="Arial"/>
          <w:sz w:val="22"/>
          <w:szCs w:val="22"/>
        </w:rPr>
        <w:t>r</w:t>
      </w:r>
      <w:r w:rsidRPr="00FA5739">
        <w:rPr>
          <w:rFonts w:ascii="Arial" w:hAnsi="Arial" w:cs="Arial"/>
          <w:sz w:val="22"/>
          <w:szCs w:val="22"/>
        </w:rPr>
        <w:t>eview</w:t>
      </w:r>
      <w:bookmarkEnd w:id="22"/>
    </w:p>
    <w:p w14:paraId="6CC3B287" w14:textId="7551A7E4" w:rsidR="00820994" w:rsidRPr="00820994" w:rsidRDefault="00820994" w:rsidP="00FB38E4">
      <w:pPr>
        <w:spacing w:line="360" w:lineRule="auto"/>
        <w:rPr>
          <w:rFonts w:ascii="Arial" w:hAnsi="Arial" w:cs="Arial"/>
          <w:sz w:val="22"/>
          <w:szCs w:val="22"/>
        </w:rPr>
      </w:pPr>
      <w:r w:rsidRPr="00820994">
        <w:rPr>
          <w:rFonts w:ascii="Arial" w:hAnsi="Arial" w:cs="Arial"/>
          <w:sz w:val="22"/>
          <w:szCs w:val="22"/>
        </w:rPr>
        <w:t xml:space="preserve">It is important to acknowledge the limitations of this scoping review. Firstly, the review was limited to five primary studies, which may not capture the full breadth of telecare </w:t>
      </w:r>
      <w:r w:rsidRPr="00820994">
        <w:rPr>
          <w:rFonts w:ascii="Arial" w:hAnsi="Arial" w:cs="Arial"/>
          <w:sz w:val="22"/>
          <w:szCs w:val="22"/>
        </w:rPr>
        <w:lastRenderedPageBreak/>
        <w:t xml:space="preserve">implementations across the UK. Secondly, the rapid pace of technological change means that some findings from 2014 (e.g., Procter et al.) may refer to older </w:t>
      </w:r>
      <w:r w:rsidR="009951A8">
        <w:rPr>
          <w:rFonts w:ascii="Arial" w:hAnsi="Arial" w:cs="Arial"/>
          <w:sz w:val="22"/>
          <w:szCs w:val="22"/>
        </w:rPr>
        <w:t>“</w:t>
      </w:r>
      <w:r w:rsidRPr="00820994">
        <w:rPr>
          <w:rFonts w:ascii="Arial" w:hAnsi="Arial" w:cs="Arial"/>
          <w:sz w:val="22"/>
          <w:szCs w:val="22"/>
        </w:rPr>
        <w:t>analogue</w:t>
      </w:r>
      <w:r w:rsidR="009951A8">
        <w:rPr>
          <w:rFonts w:ascii="Arial" w:hAnsi="Arial" w:cs="Arial"/>
          <w:sz w:val="22"/>
          <w:szCs w:val="22"/>
        </w:rPr>
        <w:t>”</w:t>
      </w:r>
      <w:r w:rsidRPr="00820994">
        <w:rPr>
          <w:rFonts w:ascii="Arial" w:hAnsi="Arial" w:cs="Arial"/>
          <w:sz w:val="22"/>
          <w:szCs w:val="22"/>
        </w:rPr>
        <w:t xml:space="preserve"> systems, whereas current </w:t>
      </w:r>
      <w:r w:rsidR="009951A8">
        <w:rPr>
          <w:rFonts w:ascii="Arial" w:hAnsi="Arial" w:cs="Arial"/>
          <w:sz w:val="22"/>
          <w:szCs w:val="22"/>
        </w:rPr>
        <w:t>“</w:t>
      </w:r>
      <w:r w:rsidRPr="00820994">
        <w:rPr>
          <w:rFonts w:ascii="Arial" w:hAnsi="Arial" w:cs="Arial"/>
          <w:sz w:val="22"/>
          <w:szCs w:val="22"/>
        </w:rPr>
        <w:t>Internet of Things</w:t>
      </w:r>
      <w:r w:rsidR="009951A8">
        <w:rPr>
          <w:rFonts w:ascii="Arial" w:hAnsi="Arial" w:cs="Arial"/>
          <w:sz w:val="22"/>
          <w:szCs w:val="22"/>
        </w:rPr>
        <w:t>”</w:t>
      </w:r>
      <w:r w:rsidRPr="00820994">
        <w:rPr>
          <w:rFonts w:ascii="Arial" w:hAnsi="Arial" w:cs="Arial"/>
          <w:sz w:val="22"/>
          <w:szCs w:val="22"/>
        </w:rPr>
        <w:t xml:space="preserve"> (IoT) devices might offer different user experiences. Finally, as secondary research, this review relies on the interpretation of original authors, potentially filtering the raw </w:t>
      </w:r>
      <w:r w:rsidR="009951A8">
        <w:rPr>
          <w:rFonts w:ascii="Arial" w:hAnsi="Arial" w:cs="Arial"/>
          <w:sz w:val="22"/>
          <w:szCs w:val="22"/>
        </w:rPr>
        <w:t>“</w:t>
      </w:r>
      <w:r w:rsidRPr="00820994">
        <w:rPr>
          <w:rFonts w:ascii="Arial" w:hAnsi="Arial" w:cs="Arial"/>
          <w:sz w:val="22"/>
          <w:szCs w:val="22"/>
        </w:rPr>
        <w:t>voice</w:t>
      </w:r>
      <w:r w:rsidR="009951A8">
        <w:rPr>
          <w:rFonts w:ascii="Arial" w:hAnsi="Arial" w:cs="Arial"/>
          <w:sz w:val="22"/>
          <w:szCs w:val="22"/>
        </w:rPr>
        <w:t>”</w:t>
      </w:r>
      <w:r w:rsidRPr="00820994">
        <w:rPr>
          <w:rFonts w:ascii="Arial" w:hAnsi="Arial" w:cs="Arial"/>
          <w:sz w:val="22"/>
          <w:szCs w:val="22"/>
        </w:rPr>
        <w:t xml:space="preserve"> of the elderly participants.</w:t>
      </w:r>
    </w:p>
    <w:p w14:paraId="2AA4E15A" w14:textId="772DF8BE" w:rsidR="00820994" w:rsidRPr="00820994" w:rsidRDefault="00820994" w:rsidP="00FB38E4">
      <w:pPr>
        <w:spacing w:line="360" w:lineRule="auto"/>
        <w:rPr>
          <w:rFonts w:ascii="Arial" w:hAnsi="Arial" w:cs="Arial"/>
          <w:sz w:val="22"/>
          <w:szCs w:val="22"/>
        </w:rPr>
      </w:pPr>
    </w:p>
    <w:p w14:paraId="13DABFC7" w14:textId="77777777" w:rsidR="00C76940" w:rsidRPr="00FA5739" w:rsidRDefault="00C76940" w:rsidP="00FB38E4">
      <w:pPr>
        <w:pStyle w:val="Heading2"/>
        <w:spacing w:line="360" w:lineRule="auto"/>
        <w:rPr>
          <w:rFonts w:ascii="Arial" w:hAnsi="Arial" w:cs="Arial"/>
          <w:sz w:val="22"/>
          <w:szCs w:val="22"/>
        </w:rPr>
      </w:pPr>
      <w:bookmarkStart w:id="23" w:name="_Toc216086874"/>
      <w:r w:rsidRPr="00FA5739">
        <w:rPr>
          <w:rFonts w:ascii="Arial" w:hAnsi="Arial" w:cs="Arial"/>
          <w:sz w:val="22"/>
          <w:szCs w:val="22"/>
        </w:rPr>
        <w:t>6. Conclusion and Recommendations</w:t>
      </w:r>
      <w:bookmarkEnd w:id="23"/>
    </w:p>
    <w:p w14:paraId="49FBDF1A" w14:textId="77777777" w:rsidR="00C76940" w:rsidRPr="00FA5739" w:rsidRDefault="00C76940" w:rsidP="00FB38E4">
      <w:pPr>
        <w:pStyle w:val="Heading3"/>
        <w:spacing w:line="360" w:lineRule="auto"/>
        <w:rPr>
          <w:rFonts w:ascii="Arial" w:hAnsi="Arial" w:cs="Arial"/>
          <w:sz w:val="22"/>
          <w:szCs w:val="22"/>
        </w:rPr>
      </w:pPr>
      <w:bookmarkStart w:id="24" w:name="_Toc216086875"/>
      <w:r w:rsidRPr="00FA5739">
        <w:rPr>
          <w:rFonts w:ascii="Arial" w:hAnsi="Arial" w:cs="Arial"/>
          <w:sz w:val="22"/>
          <w:szCs w:val="22"/>
        </w:rPr>
        <w:t>Conclusion</w:t>
      </w:r>
      <w:bookmarkEnd w:id="24"/>
    </w:p>
    <w:p w14:paraId="5EAACFEB" w14:textId="08E1ED9F" w:rsidR="00C76940" w:rsidRPr="00FA5739" w:rsidRDefault="00C76940" w:rsidP="00FB38E4">
      <w:pPr>
        <w:spacing w:line="360" w:lineRule="auto"/>
        <w:rPr>
          <w:rFonts w:ascii="Arial" w:hAnsi="Arial" w:cs="Arial"/>
          <w:sz w:val="22"/>
          <w:szCs w:val="22"/>
        </w:rPr>
      </w:pPr>
      <w:r w:rsidRPr="00C76940">
        <w:rPr>
          <w:rFonts w:ascii="Arial" w:hAnsi="Arial" w:cs="Arial"/>
          <w:sz w:val="22"/>
          <w:szCs w:val="22"/>
        </w:rPr>
        <w:t xml:space="preserve">The scoping review set out to answer the question: </w:t>
      </w:r>
      <w:r w:rsidRPr="00C76940">
        <w:rPr>
          <w:rFonts w:ascii="Arial" w:hAnsi="Arial" w:cs="Arial"/>
          <w:i/>
          <w:iCs/>
          <w:sz w:val="22"/>
          <w:szCs w:val="22"/>
        </w:rPr>
        <w:t>What is the impact of telecare and remote monitoring technologies on the independence of elderly people living at home in the UK?</w:t>
      </w:r>
      <w:r w:rsidRPr="00C76940">
        <w:rPr>
          <w:rFonts w:ascii="Arial" w:hAnsi="Arial" w:cs="Arial"/>
          <w:sz w:val="22"/>
          <w:szCs w:val="22"/>
        </w:rPr>
        <w:t xml:space="preserve"> The evidence indicates that telecare can play a significant role in enabling </w:t>
      </w:r>
      <w:r w:rsidR="009951A8">
        <w:rPr>
          <w:rFonts w:ascii="Arial" w:hAnsi="Arial" w:cs="Arial"/>
          <w:sz w:val="22"/>
          <w:szCs w:val="22"/>
        </w:rPr>
        <w:t>“</w:t>
      </w:r>
      <w:r w:rsidR="00981479">
        <w:rPr>
          <w:rFonts w:ascii="Arial" w:hAnsi="Arial" w:cs="Arial"/>
          <w:sz w:val="22"/>
          <w:szCs w:val="22"/>
        </w:rPr>
        <w:t>aging</w:t>
      </w:r>
      <w:r w:rsidRPr="00C76940">
        <w:rPr>
          <w:rFonts w:ascii="Arial" w:hAnsi="Arial" w:cs="Arial"/>
          <w:sz w:val="22"/>
          <w:szCs w:val="22"/>
        </w:rPr>
        <w:t xml:space="preserve"> in place</w:t>
      </w:r>
      <w:r w:rsidR="009951A8">
        <w:rPr>
          <w:rFonts w:ascii="Arial" w:hAnsi="Arial" w:cs="Arial"/>
          <w:sz w:val="22"/>
          <w:szCs w:val="22"/>
        </w:rPr>
        <w:t>”</w:t>
      </w:r>
      <w:r w:rsidRPr="00C76940">
        <w:rPr>
          <w:rFonts w:ascii="Arial" w:hAnsi="Arial" w:cs="Arial"/>
          <w:sz w:val="22"/>
          <w:szCs w:val="22"/>
        </w:rPr>
        <w:t xml:space="preserve"> by reducing physical risks such as falls and medical emergencies, thereby allowing many older adults to remain in their own homes rather than entering residential care. At the same time, the notion of independence that emerges from the literature is far from straightforward. Several studies show that while technology can enhance objective safety, it may simultaneously undermine subjective or </w:t>
      </w:r>
      <w:r w:rsidR="009951A8">
        <w:rPr>
          <w:rFonts w:ascii="Arial" w:hAnsi="Arial" w:cs="Arial"/>
          <w:sz w:val="22"/>
          <w:szCs w:val="22"/>
        </w:rPr>
        <w:t>“</w:t>
      </w:r>
      <w:r w:rsidRPr="00C76940">
        <w:rPr>
          <w:rFonts w:ascii="Arial" w:hAnsi="Arial" w:cs="Arial"/>
          <w:sz w:val="22"/>
          <w:szCs w:val="22"/>
        </w:rPr>
        <w:t>felt</w:t>
      </w:r>
      <w:r w:rsidR="009951A8">
        <w:rPr>
          <w:rFonts w:ascii="Arial" w:hAnsi="Arial" w:cs="Arial"/>
          <w:sz w:val="22"/>
          <w:szCs w:val="22"/>
        </w:rPr>
        <w:t>”</w:t>
      </w:r>
      <w:r w:rsidRPr="00C76940">
        <w:rPr>
          <w:rFonts w:ascii="Arial" w:hAnsi="Arial" w:cs="Arial"/>
          <w:sz w:val="22"/>
          <w:szCs w:val="22"/>
        </w:rPr>
        <w:t xml:space="preserve"> independence when it is experienced as intrusive surveillance, difficult to use, or a substitute for human contact rather than a complement to it. Independence for older adults is therefore best understood as a balance between safety, autonomy, and social connection, and telecare supports this balance only when it is carefully tailored to user preferences and embedded within person</w:t>
      </w:r>
      <w:r w:rsidRPr="00C76940">
        <w:rPr>
          <w:rFonts w:ascii="Arial" w:hAnsi="Arial" w:cs="Arial"/>
          <w:sz w:val="22"/>
          <w:szCs w:val="22"/>
        </w:rPr>
        <w:noBreakHyphen/>
        <w:t>centred practice.</w:t>
      </w:r>
    </w:p>
    <w:p w14:paraId="397D4C58" w14:textId="77777777" w:rsidR="00C661C9" w:rsidRPr="00C76940" w:rsidRDefault="00C661C9" w:rsidP="00FB38E4">
      <w:pPr>
        <w:spacing w:line="360" w:lineRule="auto"/>
        <w:rPr>
          <w:rFonts w:ascii="Arial" w:hAnsi="Arial" w:cs="Arial"/>
          <w:sz w:val="22"/>
          <w:szCs w:val="22"/>
        </w:rPr>
      </w:pPr>
    </w:p>
    <w:p w14:paraId="5DBDB55B" w14:textId="3F75A895" w:rsidR="00C661C9" w:rsidRPr="00FA5739" w:rsidRDefault="00C661C9" w:rsidP="00FB38E4">
      <w:pPr>
        <w:pStyle w:val="Heading3"/>
        <w:spacing w:line="360" w:lineRule="auto"/>
        <w:rPr>
          <w:rFonts w:ascii="Arial" w:hAnsi="Arial" w:cs="Arial"/>
          <w:sz w:val="22"/>
          <w:szCs w:val="22"/>
        </w:rPr>
      </w:pPr>
      <w:bookmarkStart w:id="25" w:name="_Toc216086876"/>
      <w:r w:rsidRPr="00FA5739">
        <w:rPr>
          <w:rFonts w:ascii="Arial" w:hAnsi="Arial" w:cs="Arial"/>
          <w:sz w:val="22"/>
          <w:szCs w:val="22"/>
        </w:rPr>
        <w:t>Recommendations</w:t>
      </w:r>
      <w:bookmarkEnd w:id="25"/>
    </w:p>
    <w:p w14:paraId="51E35D11" w14:textId="77777777" w:rsidR="00C661C9" w:rsidRPr="00FA5739" w:rsidRDefault="00C661C9" w:rsidP="00FB38E4">
      <w:pPr>
        <w:pStyle w:val="Heading4"/>
        <w:spacing w:line="360" w:lineRule="auto"/>
        <w:rPr>
          <w:rFonts w:ascii="Arial" w:hAnsi="Arial" w:cs="Arial"/>
          <w:sz w:val="22"/>
          <w:szCs w:val="22"/>
        </w:rPr>
      </w:pPr>
      <w:r w:rsidRPr="00FA5739">
        <w:rPr>
          <w:rFonts w:ascii="Arial" w:hAnsi="Arial" w:cs="Arial"/>
          <w:sz w:val="22"/>
          <w:szCs w:val="22"/>
        </w:rPr>
        <w:t>For future research</w:t>
      </w:r>
    </w:p>
    <w:p w14:paraId="1A763C6E" w14:textId="16E68CB6" w:rsidR="00C661C9" w:rsidRPr="00FA5739" w:rsidRDefault="00C661C9" w:rsidP="00FB38E4">
      <w:pPr>
        <w:pStyle w:val="my-2"/>
        <w:spacing w:line="360" w:lineRule="auto"/>
        <w:rPr>
          <w:rFonts w:ascii="Arial" w:hAnsi="Arial" w:cs="Arial"/>
          <w:sz w:val="22"/>
          <w:szCs w:val="22"/>
        </w:rPr>
      </w:pPr>
      <w:r w:rsidRPr="00FA5739">
        <w:rPr>
          <w:rStyle w:val="Strong"/>
          <w:rFonts w:ascii="Arial" w:eastAsiaTheme="majorEastAsia" w:hAnsi="Arial" w:cs="Arial"/>
          <w:sz w:val="22"/>
          <w:szCs w:val="22"/>
        </w:rPr>
        <w:t>Longitudinal user</w:t>
      </w:r>
      <w:r w:rsidRPr="00FA5739">
        <w:rPr>
          <w:rStyle w:val="Strong"/>
          <w:rFonts w:ascii="Arial" w:eastAsiaTheme="majorEastAsia" w:hAnsi="Arial" w:cs="Arial"/>
          <w:sz w:val="22"/>
          <w:szCs w:val="22"/>
        </w:rPr>
        <w:noBreakHyphen/>
        <w:t>centred studies</w:t>
      </w:r>
      <w:r w:rsidRPr="00FA5739">
        <w:rPr>
          <w:rFonts w:ascii="Arial" w:hAnsi="Arial" w:cs="Arial"/>
          <w:sz w:val="22"/>
          <w:szCs w:val="22"/>
        </w:rPr>
        <w:br/>
        <w:t>Future research should adopt longitudinal, user</w:t>
      </w:r>
      <w:r w:rsidRPr="00FA5739">
        <w:rPr>
          <w:rFonts w:ascii="Arial" w:hAnsi="Arial" w:cs="Arial"/>
          <w:sz w:val="22"/>
          <w:szCs w:val="22"/>
        </w:rPr>
        <w:noBreakHyphen/>
        <w:t xml:space="preserve">centred designs that follow the same group of older adults over several years to capture how their experiences of telecare change as they age and their health needs become more complex. Such studies should explore not only clinical outcomes, but also shifting perceptions of privacy, control, and dignity, examining whether users become more accepting of monitoring when they feel physically vulnerable, or whether feelings of intrusion intensify as devices proliferate in the home. Including the perspectives of family carers and frontline staff would help to map how relational dynamics around telecare evolve, for example whether relatives become more </w:t>
      </w:r>
      <w:r w:rsidRPr="00FA5739">
        <w:rPr>
          <w:rFonts w:ascii="Arial" w:hAnsi="Arial" w:cs="Arial"/>
          <w:sz w:val="22"/>
          <w:szCs w:val="22"/>
        </w:rPr>
        <w:lastRenderedPageBreak/>
        <w:t>reliant on remote data and less likely to visit, or conversely, whether technology prompts more meaningful conversations about risk and independence.</w:t>
      </w:r>
    </w:p>
    <w:p w14:paraId="44F906FA" w14:textId="50B7FB4A" w:rsidR="00C661C9" w:rsidRPr="00FA5739" w:rsidRDefault="00C661C9" w:rsidP="00FB38E4">
      <w:pPr>
        <w:pStyle w:val="my-2"/>
        <w:spacing w:line="360" w:lineRule="auto"/>
        <w:rPr>
          <w:rFonts w:ascii="Arial" w:hAnsi="Arial" w:cs="Arial"/>
          <w:sz w:val="22"/>
          <w:szCs w:val="22"/>
        </w:rPr>
      </w:pPr>
      <w:r w:rsidRPr="00142C32">
        <w:rPr>
          <w:rFonts w:ascii="Arial" w:eastAsiaTheme="majorEastAsia" w:hAnsi="Arial" w:cs="Arial"/>
          <w:b/>
          <w:bCs/>
          <w:sz w:val="22"/>
          <w:szCs w:val="22"/>
        </w:rPr>
        <w:t>Impact of the digital switchover and new platforms</w:t>
      </w:r>
      <w:r w:rsidRPr="00FA5739">
        <w:rPr>
          <w:rFonts w:ascii="Arial" w:hAnsi="Arial" w:cs="Arial"/>
          <w:sz w:val="22"/>
          <w:szCs w:val="22"/>
        </w:rPr>
        <w:br/>
        <w:t>Given the UK</w:t>
      </w:r>
      <w:r w:rsidRPr="00FA5739">
        <w:rPr>
          <w:rFonts w:ascii="Arial" w:hAnsi="Arial" w:cs="Arial"/>
          <w:sz w:val="22"/>
          <w:szCs w:val="22"/>
        </w:rPr>
        <w:noBreakHyphen/>
        <w:t>wide transition from analogue to digital telecare networks and the increasing use of smartphone apps and internet</w:t>
      </w:r>
      <w:r w:rsidRPr="00FA5739">
        <w:rPr>
          <w:rFonts w:ascii="Arial" w:hAnsi="Arial" w:cs="Arial"/>
          <w:sz w:val="22"/>
          <w:szCs w:val="22"/>
        </w:rPr>
        <w:noBreakHyphen/>
        <w:t xml:space="preserve">connected sensors, there is an urgent need for evaluative research focused specifically on the consequences of this technological shift for older people. Studies should investigate reliability (for example, how often digital alarms fail compared with analogue systems), the impact of power cuts or broadband outages, and how effectively contingency plans protect users during technical failures. Research should also examine how new platforms affect inequalities—such as differences between urban and rural areas, tenants and homeowners, or users with and without informal digital support—so that policymakers can anticipate and mitigate any widening of the </w:t>
      </w:r>
      <w:r w:rsidR="009951A8">
        <w:rPr>
          <w:rFonts w:ascii="Arial" w:hAnsi="Arial" w:cs="Arial"/>
          <w:sz w:val="22"/>
          <w:szCs w:val="22"/>
        </w:rPr>
        <w:t>“</w:t>
      </w:r>
      <w:r w:rsidRPr="00FA5739">
        <w:rPr>
          <w:rFonts w:ascii="Arial" w:hAnsi="Arial" w:cs="Arial"/>
          <w:sz w:val="22"/>
          <w:szCs w:val="22"/>
        </w:rPr>
        <w:t>digital divide</w:t>
      </w:r>
      <w:r w:rsidR="009951A8">
        <w:rPr>
          <w:rFonts w:ascii="Arial" w:hAnsi="Arial" w:cs="Arial"/>
          <w:sz w:val="22"/>
          <w:szCs w:val="22"/>
        </w:rPr>
        <w:t>”</w:t>
      </w:r>
      <w:r w:rsidRPr="00FA5739">
        <w:rPr>
          <w:rFonts w:ascii="Arial" w:hAnsi="Arial" w:cs="Arial"/>
          <w:sz w:val="22"/>
          <w:szCs w:val="22"/>
        </w:rPr>
        <w:t xml:space="preserve"> in access to safe, independent living.</w:t>
      </w:r>
    </w:p>
    <w:p w14:paraId="208D7572" w14:textId="77777777" w:rsidR="00C661C9" w:rsidRPr="00FA5739" w:rsidRDefault="00C661C9" w:rsidP="00FB38E4">
      <w:pPr>
        <w:pStyle w:val="Heading4"/>
        <w:spacing w:line="360" w:lineRule="auto"/>
        <w:rPr>
          <w:rFonts w:ascii="Arial" w:hAnsi="Arial" w:cs="Arial"/>
          <w:sz w:val="22"/>
          <w:szCs w:val="22"/>
        </w:rPr>
      </w:pPr>
      <w:r w:rsidRPr="00FA5739">
        <w:rPr>
          <w:rFonts w:ascii="Arial" w:hAnsi="Arial" w:cs="Arial"/>
          <w:sz w:val="22"/>
          <w:szCs w:val="22"/>
        </w:rPr>
        <w:t>For policy</w:t>
      </w:r>
    </w:p>
    <w:p w14:paraId="6DDF5AF9" w14:textId="4E8EEF4D" w:rsidR="00C661C9" w:rsidRPr="00FA5739" w:rsidRDefault="00C661C9" w:rsidP="00FB38E4">
      <w:pPr>
        <w:pStyle w:val="my-2"/>
        <w:spacing w:line="360" w:lineRule="auto"/>
        <w:rPr>
          <w:rFonts w:ascii="Arial" w:hAnsi="Arial" w:cs="Arial"/>
          <w:sz w:val="22"/>
          <w:szCs w:val="22"/>
        </w:rPr>
      </w:pPr>
      <w:r w:rsidRPr="00FA5739">
        <w:rPr>
          <w:rStyle w:val="Strong"/>
          <w:rFonts w:ascii="Arial" w:eastAsiaTheme="majorEastAsia" w:hAnsi="Arial" w:cs="Arial"/>
          <w:sz w:val="22"/>
          <w:szCs w:val="22"/>
        </w:rPr>
        <w:t xml:space="preserve">Reframe </w:t>
      </w:r>
      <w:r w:rsidR="009951A8">
        <w:rPr>
          <w:rStyle w:val="Strong"/>
          <w:rFonts w:ascii="Arial" w:eastAsiaTheme="majorEastAsia" w:hAnsi="Arial" w:cs="Arial"/>
          <w:sz w:val="22"/>
          <w:szCs w:val="22"/>
        </w:rPr>
        <w:t>“</w:t>
      </w:r>
      <w:r w:rsidRPr="00FA5739">
        <w:rPr>
          <w:rStyle w:val="Strong"/>
          <w:rFonts w:ascii="Arial" w:eastAsiaTheme="majorEastAsia" w:hAnsi="Arial" w:cs="Arial"/>
          <w:sz w:val="22"/>
          <w:szCs w:val="22"/>
        </w:rPr>
        <w:t>efficiency</w:t>
      </w:r>
      <w:r w:rsidR="009951A8">
        <w:rPr>
          <w:rStyle w:val="Strong"/>
          <w:rFonts w:ascii="Arial" w:eastAsiaTheme="majorEastAsia" w:hAnsi="Arial" w:cs="Arial"/>
          <w:sz w:val="22"/>
          <w:szCs w:val="22"/>
        </w:rPr>
        <w:t>”</w:t>
      </w:r>
      <w:r w:rsidRPr="00FA5739">
        <w:rPr>
          <w:rStyle w:val="Strong"/>
          <w:rFonts w:ascii="Arial" w:eastAsiaTheme="majorEastAsia" w:hAnsi="Arial" w:cs="Arial"/>
          <w:sz w:val="22"/>
          <w:szCs w:val="22"/>
        </w:rPr>
        <w:t xml:space="preserve"> to include relational care</w:t>
      </w:r>
      <w:r w:rsidRPr="00FA5739">
        <w:rPr>
          <w:rFonts w:ascii="Arial" w:hAnsi="Arial" w:cs="Arial"/>
          <w:sz w:val="22"/>
          <w:szCs w:val="22"/>
        </w:rPr>
        <w:br/>
        <w:t>At national and local levels, policy frameworks need to move beyond a narrow interpretation of efficiency that equates success with reduced home</w:t>
      </w:r>
      <w:r w:rsidRPr="00FA5739">
        <w:rPr>
          <w:rFonts w:ascii="Arial" w:hAnsi="Arial" w:cs="Arial"/>
          <w:sz w:val="22"/>
          <w:szCs w:val="22"/>
        </w:rPr>
        <w:noBreakHyphen/>
        <w:t>care hours or fewer hospital visits brought about by telecare. Instead, commissioning and performance indicators should recognise that genuine independence includes social participation and emotional wellbeing, not just physical safety. Funding mechanisms could reward providers who use telecare to triage and target in</w:t>
      </w:r>
      <w:r w:rsidRPr="00FA5739">
        <w:rPr>
          <w:rFonts w:ascii="Arial" w:hAnsi="Arial" w:cs="Arial"/>
          <w:sz w:val="22"/>
          <w:szCs w:val="22"/>
        </w:rPr>
        <w:noBreakHyphen/>
        <w:t>person visits where they add the greatest relational value—for example, to people who are socially isolated or facing complex decisions about risk—rather than simply substituting every visit with remote monitoring.</w:t>
      </w:r>
    </w:p>
    <w:p w14:paraId="2CB1E404" w14:textId="5465AAE1" w:rsidR="00C661C9" w:rsidRPr="00FA5739" w:rsidRDefault="00C661C9" w:rsidP="00FB38E4">
      <w:pPr>
        <w:pStyle w:val="my-2"/>
        <w:spacing w:line="360" w:lineRule="auto"/>
        <w:rPr>
          <w:rFonts w:ascii="Arial" w:hAnsi="Arial" w:cs="Arial"/>
          <w:sz w:val="22"/>
          <w:szCs w:val="22"/>
        </w:rPr>
      </w:pPr>
      <w:r w:rsidRPr="00FA5739">
        <w:rPr>
          <w:rStyle w:val="Strong"/>
          <w:rFonts w:ascii="Arial" w:eastAsiaTheme="majorEastAsia" w:hAnsi="Arial" w:cs="Arial"/>
          <w:sz w:val="22"/>
          <w:szCs w:val="22"/>
        </w:rPr>
        <w:t>Strengthen digital inclusion and support</w:t>
      </w:r>
      <w:r w:rsidRPr="00FA5739">
        <w:rPr>
          <w:rFonts w:ascii="Arial" w:hAnsi="Arial" w:cs="Arial"/>
          <w:sz w:val="22"/>
          <w:szCs w:val="22"/>
        </w:rPr>
        <w:br/>
        <w:t xml:space="preserve">Policy should also embed digital inclusion as a core element of adult social care, recognising that devices are only empowering when people can use them confidently. This means investing not only in hardware and broadband, but also in accessible design standards, translation and accessibility features, and funded training programmes delivered in community settings such as libraries, GP practices, and day centres. National guidance could encourage partnerships between local authorities, voluntary sector organisations, and telecare providers to offer ongoing troubleshooting and </w:t>
      </w:r>
      <w:r w:rsidR="009951A8">
        <w:rPr>
          <w:rFonts w:ascii="Arial" w:hAnsi="Arial" w:cs="Arial"/>
          <w:sz w:val="22"/>
          <w:szCs w:val="22"/>
        </w:rPr>
        <w:t>“</w:t>
      </w:r>
      <w:r w:rsidRPr="00FA5739">
        <w:rPr>
          <w:rFonts w:ascii="Arial" w:hAnsi="Arial" w:cs="Arial"/>
          <w:sz w:val="22"/>
          <w:szCs w:val="22"/>
        </w:rPr>
        <w:t>digital coaching</w:t>
      </w:r>
      <w:r w:rsidR="009951A8">
        <w:rPr>
          <w:rFonts w:ascii="Arial" w:hAnsi="Arial" w:cs="Arial"/>
          <w:sz w:val="22"/>
          <w:szCs w:val="22"/>
        </w:rPr>
        <w:t>”</w:t>
      </w:r>
      <w:r w:rsidRPr="00FA5739">
        <w:rPr>
          <w:rFonts w:ascii="Arial" w:hAnsi="Arial" w:cs="Arial"/>
          <w:sz w:val="22"/>
          <w:szCs w:val="22"/>
        </w:rPr>
        <w:t xml:space="preserve"> so that older adults do not have to rely on relatives—or simply abandon devices—when they encounter technical problems.</w:t>
      </w:r>
    </w:p>
    <w:p w14:paraId="3F85341C" w14:textId="77777777" w:rsidR="00C661C9" w:rsidRPr="00FA5739" w:rsidRDefault="00C661C9" w:rsidP="00FB38E4">
      <w:pPr>
        <w:pStyle w:val="Heading4"/>
        <w:spacing w:line="360" w:lineRule="auto"/>
        <w:rPr>
          <w:rFonts w:ascii="Arial" w:hAnsi="Arial" w:cs="Arial"/>
          <w:sz w:val="22"/>
          <w:szCs w:val="22"/>
        </w:rPr>
      </w:pPr>
      <w:r w:rsidRPr="00FA5739">
        <w:rPr>
          <w:rFonts w:ascii="Arial" w:hAnsi="Arial" w:cs="Arial"/>
          <w:sz w:val="22"/>
          <w:szCs w:val="22"/>
        </w:rPr>
        <w:lastRenderedPageBreak/>
        <w:t>For UK practice</w:t>
      </w:r>
    </w:p>
    <w:p w14:paraId="742CFB06" w14:textId="7C3E2114" w:rsidR="00C661C9" w:rsidRPr="00FA5739" w:rsidRDefault="00C661C9" w:rsidP="00FB38E4">
      <w:pPr>
        <w:pStyle w:val="my-2"/>
        <w:spacing w:line="360" w:lineRule="auto"/>
        <w:rPr>
          <w:rFonts w:ascii="Arial" w:hAnsi="Arial" w:cs="Arial"/>
          <w:sz w:val="22"/>
          <w:szCs w:val="22"/>
        </w:rPr>
      </w:pPr>
      <w:r w:rsidRPr="00FA5739">
        <w:rPr>
          <w:rStyle w:val="Strong"/>
          <w:rFonts w:ascii="Arial" w:eastAsiaTheme="majorEastAsia" w:hAnsi="Arial" w:cs="Arial"/>
          <w:sz w:val="22"/>
          <w:szCs w:val="22"/>
        </w:rPr>
        <w:t>Co</w:t>
      </w:r>
      <w:r w:rsidRPr="00FA5739">
        <w:rPr>
          <w:rStyle w:val="Strong"/>
          <w:rFonts w:ascii="Arial" w:eastAsiaTheme="majorEastAsia" w:hAnsi="Arial" w:cs="Arial"/>
          <w:sz w:val="22"/>
          <w:szCs w:val="22"/>
        </w:rPr>
        <w:noBreakHyphen/>
        <w:t>production and personalised telecare</w:t>
      </w:r>
      <w:r w:rsidRPr="00FA5739">
        <w:rPr>
          <w:rFonts w:ascii="Arial" w:hAnsi="Arial" w:cs="Arial"/>
          <w:sz w:val="22"/>
          <w:szCs w:val="22"/>
        </w:rPr>
        <w:br/>
        <w:t>In day</w:t>
      </w:r>
      <w:r w:rsidRPr="00FA5739">
        <w:rPr>
          <w:rFonts w:ascii="Arial" w:hAnsi="Arial" w:cs="Arial"/>
          <w:sz w:val="22"/>
          <w:szCs w:val="22"/>
        </w:rPr>
        <w:noBreakHyphen/>
        <w:t>to</w:t>
      </w:r>
      <w:r w:rsidRPr="00FA5739">
        <w:rPr>
          <w:rFonts w:ascii="Arial" w:hAnsi="Arial" w:cs="Arial"/>
          <w:sz w:val="22"/>
          <w:szCs w:val="22"/>
        </w:rPr>
        <w:noBreakHyphen/>
        <w:t>day practice, telecare assessments should be conducted as genuinely collaborative conversations rather than checklist exercises, with practitioners taking time to explore each person’s values, previous experiences with technology, and specific fears or hopes about monitoring. Rather than installing a standard bundle of sensors, staff should work with users (and, where appropriate, carers) to decide which functions are necessary, which feel intrusive, and how alerts should be handled, for example whether calls go first to family, a call centre, or a trusted neighbour. Regular reviews should be built into care plans so that telecare can be adjusted or removed if needs change or if devices begin to undermine, rather than enhance, the person’s sense of independence.</w:t>
      </w:r>
    </w:p>
    <w:p w14:paraId="07DB30CE" w14:textId="1C79BD8A" w:rsidR="00C76940" w:rsidRPr="00FA5739" w:rsidRDefault="00C661C9" w:rsidP="00FB38E4">
      <w:pPr>
        <w:pStyle w:val="my-2"/>
        <w:spacing w:line="360" w:lineRule="auto"/>
        <w:rPr>
          <w:rFonts w:ascii="Arial" w:hAnsi="Arial" w:cs="Arial"/>
          <w:sz w:val="22"/>
          <w:szCs w:val="22"/>
        </w:rPr>
      </w:pPr>
      <w:r w:rsidRPr="00FA5739">
        <w:rPr>
          <w:rStyle w:val="Strong"/>
          <w:rFonts w:ascii="Arial" w:eastAsiaTheme="majorEastAsia" w:hAnsi="Arial" w:cs="Arial"/>
          <w:sz w:val="22"/>
          <w:szCs w:val="22"/>
        </w:rPr>
        <w:t>Prioritise proactive, human</w:t>
      </w:r>
      <w:r w:rsidRPr="00FA5739">
        <w:rPr>
          <w:rStyle w:val="Strong"/>
          <w:rFonts w:ascii="Arial" w:eastAsiaTheme="majorEastAsia" w:hAnsi="Arial" w:cs="Arial"/>
          <w:sz w:val="22"/>
          <w:szCs w:val="22"/>
        </w:rPr>
        <w:noBreakHyphen/>
        <w:t>mediated contact</w:t>
      </w:r>
      <w:r w:rsidRPr="00FA5739">
        <w:rPr>
          <w:rFonts w:ascii="Arial" w:hAnsi="Arial" w:cs="Arial"/>
          <w:sz w:val="22"/>
          <w:szCs w:val="22"/>
        </w:rPr>
        <w:br/>
        <w:t>Service providers should consciously design telecare pathways that keep a human presence at the centre of digital care. This might include scheduling routine wellbeing calls, using video consultations to maintain therapeutic relationships with nurses or social workers, and setting up alerts that trigger supportive check</w:t>
      </w:r>
      <w:r w:rsidRPr="00FA5739">
        <w:rPr>
          <w:rFonts w:ascii="Arial" w:hAnsi="Arial" w:cs="Arial"/>
          <w:sz w:val="22"/>
          <w:szCs w:val="22"/>
        </w:rPr>
        <w:noBreakHyphen/>
        <w:t>ins when patterns of activity change, rather than waiting for crises such as falls. Staff training should emphasise communication skills and empathy in remote interactions so that older adults experience telecare not as a cold surveillance system, but as an extended safety net that connects them to responsive, caring professionals and reduces loneliness while still respecting their autonomy.</w:t>
      </w:r>
    </w:p>
    <w:p w14:paraId="29D453D4" w14:textId="77777777" w:rsidR="00C661C9" w:rsidRPr="00C76940" w:rsidRDefault="00C661C9" w:rsidP="00FB38E4">
      <w:pPr>
        <w:pStyle w:val="my-2"/>
        <w:spacing w:line="360" w:lineRule="auto"/>
        <w:rPr>
          <w:rFonts w:ascii="Arial" w:hAnsi="Arial" w:cs="Arial"/>
          <w:sz w:val="22"/>
          <w:szCs w:val="22"/>
        </w:rPr>
      </w:pPr>
    </w:p>
    <w:p w14:paraId="7EEC00BC" w14:textId="77777777" w:rsidR="00C76940" w:rsidRPr="00FA5739" w:rsidRDefault="00C76940" w:rsidP="00FB38E4">
      <w:pPr>
        <w:pStyle w:val="Heading2"/>
        <w:spacing w:line="360" w:lineRule="auto"/>
        <w:rPr>
          <w:rFonts w:ascii="Arial" w:hAnsi="Arial" w:cs="Arial"/>
          <w:sz w:val="22"/>
          <w:szCs w:val="22"/>
        </w:rPr>
      </w:pPr>
      <w:bookmarkStart w:id="26" w:name="_Toc216086877"/>
      <w:r w:rsidRPr="00FA5739">
        <w:rPr>
          <w:rFonts w:ascii="Arial" w:hAnsi="Arial" w:cs="Arial"/>
          <w:sz w:val="22"/>
          <w:szCs w:val="22"/>
        </w:rPr>
        <w:t>References</w:t>
      </w:r>
      <w:bookmarkEnd w:id="26"/>
    </w:p>
    <w:p w14:paraId="3EE52B73" w14:textId="729B584E"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Arksey, H. and O'Malley, L. (2005) ‘Scoping studies: towards a methodological framework’, </w:t>
      </w:r>
      <w:r w:rsidRPr="00C76940">
        <w:rPr>
          <w:rFonts w:ascii="Arial" w:hAnsi="Arial" w:cs="Arial"/>
          <w:i/>
          <w:iCs/>
          <w:sz w:val="22"/>
          <w:szCs w:val="22"/>
        </w:rPr>
        <w:t>International Journal of Social Research Methodology</w:t>
      </w:r>
      <w:r w:rsidRPr="00C76940">
        <w:rPr>
          <w:rFonts w:ascii="Arial" w:hAnsi="Arial" w:cs="Arial"/>
          <w:sz w:val="22"/>
          <w:szCs w:val="22"/>
        </w:rPr>
        <w:t>, 8(1), pp. 19–32.</w:t>
      </w:r>
    </w:p>
    <w:p w14:paraId="78C0BE0E" w14:textId="64753C78" w:rsidR="00C76940" w:rsidRPr="00C76940" w:rsidRDefault="00C76940" w:rsidP="00FB38E4">
      <w:pPr>
        <w:spacing w:line="360" w:lineRule="auto"/>
        <w:rPr>
          <w:rFonts w:ascii="Arial" w:hAnsi="Arial" w:cs="Arial"/>
          <w:sz w:val="22"/>
          <w:szCs w:val="22"/>
        </w:rPr>
      </w:pPr>
      <w:proofErr w:type="spellStart"/>
      <w:r w:rsidRPr="00C76940">
        <w:rPr>
          <w:rFonts w:ascii="Arial" w:hAnsi="Arial" w:cs="Arial"/>
          <w:sz w:val="22"/>
          <w:szCs w:val="22"/>
        </w:rPr>
        <w:t>Atlas.ti</w:t>
      </w:r>
      <w:proofErr w:type="spellEnd"/>
      <w:r w:rsidRPr="00C76940">
        <w:rPr>
          <w:rFonts w:ascii="Arial" w:hAnsi="Arial" w:cs="Arial"/>
          <w:sz w:val="22"/>
          <w:szCs w:val="22"/>
        </w:rPr>
        <w:t xml:space="preserve"> (2024) </w:t>
      </w:r>
      <w:r w:rsidRPr="00C76940">
        <w:rPr>
          <w:rFonts w:ascii="Arial" w:hAnsi="Arial" w:cs="Arial"/>
          <w:i/>
          <w:iCs/>
          <w:sz w:val="22"/>
          <w:szCs w:val="22"/>
        </w:rPr>
        <w:t>Thematic Analysis of Secondary Data</w:t>
      </w:r>
      <w:r w:rsidRPr="00C76940">
        <w:rPr>
          <w:rFonts w:ascii="Arial" w:hAnsi="Arial" w:cs="Arial"/>
          <w:sz w:val="22"/>
          <w:szCs w:val="22"/>
        </w:rPr>
        <w:t xml:space="preserve">. Available at: </w:t>
      </w:r>
      <w:hyperlink r:id="rId9" w:tgtFrame="_blank" w:history="1">
        <w:r w:rsidRPr="00C76940">
          <w:rPr>
            <w:rStyle w:val="Hyperlink"/>
            <w:rFonts w:ascii="Arial" w:hAnsi="Arial" w:cs="Arial"/>
            <w:sz w:val="22"/>
            <w:szCs w:val="22"/>
          </w:rPr>
          <w:t>https://atlasti.com</w:t>
        </w:r>
      </w:hyperlink>
      <w:r w:rsidRPr="00C76940">
        <w:rPr>
          <w:rFonts w:ascii="Arial" w:hAnsi="Arial" w:cs="Arial"/>
          <w:sz w:val="22"/>
          <w:szCs w:val="22"/>
        </w:rPr>
        <w:t xml:space="preserve"> (Accessed: </w:t>
      </w:r>
      <w:r w:rsidR="00142C32">
        <w:rPr>
          <w:rFonts w:ascii="Arial" w:hAnsi="Arial" w:cs="Arial"/>
          <w:sz w:val="22"/>
          <w:szCs w:val="22"/>
        </w:rPr>
        <w:t>5</w:t>
      </w:r>
      <w:r w:rsidRPr="00C76940">
        <w:rPr>
          <w:rFonts w:ascii="Arial" w:hAnsi="Arial" w:cs="Arial"/>
          <w:sz w:val="22"/>
          <w:szCs w:val="22"/>
        </w:rPr>
        <w:t xml:space="preserve"> December 2025).</w:t>
      </w:r>
    </w:p>
    <w:p w14:paraId="154812C7" w14:textId="4BA00F77"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Braun, V. and Clarke, V. (2006) ‘Using thematic analysis in psychology’, </w:t>
      </w:r>
      <w:r w:rsidRPr="00C76940">
        <w:rPr>
          <w:rFonts w:ascii="Arial" w:hAnsi="Arial" w:cs="Arial"/>
          <w:i/>
          <w:iCs/>
          <w:sz w:val="22"/>
          <w:szCs w:val="22"/>
        </w:rPr>
        <w:t>Qualitative Research in Psychology</w:t>
      </w:r>
      <w:r w:rsidRPr="00C76940">
        <w:rPr>
          <w:rFonts w:ascii="Arial" w:hAnsi="Arial" w:cs="Arial"/>
          <w:sz w:val="22"/>
          <w:szCs w:val="22"/>
        </w:rPr>
        <w:t>, 3(2), pp. 77–101.</w:t>
      </w:r>
    </w:p>
    <w:p w14:paraId="09052128" w14:textId="567E35C6"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Care Act 2014, c.23. London: The Stationery Office.</w:t>
      </w:r>
    </w:p>
    <w:p w14:paraId="24D5AC3D" w14:textId="42E1DC33"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Davies, A. (2011) </w:t>
      </w:r>
      <w:r w:rsidRPr="00C76940">
        <w:rPr>
          <w:rFonts w:ascii="Arial" w:hAnsi="Arial" w:cs="Arial"/>
          <w:i/>
          <w:iCs/>
          <w:sz w:val="22"/>
          <w:szCs w:val="22"/>
        </w:rPr>
        <w:t>Telecare and Telehealth</w:t>
      </w:r>
      <w:r w:rsidRPr="00C76940">
        <w:rPr>
          <w:rFonts w:ascii="Arial" w:hAnsi="Arial" w:cs="Arial"/>
          <w:sz w:val="22"/>
          <w:szCs w:val="22"/>
        </w:rPr>
        <w:t>. London: The King’s Fund.</w:t>
      </w:r>
    </w:p>
    <w:p w14:paraId="343D562F" w14:textId="6DC96040"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lastRenderedPageBreak/>
        <w:t xml:space="preserve">Department of Health and Social Care (2021) </w:t>
      </w:r>
      <w:r w:rsidRPr="00C76940">
        <w:rPr>
          <w:rFonts w:ascii="Arial" w:hAnsi="Arial" w:cs="Arial"/>
          <w:i/>
          <w:iCs/>
          <w:sz w:val="22"/>
          <w:szCs w:val="22"/>
        </w:rPr>
        <w:t>People at the Heart of Care: Adult Social Care Reform White Paper</w:t>
      </w:r>
      <w:r w:rsidRPr="00C76940">
        <w:rPr>
          <w:rFonts w:ascii="Arial" w:hAnsi="Arial" w:cs="Arial"/>
          <w:sz w:val="22"/>
          <w:szCs w:val="22"/>
        </w:rPr>
        <w:t>. London: HM Government.</w:t>
      </w:r>
    </w:p>
    <w:p w14:paraId="3020217E" w14:textId="4CF17E52"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Eccles, A. (2020) ‘Remote care technologies, older people and the social care crisis: a multiple streams approach to the </w:t>
      </w:r>
      <w:r w:rsidR="009951A8">
        <w:rPr>
          <w:rFonts w:ascii="Arial" w:hAnsi="Arial" w:cs="Arial"/>
          <w:sz w:val="22"/>
          <w:szCs w:val="22"/>
        </w:rPr>
        <w:t>“</w:t>
      </w:r>
      <w:r w:rsidRPr="00C76940">
        <w:rPr>
          <w:rFonts w:ascii="Arial" w:hAnsi="Arial" w:cs="Arial"/>
          <w:sz w:val="22"/>
          <w:szCs w:val="22"/>
        </w:rPr>
        <w:t>silver bullet</w:t>
      </w:r>
      <w:r w:rsidR="009951A8">
        <w:rPr>
          <w:rFonts w:ascii="Arial" w:hAnsi="Arial" w:cs="Arial"/>
          <w:sz w:val="22"/>
          <w:szCs w:val="22"/>
        </w:rPr>
        <w:t>”</w:t>
      </w:r>
      <w:r w:rsidRPr="00C76940">
        <w:rPr>
          <w:rFonts w:ascii="Arial" w:hAnsi="Arial" w:cs="Arial"/>
          <w:sz w:val="22"/>
          <w:szCs w:val="22"/>
        </w:rPr>
        <w:t xml:space="preserve"> of telecare’, </w:t>
      </w:r>
      <w:r w:rsidRPr="00C76940">
        <w:rPr>
          <w:rFonts w:ascii="Arial" w:hAnsi="Arial" w:cs="Arial"/>
          <w:i/>
          <w:iCs/>
          <w:sz w:val="22"/>
          <w:szCs w:val="22"/>
        </w:rPr>
        <w:t>Journal of Social Policy</w:t>
      </w:r>
      <w:r w:rsidRPr="00C76940">
        <w:rPr>
          <w:rFonts w:ascii="Arial" w:hAnsi="Arial" w:cs="Arial"/>
          <w:sz w:val="22"/>
          <w:szCs w:val="22"/>
        </w:rPr>
        <w:t>, 50(1), pp. 1–19.</w:t>
      </w:r>
    </w:p>
    <w:p w14:paraId="5BB19F23" w14:textId="47809F84"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Fothergill, A., Brewster, L. and Gherardi, S. (2023) ‘Understanding the value of a proactive telecare system in supporting older adults’ independence at home: qualitative interview study among key interest groups’, </w:t>
      </w:r>
      <w:r w:rsidRPr="00C76940">
        <w:rPr>
          <w:rFonts w:ascii="Arial" w:hAnsi="Arial" w:cs="Arial"/>
          <w:i/>
          <w:iCs/>
          <w:sz w:val="22"/>
          <w:szCs w:val="22"/>
        </w:rPr>
        <w:t>JMIR Aging</w:t>
      </w:r>
      <w:r w:rsidRPr="00C76940">
        <w:rPr>
          <w:rFonts w:ascii="Arial" w:hAnsi="Arial" w:cs="Arial"/>
          <w:sz w:val="22"/>
          <w:szCs w:val="22"/>
        </w:rPr>
        <w:t>, 6(1), e47997.</w:t>
      </w:r>
    </w:p>
    <w:p w14:paraId="4832DCAD" w14:textId="69843308"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Foundations (2024) </w:t>
      </w:r>
      <w:r w:rsidRPr="00C76940">
        <w:rPr>
          <w:rFonts w:ascii="Arial" w:hAnsi="Arial" w:cs="Arial"/>
          <w:i/>
          <w:iCs/>
          <w:sz w:val="22"/>
          <w:szCs w:val="22"/>
        </w:rPr>
        <w:t xml:space="preserve">Projected </w:t>
      </w:r>
      <w:r w:rsidR="00981479">
        <w:rPr>
          <w:rFonts w:ascii="Arial" w:hAnsi="Arial" w:cs="Arial"/>
          <w:i/>
          <w:iCs/>
          <w:sz w:val="22"/>
          <w:szCs w:val="22"/>
        </w:rPr>
        <w:t>Aging</w:t>
      </w:r>
      <w:r w:rsidRPr="00C76940">
        <w:rPr>
          <w:rFonts w:ascii="Arial" w:hAnsi="Arial" w:cs="Arial"/>
          <w:i/>
          <w:iCs/>
          <w:sz w:val="22"/>
          <w:szCs w:val="22"/>
        </w:rPr>
        <w:t xml:space="preserve"> Population Ahead of Spring Budget 2024</w:t>
      </w:r>
      <w:r w:rsidRPr="00C76940">
        <w:rPr>
          <w:rFonts w:ascii="Arial" w:hAnsi="Arial" w:cs="Arial"/>
          <w:sz w:val="22"/>
          <w:szCs w:val="22"/>
        </w:rPr>
        <w:t xml:space="preserve">. Available at: </w:t>
      </w:r>
      <w:hyperlink r:id="rId10" w:tgtFrame="_blank" w:history="1">
        <w:r w:rsidRPr="00C76940">
          <w:rPr>
            <w:rStyle w:val="Hyperlink"/>
            <w:rFonts w:ascii="Arial" w:hAnsi="Arial" w:cs="Arial"/>
            <w:sz w:val="22"/>
            <w:szCs w:val="22"/>
          </w:rPr>
          <w:t>https://www.foundations.uk.com</w:t>
        </w:r>
      </w:hyperlink>
      <w:r w:rsidRPr="00C76940">
        <w:rPr>
          <w:rFonts w:ascii="Arial" w:hAnsi="Arial" w:cs="Arial"/>
          <w:sz w:val="22"/>
          <w:szCs w:val="22"/>
        </w:rPr>
        <w:t xml:space="preserve"> (Accessed: </w:t>
      </w:r>
      <w:r w:rsidR="00142C32">
        <w:rPr>
          <w:rFonts w:ascii="Arial" w:hAnsi="Arial" w:cs="Arial"/>
          <w:sz w:val="22"/>
          <w:szCs w:val="22"/>
        </w:rPr>
        <w:t>6</w:t>
      </w:r>
      <w:r w:rsidRPr="00C76940">
        <w:rPr>
          <w:rFonts w:ascii="Arial" w:hAnsi="Arial" w:cs="Arial"/>
          <w:sz w:val="22"/>
          <w:szCs w:val="22"/>
        </w:rPr>
        <w:t xml:space="preserve"> December 2025).</w:t>
      </w:r>
    </w:p>
    <w:p w14:paraId="6248C651" w14:textId="05C4CE85"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Hamblin, K.A. (2020) ‘Technology and social care in a digital world: challenges and opportunities for UK local authorities’, </w:t>
      </w:r>
      <w:r w:rsidRPr="00C76940">
        <w:rPr>
          <w:rFonts w:ascii="Arial" w:hAnsi="Arial" w:cs="Arial"/>
          <w:i/>
          <w:iCs/>
          <w:sz w:val="22"/>
          <w:szCs w:val="22"/>
        </w:rPr>
        <w:t>Journal of Enabling Technologies</w:t>
      </w:r>
      <w:r w:rsidRPr="00C76940">
        <w:rPr>
          <w:rFonts w:ascii="Arial" w:hAnsi="Arial" w:cs="Arial"/>
          <w:sz w:val="22"/>
          <w:szCs w:val="22"/>
        </w:rPr>
        <w:t>, 14(4), pp. 219–231.</w:t>
      </w:r>
    </w:p>
    <w:p w14:paraId="1CECF9BA" w14:textId="6A337DDC" w:rsidR="00C76940" w:rsidRPr="00C76940" w:rsidRDefault="00C76940" w:rsidP="00FB38E4">
      <w:pPr>
        <w:spacing w:line="360" w:lineRule="auto"/>
        <w:rPr>
          <w:rFonts w:ascii="Arial" w:hAnsi="Arial" w:cs="Arial"/>
          <w:sz w:val="22"/>
          <w:szCs w:val="22"/>
        </w:rPr>
      </w:pPr>
      <w:proofErr w:type="spellStart"/>
      <w:r w:rsidRPr="00C76940">
        <w:rPr>
          <w:rFonts w:ascii="Arial" w:hAnsi="Arial" w:cs="Arial"/>
          <w:sz w:val="22"/>
          <w:szCs w:val="22"/>
        </w:rPr>
        <w:t>Keysafe</w:t>
      </w:r>
      <w:proofErr w:type="spellEnd"/>
      <w:r w:rsidRPr="00C76940">
        <w:rPr>
          <w:rFonts w:ascii="Arial" w:hAnsi="Arial" w:cs="Arial"/>
          <w:sz w:val="22"/>
          <w:szCs w:val="22"/>
        </w:rPr>
        <w:t xml:space="preserve"> (2024) ‘Digital Switchover 2025: What it means for </w:t>
      </w:r>
      <w:proofErr w:type="gramStart"/>
      <w:r w:rsidRPr="00C76940">
        <w:rPr>
          <w:rFonts w:ascii="Arial" w:hAnsi="Arial" w:cs="Arial"/>
          <w:sz w:val="22"/>
          <w:szCs w:val="22"/>
        </w:rPr>
        <w:t>access’</w:t>
      </w:r>
      <w:proofErr w:type="gramEnd"/>
      <w:r w:rsidRPr="00C76940">
        <w:rPr>
          <w:rFonts w:ascii="Arial" w:hAnsi="Arial" w:cs="Arial"/>
          <w:sz w:val="22"/>
          <w:szCs w:val="22"/>
        </w:rPr>
        <w:t xml:space="preserve">. Available at: </w:t>
      </w:r>
      <w:hyperlink r:id="rId11" w:tgtFrame="_blank" w:history="1">
        <w:r w:rsidRPr="00C76940">
          <w:rPr>
            <w:rStyle w:val="Hyperlink"/>
            <w:rFonts w:ascii="Arial" w:hAnsi="Arial" w:cs="Arial"/>
            <w:sz w:val="22"/>
            <w:szCs w:val="22"/>
          </w:rPr>
          <w:t>https://keysafe.co.uk</w:t>
        </w:r>
      </w:hyperlink>
      <w:r w:rsidRPr="00C76940">
        <w:rPr>
          <w:rFonts w:ascii="Arial" w:hAnsi="Arial" w:cs="Arial"/>
          <w:sz w:val="22"/>
          <w:szCs w:val="22"/>
        </w:rPr>
        <w:t xml:space="preserve"> (Accessed: 7 December 2025).</w:t>
      </w:r>
    </w:p>
    <w:p w14:paraId="4A35286A" w14:textId="54704DF1"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Local Government Association (2012) </w:t>
      </w:r>
      <w:r w:rsidRPr="00C76940">
        <w:rPr>
          <w:rFonts w:ascii="Arial" w:hAnsi="Arial" w:cs="Arial"/>
          <w:i/>
          <w:iCs/>
          <w:sz w:val="22"/>
          <w:szCs w:val="22"/>
        </w:rPr>
        <w:t>Telecare and Assistive Technologies: Living Independently and Safely at Home</w:t>
      </w:r>
      <w:r w:rsidRPr="00C76940">
        <w:rPr>
          <w:rFonts w:ascii="Arial" w:hAnsi="Arial" w:cs="Arial"/>
          <w:sz w:val="22"/>
          <w:szCs w:val="22"/>
        </w:rPr>
        <w:t>. London: LGA.</w:t>
      </w:r>
    </w:p>
    <w:p w14:paraId="745C4E29" w14:textId="736AFB67"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NHS England (2019) </w:t>
      </w:r>
      <w:r w:rsidRPr="00C76940">
        <w:rPr>
          <w:rFonts w:ascii="Arial" w:hAnsi="Arial" w:cs="Arial"/>
          <w:i/>
          <w:iCs/>
          <w:sz w:val="22"/>
          <w:szCs w:val="22"/>
        </w:rPr>
        <w:t>The NHS Long Term Plan</w:t>
      </w:r>
      <w:r w:rsidRPr="00C76940">
        <w:rPr>
          <w:rFonts w:ascii="Arial" w:hAnsi="Arial" w:cs="Arial"/>
          <w:sz w:val="22"/>
          <w:szCs w:val="22"/>
        </w:rPr>
        <w:t>. London: NHS England.</w:t>
      </w:r>
    </w:p>
    <w:p w14:paraId="142F6B11" w14:textId="6A3B8AFD"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NICE (2015) </w:t>
      </w:r>
      <w:r w:rsidRPr="00C76940">
        <w:rPr>
          <w:rFonts w:ascii="Arial" w:hAnsi="Arial" w:cs="Arial"/>
          <w:i/>
          <w:iCs/>
          <w:sz w:val="22"/>
          <w:szCs w:val="22"/>
        </w:rPr>
        <w:t>Older people: independence and mental wellbeing. Draft guideline NG32</w:t>
      </w:r>
      <w:r w:rsidRPr="00C76940">
        <w:rPr>
          <w:rFonts w:ascii="Arial" w:hAnsi="Arial" w:cs="Arial"/>
          <w:sz w:val="22"/>
          <w:szCs w:val="22"/>
        </w:rPr>
        <w:t>. London: National Institute for Health and Care Excellence.</w:t>
      </w:r>
    </w:p>
    <w:p w14:paraId="7A2B1B80" w14:textId="094FED65"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Procter, R. et al. (2014) ‘Whose lifestyle is it anyway? Negotiating roles and responsibilities in telecare’, </w:t>
      </w:r>
      <w:r w:rsidRPr="00C76940">
        <w:rPr>
          <w:rFonts w:ascii="Arial" w:hAnsi="Arial" w:cs="Arial"/>
          <w:i/>
          <w:iCs/>
          <w:sz w:val="22"/>
          <w:szCs w:val="22"/>
        </w:rPr>
        <w:t>Computer Supported Cooperative Work</w:t>
      </w:r>
      <w:r w:rsidRPr="00C76940">
        <w:rPr>
          <w:rFonts w:ascii="Arial" w:hAnsi="Arial" w:cs="Arial"/>
          <w:sz w:val="22"/>
          <w:szCs w:val="22"/>
        </w:rPr>
        <w:t>, 23(4–6), pp. 327–352.</w:t>
      </w:r>
    </w:p>
    <w:p w14:paraId="62CB03C5" w14:textId="755C1783" w:rsidR="00C76940" w:rsidRPr="00C76940" w:rsidRDefault="00C76940" w:rsidP="00FB38E4">
      <w:pPr>
        <w:spacing w:line="360" w:lineRule="auto"/>
        <w:rPr>
          <w:rFonts w:ascii="Arial" w:hAnsi="Arial" w:cs="Arial"/>
          <w:sz w:val="22"/>
          <w:szCs w:val="22"/>
        </w:rPr>
      </w:pPr>
      <w:r w:rsidRPr="00C76940">
        <w:rPr>
          <w:rFonts w:ascii="Arial" w:hAnsi="Arial" w:cs="Arial"/>
          <w:sz w:val="22"/>
          <w:szCs w:val="22"/>
        </w:rPr>
        <w:t xml:space="preserve">ScienceDirect (2020) ‘Telecare – an overview’. Available at: </w:t>
      </w:r>
      <w:hyperlink r:id="rId12" w:tgtFrame="_blank" w:history="1">
        <w:r w:rsidRPr="00C76940">
          <w:rPr>
            <w:rStyle w:val="Hyperlink"/>
            <w:rFonts w:ascii="Arial" w:hAnsi="Arial" w:cs="Arial"/>
            <w:sz w:val="22"/>
            <w:szCs w:val="22"/>
          </w:rPr>
          <w:t>https://www.sciencedirect.com/topics/engineering/telecare</w:t>
        </w:r>
      </w:hyperlink>
      <w:r w:rsidRPr="00C76940">
        <w:rPr>
          <w:rFonts w:ascii="Arial" w:hAnsi="Arial" w:cs="Arial"/>
          <w:sz w:val="22"/>
          <w:szCs w:val="22"/>
        </w:rPr>
        <w:t xml:space="preserve"> (Accessed: </w:t>
      </w:r>
      <w:r w:rsidR="00484FEE">
        <w:rPr>
          <w:rFonts w:ascii="Arial" w:hAnsi="Arial" w:cs="Arial"/>
          <w:sz w:val="22"/>
          <w:szCs w:val="22"/>
        </w:rPr>
        <w:t>4</w:t>
      </w:r>
      <w:r w:rsidRPr="00C76940">
        <w:rPr>
          <w:rFonts w:ascii="Arial" w:hAnsi="Arial" w:cs="Arial"/>
          <w:sz w:val="22"/>
          <w:szCs w:val="22"/>
        </w:rPr>
        <w:t xml:space="preserve"> December 2025).</w:t>
      </w:r>
    </w:p>
    <w:p w14:paraId="343C321D" w14:textId="67CA4B44" w:rsidR="00026207" w:rsidRPr="00FA5739" w:rsidRDefault="00C76940" w:rsidP="00FB38E4">
      <w:pPr>
        <w:spacing w:line="360" w:lineRule="auto"/>
        <w:rPr>
          <w:rFonts w:ascii="Arial" w:hAnsi="Arial" w:cs="Arial"/>
          <w:sz w:val="22"/>
          <w:szCs w:val="22"/>
        </w:rPr>
      </w:pPr>
      <w:r w:rsidRPr="00C76940">
        <w:rPr>
          <w:rFonts w:ascii="Arial" w:hAnsi="Arial" w:cs="Arial"/>
          <w:sz w:val="22"/>
          <w:szCs w:val="22"/>
        </w:rPr>
        <w:t xml:space="preserve">Wardlow, L., Roberts, P. and O’Brien, J. (2023) ‘Perceptions and uses of telehealth in the care of older adults: a survey of clinicians and users’, </w:t>
      </w:r>
      <w:r w:rsidRPr="00C76940">
        <w:rPr>
          <w:rFonts w:ascii="Arial" w:hAnsi="Arial" w:cs="Arial"/>
          <w:i/>
          <w:iCs/>
          <w:sz w:val="22"/>
          <w:szCs w:val="22"/>
        </w:rPr>
        <w:t>Gerontology and Geriatric Medicine</w:t>
      </w:r>
      <w:r w:rsidRPr="00C76940">
        <w:rPr>
          <w:rFonts w:ascii="Arial" w:hAnsi="Arial" w:cs="Arial"/>
          <w:sz w:val="22"/>
          <w:szCs w:val="22"/>
        </w:rPr>
        <w:t>, 9, pp. 1–10</w:t>
      </w:r>
      <w:r w:rsidRPr="00FA5739">
        <w:rPr>
          <w:rFonts w:ascii="Arial" w:hAnsi="Arial" w:cs="Arial"/>
          <w:sz w:val="22"/>
          <w:szCs w:val="22"/>
        </w:rPr>
        <w:t>.</w:t>
      </w:r>
    </w:p>
    <w:sectPr w:rsidR="00026207" w:rsidRPr="00FA5739" w:rsidSect="00C6636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89CF8" w14:textId="77777777" w:rsidR="00C86104" w:rsidRDefault="00C86104" w:rsidP="00C66366">
      <w:pPr>
        <w:spacing w:after="0" w:line="240" w:lineRule="auto"/>
      </w:pPr>
      <w:r>
        <w:separator/>
      </w:r>
    </w:p>
  </w:endnote>
  <w:endnote w:type="continuationSeparator" w:id="0">
    <w:p w14:paraId="45C79A06" w14:textId="77777777" w:rsidR="00C86104" w:rsidRDefault="00C86104" w:rsidP="00C66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767B9" w14:textId="77777777" w:rsidR="00C66366" w:rsidRDefault="00C6636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B199B2" w14:textId="77777777" w:rsidR="00C66366" w:rsidRDefault="00C66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3A81C" w14:textId="77777777" w:rsidR="00C86104" w:rsidRDefault="00C86104" w:rsidP="00C66366">
      <w:pPr>
        <w:spacing w:after="0" w:line="240" w:lineRule="auto"/>
      </w:pPr>
      <w:r>
        <w:separator/>
      </w:r>
    </w:p>
  </w:footnote>
  <w:footnote w:type="continuationSeparator" w:id="0">
    <w:p w14:paraId="73D219D4" w14:textId="77777777" w:rsidR="00C86104" w:rsidRDefault="00C86104" w:rsidP="00C663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E4A23"/>
    <w:multiLevelType w:val="multilevel"/>
    <w:tmpl w:val="E7B8F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F1E66"/>
    <w:multiLevelType w:val="multilevel"/>
    <w:tmpl w:val="AC48C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4C424E"/>
    <w:multiLevelType w:val="multilevel"/>
    <w:tmpl w:val="FF3A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6302A5"/>
    <w:multiLevelType w:val="multilevel"/>
    <w:tmpl w:val="40B85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3957F2"/>
    <w:multiLevelType w:val="multilevel"/>
    <w:tmpl w:val="3B9EA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0F5BBA"/>
    <w:multiLevelType w:val="multilevel"/>
    <w:tmpl w:val="60AC2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B65E8B"/>
    <w:multiLevelType w:val="multilevel"/>
    <w:tmpl w:val="8F8C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B44F67"/>
    <w:multiLevelType w:val="multilevel"/>
    <w:tmpl w:val="EEA02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5D4DEF"/>
    <w:multiLevelType w:val="multilevel"/>
    <w:tmpl w:val="42760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DF06C0"/>
    <w:multiLevelType w:val="multilevel"/>
    <w:tmpl w:val="6B366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97799D"/>
    <w:multiLevelType w:val="multilevel"/>
    <w:tmpl w:val="7CA6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30315C1"/>
    <w:multiLevelType w:val="multilevel"/>
    <w:tmpl w:val="77D4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A816B02"/>
    <w:multiLevelType w:val="multilevel"/>
    <w:tmpl w:val="07E65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0714408"/>
    <w:multiLevelType w:val="multilevel"/>
    <w:tmpl w:val="597C3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93DDD"/>
    <w:multiLevelType w:val="multilevel"/>
    <w:tmpl w:val="30A0C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B376D6"/>
    <w:multiLevelType w:val="multilevel"/>
    <w:tmpl w:val="7C0EC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85C59EB"/>
    <w:multiLevelType w:val="multilevel"/>
    <w:tmpl w:val="B69C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F879DC"/>
    <w:multiLevelType w:val="multilevel"/>
    <w:tmpl w:val="8D10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5A144B"/>
    <w:multiLevelType w:val="multilevel"/>
    <w:tmpl w:val="64EE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9230661">
    <w:abstractNumId w:val="18"/>
  </w:num>
  <w:num w:numId="2" w16cid:durableId="371002473">
    <w:abstractNumId w:val="10"/>
  </w:num>
  <w:num w:numId="3" w16cid:durableId="203905648">
    <w:abstractNumId w:val="12"/>
  </w:num>
  <w:num w:numId="4" w16cid:durableId="26608239">
    <w:abstractNumId w:val="11"/>
  </w:num>
  <w:num w:numId="5" w16cid:durableId="78598701">
    <w:abstractNumId w:val="2"/>
  </w:num>
  <w:num w:numId="6" w16cid:durableId="375928342">
    <w:abstractNumId w:val="7"/>
  </w:num>
  <w:num w:numId="7" w16cid:durableId="427430606">
    <w:abstractNumId w:val="16"/>
  </w:num>
  <w:num w:numId="8" w16cid:durableId="381246875">
    <w:abstractNumId w:val="17"/>
  </w:num>
  <w:num w:numId="9" w16cid:durableId="49499167">
    <w:abstractNumId w:val="13"/>
  </w:num>
  <w:num w:numId="10" w16cid:durableId="1165316543">
    <w:abstractNumId w:val="5"/>
  </w:num>
  <w:num w:numId="11" w16cid:durableId="1672827724">
    <w:abstractNumId w:val="1"/>
  </w:num>
  <w:num w:numId="12" w16cid:durableId="1585450357">
    <w:abstractNumId w:val="3"/>
  </w:num>
  <w:num w:numId="13" w16cid:durableId="1834763234">
    <w:abstractNumId w:val="0"/>
  </w:num>
  <w:num w:numId="14" w16cid:durableId="892035649">
    <w:abstractNumId w:val="15"/>
  </w:num>
  <w:num w:numId="15" w16cid:durableId="1872373274">
    <w:abstractNumId w:val="8"/>
  </w:num>
  <w:num w:numId="16" w16cid:durableId="1553035355">
    <w:abstractNumId w:val="14"/>
  </w:num>
  <w:num w:numId="17" w16cid:durableId="357051221">
    <w:abstractNumId w:val="6"/>
  </w:num>
  <w:num w:numId="18" w16cid:durableId="100271732">
    <w:abstractNumId w:val="4"/>
  </w:num>
  <w:num w:numId="19" w16cid:durableId="14144251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1BB"/>
    <w:rsid w:val="00001FF7"/>
    <w:rsid w:val="000112DD"/>
    <w:rsid w:val="00026207"/>
    <w:rsid w:val="000B651D"/>
    <w:rsid w:val="00137909"/>
    <w:rsid w:val="00142C32"/>
    <w:rsid w:val="001D6317"/>
    <w:rsid w:val="002343D8"/>
    <w:rsid w:val="00241559"/>
    <w:rsid w:val="0026419D"/>
    <w:rsid w:val="00276B44"/>
    <w:rsid w:val="002A07E2"/>
    <w:rsid w:val="002A0A2F"/>
    <w:rsid w:val="00315DF6"/>
    <w:rsid w:val="00315FB8"/>
    <w:rsid w:val="00331441"/>
    <w:rsid w:val="00351888"/>
    <w:rsid w:val="003A3864"/>
    <w:rsid w:val="003A500B"/>
    <w:rsid w:val="0044153D"/>
    <w:rsid w:val="00465B92"/>
    <w:rsid w:val="00484FEE"/>
    <w:rsid w:val="00511766"/>
    <w:rsid w:val="00546A24"/>
    <w:rsid w:val="005967AC"/>
    <w:rsid w:val="005A59DD"/>
    <w:rsid w:val="00604866"/>
    <w:rsid w:val="00642D7B"/>
    <w:rsid w:val="00684D02"/>
    <w:rsid w:val="0069025E"/>
    <w:rsid w:val="006F5444"/>
    <w:rsid w:val="007A78CE"/>
    <w:rsid w:val="00820994"/>
    <w:rsid w:val="00830FE3"/>
    <w:rsid w:val="00914D61"/>
    <w:rsid w:val="00922A5A"/>
    <w:rsid w:val="00934992"/>
    <w:rsid w:val="00981479"/>
    <w:rsid w:val="009850FB"/>
    <w:rsid w:val="009951A8"/>
    <w:rsid w:val="009A1F0B"/>
    <w:rsid w:val="00A22949"/>
    <w:rsid w:val="00A81A9B"/>
    <w:rsid w:val="00AC0FBF"/>
    <w:rsid w:val="00AE3437"/>
    <w:rsid w:val="00B32C55"/>
    <w:rsid w:val="00BD5E6B"/>
    <w:rsid w:val="00C61D31"/>
    <w:rsid w:val="00C661C9"/>
    <w:rsid w:val="00C66366"/>
    <w:rsid w:val="00C76940"/>
    <w:rsid w:val="00C80967"/>
    <w:rsid w:val="00C86104"/>
    <w:rsid w:val="00CB3B70"/>
    <w:rsid w:val="00CC104E"/>
    <w:rsid w:val="00CD16E7"/>
    <w:rsid w:val="00D07530"/>
    <w:rsid w:val="00D35CFC"/>
    <w:rsid w:val="00D82D9A"/>
    <w:rsid w:val="00DA510D"/>
    <w:rsid w:val="00DB2C2B"/>
    <w:rsid w:val="00E63843"/>
    <w:rsid w:val="00E861BB"/>
    <w:rsid w:val="00F124F0"/>
    <w:rsid w:val="00F73EB8"/>
    <w:rsid w:val="00F86E5D"/>
    <w:rsid w:val="00F953DF"/>
    <w:rsid w:val="00FA5739"/>
    <w:rsid w:val="00FB38E4"/>
    <w:rsid w:val="00FD6688"/>
    <w:rsid w:val="00FE1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108F25"/>
  <w15:chartTrackingRefBased/>
  <w15:docId w15:val="{F53AFC16-D102-41BD-ACDB-CDCE64DE7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1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861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861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861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61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6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1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861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861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861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61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6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1BB"/>
    <w:rPr>
      <w:rFonts w:eastAsiaTheme="majorEastAsia" w:cstheme="majorBidi"/>
      <w:color w:val="272727" w:themeColor="text1" w:themeTint="D8"/>
    </w:rPr>
  </w:style>
  <w:style w:type="paragraph" w:styleId="Title">
    <w:name w:val="Title"/>
    <w:basedOn w:val="Normal"/>
    <w:next w:val="Normal"/>
    <w:link w:val="TitleChar"/>
    <w:uiPriority w:val="10"/>
    <w:qFormat/>
    <w:rsid w:val="00E86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1BB"/>
    <w:pPr>
      <w:spacing w:before="160"/>
      <w:jc w:val="center"/>
    </w:pPr>
    <w:rPr>
      <w:i/>
      <w:iCs/>
      <w:color w:val="404040" w:themeColor="text1" w:themeTint="BF"/>
    </w:rPr>
  </w:style>
  <w:style w:type="character" w:customStyle="1" w:styleId="QuoteChar">
    <w:name w:val="Quote Char"/>
    <w:basedOn w:val="DefaultParagraphFont"/>
    <w:link w:val="Quote"/>
    <w:uiPriority w:val="29"/>
    <w:rsid w:val="00E861BB"/>
    <w:rPr>
      <w:i/>
      <w:iCs/>
      <w:color w:val="404040" w:themeColor="text1" w:themeTint="BF"/>
    </w:rPr>
  </w:style>
  <w:style w:type="paragraph" w:styleId="ListParagraph">
    <w:name w:val="List Paragraph"/>
    <w:basedOn w:val="Normal"/>
    <w:uiPriority w:val="34"/>
    <w:qFormat/>
    <w:rsid w:val="00E861BB"/>
    <w:pPr>
      <w:ind w:left="720"/>
      <w:contextualSpacing/>
    </w:pPr>
  </w:style>
  <w:style w:type="character" w:styleId="IntenseEmphasis">
    <w:name w:val="Intense Emphasis"/>
    <w:basedOn w:val="DefaultParagraphFont"/>
    <w:uiPriority w:val="21"/>
    <w:qFormat/>
    <w:rsid w:val="00E861BB"/>
    <w:rPr>
      <w:i/>
      <w:iCs/>
      <w:color w:val="2F5496" w:themeColor="accent1" w:themeShade="BF"/>
    </w:rPr>
  </w:style>
  <w:style w:type="paragraph" w:styleId="IntenseQuote">
    <w:name w:val="Intense Quote"/>
    <w:basedOn w:val="Normal"/>
    <w:next w:val="Normal"/>
    <w:link w:val="IntenseQuoteChar"/>
    <w:uiPriority w:val="30"/>
    <w:qFormat/>
    <w:rsid w:val="00E861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61BB"/>
    <w:rPr>
      <w:i/>
      <w:iCs/>
      <w:color w:val="2F5496" w:themeColor="accent1" w:themeShade="BF"/>
    </w:rPr>
  </w:style>
  <w:style w:type="character" w:styleId="IntenseReference">
    <w:name w:val="Intense Reference"/>
    <w:basedOn w:val="DefaultParagraphFont"/>
    <w:uiPriority w:val="32"/>
    <w:qFormat/>
    <w:rsid w:val="00E861BB"/>
    <w:rPr>
      <w:b/>
      <w:bCs/>
      <w:smallCaps/>
      <w:color w:val="2F5496" w:themeColor="accent1" w:themeShade="BF"/>
      <w:spacing w:val="5"/>
    </w:rPr>
  </w:style>
  <w:style w:type="paragraph" w:styleId="NormalWeb">
    <w:name w:val="Normal (Web)"/>
    <w:basedOn w:val="Normal"/>
    <w:uiPriority w:val="99"/>
    <w:semiHidden/>
    <w:unhideWhenUsed/>
    <w:rsid w:val="00D35CFC"/>
    <w:rPr>
      <w:rFonts w:ascii="Times New Roman" w:hAnsi="Times New Roman" w:cs="Times New Roman"/>
    </w:rPr>
  </w:style>
  <w:style w:type="character" w:styleId="Hyperlink">
    <w:name w:val="Hyperlink"/>
    <w:basedOn w:val="DefaultParagraphFont"/>
    <w:uiPriority w:val="99"/>
    <w:unhideWhenUsed/>
    <w:rsid w:val="00351888"/>
    <w:rPr>
      <w:color w:val="0563C1" w:themeColor="hyperlink"/>
      <w:u w:val="single"/>
    </w:rPr>
  </w:style>
  <w:style w:type="character" w:styleId="UnresolvedMention">
    <w:name w:val="Unresolved Mention"/>
    <w:basedOn w:val="DefaultParagraphFont"/>
    <w:uiPriority w:val="99"/>
    <w:semiHidden/>
    <w:unhideWhenUsed/>
    <w:rsid w:val="00351888"/>
    <w:rPr>
      <w:color w:val="605E5C"/>
      <w:shd w:val="clear" w:color="auto" w:fill="E1DFDD"/>
    </w:rPr>
  </w:style>
  <w:style w:type="character" w:customStyle="1" w:styleId="fontstyle01">
    <w:name w:val="fontstyle01"/>
    <w:basedOn w:val="DefaultParagraphFont"/>
    <w:rsid w:val="00026207"/>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C66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366"/>
  </w:style>
  <w:style w:type="paragraph" w:styleId="Footer">
    <w:name w:val="footer"/>
    <w:basedOn w:val="Normal"/>
    <w:link w:val="FooterChar"/>
    <w:uiPriority w:val="99"/>
    <w:unhideWhenUsed/>
    <w:rsid w:val="00C66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366"/>
  </w:style>
  <w:style w:type="paragraph" w:styleId="TOCHeading">
    <w:name w:val="TOC Heading"/>
    <w:basedOn w:val="Heading1"/>
    <w:next w:val="Normal"/>
    <w:uiPriority w:val="39"/>
    <w:unhideWhenUsed/>
    <w:qFormat/>
    <w:rsid w:val="00A2294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22949"/>
    <w:pPr>
      <w:spacing w:after="100"/>
      <w:ind w:left="240"/>
    </w:pPr>
  </w:style>
  <w:style w:type="paragraph" w:styleId="TOC3">
    <w:name w:val="toc 3"/>
    <w:basedOn w:val="Normal"/>
    <w:next w:val="Normal"/>
    <w:autoRedefine/>
    <w:uiPriority w:val="39"/>
    <w:unhideWhenUsed/>
    <w:rsid w:val="00A22949"/>
    <w:pPr>
      <w:spacing w:after="100"/>
      <w:ind w:left="480"/>
    </w:pPr>
  </w:style>
  <w:style w:type="paragraph" w:customStyle="1" w:styleId="my-2">
    <w:name w:val="my-2"/>
    <w:basedOn w:val="Normal"/>
    <w:rsid w:val="00C661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661C9"/>
    <w:rPr>
      <w:b/>
      <w:bCs/>
    </w:rPr>
  </w:style>
  <w:style w:type="character" w:customStyle="1" w:styleId="citation">
    <w:name w:val="citation"/>
    <w:basedOn w:val="DefaultParagraphFont"/>
    <w:rsid w:val="00C661C9"/>
  </w:style>
  <w:style w:type="character" w:customStyle="1" w:styleId="relative">
    <w:name w:val="relative"/>
    <w:basedOn w:val="DefaultParagraphFont"/>
    <w:rsid w:val="00C661C9"/>
  </w:style>
  <w:style w:type="character" w:customStyle="1" w:styleId="opacity-50">
    <w:name w:val="opacity-50"/>
    <w:basedOn w:val="DefaultParagraphFont"/>
    <w:rsid w:val="00C661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80921">
      <w:bodyDiv w:val="1"/>
      <w:marLeft w:val="0"/>
      <w:marRight w:val="0"/>
      <w:marTop w:val="0"/>
      <w:marBottom w:val="0"/>
      <w:divBdr>
        <w:top w:val="none" w:sz="0" w:space="0" w:color="auto"/>
        <w:left w:val="none" w:sz="0" w:space="0" w:color="auto"/>
        <w:bottom w:val="none" w:sz="0" w:space="0" w:color="auto"/>
        <w:right w:val="none" w:sz="0" w:space="0" w:color="auto"/>
      </w:divBdr>
    </w:div>
    <w:div w:id="66223385">
      <w:bodyDiv w:val="1"/>
      <w:marLeft w:val="0"/>
      <w:marRight w:val="0"/>
      <w:marTop w:val="0"/>
      <w:marBottom w:val="0"/>
      <w:divBdr>
        <w:top w:val="none" w:sz="0" w:space="0" w:color="auto"/>
        <w:left w:val="none" w:sz="0" w:space="0" w:color="auto"/>
        <w:bottom w:val="none" w:sz="0" w:space="0" w:color="auto"/>
        <w:right w:val="none" w:sz="0" w:space="0" w:color="auto"/>
      </w:divBdr>
      <w:divsChild>
        <w:div w:id="930969268">
          <w:marLeft w:val="0"/>
          <w:marRight w:val="0"/>
          <w:marTop w:val="0"/>
          <w:marBottom w:val="0"/>
          <w:divBdr>
            <w:top w:val="none" w:sz="0" w:space="0" w:color="auto"/>
            <w:left w:val="none" w:sz="0" w:space="0" w:color="auto"/>
            <w:bottom w:val="none" w:sz="0" w:space="0" w:color="auto"/>
            <w:right w:val="none" w:sz="0" w:space="0" w:color="auto"/>
          </w:divBdr>
        </w:div>
      </w:divsChild>
    </w:div>
    <w:div w:id="86389384">
      <w:bodyDiv w:val="1"/>
      <w:marLeft w:val="0"/>
      <w:marRight w:val="0"/>
      <w:marTop w:val="0"/>
      <w:marBottom w:val="0"/>
      <w:divBdr>
        <w:top w:val="none" w:sz="0" w:space="0" w:color="auto"/>
        <w:left w:val="none" w:sz="0" w:space="0" w:color="auto"/>
        <w:bottom w:val="none" w:sz="0" w:space="0" w:color="auto"/>
        <w:right w:val="none" w:sz="0" w:space="0" w:color="auto"/>
      </w:divBdr>
    </w:div>
    <w:div w:id="144779309">
      <w:bodyDiv w:val="1"/>
      <w:marLeft w:val="0"/>
      <w:marRight w:val="0"/>
      <w:marTop w:val="0"/>
      <w:marBottom w:val="0"/>
      <w:divBdr>
        <w:top w:val="none" w:sz="0" w:space="0" w:color="auto"/>
        <w:left w:val="none" w:sz="0" w:space="0" w:color="auto"/>
        <w:bottom w:val="none" w:sz="0" w:space="0" w:color="auto"/>
        <w:right w:val="none" w:sz="0" w:space="0" w:color="auto"/>
      </w:divBdr>
    </w:div>
    <w:div w:id="150483166">
      <w:bodyDiv w:val="1"/>
      <w:marLeft w:val="0"/>
      <w:marRight w:val="0"/>
      <w:marTop w:val="0"/>
      <w:marBottom w:val="0"/>
      <w:divBdr>
        <w:top w:val="none" w:sz="0" w:space="0" w:color="auto"/>
        <w:left w:val="none" w:sz="0" w:space="0" w:color="auto"/>
        <w:bottom w:val="none" w:sz="0" w:space="0" w:color="auto"/>
        <w:right w:val="none" w:sz="0" w:space="0" w:color="auto"/>
      </w:divBdr>
    </w:div>
    <w:div w:id="182399651">
      <w:bodyDiv w:val="1"/>
      <w:marLeft w:val="0"/>
      <w:marRight w:val="0"/>
      <w:marTop w:val="0"/>
      <w:marBottom w:val="0"/>
      <w:divBdr>
        <w:top w:val="none" w:sz="0" w:space="0" w:color="auto"/>
        <w:left w:val="none" w:sz="0" w:space="0" w:color="auto"/>
        <w:bottom w:val="none" w:sz="0" w:space="0" w:color="auto"/>
        <w:right w:val="none" w:sz="0" w:space="0" w:color="auto"/>
      </w:divBdr>
    </w:div>
    <w:div w:id="202208903">
      <w:bodyDiv w:val="1"/>
      <w:marLeft w:val="0"/>
      <w:marRight w:val="0"/>
      <w:marTop w:val="0"/>
      <w:marBottom w:val="0"/>
      <w:divBdr>
        <w:top w:val="none" w:sz="0" w:space="0" w:color="auto"/>
        <w:left w:val="none" w:sz="0" w:space="0" w:color="auto"/>
        <w:bottom w:val="none" w:sz="0" w:space="0" w:color="auto"/>
        <w:right w:val="none" w:sz="0" w:space="0" w:color="auto"/>
      </w:divBdr>
    </w:div>
    <w:div w:id="203979576">
      <w:bodyDiv w:val="1"/>
      <w:marLeft w:val="0"/>
      <w:marRight w:val="0"/>
      <w:marTop w:val="0"/>
      <w:marBottom w:val="0"/>
      <w:divBdr>
        <w:top w:val="none" w:sz="0" w:space="0" w:color="auto"/>
        <w:left w:val="none" w:sz="0" w:space="0" w:color="auto"/>
        <w:bottom w:val="none" w:sz="0" w:space="0" w:color="auto"/>
        <w:right w:val="none" w:sz="0" w:space="0" w:color="auto"/>
      </w:divBdr>
      <w:divsChild>
        <w:div w:id="94006559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96423924">
      <w:bodyDiv w:val="1"/>
      <w:marLeft w:val="0"/>
      <w:marRight w:val="0"/>
      <w:marTop w:val="0"/>
      <w:marBottom w:val="0"/>
      <w:divBdr>
        <w:top w:val="none" w:sz="0" w:space="0" w:color="auto"/>
        <w:left w:val="none" w:sz="0" w:space="0" w:color="auto"/>
        <w:bottom w:val="none" w:sz="0" w:space="0" w:color="auto"/>
        <w:right w:val="none" w:sz="0" w:space="0" w:color="auto"/>
      </w:divBdr>
    </w:div>
    <w:div w:id="322396789">
      <w:bodyDiv w:val="1"/>
      <w:marLeft w:val="0"/>
      <w:marRight w:val="0"/>
      <w:marTop w:val="0"/>
      <w:marBottom w:val="0"/>
      <w:divBdr>
        <w:top w:val="none" w:sz="0" w:space="0" w:color="auto"/>
        <w:left w:val="none" w:sz="0" w:space="0" w:color="auto"/>
        <w:bottom w:val="none" w:sz="0" w:space="0" w:color="auto"/>
        <w:right w:val="none" w:sz="0" w:space="0" w:color="auto"/>
      </w:divBdr>
    </w:div>
    <w:div w:id="325088037">
      <w:bodyDiv w:val="1"/>
      <w:marLeft w:val="0"/>
      <w:marRight w:val="0"/>
      <w:marTop w:val="0"/>
      <w:marBottom w:val="0"/>
      <w:divBdr>
        <w:top w:val="none" w:sz="0" w:space="0" w:color="auto"/>
        <w:left w:val="none" w:sz="0" w:space="0" w:color="auto"/>
        <w:bottom w:val="none" w:sz="0" w:space="0" w:color="auto"/>
        <w:right w:val="none" w:sz="0" w:space="0" w:color="auto"/>
      </w:divBdr>
    </w:div>
    <w:div w:id="364142753">
      <w:bodyDiv w:val="1"/>
      <w:marLeft w:val="0"/>
      <w:marRight w:val="0"/>
      <w:marTop w:val="0"/>
      <w:marBottom w:val="0"/>
      <w:divBdr>
        <w:top w:val="none" w:sz="0" w:space="0" w:color="auto"/>
        <w:left w:val="none" w:sz="0" w:space="0" w:color="auto"/>
        <w:bottom w:val="none" w:sz="0" w:space="0" w:color="auto"/>
        <w:right w:val="none" w:sz="0" w:space="0" w:color="auto"/>
      </w:divBdr>
    </w:div>
    <w:div w:id="378627087">
      <w:bodyDiv w:val="1"/>
      <w:marLeft w:val="0"/>
      <w:marRight w:val="0"/>
      <w:marTop w:val="0"/>
      <w:marBottom w:val="0"/>
      <w:divBdr>
        <w:top w:val="none" w:sz="0" w:space="0" w:color="auto"/>
        <w:left w:val="none" w:sz="0" w:space="0" w:color="auto"/>
        <w:bottom w:val="none" w:sz="0" w:space="0" w:color="auto"/>
        <w:right w:val="none" w:sz="0" w:space="0" w:color="auto"/>
      </w:divBdr>
    </w:div>
    <w:div w:id="379285387">
      <w:bodyDiv w:val="1"/>
      <w:marLeft w:val="0"/>
      <w:marRight w:val="0"/>
      <w:marTop w:val="0"/>
      <w:marBottom w:val="0"/>
      <w:divBdr>
        <w:top w:val="none" w:sz="0" w:space="0" w:color="auto"/>
        <w:left w:val="none" w:sz="0" w:space="0" w:color="auto"/>
        <w:bottom w:val="none" w:sz="0" w:space="0" w:color="auto"/>
        <w:right w:val="none" w:sz="0" w:space="0" w:color="auto"/>
      </w:divBdr>
    </w:div>
    <w:div w:id="497620267">
      <w:bodyDiv w:val="1"/>
      <w:marLeft w:val="0"/>
      <w:marRight w:val="0"/>
      <w:marTop w:val="0"/>
      <w:marBottom w:val="0"/>
      <w:divBdr>
        <w:top w:val="none" w:sz="0" w:space="0" w:color="auto"/>
        <w:left w:val="none" w:sz="0" w:space="0" w:color="auto"/>
        <w:bottom w:val="none" w:sz="0" w:space="0" w:color="auto"/>
        <w:right w:val="none" w:sz="0" w:space="0" w:color="auto"/>
      </w:divBdr>
      <w:divsChild>
        <w:div w:id="648824117">
          <w:marLeft w:val="0"/>
          <w:marRight w:val="0"/>
          <w:marTop w:val="0"/>
          <w:marBottom w:val="0"/>
          <w:divBdr>
            <w:top w:val="none" w:sz="0" w:space="0" w:color="auto"/>
            <w:left w:val="none" w:sz="0" w:space="0" w:color="auto"/>
            <w:bottom w:val="none" w:sz="0" w:space="0" w:color="auto"/>
            <w:right w:val="none" w:sz="0" w:space="0" w:color="auto"/>
          </w:divBdr>
        </w:div>
      </w:divsChild>
    </w:div>
    <w:div w:id="509879986">
      <w:bodyDiv w:val="1"/>
      <w:marLeft w:val="0"/>
      <w:marRight w:val="0"/>
      <w:marTop w:val="0"/>
      <w:marBottom w:val="0"/>
      <w:divBdr>
        <w:top w:val="none" w:sz="0" w:space="0" w:color="auto"/>
        <w:left w:val="none" w:sz="0" w:space="0" w:color="auto"/>
        <w:bottom w:val="none" w:sz="0" w:space="0" w:color="auto"/>
        <w:right w:val="none" w:sz="0" w:space="0" w:color="auto"/>
      </w:divBdr>
    </w:div>
    <w:div w:id="551503852">
      <w:bodyDiv w:val="1"/>
      <w:marLeft w:val="0"/>
      <w:marRight w:val="0"/>
      <w:marTop w:val="0"/>
      <w:marBottom w:val="0"/>
      <w:divBdr>
        <w:top w:val="none" w:sz="0" w:space="0" w:color="auto"/>
        <w:left w:val="none" w:sz="0" w:space="0" w:color="auto"/>
        <w:bottom w:val="none" w:sz="0" w:space="0" w:color="auto"/>
        <w:right w:val="none" w:sz="0" w:space="0" w:color="auto"/>
      </w:divBdr>
    </w:div>
    <w:div w:id="596594626">
      <w:bodyDiv w:val="1"/>
      <w:marLeft w:val="0"/>
      <w:marRight w:val="0"/>
      <w:marTop w:val="0"/>
      <w:marBottom w:val="0"/>
      <w:divBdr>
        <w:top w:val="none" w:sz="0" w:space="0" w:color="auto"/>
        <w:left w:val="none" w:sz="0" w:space="0" w:color="auto"/>
        <w:bottom w:val="none" w:sz="0" w:space="0" w:color="auto"/>
        <w:right w:val="none" w:sz="0" w:space="0" w:color="auto"/>
      </w:divBdr>
    </w:div>
    <w:div w:id="625159950">
      <w:bodyDiv w:val="1"/>
      <w:marLeft w:val="0"/>
      <w:marRight w:val="0"/>
      <w:marTop w:val="0"/>
      <w:marBottom w:val="0"/>
      <w:divBdr>
        <w:top w:val="none" w:sz="0" w:space="0" w:color="auto"/>
        <w:left w:val="none" w:sz="0" w:space="0" w:color="auto"/>
        <w:bottom w:val="none" w:sz="0" w:space="0" w:color="auto"/>
        <w:right w:val="none" w:sz="0" w:space="0" w:color="auto"/>
      </w:divBdr>
    </w:div>
    <w:div w:id="634454780">
      <w:bodyDiv w:val="1"/>
      <w:marLeft w:val="0"/>
      <w:marRight w:val="0"/>
      <w:marTop w:val="0"/>
      <w:marBottom w:val="0"/>
      <w:divBdr>
        <w:top w:val="none" w:sz="0" w:space="0" w:color="auto"/>
        <w:left w:val="none" w:sz="0" w:space="0" w:color="auto"/>
        <w:bottom w:val="none" w:sz="0" w:space="0" w:color="auto"/>
        <w:right w:val="none" w:sz="0" w:space="0" w:color="auto"/>
      </w:divBdr>
    </w:div>
    <w:div w:id="701326204">
      <w:bodyDiv w:val="1"/>
      <w:marLeft w:val="0"/>
      <w:marRight w:val="0"/>
      <w:marTop w:val="0"/>
      <w:marBottom w:val="0"/>
      <w:divBdr>
        <w:top w:val="none" w:sz="0" w:space="0" w:color="auto"/>
        <w:left w:val="none" w:sz="0" w:space="0" w:color="auto"/>
        <w:bottom w:val="none" w:sz="0" w:space="0" w:color="auto"/>
        <w:right w:val="none" w:sz="0" w:space="0" w:color="auto"/>
      </w:divBdr>
    </w:div>
    <w:div w:id="751582080">
      <w:bodyDiv w:val="1"/>
      <w:marLeft w:val="0"/>
      <w:marRight w:val="0"/>
      <w:marTop w:val="0"/>
      <w:marBottom w:val="0"/>
      <w:divBdr>
        <w:top w:val="none" w:sz="0" w:space="0" w:color="auto"/>
        <w:left w:val="none" w:sz="0" w:space="0" w:color="auto"/>
        <w:bottom w:val="none" w:sz="0" w:space="0" w:color="auto"/>
        <w:right w:val="none" w:sz="0" w:space="0" w:color="auto"/>
      </w:divBdr>
      <w:divsChild>
        <w:div w:id="1744328085">
          <w:marLeft w:val="0"/>
          <w:marRight w:val="0"/>
          <w:marTop w:val="0"/>
          <w:marBottom w:val="0"/>
          <w:divBdr>
            <w:top w:val="none" w:sz="0" w:space="0" w:color="auto"/>
            <w:left w:val="none" w:sz="0" w:space="0" w:color="auto"/>
            <w:bottom w:val="none" w:sz="0" w:space="0" w:color="auto"/>
            <w:right w:val="none" w:sz="0" w:space="0" w:color="auto"/>
          </w:divBdr>
        </w:div>
      </w:divsChild>
    </w:div>
    <w:div w:id="797770591">
      <w:bodyDiv w:val="1"/>
      <w:marLeft w:val="0"/>
      <w:marRight w:val="0"/>
      <w:marTop w:val="0"/>
      <w:marBottom w:val="0"/>
      <w:divBdr>
        <w:top w:val="none" w:sz="0" w:space="0" w:color="auto"/>
        <w:left w:val="none" w:sz="0" w:space="0" w:color="auto"/>
        <w:bottom w:val="none" w:sz="0" w:space="0" w:color="auto"/>
        <w:right w:val="none" w:sz="0" w:space="0" w:color="auto"/>
      </w:divBdr>
    </w:div>
    <w:div w:id="831718306">
      <w:bodyDiv w:val="1"/>
      <w:marLeft w:val="0"/>
      <w:marRight w:val="0"/>
      <w:marTop w:val="0"/>
      <w:marBottom w:val="0"/>
      <w:divBdr>
        <w:top w:val="none" w:sz="0" w:space="0" w:color="auto"/>
        <w:left w:val="none" w:sz="0" w:space="0" w:color="auto"/>
        <w:bottom w:val="none" w:sz="0" w:space="0" w:color="auto"/>
        <w:right w:val="none" w:sz="0" w:space="0" w:color="auto"/>
      </w:divBdr>
    </w:div>
    <w:div w:id="936013024">
      <w:bodyDiv w:val="1"/>
      <w:marLeft w:val="0"/>
      <w:marRight w:val="0"/>
      <w:marTop w:val="0"/>
      <w:marBottom w:val="0"/>
      <w:divBdr>
        <w:top w:val="none" w:sz="0" w:space="0" w:color="auto"/>
        <w:left w:val="none" w:sz="0" w:space="0" w:color="auto"/>
        <w:bottom w:val="none" w:sz="0" w:space="0" w:color="auto"/>
        <w:right w:val="none" w:sz="0" w:space="0" w:color="auto"/>
      </w:divBdr>
      <w:divsChild>
        <w:div w:id="397289262">
          <w:marLeft w:val="0"/>
          <w:marRight w:val="0"/>
          <w:marTop w:val="0"/>
          <w:marBottom w:val="0"/>
          <w:divBdr>
            <w:top w:val="none" w:sz="0" w:space="0" w:color="auto"/>
            <w:left w:val="none" w:sz="0" w:space="0" w:color="auto"/>
            <w:bottom w:val="none" w:sz="0" w:space="0" w:color="auto"/>
            <w:right w:val="none" w:sz="0" w:space="0" w:color="auto"/>
          </w:divBdr>
        </w:div>
      </w:divsChild>
    </w:div>
    <w:div w:id="943221199">
      <w:bodyDiv w:val="1"/>
      <w:marLeft w:val="0"/>
      <w:marRight w:val="0"/>
      <w:marTop w:val="0"/>
      <w:marBottom w:val="0"/>
      <w:divBdr>
        <w:top w:val="none" w:sz="0" w:space="0" w:color="auto"/>
        <w:left w:val="none" w:sz="0" w:space="0" w:color="auto"/>
        <w:bottom w:val="none" w:sz="0" w:space="0" w:color="auto"/>
        <w:right w:val="none" w:sz="0" w:space="0" w:color="auto"/>
      </w:divBdr>
    </w:div>
    <w:div w:id="950353639">
      <w:bodyDiv w:val="1"/>
      <w:marLeft w:val="0"/>
      <w:marRight w:val="0"/>
      <w:marTop w:val="0"/>
      <w:marBottom w:val="0"/>
      <w:divBdr>
        <w:top w:val="none" w:sz="0" w:space="0" w:color="auto"/>
        <w:left w:val="none" w:sz="0" w:space="0" w:color="auto"/>
        <w:bottom w:val="none" w:sz="0" w:space="0" w:color="auto"/>
        <w:right w:val="none" w:sz="0" w:space="0" w:color="auto"/>
      </w:divBdr>
    </w:div>
    <w:div w:id="1059400646">
      <w:bodyDiv w:val="1"/>
      <w:marLeft w:val="0"/>
      <w:marRight w:val="0"/>
      <w:marTop w:val="0"/>
      <w:marBottom w:val="0"/>
      <w:divBdr>
        <w:top w:val="none" w:sz="0" w:space="0" w:color="auto"/>
        <w:left w:val="none" w:sz="0" w:space="0" w:color="auto"/>
        <w:bottom w:val="none" w:sz="0" w:space="0" w:color="auto"/>
        <w:right w:val="none" w:sz="0" w:space="0" w:color="auto"/>
      </w:divBdr>
    </w:div>
    <w:div w:id="1062947470">
      <w:bodyDiv w:val="1"/>
      <w:marLeft w:val="0"/>
      <w:marRight w:val="0"/>
      <w:marTop w:val="0"/>
      <w:marBottom w:val="0"/>
      <w:divBdr>
        <w:top w:val="none" w:sz="0" w:space="0" w:color="auto"/>
        <w:left w:val="none" w:sz="0" w:space="0" w:color="auto"/>
        <w:bottom w:val="none" w:sz="0" w:space="0" w:color="auto"/>
        <w:right w:val="none" w:sz="0" w:space="0" w:color="auto"/>
      </w:divBdr>
    </w:div>
    <w:div w:id="1074738928">
      <w:bodyDiv w:val="1"/>
      <w:marLeft w:val="0"/>
      <w:marRight w:val="0"/>
      <w:marTop w:val="0"/>
      <w:marBottom w:val="0"/>
      <w:divBdr>
        <w:top w:val="none" w:sz="0" w:space="0" w:color="auto"/>
        <w:left w:val="none" w:sz="0" w:space="0" w:color="auto"/>
        <w:bottom w:val="none" w:sz="0" w:space="0" w:color="auto"/>
        <w:right w:val="none" w:sz="0" w:space="0" w:color="auto"/>
      </w:divBdr>
      <w:divsChild>
        <w:div w:id="1145045322">
          <w:marLeft w:val="0"/>
          <w:marRight w:val="0"/>
          <w:marTop w:val="0"/>
          <w:marBottom w:val="0"/>
          <w:divBdr>
            <w:top w:val="none" w:sz="0" w:space="0" w:color="auto"/>
            <w:left w:val="none" w:sz="0" w:space="0" w:color="auto"/>
            <w:bottom w:val="none" w:sz="0" w:space="0" w:color="auto"/>
            <w:right w:val="none" w:sz="0" w:space="0" w:color="auto"/>
          </w:divBdr>
        </w:div>
      </w:divsChild>
    </w:div>
    <w:div w:id="1076828430">
      <w:bodyDiv w:val="1"/>
      <w:marLeft w:val="0"/>
      <w:marRight w:val="0"/>
      <w:marTop w:val="0"/>
      <w:marBottom w:val="0"/>
      <w:divBdr>
        <w:top w:val="none" w:sz="0" w:space="0" w:color="auto"/>
        <w:left w:val="none" w:sz="0" w:space="0" w:color="auto"/>
        <w:bottom w:val="none" w:sz="0" w:space="0" w:color="auto"/>
        <w:right w:val="none" w:sz="0" w:space="0" w:color="auto"/>
      </w:divBdr>
      <w:divsChild>
        <w:div w:id="111136284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20497220">
      <w:bodyDiv w:val="1"/>
      <w:marLeft w:val="0"/>
      <w:marRight w:val="0"/>
      <w:marTop w:val="0"/>
      <w:marBottom w:val="0"/>
      <w:divBdr>
        <w:top w:val="none" w:sz="0" w:space="0" w:color="auto"/>
        <w:left w:val="none" w:sz="0" w:space="0" w:color="auto"/>
        <w:bottom w:val="none" w:sz="0" w:space="0" w:color="auto"/>
        <w:right w:val="none" w:sz="0" w:space="0" w:color="auto"/>
      </w:divBdr>
    </w:div>
    <w:div w:id="1124349242">
      <w:bodyDiv w:val="1"/>
      <w:marLeft w:val="0"/>
      <w:marRight w:val="0"/>
      <w:marTop w:val="0"/>
      <w:marBottom w:val="0"/>
      <w:divBdr>
        <w:top w:val="none" w:sz="0" w:space="0" w:color="auto"/>
        <w:left w:val="none" w:sz="0" w:space="0" w:color="auto"/>
        <w:bottom w:val="none" w:sz="0" w:space="0" w:color="auto"/>
        <w:right w:val="none" w:sz="0" w:space="0" w:color="auto"/>
      </w:divBdr>
    </w:div>
    <w:div w:id="1180856109">
      <w:bodyDiv w:val="1"/>
      <w:marLeft w:val="0"/>
      <w:marRight w:val="0"/>
      <w:marTop w:val="0"/>
      <w:marBottom w:val="0"/>
      <w:divBdr>
        <w:top w:val="none" w:sz="0" w:space="0" w:color="auto"/>
        <w:left w:val="none" w:sz="0" w:space="0" w:color="auto"/>
        <w:bottom w:val="none" w:sz="0" w:space="0" w:color="auto"/>
        <w:right w:val="none" w:sz="0" w:space="0" w:color="auto"/>
      </w:divBdr>
      <w:divsChild>
        <w:div w:id="25509639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94225030">
      <w:bodyDiv w:val="1"/>
      <w:marLeft w:val="0"/>
      <w:marRight w:val="0"/>
      <w:marTop w:val="0"/>
      <w:marBottom w:val="0"/>
      <w:divBdr>
        <w:top w:val="none" w:sz="0" w:space="0" w:color="auto"/>
        <w:left w:val="none" w:sz="0" w:space="0" w:color="auto"/>
        <w:bottom w:val="none" w:sz="0" w:space="0" w:color="auto"/>
        <w:right w:val="none" w:sz="0" w:space="0" w:color="auto"/>
      </w:divBdr>
      <w:divsChild>
        <w:div w:id="1432820981">
          <w:marLeft w:val="0"/>
          <w:marRight w:val="0"/>
          <w:marTop w:val="0"/>
          <w:marBottom w:val="0"/>
          <w:divBdr>
            <w:top w:val="none" w:sz="0" w:space="0" w:color="auto"/>
            <w:left w:val="none" w:sz="0" w:space="0" w:color="auto"/>
            <w:bottom w:val="none" w:sz="0" w:space="0" w:color="auto"/>
            <w:right w:val="none" w:sz="0" w:space="0" w:color="auto"/>
          </w:divBdr>
        </w:div>
      </w:divsChild>
    </w:div>
    <w:div w:id="1222522832">
      <w:bodyDiv w:val="1"/>
      <w:marLeft w:val="0"/>
      <w:marRight w:val="0"/>
      <w:marTop w:val="0"/>
      <w:marBottom w:val="0"/>
      <w:divBdr>
        <w:top w:val="none" w:sz="0" w:space="0" w:color="auto"/>
        <w:left w:val="none" w:sz="0" w:space="0" w:color="auto"/>
        <w:bottom w:val="none" w:sz="0" w:space="0" w:color="auto"/>
        <w:right w:val="none" w:sz="0" w:space="0" w:color="auto"/>
      </w:divBdr>
      <w:divsChild>
        <w:div w:id="2099595538">
          <w:marLeft w:val="0"/>
          <w:marRight w:val="0"/>
          <w:marTop w:val="0"/>
          <w:marBottom w:val="0"/>
          <w:divBdr>
            <w:top w:val="none" w:sz="0" w:space="0" w:color="auto"/>
            <w:left w:val="none" w:sz="0" w:space="0" w:color="auto"/>
            <w:bottom w:val="none" w:sz="0" w:space="0" w:color="auto"/>
            <w:right w:val="none" w:sz="0" w:space="0" w:color="auto"/>
          </w:divBdr>
        </w:div>
      </w:divsChild>
    </w:div>
    <w:div w:id="1224875851">
      <w:bodyDiv w:val="1"/>
      <w:marLeft w:val="0"/>
      <w:marRight w:val="0"/>
      <w:marTop w:val="0"/>
      <w:marBottom w:val="0"/>
      <w:divBdr>
        <w:top w:val="none" w:sz="0" w:space="0" w:color="auto"/>
        <w:left w:val="none" w:sz="0" w:space="0" w:color="auto"/>
        <w:bottom w:val="none" w:sz="0" w:space="0" w:color="auto"/>
        <w:right w:val="none" w:sz="0" w:space="0" w:color="auto"/>
      </w:divBdr>
    </w:div>
    <w:div w:id="1285651693">
      <w:bodyDiv w:val="1"/>
      <w:marLeft w:val="0"/>
      <w:marRight w:val="0"/>
      <w:marTop w:val="0"/>
      <w:marBottom w:val="0"/>
      <w:divBdr>
        <w:top w:val="none" w:sz="0" w:space="0" w:color="auto"/>
        <w:left w:val="none" w:sz="0" w:space="0" w:color="auto"/>
        <w:bottom w:val="none" w:sz="0" w:space="0" w:color="auto"/>
        <w:right w:val="none" w:sz="0" w:space="0" w:color="auto"/>
      </w:divBdr>
    </w:div>
    <w:div w:id="1302736439">
      <w:bodyDiv w:val="1"/>
      <w:marLeft w:val="0"/>
      <w:marRight w:val="0"/>
      <w:marTop w:val="0"/>
      <w:marBottom w:val="0"/>
      <w:divBdr>
        <w:top w:val="none" w:sz="0" w:space="0" w:color="auto"/>
        <w:left w:val="none" w:sz="0" w:space="0" w:color="auto"/>
        <w:bottom w:val="none" w:sz="0" w:space="0" w:color="auto"/>
        <w:right w:val="none" w:sz="0" w:space="0" w:color="auto"/>
      </w:divBdr>
      <w:divsChild>
        <w:div w:id="47922759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343702623">
      <w:bodyDiv w:val="1"/>
      <w:marLeft w:val="0"/>
      <w:marRight w:val="0"/>
      <w:marTop w:val="0"/>
      <w:marBottom w:val="0"/>
      <w:divBdr>
        <w:top w:val="none" w:sz="0" w:space="0" w:color="auto"/>
        <w:left w:val="none" w:sz="0" w:space="0" w:color="auto"/>
        <w:bottom w:val="none" w:sz="0" w:space="0" w:color="auto"/>
        <w:right w:val="none" w:sz="0" w:space="0" w:color="auto"/>
      </w:divBdr>
    </w:div>
    <w:div w:id="1358770924">
      <w:bodyDiv w:val="1"/>
      <w:marLeft w:val="0"/>
      <w:marRight w:val="0"/>
      <w:marTop w:val="0"/>
      <w:marBottom w:val="0"/>
      <w:divBdr>
        <w:top w:val="none" w:sz="0" w:space="0" w:color="auto"/>
        <w:left w:val="none" w:sz="0" w:space="0" w:color="auto"/>
        <w:bottom w:val="none" w:sz="0" w:space="0" w:color="auto"/>
        <w:right w:val="none" w:sz="0" w:space="0" w:color="auto"/>
      </w:divBdr>
      <w:divsChild>
        <w:div w:id="828132965">
          <w:marLeft w:val="0"/>
          <w:marRight w:val="0"/>
          <w:marTop w:val="0"/>
          <w:marBottom w:val="0"/>
          <w:divBdr>
            <w:top w:val="none" w:sz="0" w:space="0" w:color="auto"/>
            <w:left w:val="none" w:sz="0" w:space="0" w:color="auto"/>
            <w:bottom w:val="none" w:sz="0" w:space="0" w:color="auto"/>
            <w:right w:val="none" w:sz="0" w:space="0" w:color="auto"/>
          </w:divBdr>
        </w:div>
      </w:divsChild>
    </w:div>
    <w:div w:id="1363287044">
      <w:bodyDiv w:val="1"/>
      <w:marLeft w:val="0"/>
      <w:marRight w:val="0"/>
      <w:marTop w:val="0"/>
      <w:marBottom w:val="0"/>
      <w:divBdr>
        <w:top w:val="none" w:sz="0" w:space="0" w:color="auto"/>
        <w:left w:val="none" w:sz="0" w:space="0" w:color="auto"/>
        <w:bottom w:val="none" w:sz="0" w:space="0" w:color="auto"/>
        <w:right w:val="none" w:sz="0" w:space="0" w:color="auto"/>
      </w:divBdr>
    </w:div>
    <w:div w:id="1372923024">
      <w:bodyDiv w:val="1"/>
      <w:marLeft w:val="0"/>
      <w:marRight w:val="0"/>
      <w:marTop w:val="0"/>
      <w:marBottom w:val="0"/>
      <w:divBdr>
        <w:top w:val="none" w:sz="0" w:space="0" w:color="auto"/>
        <w:left w:val="none" w:sz="0" w:space="0" w:color="auto"/>
        <w:bottom w:val="none" w:sz="0" w:space="0" w:color="auto"/>
        <w:right w:val="none" w:sz="0" w:space="0" w:color="auto"/>
      </w:divBdr>
    </w:div>
    <w:div w:id="1397237067">
      <w:bodyDiv w:val="1"/>
      <w:marLeft w:val="0"/>
      <w:marRight w:val="0"/>
      <w:marTop w:val="0"/>
      <w:marBottom w:val="0"/>
      <w:divBdr>
        <w:top w:val="none" w:sz="0" w:space="0" w:color="auto"/>
        <w:left w:val="none" w:sz="0" w:space="0" w:color="auto"/>
        <w:bottom w:val="none" w:sz="0" w:space="0" w:color="auto"/>
        <w:right w:val="none" w:sz="0" w:space="0" w:color="auto"/>
      </w:divBdr>
    </w:div>
    <w:div w:id="1432361575">
      <w:bodyDiv w:val="1"/>
      <w:marLeft w:val="0"/>
      <w:marRight w:val="0"/>
      <w:marTop w:val="0"/>
      <w:marBottom w:val="0"/>
      <w:divBdr>
        <w:top w:val="none" w:sz="0" w:space="0" w:color="auto"/>
        <w:left w:val="none" w:sz="0" w:space="0" w:color="auto"/>
        <w:bottom w:val="none" w:sz="0" w:space="0" w:color="auto"/>
        <w:right w:val="none" w:sz="0" w:space="0" w:color="auto"/>
      </w:divBdr>
    </w:div>
    <w:div w:id="1462532216">
      <w:bodyDiv w:val="1"/>
      <w:marLeft w:val="0"/>
      <w:marRight w:val="0"/>
      <w:marTop w:val="0"/>
      <w:marBottom w:val="0"/>
      <w:divBdr>
        <w:top w:val="none" w:sz="0" w:space="0" w:color="auto"/>
        <w:left w:val="none" w:sz="0" w:space="0" w:color="auto"/>
        <w:bottom w:val="none" w:sz="0" w:space="0" w:color="auto"/>
        <w:right w:val="none" w:sz="0" w:space="0" w:color="auto"/>
      </w:divBdr>
    </w:div>
    <w:div w:id="1469592797">
      <w:bodyDiv w:val="1"/>
      <w:marLeft w:val="0"/>
      <w:marRight w:val="0"/>
      <w:marTop w:val="0"/>
      <w:marBottom w:val="0"/>
      <w:divBdr>
        <w:top w:val="none" w:sz="0" w:space="0" w:color="auto"/>
        <w:left w:val="none" w:sz="0" w:space="0" w:color="auto"/>
        <w:bottom w:val="none" w:sz="0" w:space="0" w:color="auto"/>
        <w:right w:val="none" w:sz="0" w:space="0" w:color="auto"/>
      </w:divBdr>
      <w:divsChild>
        <w:div w:id="52921958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471627893">
      <w:bodyDiv w:val="1"/>
      <w:marLeft w:val="0"/>
      <w:marRight w:val="0"/>
      <w:marTop w:val="0"/>
      <w:marBottom w:val="0"/>
      <w:divBdr>
        <w:top w:val="none" w:sz="0" w:space="0" w:color="auto"/>
        <w:left w:val="none" w:sz="0" w:space="0" w:color="auto"/>
        <w:bottom w:val="none" w:sz="0" w:space="0" w:color="auto"/>
        <w:right w:val="none" w:sz="0" w:space="0" w:color="auto"/>
      </w:divBdr>
    </w:div>
    <w:div w:id="1476485243">
      <w:bodyDiv w:val="1"/>
      <w:marLeft w:val="0"/>
      <w:marRight w:val="0"/>
      <w:marTop w:val="0"/>
      <w:marBottom w:val="0"/>
      <w:divBdr>
        <w:top w:val="none" w:sz="0" w:space="0" w:color="auto"/>
        <w:left w:val="none" w:sz="0" w:space="0" w:color="auto"/>
        <w:bottom w:val="none" w:sz="0" w:space="0" w:color="auto"/>
        <w:right w:val="none" w:sz="0" w:space="0" w:color="auto"/>
      </w:divBdr>
      <w:divsChild>
        <w:div w:id="776603627">
          <w:marLeft w:val="0"/>
          <w:marRight w:val="0"/>
          <w:marTop w:val="0"/>
          <w:marBottom w:val="0"/>
          <w:divBdr>
            <w:top w:val="none" w:sz="0" w:space="0" w:color="auto"/>
            <w:left w:val="none" w:sz="0" w:space="0" w:color="auto"/>
            <w:bottom w:val="none" w:sz="0" w:space="0" w:color="auto"/>
            <w:right w:val="none" w:sz="0" w:space="0" w:color="auto"/>
          </w:divBdr>
        </w:div>
      </w:divsChild>
    </w:div>
    <w:div w:id="1522235111">
      <w:bodyDiv w:val="1"/>
      <w:marLeft w:val="0"/>
      <w:marRight w:val="0"/>
      <w:marTop w:val="0"/>
      <w:marBottom w:val="0"/>
      <w:divBdr>
        <w:top w:val="none" w:sz="0" w:space="0" w:color="auto"/>
        <w:left w:val="none" w:sz="0" w:space="0" w:color="auto"/>
        <w:bottom w:val="none" w:sz="0" w:space="0" w:color="auto"/>
        <w:right w:val="none" w:sz="0" w:space="0" w:color="auto"/>
      </w:divBdr>
      <w:divsChild>
        <w:div w:id="94642250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553619082">
      <w:bodyDiv w:val="1"/>
      <w:marLeft w:val="0"/>
      <w:marRight w:val="0"/>
      <w:marTop w:val="0"/>
      <w:marBottom w:val="0"/>
      <w:divBdr>
        <w:top w:val="none" w:sz="0" w:space="0" w:color="auto"/>
        <w:left w:val="none" w:sz="0" w:space="0" w:color="auto"/>
        <w:bottom w:val="none" w:sz="0" w:space="0" w:color="auto"/>
        <w:right w:val="none" w:sz="0" w:space="0" w:color="auto"/>
      </w:divBdr>
    </w:div>
    <w:div w:id="1579170294">
      <w:bodyDiv w:val="1"/>
      <w:marLeft w:val="0"/>
      <w:marRight w:val="0"/>
      <w:marTop w:val="0"/>
      <w:marBottom w:val="0"/>
      <w:divBdr>
        <w:top w:val="none" w:sz="0" w:space="0" w:color="auto"/>
        <w:left w:val="none" w:sz="0" w:space="0" w:color="auto"/>
        <w:bottom w:val="none" w:sz="0" w:space="0" w:color="auto"/>
        <w:right w:val="none" w:sz="0" w:space="0" w:color="auto"/>
      </w:divBdr>
    </w:div>
    <w:div w:id="1668627332">
      <w:bodyDiv w:val="1"/>
      <w:marLeft w:val="0"/>
      <w:marRight w:val="0"/>
      <w:marTop w:val="0"/>
      <w:marBottom w:val="0"/>
      <w:divBdr>
        <w:top w:val="none" w:sz="0" w:space="0" w:color="auto"/>
        <w:left w:val="none" w:sz="0" w:space="0" w:color="auto"/>
        <w:bottom w:val="none" w:sz="0" w:space="0" w:color="auto"/>
        <w:right w:val="none" w:sz="0" w:space="0" w:color="auto"/>
      </w:divBdr>
      <w:divsChild>
        <w:div w:id="569582477">
          <w:marLeft w:val="0"/>
          <w:marRight w:val="0"/>
          <w:marTop w:val="0"/>
          <w:marBottom w:val="0"/>
          <w:divBdr>
            <w:top w:val="none" w:sz="0" w:space="0" w:color="auto"/>
            <w:left w:val="none" w:sz="0" w:space="0" w:color="auto"/>
            <w:bottom w:val="none" w:sz="0" w:space="0" w:color="auto"/>
            <w:right w:val="none" w:sz="0" w:space="0" w:color="auto"/>
          </w:divBdr>
        </w:div>
      </w:divsChild>
    </w:div>
    <w:div w:id="1698773630">
      <w:bodyDiv w:val="1"/>
      <w:marLeft w:val="0"/>
      <w:marRight w:val="0"/>
      <w:marTop w:val="0"/>
      <w:marBottom w:val="0"/>
      <w:divBdr>
        <w:top w:val="none" w:sz="0" w:space="0" w:color="auto"/>
        <w:left w:val="none" w:sz="0" w:space="0" w:color="auto"/>
        <w:bottom w:val="none" w:sz="0" w:space="0" w:color="auto"/>
        <w:right w:val="none" w:sz="0" w:space="0" w:color="auto"/>
      </w:divBdr>
    </w:div>
    <w:div w:id="1699575762">
      <w:bodyDiv w:val="1"/>
      <w:marLeft w:val="0"/>
      <w:marRight w:val="0"/>
      <w:marTop w:val="0"/>
      <w:marBottom w:val="0"/>
      <w:divBdr>
        <w:top w:val="none" w:sz="0" w:space="0" w:color="auto"/>
        <w:left w:val="none" w:sz="0" w:space="0" w:color="auto"/>
        <w:bottom w:val="none" w:sz="0" w:space="0" w:color="auto"/>
        <w:right w:val="none" w:sz="0" w:space="0" w:color="auto"/>
      </w:divBdr>
      <w:divsChild>
        <w:div w:id="985086154">
          <w:marLeft w:val="0"/>
          <w:marRight w:val="0"/>
          <w:marTop w:val="0"/>
          <w:marBottom w:val="0"/>
          <w:divBdr>
            <w:top w:val="none" w:sz="0" w:space="0" w:color="auto"/>
            <w:left w:val="none" w:sz="0" w:space="0" w:color="auto"/>
            <w:bottom w:val="none" w:sz="0" w:space="0" w:color="auto"/>
            <w:right w:val="none" w:sz="0" w:space="0" w:color="auto"/>
          </w:divBdr>
        </w:div>
      </w:divsChild>
    </w:div>
    <w:div w:id="1870100243">
      <w:bodyDiv w:val="1"/>
      <w:marLeft w:val="0"/>
      <w:marRight w:val="0"/>
      <w:marTop w:val="0"/>
      <w:marBottom w:val="0"/>
      <w:divBdr>
        <w:top w:val="none" w:sz="0" w:space="0" w:color="auto"/>
        <w:left w:val="none" w:sz="0" w:space="0" w:color="auto"/>
        <w:bottom w:val="none" w:sz="0" w:space="0" w:color="auto"/>
        <w:right w:val="none" w:sz="0" w:space="0" w:color="auto"/>
      </w:divBdr>
    </w:div>
    <w:div w:id="1897231721">
      <w:bodyDiv w:val="1"/>
      <w:marLeft w:val="0"/>
      <w:marRight w:val="0"/>
      <w:marTop w:val="0"/>
      <w:marBottom w:val="0"/>
      <w:divBdr>
        <w:top w:val="none" w:sz="0" w:space="0" w:color="auto"/>
        <w:left w:val="none" w:sz="0" w:space="0" w:color="auto"/>
        <w:bottom w:val="none" w:sz="0" w:space="0" w:color="auto"/>
        <w:right w:val="none" w:sz="0" w:space="0" w:color="auto"/>
      </w:divBdr>
    </w:div>
    <w:div w:id="1933127715">
      <w:bodyDiv w:val="1"/>
      <w:marLeft w:val="0"/>
      <w:marRight w:val="0"/>
      <w:marTop w:val="0"/>
      <w:marBottom w:val="0"/>
      <w:divBdr>
        <w:top w:val="none" w:sz="0" w:space="0" w:color="auto"/>
        <w:left w:val="none" w:sz="0" w:space="0" w:color="auto"/>
        <w:bottom w:val="none" w:sz="0" w:space="0" w:color="auto"/>
        <w:right w:val="none" w:sz="0" w:space="0" w:color="auto"/>
      </w:divBdr>
    </w:div>
    <w:div w:id="1944222535">
      <w:bodyDiv w:val="1"/>
      <w:marLeft w:val="0"/>
      <w:marRight w:val="0"/>
      <w:marTop w:val="0"/>
      <w:marBottom w:val="0"/>
      <w:divBdr>
        <w:top w:val="none" w:sz="0" w:space="0" w:color="auto"/>
        <w:left w:val="none" w:sz="0" w:space="0" w:color="auto"/>
        <w:bottom w:val="none" w:sz="0" w:space="0" w:color="auto"/>
        <w:right w:val="none" w:sz="0" w:space="0" w:color="auto"/>
      </w:divBdr>
      <w:divsChild>
        <w:div w:id="1137802625">
          <w:marLeft w:val="0"/>
          <w:marRight w:val="0"/>
          <w:marTop w:val="0"/>
          <w:marBottom w:val="0"/>
          <w:divBdr>
            <w:top w:val="none" w:sz="0" w:space="0" w:color="auto"/>
            <w:left w:val="none" w:sz="0" w:space="0" w:color="auto"/>
            <w:bottom w:val="none" w:sz="0" w:space="0" w:color="auto"/>
            <w:right w:val="none" w:sz="0" w:space="0" w:color="auto"/>
          </w:divBdr>
        </w:div>
      </w:divsChild>
    </w:div>
    <w:div w:id="2118451681">
      <w:bodyDiv w:val="1"/>
      <w:marLeft w:val="0"/>
      <w:marRight w:val="0"/>
      <w:marTop w:val="0"/>
      <w:marBottom w:val="0"/>
      <w:divBdr>
        <w:top w:val="none" w:sz="0" w:space="0" w:color="auto"/>
        <w:left w:val="none" w:sz="0" w:space="0" w:color="auto"/>
        <w:bottom w:val="none" w:sz="0" w:space="0" w:color="auto"/>
        <w:right w:val="none" w:sz="0" w:space="0" w:color="auto"/>
      </w:divBdr>
      <w:divsChild>
        <w:div w:id="8416262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topics/engineering/teleca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eysafe.co.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undations.uk.com/" TargetMode="External"/><Relationship Id="rId4" Type="http://schemas.openxmlformats.org/officeDocument/2006/relationships/settings" Target="settings.xml"/><Relationship Id="rId9" Type="http://schemas.openxmlformats.org/officeDocument/2006/relationships/hyperlink" Target="https://atlasti.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326B1D-759E-43D0-9E98-FF32710208FC}">
  <we:reference id="wa200004996" version="1.0.0.0" store="en-US" storeType="OMEX"/>
  <we:alternateReferences>
    <we:reference id="wa200004996" version="1.0.0.0" store="WA200004996" storeType="OMEX"/>
  </we:alternateReferences>
  <we:properties>
    <we:property name="bibcitation-word-citation-list" value="{&quot;id&quot;:&quot;e86016f1-91fd-4860-be17-9422ca9f5ddc&quot;,&quot;citations&quot;:[{&quot;citationType&quot;:&quot;website&quot;,&quot;data&quot;:{&quot;id&quot;:&quot;6381a392-0a0c-44c3-9da6-e5fa5b4ee1c4&quot;,&quot;type&quot;:&quot;webpage&quot;,&quot;container-title&quot;:&quot;Bing&quot;,&quot;URL&quot;:&quot;https://www.bing.com/search?q=Munro%2C+E.+(2011).+*The+Munro+Review+of+Child+Protection*.+The+Stationery+Office&amp;cvid=de52ab15489c42e281f85c699e9bd8eb&amp;gs_lcrp=EgRlZGdlKgYIABBFGDkyBggAEEUYOdIBCDEyODFqMGoxqAIAsAIA&amp;FORM=ANAB01&amp;ucpdpc=UCPD&amp;PC=W191&quot;,&quot;title&quot;:&quot;Munro, E. (2011). *The Munro Review of Child Protection*. The Stationery Office&quot;,&quot;favicon&quot;:&quot;https://www.bing.com/sa/simg/favicon-trans-bg-blue-mg.ico&quot;,&quot;regularType&quot;:&quot;website&quot;,&quot;accessed&quot;:{&quot;date-parts&quot;:[[2025,7,19]]},&quot;author&quot;:[{&quot;given&quot;:&quot;&quot;,&quot;family&quot;:&quot;Monro, E.&quot;,&quot;suffix&quot;:&quot;&quot;,&quot;backups&quot;:{&quot;given&quot;:&quot;&quot;,&quot;family&quot;:&quot;Monro, E.&quot;,&quot;suffix&quot;:&quot;&quot;}}],&quot;issued&quot;:{&quot;date-parts&quot;:[[2011,&quot;&quot;,&quot;&quot;]]}},&quot;requiredFieldsMetadata&quot;:{&quot;ignoredFields&quot;:{},&quot;missingFields&quot;:{}}},{&quot;citationType&quot;:&quot;newsArticle&quot;,&quot;data&quot;:{&quot;id&quot;:&quot;3b2b2813-59fb-431b-873f-b0e703496dd1&quot;,&quot;type&quot;:&quot;article-newspaper&quot;,&quot;container-title&quot;:&quot;GOV.UK&quot;,&quot;URL&quot;:&quot;https://www.gov.uk/government/publications/early-help-concepts-policy-directions-and-multi-agency-perspectives&quot;,&quot;author&quot;:[{&quot;literal&quot;:&quot;Ofsted&quot;}],&quot;title&quot;:&quot;Early help: concepts, policy directions and multi-agency perspectives&quot;,&quot;favicon&quot;:&quot;https://www.gov.uk/assets/static/govuk-icon-180-d45a306f0549414cfa5085f16e4a3816a77558b139e5bc226f23162d1d0decb0.png&quot;,&quot;issued&quot;:{&quot;date-parts&quot;:[[2022,2,10]]},&quot;regularType&quot;:&quot;newsArticle&quot;,&quot;accessed&quot;:{&quot;date-parts&quot;:[[2025,7,20]]}},&quot;requiredFieldsMetadata&quot;:{&quot;ignoredFields&quot;:{},&quot;missingFields&quot;:{}}},{&quot;citationType&quot;:&quot;website&quot;,&quot;data&quot;:{&quot;id&quot;:&quot;2913de73-1d71-462c-8566-2c771ade8107&quot;,&quot;type&quot;:&quot;webpage&quot;,&quot;container-title&quot;:&quot;Action for Children&quot;,&quot;URL&quot;:&quot;https://www.actionforchildren.org.uk/our-work-and-impact/children-and-families/early-years/&quot;,&quot;title&quot;:&quot;Early years&quot;,&quot;favicon&quot;:&quot;https://www.actionforchildren.org.uk/static/images/favicons/apple-touch-icon.60fb5abfbf2d.png&quot;,&quot;regularType&quot;:&quot;website&quot;,&quot;accessed&quot;:{&quot;date-parts&quot;:[[2025,7,20]]}},&quot;requiredFieldsMetadata&quot;:{&quot;ignoredFields&quot;:{},&quot;missingFields&quot;:{&quot;Author&quot;:&quot;author&quot;,&quot;Date&quot;:&quot;issued&quot;}}},{&quot;citationType&quot;:&quot;website&quot;,&quot;data&quot;:{&quot;id&quot;:&quot;3c79e8cd-9af7-4bfd-aa18-95dc50b48e7a&quot;,&quot;type&quot;:&quot;webpage&quot;,&quot;container-title&quot;:&quot;NSPCC Learning&quot;,&quot;URL&quot;:&quot;https://learning.nspcc.org.uk/safeguarding-child-protection/early-help-and-early-intervention&quot;,&quot;title&quot;:&quot;Early help and early intervention&quot;,&quot;favicon&quot;:&quot;https://learning.nspcc.org.uk/assets/images/favicon.ico&quot;,&quot;regularType&quot;:&quot;website&quot;},&quot;requiredFieldsMetadata&quot;:{&quot;ignoredFields&quot;:{},&quot;missingFields&quot;:{&quot;Author&quot;:&quot;author&quot;,&quot;Date&quot;:&quot;issued&quot;}}},{&quot;citationType&quot;:&quot;website&quot;,&quot;data&quot;:{&quot;id&quot;:&quot;0b0a25b3-126b-42fa-99ce-470cc204e2d9&quot;,&quot;type&quot;:&quot;webpage&quot;,&quot;container-title&quot;:&quot;Local Government Association&quot;,&quot;URL&quot;:&quot;https://www.local.gov.uk/publications/early-help-resource-pack&quot;,&quot;title&quot;:&quot;Early Help Resource Pack&quot;,&quot;favicon&quot;:&quot;https://www.local.gov.uk/themes/lga/img/favicon/favicon-196x196.png&quot;,&quot;regularType&quot;:&quot;website&quot;,&quot;accessed&quot;:{&quot;date-parts&quot;:[[2025,7,20]]}},&quot;requiredFieldsMetadata&quot;:{&quot;ignoredFields&quot;:{},&quot;missingFields&quot;:{&quot;Author&quot;:&quot;author&quot;,&quot;Date&quot;:&quot;issued&quot;}}},{&quot;citationType&quot;:&quot;journalArticle&quot;,&quot;data&quot;:{&quot;id&quot;:&quot;474bdd23-a7c4-4c34-b8a7-13a827e3b414&quot;,&quot;type&quot;:&quot;article-journal&quot;,&quot;container-title&quot;:&quot;Journal of Integrated Care&quot;,&quot;URL&quot;:&quot;https://www.emerald.com/insight/content/doi/10.1108/jica-09-2023-0073/full/html&quot;,&quot;author&quot;:[{&quot;family&quot;:&quot;Cantrell&quot;,&quot;given&quot;:&quot;Anna&quot;},{&quot;family&quot;:&quot;Booth&quot;,&quot;given&quot;:&quot;Andrew&quot;},{&quot;family&quot;:&quot;Chambers&quot;,&quot;given&quot;:&quot;Duncan&quot;}],&quot;title&quot;:&quot;Signposting services in the UK: enhanced support or service diversion for people with health and social care needs: a rapid realist synthesis&quot;,&quot;favicon&quot;:&quot;https://www.emerald.com/favicon.ico&quot;,&quot;issued&quot;:{&quot;date-parts&quot;:[[2024,8,23]]},&quot;regularType&quot;:&quot;journalArticle&quot;,&quot;DOI&quot;:&quot;10.1108/JICA-09-2023-0073&quot;,&quot;volume&quot;:&quot;32&quot;,&quot;issue&quot;:&quot;5&quot;,&quot;page&quot;:&quot;99-108&quot;,&quot;accessed&quot;:{&quot;date-parts&quot;:[[2025,7,20]]}},&quot;requiredFieldsMetadata&quot;:{&quot;ignoredFields&quot;:{},&quot;missingFields&quot;:{}}},{&quot;citationType&quot;:&quot;newsArticle&quot;,&quot;data&quot;:{&quot;id&quot;:&quot;55a90912-e294-45c9-b1d1-38f450fd1cfb&quot;,&quot;type&quot;:&quot;article-newspaper&quot;,&quot;container-title&quot;:&quot;GOV.UK&quot;,&quot;URL&quot;:&quot;https://www.gov.uk/government/publications/safeguarding-practitioners-information-sharing-advice&quot;,&quot;author&quot;:[{&quot;literal&quot;:&quot;Department for Education&quot;}],&quot;title&quot;:&quot;Information sharing advice for safeguarding practitioners&quot;,&quot;favicon&quot;:&quot;https://www.gov.uk/assets/static/govuk-icon-180-d45a306f0549414cfa5085f16e4a3816a77558b139e5bc226f23162d1d0decb0.png&quot;,&quot;issued&quot;:{&quot;date-parts&quot;:[[2015,3,26]]},&quot;regularType&quot;:&quot;newsArticle&quot;,&quot;accessed&quot;:{&quot;date-parts&quot;:[[2025,7,20]]}},&quot;requiredFieldsMetadata&quot;:{&quot;ignoredFields&quot;:{},&quot;missingFields&quot;:{}}},{&quot;citationType&quot;:&quot;newsArticle&quot;,&quot;data&quot;:{&quot;id&quot;:&quot;21ff016c-8591-44e0-950d-f465e0f310fa&quot;,&quot;type&quot;:&quot;article-newspaper&quot;,&quot;container-title&quot;:&quot;GOV.UK&quot;,&quot;URL&quot;:&quot;https://www.gov.uk/government/publications/safeguarding-practitioners-information-sharing-advice&quot;,&quot;author&quot;:[{&quot;literal&quot;:&quot;Department for Education&quot;}],&quot;title&quot;:&quot;Information sharing advice for safeguarding practitioners&quot;,&quot;favicon&quot;:&quot;https://www.gov.uk/assets/static/govuk-icon-180-d45a306f0549414cfa5085f16e4a3816a77558b139e5bc226f23162d1d0decb0.png&quot;,&quot;issued&quot;:{&quot;date-parts&quot;:[[2015,3,26]]},&quot;regularType&quot;:&quot;newsArticle&quot;,&quot;accessed&quot;:{&quot;date-parts&quot;:[[2025,7,20]]}},&quot;requiredFieldsMetadata&quot;:{&quot;ignoredFields&quot;:{},&quot;missingFields&quot;:{}}}],&quot;style&quot;:{&quot;name&quot;:&quot;Harvard reference format 1 (deprecated)&quot;,&quot;xml&quot;:&quot;&lt;?xml version=\&quot;1.0\&quot; encoding=\&quot;utf-8\&quot;?&gt;\n&lt;style xmlns=\&quot;http://purl.org/net/xbiblio/csl\&quot; class=\&quot;in-text\&quot; version=\&quot;1.0\&quot; demote-non-dropping-particle=\&quot;sort-only\&quot; default-locale=\&quot;en-GB\&quot;&gt;\n  &lt;info&gt;\n    &lt;title&gt;Cite Them Right 12th edition - Harvard&lt;/title&gt;\n    &lt;id&gt;http://www.zotero.org/styles/harvard-cite-them-right&lt;/id&gt;\n    &lt;link href=\&quot;http://www.zotero.org/styles/harvard-cite-them-right\&quot; rel=\&quot;self\&quot;/&gt;\n    &lt;link href=\&quot;http://www.zotero.org/styles/harvard-cite-them-right-11th-edition\&quot; rel=\&quot;template\&quot;/&gt;\n    &lt;link href=\&quot;http://www.citethemrightonline.com/\&quot; rel=\&quot;documentation\&quot;/&gt;\n    &lt;author&gt;\n      &lt;name&gt;Patrick O'Brien&lt;/name&gt;\n    &lt;/author&gt;\n    &lt;category citation-format=\&quot;author-date\&quot;/&gt;\n    &lt;category field=\&quot;generic-base\&quot;/&gt;\n    &lt;summary&gt;Harvard according to Cite Them Right, 11th edition.&lt;/summary&gt;\n    &lt;updated&gt;2022-06-27T11:10:37+00:00&lt;/updated&gt;\n    &lt;rights license=\&quot;http://creativecommons.org/licenses/by-sa/3.0/\&quot;&gt;This work is licensed under a Creative Commons Attribution-ShareAlike 3.0 License&lt;/rights&gt;\n  &lt;/info&gt;\n  &lt;locale xml:lang=\&quot;en-GB\&quot;&gt;\n    &lt;terms&gt;\n      &lt;term name=\&quot;editor\&quot; form=\&quot;short\&quot;&gt;\n        &lt;single&gt;ed.&lt;/single&gt;\n        &lt;multiple&gt;eds&lt;/multiple&gt;\n      &lt;/term&gt;\n      &lt;term name=\&quot;editortranslator\&quot; form=\&quot;verb\&quot;&gt;edited and translated by&lt;/term&gt;\n      &lt;term name=\&quot;edition\&quot; form=\&quot;short\&quot;&gt;edn.&lt;/term&gt;\n    &lt;/terms&gt;\n  &lt;/locale&gt;\n  &lt;macro name=\&quot;editor\&quot;&gt;\n    &lt;choose&gt;\n      &lt;if type=\&quot;chapter paper-conference\&quot; match=\&quot;any\&quot;&gt;\n        &lt;names variable=\&quot;container-author\&quot; delimiter=\&quot;, \&quot; suffix=\&quot;, \&quot;&gt;\n          &lt;name and=\&quot;text\&quot; initialize-with=\&quot;. \&quot; delimiter=\&quot;, \&quot; sort-separator=\&quot;, \&quot; name-as-sort-order=\&quot;all\&quot;/&gt;\n        &lt;/names&gt;\n        &lt;choose&gt;\n          &lt;if variable=\&quot;container-author\&quot; match=\&quot;none\&quot;&gt;\n            &lt;names variable=\&quot;editor translator\&quot; delimiter=\&quot;, \&quot;&gt;\n              &lt;name and=\&quot;text\&quot; initialize-with=\&quot;.\&quot;/&gt;\n              &lt;label form=\&quot;short\&quot; prefix=\&quot; (\&quot; suffix=\&quot;)\&quot;/&gt;\n            &lt;/names&gt;\n          &lt;/if&gt;\n        &lt;/choose&gt;\n      &lt;/if&gt;\n    &lt;/choose&gt;\n  &lt;/macro&gt;\n  &lt;macro name=\&quot;secondary-contributors\&quot;&gt;\n    &lt;choose&gt;\n      &lt;if type=\&quot;chapter paper-conference\&quot; match=\&quot;none\&quot;&gt;\n        &lt;names variable=\&quot;editor translator\&quot; delimiter=\&quot;. \&quot;&gt;\n          &lt;label form=\&quot;verb\&quot; text-case=\&quot;capitalize-first\&quot; suffix=\&quot; \&quot;/&gt;\n          &lt;name and=\&quot;text\&quot; initialize-with=\&quot;.\&quot;/&gt;\n        &lt;/names&gt;\n      &lt;/if&gt;\n      &lt;else-if variable=\&quot;container-author\&quot; match=\&quot;any\&quot;&gt;\n        &lt;names variable=\&quot;editor translator\&quot; delimiter=\&quot;. \&quot;&gt;\n          &lt;label form=\&quot;verb\&quot; text-case=\&quot;capitalize-first\&quot; suffix=\&quot; \&quot;/&gt;\n          &lt;name and=\&quot;text\&quot; initialize-with=\&quot;. \&quot; delimiter=\&quot;, \&quot;/&gt;\n        &lt;/names&gt;\n      &lt;/else-if&gt;\n    &lt;/choose&gt;\n  &lt;/macro&gt;\n  &lt;macro name=\&quot;author\&quot;&gt;\n    &lt;names variable=\&quot;author\&quot;&gt;\n      &lt;name and=\&quot;text\&quot; delimiter-precedes-last=\&quot;never\&quot; initialize-with=\&quot;.\&quot; name-as-sort-order=\&quot;all\&quot;/&gt;\n      &lt;label form=\&quot;short\&quot; prefix=\&quot; (\&quot; suffix=\&quot;)\&quot;/&gt;\n      &lt;et-al font-style=\&quot;italic\&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uthor-short\&quot;&gt;\n    &lt;names variable=\&quot;author\&quot;&gt;\n      &lt;name form=\&quot;short\&quot; and=\&quot;text\&quot; delimiter=\&quot;, \&quot; delimiter-precedes-last=\&quot;never\&quot; initialize-with=\&quot;. \&quot;/&gt;\n      &lt;et-al font-style=\&quot;italic\&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ccess\&quot;&gt;\n    &lt;choose&gt;\n      &lt;if variable=\&quot;DOI\&quot;&gt;\n        &lt;group delimiter=\&quot;: \&quot;&gt;\n          &lt;text term=\&quot;available at\&quot; text-case=\&quot;capitalize-first\&quot;/&gt;\n          &lt;text variable=\&quot;DOI\&quot; prefix=\&quot;https://doi.org/\&quot;/&gt;\n        &lt;/group&gt;\n      &lt;/if&gt;\n      &lt;else-if variable=\&quot;URL\&quot;&gt;\n        &lt;text term=\&quot;available at\&quot; suffix=\&quot;: \&quot; text-case=\&quot;capitalize-first\&quot;/&gt;\n        &lt;text variable=\&quot;URL\&quot;/&gt;\n        &lt;group prefix=\&quot; (\&quot; delimiter=\&quot;: \&quot; suffix=\&quot;)\&quot;&gt;\n          &lt;text term=\&quot;accessed\&quot; text-case=\&quot;capitalize-first\&quot;/&gt;\n          &lt;date form=\&quot;text\&quot; variable=\&quot;accessed\&quot;&gt;\n            &lt;date-part name=\&quot;day\&quot;/&gt;\n            &lt;date-part name=\&quot;month\&quot;/&gt;\n            &lt;date-part name=\&quot;year\&quot;/&gt;\n          &lt;/date&gt;\n        &lt;/group&gt;\n      &lt;/else-if&gt;\n    &lt;/choose&gt;\n  &lt;/macro&gt;\n  &lt;macro name=\&quot;number-volumes\&quot;&gt;\n    &lt;choose&gt;\n      &lt;if variable=\&quot;volume\&quot; match=\&quot;none\&quot;&gt;\n        &lt;group delimiter=\&quot; \&quot; prefix=\&quot;(\&quot; suffix=\&quot;)\&quot;&gt;\n          &lt;text variable=\&quot;number-of-volumes\&quot;/&gt;\n          &lt;label variable=\&quot;volume\&quot; form=\&quot;short\&quot; strip-periods=\&quot;true\&quot;/&gt;\n        &lt;/group&gt;\n      &lt;/if&gt;\n    &lt;/choose&gt;\n  &lt;/macro&gt;\n  &lt;macro name=\&quot;title\&quot;&gt;\n    &lt;choose&gt;\n      &lt;if type=\&quot;bill book legal_case legislation motion_picture report song thesis webpage graphic\&quot; match=\&quot;any\&quot;&gt;\n        &lt;group delimiter=\&quot;. \&quot;&gt;\n          &lt;group delimiter=\&quot; \&quot;&gt;\n            &lt;group delimiter=\&quot; \&quot;&gt;\n              &lt;text variable=\&quot;title\&quot; font-style=\&quot;italic\&quot;/&gt;\n              &lt;text variable=\&quot;medium\&quot; prefix=\&quot;[\&quot; suffix=\&quot;]\&quot;/&gt;\n            &lt;/group&gt;\n            &lt;text macro=\&quot;number-volumes\&quot;/&gt;\n          &lt;/group&gt;\n          &lt;text macro=\&quot;edition\&quot;/&gt;\n        &lt;/group&gt;\n      &lt;/if&gt;\n      &lt;else&gt;\n        &lt;text variable=\&quot;title\&quot; form=\&quot;long\&quot; quotes=\&quot;true\&quot;/&gt;\n      &lt;/else&gt;\n    &lt;/choose&gt;\n  &lt;/macro&gt;\n  &lt;macro name=\&quot;publisher\&quot;&gt;\n    &lt;choose&gt;\n      &lt;if type=\&quot;thesis\&quot;&gt;\n        &lt;group delimiter=\&quot;. \&quot;&gt;\n          &lt;text variable=\&quot;genre\&quot;/&gt;\n          &lt;text variable=\&quot;publisher\&quot;/&gt;\n        &lt;/group&gt;\n      &lt;/if&gt;\n      &lt;else-if type=\&quot;report\&quot;&gt;\n        &lt;group delimiter=\&quot;. \&quot;&gt;\n          &lt;group delimiter=\&quot; \&quot;&gt;\n            &lt;text variable=\&quot;genre\&quot;/&gt;\n            &lt;text variable=\&quot;number\&quot;/&gt;\n          &lt;/group&gt;\n          &lt;group delimiter=\&quot;: \&quot;&gt;\n            &lt;text variable=\&quot;publisher-place\&quot;/&gt;\n            &lt;text variable=\&quot;publisher\&quot;/&gt;\n          &lt;/group&gt;\n        &lt;/group&gt;\n      &lt;/else-if&gt;\n      &lt;else-if type=\&quot;article-journal article-newspaper article-magazine\&quot; match=\&quot;none\&quot;&gt;\n        &lt;group delimiter=\&quot; \&quot;&gt;\n          &lt;group delimiter=\&quot;, \&quot;&gt;\n            &lt;choose&gt;\n              &lt;if type=\&quot;speech\&quot; variable=\&quot;event\&quot; match=\&quot;any\&quot;&gt;\n                &lt;text variable=\&quot;event\&quot; font-style=\&quot;italic\&quot;/&gt;\n              &lt;/if&gt;\n            &lt;/choose&gt;\n            &lt;group delimiter=\&quot;: \&quot;&gt;\n              &lt;text variable=\&quot;publisher-place\&quot;/&gt;\n              &lt;text variable=\&quot;publisher\&quot;/&gt;\n            &lt;/group&gt;\n          &lt;/group&gt;\n          &lt;group prefix=\&quot;(\&quot; suffix=\&quot;)\&quot; delimiter=\&quot;, \&quot;&gt;\n            &lt;text variable=\&quot;collection-title\&quot;/&gt;\n            &lt;text variable=\&quot;collection-number\&quot;/&gt;\n          &lt;/group&gt;\n        &lt;/group&gt;\n      &lt;/else-if&gt;\n    &lt;/choose&gt;\n  &lt;/macro&gt;\n  &lt;macro name=\&quot;year-date\&quot;&gt;\n    &lt;choose&gt;\n      &lt;if variable=\&quot;issued\&quot;&gt;\n        &lt;date variable=\&quot;issued\&quot;&gt;\n          &lt;date-part name=\&quot;year\&quot;/&gt;\n        &lt;/date&gt;\n        &lt;text variable=\&quot;year-suffix\&quot;/&gt;\n      &lt;/if&gt;\n      &lt;else&gt;\n        &lt;text term=\&quot;no date\&quot;/&gt;\n        &lt;text variable=\&quot;year-suffix\&quot; prefix=\&quot; \&quot;/&gt;\n      &lt;/else&gt;\n    &lt;/choose&gt;\n  &lt;/macro&gt;\n  &lt;macro name=\&quot;locator\&quot;&gt;\n    &lt;choose&gt;\n      &lt;if type=\&quot;article-journal\&quot;&gt;\n        &lt;text variable=\&quot;volume\&quot;/&gt;\n        &lt;text variable=\&quot;issue\&quot; prefix=\&quot;(\&quot; suffix=\&quot;)\&quot;/&gt;\n      &lt;/if&gt;\n    &lt;/choose&gt;\n  &lt;/macro&gt;\n  &lt;macro name=\&quot;published-date\&quot;&gt;\n    &lt;choose&gt;\n      &lt;if type=\&quot;article-newspaper article-magazine post-weblog speech\&quot; match=\&quot;any\&quot;&gt;\n        &lt;date variable=\&quot;issued\&quot;&gt;\n          &lt;date-part name=\&quot;day\&quot; suffix=\&quot; \&quot;/&gt;\n          &lt;date-part name=\&quot;month\&quot; form=\&quot;long\&quot;/&gt;\n        &lt;/date&gt;\n      &lt;/if&gt;\n    &lt;/choose&gt;\n  &lt;/macro&gt;\n  &lt;macro name=\&quot;pages\&quot;&gt;\n    &lt;choose&gt;\n      &lt;if type=\&quot;chapter paper-conference article-journal article article-magazine article-newspaper book review review-book report\&quot; match=\&quot;any\&quot;&gt;\n        &lt;group delimiter=\&quot; \&quot;&gt;\n          &lt;label variable=\&quot;page\&quot; form=\&quot;short\&quot;/&gt;\n          &lt;text variable=\&quot;page\&quot;/&gt;\n        &lt;/group&gt;\n      &lt;/if&gt;\n    &lt;/choose&gt;\n  &lt;/macro&gt;\n  &lt;macro name=\&quot;container-title\&quot;&gt;\n    &lt;choose&gt;\n      &lt;if variable=\&quot;container-title\&quot;&gt;\n        &lt;group delimiter=\&quot;. \&quot;&gt;\n          &lt;group delimiter=\&quot; \&quot;&gt;\n            &lt;text variable=\&quot;container-title\&quot; font-style=\&quot;italic\&quot;/&gt;\n            &lt;choose&gt;\n              &lt;if type=\&quot;article article-journal\&quot; match=\&quot;any\&quot;&gt;\n                &lt;choose&gt;\n                  &lt;if match=\&quot;none\&quot; variable=\&quot;page volume\&quot;&gt;\n                    &lt;text value=\&quot;Preprint\&quot; prefix=\&quot;[\&quot; suffix=\&quot;]\&quot;/&gt;\n                  &lt;/if&gt;\n                &lt;/choose&gt;\n              &lt;/if&gt;\n            &lt;/choose&gt;\n          &lt;/group&gt;\n          &lt;text macro=\&quot;edition\&quot;/&gt;\n        &lt;/group&gt;\n      &lt;/if&gt;\n    &lt;/choose&gt;\n  &lt;/macro&gt;\n  &lt;macro name=\&quot;edition\&quot;&gt;\n    &lt;choose&gt;\n      &lt;if is-numeric=\&quot;edition\&quot;&gt;\n        &lt;group delimiter=\&quot; \&quot;&gt;\n          &lt;number variable=\&quot;edition\&quot; form=\&quot;ordinal\&quot;/&gt;\n          &lt;text term=\&quot;edition\&quot; form=\&quot;short\&quot; strip-periods=\&quot;true\&quot;/&gt;\n        &lt;/group&gt;\n      &lt;/if&gt;\n      &lt;else&gt;\n        &lt;text variable=\&quot;edition\&quot;/&gt;\n      &lt;/else&gt;\n    &lt;/choose&gt;\n  &lt;/macro&gt;\n  &lt;macro name=\&quot;container-prefix\&quot;&gt;\n    &lt;choose&gt;\n      &lt;if type=\&quot;chapter paper-conference\&quot; match=\&quot;any\&quot;&gt;\n        &lt;text term=\&quot;in\&quot;/&gt;\n      &lt;/if&gt;\n    &lt;/choose&gt;\n  &lt;/macro&gt;\n  &lt;citation et-al-min=\&quot;4\&quot; et-al-use-first=\&quot;1\&quot; disambiguate-add-year-suffix=\&quot;true\&quot; disambiguate-add-names=\&quot;true\&quot; disambiguate-add-givenname=\&quot;true\&quot; collapse=\&quot;year\&quot;&gt;\n    &lt;sort&gt;\n      &lt;key macro=\&quot;year-date\&quot;/&gt;\n    &lt;/sort&gt;\n    &lt;layout prefix=\&quot;(\&quot; suffix=\&quot;)\&quot; delimiter=\&quot;; \&quot;&gt;\n      &lt;group delimiter=\&quot;, \&quot;&gt;\n        &lt;group delimiter=\&quot;, \&quot;&gt;\n          &lt;text macro=\&quot;author-short\&quot;/&gt;\n          &lt;text macro=\&quot;year-date\&quot;/&gt;\n        &lt;/group&gt;\n        &lt;group&gt;\n          &lt;label variable=\&quot;locator\&quot; form=\&quot;short\&quot; suffix=\&quot; \&quot;/&gt;\n          &lt;text variable=\&quot;locator\&quot;/&gt;\n        &lt;/group&gt;\n      &lt;/group&gt;\n    &lt;/layout&gt;\n  &lt;/citation&gt;\n  &lt;bibliography and=\&quot;text\&quot; et-al-min=\&quot;4\&quot; et-al-use-first=\&quot;1\&quot;&gt;\n    &lt;sort&gt;\n      &lt;key macro=\&quot;author\&quot;/&gt;\n      &lt;key macro=\&quot;year-date\&quot;/&gt;\n      &lt;key variable=\&quot;title\&quot;/&gt;\n    &lt;/sort&gt;\n    &lt;layout suffix=\&quot;.\&quot;&gt;\n      &lt;group delimiter=\&quot;. \&quot;&gt;\n        &lt;group delimiter=\&quot; \&quot;&gt;\n          &lt;text macro=\&quot;author\&quot;/&gt;\n          &lt;text macro=\&quot;year-date\&quot; prefix=\&quot;(\&quot; suffix=\&quot;)\&quot;/&gt;\n          &lt;group delimiter=\&quot;, \&quot;&gt;\n            &lt;text macro=\&quot;title\&quot;/&gt;\n            &lt;group delimiter=\&quot; \&quot;&gt;\n              &lt;text macro=\&quot;container-prefix\&quot;/&gt;\n              &lt;text macro=\&quot;editor\&quot;/&gt;\n              &lt;text macro=\&quot;container-title\&quot;/&gt;\n            &lt;/group&gt;\n          &lt;/group&gt;\n        &lt;/group&gt;\n        &lt;text macro=\&quot;secondary-contributors\&quot;/&gt;\n        &lt;text macro=\&quot;publisher\&quot;/&gt;\n      &lt;/group&gt;\n      &lt;group delimiter=\&quot;, \&quot; prefix=\&quot;, \&quot;&gt;\n        &lt;text macro=\&quot;locator\&quot;/&gt;\n        &lt;text macro=\&quot;published-date\&quot;/&gt;\n        &lt;text macro=\&quot;pages\&quot;/&gt;\n      &lt;/group&gt;\n      &lt;text macro=\&quot;access\&quot; prefix=\&quot;. \&quot;/&gt;\n    &lt;/layout&gt;\n  &lt;/bibliography&gt;\n&lt;/style&gt;\n&quot;}}"/>
    <we:property name="bibcitation-word-document-id" value="&quot;6235febc-27ea-434b-b00a-d6a4b908da3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Mon11</b:Tag>
    <b:SourceType>InternetSite</b:SourceType>
    <b:Guid>{4AE1C6F0-38A8-4A1D-B5D3-9800E71CFF89}</b:Guid>
    <b:Title>Monro, E. (2011) Munro, E. (2011). *The Munro Review of Child Protection*. The Stationery Office, Bing. Available at: https://www.bing.com/search?q=Munro%2C+E.+(2011).+*The+Munro+Review+of+Child+Protection*.</b:Title>
    <b:Year>2011</b:Year>
    <b:Author>
      <b:Author>
        <b:NameList>
          <b:Person>
            <b:Last>Monro</b:Last>
            <b:First>E.</b:First>
          </b:Person>
        </b:NameList>
      </b:Author>
    </b:Author>
    <b:YearAccessed>2025</b:YearAccessed>
    <b:MonthAccessed>07</b:MonthAccessed>
    <b:DayAccessed>17</b:DayAccessed>
    <b:URL>https://www.bing.com/search?q=Munro%2C+E.+(2011).+*The+Munro+Review+of+Child+Protection*.+The+Stationery+Office&amp;cvid=de52ab15489c42e281f8</b:URL>
    <b:RefOrder>1</b:RefOrder>
  </b:Source>
</b:Sources>
</file>

<file path=customXml/itemProps1.xml><?xml version="1.0" encoding="utf-8"?>
<ds:datastoreItem xmlns:ds="http://schemas.openxmlformats.org/officeDocument/2006/customXml" ds:itemID="{7A774377-C9E5-4753-B416-5DCF02E68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1007</TotalTime>
  <Pages>13</Pages>
  <Words>4230</Words>
  <Characters>24112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Artemis Vyudantrome</dc:creator>
  <cp:keywords/>
  <dc:description/>
  <cp:lastModifiedBy>Artemis Vyudantrome</cp:lastModifiedBy>
  <cp:revision>35</cp:revision>
  <dcterms:created xsi:type="dcterms:W3CDTF">2025-07-19T18:16:00Z</dcterms:created>
  <dcterms:modified xsi:type="dcterms:W3CDTF">2025-12-08T08:50:00Z</dcterms:modified>
</cp:coreProperties>
</file>