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6DCE" w:rsidRDefault="00866DCE" w:rsidP="00866DCE">
      <w:pPr>
        <w:jc w:val="center"/>
        <w:rPr>
          <w:b/>
          <w:u w:val="single"/>
        </w:rPr>
      </w:pPr>
      <w:bookmarkStart w:id="0" w:name="_GoBack"/>
      <w:bookmarkEnd w:id="0"/>
      <w:r>
        <w:rPr>
          <w:b/>
          <w:u w:val="single"/>
        </w:rPr>
        <w:t>Identifying and Managing Risks in your Research Project</w:t>
      </w:r>
    </w:p>
    <w:p w:rsidR="00BF5BF0" w:rsidRDefault="00BF5BF0" w:rsidP="00866DCE">
      <w:pPr>
        <w:jc w:val="center"/>
        <w:rPr>
          <w:b/>
          <w:u w:val="single"/>
        </w:rPr>
      </w:pPr>
      <w:r>
        <w:rPr>
          <w:b/>
          <w:u w:val="single"/>
        </w:rPr>
        <w:t>Drawing on the Theory</w:t>
      </w:r>
    </w:p>
    <w:p w:rsidR="00866DCE" w:rsidRDefault="00866DCE" w:rsidP="00866DCE">
      <w:pPr>
        <w:rPr>
          <w:i/>
        </w:rPr>
      </w:pPr>
      <w:r>
        <w:rPr>
          <w:i/>
        </w:rPr>
        <w:t xml:space="preserve">Informed Consent </w:t>
      </w:r>
    </w:p>
    <w:p w:rsidR="00866DCE" w:rsidRDefault="00866DCE" w:rsidP="00866DCE">
      <w:r>
        <w:t xml:space="preserve">“… </w:t>
      </w:r>
      <w:proofErr w:type="gramStart"/>
      <w:r>
        <w:t>the</w:t>
      </w:r>
      <w:proofErr w:type="gramEnd"/>
      <w:r>
        <w:t xml:space="preserve"> right to self-determination is that the subject has the right to refuse to take part, or to withdraw once the research has begun. Thus, informed consent implies informed refusal.” (Cohen et al, 2003: 50). </w:t>
      </w:r>
    </w:p>
    <w:p w:rsidR="00BF5BF0" w:rsidRPr="00BF5BF0" w:rsidRDefault="00BF5BF0" w:rsidP="00866DCE">
      <w:pPr>
        <w:rPr>
          <w:color w:val="7030A0"/>
        </w:rPr>
      </w:pPr>
      <w:r>
        <w:rPr>
          <w:color w:val="7030A0"/>
        </w:rPr>
        <w:t xml:space="preserve">Question to Consider: Who do you need to ask to take part? What do you need to tell them? </w:t>
      </w:r>
    </w:p>
    <w:p w:rsidR="00866DCE" w:rsidRDefault="00866DCE" w:rsidP="00866DCE">
      <w:pPr>
        <w:rPr>
          <w:i/>
        </w:rPr>
      </w:pPr>
      <w:r>
        <w:rPr>
          <w:i/>
        </w:rPr>
        <w:t>Informed Consent and Children</w:t>
      </w:r>
    </w:p>
    <w:p w:rsidR="00866DCE" w:rsidRPr="00866DCE" w:rsidRDefault="00866DCE" w:rsidP="00866DCE">
      <w:r>
        <w:t xml:space="preserve">“Seeking informed consent with regard to minors involves two stages. First, researchers consult and seek permission from those adults responsible for the prospective subjects; and, second, they approach the young people themselves.” (Cohen et al, 2003: 52). </w:t>
      </w:r>
    </w:p>
    <w:p w:rsidR="00BF5BF0" w:rsidRPr="00BF5BF0" w:rsidRDefault="00BF5BF0">
      <w:pPr>
        <w:rPr>
          <w:color w:val="7030A0"/>
        </w:rPr>
      </w:pPr>
      <w:r>
        <w:rPr>
          <w:color w:val="7030A0"/>
        </w:rPr>
        <w:t xml:space="preserve">Question to Consider: Does your project involve children? Have you fully addressed this aspect of informed consent in the ‘risks’ section of your form? </w:t>
      </w:r>
    </w:p>
    <w:p w:rsidR="00866DCE" w:rsidRDefault="002A780C">
      <w:pPr>
        <w:rPr>
          <w:i/>
        </w:rPr>
      </w:pPr>
      <w:r>
        <w:rPr>
          <w:i/>
        </w:rPr>
        <w:t>Reassuring Participants</w:t>
      </w:r>
    </w:p>
    <w:p w:rsidR="002A780C" w:rsidRDefault="002A780C" w:rsidP="002A780C">
      <w:pPr>
        <w:ind w:left="720"/>
      </w:pPr>
      <w:r>
        <w:t>As most re</w:t>
      </w:r>
      <w:r w:rsidR="00082756">
        <w:t>search entails some risks…and as</w:t>
      </w:r>
      <w:r>
        <w:t xml:space="preserve"> the presence of an observer scrutinising various aspects of community or school life may not be relished by all in the group, investigators must at all times manifest a sensitive appreciation of their hosts’ and subjects’ position and reassure anyone who feels threatened by the work.</w:t>
      </w:r>
    </w:p>
    <w:p w:rsidR="002A780C" w:rsidRDefault="002A780C" w:rsidP="00174286">
      <w:pPr>
        <w:jc w:val="right"/>
      </w:pPr>
      <w:r>
        <w:t>Cohen et al, 2003:55</w:t>
      </w:r>
    </w:p>
    <w:p w:rsidR="00BF5BF0" w:rsidRPr="00BF5BF0" w:rsidRDefault="00BF5BF0" w:rsidP="002A780C">
      <w:pPr>
        <w:rPr>
          <w:color w:val="7030A0"/>
        </w:rPr>
      </w:pPr>
      <w:r>
        <w:rPr>
          <w:color w:val="7030A0"/>
        </w:rPr>
        <w:t xml:space="preserve">Question to Consider: Consider the above in the context of your study. Are there any elements of your research which may require sensitivity? Is there a ‘risk’ that your participants may feel anxious or even reluctant to be honest about what you are asking? </w:t>
      </w:r>
    </w:p>
    <w:p w:rsidR="002A780C" w:rsidRDefault="002A780C" w:rsidP="002A780C">
      <w:r>
        <w:t>Bell (1991, in Cohen et al, 2003: 56) recommends the following conditions and guarantees are proffered by the research</w:t>
      </w:r>
      <w:r w:rsidR="00BA0E0E">
        <w:t>er</w:t>
      </w:r>
      <w:r>
        <w:t xml:space="preserve"> for school or education based research projects:</w:t>
      </w:r>
    </w:p>
    <w:p w:rsidR="002A780C" w:rsidRDefault="002A780C" w:rsidP="002A780C">
      <w:pPr>
        <w:pStyle w:val="ListParagraph"/>
        <w:numPr>
          <w:ilvl w:val="0"/>
          <w:numId w:val="2"/>
        </w:numPr>
      </w:pPr>
      <w:r>
        <w:t>All participants will be offered the opportunity to remain anonymous.</w:t>
      </w:r>
    </w:p>
    <w:p w:rsidR="002A780C" w:rsidRDefault="002A780C" w:rsidP="002A780C">
      <w:pPr>
        <w:pStyle w:val="ListParagraph"/>
        <w:numPr>
          <w:ilvl w:val="0"/>
          <w:numId w:val="2"/>
        </w:numPr>
      </w:pPr>
      <w:r>
        <w:t>All information will be treated with the strictest confidentiality.</w:t>
      </w:r>
    </w:p>
    <w:p w:rsidR="002A780C" w:rsidRDefault="002A780C" w:rsidP="002A780C">
      <w:pPr>
        <w:pStyle w:val="ListParagraph"/>
        <w:numPr>
          <w:ilvl w:val="0"/>
          <w:numId w:val="2"/>
        </w:numPr>
      </w:pPr>
      <w:r>
        <w:t xml:space="preserve">Interviewees will have the opportunity to verify statements when the research is in draft form. </w:t>
      </w:r>
    </w:p>
    <w:p w:rsidR="002A780C" w:rsidRDefault="002A780C" w:rsidP="002A780C">
      <w:pPr>
        <w:pStyle w:val="ListParagraph"/>
        <w:numPr>
          <w:ilvl w:val="0"/>
          <w:numId w:val="2"/>
        </w:numPr>
      </w:pPr>
      <w:r>
        <w:t xml:space="preserve">Participants will receive (or be offered) a copy of the final report. </w:t>
      </w:r>
    </w:p>
    <w:p w:rsidR="002A780C" w:rsidRDefault="002A780C" w:rsidP="002A780C">
      <w:pPr>
        <w:pStyle w:val="ListParagraph"/>
        <w:numPr>
          <w:ilvl w:val="0"/>
          <w:numId w:val="2"/>
        </w:numPr>
      </w:pPr>
      <w:r>
        <w:t xml:space="preserve">The research is to be assessed by the University for </w:t>
      </w:r>
      <w:proofErr w:type="gramStart"/>
      <w:r>
        <w:t>examination purposes</w:t>
      </w:r>
      <w:proofErr w:type="gramEnd"/>
      <w:r>
        <w:t xml:space="preserve"> only, but should the question of publication arise at a later date, permission will be sought from the participants. </w:t>
      </w:r>
    </w:p>
    <w:p w:rsidR="002A780C" w:rsidRPr="002A780C" w:rsidRDefault="002A780C" w:rsidP="002A780C">
      <w:pPr>
        <w:pStyle w:val="ListParagraph"/>
        <w:numPr>
          <w:ilvl w:val="0"/>
          <w:numId w:val="2"/>
        </w:numPr>
      </w:pPr>
      <w:r>
        <w:t xml:space="preserve">Explain what the research will explore and note if it hoped that the final report will be of benefit to the school and those who take part. </w:t>
      </w:r>
    </w:p>
    <w:p w:rsidR="00BF5BF0" w:rsidRPr="00BF5BF0" w:rsidRDefault="00BF5BF0">
      <w:pPr>
        <w:rPr>
          <w:color w:val="7030A0"/>
        </w:rPr>
      </w:pPr>
      <w:r>
        <w:rPr>
          <w:color w:val="7030A0"/>
        </w:rPr>
        <w:t xml:space="preserve">Question to Consider: How could you use these suggestions to inform your completion of Sections 6 &amp; 7 of the ethics form? </w:t>
      </w:r>
    </w:p>
    <w:p w:rsidR="00BF5BF0" w:rsidRDefault="00BF5BF0">
      <w:pPr>
        <w:rPr>
          <w:i/>
        </w:rPr>
      </w:pPr>
    </w:p>
    <w:p w:rsidR="00BF5BF0" w:rsidRDefault="00BF5BF0">
      <w:pPr>
        <w:rPr>
          <w:i/>
        </w:rPr>
      </w:pPr>
    </w:p>
    <w:p w:rsidR="00866DCE" w:rsidRPr="00033A94" w:rsidRDefault="00033A94">
      <w:pPr>
        <w:rPr>
          <w:i/>
        </w:rPr>
      </w:pPr>
      <w:r w:rsidRPr="00033A94">
        <w:rPr>
          <w:i/>
        </w:rPr>
        <w:lastRenderedPageBreak/>
        <w:t>Anonymity</w:t>
      </w:r>
    </w:p>
    <w:p w:rsidR="00033A94" w:rsidRDefault="00033A94" w:rsidP="00033A94">
      <w:pPr>
        <w:ind w:left="720"/>
      </w:pPr>
      <w:r>
        <w:t xml:space="preserve">The obligation to protect the anonymity of research participants and to keep research data confidential is all-inclusive. It should be fulfilled at all costs unless arrangements to the contrary are made with the participants in advance. </w:t>
      </w:r>
    </w:p>
    <w:p w:rsidR="00033A94" w:rsidRDefault="00033A94" w:rsidP="00033A94">
      <w:pPr>
        <w:ind w:left="720"/>
        <w:jc w:val="right"/>
      </w:pPr>
      <w:r>
        <w:t>Frankfort-</w:t>
      </w:r>
      <w:proofErr w:type="spellStart"/>
      <w:r>
        <w:t>Nachmias</w:t>
      </w:r>
      <w:proofErr w:type="spellEnd"/>
      <w:r>
        <w:t xml:space="preserve"> and </w:t>
      </w:r>
      <w:proofErr w:type="spellStart"/>
      <w:r>
        <w:t>Nachmias</w:t>
      </w:r>
      <w:proofErr w:type="spellEnd"/>
      <w:r>
        <w:t>, 1992 in Cohen et al, 2003:61</w:t>
      </w:r>
    </w:p>
    <w:p w:rsidR="00866DCE" w:rsidRDefault="001C3871" w:rsidP="00174286">
      <w:pPr>
        <w:ind w:left="720"/>
      </w:pPr>
      <w:r>
        <w:t>A participant or</w:t>
      </w:r>
      <w:r w:rsidR="00174286">
        <w:t xml:space="preserve"> subject is considered anonymous when the researcher or another person cannot identify the participant or subject from the information provided. Where this situation holds, a participant’s privacy is guaranteed, no matter how personal or sensitive the information is… A subject agreeing to a face-to-face interview on the other hand, can in no way expect anonymity. At most the interviewer can promise confidentiality. Non-traceability is an important matter, and this extends to aggregating data in some cases, so that an individual’s response is not identifiable. </w:t>
      </w:r>
    </w:p>
    <w:p w:rsidR="00174286" w:rsidRDefault="00174286" w:rsidP="00174286">
      <w:pPr>
        <w:ind w:left="720"/>
        <w:jc w:val="right"/>
      </w:pPr>
      <w:r>
        <w:t>Cohen et al, 2003: 62</w:t>
      </w:r>
    </w:p>
    <w:p w:rsidR="00BF5BF0" w:rsidRPr="00BF5BF0" w:rsidRDefault="00BF5BF0" w:rsidP="00BF5BF0">
      <w:pPr>
        <w:rPr>
          <w:color w:val="7030A0"/>
        </w:rPr>
      </w:pPr>
      <w:r>
        <w:rPr>
          <w:color w:val="7030A0"/>
        </w:rPr>
        <w:t>Question to Consider: How</w:t>
      </w:r>
      <w:r w:rsidR="00F56ED3">
        <w:rPr>
          <w:color w:val="7030A0"/>
        </w:rPr>
        <w:t xml:space="preserve"> might this apply to your study?</w:t>
      </w:r>
      <w:r>
        <w:rPr>
          <w:color w:val="7030A0"/>
        </w:rPr>
        <w:t xml:space="preserve"> For example, do you ask participants to identify themselves by role? If you include reference to ‘the </w:t>
      </w:r>
      <w:proofErr w:type="spellStart"/>
      <w:r>
        <w:rPr>
          <w:color w:val="7030A0"/>
        </w:rPr>
        <w:t>Headteacher</w:t>
      </w:r>
      <w:proofErr w:type="spellEnd"/>
      <w:r>
        <w:rPr>
          <w:color w:val="7030A0"/>
        </w:rPr>
        <w:t xml:space="preserve">’, this is likely to make the information easily traceable. </w:t>
      </w:r>
    </w:p>
    <w:p w:rsidR="00174286" w:rsidRPr="00174286" w:rsidRDefault="00174286" w:rsidP="00174286">
      <w:pPr>
        <w:rPr>
          <w:i/>
        </w:rPr>
      </w:pPr>
      <w:r w:rsidRPr="00174286">
        <w:rPr>
          <w:i/>
        </w:rPr>
        <w:t>Preserving anonymity and confidentiality</w:t>
      </w:r>
    </w:p>
    <w:p w:rsidR="00866DCE" w:rsidRDefault="00174286" w:rsidP="00174286">
      <w:pPr>
        <w:pStyle w:val="ListParagraph"/>
        <w:numPr>
          <w:ilvl w:val="0"/>
          <w:numId w:val="3"/>
        </w:numPr>
      </w:pPr>
      <w:r>
        <w:t>How are you going to categorise and store information?</w:t>
      </w:r>
    </w:p>
    <w:p w:rsidR="00174286" w:rsidRDefault="00174286" w:rsidP="00174286">
      <w:pPr>
        <w:pStyle w:val="ListParagraph"/>
        <w:numPr>
          <w:ilvl w:val="0"/>
          <w:numId w:val="3"/>
        </w:numPr>
      </w:pPr>
      <w:r>
        <w:t>How are you going to make sure it is not easily accessible to anyone else?</w:t>
      </w:r>
    </w:p>
    <w:p w:rsidR="00174286" w:rsidRDefault="00174286" w:rsidP="00174286">
      <w:pPr>
        <w:pStyle w:val="ListParagraph"/>
        <w:numPr>
          <w:ilvl w:val="0"/>
          <w:numId w:val="3"/>
        </w:numPr>
      </w:pPr>
      <w:r>
        <w:t>Do you intend to change the names of people, towns and organisations? If not, how will you ensure what someone says cannot be used against them in the future?</w:t>
      </w:r>
    </w:p>
    <w:p w:rsidR="00174286" w:rsidRDefault="00174286" w:rsidP="00174286">
      <w:pPr>
        <w:pStyle w:val="ListParagraph"/>
        <w:numPr>
          <w:ilvl w:val="0"/>
          <w:numId w:val="3"/>
        </w:numPr>
      </w:pPr>
      <w:r>
        <w:t>How can you avoid making promises you can’t keep?</w:t>
      </w:r>
    </w:p>
    <w:p w:rsidR="00174286" w:rsidRDefault="00174286" w:rsidP="00174286">
      <w:pPr>
        <w:pStyle w:val="ListParagraph"/>
        <w:jc w:val="right"/>
        <w:rPr>
          <w:i/>
        </w:rPr>
      </w:pPr>
      <w:r>
        <w:rPr>
          <w:i/>
        </w:rPr>
        <w:t xml:space="preserve">Questions adapted from Dawson, </w:t>
      </w:r>
      <w:r w:rsidR="00313156">
        <w:rPr>
          <w:i/>
        </w:rPr>
        <w:t>2009</w:t>
      </w:r>
    </w:p>
    <w:p w:rsidR="00313156" w:rsidRDefault="00313156" w:rsidP="00313156">
      <w:pPr>
        <w:rPr>
          <w:i/>
        </w:rPr>
      </w:pPr>
      <w:r>
        <w:rPr>
          <w:i/>
        </w:rPr>
        <w:t>Ethics and Methodology</w:t>
      </w:r>
    </w:p>
    <w:p w:rsidR="00313156" w:rsidRDefault="00313156" w:rsidP="00313156">
      <w:r>
        <w:t>Ethical issues in Questionnaires</w:t>
      </w:r>
    </w:p>
    <w:p w:rsidR="00313156" w:rsidRDefault="00313156" w:rsidP="00313156">
      <w:pPr>
        <w:pStyle w:val="ListParagraph"/>
        <w:numPr>
          <w:ilvl w:val="0"/>
          <w:numId w:val="4"/>
        </w:numPr>
      </w:pPr>
      <w:r>
        <w:t xml:space="preserve">A questionnaire is an intrusion into the life of the respondent on two levels – the time taken to complete the questionnaire and the level of ‘threat’ or sensitivity of the questions. </w:t>
      </w:r>
    </w:p>
    <w:p w:rsidR="00313156" w:rsidRDefault="00313156" w:rsidP="00313156">
      <w:pPr>
        <w:pStyle w:val="ListParagraph"/>
        <w:numPr>
          <w:ilvl w:val="0"/>
          <w:numId w:val="4"/>
        </w:numPr>
      </w:pPr>
      <w:r>
        <w:t xml:space="preserve">The possible invasion of privacy. </w:t>
      </w:r>
    </w:p>
    <w:p w:rsidR="00313156" w:rsidRDefault="00313156" w:rsidP="00313156">
      <w:pPr>
        <w:pStyle w:val="ListParagraph"/>
        <w:numPr>
          <w:ilvl w:val="0"/>
          <w:numId w:val="4"/>
        </w:numPr>
      </w:pPr>
      <w:r>
        <w:t>Ensuring informed consent and the right to withdraw at any stage. This also applies to respondents not completing certain items of the questionnaire.</w:t>
      </w:r>
    </w:p>
    <w:p w:rsidR="00313156" w:rsidRDefault="00313156" w:rsidP="00313156">
      <w:pPr>
        <w:pStyle w:val="ListParagraph"/>
        <w:numPr>
          <w:ilvl w:val="0"/>
          <w:numId w:val="4"/>
        </w:numPr>
      </w:pPr>
      <w:r>
        <w:t>The sensitivity of the questions (respondents may over/under report (</w:t>
      </w:r>
      <w:proofErr w:type="spellStart"/>
      <w:r>
        <w:t>Sudman</w:t>
      </w:r>
      <w:proofErr w:type="spellEnd"/>
      <w:r>
        <w:t xml:space="preserve"> and </w:t>
      </w:r>
      <w:proofErr w:type="spellStart"/>
      <w:r>
        <w:t>Bradburn</w:t>
      </w:r>
      <w:proofErr w:type="spellEnd"/>
      <w:r>
        <w:t xml:space="preserve">, 1992). </w:t>
      </w:r>
    </w:p>
    <w:p w:rsidR="00313156" w:rsidRDefault="00313156" w:rsidP="00313156">
      <w:pPr>
        <w:pStyle w:val="ListParagraph"/>
        <w:numPr>
          <w:ilvl w:val="0"/>
          <w:numId w:val="4"/>
        </w:numPr>
      </w:pPr>
      <w:r>
        <w:t xml:space="preserve">The questionnaire design. Does it allow full coverage of respondents’ responses? </w:t>
      </w:r>
    </w:p>
    <w:p w:rsidR="00313156" w:rsidRDefault="00313156" w:rsidP="00313156">
      <w:pPr>
        <w:pStyle w:val="ListParagraph"/>
        <w:numPr>
          <w:ilvl w:val="0"/>
          <w:numId w:val="4"/>
        </w:numPr>
      </w:pPr>
      <w:r>
        <w:t xml:space="preserve">The avoidance of bias. </w:t>
      </w:r>
    </w:p>
    <w:p w:rsidR="00313156" w:rsidRDefault="00313156" w:rsidP="004F19ED">
      <w:r>
        <w:t>Ethical issues in Interviewing</w:t>
      </w:r>
    </w:p>
    <w:p w:rsidR="00313156" w:rsidRDefault="00313156" w:rsidP="00313156">
      <w:pPr>
        <w:pStyle w:val="ListParagraph"/>
        <w:numPr>
          <w:ilvl w:val="0"/>
          <w:numId w:val="5"/>
        </w:numPr>
      </w:pPr>
      <w:r>
        <w:t>Has informed consent been gained?</w:t>
      </w:r>
    </w:p>
    <w:p w:rsidR="00313156" w:rsidRDefault="00313156" w:rsidP="00313156">
      <w:pPr>
        <w:pStyle w:val="ListParagraph"/>
        <w:numPr>
          <w:ilvl w:val="0"/>
          <w:numId w:val="5"/>
        </w:numPr>
      </w:pPr>
      <w:r>
        <w:t>How will the research benefit the participants?</w:t>
      </w:r>
    </w:p>
    <w:p w:rsidR="00313156" w:rsidRDefault="00313156" w:rsidP="00313156">
      <w:pPr>
        <w:pStyle w:val="ListParagraph"/>
        <w:numPr>
          <w:ilvl w:val="0"/>
          <w:numId w:val="5"/>
        </w:numPr>
      </w:pPr>
      <w:r>
        <w:t xml:space="preserve">Have confidentiality, </w:t>
      </w:r>
      <w:r w:rsidR="008504DB">
        <w:t>anonymity</w:t>
      </w:r>
      <w:r>
        <w:t xml:space="preserve"> and non-identifiability/traceability been guaranteed?</w:t>
      </w:r>
    </w:p>
    <w:p w:rsidR="00313156" w:rsidRDefault="00313156" w:rsidP="00313156">
      <w:pPr>
        <w:pStyle w:val="ListParagraph"/>
        <w:numPr>
          <w:ilvl w:val="0"/>
          <w:numId w:val="5"/>
        </w:numPr>
      </w:pPr>
      <w:r>
        <w:t xml:space="preserve">How does the Data Protection Act (1984) operate in interview situations? </w:t>
      </w:r>
    </w:p>
    <w:p w:rsidR="006972D4" w:rsidRDefault="006972D4" w:rsidP="00313156">
      <w:pPr>
        <w:pStyle w:val="ListParagraph"/>
        <w:numPr>
          <w:ilvl w:val="0"/>
          <w:numId w:val="5"/>
        </w:numPr>
      </w:pPr>
      <w:r>
        <w:t>What has been done to ensure the interview is conducted in an appropriate, non-stressful, non-threatening, manner?</w:t>
      </w:r>
    </w:p>
    <w:p w:rsidR="006972D4" w:rsidRPr="00313156" w:rsidRDefault="006972D4" w:rsidP="00313156">
      <w:pPr>
        <w:pStyle w:val="ListParagraph"/>
        <w:numPr>
          <w:ilvl w:val="0"/>
          <w:numId w:val="5"/>
        </w:numPr>
      </w:pPr>
      <w:r>
        <w:lastRenderedPageBreak/>
        <w:t xml:space="preserve">How will the data and the transcriptions be verified, and by whom? </w:t>
      </w:r>
    </w:p>
    <w:p w:rsidR="00866DCE" w:rsidRPr="006972D4" w:rsidRDefault="006972D4">
      <w:r w:rsidRPr="006972D4">
        <w:t xml:space="preserve">Ethical issues in </w:t>
      </w:r>
      <w:r w:rsidRPr="006972D4">
        <w:rPr>
          <w:b/>
        </w:rPr>
        <w:t>overt</w:t>
      </w:r>
      <w:r>
        <w:t xml:space="preserve"> O</w:t>
      </w:r>
      <w:r w:rsidRPr="006972D4">
        <w:t xml:space="preserve">bservation </w:t>
      </w:r>
    </w:p>
    <w:p w:rsidR="006972D4" w:rsidRPr="006972D4" w:rsidRDefault="006972D4" w:rsidP="006972D4">
      <w:pPr>
        <w:pStyle w:val="ListParagraph"/>
        <w:numPr>
          <w:ilvl w:val="0"/>
          <w:numId w:val="6"/>
        </w:numPr>
        <w:rPr>
          <w:b/>
          <w:i/>
        </w:rPr>
      </w:pPr>
      <w:r>
        <w:t>Claims that this method is usually neutral and non-interventionist. How true is this?</w:t>
      </w:r>
    </w:p>
    <w:p w:rsidR="006972D4" w:rsidRPr="006972D4" w:rsidRDefault="006972D4" w:rsidP="006972D4">
      <w:pPr>
        <w:pStyle w:val="ListParagraph"/>
        <w:numPr>
          <w:ilvl w:val="0"/>
          <w:numId w:val="6"/>
        </w:numPr>
        <w:rPr>
          <w:b/>
          <w:i/>
        </w:rPr>
      </w:pPr>
      <w:r>
        <w:t xml:space="preserve">Observer effects can be considerable (see Hawthorne effect below). </w:t>
      </w:r>
    </w:p>
    <w:p w:rsidR="00866DCE" w:rsidRPr="006972D4" w:rsidRDefault="006972D4" w:rsidP="006972D4">
      <w:pPr>
        <w:pStyle w:val="ListParagraph"/>
        <w:numPr>
          <w:ilvl w:val="0"/>
          <w:numId w:val="6"/>
        </w:numPr>
        <w:rPr>
          <w:b/>
          <w:i/>
        </w:rPr>
      </w:pPr>
      <w:r>
        <w:t xml:space="preserve">At what stage does a non-interventionist approach to observation become unacceptable? </w:t>
      </w:r>
    </w:p>
    <w:p w:rsidR="006972D4" w:rsidRDefault="006972D4" w:rsidP="006972D4">
      <w:pPr>
        <w:ind w:left="360"/>
        <w:jc w:val="right"/>
        <w:rPr>
          <w:i/>
        </w:rPr>
      </w:pPr>
      <w:r>
        <w:rPr>
          <w:i/>
        </w:rPr>
        <w:t>Adapted from Cohen et al, 2003: 246</w:t>
      </w:r>
    </w:p>
    <w:p w:rsidR="00BF5BF0" w:rsidRPr="00BF5BF0" w:rsidRDefault="00BF5BF0" w:rsidP="006972D4">
      <w:pPr>
        <w:rPr>
          <w:color w:val="7030A0"/>
        </w:rPr>
      </w:pPr>
      <w:r>
        <w:rPr>
          <w:color w:val="7030A0"/>
        </w:rPr>
        <w:t xml:space="preserve">Question to Consider: How could this affect your own study? </w:t>
      </w:r>
    </w:p>
    <w:p w:rsidR="00BF5BF0" w:rsidRDefault="00BF5BF0" w:rsidP="006972D4">
      <w:pPr>
        <w:rPr>
          <w:i/>
        </w:rPr>
      </w:pPr>
    </w:p>
    <w:p w:rsidR="006972D4" w:rsidRPr="006972D4" w:rsidRDefault="006972D4" w:rsidP="006972D4">
      <w:pPr>
        <w:rPr>
          <w:i/>
        </w:rPr>
      </w:pPr>
      <w:r>
        <w:rPr>
          <w:i/>
        </w:rPr>
        <w:t>Risks of</w:t>
      </w:r>
      <w:r w:rsidRPr="006972D4">
        <w:rPr>
          <w:i/>
        </w:rPr>
        <w:t xml:space="preserve"> Observation</w:t>
      </w:r>
      <w:r>
        <w:rPr>
          <w:i/>
        </w:rPr>
        <w:t xml:space="preserve"> of Participants with their Knowledge</w:t>
      </w:r>
    </w:p>
    <w:p w:rsidR="00866DCE" w:rsidRDefault="006972D4" w:rsidP="006972D4">
      <w:r>
        <w:t>Hawthorne Effect</w:t>
      </w:r>
    </w:p>
    <w:p w:rsidR="006972D4" w:rsidRDefault="006972D4" w:rsidP="006972D4">
      <w:r>
        <w:t>“When individuals or groups become aware that they are being observed, they may change their behaviour. Depending upon the situation, this change could be positive or negative.” (Kumar, 2014: 372)</w:t>
      </w:r>
    </w:p>
    <w:p w:rsidR="006972D4" w:rsidRDefault="006972D4" w:rsidP="006972D4">
      <w:r>
        <w:t>Halo Effect</w:t>
      </w:r>
    </w:p>
    <w:p w:rsidR="00A82D1B" w:rsidRDefault="006972D4">
      <w:r>
        <w:t>“When making an observation, some observers may be influenced to rate an individual on one aspect of the interaction by the way s/he was rated on another.”</w:t>
      </w:r>
      <w:r w:rsidR="00A82D1B">
        <w:t xml:space="preserve"> (Kumar, 2014: 372)</w:t>
      </w:r>
    </w:p>
    <w:p w:rsidR="00BF5BF0" w:rsidRPr="00BF5BF0" w:rsidRDefault="00BF5BF0">
      <w:pPr>
        <w:rPr>
          <w:color w:val="7030A0"/>
        </w:rPr>
      </w:pPr>
      <w:r w:rsidRPr="00BF5BF0">
        <w:rPr>
          <w:color w:val="7030A0"/>
        </w:rPr>
        <w:t xml:space="preserve">Question to Consider: Is there a risk of either of these effects happening in your study? How can you try to limit this as much as possible? </w:t>
      </w:r>
    </w:p>
    <w:p w:rsidR="00BF5BF0" w:rsidRDefault="00BF5BF0">
      <w:pPr>
        <w:rPr>
          <w:b/>
          <w:i/>
        </w:rPr>
      </w:pPr>
    </w:p>
    <w:p w:rsidR="00C61B97" w:rsidRPr="00A82D1B" w:rsidRDefault="00A82D1B">
      <w:r>
        <w:rPr>
          <w:b/>
          <w:i/>
        </w:rPr>
        <w:t>C</w:t>
      </w:r>
      <w:r w:rsidR="00074ABA" w:rsidRPr="00074ABA">
        <w:rPr>
          <w:b/>
          <w:i/>
        </w:rPr>
        <w:t>an I ask children to participate in my research?</w:t>
      </w:r>
    </w:p>
    <w:p w:rsidR="00074ABA" w:rsidRDefault="00074ABA">
      <w:r>
        <w:t xml:space="preserve">In the past, there has been a tendency to view children as ‘incomplete’ versions of adults or ‘human </w:t>
      </w:r>
      <w:proofErr w:type="spellStart"/>
      <w:r>
        <w:t>becomings</w:t>
      </w:r>
      <w:proofErr w:type="spellEnd"/>
      <w:r>
        <w:t xml:space="preserve">’ (Phillips and Alderson, 2002: 6 in </w:t>
      </w:r>
      <w:proofErr w:type="spellStart"/>
      <w:r>
        <w:t>Farell</w:t>
      </w:r>
      <w:proofErr w:type="spellEnd"/>
      <w:r>
        <w:t>, 20</w:t>
      </w:r>
      <w:r w:rsidR="00802E79">
        <w:t>05</w:t>
      </w:r>
      <w:r>
        <w:t xml:space="preserve">:5). </w:t>
      </w:r>
      <w:proofErr w:type="spellStart"/>
      <w:r>
        <w:t>Developmentalism</w:t>
      </w:r>
      <w:proofErr w:type="spellEnd"/>
      <w:r>
        <w:t xml:space="preserve"> emphasised children’s limitations at each developmental stage and this was viewed as problematic in terms of the quality of data which could be collected (</w:t>
      </w:r>
      <w:proofErr w:type="spellStart"/>
      <w:r>
        <w:t>Farell</w:t>
      </w:r>
      <w:proofErr w:type="spellEnd"/>
      <w:r>
        <w:t>,</w:t>
      </w:r>
      <w:r w:rsidR="00802E79">
        <w:t xml:space="preserve"> 2005</w:t>
      </w:r>
      <w:r>
        <w:t>:5). However, in recent decades this view has come to change drastically:</w:t>
      </w:r>
    </w:p>
    <w:p w:rsidR="00074ABA" w:rsidRDefault="00074ABA" w:rsidP="00074ABA">
      <w:pPr>
        <w:ind w:left="720"/>
      </w:pPr>
      <w:r>
        <w:t>This [new] sociological view sees children as already competent participants in their everyday worlds (Mackay, 1991) and capable of participation in or withdrawal from research. Childhood from this approach, is viewed not as a universal phenomenon, but as socially constructed within specific times, places and contexts, including those that may be constructed as research contexts in which children’s active participation is sought and maintained.</w:t>
      </w:r>
    </w:p>
    <w:p w:rsidR="00074ABA" w:rsidRDefault="00074ABA" w:rsidP="00074ABA">
      <w:pPr>
        <w:ind w:left="720"/>
        <w:jc w:val="right"/>
      </w:pPr>
      <w:r>
        <w:t>Farrel</w:t>
      </w:r>
      <w:r w:rsidR="00961139">
        <w:t>l</w:t>
      </w:r>
      <w:r>
        <w:t>, 20</w:t>
      </w:r>
      <w:r w:rsidR="00802E79">
        <w:t>05</w:t>
      </w:r>
      <w:r>
        <w:t xml:space="preserve">:6 </w:t>
      </w:r>
    </w:p>
    <w:p w:rsidR="00866DCE" w:rsidRDefault="005468E5">
      <w:r>
        <w:t>When considering asking children to be participants in your research, it is of critical importance therefore that you ask for informed co</w:t>
      </w:r>
      <w:r w:rsidR="00961139">
        <w:t>nsent from the child themselves – this shows that you recognise and understand that children can decide for themselves.</w:t>
      </w:r>
      <w:r>
        <w:t xml:space="preserve"> How you do this is part of your responsibility as researcher – think carefully about how you can explain your research in a way which is appropriate to each participant’s needs and to ask them for their consent</w:t>
      </w:r>
      <w:r w:rsidR="00866DCE">
        <w:t>:</w:t>
      </w:r>
    </w:p>
    <w:p w:rsidR="00866DCE" w:rsidRDefault="00866DCE" w:rsidP="00866DCE">
      <w:pPr>
        <w:ind w:left="720"/>
      </w:pPr>
      <w:r>
        <w:lastRenderedPageBreak/>
        <w:t xml:space="preserve">Our feeling is that children should be told as much as possible, even if some of them cannot understand the full explanation. Their age should not diminish their rights, although their level of understanding must be taken into account in the explanations that are shared with them. </w:t>
      </w:r>
    </w:p>
    <w:p w:rsidR="00866DCE" w:rsidRDefault="00866DCE" w:rsidP="00866DCE">
      <w:pPr>
        <w:ind w:left="720"/>
        <w:jc w:val="right"/>
      </w:pPr>
      <w:r>
        <w:t>Cohen et al, 2003: 53</w:t>
      </w:r>
    </w:p>
    <w:p w:rsidR="00BF5BF0" w:rsidRPr="00BF5BF0" w:rsidRDefault="00BF5BF0">
      <w:pPr>
        <w:rPr>
          <w:color w:val="7030A0"/>
        </w:rPr>
      </w:pPr>
      <w:r>
        <w:rPr>
          <w:color w:val="7030A0"/>
        </w:rPr>
        <w:t xml:space="preserve">Question to Consider: To what extent is the observation a ‘normal’ or ‘usual’ part of your practice e.g. if you are a volunteer with an organisation or a teacher at a school already? How can you be appropriate in seeking informed consent from children e.g. using non-threatening smiley/sad faces for young children to indicate their preference? </w:t>
      </w:r>
    </w:p>
    <w:p w:rsidR="005468E5" w:rsidRDefault="005468E5">
      <w:r>
        <w:t xml:space="preserve">To help you to do this, it can be useful to ask yourself, to what extent do you wish children to </w:t>
      </w:r>
      <w:r>
        <w:rPr>
          <w:i/>
        </w:rPr>
        <w:t xml:space="preserve">participate </w:t>
      </w:r>
      <w:r>
        <w:t>in your research:</w:t>
      </w:r>
    </w:p>
    <w:p w:rsidR="005468E5" w:rsidRPr="005468E5" w:rsidRDefault="005468E5">
      <w:r>
        <w:rPr>
          <w:noProof/>
          <w:lang w:eastAsia="en-GB"/>
        </w:rPr>
        <w:drawing>
          <wp:inline distT="0" distB="0" distL="0" distR="0" wp14:anchorId="1E4D1E57" wp14:editId="443520DF">
            <wp:extent cx="6067425" cy="3028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35564" t="20606" r="12088" b="35081"/>
                    <a:stretch/>
                  </pic:blipFill>
                  <pic:spPr bwMode="auto">
                    <a:xfrm>
                      <a:off x="0" y="0"/>
                      <a:ext cx="6076754" cy="3033607"/>
                    </a:xfrm>
                    <a:prstGeom prst="rect">
                      <a:avLst/>
                    </a:prstGeom>
                    <a:ln>
                      <a:noFill/>
                    </a:ln>
                    <a:extLst>
                      <a:ext uri="{53640926-AAD7-44D8-BBD7-CCE9431645EC}">
                        <a14:shadowObscured xmlns:a14="http://schemas.microsoft.com/office/drawing/2010/main"/>
                      </a:ext>
                    </a:extLst>
                  </pic:spPr>
                </pic:pic>
              </a:graphicData>
            </a:graphic>
          </wp:inline>
        </w:drawing>
      </w:r>
    </w:p>
    <w:p w:rsidR="005468E5" w:rsidRPr="003A019D" w:rsidRDefault="003A019D" w:rsidP="003A019D">
      <w:pPr>
        <w:jc w:val="right"/>
      </w:pPr>
      <w:proofErr w:type="spellStart"/>
      <w:r>
        <w:t>Greig</w:t>
      </w:r>
      <w:proofErr w:type="spellEnd"/>
      <w:r>
        <w:t xml:space="preserve"> et al,</w:t>
      </w:r>
      <w:r w:rsidR="00961139">
        <w:t xml:space="preserve"> 2007</w:t>
      </w:r>
      <w:r>
        <w:t>:174</w:t>
      </w:r>
    </w:p>
    <w:p w:rsidR="00074ABA" w:rsidRDefault="00802E79">
      <w:pPr>
        <w:rPr>
          <w:i/>
        </w:rPr>
      </w:pPr>
      <w:r w:rsidRPr="00802E79">
        <w:rPr>
          <w:i/>
        </w:rPr>
        <w:t>What sort of methods are appropriate when working with children?</w:t>
      </w:r>
    </w:p>
    <w:p w:rsidR="00802E79" w:rsidRDefault="00802E79">
      <w:proofErr w:type="spellStart"/>
      <w:r>
        <w:t>Greig</w:t>
      </w:r>
      <w:proofErr w:type="spellEnd"/>
      <w:r>
        <w:t xml:space="preserve"> at </w:t>
      </w:r>
      <w:proofErr w:type="spellStart"/>
      <w:r>
        <w:t>al</w:t>
      </w:r>
      <w:proofErr w:type="spellEnd"/>
      <w:r>
        <w:t xml:space="preserve"> (1999) argue that qualitative approaches are particularly suitable for doing research with children in an educational setting because it usually allows the researcher to:</w:t>
      </w:r>
    </w:p>
    <w:p w:rsidR="00802E79" w:rsidRDefault="00802E79" w:rsidP="00802E79">
      <w:pPr>
        <w:pStyle w:val="ListParagraph"/>
        <w:numPr>
          <w:ilvl w:val="0"/>
          <w:numId w:val="1"/>
        </w:numPr>
      </w:pPr>
      <w:r>
        <w:t>Work with others who are used to working with children. For example, teachers.</w:t>
      </w:r>
    </w:p>
    <w:p w:rsidR="00802E79" w:rsidRDefault="004F2842" w:rsidP="00802E79">
      <w:pPr>
        <w:pStyle w:val="ListParagraph"/>
        <w:numPr>
          <w:ilvl w:val="0"/>
          <w:numId w:val="1"/>
        </w:numPr>
      </w:pPr>
      <w:r>
        <w:t>C</w:t>
      </w:r>
      <w:r w:rsidR="00802E79">
        <w:t>omplete the study in a real-life naturalistic setting</w:t>
      </w:r>
      <w:r>
        <w:t>,</w:t>
      </w:r>
      <w:r w:rsidR="00802E79">
        <w:t xml:space="preserve"> such as</w:t>
      </w:r>
      <w:r>
        <w:t xml:space="preserve"> a</w:t>
      </w:r>
      <w:r w:rsidR="00802E79">
        <w:t xml:space="preserve"> school. </w:t>
      </w:r>
    </w:p>
    <w:p w:rsidR="00802E79" w:rsidRDefault="00802E79" w:rsidP="00802E79">
      <w:pPr>
        <w:pStyle w:val="ListParagraph"/>
        <w:numPr>
          <w:ilvl w:val="0"/>
          <w:numId w:val="1"/>
        </w:numPr>
      </w:pPr>
      <w:r>
        <w:t xml:space="preserve">Generally work with small groups or individuals at a detailed and intensive level. </w:t>
      </w:r>
    </w:p>
    <w:p w:rsidR="00802E79" w:rsidRDefault="00802E79" w:rsidP="00802E79">
      <w:r>
        <w:t xml:space="preserve">They also suggest that: </w:t>
      </w:r>
    </w:p>
    <w:p w:rsidR="00802E79" w:rsidRDefault="00802E79" w:rsidP="005468E5">
      <w:pPr>
        <w:ind w:left="720"/>
      </w:pPr>
      <w:r>
        <w:t>Children represent an excellent source of the kind of data that are at the hear</w:t>
      </w:r>
      <w:r w:rsidR="005468E5">
        <w:t xml:space="preserve">t of qualitative research – rich descriptions in words and picture that capture children’s experiences and understandings, rather than the cold, abstract findings that often derive from numerical analysis. </w:t>
      </w:r>
    </w:p>
    <w:p w:rsidR="005468E5" w:rsidRDefault="00961139" w:rsidP="00961139">
      <w:pPr>
        <w:ind w:left="720"/>
        <w:jc w:val="right"/>
      </w:pPr>
      <w:r>
        <w:t>(</w:t>
      </w:r>
      <w:proofErr w:type="spellStart"/>
      <w:r>
        <w:t>Greig</w:t>
      </w:r>
      <w:proofErr w:type="spellEnd"/>
      <w:r>
        <w:t xml:space="preserve"> et al, </w:t>
      </w:r>
      <w:proofErr w:type="gramStart"/>
      <w:r>
        <w:t>2007 :</w:t>
      </w:r>
      <w:proofErr w:type="gramEnd"/>
      <w:r>
        <w:t>138)</w:t>
      </w:r>
    </w:p>
    <w:p w:rsidR="00802E79" w:rsidRDefault="005468E5" w:rsidP="00802E79">
      <w:pPr>
        <w:rPr>
          <w:noProof/>
          <w:lang w:eastAsia="en-GB"/>
        </w:rPr>
      </w:pPr>
      <w:r>
        <w:rPr>
          <w:noProof/>
          <w:lang w:eastAsia="en-GB"/>
        </w:rPr>
        <w:lastRenderedPageBreak/>
        <w:t xml:space="preserve">However, they also warn that: </w:t>
      </w:r>
    </w:p>
    <w:p w:rsidR="005468E5" w:rsidRDefault="005468E5" w:rsidP="00802E79">
      <w:r>
        <w:rPr>
          <w:noProof/>
          <w:lang w:eastAsia="en-GB"/>
        </w:rPr>
        <w:drawing>
          <wp:inline distT="0" distB="0" distL="0" distR="0" wp14:anchorId="0EF22329" wp14:editId="7A3BA3AC">
            <wp:extent cx="4732244" cy="1962150"/>
            <wp:effectExtent l="19050" t="19050" r="1143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2240" t="34787" r="6437" b="31314"/>
                    <a:stretch/>
                  </pic:blipFill>
                  <pic:spPr bwMode="auto">
                    <a:xfrm>
                      <a:off x="0" y="0"/>
                      <a:ext cx="4738785" cy="196486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rsidR="005468E5" w:rsidRPr="00802E79" w:rsidRDefault="005468E5" w:rsidP="005468E5">
      <w:pPr>
        <w:jc w:val="right"/>
      </w:pPr>
      <w:proofErr w:type="spellStart"/>
      <w:r>
        <w:t>Greig</w:t>
      </w:r>
      <w:proofErr w:type="spellEnd"/>
      <w:r>
        <w:t xml:space="preserve"> et al, </w:t>
      </w:r>
      <w:r w:rsidR="00961139">
        <w:t>2007</w:t>
      </w:r>
      <w:r>
        <w:t>:140</w:t>
      </w:r>
    </w:p>
    <w:p w:rsidR="00802E79" w:rsidRPr="00646F56" w:rsidRDefault="00646F56" w:rsidP="00646F56">
      <w:pPr>
        <w:rPr>
          <w:color w:val="7030A0"/>
        </w:rPr>
      </w:pPr>
      <w:r>
        <w:rPr>
          <w:color w:val="7030A0"/>
        </w:rPr>
        <w:t xml:space="preserve">Question to Consider: If you are using observation, how could you triangulate your findings to add robustness to the validity of your data? E.g. Systematic observation shared with a TA. </w:t>
      </w:r>
    </w:p>
    <w:p w:rsidR="00802E79" w:rsidRDefault="00961139" w:rsidP="00802E79">
      <w:r>
        <w:t xml:space="preserve">The following table outlines elements of good practice when considering your research design in relation to children: </w:t>
      </w:r>
    </w:p>
    <w:p w:rsidR="00961139" w:rsidRPr="00802E79" w:rsidRDefault="00961139" w:rsidP="00802E79">
      <w:r>
        <w:rPr>
          <w:noProof/>
          <w:lang w:eastAsia="en-GB"/>
        </w:rPr>
        <w:drawing>
          <wp:inline distT="0" distB="0" distL="0" distR="0" wp14:anchorId="3DA54568" wp14:editId="6496C549">
            <wp:extent cx="5743575" cy="3599307"/>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3237" t="27031" r="6936" b="18242"/>
                    <a:stretch/>
                  </pic:blipFill>
                  <pic:spPr bwMode="auto">
                    <a:xfrm>
                      <a:off x="0" y="0"/>
                      <a:ext cx="5743575" cy="3599307"/>
                    </a:xfrm>
                    <a:prstGeom prst="rect">
                      <a:avLst/>
                    </a:prstGeom>
                    <a:ln>
                      <a:noFill/>
                    </a:ln>
                    <a:extLst>
                      <a:ext uri="{53640926-AAD7-44D8-BBD7-CCE9431645EC}">
                        <a14:shadowObscured xmlns:a14="http://schemas.microsoft.com/office/drawing/2010/main"/>
                      </a:ext>
                    </a:extLst>
                  </pic:spPr>
                </pic:pic>
              </a:graphicData>
            </a:graphic>
          </wp:inline>
        </w:drawing>
      </w:r>
    </w:p>
    <w:p w:rsidR="00802E79" w:rsidRPr="00802E79" w:rsidRDefault="00961139" w:rsidP="00802E79">
      <w:r>
        <w:rPr>
          <w:noProof/>
          <w:lang w:eastAsia="en-GB"/>
        </w:rPr>
        <w:lastRenderedPageBreak/>
        <w:drawing>
          <wp:inline distT="0" distB="0" distL="0" distR="0" wp14:anchorId="46F210FD" wp14:editId="22024E1D">
            <wp:extent cx="6057900" cy="3638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2905" t="16175" r="7933" b="40177"/>
                    <a:stretch/>
                  </pic:blipFill>
                  <pic:spPr bwMode="auto">
                    <a:xfrm>
                      <a:off x="0" y="0"/>
                      <a:ext cx="6057900" cy="3638550"/>
                    </a:xfrm>
                    <a:prstGeom prst="rect">
                      <a:avLst/>
                    </a:prstGeom>
                    <a:ln>
                      <a:noFill/>
                    </a:ln>
                    <a:extLst>
                      <a:ext uri="{53640926-AAD7-44D8-BBD7-CCE9431645EC}">
                        <a14:shadowObscured xmlns:a14="http://schemas.microsoft.com/office/drawing/2010/main"/>
                      </a:ext>
                    </a:extLst>
                  </pic:spPr>
                </pic:pic>
              </a:graphicData>
            </a:graphic>
          </wp:inline>
        </w:drawing>
      </w:r>
    </w:p>
    <w:p w:rsidR="00802E79" w:rsidRPr="00802E79" w:rsidRDefault="00961139" w:rsidP="00802E79">
      <w:r>
        <w:rPr>
          <w:noProof/>
          <w:lang w:eastAsia="en-GB"/>
        </w:rPr>
        <w:drawing>
          <wp:inline distT="0" distB="0" distL="0" distR="0" wp14:anchorId="2C822562" wp14:editId="12F82CA8">
            <wp:extent cx="5276850" cy="25431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3902" t="17947" r="10260" b="52142"/>
                    <a:stretch/>
                  </pic:blipFill>
                  <pic:spPr bwMode="auto">
                    <a:xfrm>
                      <a:off x="0" y="0"/>
                      <a:ext cx="5287252" cy="2548188"/>
                    </a:xfrm>
                    <a:prstGeom prst="rect">
                      <a:avLst/>
                    </a:prstGeom>
                    <a:ln>
                      <a:noFill/>
                    </a:ln>
                    <a:extLst>
                      <a:ext uri="{53640926-AAD7-44D8-BBD7-CCE9431645EC}">
                        <a14:shadowObscured xmlns:a14="http://schemas.microsoft.com/office/drawing/2010/main"/>
                      </a:ext>
                    </a:extLst>
                  </pic:spPr>
                </pic:pic>
              </a:graphicData>
            </a:graphic>
          </wp:inline>
        </w:drawing>
      </w:r>
    </w:p>
    <w:p w:rsidR="00802E79" w:rsidRDefault="00961139" w:rsidP="00961139">
      <w:pPr>
        <w:jc w:val="right"/>
      </w:pPr>
      <w:proofErr w:type="spellStart"/>
      <w:r>
        <w:t>Greig</w:t>
      </w:r>
      <w:proofErr w:type="spellEnd"/>
      <w:r>
        <w:t xml:space="preserve"> et al, </w:t>
      </w:r>
      <w:r w:rsidR="00D50C64">
        <w:t>2007</w:t>
      </w:r>
      <w:r>
        <w:t xml:space="preserve">:176 </w:t>
      </w:r>
    </w:p>
    <w:p w:rsidR="00646F56" w:rsidRDefault="00646F56" w:rsidP="009A7E55"/>
    <w:p w:rsidR="00802E79" w:rsidRDefault="00D66B6E" w:rsidP="009A7E55">
      <w:pPr>
        <w:rPr>
          <w:b/>
        </w:rPr>
      </w:pPr>
      <w:r>
        <w:rPr>
          <w:b/>
        </w:rPr>
        <w:t>References</w:t>
      </w:r>
    </w:p>
    <w:p w:rsidR="009A7E55" w:rsidRDefault="009A7E55" w:rsidP="00D66B6E">
      <w:r>
        <w:t xml:space="preserve">Cohen, L., </w:t>
      </w:r>
      <w:proofErr w:type="spellStart"/>
      <w:r>
        <w:t>Manion</w:t>
      </w:r>
      <w:proofErr w:type="spellEnd"/>
      <w:r>
        <w:t xml:space="preserve">, L., and Morrison, K. (2003) </w:t>
      </w:r>
      <w:r>
        <w:rPr>
          <w:i/>
        </w:rPr>
        <w:t xml:space="preserve">Research Methods in Education. </w:t>
      </w:r>
      <w:r>
        <w:t>5</w:t>
      </w:r>
      <w:r w:rsidRPr="00D66B6E">
        <w:rPr>
          <w:vertAlign w:val="superscript"/>
        </w:rPr>
        <w:t>th</w:t>
      </w:r>
      <w:r>
        <w:t xml:space="preserve"> Ed. London and New York: </w:t>
      </w:r>
      <w:proofErr w:type="spellStart"/>
      <w:r>
        <w:t>RoutledgeFalmer</w:t>
      </w:r>
      <w:proofErr w:type="spellEnd"/>
      <w:r>
        <w:t>.</w:t>
      </w:r>
    </w:p>
    <w:p w:rsidR="008A4C3B" w:rsidRDefault="00612FB9" w:rsidP="00D66B6E">
      <w:r w:rsidRPr="00D66B6E">
        <w:t xml:space="preserve">Dawson, C. (2009) </w:t>
      </w:r>
      <w:r w:rsidRPr="00D66B6E">
        <w:rPr>
          <w:i/>
          <w:iCs/>
        </w:rPr>
        <w:t xml:space="preserve">Introduction to Research Methods. </w:t>
      </w:r>
      <w:r w:rsidRPr="00D66B6E">
        <w:t>4</w:t>
      </w:r>
      <w:r w:rsidRPr="00D66B6E">
        <w:rPr>
          <w:vertAlign w:val="superscript"/>
        </w:rPr>
        <w:t>th</w:t>
      </w:r>
      <w:r w:rsidRPr="00D66B6E">
        <w:t xml:space="preserve"> Ed. Oxford: How to Books Ltd. </w:t>
      </w:r>
    </w:p>
    <w:p w:rsidR="009A7E55" w:rsidRPr="00D66B6E" w:rsidRDefault="009A7E55" w:rsidP="009A7E55">
      <w:proofErr w:type="spellStart"/>
      <w:r>
        <w:t>Farell</w:t>
      </w:r>
      <w:proofErr w:type="spellEnd"/>
      <w:r>
        <w:t xml:space="preserve">, A. (Ed.) (2005) </w:t>
      </w:r>
      <w:r w:rsidRPr="00D66B6E">
        <w:rPr>
          <w:i/>
        </w:rPr>
        <w:t>Ethical Research with Children</w:t>
      </w:r>
      <w:r>
        <w:t xml:space="preserve">. London: Open University Press. </w:t>
      </w:r>
    </w:p>
    <w:p w:rsidR="009A7E55" w:rsidRPr="009A7E55" w:rsidRDefault="009A7E55" w:rsidP="009A7E55">
      <w:proofErr w:type="spellStart"/>
      <w:r>
        <w:t>Greig</w:t>
      </w:r>
      <w:proofErr w:type="spellEnd"/>
      <w:r>
        <w:t xml:space="preserve">, A., Taylor, J., and Mackay, T. (2007) </w:t>
      </w:r>
      <w:r>
        <w:rPr>
          <w:i/>
        </w:rPr>
        <w:t xml:space="preserve">Doing Research with Children. </w:t>
      </w:r>
      <w:r>
        <w:t xml:space="preserve">London: SAGE. </w:t>
      </w:r>
    </w:p>
    <w:p w:rsidR="00612FB9" w:rsidRDefault="00612FB9" w:rsidP="00D66B6E">
      <w:r w:rsidRPr="00D66B6E">
        <w:t xml:space="preserve">Kumar, R. (2014) </w:t>
      </w:r>
      <w:r w:rsidRPr="00D66B6E">
        <w:rPr>
          <w:i/>
          <w:iCs/>
        </w:rPr>
        <w:t xml:space="preserve">Research Methodology: A Step by Step Guide. </w:t>
      </w:r>
      <w:r w:rsidRPr="00D66B6E">
        <w:t>4</w:t>
      </w:r>
      <w:r w:rsidRPr="00D66B6E">
        <w:rPr>
          <w:vertAlign w:val="superscript"/>
        </w:rPr>
        <w:t>th</w:t>
      </w:r>
      <w:r w:rsidRPr="00D66B6E">
        <w:t xml:space="preserve"> Ed. London: Sage Publications Ltd. </w:t>
      </w:r>
    </w:p>
    <w:sectPr w:rsidR="00612F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870B20"/>
    <w:multiLevelType w:val="hybridMultilevel"/>
    <w:tmpl w:val="0FF68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A57F7"/>
    <w:multiLevelType w:val="hybridMultilevel"/>
    <w:tmpl w:val="EB9C75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21395E"/>
    <w:multiLevelType w:val="hybridMultilevel"/>
    <w:tmpl w:val="09707FB8"/>
    <w:lvl w:ilvl="0" w:tplc="5A48DA32">
      <w:start w:val="1"/>
      <w:numFmt w:val="bullet"/>
      <w:lvlText w:val="•"/>
      <w:lvlJc w:val="left"/>
      <w:pPr>
        <w:tabs>
          <w:tab w:val="num" w:pos="720"/>
        </w:tabs>
        <w:ind w:left="720" w:hanging="360"/>
      </w:pPr>
      <w:rPr>
        <w:rFonts w:ascii="Arial" w:hAnsi="Arial" w:hint="default"/>
      </w:rPr>
    </w:lvl>
    <w:lvl w:ilvl="1" w:tplc="61962B04" w:tentative="1">
      <w:start w:val="1"/>
      <w:numFmt w:val="bullet"/>
      <w:lvlText w:val="•"/>
      <w:lvlJc w:val="left"/>
      <w:pPr>
        <w:tabs>
          <w:tab w:val="num" w:pos="1440"/>
        </w:tabs>
        <w:ind w:left="1440" w:hanging="360"/>
      </w:pPr>
      <w:rPr>
        <w:rFonts w:ascii="Arial" w:hAnsi="Arial" w:hint="default"/>
      </w:rPr>
    </w:lvl>
    <w:lvl w:ilvl="2" w:tplc="83446708" w:tentative="1">
      <w:start w:val="1"/>
      <w:numFmt w:val="bullet"/>
      <w:lvlText w:val="•"/>
      <w:lvlJc w:val="left"/>
      <w:pPr>
        <w:tabs>
          <w:tab w:val="num" w:pos="2160"/>
        </w:tabs>
        <w:ind w:left="2160" w:hanging="360"/>
      </w:pPr>
      <w:rPr>
        <w:rFonts w:ascii="Arial" w:hAnsi="Arial" w:hint="default"/>
      </w:rPr>
    </w:lvl>
    <w:lvl w:ilvl="3" w:tplc="34726A02" w:tentative="1">
      <w:start w:val="1"/>
      <w:numFmt w:val="bullet"/>
      <w:lvlText w:val="•"/>
      <w:lvlJc w:val="left"/>
      <w:pPr>
        <w:tabs>
          <w:tab w:val="num" w:pos="2880"/>
        </w:tabs>
        <w:ind w:left="2880" w:hanging="360"/>
      </w:pPr>
      <w:rPr>
        <w:rFonts w:ascii="Arial" w:hAnsi="Arial" w:hint="default"/>
      </w:rPr>
    </w:lvl>
    <w:lvl w:ilvl="4" w:tplc="5074EC1A" w:tentative="1">
      <w:start w:val="1"/>
      <w:numFmt w:val="bullet"/>
      <w:lvlText w:val="•"/>
      <w:lvlJc w:val="left"/>
      <w:pPr>
        <w:tabs>
          <w:tab w:val="num" w:pos="3600"/>
        </w:tabs>
        <w:ind w:left="3600" w:hanging="360"/>
      </w:pPr>
      <w:rPr>
        <w:rFonts w:ascii="Arial" w:hAnsi="Arial" w:hint="default"/>
      </w:rPr>
    </w:lvl>
    <w:lvl w:ilvl="5" w:tplc="507E7FD8" w:tentative="1">
      <w:start w:val="1"/>
      <w:numFmt w:val="bullet"/>
      <w:lvlText w:val="•"/>
      <w:lvlJc w:val="left"/>
      <w:pPr>
        <w:tabs>
          <w:tab w:val="num" w:pos="4320"/>
        </w:tabs>
        <w:ind w:left="4320" w:hanging="360"/>
      </w:pPr>
      <w:rPr>
        <w:rFonts w:ascii="Arial" w:hAnsi="Arial" w:hint="default"/>
      </w:rPr>
    </w:lvl>
    <w:lvl w:ilvl="6" w:tplc="2116A7E6" w:tentative="1">
      <w:start w:val="1"/>
      <w:numFmt w:val="bullet"/>
      <w:lvlText w:val="•"/>
      <w:lvlJc w:val="left"/>
      <w:pPr>
        <w:tabs>
          <w:tab w:val="num" w:pos="5040"/>
        </w:tabs>
        <w:ind w:left="5040" w:hanging="360"/>
      </w:pPr>
      <w:rPr>
        <w:rFonts w:ascii="Arial" w:hAnsi="Arial" w:hint="default"/>
      </w:rPr>
    </w:lvl>
    <w:lvl w:ilvl="7" w:tplc="A7747A38" w:tentative="1">
      <w:start w:val="1"/>
      <w:numFmt w:val="bullet"/>
      <w:lvlText w:val="•"/>
      <w:lvlJc w:val="left"/>
      <w:pPr>
        <w:tabs>
          <w:tab w:val="num" w:pos="5760"/>
        </w:tabs>
        <w:ind w:left="5760" w:hanging="360"/>
      </w:pPr>
      <w:rPr>
        <w:rFonts w:ascii="Arial" w:hAnsi="Arial" w:hint="default"/>
      </w:rPr>
    </w:lvl>
    <w:lvl w:ilvl="8" w:tplc="54F4924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3B24AE5"/>
    <w:multiLevelType w:val="hybridMultilevel"/>
    <w:tmpl w:val="C8E45D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FD52FD"/>
    <w:multiLevelType w:val="hybridMultilevel"/>
    <w:tmpl w:val="0764E0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3FB5F22"/>
    <w:multiLevelType w:val="hybridMultilevel"/>
    <w:tmpl w:val="D966D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EB6094"/>
    <w:multiLevelType w:val="hybridMultilevel"/>
    <w:tmpl w:val="CBAC1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5"/>
  </w:num>
  <w:num w:numId="4">
    <w:abstractNumId w:val="0"/>
  </w:num>
  <w:num w:numId="5">
    <w:abstractNumId w:val="4"/>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4ABA"/>
    <w:rsid w:val="00033A94"/>
    <w:rsid w:val="00033E8B"/>
    <w:rsid w:val="00074ABA"/>
    <w:rsid w:val="00082756"/>
    <w:rsid w:val="00094D60"/>
    <w:rsid w:val="00174286"/>
    <w:rsid w:val="001C3871"/>
    <w:rsid w:val="002A780C"/>
    <w:rsid w:val="00313156"/>
    <w:rsid w:val="003A019D"/>
    <w:rsid w:val="004F19ED"/>
    <w:rsid w:val="004F2842"/>
    <w:rsid w:val="00506A5F"/>
    <w:rsid w:val="005468E5"/>
    <w:rsid w:val="00612FB9"/>
    <w:rsid w:val="00646F56"/>
    <w:rsid w:val="006972D4"/>
    <w:rsid w:val="00802E79"/>
    <w:rsid w:val="008504DB"/>
    <w:rsid w:val="00866DCE"/>
    <w:rsid w:val="008A4C3B"/>
    <w:rsid w:val="00900068"/>
    <w:rsid w:val="00961139"/>
    <w:rsid w:val="009A7E55"/>
    <w:rsid w:val="00A82D1B"/>
    <w:rsid w:val="00BA0E0E"/>
    <w:rsid w:val="00BF5BF0"/>
    <w:rsid w:val="00C30FA2"/>
    <w:rsid w:val="00D50C64"/>
    <w:rsid w:val="00D66B6E"/>
    <w:rsid w:val="00F56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CCF141C-5839-487A-AE6E-AC57D05BA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2E79"/>
    <w:pPr>
      <w:ind w:left="720"/>
      <w:contextualSpacing/>
    </w:pPr>
  </w:style>
  <w:style w:type="paragraph" w:styleId="BalloonText">
    <w:name w:val="Balloon Text"/>
    <w:basedOn w:val="Normal"/>
    <w:link w:val="BalloonTextChar"/>
    <w:uiPriority w:val="99"/>
    <w:semiHidden/>
    <w:unhideWhenUsed/>
    <w:rsid w:val="00F56E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6ED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8393026">
      <w:bodyDiv w:val="1"/>
      <w:marLeft w:val="0"/>
      <w:marRight w:val="0"/>
      <w:marTop w:val="0"/>
      <w:marBottom w:val="0"/>
      <w:divBdr>
        <w:top w:val="none" w:sz="0" w:space="0" w:color="auto"/>
        <w:left w:val="none" w:sz="0" w:space="0" w:color="auto"/>
        <w:bottom w:val="none" w:sz="0" w:space="0" w:color="auto"/>
        <w:right w:val="none" w:sz="0" w:space="0" w:color="auto"/>
      </w:divBdr>
      <w:divsChild>
        <w:div w:id="201358772">
          <w:marLeft w:val="360"/>
          <w:marRight w:val="0"/>
          <w:marTop w:val="200"/>
          <w:marBottom w:val="0"/>
          <w:divBdr>
            <w:top w:val="none" w:sz="0" w:space="0" w:color="auto"/>
            <w:left w:val="none" w:sz="0" w:space="0" w:color="auto"/>
            <w:bottom w:val="none" w:sz="0" w:space="0" w:color="auto"/>
            <w:right w:val="none" w:sz="0" w:space="0" w:color="auto"/>
          </w:divBdr>
        </w:div>
        <w:div w:id="107462606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1486</Words>
  <Characters>8472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Stewart</dc:creator>
  <cp:lastModifiedBy>Sarah Stewart</cp:lastModifiedBy>
  <cp:revision>2</cp:revision>
  <dcterms:created xsi:type="dcterms:W3CDTF">2019-03-12T12:50:00Z</dcterms:created>
  <dcterms:modified xsi:type="dcterms:W3CDTF">2019-03-12T12:50:00Z</dcterms:modified>
</cp:coreProperties>
</file>