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9BD1" w14:textId="2A501874" w:rsidR="00B05C64" w:rsidRPr="00B05C64" w:rsidRDefault="00B05C64" w:rsidP="00B05C64">
      <w:pPr>
        <w:spacing w:line="360" w:lineRule="auto"/>
        <w:rPr>
          <w:rFonts w:ascii="Arial" w:hAnsi="Arial" w:cs="Arial"/>
          <w:b/>
          <w:bCs/>
          <w:sz w:val="22"/>
          <w:szCs w:val="22"/>
        </w:rPr>
      </w:pPr>
      <w:r w:rsidRPr="00B05C64">
        <w:rPr>
          <w:rFonts w:ascii="Arial" w:hAnsi="Arial" w:cs="Arial"/>
          <w:b/>
          <w:bCs/>
          <w:sz w:val="22"/>
          <w:szCs w:val="22"/>
        </w:rPr>
        <w:t>Psychology in Health and Social Care (LCHS4010)</w:t>
      </w:r>
    </w:p>
    <w:p w14:paraId="56BEBC66" w14:textId="4CADEE01" w:rsidR="00B05C64" w:rsidRPr="00B05C64" w:rsidRDefault="00B05C64" w:rsidP="00B05C64">
      <w:pPr>
        <w:spacing w:line="360" w:lineRule="auto"/>
        <w:rPr>
          <w:rFonts w:ascii="Arial" w:hAnsi="Arial" w:cs="Arial"/>
          <w:b/>
          <w:bCs/>
          <w:sz w:val="22"/>
          <w:szCs w:val="22"/>
        </w:rPr>
      </w:pPr>
      <w:r w:rsidRPr="00B05C64">
        <w:rPr>
          <w:rFonts w:ascii="Arial" w:hAnsi="Arial" w:cs="Arial"/>
          <w:b/>
          <w:bCs/>
          <w:sz w:val="22"/>
          <w:szCs w:val="22"/>
        </w:rPr>
        <w:t>A</w:t>
      </w:r>
      <w:r w:rsidR="00247502">
        <w:rPr>
          <w:rFonts w:ascii="Arial" w:hAnsi="Arial" w:cs="Arial"/>
          <w:b/>
          <w:bCs/>
          <w:sz w:val="22"/>
          <w:szCs w:val="22"/>
        </w:rPr>
        <w:t>ssessment title: Assessment 2: Bibliography and Report</w:t>
      </w:r>
    </w:p>
    <w:p w14:paraId="530F4CB5" w14:textId="3D9CAB81" w:rsidR="00B05C64" w:rsidRPr="00B05C64" w:rsidRDefault="00B05C64" w:rsidP="00B05C64">
      <w:pPr>
        <w:spacing w:line="360" w:lineRule="auto"/>
        <w:rPr>
          <w:rFonts w:ascii="Arial" w:hAnsi="Arial" w:cs="Arial"/>
          <w:b/>
          <w:bCs/>
          <w:sz w:val="22"/>
          <w:szCs w:val="22"/>
        </w:rPr>
      </w:pPr>
      <w:r w:rsidRPr="00B05C64">
        <w:rPr>
          <w:rFonts w:ascii="Arial" w:hAnsi="Arial" w:cs="Arial"/>
          <w:b/>
          <w:bCs/>
          <w:sz w:val="22"/>
          <w:szCs w:val="22"/>
        </w:rPr>
        <w:t>Name of Student: Natalja Golub</w:t>
      </w:r>
    </w:p>
    <w:p w14:paraId="1D1CC123" w14:textId="3E6C42C3" w:rsidR="00B05C64" w:rsidRPr="00B05C64" w:rsidRDefault="00B05C64" w:rsidP="00B05C64">
      <w:pPr>
        <w:spacing w:line="360" w:lineRule="auto"/>
        <w:rPr>
          <w:rFonts w:ascii="Arial" w:hAnsi="Arial" w:cs="Arial"/>
          <w:b/>
          <w:bCs/>
          <w:sz w:val="22"/>
          <w:szCs w:val="22"/>
        </w:rPr>
      </w:pPr>
      <w:r w:rsidRPr="00B05C64">
        <w:rPr>
          <w:rFonts w:ascii="Arial" w:hAnsi="Arial" w:cs="Arial"/>
          <w:b/>
          <w:bCs/>
          <w:sz w:val="22"/>
          <w:szCs w:val="22"/>
        </w:rPr>
        <w:t>I.D. Number: 2440433</w:t>
      </w:r>
    </w:p>
    <w:p w14:paraId="11E20CD6" w14:textId="27CEC597" w:rsidR="00005F65" w:rsidRDefault="00B05C64" w:rsidP="00B05C64">
      <w:pPr>
        <w:spacing w:line="360" w:lineRule="auto"/>
        <w:rPr>
          <w:rFonts w:ascii="Arial" w:hAnsi="Arial" w:cs="Arial"/>
          <w:b/>
          <w:bCs/>
          <w:sz w:val="22"/>
          <w:szCs w:val="22"/>
        </w:rPr>
      </w:pPr>
      <w:r w:rsidRPr="00B05C64">
        <w:rPr>
          <w:rFonts w:ascii="Arial" w:hAnsi="Arial" w:cs="Arial"/>
          <w:b/>
          <w:bCs/>
          <w:sz w:val="22"/>
          <w:szCs w:val="22"/>
        </w:rPr>
        <w:t>Name of Tutor: Farah Wiita</w:t>
      </w:r>
    </w:p>
    <w:p w14:paraId="53017A3B" w14:textId="77777777" w:rsidR="00247502" w:rsidRDefault="00247502" w:rsidP="00B05C64">
      <w:pPr>
        <w:spacing w:line="360" w:lineRule="auto"/>
        <w:rPr>
          <w:rFonts w:ascii="Arial" w:hAnsi="Arial" w:cs="Arial"/>
          <w:b/>
          <w:bCs/>
          <w:sz w:val="22"/>
          <w:szCs w:val="22"/>
        </w:rPr>
      </w:pPr>
    </w:p>
    <w:p w14:paraId="720C5686" w14:textId="77777777" w:rsidR="00247502" w:rsidRDefault="00247502" w:rsidP="00B05C64">
      <w:pPr>
        <w:spacing w:line="360" w:lineRule="auto"/>
        <w:rPr>
          <w:rFonts w:ascii="Arial" w:hAnsi="Arial" w:cs="Arial"/>
          <w:b/>
          <w:bCs/>
          <w:sz w:val="22"/>
          <w:szCs w:val="22"/>
        </w:rPr>
      </w:pPr>
    </w:p>
    <w:p w14:paraId="2E3C122A" w14:textId="77777777" w:rsidR="00247502" w:rsidRDefault="00247502" w:rsidP="00B05C64">
      <w:pPr>
        <w:spacing w:line="360" w:lineRule="auto"/>
        <w:rPr>
          <w:rFonts w:ascii="Arial" w:hAnsi="Arial" w:cs="Arial"/>
          <w:b/>
          <w:bCs/>
          <w:sz w:val="22"/>
          <w:szCs w:val="22"/>
        </w:rPr>
      </w:pPr>
    </w:p>
    <w:p w14:paraId="5950EDC9" w14:textId="77777777" w:rsidR="00247502" w:rsidRDefault="00247502" w:rsidP="00B05C64">
      <w:pPr>
        <w:spacing w:line="360" w:lineRule="auto"/>
        <w:rPr>
          <w:rFonts w:ascii="Arial" w:hAnsi="Arial" w:cs="Arial"/>
          <w:b/>
          <w:bCs/>
          <w:sz w:val="22"/>
          <w:szCs w:val="22"/>
        </w:rPr>
      </w:pPr>
    </w:p>
    <w:p w14:paraId="0C8A5D31" w14:textId="77777777" w:rsidR="00247502" w:rsidRDefault="00247502" w:rsidP="00B05C64">
      <w:pPr>
        <w:spacing w:line="360" w:lineRule="auto"/>
        <w:rPr>
          <w:rFonts w:ascii="Arial" w:hAnsi="Arial" w:cs="Arial"/>
          <w:b/>
          <w:bCs/>
          <w:sz w:val="22"/>
          <w:szCs w:val="22"/>
        </w:rPr>
      </w:pPr>
    </w:p>
    <w:p w14:paraId="4FFC7A8E" w14:textId="77777777" w:rsidR="00247502" w:rsidRDefault="00247502" w:rsidP="00B05C64">
      <w:pPr>
        <w:spacing w:line="360" w:lineRule="auto"/>
        <w:rPr>
          <w:rFonts w:ascii="Arial" w:hAnsi="Arial" w:cs="Arial"/>
          <w:b/>
          <w:bCs/>
          <w:sz w:val="22"/>
          <w:szCs w:val="22"/>
        </w:rPr>
      </w:pPr>
    </w:p>
    <w:p w14:paraId="4285B973" w14:textId="77777777" w:rsidR="00247502" w:rsidRDefault="00247502" w:rsidP="00B05C64">
      <w:pPr>
        <w:spacing w:line="360" w:lineRule="auto"/>
        <w:rPr>
          <w:rFonts w:ascii="Arial" w:hAnsi="Arial" w:cs="Arial"/>
          <w:b/>
          <w:bCs/>
          <w:sz w:val="22"/>
          <w:szCs w:val="22"/>
        </w:rPr>
      </w:pPr>
    </w:p>
    <w:p w14:paraId="6600155F" w14:textId="77777777" w:rsidR="00247502" w:rsidRDefault="00247502" w:rsidP="00B05C64">
      <w:pPr>
        <w:spacing w:line="360" w:lineRule="auto"/>
        <w:rPr>
          <w:rFonts w:ascii="Arial" w:hAnsi="Arial" w:cs="Arial"/>
          <w:b/>
          <w:bCs/>
          <w:sz w:val="22"/>
          <w:szCs w:val="22"/>
        </w:rPr>
      </w:pPr>
    </w:p>
    <w:p w14:paraId="4EAEF0DA" w14:textId="77777777" w:rsidR="00247502" w:rsidRDefault="00247502" w:rsidP="00B05C64">
      <w:pPr>
        <w:spacing w:line="360" w:lineRule="auto"/>
        <w:rPr>
          <w:rFonts w:ascii="Arial" w:hAnsi="Arial" w:cs="Arial"/>
          <w:b/>
          <w:bCs/>
          <w:sz w:val="22"/>
          <w:szCs w:val="22"/>
        </w:rPr>
      </w:pPr>
    </w:p>
    <w:p w14:paraId="3B2208F8" w14:textId="77777777" w:rsidR="00247502" w:rsidRDefault="00247502" w:rsidP="00B05C64">
      <w:pPr>
        <w:spacing w:line="360" w:lineRule="auto"/>
        <w:rPr>
          <w:rFonts w:ascii="Arial" w:hAnsi="Arial" w:cs="Arial"/>
          <w:b/>
          <w:bCs/>
          <w:sz w:val="22"/>
          <w:szCs w:val="22"/>
        </w:rPr>
      </w:pPr>
    </w:p>
    <w:p w14:paraId="6BA80170" w14:textId="77777777" w:rsidR="00247502" w:rsidRDefault="00247502" w:rsidP="00B05C64">
      <w:pPr>
        <w:spacing w:line="360" w:lineRule="auto"/>
        <w:rPr>
          <w:rFonts w:ascii="Arial" w:hAnsi="Arial" w:cs="Arial"/>
          <w:b/>
          <w:bCs/>
          <w:sz w:val="22"/>
          <w:szCs w:val="22"/>
        </w:rPr>
      </w:pPr>
    </w:p>
    <w:p w14:paraId="2C962D56" w14:textId="77777777" w:rsidR="00247502" w:rsidRDefault="00247502" w:rsidP="00B05C64">
      <w:pPr>
        <w:spacing w:line="360" w:lineRule="auto"/>
        <w:rPr>
          <w:rFonts w:ascii="Arial" w:hAnsi="Arial" w:cs="Arial"/>
          <w:b/>
          <w:bCs/>
          <w:sz w:val="22"/>
          <w:szCs w:val="22"/>
        </w:rPr>
      </w:pPr>
    </w:p>
    <w:p w14:paraId="37B42B28" w14:textId="77777777" w:rsidR="00247502" w:rsidRDefault="00247502" w:rsidP="00B05C64">
      <w:pPr>
        <w:spacing w:line="360" w:lineRule="auto"/>
        <w:rPr>
          <w:rFonts w:ascii="Arial" w:hAnsi="Arial" w:cs="Arial"/>
          <w:b/>
          <w:bCs/>
          <w:sz w:val="22"/>
          <w:szCs w:val="22"/>
        </w:rPr>
      </w:pPr>
    </w:p>
    <w:p w14:paraId="130A1FBF" w14:textId="77777777" w:rsidR="00247502" w:rsidRDefault="00247502" w:rsidP="00B05C64">
      <w:pPr>
        <w:spacing w:line="360" w:lineRule="auto"/>
        <w:rPr>
          <w:rFonts w:ascii="Arial" w:hAnsi="Arial" w:cs="Arial"/>
          <w:b/>
          <w:bCs/>
          <w:sz w:val="22"/>
          <w:szCs w:val="22"/>
        </w:rPr>
      </w:pPr>
    </w:p>
    <w:p w14:paraId="2909A742" w14:textId="77777777" w:rsidR="00247502" w:rsidRDefault="00247502" w:rsidP="00B05C64">
      <w:pPr>
        <w:spacing w:line="360" w:lineRule="auto"/>
        <w:rPr>
          <w:rFonts w:ascii="Arial" w:hAnsi="Arial" w:cs="Arial"/>
          <w:b/>
          <w:bCs/>
          <w:sz w:val="22"/>
          <w:szCs w:val="22"/>
        </w:rPr>
      </w:pPr>
    </w:p>
    <w:p w14:paraId="43F75020" w14:textId="77777777" w:rsidR="00247502" w:rsidRDefault="00247502" w:rsidP="00B05C64">
      <w:pPr>
        <w:spacing w:line="360" w:lineRule="auto"/>
        <w:rPr>
          <w:rFonts w:ascii="Arial" w:hAnsi="Arial" w:cs="Arial"/>
          <w:b/>
          <w:bCs/>
          <w:sz w:val="22"/>
          <w:szCs w:val="22"/>
        </w:rPr>
      </w:pPr>
    </w:p>
    <w:p w14:paraId="30D37875" w14:textId="77777777" w:rsidR="00247502" w:rsidRDefault="00247502" w:rsidP="00B05C64">
      <w:pPr>
        <w:spacing w:line="360" w:lineRule="auto"/>
        <w:rPr>
          <w:rFonts w:ascii="Arial" w:hAnsi="Arial" w:cs="Arial"/>
          <w:b/>
          <w:bCs/>
          <w:sz w:val="22"/>
          <w:szCs w:val="22"/>
        </w:rPr>
      </w:pPr>
    </w:p>
    <w:p w14:paraId="73CFBBF8" w14:textId="77777777" w:rsidR="00247502" w:rsidRDefault="00247502" w:rsidP="00B05C64">
      <w:pPr>
        <w:spacing w:line="360" w:lineRule="auto"/>
        <w:rPr>
          <w:rFonts w:ascii="Arial" w:hAnsi="Arial" w:cs="Arial"/>
          <w:b/>
          <w:bCs/>
          <w:sz w:val="22"/>
          <w:szCs w:val="22"/>
        </w:rPr>
      </w:pPr>
    </w:p>
    <w:p w14:paraId="3F8DE0BB" w14:textId="77777777" w:rsidR="00247502" w:rsidRDefault="00247502" w:rsidP="00B05C64">
      <w:pPr>
        <w:spacing w:line="360" w:lineRule="auto"/>
        <w:rPr>
          <w:rFonts w:ascii="Arial" w:hAnsi="Arial" w:cs="Arial"/>
          <w:b/>
          <w:bCs/>
          <w:sz w:val="22"/>
          <w:szCs w:val="22"/>
        </w:rPr>
      </w:pPr>
    </w:p>
    <w:p w14:paraId="50946D13" w14:textId="77777777" w:rsidR="00247502" w:rsidRDefault="00247502" w:rsidP="00B05C64">
      <w:pPr>
        <w:spacing w:line="360" w:lineRule="auto"/>
        <w:rPr>
          <w:rFonts w:ascii="Arial" w:hAnsi="Arial" w:cs="Arial"/>
          <w:b/>
          <w:bCs/>
          <w:sz w:val="22"/>
          <w:szCs w:val="22"/>
        </w:rPr>
      </w:pPr>
    </w:p>
    <w:p w14:paraId="60374845" w14:textId="77777777" w:rsidR="00B05C64" w:rsidRDefault="00B05C64" w:rsidP="00B05C64">
      <w:pPr>
        <w:spacing w:line="360" w:lineRule="auto"/>
        <w:rPr>
          <w:rFonts w:ascii="Arial" w:hAnsi="Arial" w:cs="Arial"/>
          <w:b/>
          <w:bCs/>
          <w:sz w:val="22"/>
          <w:szCs w:val="22"/>
        </w:rPr>
      </w:pPr>
    </w:p>
    <w:p w14:paraId="045464EF"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lastRenderedPageBreak/>
        <w:t>Part A: Annotated Bibliography</w:t>
      </w:r>
    </w:p>
    <w:p w14:paraId="34B0D9A6"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Introduction</w:t>
      </w:r>
    </w:p>
    <w:p w14:paraId="7F9A9150"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Psychological theories are important in health and social care because they help professionals understand development, wellbeing and support needs. This is especially relevant for older adults living in residential care, where wellbeing may be affected by loneliness, reduced independence, poor health and changes in social roles. This annotated bibliography focuses on two theories studied in the module: Erikson’s psychosocial theory and Maslow’s hierarchy of needs. Erikson’s theory is useful for understanding reflection and meaning in later life, while Maslow’s theory shows that wellbeing depends on emotional and social needs as well as physical care. Together, these theories provide a broader understanding of psychological wellbeing in older adults.</w:t>
      </w:r>
    </w:p>
    <w:p w14:paraId="67C5AC5C"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Source 1: Erikson and ego integrity in later life</w:t>
      </w:r>
    </w:p>
    <w:p w14:paraId="257240D5"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van der Kaap-Deeder et al. (2020) examine ego integrity and despair in later life, which are linked to Erikson’s final psychosocial stage. The article explains that older adults often reflect on their lives and judge whether their life had meaning and value. A sense of fulfilment is associated with ego integrity, while regret and dissatisfaction are linked with despair. The study found that older adults who reported greater satisfaction of psychological needs across life were more likely to show ego integrity and less likely to experience despair (van der Kaap-Deeder et al., 2020).</w:t>
      </w:r>
    </w:p>
    <w:p w14:paraId="2B2DE513"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This source is relevant to health and social care because it helps explain why emotional support matters in care homes. Older adults may experience grief, fear of death and sadness about lost opportunities. Erikson’s theory helps staff understand that these feelings may be connected to later-life development as well as life circumstances. A strength of the source is that it clearly links Erikson’s theory with emotional wellbeing in old age. A limitation is that the study is cross-sectional, so it shows associations rather than direct cause and effect. Even so, it is a useful source for understanding how older adults may make sense of their lives.</w:t>
      </w:r>
    </w:p>
    <w:p w14:paraId="1AB9DE80"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Source 2: Erikson, reminiscence and psychological wellbeing</w:t>
      </w:r>
    </w:p>
    <w:p w14:paraId="67998ABF"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 xml:space="preserve">Tam et al. (2021) carried out a systematic review and meta-analysis of reminiscence-based interventions for cognitively intact older adults. This source is relevant to Erikson’s theory because reminiscence and life review are closely linked to ego integrity versus despair. Talking about important memories and life experiences can help older adults reflect on who they are and what their lives have meant. The review found that reminiscence-based </w:t>
      </w:r>
      <w:r w:rsidRPr="004F565D">
        <w:rPr>
          <w:rFonts w:ascii="Arial" w:hAnsi="Arial" w:cs="Arial"/>
          <w:sz w:val="22"/>
          <w:szCs w:val="22"/>
        </w:rPr>
        <w:lastRenderedPageBreak/>
        <w:t>interventions had positive effects on depressive symptoms, life satisfaction, self-esteem and psychological wellbeing in older adults (Tam et al., 2021).</w:t>
      </w:r>
    </w:p>
    <w:p w14:paraId="086CAEB6"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This source is useful in residential care because it shows a practical way of applying Erikson’s theory. Staff can support residents through memory books, family photographs, music and one-to-one conversations. These activities may help residents feel heard, valued and connected to their identity. A strength of this article is that it is based on a wide evidence base rather than a single study. However, reminiscence work may not benefit everyone equally, especially people with painful memories or cognitive decline. Overall, the source is valuable because it connects theory with an intervention that can be used in practice.</w:t>
      </w:r>
    </w:p>
    <w:p w14:paraId="4C77301E"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Source 3: Maslow and care needs in nursing homes</w:t>
      </w:r>
    </w:p>
    <w:p w14:paraId="137DCAFD"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Shen et al. (2021) use Maslow’s hierarchy of needs to explore the care needs of disabled residents in nursing homes. Maslow’s theory suggests that people have different levels of need, including physical needs, safety, belonging, esteem and self-fulfilment. The article shows that older adults in nursing homes have needs that go beyond food, hygiene and medical treatment. Residents also discussed privacy, dignity, relationships, spirituality, self-determination and participation in everyday life (Shen et al., 2021).</w:t>
      </w:r>
    </w:p>
    <w:p w14:paraId="5BE10873" w14:textId="1E8E2A53"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 xml:space="preserve">This source supports a more holistic understanding of care. In health and social care, physical support can easily become the main focus, especially in busy settings. However, Maslow’s theory reminds professionals that emotional and social needs are also essential for wellbeing. If older adults do not feel respected, included or safe, their wellbeing may suffer even when physical needs are met. A strength of the article is that it includes residents’ own views, which makes it relevant to person-centred care. A limitation is that it was carried out in one cultural setting, so the findings may not apply in </w:t>
      </w:r>
      <w:r w:rsidR="00FE7C1F" w:rsidRPr="004F565D">
        <w:rPr>
          <w:rFonts w:ascii="Arial" w:hAnsi="Arial" w:cs="Arial"/>
          <w:sz w:val="22"/>
          <w:szCs w:val="22"/>
        </w:rPr>
        <w:t>the same</w:t>
      </w:r>
      <w:r w:rsidRPr="004F565D">
        <w:rPr>
          <w:rFonts w:ascii="Arial" w:hAnsi="Arial" w:cs="Arial"/>
          <w:sz w:val="22"/>
          <w:szCs w:val="22"/>
        </w:rPr>
        <w:t xml:space="preserve"> way everywhere. Nevertheless, it is still a valuable source for understanding the complexity of later-life care needs.</w:t>
      </w:r>
    </w:p>
    <w:p w14:paraId="630E1AFD"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Source 4: Maslow and quality of long-term care</w:t>
      </w:r>
    </w:p>
    <w:p w14:paraId="2F2E3560"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Zhang et al. (2022) apply Maslow’s hierarchy of needs to the development of quality indicators for older adults with disabilities in long-term care facilities. The study aimed to create a structured way of assessing whether care services meet residents’ needs. The article argues that quality care should include more than clinical and physical standards. It should also consider dignity, belonging, autonomy and personal value, which are all consistent with Maslow’s theory (Zhang et al., 2022).</w:t>
      </w:r>
    </w:p>
    <w:p w14:paraId="1AC27912"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 xml:space="preserve">This source is important because it shows how theory can be used to improve care services. It suggests that care homes should not focus only on safety and physical support, but also </w:t>
      </w:r>
      <w:r w:rsidRPr="004F565D">
        <w:rPr>
          <w:rFonts w:ascii="Arial" w:hAnsi="Arial" w:cs="Arial"/>
          <w:sz w:val="22"/>
          <w:szCs w:val="22"/>
        </w:rPr>
        <w:lastRenderedPageBreak/>
        <w:t>on self-respect, social connection and personal choice. These factors are important for psychological wellbeing. A strength of the source is that it clearly connects theory with service improvement. A possible weakness is that formal indicators do not always reflect the quality of daily relationships between residents and staff. Even so, the source is useful because it supports a person-centred model of care.</w:t>
      </w:r>
    </w:p>
    <w:p w14:paraId="31AB6F2C"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t>Conclusion</w:t>
      </w:r>
    </w:p>
    <w:p w14:paraId="18D4B757" w14:textId="77777777" w:rsidR="004F565D" w:rsidRDefault="004F565D" w:rsidP="004F565D">
      <w:pPr>
        <w:spacing w:line="360" w:lineRule="auto"/>
        <w:rPr>
          <w:rFonts w:ascii="Arial" w:hAnsi="Arial" w:cs="Arial"/>
          <w:sz w:val="22"/>
          <w:szCs w:val="22"/>
        </w:rPr>
      </w:pPr>
      <w:r w:rsidRPr="004F565D">
        <w:rPr>
          <w:rFonts w:ascii="Arial" w:hAnsi="Arial" w:cs="Arial"/>
          <w:sz w:val="22"/>
          <w:szCs w:val="22"/>
        </w:rPr>
        <w:t>Overall, these four sources show that Erikson’s and Maslow’s theories are relevant to understanding the wellbeing of older adults in health and social care. Erikson’s theory helps explain life reflection, meaning and emotional adjustment in later life. Maslow’s theory shows that older adults need more than physical care, and that dignity, belonging, respect and autonomy also matter. Together, these sources support a more holistic and person-centred approach to residential care.</w:t>
      </w:r>
    </w:p>
    <w:p w14:paraId="6BFA7542" w14:textId="77777777" w:rsidR="004F565D" w:rsidRDefault="004F565D" w:rsidP="004F565D">
      <w:pPr>
        <w:spacing w:line="360" w:lineRule="auto"/>
        <w:rPr>
          <w:rFonts w:ascii="Arial" w:hAnsi="Arial" w:cs="Arial"/>
          <w:sz w:val="22"/>
          <w:szCs w:val="22"/>
        </w:rPr>
      </w:pPr>
    </w:p>
    <w:p w14:paraId="53042A4D" w14:textId="77777777" w:rsidR="004F565D" w:rsidRDefault="004F565D" w:rsidP="004F565D">
      <w:pPr>
        <w:spacing w:line="360" w:lineRule="auto"/>
        <w:rPr>
          <w:rFonts w:ascii="Arial" w:hAnsi="Arial" w:cs="Arial"/>
          <w:sz w:val="22"/>
          <w:szCs w:val="22"/>
        </w:rPr>
      </w:pPr>
    </w:p>
    <w:p w14:paraId="2C11C1EF" w14:textId="77777777" w:rsidR="004F565D" w:rsidRDefault="004F565D" w:rsidP="004F565D">
      <w:pPr>
        <w:spacing w:line="360" w:lineRule="auto"/>
        <w:rPr>
          <w:rFonts w:ascii="Arial" w:hAnsi="Arial" w:cs="Arial"/>
          <w:sz w:val="22"/>
          <w:szCs w:val="22"/>
        </w:rPr>
      </w:pPr>
    </w:p>
    <w:p w14:paraId="66307C73" w14:textId="77777777" w:rsidR="004F565D" w:rsidRDefault="004F565D" w:rsidP="004F565D">
      <w:pPr>
        <w:spacing w:line="360" w:lineRule="auto"/>
        <w:rPr>
          <w:rFonts w:ascii="Arial" w:hAnsi="Arial" w:cs="Arial"/>
          <w:sz w:val="22"/>
          <w:szCs w:val="22"/>
        </w:rPr>
      </w:pPr>
    </w:p>
    <w:p w14:paraId="7B14D64E" w14:textId="77777777" w:rsidR="004F565D" w:rsidRDefault="004F565D" w:rsidP="004F565D">
      <w:pPr>
        <w:spacing w:line="360" w:lineRule="auto"/>
        <w:rPr>
          <w:rFonts w:ascii="Arial" w:hAnsi="Arial" w:cs="Arial"/>
          <w:sz w:val="22"/>
          <w:szCs w:val="22"/>
        </w:rPr>
      </w:pPr>
    </w:p>
    <w:p w14:paraId="4A6B8EB6" w14:textId="77777777" w:rsidR="004F565D" w:rsidRDefault="004F565D" w:rsidP="004F565D">
      <w:pPr>
        <w:spacing w:line="360" w:lineRule="auto"/>
        <w:rPr>
          <w:rFonts w:ascii="Arial" w:hAnsi="Arial" w:cs="Arial"/>
          <w:sz w:val="22"/>
          <w:szCs w:val="22"/>
        </w:rPr>
      </w:pPr>
    </w:p>
    <w:p w14:paraId="34797742" w14:textId="77777777" w:rsidR="004F565D" w:rsidRDefault="004F565D" w:rsidP="004F565D">
      <w:pPr>
        <w:spacing w:line="360" w:lineRule="auto"/>
        <w:rPr>
          <w:rFonts w:ascii="Arial" w:hAnsi="Arial" w:cs="Arial"/>
          <w:sz w:val="22"/>
          <w:szCs w:val="22"/>
        </w:rPr>
      </w:pPr>
    </w:p>
    <w:p w14:paraId="77804C17" w14:textId="77777777" w:rsidR="004F565D" w:rsidRDefault="004F565D" w:rsidP="004F565D">
      <w:pPr>
        <w:spacing w:line="360" w:lineRule="auto"/>
        <w:rPr>
          <w:rFonts w:ascii="Arial" w:hAnsi="Arial" w:cs="Arial"/>
          <w:sz w:val="22"/>
          <w:szCs w:val="22"/>
        </w:rPr>
      </w:pPr>
    </w:p>
    <w:p w14:paraId="226EE3CC" w14:textId="77777777" w:rsidR="004F565D" w:rsidRDefault="004F565D" w:rsidP="004F565D">
      <w:pPr>
        <w:spacing w:line="360" w:lineRule="auto"/>
        <w:rPr>
          <w:rFonts w:ascii="Arial" w:hAnsi="Arial" w:cs="Arial"/>
          <w:sz w:val="22"/>
          <w:szCs w:val="22"/>
        </w:rPr>
      </w:pPr>
    </w:p>
    <w:p w14:paraId="2C2A9C5C" w14:textId="77777777" w:rsidR="004F565D" w:rsidRDefault="004F565D" w:rsidP="004F565D">
      <w:pPr>
        <w:spacing w:line="360" w:lineRule="auto"/>
        <w:rPr>
          <w:rFonts w:ascii="Arial" w:hAnsi="Arial" w:cs="Arial"/>
          <w:sz w:val="22"/>
          <w:szCs w:val="22"/>
        </w:rPr>
      </w:pPr>
    </w:p>
    <w:p w14:paraId="6DF8761F" w14:textId="77777777" w:rsidR="004F565D" w:rsidRDefault="004F565D" w:rsidP="004F565D">
      <w:pPr>
        <w:spacing w:line="360" w:lineRule="auto"/>
        <w:rPr>
          <w:rFonts w:ascii="Arial" w:hAnsi="Arial" w:cs="Arial"/>
          <w:sz w:val="22"/>
          <w:szCs w:val="22"/>
        </w:rPr>
      </w:pPr>
    </w:p>
    <w:p w14:paraId="5FA2C4B3" w14:textId="77777777" w:rsidR="004F565D" w:rsidRDefault="004F565D" w:rsidP="004F565D">
      <w:pPr>
        <w:spacing w:line="360" w:lineRule="auto"/>
        <w:rPr>
          <w:rFonts w:ascii="Arial" w:hAnsi="Arial" w:cs="Arial"/>
          <w:sz w:val="22"/>
          <w:szCs w:val="22"/>
        </w:rPr>
      </w:pPr>
    </w:p>
    <w:p w14:paraId="5DFAC424" w14:textId="77777777" w:rsidR="004F565D" w:rsidRDefault="004F565D" w:rsidP="004F565D">
      <w:pPr>
        <w:spacing w:line="360" w:lineRule="auto"/>
        <w:rPr>
          <w:rFonts w:ascii="Arial" w:hAnsi="Arial" w:cs="Arial"/>
          <w:sz w:val="22"/>
          <w:szCs w:val="22"/>
        </w:rPr>
      </w:pPr>
    </w:p>
    <w:p w14:paraId="5062B59D" w14:textId="77777777" w:rsidR="004F565D" w:rsidRDefault="004F565D" w:rsidP="004F565D">
      <w:pPr>
        <w:spacing w:line="360" w:lineRule="auto"/>
        <w:rPr>
          <w:rFonts w:ascii="Arial" w:hAnsi="Arial" w:cs="Arial"/>
          <w:sz w:val="22"/>
          <w:szCs w:val="22"/>
        </w:rPr>
      </w:pPr>
    </w:p>
    <w:p w14:paraId="64846E88" w14:textId="77777777" w:rsidR="004F565D" w:rsidRDefault="004F565D" w:rsidP="004F565D">
      <w:pPr>
        <w:spacing w:line="360" w:lineRule="auto"/>
        <w:rPr>
          <w:rFonts w:ascii="Arial" w:hAnsi="Arial" w:cs="Arial"/>
          <w:sz w:val="22"/>
          <w:szCs w:val="22"/>
        </w:rPr>
      </w:pPr>
    </w:p>
    <w:p w14:paraId="283D8E02" w14:textId="77777777" w:rsidR="004F565D" w:rsidRDefault="004F565D" w:rsidP="004F565D">
      <w:pPr>
        <w:spacing w:line="360" w:lineRule="auto"/>
        <w:rPr>
          <w:rFonts w:ascii="Arial" w:hAnsi="Arial" w:cs="Arial"/>
          <w:sz w:val="22"/>
          <w:szCs w:val="22"/>
        </w:rPr>
      </w:pPr>
    </w:p>
    <w:p w14:paraId="5CFD2C43" w14:textId="77777777" w:rsidR="004F565D" w:rsidRPr="004F565D" w:rsidRDefault="004F565D" w:rsidP="004F565D">
      <w:pPr>
        <w:spacing w:line="360" w:lineRule="auto"/>
        <w:rPr>
          <w:rFonts w:ascii="Arial" w:hAnsi="Arial" w:cs="Arial"/>
          <w:sz w:val="22"/>
          <w:szCs w:val="22"/>
        </w:rPr>
      </w:pPr>
    </w:p>
    <w:p w14:paraId="338A3B9B" w14:textId="77777777" w:rsidR="004F565D" w:rsidRPr="004F565D" w:rsidRDefault="004F565D" w:rsidP="004F565D">
      <w:pPr>
        <w:spacing w:line="360" w:lineRule="auto"/>
        <w:rPr>
          <w:rFonts w:ascii="Arial" w:hAnsi="Arial" w:cs="Arial"/>
          <w:b/>
          <w:bCs/>
          <w:sz w:val="22"/>
          <w:szCs w:val="22"/>
        </w:rPr>
      </w:pPr>
      <w:r w:rsidRPr="004F565D">
        <w:rPr>
          <w:rFonts w:ascii="Arial" w:hAnsi="Arial" w:cs="Arial"/>
          <w:b/>
          <w:bCs/>
          <w:sz w:val="22"/>
          <w:szCs w:val="22"/>
        </w:rPr>
        <w:lastRenderedPageBreak/>
        <w:t>Part B: Short Report</w:t>
      </w:r>
    </w:p>
    <w:p w14:paraId="591D6939"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Using Erikson’s theory to support the psychological wellbeing of older adults in residential care</w:t>
      </w:r>
    </w:p>
    <w:p w14:paraId="585A8739"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Erikson’s psychosocial theory can be used to improve the psychological wellbeing of older adults living in residential care. In later life, people face the stage of ego integrity versus despair. At this stage, older adults often reflect on their past experiences, achievements, relationships and regrets. If they feel that their life had meaning and value, they are more likely to experience ego integrity. However, disappointment, regret or a sense that life was wasted may lead to despair. Research shows that ego integrity and despair are linked to life satisfaction, anxiety, depressive symptoms and loneliness in older adults (van der Kaap-Deeder et al., 2020; van der Kaap-Deeder et al., 2022).</w:t>
      </w:r>
    </w:p>
    <w:p w14:paraId="2402758B"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This theory is relevant in residential care because many older adults experience major changes after moving into a care home. They may lose independence, familiar routines, surroundings and regular contact with family or friends. Some may also be coping with bereavement, declining health or reduced mobility. These changes can affect how they see themselves and how they think about their lives. Erikson’s theory helps professionals understand that emotional distress in old age may be linked not only to illness or loneliness, but also to identity, meaning and acceptance of one’s life.</w:t>
      </w:r>
    </w:p>
    <w:p w14:paraId="0D641530"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One way to apply Erikson’s theory in practice is through reminiscence and life review activities. These give older adults opportunities to talk about important memories, life events, relationships and achievements. Staff can use memory books, old photographs, music, letters or guided conversations to encourage reflection on the past. This may help residents maintain a sense of identity and feel that their life still matters. Research by Tam et al. (2021) found that reminiscence-based interventions in cognitively intact older adults were associated with reduced depressive symptoms and improvements in life satisfaction, self-esteem and psychological wellbeing.</w:t>
      </w:r>
    </w:p>
    <w:p w14:paraId="538D950C"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A case example can show how this theory may be used. Imagine an 84-year-old resident, Mrs A, who has recently moved into a care home after the death of her husband. Since arriving, she has become withdrawn, rarely joins activities and often says that there is “nothing left” for her now. Using Erikson’s theory, staff may understand that Mrs A is not only grieving but may also be struggling with despair. To support her, staff could begin gentle one-to-one reminiscence sessions and ask about her family, past work, favourite places and meaningful memories. They could also involve relatives by bringing in photographs or personal items from home. Over time, this may help Mrs A reconnect with her identity and recognise that her life has had value and meaning.</w:t>
      </w:r>
    </w:p>
    <w:p w14:paraId="799BD98D"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lastRenderedPageBreak/>
        <w:t>However, professionals may face difficulties when applying this theory. Not all older adults want to talk about the past. Some may have painful memories, unresolved trauma or depression, while others may have cognitive impairment that makes life review more difficult. In some cases, looking back on life may increase sadness instead of improving wellbeing. This means staff need to use the approach carefully and sensitively.</w:t>
      </w:r>
    </w:p>
    <w:p w14:paraId="6AF60183"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A useful way to overcome this difficulty is to use a person-centred approach. Staff should first build trust and learn about the resident’s preferences, emotional state and communication style. Life review should be adapted to the individual. For one person, this may involve talking; for another, it could involve music, objects, family visits or short informal conversations. Staff should watch for signs of distress and stop if the resident becomes upset. This approach is supported by research on person-centred care, which has been associated with improved resident wellbeing and staff outcomes in aged-care settings (Brownie and Nancarrow, 2013).</w:t>
      </w:r>
    </w:p>
    <w:p w14:paraId="7AA4F233" w14:textId="77777777" w:rsidR="004F565D" w:rsidRPr="004F565D" w:rsidRDefault="004F565D" w:rsidP="004F565D">
      <w:pPr>
        <w:spacing w:line="360" w:lineRule="auto"/>
        <w:rPr>
          <w:rFonts w:ascii="Arial" w:hAnsi="Arial" w:cs="Arial"/>
          <w:sz w:val="22"/>
          <w:szCs w:val="22"/>
        </w:rPr>
      </w:pPr>
      <w:r w:rsidRPr="004F565D">
        <w:rPr>
          <w:rFonts w:ascii="Arial" w:hAnsi="Arial" w:cs="Arial"/>
          <w:sz w:val="22"/>
          <w:szCs w:val="22"/>
        </w:rPr>
        <w:t>In addition, dignity and emotional support are important in residential care. Research has shown that dignity in long-term care is related to health, depression and social support, suggesting that emotional wellbeing is strongly influenced by how residents are treated in daily life (Dong et al., 2021). Other research has found that perceptions of dignity and wellbeing in residential care are associated with staff attitudes, the care environment and individual factors (Roos et al., 2022). This also links with Maslow’s theory, because older adults need not only safety and physical care, but also dignity, belonging, esteem and support for their sense of self (Shen et al., 2021; Zhang et al., 2022). When older people are supported in a respectful and individualised way, they are more likely to feel safe, valued and understood, which can improve psychological wellbeing.</w:t>
      </w:r>
    </w:p>
    <w:p w14:paraId="644EB73F" w14:textId="24EC9939" w:rsidR="00247502" w:rsidRDefault="004F565D" w:rsidP="004F565D">
      <w:pPr>
        <w:spacing w:line="360" w:lineRule="auto"/>
        <w:rPr>
          <w:rFonts w:ascii="Arial" w:hAnsi="Arial" w:cs="Arial"/>
          <w:sz w:val="22"/>
          <w:szCs w:val="22"/>
        </w:rPr>
      </w:pPr>
      <w:r w:rsidRPr="004F565D">
        <w:rPr>
          <w:rFonts w:ascii="Arial" w:hAnsi="Arial" w:cs="Arial"/>
          <w:sz w:val="22"/>
          <w:szCs w:val="22"/>
        </w:rPr>
        <w:t>In conclusion, Erikson’s theory is a useful framework for supporting the psychological wellbeing of older adults in residential care. The stage of ego integrity versus despair helps explain why later life is often a time of reflection, meaning-making and emotional adjustment. The theory can be applied through reminiscence and life review activities, which may help older adults strengthen identity, improve self-worth and reduce low mood (Tam et al., 2021). Although there can be challenges in practice, these can be managed through a person-centred and sensitive approach. Overall, Erikson’s theory gives health and social care professionals a helpful way of understanding and supporting the emotional needs of older adults in care settings.</w:t>
      </w:r>
    </w:p>
    <w:p w14:paraId="2CBB38FD" w14:textId="77777777" w:rsidR="00247502" w:rsidRDefault="00247502" w:rsidP="00B05C64">
      <w:pPr>
        <w:spacing w:line="360" w:lineRule="auto"/>
        <w:rPr>
          <w:rFonts w:ascii="Arial" w:hAnsi="Arial" w:cs="Arial"/>
          <w:sz w:val="22"/>
          <w:szCs w:val="22"/>
        </w:rPr>
      </w:pPr>
    </w:p>
    <w:p w14:paraId="4E080413" w14:textId="77777777" w:rsidR="004F565D" w:rsidRDefault="004F565D" w:rsidP="00B05C64">
      <w:pPr>
        <w:spacing w:line="360" w:lineRule="auto"/>
        <w:rPr>
          <w:rFonts w:ascii="Arial" w:hAnsi="Arial" w:cs="Arial"/>
          <w:sz w:val="22"/>
          <w:szCs w:val="22"/>
        </w:rPr>
      </w:pPr>
    </w:p>
    <w:p w14:paraId="291D4FA1" w14:textId="3301257D" w:rsidR="00B05C64" w:rsidRPr="0095645C" w:rsidRDefault="00B05C64" w:rsidP="00B05C64">
      <w:pPr>
        <w:spacing w:line="360" w:lineRule="auto"/>
        <w:rPr>
          <w:rFonts w:ascii="Arial" w:hAnsi="Arial" w:cs="Arial"/>
          <w:b/>
          <w:bCs/>
          <w:sz w:val="22"/>
          <w:szCs w:val="22"/>
        </w:rPr>
      </w:pPr>
      <w:r w:rsidRPr="00B05C64">
        <w:rPr>
          <w:rFonts w:ascii="Arial" w:hAnsi="Arial" w:cs="Arial"/>
          <w:sz w:val="22"/>
          <w:szCs w:val="22"/>
        </w:rPr>
        <w:lastRenderedPageBreak/>
        <w:t xml:space="preserve"> </w:t>
      </w:r>
      <w:r w:rsidRPr="0095645C">
        <w:rPr>
          <w:rFonts w:ascii="Arial" w:hAnsi="Arial" w:cs="Arial"/>
          <w:b/>
          <w:bCs/>
          <w:sz w:val="22"/>
          <w:szCs w:val="22"/>
        </w:rPr>
        <w:t>Reference List</w:t>
      </w:r>
    </w:p>
    <w:p w14:paraId="4C17D972" w14:textId="08E0E316" w:rsidR="00B05C64" w:rsidRDefault="00B05C64" w:rsidP="00B05C64">
      <w:pPr>
        <w:spacing w:line="360" w:lineRule="auto"/>
        <w:rPr>
          <w:rFonts w:ascii="Arial" w:hAnsi="Arial" w:cs="Arial"/>
          <w:sz w:val="22"/>
          <w:szCs w:val="22"/>
        </w:rPr>
      </w:pPr>
      <w:r w:rsidRPr="00B05C64">
        <w:rPr>
          <w:rFonts w:ascii="Arial" w:hAnsi="Arial" w:cs="Arial"/>
          <w:sz w:val="22"/>
          <w:szCs w:val="22"/>
        </w:rPr>
        <w:t>Brownie, S. and Nancarrow, S. (2013) ‘Effects of person-</w:t>
      </w:r>
      <w:r w:rsidR="0095645C" w:rsidRPr="00B05C64">
        <w:rPr>
          <w:rFonts w:ascii="Arial" w:hAnsi="Arial" w:cs="Arial"/>
          <w:sz w:val="22"/>
          <w:szCs w:val="22"/>
        </w:rPr>
        <w:t>cantered</w:t>
      </w:r>
      <w:r w:rsidRPr="00B05C64">
        <w:rPr>
          <w:rFonts w:ascii="Arial" w:hAnsi="Arial" w:cs="Arial"/>
          <w:sz w:val="22"/>
          <w:szCs w:val="22"/>
        </w:rPr>
        <w:t xml:space="preserve"> care on residents and staff in aged-care facilities: A systematic review’</w:t>
      </w:r>
      <w:r w:rsidRPr="0095645C">
        <w:rPr>
          <w:rFonts w:ascii="Arial" w:hAnsi="Arial" w:cs="Arial"/>
          <w:i/>
          <w:iCs/>
          <w:sz w:val="22"/>
          <w:szCs w:val="22"/>
        </w:rPr>
        <w:t>, Clinical Interventions in Aging</w:t>
      </w:r>
      <w:r w:rsidRPr="00B05C64">
        <w:rPr>
          <w:rFonts w:ascii="Arial" w:hAnsi="Arial" w:cs="Arial"/>
          <w:sz w:val="22"/>
          <w:szCs w:val="22"/>
        </w:rPr>
        <w:t xml:space="preserve">, 8, pp. 1–10. </w:t>
      </w:r>
    </w:p>
    <w:p w14:paraId="55BE00CD" w14:textId="77777777" w:rsidR="0095645C" w:rsidRPr="00B05C64" w:rsidRDefault="0095645C" w:rsidP="00B05C64">
      <w:pPr>
        <w:spacing w:line="360" w:lineRule="auto"/>
        <w:rPr>
          <w:rFonts w:ascii="Arial" w:hAnsi="Arial" w:cs="Arial"/>
          <w:sz w:val="22"/>
          <w:szCs w:val="22"/>
        </w:rPr>
      </w:pPr>
    </w:p>
    <w:p w14:paraId="49FDB963" w14:textId="7B582370" w:rsidR="00B05C64" w:rsidRPr="00B05C64" w:rsidRDefault="00B05C64" w:rsidP="00B05C64">
      <w:pPr>
        <w:spacing w:line="360" w:lineRule="auto"/>
        <w:rPr>
          <w:rFonts w:ascii="Arial" w:hAnsi="Arial" w:cs="Arial"/>
          <w:sz w:val="22"/>
          <w:szCs w:val="22"/>
        </w:rPr>
      </w:pPr>
      <w:r w:rsidRPr="00B05C64">
        <w:rPr>
          <w:rFonts w:ascii="Arial" w:hAnsi="Arial" w:cs="Arial"/>
          <w:sz w:val="22"/>
          <w:szCs w:val="22"/>
        </w:rPr>
        <w:t xml:space="preserve">Dong, D., Zheng, R., Wang, Y., Wang, Y., Wang, C. and Feng, X. (2021) ‘Dignity and its related factors among older adults in long-term care facilities’, </w:t>
      </w:r>
      <w:r w:rsidRPr="0095645C">
        <w:rPr>
          <w:rFonts w:ascii="Arial" w:hAnsi="Arial" w:cs="Arial"/>
          <w:i/>
          <w:iCs/>
          <w:sz w:val="22"/>
          <w:szCs w:val="22"/>
        </w:rPr>
        <w:t xml:space="preserve">International Journal of Nursing Sciences, </w:t>
      </w:r>
      <w:r w:rsidRPr="00B05C64">
        <w:rPr>
          <w:rFonts w:ascii="Arial" w:hAnsi="Arial" w:cs="Arial"/>
          <w:sz w:val="22"/>
          <w:szCs w:val="22"/>
        </w:rPr>
        <w:t xml:space="preserve">8(3), pp. 307–312. </w:t>
      </w:r>
    </w:p>
    <w:p w14:paraId="25BDF60A" w14:textId="5C9FD917" w:rsidR="00B05C64" w:rsidRPr="00B05C64" w:rsidRDefault="00B05C64" w:rsidP="00B05C64">
      <w:pPr>
        <w:spacing w:line="360" w:lineRule="auto"/>
        <w:rPr>
          <w:rFonts w:ascii="Arial" w:hAnsi="Arial" w:cs="Arial"/>
          <w:sz w:val="22"/>
          <w:szCs w:val="22"/>
        </w:rPr>
      </w:pPr>
    </w:p>
    <w:p w14:paraId="0394A6C4" w14:textId="77777777" w:rsidR="00B05C64" w:rsidRDefault="00B05C64" w:rsidP="00B05C64">
      <w:pPr>
        <w:spacing w:line="360" w:lineRule="auto"/>
        <w:rPr>
          <w:rFonts w:ascii="Arial" w:hAnsi="Arial" w:cs="Arial"/>
          <w:sz w:val="22"/>
          <w:szCs w:val="22"/>
        </w:rPr>
      </w:pPr>
      <w:r w:rsidRPr="00B05C64">
        <w:rPr>
          <w:rFonts w:ascii="Arial" w:hAnsi="Arial" w:cs="Arial"/>
          <w:sz w:val="22"/>
          <w:szCs w:val="22"/>
        </w:rPr>
        <w:t xml:space="preserve">Shen, J., Xiao, L.D., Liu, Y., Zhang, H. and Wu, L. (2021) ‘A phenomenological study on new care needs of Maslow’s need-hierarchy among disabled residents at nursing homes in modern Chinese society’, </w:t>
      </w:r>
      <w:r w:rsidRPr="0095645C">
        <w:rPr>
          <w:rFonts w:ascii="Arial" w:hAnsi="Arial" w:cs="Arial"/>
          <w:i/>
          <w:iCs/>
          <w:sz w:val="22"/>
          <w:szCs w:val="22"/>
        </w:rPr>
        <w:t>Journal of Transcultural Nursing</w:t>
      </w:r>
      <w:r w:rsidRPr="00B05C64">
        <w:rPr>
          <w:rFonts w:ascii="Arial" w:hAnsi="Arial" w:cs="Arial"/>
          <w:sz w:val="22"/>
          <w:szCs w:val="22"/>
        </w:rPr>
        <w:t>, 32(5), pp. 524–532.</w:t>
      </w:r>
    </w:p>
    <w:p w14:paraId="6916EFD9" w14:textId="77777777" w:rsidR="0095645C" w:rsidRPr="00B05C64" w:rsidRDefault="0095645C" w:rsidP="00B05C64">
      <w:pPr>
        <w:spacing w:line="360" w:lineRule="auto"/>
        <w:rPr>
          <w:rFonts w:ascii="Arial" w:hAnsi="Arial" w:cs="Arial"/>
          <w:sz w:val="22"/>
          <w:szCs w:val="22"/>
        </w:rPr>
      </w:pPr>
    </w:p>
    <w:p w14:paraId="78CE6B77" w14:textId="77777777" w:rsidR="00B05C64" w:rsidRDefault="00B05C64" w:rsidP="00B05C64">
      <w:pPr>
        <w:spacing w:line="360" w:lineRule="auto"/>
        <w:rPr>
          <w:rFonts w:ascii="Arial" w:hAnsi="Arial" w:cs="Arial"/>
          <w:sz w:val="22"/>
          <w:szCs w:val="22"/>
        </w:rPr>
      </w:pPr>
      <w:r w:rsidRPr="00B05C64">
        <w:rPr>
          <w:rFonts w:ascii="Arial" w:hAnsi="Arial" w:cs="Arial"/>
          <w:sz w:val="22"/>
          <w:szCs w:val="22"/>
        </w:rPr>
        <w:t>Tam, W., Poon, S.N., Mahendran, R. and Kua, E.H. (2021) ‘The effectiveness of reminiscence-based intervention on improving psychological well-being in cognitively intact older adults: A systematic review and meta-analysis’</w:t>
      </w:r>
      <w:r w:rsidRPr="0095645C">
        <w:rPr>
          <w:rFonts w:ascii="Arial" w:hAnsi="Arial" w:cs="Arial"/>
          <w:i/>
          <w:iCs/>
          <w:sz w:val="22"/>
          <w:szCs w:val="22"/>
        </w:rPr>
        <w:t>, International Journal of Geriatric Psychiatry,</w:t>
      </w:r>
      <w:r w:rsidRPr="00B05C64">
        <w:rPr>
          <w:rFonts w:ascii="Arial" w:hAnsi="Arial" w:cs="Arial"/>
          <w:sz w:val="22"/>
          <w:szCs w:val="22"/>
        </w:rPr>
        <w:t xml:space="preserve"> 36(10), pp. 1571–1592.</w:t>
      </w:r>
    </w:p>
    <w:p w14:paraId="4BA0181A" w14:textId="77777777" w:rsidR="0095645C" w:rsidRPr="00B05C64" w:rsidRDefault="0095645C" w:rsidP="00B05C64">
      <w:pPr>
        <w:spacing w:line="360" w:lineRule="auto"/>
        <w:rPr>
          <w:rFonts w:ascii="Arial" w:hAnsi="Arial" w:cs="Arial"/>
          <w:sz w:val="22"/>
          <w:szCs w:val="22"/>
        </w:rPr>
      </w:pPr>
    </w:p>
    <w:p w14:paraId="21FDB243" w14:textId="77777777" w:rsidR="00B05C64" w:rsidRDefault="00B05C64" w:rsidP="00B05C64">
      <w:pPr>
        <w:spacing w:line="360" w:lineRule="auto"/>
        <w:rPr>
          <w:rFonts w:ascii="Arial" w:hAnsi="Arial" w:cs="Arial"/>
          <w:sz w:val="22"/>
          <w:szCs w:val="22"/>
        </w:rPr>
      </w:pPr>
      <w:r w:rsidRPr="00B05C64">
        <w:rPr>
          <w:rFonts w:ascii="Arial" w:hAnsi="Arial" w:cs="Arial"/>
          <w:sz w:val="22"/>
          <w:szCs w:val="22"/>
        </w:rPr>
        <w:t>van der Kaap-Deeder, J., Soenens, B., Van Petegem, S., Neyrinck, B., De Pauw, S., Raemdonck, E. and Vansteenkiste, M. (2020) ‘Live well and die with inner peace: The importance of retrospective need-based experiences, ego integrity and despair for late adults’ death attitudes’</w:t>
      </w:r>
      <w:r w:rsidRPr="0095645C">
        <w:rPr>
          <w:rFonts w:ascii="Arial" w:hAnsi="Arial" w:cs="Arial"/>
          <w:i/>
          <w:iCs/>
          <w:sz w:val="22"/>
          <w:szCs w:val="22"/>
        </w:rPr>
        <w:t>, Archives of Gerontology and Geriatrics,</w:t>
      </w:r>
      <w:r w:rsidRPr="00B05C64">
        <w:rPr>
          <w:rFonts w:ascii="Arial" w:hAnsi="Arial" w:cs="Arial"/>
          <w:sz w:val="22"/>
          <w:szCs w:val="22"/>
        </w:rPr>
        <w:t xml:space="preserve"> 91, p. 104184.</w:t>
      </w:r>
    </w:p>
    <w:p w14:paraId="7EBEA375" w14:textId="77777777" w:rsidR="0095645C" w:rsidRPr="00B05C64" w:rsidRDefault="0095645C" w:rsidP="00B05C64">
      <w:pPr>
        <w:spacing w:line="360" w:lineRule="auto"/>
        <w:rPr>
          <w:rFonts w:ascii="Arial" w:hAnsi="Arial" w:cs="Arial"/>
          <w:sz w:val="22"/>
          <w:szCs w:val="22"/>
        </w:rPr>
      </w:pPr>
    </w:p>
    <w:p w14:paraId="1CAC7BE6" w14:textId="079B21CD" w:rsidR="00B05C64" w:rsidRPr="00B05C64" w:rsidRDefault="00B05C64" w:rsidP="00B05C64">
      <w:pPr>
        <w:spacing w:line="360" w:lineRule="auto"/>
        <w:rPr>
          <w:rFonts w:ascii="Arial" w:hAnsi="Arial" w:cs="Arial"/>
          <w:sz w:val="22"/>
          <w:szCs w:val="22"/>
        </w:rPr>
      </w:pPr>
      <w:r w:rsidRPr="00B05C64">
        <w:rPr>
          <w:rFonts w:ascii="Arial" w:hAnsi="Arial" w:cs="Arial"/>
          <w:sz w:val="22"/>
          <w:szCs w:val="22"/>
        </w:rPr>
        <w:t>van der Kaap-Deeder, J., Vermote, B., Waterschoot, J., Soenens, B., Morbée, S. and Vansteenkiste, M. (2022) ‘The role of ego integrity and despair in older adults’ well-being during the COVID-19 crisis: The mediating role of need-based experiences’</w:t>
      </w:r>
      <w:r w:rsidRPr="0095645C">
        <w:rPr>
          <w:rFonts w:ascii="Arial" w:hAnsi="Arial" w:cs="Arial"/>
          <w:i/>
          <w:iCs/>
          <w:sz w:val="22"/>
          <w:szCs w:val="22"/>
        </w:rPr>
        <w:t>, European Journal of Ageing,</w:t>
      </w:r>
      <w:r w:rsidRPr="00B05C64">
        <w:rPr>
          <w:rFonts w:ascii="Arial" w:hAnsi="Arial" w:cs="Arial"/>
          <w:sz w:val="22"/>
          <w:szCs w:val="22"/>
        </w:rPr>
        <w:t xml:space="preserve"> 19(1), pp. 117–129. </w:t>
      </w:r>
    </w:p>
    <w:p w14:paraId="2019EBF1" w14:textId="0E7A5EFF" w:rsidR="00B05C64" w:rsidRPr="00B05C64" w:rsidRDefault="00B05C64" w:rsidP="00B05C64">
      <w:pPr>
        <w:spacing w:line="360" w:lineRule="auto"/>
        <w:rPr>
          <w:rFonts w:ascii="Arial" w:hAnsi="Arial" w:cs="Arial"/>
          <w:sz w:val="22"/>
          <w:szCs w:val="22"/>
        </w:rPr>
      </w:pPr>
    </w:p>
    <w:p w14:paraId="1D7D37AC" w14:textId="77777777" w:rsidR="00B05C64" w:rsidRDefault="00B05C64" w:rsidP="00B05C64">
      <w:pPr>
        <w:spacing w:line="360" w:lineRule="auto"/>
        <w:rPr>
          <w:rFonts w:ascii="Arial" w:hAnsi="Arial" w:cs="Arial"/>
          <w:sz w:val="22"/>
          <w:szCs w:val="22"/>
        </w:rPr>
      </w:pPr>
      <w:r w:rsidRPr="00B05C64">
        <w:rPr>
          <w:rFonts w:ascii="Arial" w:hAnsi="Arial" w:cs="Arial"/>
          <w:sz w:val="22"/>
          <w:szCs w:val="22"/>
        </w:rPr>
        <w:t>Zhang, T., Liu, Y., Wang, Y., Li, C., Yang, X., Tian, L., Wu, Y., Lin, L. and Li, H. (2022) ‘Quality indicators for the care of older adults with disabilities in long-term care facilities based on Maslow’s hierarchy of needs’</w:t>
      </w:r>
      <w:r w:rsidRPr="0095645C">
        <w:rPr>
          <w:rFonts w:ascii="Arial" w:hAnsi="Arial" w:cs="Arial"/>
          <w:i/>
          <w:iCs/>
          <w:sz w:val="22"/>
          <w:szCs w:val="22"/>
        </w:rPr>
        <w:t>, International Journal of Nursing Sciences</w:t>
      </w:r>
      <w:r w:rsidRPr="00B05C64">
        <w:rPr>
          <w:rFonts w:ascii="Arial" w:hAnsi="Arial" w:cs="Arial"/>
          <w:sz w:val="22"/>
          <w:szCs w:val="22"/>
        </w:rPr>
        <w:t>, 9(4), pp. 523–530.</w:t>
      </w:r>
    </w:p>
    <w:p w14:paraId="6559E68F" w14:textId="77777777" w:rsidR="0095645C" w:rsidRPr="00B05C64" w:rsidRDefault="0095645C" w:rsidP="00B05C64">
      <w:pPr>
        <w:spacing w:line="360" w:lineRule="auto"/>
        <w:rPr>
          <w:rFonts w:ascii="Arial" w:hAnsi="Arial" w:cs="Arial"/>
          <w:sz w:val="22"/>
          <w:szCs w:val="22"/>
        </w:rPr>
      </w:pPr>
    </w:p>
    <w:p w14:paraId="67CD8105" w14:textId="4880756B" w:rsidR="00B05C64" w:rsidRPr="00B05C64" w:rsidRDefault="00B05C64" w:rsidP="00B05C64">
      <w:pPr>
        <w:spacing w:line="360" w:lineRule="auto"/>
        <w:rPr>
          <w:rFonts w:ascii="Arial" w:hAnsi="Arial" w:cs="Arial"/>
          <w:sz w:val="22"/>
          <w:szCs w:val="22"/>
        </w:rPr>
      </w:pPr>
      <w:r w:rsidRPr="00B05C64">
        <w:rPr>
          <w:rFonts w:ascii="Arial" w:hAnsi="Arial" w:cs="Arial"/>
          <w:sz w:val="22"/>
          <w:szCs w:val="22"/>
        </w:rPr>
        <w:lastRenderedPageBreak/>
        <w:t xml:space="preserve">Roos, C., Blomberg, K., Fagerström, L. and Wijk, H. (2022) ‘Factors associated with older persons’ perceptions of dignity and well-being in residential care facilities’, BMC Geriatrics, 22, article 489. </w:t>
      </w:r>
    </w:p>
    <w:p w14:paraId="3216FE57" w14:textId="1B167B2F" w:rsidR="00B05C64" w:rsidRDefault="00B05C64" w:rsidP="00B05C64">
      <w:pPr>
        <w:spacing w:line="360" w:lineRule="auto"/>
        <w:rPr>
          <w:rFonts w:ascii="Arial" w:hAnsi="Arial" w:cs="Arial"/>
          <w:sz w:val="22"/>
          <w:szCs w:val="22"/>
        </w:rPr>
      </w:pPr>
    </w:p>
    <w:p w14:paraId="183E4972" w14:textId="77777777" w:rsidR="00B05C64" w:rsidRPr="00B05C64" w:rsidRDefault="00B05C64" w:rsidP="00B05C64">
      <w:pPr>
        <w:spacing w:line="360" w:lineRule="auto"/>
        <w:rPr>
          <w:rFonts w:ascii="Arial" w:hAnsi="Arial" w:cs="Arial"/>
          <w:sz w:val="22"/>
          <w:szCs w:val="22"/>
        </w:rPr>
      </w:pPr>
    </w:p>
    <w:sectPr w:rsidR="00B05C64" w:rsidRPr="00B05C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C64"/>
    <w:rsid w:val="00005F65"/>
    <w:rsid w:val="0004128C"/>
    <w:rsid w:val="00247502"/>
    <w:rsid w:val="004416BC"/>
    <w:rsid w:val="004F565D"/>
    <w:rsid w:val="008C450A"/>
    <w:rsid w:val="0095645C"/>
    <w:rsid w:val="00B05C64"/>
    <w:rsid w:val="00FE7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98DE"/>
  <w15:chartTrackingRefBased/>
  <w15:docId w15:val="{21C6AE44-DA9A-41F4-884F-F3173695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C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C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C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C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C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C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C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C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C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C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C64"/>
    <w:rPr>
      <w:rFonts w:eastAsiaTheme="majorEastAsia" w:cstheme="majorBidi"/>
      <w:color w:val="272727" w:themeColor="text1" w:themeTint="D8"/>
    </w:rPr>
  </w:style>
  <w:style w:type="paragraph" w:styleId="Title">
    <w:name w:val="Title"/>
    <w:basedOn w:val="Normal"/>
    <w:next w:val="Normal"/>
    <w:link w:val="TitleChar"/>
    <w:uiPriority w:val="10"/>
    <w:qFormat/>
    <w:rsid w:val="00B05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C64"/>
    <w:pPr>
      <w:spacing w:before="160"/>
      <w:jc w:val="center"/>
    </w:pPr>
    <w:rPr>
      <w:i/>
      <w:iCs/>
      <w:color w:val="404040" w:themeColor="text1" w:themeTint="BF"/>
    </w:rPr>
  </w:style>
  <w:style w:type="character" w:customStyle="1" w:styleId="QuoteChar">
    <w:name w:val="Quote Char"/>
    <w:basedOn w:val="DefaultParagraphFont"/>
    <w:link w:val="Quote"/>
    <w:uiPriority w:val="29"/>
    <w:rsid w:val="00B05C64"/>
    <w:rPr>
      <w:i/>
      <w:iCs/>
      <w:color w:val="404040" w:themeColor="text1" w:themeTint="BF"/>
    </w:rPr>
  </w:style>
  <w:style w:type="paragraph" w:styleId="ListParagraph">
    <w:name w:val="List Paragraph"/>
    <w:basedOn w:val="Normal"/>
    <w:uiPriority w:val="34"/>
    <w:qFormat/>
    <w:rsid w:val="00B05C64"/>
    <w:pPr>
      <w:ind w:left="720"/>
      <w:contextualSpacing/>
    </w:pPr>
  </w:style>
  <w:style w:type="character" w:styleId="IntenseEmphasis">
    <w:name w:val="Intense Emphasis"/>
    <w:basedOn w:val="DefaultParagraphFont"/>
    <w:uiPriority w:val="21"/>
    <w:qFormat/>
    <w:rsid w:val="00B05C64"/>
    <w:rPr>
      <w:i/>
      <w:iCs/>
      <w:color w:val="0F4761" w:themeColor="accent1" w:themeShade="BF"/>
    </w:rPr>
  </w:style>
  <w:style w:type="paragraph" w:styleId="IntenseQuote">
    <w:name w:val="Intense Quote"/>
    <w:basedOn w:val="Normal"/>
    <w:next w:val="Normal"/>
    <w:link w:val="IntenseQuoteChar"/>
    <w:uiPriority w:val="30"/>
    <w:qFormat/>
    <w:rsid w:val="00B05C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C64"/>
    <w:rPr>
      <w:i/>
      <w:iCs/>
      <w:color w:val="0F4761" w:themeColor="accent1" w:themeShade="BF"/>
    </w:rPr>
  </w:style>
  <w:style w:type="character" w:styleId="IntenseReference">
    <w:name w:val="Intense Reference"/>
    <w:basedOn w:val="DefaultParagraphFont"/>
    <w:uiPriority w:val="32"/>
    <w:qFormat/>
    <w:rsid w:val="00B05C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Natalja Golub (2440433)</dc:creator>
  <cp:keywords/>
  <dc:description/>
  <cp:lastModifiedBy>Natalja Golub (2440433)</cp:lastModifiedBy>
  <cp:revision>3</cp:revision>
  <dcterms:created xsi:type="dcterms:W3CDTF">2026-04-13T18:42:00Z</dcterms:created>
  <dcterms:modified xsi:type="dcterms:W3CDTF">2026-04-13T19:20:00Z</dcterms:modified>
</cp:coreProperties>
</file>