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FC3CB" w14:textId="77777777" w:rsidR="005C4727" w:rsidRDefault="005C4727" w:rsidP="005C4727">
      <w:pPr>
        <w:spacing w:line="360" w:lineRule="auto"/>
        <w:rPr>
          <w:rFonts w:ascii="Arial" w:hAnsi="Arial" w:cs="Arial"/>
          <w:b/>
          <w:bCs/>
          <w:sz w:val="40"/>
          <w:szCs w:val="40"/>
        </w:rPr>
      </w:pPr>
    </w:p>
    <w:p w14:paraId="187A6414" w14:textId="77777777" w:rsidR="00986E55" w:rsidRDefault="00986E55" w:rsidP="00F47E3D">
      <w:pPr>
        <w:spacing w:line="360" w:lineRule="auto"/>
        <w:rPr>
          <w:rFonts w:ascii="Arial" w:hAnsi="Arial" w:cs="Arial"/>
          <w:b/>
          <w:bCs/>
          <w:sz w:val="36"/>
          <w:szCs w:val="36"/>
        </w:rPr>
      </w:pPr>
    </w:p>
    <w:p w14:paraId="6FFF163C" w14:textId="77777777" w:rsidR="00986E55" w:rsidRDefault="00986E55" w:rsidP="00F47E3D">
      <w:pPr>
        <w:spacing w:line="360" w:lineRule="auto"/>
        <w:rPr>
          <w:rFonts w:ascii="Arial" w:hAnsi="Arial" w:cs="Arial"/>
          <w:b/>
          <w:bCs/>
          <w:sz w:val="36"/>
          <w:szCs w:val="36"/>
        </w:rPr>
      </w:pPr>
    </w:p>
    <w:p w14:paraId="50EC986F" w14:textId="53F819B5" w:rsidR="00F47E3D" w:rsidRPr="00F47E3D" w:rsidRDefault="005C4727" w:rsidP="00F47E3D">
      <w:pPr>
        <w:spacing w:line="360" w:lineRule="auto"/>
        <w:rPr>
          <w:rFonts w:ascii="Arial" w:hAnsi="Arial" w:cs="Arial"/>
          <w:b/>
          <w:bCs/>
          <w:sz w:val="36"/>
          <w:szCs w:val="36"/>
        </w:rPr>
      </w:pPr>
      <w:r w:rsidRPr="00F47E3D">
        <w:rPr>
          <w:rFonts w:ascii="Arial" w:hAnsi="Arial" w:cs="Arial"/>
          <w:b/>
          <w:bCs/>
          <w:sz w:val="36"/>
          <w:szCs w:val="36"/>
        </w:rPr>
        <w:t>Student name: Stevenson Omobude Agbonaye</w:t>
      </w:r>
      <w:r w:rsidRPr="00F47E3D">
        <w:rPr>
          <w:rFonts w:ascii="Arial" w:hAnsi="Arial" w:cs="Arial"/>
          <w:b/>
          <w:bCs/>
          <w:sz w:val="36"/>
          <w:szCs w:val="36"/>
        </w:rPr>
        <w:br/>
        <w:t>Student number: 242</w:t>
      </w:r>
      <w:r w:rsidR="00F47E3D" w:rsidRPr="00F47E3D">
        <w:rPr>
          <w:rFonts w:ascii="Arial" w:hAnsi="Arial" w:cs="Arial"/>
          <w:b/>
          <w:bCs/>
          <w:sz w:val="36"/>
          <w:szCs w:val="36"/>
        </w:rPr>
        <w:t>6680</w:t>
      </w:r>
      <w:r w:rsidRPr="00F47E3D">
        <w:rPr>
          <w:rFonts w:ascii="Arial" w:hAnsi="Arial" w:cs="Arial"/>
          <w:b/>
          <w:bCs/>
          <w:sz w:val="36"/>
          <w:szCs w:val="36"/>
        </w:rPr>
        <w:br/>
        <w:t>Module name:</w:t>
      </w:r>
      <w:r w:rsidR="00F47E3D" w:rsidRPr="00F47E3D">
        <w:rPr>
          <w:rFonts w:ascii="Arial" w:hAnsi="Arial" w:cs="Arial"/>
          <w:b/>
          <w:bCs/>
          <w:sz w:val="36"/>
          <w:szCs w:val="36"/>
        </w:rPr>
        <w:t xml:space="preserve"> Psychology in Health and Social Care</w:t>
      </w:r>
    </w:p>
    <w:p w14:paraId="09949AA0" w14:textId="3A6144D0" w:rsidR="005C4727" w:rsidRPr="00F47E3D" w:rsidRDefault="005C4727" w:rsidP="005C4727">
      <w:pPr>
        <w:spacing w:line="360" w:lineRule="auto"/>
        <w:rPr>
          <w:rFonts w:ascii="Arial" w:hAnsi="Arial" w:cs="Arial"/>
          <w:b/>
          <w:bCs/>
          <w:sz w:val="36"/>
          <w:szCs w:val="36"/>
        </w:rPr>
      </w:pPr>
      <w:r w:rsidRPr="00F47E3D">
        <w:rPr>
          <w:rFonts w:ascii="Arial" w:hAnsi="Arial" w:cs="Arial"/>
          <w:b/>
          <w:bCs/>
          <w:sz w:val="36"/>
          <w:szCs w:val="36"/>
        </w:rPr>
        <w:t>Module number:</w:t>
      </w:r>
      <w:r w:rsidR="00F47E3D" w:rsidRPr="00F47E3D">
        <w:rPr>
          <w:rFonts w:ascii="Arial" w:hAnsi="Arial" w:cs="Arial"/>
          <w:b/>
          <w:bCs/>
          <w:sz w:val="36"/>
          <w:szCs w:val="36"/>
        </w:rPr>
        <w:t xml:space="preserve"> LCHS4010</w:t>
      </w:r>
      <w:r w:rsidR="00E73964">
        <w:rPr>
          <w:rFonts w:ascii="Arial" w:hAnsi="Arial" w:cs="Arial"/>
          <w:b/>
          <w:bCs/>
          <w:sz w:val="36"/>
          <w:szCs w:val="36"/>
        </w:rPr>
        <w:t xml:space="preserve"> </w:t>
      </w:r>
      <w:r w:rsidR="00E73964" w:rsidRPr="00E73964">
        <w:rPr>
          <w:rFonts w:ascii="Arial" w:hAnsi="Arial" w:cs="Arial"/>
          <w:b/>
          <w:bCs/>
          <w:sz w:val="36"/>
          <w:szCs w:val="36"/>
        </w:rPr>
        <w:t>Assignment</w:t>
      </w:r>
      <w:r w:rsidR="00FC47F3">
        <w:rPr>
          <w:rFonts w:ascii="Arial" w:hAnsi="Arial" w:cs="Arial"/>
          <w:b/>
          <w:bCs/>
          <w:sz w:val="36"/>
          <w:szCs w:val="36"/>
        </w:rPr>
        <w:t xml:space="preserve"> 2</w:t>
      </w:r>
      <w:r w:rsidRPr="00F47E3D">
        <w:rPr>
          <w:rFonts w:ascii="Arial" w:hAnsi="Arial" w:cs="Arial"/>
          <w:b/>
          <w:bCs/>
          <w:sz w:val="36"/>
          <w:szCs w:val="36"/>
        </w:rPr>
        <w:br/>
        <w:t>Lecturer’s name:</w:t>
      </w:r>
      <w:r w:rsidR="00F47E3D">
        <w:rPr>
          <w:rFonts w:ascii="Arial" w:hAnsi="Arial" w:cs="Arial"/>
          <w:b/>
          <w:bCs/>
          <w:sz w:val="36"/>
          <w:szCs w:val="36"/>
        </w:rPr>
        <w:t xml:space="preserve"> </w:t>
      </w:r>
      <w:r w:rsidR="00986E55">
        <w:rPr>
          <w:rFonts w:ascii="Arial" w:hAnsi="Arial" w:cs="Arial"/>
          <w:b/>
          <w:bCs/>
          <w:sz w:val="36"/>
          <w:szCs w:val="36"/>
        </w:rPr>
        <w:t>Neale Haddon</w:t>
      </w:r>
    </w:p>
    <w:p w14:paraId="1E88ABFB" w14:textId="77777777" w:rsidR="00AE3BDD" w:rsidRDefault="00AE3BDD" w:rsidP="001D54B4">
      <w:pPr>
        <w:rPr>
          <w:b/>
          <w:bCs/>
          <w:sz w:val="36"/>
          <w:szCs w:val="36"/>
        </w:rPr>
      </w:pPr>
    </w:p>
    <w:p w14:paraId="699DEF45" w14:textId="77777777" w:rsidR="00AE3BDD" w:rsidRDefault="00AE3BDD" w:rsidP="001D54B4">
      <w:pPr>
        <w:rPr>
          <w:b/>
          <w:bCs/>
          <w:sz w:val="36"/>
          <w:szCs w:val="36"/>
        </w:rPr>
      </w:pPr>
    </w:p>
    <w:p w14:paraId="3F237F6E" w14:textId="77777777" w:rsidR="00AE3BDD" w:rsidRDefault="00AE3BDD" w:rsidP="001D54B4">
      <w:pPr>
        <w:rPr>
          <w:b/>
          <w:bCs/>
          <w:sz w:val="36"/>
          <w:szCs w:val="36"/>
        </w:rPr>
      </w:pPr>
    </w:p>
    <w:p w14:paraId="591B963F" w14:textId="77777777" w:rsidR="00AE3BDD" w:rsidRDefault="00AE3BDD" w:rsidP="001D54B4">
      <w:pPr>
        <w:rPr>
          <w:b/>
          <w:bCs/>
          <w:sz w:val="36"/>
          <w:szCs w:val="36"/>
        </w:rPr>
      </w:pPr>
    </w:p>
    <w:p w14:paraId="003F9243" w14:textId="77777777" w:rsidR="00AE3BDD" w:rsidRDefault="00AE3BDD" w:rsidP="001D54B4">
      <w:pPr>
        <w:rPr>
          <w:b/>
          <w:bCs/>
          <w:sz w:val="36"/>
          <w:szCs w:val="36"/>
        </w:rPr>
      </w:pPr>
    </w:p>
    <w:p w14:paraId="6244622F" w14:textId="77777777" w:rsidR="00AE3BDD" w:rsidRDefault="00AE3BDD" w:rsidP="001D54B4">
      <w:pPr>
        <w:rPr>
          <w:b/>
          <w:bCs/>
          <w:sz w:val="36"/>
          <w:szCs w:val="36"/>
        </w:rPr>
      </w:pPr>
    </w:p>
    <w:p w14:paraId="27976552" w14:textId="77777777" w:rsidR="00AE3BDD" w:rsidRDefault="00AE3BDD" w:rsidP="001D54B4">
      <w:pPr>
        <w:rPr>
          <w:b/>
          <w:bCs/>
          <w:sz w:val="36"/>
          <w:szCs w:val="36"/>
        </w:rPr>
      </w:pPr>
    </w:p>
    <w:p w14:paraId="6047AB71" w14:textId="77777777" w:rsidR="00AE3BDD" w:rsidRDefault="00AE3BDD" w:rsidP="001D54B4">
      <w:pPr>
        <w:rPr>
          <w:b/>
          <w:bCs/>
          <w:sz w:val="36"/>
          <w:szCs w:val="36"/>
        </w:rPr>
      </w:pPr>
    </w:p>
    <w:p w14:paraId="3718E471" w14:textId="0EA6F9CA" w:rsidR="005726E9" w:rsidRDefault="005726E9" w:rsidP="001D54B4"/>
    <w:p w14:paraId="00F19FD9" w14:textId="77777777" w:rsidR="005C4727" w:rsidRDefault="005C4727" w:rsidP="001D54B4"/>
    <w:p w14:paraId="70BE2514" w14:textId="77777777" w:rsidR="005C4727" w:rsidRDefault="005C4727" w:rsidP="001D54B4"/>
    <w:p w14:paraId="4F8472DD" w14:textId="77777777" w:rsidR="005C4727" w:rsidRDefault="005C4727" w:rsidP="001D54B4"/>
    <w:p w14:paraId="1251DC16" w14:textId="77777777" w:rsidR="005C4727" w:rsidRDefault="005C4727" w:rsidP="001D54B4"/>
    <w:p w14:paraId="45438EB9" w14:textId="77777777" w:rsidR="005C4727" w:rsidRDefault="005C4727" w:rsidP="001D54B4"/>
    <w:p w14:paraId="32A9A118" w14:textId="77777777" w:rsidR="005C4727" w:rsidRDefault="005C4727" w:rsidP="001D54B4"/>
    <w:p w14:paraId="7F7F1BDF" w14:textId="77777777" w:rsidR="005C4727" w:rsidRDefault="005C4727" w:rsidP="00986E55">
      <w:pPr>
        <w:spacing w:line="360" w:lineRule="auto"/>
      </w:pPr>
    </w:p>
    <w:p w14:paraId="5DE657D5" w14:textId="77777777" w:rsidR="00986E55" w:rsidRDefault="00986E55" w:rsidP="00986E55">
      <w:pPr>
        <w:pStyle w:val="TOCHeading"/>
        <w:spacing w:line="360" w:lineRule="auto"/>
        <w:rPr>
          <w:rFonts w:ascii="Arial" w:hAnsi="Arial" w:cs="Arial"/>
          <w:color w:val="000000" w:themeColor="text1"/>
          <w:sz w:val="28"/>
          <w:szCs w:val="28"/>
        </w:rPr>
      </w:pPr>
    </w:p>
    <w:p w14:paraId="234A020B" w14:textId="77777777" w:rsidR="00986E55" w:rsidRDefault="00986E55" w:rsidP="00986E55">
      <w:pPr>
        <w:pStyle w:val="TOCHeading"/>
        <w:spacing w:line="360" w:lineRule="auto"/>
        <w:rPr>
          <w:rFonts w:ascii="Arial" w:hAnsi="Arial" w:cs="Arial"/>
          <w:color w:val="000000" w:themeColor="text1"/>
          <w:sz w:val="28"/>
          <w:szCs w:val="28"/>
        </w:rPr>
      </w:pPr>
    </w:p>
    <w:p w14:paraId="687F8AD9" w14:textId="77777777" w:rsidR="00986E55" w:rsidRDefault="00986E55" w:rsidP="00986E55">
      <w:pPr>
        <w:pStyle w:val="TOCHeading"/>
        <w:spacing w:line="360" w:lineRule="auto"/>
        <w:rPr>
          <w:rFonts w:ascii="Arial" w:hAnsi="Arial" w:cs="Arial"/>
          <w:color w:val="000000" w:themeColor="text1"/>
          <w:sz w:val="28"/>
          <w:szCs w:val="28"/>
        </w:rPr>
      </w:pPr>
    </w:p>
    <w:p w14:paraId="4D1C2454" w14:textId="693D1C9C" w:rsidR="001D54B4" w:rsidRPr="00322C7E" w:rsidRDefault="00E73964" w:rsidP="00986E55">
      <w:pPr>
        <w:pStyle w:val="TOCHeading"/>
        <w:spacing w:line="360" w:lineRule="auto"/>
        <w:rPr>
          <w:rFonts w:ascii="Arial" w:hAnsi="Arial" w:cs="Arial"/>
          <w:b/>
          <w:bCs/>
          <w:color w:val="000000" w:themeColor="text1"/>
          <w:sz w:val="28"/>
          <w:szCs w:val="28"/>
        </w:rPr>
      </w:pPr>
      <w:r w:rsidRPr="00322C7E">
        <w:rPr>
          <w:rFonts w:ascii="Arial" w:hAnsi="Arial" w:cs="Arial"/>
          <w:b/>
          <w:bCs/>
          <w:color w:val="000000" w:themeColor="text1"/>
          <w:sz w:val="28"/>
          <w:szCs w:val="28"/>
        </w:rPr>
        <w:t>Table of Contents</w:t>
      </w:r>
    </w:p>
    <w:p w14:paraId="16680F3F" w14:textId="4DE55BFE" w:rsidR="00986E55" w:rsidRPr="00AF0B7C" w:rsidRDefault="00986E55" w:rsidP="00986E55">
      <w:pPr>
        <w:spacing w:line="360" w:lineRule="auto"/>
        <w:rPr>
          <w:rFonts w:ascii="Arial" w:hAnsi="Arial" w:cs="Arial"/>
          <w:sz w:val="28"/>
          <w:szCs w:val="28"/>
          <w:lang w:val="en-US"/>
        </w:rPr>
      </w:pPr>
      <w:r w:rsidRPr="00AF0B7C">
        <w:rPr>
          <w:rFonts w:ascii="Arial" w:hAnsi="Arial" w:cs="Arial"/>
          <w:sz w:val="28"/>
          <w:szCs w:val="28"/>
          <w:lang w:val="en-US"/>
        </w:rPr>
        <w:t>Introduction……………………………………………………………………1</w:t>
      </w:r>
    </w:p>
    <w:p w14:paraId="6DE2FB74" w14:textId="75F086DB" w:rsidR="00986E55" w:rsidRPr="00AF0B7C" w:rsidRDefault="00986E55" w:rsidP="00986E55">
      <w:pPr>
        <w:spacing w:line="360" w:lineRule="auto"/>
        <w:rPr>
          <w:rFonts w:ascii="Arial" w:hAnsi="Arial" w:cs="Arial"/>
          <w:sz w:val="28"/>
          <w:szCs w:val="28"/>
          <w:lang w:val="en-US"/>
        </w:rPr>
      </w:pPr>
      <w:r w:rsidRPr="00AF0B7C">
        <w:rPr>
          <w:rFonts w:ascii="Arial" w:hAnsi="Arial" w:cs="Arial"/>
          <w:sz w:val="28"/>
          <w:szCs w:val="28"/>
          <w:lang w:val="en-US"/>
        </w:rPr>
        <w:t>Overview of psychological theories relevant to older adults…………</w:t>
      </w:r>
      <w:proofErr w:type="gramStart"/>
      <w:r w:rsidRPr="00AF0B7C">
        <w:rPr>
          <w:rFonts w:ascii="Arial" w:hAnsi="Arial" w:cs="Arial"/>
          <w:sz w:val="28"/>
          <w:szCs w:val="28"/>
          <w:lang w:val="en-US"/>
        </w:rPr>
        <w:t>…..</w:t>
      </w:r>
      <w:proofErr w:type="gramEnd"/>
      <w:r w:rsidRPr="00AF0B7C">
        <w:rPr>
          <w:rFonts w:ascii="Arial" w:hAnsi="Arial" w:cs="Arial"/>
          <w:sz w:val="28"/>
          <w:szCs w:val="28"/>
          <w:lang w:val="en-US"/>
        </w:rPr>
        <w:t>2</w:t>
      </w:r>
    </w:p>
    <w:p w14:paraId="6F37669A" w14:textId="44FE73FF" w:rsidR="00986E55" w:rsidRPr="00AF0B7C" w:rsidRDefault="00986E55" w:rsidP="00986E55">
      <w:pPr>
        <w:spacing w:line="360" w:lineRule="auto"/>
        <w:rPr>
          <w:rFonts w:ascii="Arial" w:hAnsi="Arial" w:cs="Arial"/>
          <w:sz w:val="28"/>
          <w:szCs w:val="28"/>
          <w:lang w:val="en-US"/>
        </w:rPr>
      </w:pPr>
      <w:r w:rsidRPr="00AF0B7C">
        <w:rPr>
          <w:rFonts w:ascii="Arial" w:hAnsi="Arial" w:cs="Arial"/>
          <w:sz w:val="28"/>
          <w:szCs w:val="28"/>
          <w:lang w:val="en-US"/>
        </w:rPr>
        <w:t>Application of theories in the health and social care context…………….2</w:t>
      </w:r>
    </w:p>
    <w:p w14:paraId="62BB8C03" w14:textId="0B38D5C6" w:rsidR="00986E55" w:rsidRPr="00AF0B7C" w:rsidRDefault="00986E55" w:rsidP="00986E55">
      <w:pPr>
        <w:spacing w:line="360" w:lineRule="auto"/>
        <w:rPr>
          <w:rFonts w:ascii="Arial" w:hAnsi="Arial" w:cs="Arial"/>
          <w:sz w:val="28"/>
          <w:szCs w:val="28"/>
          <w:lang w:val="en-US"/>
        </w:rPr>
      </w:pPr>
      <w:r w:rsidRPr="00AF0B7C">
        <w:rPr>
          <w:rFonts w:ascii="Arial" w:hAnsi="Arial" w:cs="Arial"/>
          <w:sz w:val="28"/>
          <w:szCs w:val="28"/>
          <w:lang w:val="en-US"/>
        </w:rPr>
        <w:t>Challenges and strategies for applying theories………………………</w:t>
      </w:r>
      <w:proofErr w:type="gramStart"/>
      <w:r w:rsidRPr="00AF0B7C">
        <w:rPr>
          <w:rFonts w:ascii="Arial" w:hAnsi="Arial" w:cs="Arial"/>
          <w:sz w:val="28"/>
          <w:szCs w:val="28"/>
          <w:lang w:val="en-US"/>
        </w:rPr>
        <w:t>…..</w:t>
      </w:r>
      <w:proofErr w:type="gramEnd"/>
      <w:r w:rsidRPr="00AF0B7C">
        <w:rPr>
          <w:rFonts w:ascii="Arial" w:hAnsi="Arial" w:cs="Arial"/>
          <w:sz w:val="28"/>
          <w:szCs w:val="28"/>
          <w:lang w:val="en-US"/>
        </w:rPr>
        <w:t>3</w:t>
      </w:r>
    </w:p>
    <w:p w14:paraId="71D1BA97" w14:textId="420B6EAF" w:rsidR="00986E55" w:rsidRPr="00AF0B7C" w:rsidRDefault="00986E55" w:rsidP="00986E55">
      <w:pPr>
        <w:spacing w:line="360" w:lineRule="auto"/>
        <w:rPr>
          <w:rFonts w:ascii="Arial" w:hAnsi="Arial" w:cs="Arial"/>
          <w:sz w:val="28"/>
          <w:szCs w:val="28"/>
          <w:lang w:val="en-US"/>
        </w:rPr>
      </w:pPr>
      <w:r w:rsidRPr="00AF0B7C">
        <w:rPr>
          <w:rFonts w:ascii="Arial" w:hAnsi="Arial" w:cs="Arial"/>
          <w:sz w:val="28"/>
          <w:szCs w:val="28"/>
          <w:lang w:val="en-US"/>
        </w:rPr>
        <w:t>Conclusion…………………………………………………………………</w:t>
      </w:r>
      <w:proofErr w:type="gramStart"/>
      <w:r w:rsidRPr="00AF0B7C">
        <w:rPr>
          <w:rFonts w:ascii="Arial" w:hAnsi="Arial" w:cs="Arial"/>
          <w:sz w:val="28"/>
          <w:szCs w:val="28"/>
          <w:lang w:val="en-US"/>
        </w:rPr>
        <w:t>…..</w:t>
      </w:r>
      <w:proofErr w:type="gramEnd"/>
      <w:r w:rsidRPr="00AF0B7C">
        <w:rPr>
          <w:rFonts w:ascii="Arial" w:hAnsi="Arial" w:cs="Arial"/>
          <w:sz w:val="28"/>
          <w:szCs w:val="28"/>
          <w:lang w:val="en-US"/>
        </w:rPr>
        <w:t>4</w:t>
      </w:r>
    </w:p>
    <w:p w14:paraId="1F283D86" w14:textId="7EDDA323" w:rsidR="00986E55" w:rsidRPr="00AF0B7C" w:rsidRDefault="00986E55" w:rsidP="00986E55">
      <w:pPr>
        <w:spacing w:line="360" w:lineRule="auto"/>
        <w:rPr>
          <w:rFonts w:ascii="Arial" w:hAnsi="Arial" w:cs="Arial"/>
          <w:sz w:val="28"/>
          <w:szCs w:val="28"/>
          <w:lang w:val="en-US"/>
        </w:rPr>
      </w:pPr>
      <w:r w:rsidRPr="00AF0B7C">
        <w:rPr>
          <w:rFonts w:ascii="Arial" w:hAnsi="Arial" w:cs="Arial"/>
          <w:sz w:val="28"/>
          <w:szCs w:val="28"/>
          <w:lang w:val="en-US"/>
        </w:rPr>
        <w:t>References…………………………………………………………………….5</w:t>
      </w:r>
    </w:p>
    <w:p w14:paraId="61F10F82" w14:textId="77777777" w:rsidR="001D54B4" w:rsidRPr="00AF0B7C" w:rsidRDefault="001D54B4" w:rsidP="001D54B4">
      <w:pPr>
        <w:rPr>
          <w:sz w:val="28"/>
          <w:szCs w:val="28"/>
        </w:rPr>
      </w:pPr>
    </w:p>
    <w:p w14:paraId="08A84AF3" w14:textId="77777777" w:rsidR="005726E9" w:rsidRDefault="005726E9"/>
    <w:p w14:paraId="76532887" w14:textId="77777777" w:rsidR="005726E9" w:rsidRDefault="005726E9"/>
    <w:p w14:paraId="66AE5DB3" w14:textId="77777777" w:rsidR="00986E55" w:rsidRDefault="00986E55" w:rsidP="003310AC">
      <w:pPr>
        <w:pStyle w:val="Heading1"/>
      </w:pPr>
      <w:bookmarkStart w:id="0" w:name="_Toc213222017"/>
    </w:p>
    <w:p w14:paraId="7918AAFC" w14:textId="77777777" w:rsidR="008D0E7B" w:rsidRDefault="008D0E7B" w:rsidP="003310AC">
      <w:pPr>
        <w:pStyle w:val="Heading1"/>
      </w:pPr>
    </w:p>
    <w:p w14:paraId="222D2DF3" w14:textId="77777777" w:rsidR="008D0E7B" w:rsidRDefault="008D0E7B" w:rsidP="008D0E7B"/>
    <w:p w14:paraId="0B482189" w14:textId="77777777" w:rsidR="008D0E7B" w:rsidRPr="008D0E7B" w:rsidRDefault="008D0E7B" w:rsidP="008D0E7B"/>
    <w:p w14:paraId="5013F3E8" w14:textId="77777777" w:rsidR="00254953" w:rsidRDefault="00254953" w:rsidP="008D0E7B">
      <w:pPr>
        <w:pStyle w:val="Heading1"/>
        <w:spacing w:line="360" w:lineRule="auto"/>
        <w:rPr>
          <w:rFonts w:ascii="Arial" w:hAnsi="Arial" w:cs="Arial"/>
          <w:b/>
          <w:bCs/>
          <w:color w:val="000000" w:themeColor="text1"/>
          <w:sz w:val="22"/>
          <w:szCs w:val="22"/>
        </w:rPr>
      </w:pPr>
      <w:bookmarkStart w:id="1" w:name="_Toc213222018"/>
      <w:bookmarkEnd w:id="0"/>
    </w:p>
    <w:p w14:paraId="40A55DA0" w14:textId="17D13611" w:rsidR="008D0E7B" w:rsidRPr="00D652D2" w:rsidRDefault="008D0E7B" w:rsidP="00AF0B7C">
      <w:pPr>
        <w:pStyle w:val="Heading1"/>
        <w:spacing w:line="360" w:lineRule="auto"/>
        <w:rPr>
          <w:rFonts w:ascii="Arial" w:hAnsi="Arial" w:cs="Arial"/>
          <w:b/>
          <w:bCs/>
          <w:color w:val="000000" w:themeColor="text1"/>
          <w:sz w:val="22"/>
          <w:szCs w:val="22"/>
        </w:rPr>
      </w:pPr>
      <w:r w:rsidRPr="00D652D2">
        <w:rPr>
          <w:rFonts w:ascii="Arial" w:hAnsi="Arial" w:cs="Arial"/>
          <w:b/>
          <w:bCs/>
          <w:color w:val="000000" w:themeColor="text1"/>
          <w:sz w:val="22"/>
          <w:szCs w:val="22"/>
        </w:rPr>
        <w:t>Introduction</w:t>
      </w:r>
    </w:p>
    <w:p w14:paraId="0F8D8772" w14:textId="21D9EEA8" w:rsidR="003310AC" w:rsidRPr="00D652D2" w:rsidRDefault="005726E9" w:rsidP="00AF0B7C">
      <w:pPr>
        <w:pStyle w:val="Heading1"/>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Overview of Psychological Theories Relevant to Older Adults</w:t>
      </w:r>
      <w:bookmarkEnd w:id="1"/>
    </w:p>
    <w:p w14:paraId="651D6EED" w14:textId="136F54DB" w:rsidR="001A30A9" w:rsidRPr="00D652D2" w:rsidRDefault="001A30A9"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 xml:space="preserve">Erikson’s Psychosocial Theory describes human development through eight stages across the lifespan. The last stage, ego integrity versus despair, is especially relevant to adults aged 65 and over and those living with dementia (Erikson, 1950). </w:t>
      </w:r>
      <w:r w:rsidR="001D54B4" w:rsidRPr="00D652D2">
        <w:rPr>
          <w:rFonts w:ascii="Arial" w:hAnsi="Arial" w:cs="Arial"/>
          <w:color w:val="000000" w:themeColor="text1"/>
          <w:sz w:val="22"/>
          <w:szCs w:val="22"/>
        </w:rPr>
        <w:t>During this phase, senior citizens consider their lives and assess if they were fulfilling and meaningful.  Reaching ego integrity entails finding contentment and serenity in one's life.  Conversely, despair is the result of looking back with regret and discontent.  This approach might be challenging for persons in dementia care facilities because of confusion and memory loss.  Carers who are aware of this notion might assist by treating residents with respect and encouraging them to think back on happy experiences.  Reminiscences and life story talks are two activities that can help seniors feel whole and appreciated.  This lessens depressive, anxious, and hopeless sensations.</w:t>
      </w:r>
    </w:p>
    <w:p w14:paraId="35355416" w14:textId="52D9FBE0" w:rsidR="001A30A9" w:rsidRPr="00D652D2" w:rsidRDefault="001D54B4"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Strong emotional ties that are developed early in life have an impact on people at every stage of maturity, including old age, according to Bowlby's attachment theory.  Because persons with dementia frequently feel insecure and want protection and comfort, this notion is crucial to dementia care.  They often feel safer and more at ease when their attachment needs are satisfied, such as by regular caring and emotional support.  However, residents may experience anxiety, withdrawal, or aggression if these demands are not met.  By establishing dependable, trustworthy connections, adhering to routines, and sensitively addressing emotional needs, carers who are aware of this principle can enhance their care.  Both residents and carers benefit from this strategy's ability to lessen stress and difficult conduct.</w:t>
      </w:r>
    </w:p>
    <w:p w14:paraId="59E7AF99" w14:textId="01C02D12" w:rsidR="001A30A9" w:rsidRPr="00D652D2" w:rsidRDefault="001D54B4"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Both theories provide helpful insights into the psychological and emotional difficulties older persons with dementia confront.  Health and social care workers may offer more individualised, considerate, and efficient assistance by comprehending and putting Erikson's and Bowlby's ideas into practice.  Despite the challenges of ageing and dementia, this encourages older persons to preserve their dignity and enhance their quality of life.</w:t>
      </w:r>
    </w:p>
    <w:p w14:paraId="45EF6B0B" w14:textId="77777777" w:rsidR="001A30A9" w:rsidRPr="00D652D2" w:rsidRDefault="001A30A9" w:rsidP="00AF0B7C">
      <w:pPr>
        <w:spacing w:line="360" w:lineRule="auto"/>
        <w:rPr>
          <w:rFonts w:ascii="Arial" w:hAnsi="Arial" w:cs="Arial"/>
          <w:color w:val="000000" w:themeColor="text1"/>
          <w:sz w:val="22"/>
          <w:szCs w:val="22"/>
        </w:rPr>
      </w:pPr>
    </w:p>
    <w:p w14:paraId="448B347A" w14:textId="71637953" w:rsidR="001A30A9" w:rsidRPr="00D652D2" w:rsidRDefault="001A30A9" w:rsidP="00AF0B7C">
      <w:pPr>
        <w:pStyle w:val="Heading1"/>
        <w:spacing w:line="360" w:lineRule="auto"/>
        <w:rPr>
          <w:rFonts w:ascii="Arial" w:hAnsi="Arial" w:cs="Arial"/>
          <w:b/>
          <w:bCs/>
          <w:color w:val="000000" w:themeColor="text1"/>
          <w:sz w:val="22"/>
          <w:szCs w:val="22"/>
        </w:rPr>
      </w:pPr>
      <w:bookmarkStart w:id="2" w:name="_Toc213222019"/>
      <w:r w:rsidRPr="00D652D2">
        <w:rPr>
          <w:rFonts w:ascii="Arial" w:hAnsi="Arial" w:cs="Arial"/>
          <w:b/>
          <w:bCs/>
          <w:color w:val="000000" w:themeColor="text1"/>
          <w:sz w:val="22"/>
          <w:szCs w:val="22"/>
        </w:rPr>
        <w:lastRenderedPageBreak/>
        <w:t>Application of Theories in the Health and Social Care Context</w:t>
      </w:r>
      <w:bookmarkEnd w:id="2"/>
      <w:r w:rsidRPr="00D652D2">
        <w:rPr>
          <w:rFonts w:ascii="Arial" w:hAnsi="Arial" w:cs="Arial"/>
          <w:b/>
          <w:bCs/>
          <w:color w:val="000000" w:themeColor="text1"/>
          <w:sz w:val="22"/>
          <w:szCs w:val="22"/>
        </w:rPr>
        <w:t xml:space="preserve"> </w:t>
      </w:r>
    </w:p>
    <w:p w14:paraId="4D0BA8F2" w14:textId="4816F762" w:rsidR="001A30A9" w:rsidRPr="00D652D2" w:rsidRDefault="001D54B4" w:rsidP="00AF0B7C">
      <w:pPr>
        <w:spacing w:line="360" w:lineRule="auto"/>
        <w:rPr>
          <w:rFonts w:ascii="Arial" w:hAnsi="Arial" w:cs="Arial"/>
          <w:sz w:val="22"/>
          <w:szCs w:val="22"/>
        </w:rPr>
      </w:pPr>
      <w:r w:rsidRPr="00D652D2">
        <w:rPr>
          <w:rFonts w:ascii="Arial" w:hAnsi="Arial" w:cs="Arial"/>
          <w:sz w:val="22"/>
          <w:szCs w:val="22"/>
        </w:rPr>
        <w:t>Erikson's Psychosocial Theory is useful for providing emotional support to elderly residents in dementia care facilities.  Older folks reflect on their life in the last phase of this paradigm, known as ego integrity versus despair.  It is beneficial to their mental health if they feel content and proud.  However, remorse might lead to depression or anxiety.  Due to memory loss, patients of dementia care facilities may experience these emotions.  By promoting life review activities, such as discussing prior events or going through picture albums, carers can use this approach.</w:t>
      </w:r>
      <w:r w:rsidR="001A30A9" w:rsidRPr="00D652D2">
        <w:rPr>
          <w:rFonts w:ascii="Arial" w:hAnsi="Arial" w:cs="Arial"/>
          <w:sz w:val="22"/>
          <w:szCs w:val="22"/>
        </w:rPr>
        <w:t xml:space="preserve"> These actions help residents feel important and create a sense of belonging and self-worth, which supports their ego integrity (Erikson, 1950). This improves mood and can reduce difficult behaviours linked to frustration or sadness.</w:t>
      </w:r>
    </w:p>
    <w:p w14:paraId="535D2AB3" w14:textId="77777777" w:rsidR="001A30A9" w:rsidRPr="00D652D2" w:rsidRDefault="001A30A9" w:rsidP="00AF0B7C">
      <w:pPr>
        <w:spacing w:line="360" w:lineRule="auto"/>
        <w:rPr>
          <w:rFonts w:ascii="Arial" w:hAnsi="Arial" w:cs="Arial"/>
          <w:sz w:val="22"/>
          <w:szCs w:val="22"/>
        </w:rPr>
      </w:pPr>
    </w:p>
    <w:p w14:paraId="0D211B7B" w14:textId="77777777" w:rsidR="001D54B4" w:rsidRPr="00D652D2" w:rsidRDefault="001D54B4" w:rsidP="00AF0B7C">
      <w:pPr>
        <w:spacing w:line="360" w:lineRule="auto"/>
        <w:rPr>
          <w:rFonts w:ascii="Arial" w:hAnsi="Arial" w:cs="Arial"/>
          <w:sz w:val="22"/>
          <w:szCs w:val="22"/>
        </w:rPr>
      </w:pPr>
      <w:r w:rsidRPr="00D652D2">
        <w:rPr>
          <w:rFonts w:ascii="Arial" w:hAnsi="Arial" w:cs="Arial"/>
          <w:sz w:val="22"/>
          <w:szCs w:val="22"/>
        </w:rPr>
        <w:t>The need for emotional stability based on intimate connections is explained by Bowlby's Attachment Theory.  When they are away from regular carers or in unfamiliar circumstances, many persons with dementia experience anxiety or worry.  By developing solid, trustworthy connections with residents, carers may put this principle to practice.</w:t>
      </w:r>
      <w:r w:rsidR="001A30A9" w:rsidRPr="00D652D2">
        <w:rPr>
          <w:rFonts w:ascii="Arial" w:hAnsi="Arial" w:cs="Arial"/>
          <w:sz w:val="22"/>
          <w:szCs w:val="22"/>
        </w:rPr>
        <w:t xml:space="preserve"> Consistency in caregivers and daily routines provides comfort and reduces fear (Wang and Li, 2023). </w:t>
      </w:r>
      <w:r w:rsidRPr="00D652D2">
        <w:rPr>
          <w:rFonts w:ascii="Arial" w:hAnsi="Arial" w:cs="Arial"/>
          <w:sz w:val="22"/>
          <w:szCs w:val="22"/>
        </w:rPr>
        <w:t xml:space="preserve">Residents are calmer and exhibit fewer problematic actions when they feel emotionally supported and comfortable.  </w:t>
      </w:r>
      <w:proofErr w:type="gramStart"/>
      <w:r w:rsidRPr="00D652D2">
        <w:rPr>
          <w:rFonts w:ascii="Arial" w:hAnsi="Arial" w:cs="Arial"/>
          <w:sz w:val="22"/>
          <w:szCs w:val="22"/>
        </w:rPr>
        <w:t>In order to</w:t>
      </w:r>
      <w:proofErr w:type="gramEnd"/>
      <w:r w:rsidRPr="00D652D2">
        <w:rPr>
          <w:rFonts w:ascii="Arial" w:hAnsi="Arial" w:cs="Arial"/>
          <w:sz w:val="22"/>
          <w:szCs w:val="22"/>
        </w:rPr>
        <w:t xml:space="preserve"> implement this, care facilities should strive to maintain consistent routines and the same carers with residents wherever feasible.  </w:t>
      </w:r>
      <w:proofErr w:type="gramStart"/>
      <w:r w:rsidRPr="00D652D2">
        <w:rPr>
          <w:rFonts w:ascii="Arial" w:hAnsi="Arial" w:cs="Arial"/>
          <w:sz w:val="22"/>
          <w:szCs w:val="22"/>
        </w:rPr>
        <w:t>In order to</w:t>
      </w:r>
      <w:proofErr w:type="gramEnd"/>
      <w:r w:rsidRPr="00D652D2">
        <w:rPr>
          <w:rFonts w:ascii="Arial" w:hAnsi="Arial" w:cs="Arial"/>
          <w:sz w:val="22"/>
          <w:szCs w:val="22"/>
        </w:rPr>
        <w:t xml:space="preserve"> satisfy attachment demands, staff members should also communicate gently and provide comfort via touch and voice.</w:t>
      </w:r>
    </w:p>
    <w:p w14:paraId="4A2803F7" w14:textId="77777777" w:rsidR="001D54B4" w:rsidRPr="00D652D2" w:rsidRDefault="001D54B4" w:rsidP="00AF0B7C">
      <w:pPr>
        <w:spacing w:line="360" w:lineRule="auto"/>
        <w:rPr>
          <w:rFonts w:ascii="Arial" w:hAnsi="Arial" w:cs="Arial"/>
          <w:sz w:val="22"/>
          <w:szCs w:val="22"/>
        </w:rPr>
      </w:pPr>
    </w:p>
    <w:p w14:paraId="027DBC14" w14:textId="65DCFD9F" w:rsidR="005726E9" w:rsidRPr="00D652D2" w:rsidRDefault="001D54B4" w:rsidP="00AF0B7C">
      <w:pPr>
        <w:spacing w:line="360" w:lineRule="auto"/>
        <w:rPr>
          <w:rFonts w:ascii="Arial" w:hAnsi="Arial" w:cs="Arial"/>
          <w:sz w:val="22"/>
          <w:szCs w:val="22"/>
        </w:rPr>
      </w:pPr>
      <w:r w:rsidRPr="00D652D2">
        <w:rPr>
          <w:rFonts w:ascii="Arial" w:hAnsi="Arial" w:cs="Arial"/>
          <w:sz w:val="22"/>
          <w:szCs w:val="22"/>
        </w:rPr>
        <w:t>Combining these beliefs promotes a person-centred approach to dementia care.  To address each resident's unique emotional and psychological requirements, professionals can customise activities and care programs.  This enhances wellbeing, fosters trust, and lessens habits that make caring more difficult.  In general, professionals may establish compassionate, successful care environments for older individuals with dementia by comprehending and using Erikson's and Bowlby's ideas.</w:t>
      </w:r>
    </w:p>
    <w:p w14:paraId="47B7FFB1" w14:textId="77777777" w:rsidR="006129FF" w:rsidRPr="00D652D2" w:rsidRDefault="006129FF" w:rsidP="00AF0B7C">
      <w:pPr>
        <w:pStyle w:val="Heading1"/>
        <w:spacing w:line="360" w:lineRule="auto"/>
        <w:rPr>
          <w:rFonts w:ascii="Arial" w:hAnsi="Arial" w:cs="Arial"/>
          <w:b/>
          <w:bCs/>
          <w:color w:val="000000" w:themeColor="text1"/>
          <w:sz w:val="22"/>
          <w:szCs w:val="22"/>
        </w:rPr>
      </w:pPr>
      <w:bookmarkStart w:id="3" w:name="_Toc213222020"/>
    </w:p>
    <w:p w14:paraId="473BD1EE" w14:textId="78D905FC" w:rsidR="001D54B4" w:rsidRPr="00D652D2" w:rsidRDefault="001D54B4" w:rsidP="00AF0B7C">
      <w:pPr>
        <w:pStyle w:val="Heading1"/>
        <w:spacing w:line="360" w:lineRule="auto"/>
        <w:rPr>
          <w:rFonts w:ascii="Arial" w:hAnsi="Arial" w:cs="Arial"/>
          <w:b/>
          <w:bCs/>
          <w:color w:val="000000" w:themeColor="text1"/>
          <w:sz w:val="22"/>
          <w:szCs w:val="22"/>
        </w:rPr>
      </w:pPr>
      <w:r w:rsidRPr="00D652D2">
        <w:rPr>
          <w:rFonts w:ascii="Arial" w:hAnsi="Arial" w:cs="Arial"/>
          <w:b/>
          <w:bCs/>
          <w:color w:val="000000" w:themeColor="text1"/>
          <w:sz w:val="22"/>
          <w:szCs w:val="22"/>
        </w:rPr>
        <w:t>Challenges and Strategies for Applying Theories</w:t>
      </w:r>
      <w:bookmarkEnd w:id="3"/>
      <w:r w:rsidRPr="00D652D2">
        <w:rPr>
          <w:rFonts w:ascii="Arial" w:hAnsi="Arial" w:cs="Arial"/>
          <w:b/>
          <w:bCs/>
          <w:color w:val="000000" w:themeColor="text1"/>
          <w:sz w:val="22"/>
          <w:szCs w:val="22"/>
        </w:rPr>
        <w:t xml:space="preserve"> </w:t>
      </w:r>
    </w:p>
    <w:p w14:paraId="38B986C9" w14:textId="32A13529" w:rsidR="001D54B4" w:rsidRPr="00D652D2" w:rsidRDefault="001D54B4"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 xml:space="preserve">There are difficulties in putting Bowlby's and Erikson's ideas into practice.  According to Erikson's stage of ego integrity vs despair, residents' inability to articulate their emotions or think back on life is a result of memory loss and communication issues (Margolin, 2015).  </w:t>
      </w:r>
      <w:proofErr w:type="gramStart"/>
      <w:r w:rsidRPr="00D652D2">
        <w:rPr>
          <w:rFonts w:ascii="Arial" w:hAnsi="Arial" w:cs="Arial"/>
          <w:color w:val="000000" w:themeColor="text1"/>
          <w:sz w:val="22"/>
          <w:szCs w:val="22"/>
        </w:rPr>
        <w:t xml:space="preserve">In </w:t>
      </w:r>
      <w:r w:rsidRPr="00D652D2">
        <w:rPr>
          <w:rFonts w:ascii="Arial" w:hAnsi="Arial" w:cs="Arial"/>
          <w:color w:val="000000" w:themeColor="text1"/>
          <w:sz w:val="22"/>
          <w:szCs w:val="22"/>
        </w:rPr>
        <w:lastRenderedPageBreak/>
        <w:t>order to</w:t>
      </w:r>
      <w:proofErr w:type="gramEnd"/>
      <w:r w:rsidRPr="00D652D2">
        <w:rPr>
          <w:rFonts w:ascii="Arial" w:hAnsi="Arial" w:cs="Arial"/>
          <w:color w:val="000000" w:themeColor="text1"/>
          <w:sz w:val="22"/>
          <w:szCs w:val="22"/>
        </w:rPr>
        <w:t xml:space="preserve"> assist people, connect emotionally, staff members use basic speech, familiar items, and group memory exercises.</w:t>
      </w:r>
    </w:p>
    <w:p w14:paraId="359A2863" w14:textId="40749480" w:rsidR="001D54B4" w:rsidRPr="00D652D2" w:rsidRDefault="001D54B4"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 xml:space="preserve"> In care facilities, staff turnover and hectic schedules make it difficult to maintain the emotional ties that are crucial to Bowlby's Attachment Theory (Woods and Clare, 2008).  Anxiety and behavioural issues might arise when carers change.  </w:t>
      </w:r>
      <w:proofErr w:type="gramStart"/>
      <w:r w:rsidRPr="00D652D2">
        <w:rPr>
          <w:rFonts w:ascii="Arial" w:hAnsi="Arial" w:cs="Arial"/>
          <w:color w:val="000000" w:themeColor="text1"/>
          <w:sz w:val="22"/>
          <w:szCs w:val="22"/>
        </w:rPr>
        <w:t>In order to</w:t>
      </w:r>
      <w:proofErr w:type="gramEnd"/>
      <w:r w:rsidRPr="00D652D2">
        <w:rPr>
          <w:rFonts w:ascii="Arial" w:hAnsi="Arial" w:cs="Arial"/>
          <w:color w:val="000000" w:themeColor="text1"/>
          <w:sz w:val="22"/>
          <w:szCs w:val="22"/>
        </w:rPr>
        <w:t xml:space="preserve"> better understand residents' attachment requirements, care facilities should teach personnel in emotional care techniques and strive for consistent caregiving.</w:t>
      </w:r>
    </w:p>
    <w:p w14:paraId="2ED71254" w14:textId="77777777" w:rsidR="001D54B4" w:rsidRPr="00D652D2" w:rsidRDefault="001D54B4"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Another difficulty is striking a balance between physical and emotional care.  Time is needed for emotional support, which is scarce when doing physical care duties.  By being courteous and comforting to seniors while performing regular duties, staff may include emotional care into routines.</w:t>
      </w:r>
    </w:p>
    <w:p w14:paraId="4C783A82" w14:textId="0BE6DE2F" w:rsidR="001D54B4" w:rsidRPr="00D652D2" w:rsidRDefault="001D54B4"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 xml:space="preserve"> These difficulties may be handled with the use of training, adaptable care methods, consistent caregiving, and effective communication.  Older individuals with dementia receive greater emotional support and higher-quality care when service members comprehend and apply these beliefs effectively.</w:t>
      </w:r>
    </w:p>
    <w:p w14:paraId="05A196ED" w14:textId="77777777" w:rsidR="006129FF" w:rsidRPr="00D652D2" w:rsidRDefault="006129FF" w:rsidP="00AF0B7C">
      <w:pPr>
        <w:pStyle w:val="Heading1"/>
        <w:spacing w:line="360" w:lineRule="auto"/>
        <w:rPr>
          <w:rFonts w:ascii="Arial" w:hAnsi="Arial" w:cs="Arial"/>
          <w:b/>
          <w:bCs/>
          <w:color w:val="000000" w:themeColor="text1"/>
          <w:sz w:val="22"/>
          <w:szCs w:val="22"/>
        </w:rPr>
      </w:pPr>
      <w:bookmarkStart w:id="4" w:name="_Toc213222021"/>
    </w:p>
    <w:p w14:paraId="44ECF861" w14:textId="6450AA49" w:rsidR="001D54B4" w:rsidRPr="00D652D2" w:rsidRDefault="001D54B4" w:rsidP="00AF0B7C">
      <w:pPr>
        <w:pStyle w:val="Heading1"/>
        <w:spacing w:line="360" w:lineRule="auto"/>
        <w:rPr>
          <w:rFonts w:ascii="Arial" w:hAnsi="Arial" w:cs="Arial"/>
          <w:b/>
          <w:bCs/>
          <w:color w:val="000000" w:themeColor="text1"/>
          <w:sz w:val="22"/>
          <w:szCs w:val="22"/>
        </w:rPr>
      </w:pPr>
      <w:r w:rsidRPr="00D652D2">
        <w:rPr>
          <w:rFonts w:ascii="Arial" w:hAnsi="Arial" w:cs="Arial"/>
          <w:b/>
          <w:bCs/>
          <w:color w:val="000000" w:themeColor="text1"/>
          <w:sz w:val="22"/>
          <w:szCs w:val="22"/>
        </w:rPr>
        <w:t>Conclusion</w:t>
      </w:r>
      <w:bookmarkEnd w:id="4"/>
      <w:r w:rsidRPr="00D652D2">
        <w:rPr>
          <w:rFonts w:ascii="Arial" w:hAnsi="Arial" w:cs="Arial"/>
          <w:b/>
          <w:bCs/>
          <w:color w:val="000000" w:themeColor="text1"/>
          <w:sz w:val="22"/>
          <w:szCs w:val="22"/>
        </w:rPr>
        <w:t xml:space="preserve"> </w:t>
      </w:r>
    </w:p>
    <w:p w14:paraId="520186EA" w14:textId="706F631B" w:rsidR="001D54B4" w:rsidRPr="00D652D2" w:rsidRDefault="001D54B4"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In conclusion, health and social care workers may better serve persons 65 and older who have dementia by utilising psychological theories such as Bowlby's Attachment Theory and Erikson's Psychosocial Theory.  Erikson's theory emphasises the value of assisting senior citizens in discovering purpose and tranquilly in their life, since this can lessen feelings of hopelessness and enhance their mental health.  Strong emotional ties and stability are essential to lowering anxiety and difficult behaviours in dementia care settings, according to Bowlby's hypothesis.  By putting these beliefs into practice, healthcare providers may better meet each patient's emotional and psychological needs, promoting person-centred care.</w:t>
      </w:r>
    </w:p>
    <w:p w14:paraId="4479DEE7" w14:textId="120D9E7A" w:rsidR="005726E9" w:rsidRPr="00D652D2" w:rsidRDefault="001D54B4"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To effectively implement these theories, care providers must deal with issues including poor communication and carer turnover.  The quality of care may be raised by using techniques like life story work, ensuring continuity of care, and providing personnel with emotional support training.  All things considered, these theories provide insightful information that, when used thoughtfully, improve the wellbeing and standard of living of elderly people with dementia residing in assisted living facilities (Margolin, 2015).</w:t>
      </w:r>
    </w:p>
    <w:p w14:paraId="503A0024" w14:textId="120D9E7A" w:rsidR="003310AC" w:rsidRPr="00D652D2" w:rsidRDefault="003310AC" w:rsidP="00AF0B7C">
      <w:pPr>
        <w:pStyle w:val="Heading1"/>
        <w:spacing w:line="360" w:lineRule="auto"/>
        <w:rPr>
          <w:rFonts w:ascii="Arial" w:hAnsi="Arial" w:cs="Arial"/>
          <w:b/>
          <w:bCs/>
          <w:color w:val="000000" w:themeColor="text1"/>
          <w:sz w:val="22"/>
          <w:szCs w:val="22"/>
        </w:rPr>
      </w:pPr>
      <w:bookmarkStart w:id="5" w:name="_Toc213222022"/>
      <w:r w:rsidRPr="00D652D2">
        <w:rPr>
          <w:rFonts w:ascii="Arial" w:hAnsi="Arial" w:cs="Arial"/>
          <w:b/>
          <w:bCs/>
          <w:color w:val="000000" w:themeColor="text1"/>
          <w:sz w:val="22"/>
          <w:szCs w:val="22"/>
        </w:rPr>
        <w:lastRenderedPageBreak/>
        <w:t>References</w:t>
      </w:r>
      <w:bookmarkEnd w:id="5"/>
    </w:p>
    <w:p w14:paraId="5C2442F6" w14:textId="35771AD6" w:rsidR="003310AC" w:rsidRPr="00D652D2" w:rsidRDefault="003310AC"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Bowlby, J., 1969. Attachment and Loss: Volume I. Attachment. 2nd ed. London: Hogarth Press.</w:t>
      </w:r>
    </w:p>
    <w:p w14:paraId="7629C80E" w14:textId="77777777" w:rsidR="003310AC" w:rsidRPr="00D652D2" w:rsidRDefault="003310AC"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Erikson, E.H., 1950. Childhood and Society. New York: W.W. Norton &amp; Company.</w:t>
      </w:r>
    </w:p>
    <w:p w14:paraId="3BECC87B" w14:textId="5BA3BA13" w:rsidR="003310AC" w:rsidRPr="00D652D2" w:rsidRDefault="003310AC"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Kim, S.K. et al., 2017. Effectiveness of person-</w:t>
      </w:r>
      <w:r w:rsidR="001D54B4" w:rsidRPr="00D652D2">
        <w:rPr>
          <w:rFonts w:ascii="Arial" w:hAnsi="Arial" w:cs="Arial"/>
          <w:color w:val="000000" w:themeColor="text1"/>
          <w:sz w:val="22"/>
          <w:szCs w:val="22"/>
        </w:rPr>
        <w:t>centred</w:t>
      </w:r>
      <w:r w:rsidRPr="00D652D2">
        <w:rPr>
          <w:rFonts w:ascii="Arial" w:hAnsi="Arial" w:cs="Arial"/>
          <w:color w:val="000000" w:themeColor="text1"/>
          <w:sz w:val="22"/>
          <w:szCs w:val="22"/>
        </w:rPr>
        <w:t xml:space="preserve"> care on people with dementia: a systematic review. International Psychogeriatrics, 29(2), pp.195-208.</w:t>
      </w:r>
    </w:p>
    <w:p w14:paraId="05D3F938" w14:textId="77777777" w:rsidR="003310AC" w:rsidRPr="00D652D2" w:rsidRDefault="003310AC"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Margolin, S.J., 2015. Psychology of Aging: A Concise Exploration. Sage Publications.</w:t>
      </w:r>
    </w:p>
    <w:p w14:paraId="300C875A" w14:textId="77777777" w:rsidR="003310AC" w:rsidRPr="00D652D2" w:rsidRDefault="003310AC"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Perry, T.E., 2014. Applying Erikson's wisdom to self-management practices of older adults. Research in Gerontological Nursing, 7(2), pp.71–80.</w:t>
      </w:r>
    </w:p>
    <w:p w14:paraId="6BB14F66" w14:textId="77777777" w:rsidR="003310AC" w:rsidRPr="00D652D2" w:rsidRDefault="003310AC"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Wang, S. and Li, Y., 2023. Psychological theories of dementia. Journal of Gerontology &amp; Geriatrics, 71(1), pp.11-22.</w:t>
      </w:r>
    </w:p>
    <w:p w14:paraId="0C3FF5BE" w14:textId="323FD0AA" w:rsidR="003310AC" w:rsidRPr="00D652D2" w:rsidRDefault="003310AC" w:rsidP="00AF0B7C">
      <w:pPr>
        <w:spacing w:line="360" w:lineRule="auto"/>
        <w:rPr>
          <w:rFonts w:ascii="Arial" w:hAnsi="Arial" w:cs="Arial"/>
          <w:color w:val="000000" w:themeColor="text1"/>
          <w:sz w:val="22"/>
          <w:szCs w:val="22"/>
        </w:rPr>
      </w:pPr>
      <w:r w:rsidRPr="00D652D2">
        <w:rPr>
          <w:rFonts w:ascii="Arial" w:hAnsi="Arial" w:cs="Arial"/>
          <w:color w:val="000000" w:themeColor="text1"/>
          <w:sz w:val="22"/>
          <w:szCs w:val="22"/>
        </w:rPr>
        <w:t xml:space="preserve">World Health Organization, 2025. Mental health of older adults. </w:t>
      </w:r>
      <w:hyperlink r:id="rId10" w:tgtFrame="_blank" w:history="1">
        <w:r w:rsidRPr="00D652D2">
          <w:rPr>
            <w:rStyle w:val="Hyperlink"/>
            <w:rFonts w:ascii="Arial" w:hAnsi="Arial" w:cs="Arial"/>
            <w:color w:val="000000" w:themeColor="text1"/>
            <w:sz w:val="22"/>
            <w:szCs w:val="22"/>
          </w:rPr>
          <w:t>https://www.who.int/news-room/fact-sheets/detail/mental-health-of-older-adults</w:t>
        </w:r>
      </w:hyperlink>
      <w:r w:rsidRPr="00D652D2">
        <w:rPr>
          <w:rFonts w:ascii="Arial" w:hAnsi="Arial" w:cs="Arial"/>
          <w:color w:val="000000" w:themeColor="text1"/>
          <w:sz w:val="22"/>
          <w:szCs w:val="22"/>
        </w:rPr>
        <w:t> .</w:t>
      </w:r>
    </w:p>
    <w:p w14:paraId="26DFAA30" w14:textId="77777777" w:rsidR="003310AC" w:rsidRPr="00D652D2" w:rsidRDefault="003310AC" w:rsidP="00485763">
      <w:pPr>
        <w:spacing w:line="360" w:lineRule="auto"/>
        <w:rPr>
          <w:rFonts w:ascii="Arial" w:hAnsi="Arial" w:cs="Arial"/>
          <w:color w:val="000000" w:themeColor="text1"/>
          <w:sz w:val="22"/>
          <w:szCs w:val="22"/>
        </w:rPr>
      </w:pPr>
    </w:p>
    <w:sectPr w:rsidR="003310AC" w:rsidRPr="00D652D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9ACAB" w14:textId="77777777" w:rsidR="00344C0F" w:rsidRDefault="00344C0F" w:rsidP="003529D4">
      <w:pPr>
        <w:spacing w:after="0" w:line="240" w:lineRule="auto"/>
      </w:pPr>
      <w:r>
        <w:separator/>
      </w:r>
    </w:p>
  </w:endnote>
  <w:endnote w:type="continuationSeparator" w:id="0">
    <w:p w14:paraId="7E89FAA4" w14:textId="77777777" w:rsidR="00344C0F" w:rsidRDefault="00344C0F" w:rsidP="00352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5862947"/>
      <w:docPartObj>
        <w:docPartGallery w:val="Page Numbers (Bottom of Page)"/>
        <w:docPartUnique/>
      </w:docPartObj>
    </w:sdtPr>
    <w:sdtEndPr>
      <w:rPr>
        <w:noProof/>
      </w:rPr>
    </w:sdtEndPr>
    <w:sdtContent>
      <w:p w14:paraId="13D418F2" w14:textId="3A6F0F78" w:rsidR="003529D4" w:rsidRDefault="003529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1ADDA1" w14:textId="77777777" w:rsidR="003529D4" w:rsidRDefault="003529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E1DA5" w14:textId="77777777" w:rsidR="00344C0F" w:rsidRDefault="00344C0F" w:rsidP="003529D4">
      <w:pPr>
        <w:spacing w:after="0" w:line="240" w:lineRule="auto"/>
      </w:pPr>
      <w:r>
        <w:separator/>
      </w:r>
    </w:p>
  </w:footnote>
  <w:footnote w:type="continuationSeparator" w:id="0">
    <w:p w14:paraId="35C8F434" w14:textId="77777777" w:rsidR="00344C0F" w:rsidRDefault="00344C0F" w:rsidP="003529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20386C"/>
    <w:multiLevelType w:val="multilevel"/>
    <w:tmpl w:val="6DDE7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033555"/>
    <w:multiLevelType w:val="multilevel"/>
    <w:tmpl w:val="6DDE7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533730">
    <w:abstractNumId w:val="1"/>
  </w:num>
  <w:num w:numId="2" w16cid:durableId="1164393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6E9"/>
    <w:rsid w:val="00081768"/>
    <w:rsid w:val="001352C7"/>
    <w:rsid w:val="001A30A9"/>
    <w:rsid w:val="001B7F94"/>
    <w:rsid w:val="001D54B4"/>
    <w:rsid w:val="00254953"/>
    <w:rsid w:val="00322C7E"/>
    <w:rsid w:val="003310AC"/>
    <w:rsid w:val="00344C0F"/>
    <w:rsid w:val="003529D4"/>
    <w:rsid w:val="00433F5D"/>
    <w:rsid w:val="00485763"/>
    <w:rsid w:val="005726E9"/>
    <w:rsid w:val="005C4727"/>
    <w:rsid w:val="006067EC"/>
    <w:rsid w:val="006129FF"/>
    <w:rsid w:val="007A3B5C"/>
    <w:rsid w:val="00880D4E"/>
    <w:rsid w:val="008D0E7B"/>
    <w:rsid w:val="00986E55"/>
    <w:rsid w:val="00A03222"/>
    <w:rsid w:val="00AE3BDD"/>
    <w:rsid w:val="00AF0B7C"/>
    <w:rsid w:val="00C45877"/>
    <w:rsid w:val="00CC7B69"/>
    <w:rsid w:val="00D652D2"/>
    <w:rsid w:val="00DF1521"/>
    <w:rsid w:val="00E20C99"/>
    <w:rsid w:val="00E73964"/>
    <w:rsid w:val="00F47E3D"/>
    <w:rsid w:val="00FC4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D3996"/>
  <w15:chartTrackingRefBased/>
  <w15:docId w15:val="{20314D33-3E87-4321-9F1D-9D1BE8236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26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26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26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26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26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26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6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6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6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6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26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26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26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26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26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26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26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26E9"/>
    <w:rPr>
      <w:rFonts w:eastAsiaTheme="majorEastAsia" w:cstheme="majorBidi"/>
      <w:color w:val="272727" w:themeColor="text1" w:themeTint="D8"/>
    </w:rPr>
  </w:style>
  <w:style w:type="paragraph" w:styleId="Title">
    <w:name w:val="Title"/>
    <w:basedOn w:val="Normal"/>
    <w:next w:val="Normal"/>
    <w:link w:val="TitleChar"/>
    <w:uiPriority w:val="10"/>
    <w:qFormat/>
    <w:rsid w:val="005726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6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26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26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6E9"/>
    <w:pPr>
      <w:spacing w:before="160"/>
      <w:jc w:val="center"/>
    </w:pPr>
    <w:rPr>
      <w:i/>
      <w:iCs/>
      <w:color w:val="404040" w:themeColor="text1" w:themeTint="BF"/>
    </w:rPr>
  </w:style>
  <w:style w:type="character" w:customStyle="1" w:styleId="QuoteChar">
    <w:name w:val="Quote Char"/>
    <w:basedOn w:val="DefaultParagraphFont"/>
    <w:link w:val="Quote"/>
    <w:uiPriority w:val="29"/>
    <w:rsid w:val="005726E9"/>
    <w:rPr>
      <w:i/>
      <w:iCs/>
      <w:color w:val="404040" w:themeColor="text1" w:themeTint="BF"/>
    </w:rPr>
  </w:style>
  <w:style w:type="paragraph" w:styleId="ListParagraph">
    <w:name w:val="List Paragraph"/>
    <w:basedOn w:val="Normal"/>
    <w:uiPriority w:val="34"/>
    <w:qFormat/>
    <w:rsid w:val="005726E9"/>
    <w:pPr>
      <w:ind w:left="720"/>
      <w:contextualSpacing/>
    </w:pPr>
  </w:style>
  <w:style w:type="character" w:styleId="IntenseEmphasis">
    <w:name w:val="Intense Emphasis"/>
    <w:basedOn w:val="DefaultParagraphFont"/>
    <w:uiPriority w:val="21"/>
    <w:qFormat/>
    <w:rsid w:val="005726E9"/>
    <w:rPr>
      <w:i/>
      <w:iCs/>
      <w:color w:val="0F4761" w:themeColor="accent1" w:themeShade="BF"/>
    </w:rPr>
  </w:style>
  <w:style w:type="paragraph" w:styleId="IntenseQuote">
    <w:name w:val="Intense Quote"/>
    <w:basedOn w:val="Normal"/>
    <w:next w:val="Normal"/>
    <w:link w:val="IntenseQuoteChar"/>
    <w:uiPriority w:val="30"/>
    <w:qFormat/>
    <w:rsid w:val="005726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26E9"/>
    <w:rPr>
      <w:i/>
      <w:iCs/>
      <w:color w:val="0F4761" w:themeColor="accent1" w:themeShade="BF"/>
    </w:rPr>
  </w:style>
  <w:style w:type="character" w:styleId="IntenseReference">
    <w:name w:val="Intense Reference"/>
    <w:basedOn w:val="DefaultParagraphFont"/>
    <w:uiPriority w:val="32"/>
    <w:qFormat/>
    <w:rsid w:val="005726E9"/>
    <w:rPr>
      <w:b/>
      <w:bCs/>
      <w:smallCaps/>
      <w:color w:val="0F4761" w:themeColor="accent1" w:themeShade="BF"/>
      <w:spacing w:val="5"/>
    </w:rPr>
  </w:style>
  <w:style w:type="character" w:styleId="Hyperlink">
    <w:name w:val="Hyperlink"/>
    <w:basedOn w:val="DefaultParagraphFont"/>
    <w:uiPriority w:val="99"/>
    <w:unhideWhenUsed/>
    <w:rsid w:val="005726E9"/>
    <w:rPr>
      <w:color w:val="467886" w:themeColor="hyperlink"/>
      <w:u w:val="single"/>
    </w:rPr>
  </w:style>
  <w:style w:type="character" w:styleId="UnresolvedMention">
    <w:name w:val="Unresolved Mention"/>
    <w:basedOn w:val="DefaultParagraphFont"/>
    <w:uiPriority w:val="99"/>
    <w:semiHidden/>
    <w:unhideWhenUsed/>
    <w:rsid w:val="005726E9"/>
    <w:rPr>
      <w:color w:val="605E5C"/>
      <w:shd w:val="clear" w:color="auto" w:fill="E1DFDD"/>
    </w:rPr>
  </w:style>
  <w:style w:type="character" w:styleId="FollowedHyperlink">
    <w:name w:val="FollowedHyperlink"/>
    <w:basedOn w:val="DefaultParagraphFont"/>
    <w:uiPriority w:val="99"/>
    <w:semiHidden/>
    <w:unhideWhenUsed/>
    <w:rsid w:val="005726E9"/>
    <w:rPr>
      <w:color w:val="96607D" w:themeColor="followedHyperlink"/>
      <w:u w:val="single"/>
    </w:rPr>
  </w:style>
  <w:style w:type="paragraph" w:styleId="TOCHeading">
    <w:name w:val="TOC Heading"/>
    <w:basedOn w:val="Heading1"/>
    <w:next w:val="Normal"/>
    <w:uiPriority w:val="39"/>
    <w:unhideWhenUsed/>
    <w:qFormat/>
    <w:rsid w:val="001D54B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D54B4"/>
    <w:pPr>
      <w:spacing w:after="100"/>
    </w:pPr>
  </w:style>
  <w:style w:type="paragraph" w:styleId="Header">
    <w:name w:val="header"/>
    <w:basedOn w:val="Normal"/>
    <w:link w:val="HeaderChar"/>
    <w:uiPriority w:val="99"/>
    <w:unhideWhenUsed/>
    <w:rsid w:val="00352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9D4"/>
  </w:style>
  <w:style w:type="paragraph" w:styleId="Footer">
    <w:name w:val="footer"/>
    <w:basedOn w:val="Normal"/>
    <w:link w:val="FooterChar"/>
    <w:uiPriority w:val="99"/>
    <w:unhideWhenUsed/>
    <w:rsid w:val="00352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who.int/news-room/fact-sheets/detail/mental-health-of-older-adults"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6c8131ad66519d62cadf3e97b1e52f76">
  <xsd:schema xmlns:xsd="http://www.w3.org/2001/XMLSchema" xmlns:xs="http://www.w3.org/2001/XMLSchema" xmlns:p="http://schemas.microsoft.com/office/2006/metadata/properties" xmlns:ns3="ccfc14db-0f45-423b-b2f5-752f8f8a0ada" targetNamespace="http://schemas.microsoft.com/office/2006/metadata/properties" ma:root="true" ma:fieldsID="ad6ed38603fcb7b5bc3c236c5af40317" ns3:_="">
    <xsd:import namespace="ccfc14db-0f45-423b-b2f5-752f8f8a0ada"/>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135D9-B4EB-451F-A71D-FAC8ED47426F}">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A72B9698-334C-44C6-A12D-CC113FBDEDA4}">
  <ds:schemaRefs>
    <ds:schemaRef ds:uri="http://schemas.microsoft.com/sharepoint/v3/contenttype/forms"/>
  </ds:schemaRefs>
</ds:datastoreItem>
</file>

<file path=customXml/itemProps3.xml><?xml version="1.0" encoding="utf-8"?>
<ds:datastoreItem xmlns:ds="http://schemas.openxmlformats.org/officeDocument/2006/customXml" ds:itemID="{D1AA052C-CE99-46F5-8E09-2820C0739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1178</Words>
  <Characters>7292</Characters>
  <Application>Microsoft Office Word</Application>
  <DocSecurity>0</DocSecurity>
  <Lines>148</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Stevenson Omobude Agbonaye (2426680)</cp:lastModifiedBy>
  <cp:revision>3</cp:revision>
  <dcterms:created xsi:type="dcterms:W3CDTF">2025-11-17T10:28:00Z</dcterms:created>
  <dcterms:modified xsi:type="dcterms:W3CDTF">2025-11-17T10:44:00Z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