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lang w:eastAsia="en-US"/>
          <w14:ligatures w14:val="standardContextual"/>
        </w:rPr>
        <w:id w:val="911281450"/>
        <w:docPartObj>
          <w:docPartGallery w:val="Cover Pages"/>
          <w:docPartUnique/>
        </w:docPartObj>
      </w:sdtPr>
      <w:sdtEndPr/>
      <w:sdtContent>
        <w:p w14:paraId="4FAC2377" w14:textId="17AD0842" w:rsidR="0061727C" w:rsidRDefault="0061727C">
          <w:pPr>
            <w:pStyle w:val="NoSpacing"/>
          </w:pPr>
          <w:r>
            <w:rPr>
              <w:noProof/>
            </w:rPr>
            <mc:AlternateContent>
              <mc:Choice Requires="wpg">
                <w:drawing>
                  <wp:anchor distT="0" distB="0" distL="114300" distR="114300" simplePos="0" relativeHeight="251657216" behindDoc="1" locked="0" layoutInCell="1" allowOverlap="1" wp14:anchorId="19D97E20" wp14:editId="44164B0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38735" b="1524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ln/>
                            </wps:spPr>
                            <wps:style>
                              <a:lnRef idx="2">
                                <a:schemeClr val="accent3">
                                  <a:shade val="15000"/>
                                </a:schemeClr>
                              </a:lnRef>
                              <a:fillRef idx="1">
                                <a:schemeClr val="accent3"/>
                              </a:fillRef>
                              <a:effectRef idx="0">
                                <a:schemeClr val="accent3"/>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wps:spPr>
                            <wps:style>
                              <a:lnRef idx="2">
                                <a:schemeClr val="accent3">
                                  <a:shade val="15000"/>
                                </a:schemeClr>
                              </a:lnRef>
                              <a:fillRef idx="1">
                                <a:schemeClr val="accent3"/>
                              </a:fillRef>
                              <a:effectRef idx="0">
                                <a:schemeClr val="accent3"/>
                              </a:effectRef>
                              <a:fontRef idx="minor">
                                <a:schemeClr val="lt1"/>
                              </a:fontRef>
                            </wps:style>
                            <wps:txbx>
                              <w:txbxContent>
                                <w:sdt>
                                  <w:sdtPr>
                                    <w:rPr>
                                      <w:color w:val="B3E5A1" w:themeColor="accent6" w:themeTint="66"/>
                                      <w:sz w:val="28"/>
                                      <w:szCs w:val="28"/>
                                    </w:rPr>
                                    <w:alias w:val="Date"/>
                                    <w:tag w:val=""/>
                                    <w:id w:val="-650599894"/>
                                    <w:dataBinding w:prefixMappings="xmlns:ns0='http://schemas.microsoft.com/office/2006/coverPageProps' " w:xpath="/ns0:CoverPageProperties[1]/ns0:PublishDate[1]" w:storeItemID="{55AF091B-3C7A-41E3-B477-F2FDAA23CFDA}"/>
                                    <w:date w:fullDate="2024-08-14T00:00:00Z">
                                      <w:dateFormat w:val="dd/MM/yyyy"/>
                                      <w:lid w:val="en-GB"/>
                                      <w:storeMappedDataAs w:val="dateTime"/>
                                      <w:calendar w:val="gregorian"/>
                                    </w:date>
                                  </w:sdtPr>
                                  <w:sdtEndPr/>
                                  <w:sdtContent>
                                    <w:p w14:paraId="14577657" w14:textId="2AE59DB0" w:rsidR="0061727C" w:rsidRPr="007115DC" w:rsidRDefault="004862AC">
                                      <w:pPr>
                                        <w:pStyle w:val="NoSpacing"/>
                                        <w:jc w:val="right"/>
                                        <w:rPr>
                                          <w:color w:val="B3E5A1" w:themeColor="accent6" w:themeTint="66"/>
                                          <w:sz w:val="28"/>
                                          <w:szCs w:val="28"/>
                                        </w:rPr>
                                      </w:pPr>
                                      <w:r w:rsidRPr="007115DC">
                                        <w:rPr>
                                          <w:color w:val="B3E5A1" w:themeColor="accent6" w:themeTint="66"/>
                                          <w:sz w:val="28"/>
                                          <w:szCs w:val="28"/>
                                        </w:rPr>
                                        <w:t>14/08/2024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ln>
                                    <a:headEnd/>
                                    <a:tailEnd/>
                                  </a:ln>
                                </wps:spPr>
                                <wps:style>
                                  <a:lnRef idx="2">
                                    <a:schemeClr val="accent3">
                                      <a:shade val="15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9D97E20" id="Group 26" o:spid="_x0000_s1026" style="position:absolute;margin-left:0;margin-top:0;width:172.8pt;height:718.55pt;z-index:-25165926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YiXeyMAAJgOAQAOAAAAZHJzL2Uyb0RvYy54bWzsXW1vIzeS/n7A/QfBHw+4WP2iljTYySLI&#10;7gYH5HaDjQ/7WZHlF6wt6STNeLK//p6qIlvFZpGtWEpynul8iDxW+eliNcl6qlgk//DHT89Po4+r&#10;3f5xs35/VXw1vhqt1svN7eP6/v3V/9z85T9nV6P9YbG+XTxt1qv3Vz+v9ld//Prf/+0PL9t3q3Lz&#10;sHm6Xe1GAFnv371s3189HA7bd9fX++XD6nmx/2qzXa3x5d1m97w44J+7++vb3eIF6M9P1+V43Fy/&#10;bHa3291mudrv8ds/yZdXXzP+3d1qefjb3d1+dRg9vb+Cbgf+/47//xP9//rrPyze3e8W24fHpVNj&#10;8QotnhePazy0hfrT4rAYfdg9RlDPj8vdZr+5O3y13Dxfb+7uHpcrbgNaU4w7rflut/mw5bbcv3u5&#10;37Zmgmk7dno17PKvH7/bbX/c/rCDJV6297AF/4va8ulu90yf0HL0iU32c2uy1afDaIlflsW8njSw&#10;7BLfzYtyMi1KMeryAZaP/m758Oeev7z2D74O1HnZooPsjzbYn2eDHx8W2xWbdv8ONvhhN3q8fX9V&#10;XY3Wi2d007+j4yzW90+rUUWtoYdDqjXT/t0eFjvVRmSiahKZqG3o4t12tz98t9o8j+iH91c7PJ17&#10;0+Lj9/sDng9RL0IPfVrT70gpUYN/Ovz8tJIv/766Q2vo5TAIj6XVt0+70ccFRsFiuVytD5V89bC4&#10;Xcmvi8l4zMMBz2r/gp/8tAYgId89Pj212EUOW1R28vSnKx6K7R+P+/+4/Qt+8mZ9aP/4+XG92VkA&#10;T4eCXhYacCfy3khiGrLST5vbn/GudxuZCPbb5V8eYfLvF/vDD4sdRj56MmYzfPuw2f3ravSCmeH9&#10;1f5/Pyx2q6vR03+t0e3mRV3TVML/qCfTEv/Y6W9+0t+sPzx/u4HZC8yD2yX/SPKHJ//j3W7z/A9M&#10;Yt/QU/HVYr3Es99fLQ87/49vDzJjYRpcrr75hsUwfWwXh+/XP26XBE5Woi5y8+kfi93W9aMDRulf&#10;N76rL951upPI0l+uN998OGzuHrmvHe3k7IdhJ0PgVx9/tR9/P6CLLu4361H9iuFX1E0zm7i53Zyo&#10;JpNyPJm4zuKnOT/CnPEeNs+rH54WB5olItPRYKVfDyPxtSPx8OmnTxisx852wUHZDshiVs5m+JeM&#10;SPzw+YxG56nFaR89GNyMeDDmDiPu4+RHf4GfnzYgVlcj+PO6LMbjaCCNJ9OaBMjj1/NiXJUzGkmL&#10;d63Hn42bGooIQjE7MgLv+4tq3JRTeFvCqAo8pmyC0dj1/YnWNmFrGSNsLenFlOb7zfKf+9F68+0D&#10;/Prqm/0WPpYmTnIY3T8JiIenIy0PKuoC2sfN8zNNMa6nU1it2zhloBTEkR2lQFrS0LXQb8COyNFJ&#10;5/rLbrUiTj7Cr9wgdvSI7L3fsrHFsi1xkrFOhGX008t/b27BshZwOjy7+inYMc2qmTfOwk1ZNLOS&#10;uzFYhKOOxbxqpo5QNXNM9Z64eJzlB+FTpI13eugHt2BT3CFuXTtu0KK75yf4/f+4Ho1HL6OidOz1&#10;vhWB41YiDyNy/tzdjyLoDK1INbdh0NlbmWJSjkwg+L9WaFbbQGh3K1ONaxsIA6MVQptspKkSqoup&#10;jYT4rR9proRgHxup0MaeNrZOhTY3ZokE1CkWLwKTz1JaaZunlNI2n1QJnbTNU31Jm1wphFHdds7F&#10;g3B+TBef1q7D4ifwQoR9Qpy3mz0FVtR7MX/eeNYLKerdCWGZsW44nsHz8sIwCiF7ipQXRsNJeOpm&#10;8Lww+hMJz08Spi7DLTytiXA0In5aIwvXyuK0ZhaunUXQUDGle08UuHUzDTvQj/dXP8mcAcpOr5de&#10;E/04eoELwpQzeoArxbxCv3/efFzdbFji0Amf8azjt09rLVVhCMJSmFmcYf3X/nPLYDNpMuaNrBjr&#10;BDjMCqfJyZwI/fzj/Kc8diqmw3jOwvlGgLKR80ihCdjEv2T/KP8pj5Se0wVaPm32K8Em+/ND2ndC&#10;r1I5jiceTQ+rxe2f17c84x8Wj0/yM+vmwqMhBn8+ZhdOj8F/tTDbB9CHbvh8wZCZky+STHC94LcL&#10;kku4yC4N4/mRYqlL0jCkNmaehs3Hk5nQLEXDZjWyRi4QKKfjiuMADI3zaRjmWh5xR46leQF5zrJh&#10;F0KO05M5zKMtVZkRvYhRAkowt2EwRbYw1dTG0YRgToTAUAfTVIvTJHA0HyggZAIFFKxgjhK3TFMw&#10;KGMjBRSsGCeMFHCwNJY2d8OEJ9Yq5GBJtQKTp6ACm88SDdRGL+x3B592fDHlJAGkjZ7SSNtc9UmM&#10;gIHNGXT1DbC5JHsuHG8tAuJKjKEl6a8ifxgyRP5o+ng9+RPdWtU8EfKfQogqdHtQunmeNjUihbko&#10;S8FoaiU0N+0xHRI6Gj4Uc8xJcrSCRPRVJvUkXCVic+9o/MP8p7QUroJU86zef+k/B37I6z/Cgv//&#10;rtEM/LB3fdiv7Dji5xYxKZ7s8kOOCi/ND1NZTJ+mK/Gf54dY3Z5XF8zTxUm4LkEsymmUy9OUhZ16&#10;DKMZIvl0C0bTFSYZMYwmK1NiYxaOJisVkZUYR3OVYpIC0mSl4GxfjKTJSsXZPkulgCGWCaUCglgj&#10;lWc3j9IxLQOWvGisVsAQm4rymaZe2uYTJq4GVmh1SrKaWNrus1QbteXnNfFNEysw/ZhpvqGYNj58&#10;YspilGFvLVZUE7tPUAB4lCrxlmzdaCI4yiEta/awUvd4amIKTb+Bokq8Anhd9cyySaLpd1CMUy3V&#10;L6HAsktKN/0WpomXUOqXMK9TY4k4Rms1JHtNo1X6FUznqVZW+g2kXmelX0B6BFTa/mXiZVKZSat8&#10;emRW2vq8YBH3WeKLLVR6wkDQfxRLTD2U12uh0rMYdDiKJRpYh4ZP9Ida2z2FpM2uZ/ohfLNXGz6/&#10;8C0Z7dE8jBDiBjOt0OT8mgZNtCzuY6secYxkFvcRSo84BiuL+5CsRxwDksWDSDXZVBdS3WBGO6Wp&#10;NKMROiatk8RdUzEvnSTumoq55yRx11TML6eI0/xCumMOOUncNbUOmnp+yE9qIORnNvH6mF/a0l3f&#10;CGNczJVo79Rbx3/pP11egIUwKzuj+G/9p4upxRjwA1kxIhN4JDxPVswt9MDZZcUm8n7hX7NiM3ko&#10;SFpWrBjDo0E54l95QfKiJAhqlRd0PcoTw2TeAnTJISKfLn3Pm9d/OjOP3aPBdbKCU2kLaExWDItk&#10;0gXyj3UN7nsfblrse7vw9rBeb1cRi/T0O+nmPV3YHgvDWl9bMvt719sOuZzX5nIwfru5HJ6TLp3L&#10;qVDUNpM5pZ41CLVckZPP5UyLmuYwqtdDXIqVQe/Qz1rrqynuQ6kgpkS9kKc5PjHz2YT9hBaBO2oj&#10;igQKTNeKJFB0SMXhWayLDqgaij8NZXQ0VdL6XAyjg6mioojdwIGBW40LKv+KcXQkVfKCoYETJHFs&#10;fcIUzriwFQozOKZCQf5mwvkbSyNt6YRGoaUpPLeAtK0TNgoW+GbjhLFpRedobUpnxNbGkspRBtrY&#10;OoVZGxspyNnMJgl7BxkbistjlYJ0zQwWMM1UansnNNL2TloJdblHC1Cu09BI9+2G13iNF4ci4SMQ&#10;heQGkLZ2sisF+RlKz8RAQXamTnXuIDnDWVMDSU8iyfEWpmbsOS3IzBQVZYwMKwWJGQwms3WhvRNA&#10;2typCVLbW82QQwJkSIAIpR4SIFHN7RtIgJydosA8SBkKmp+sBAV9DR7ocw+pktSOmA90/afLPghW&#10;k492yQsx8+yLx1kM83Q2KBYw+IWslETOcENZKcGC18tKuUpjeNm8GCZtNNP5hXQ2wYvlG4DZncDw&#10;7FzGwWH1acZYfc2USaPPZGLYPvO7Wu6+d0nrTdwzehIckofs6WaJHjskEoZEwiX22f6uRcMYAN1E&#10;Ak8MF08kNBU29Ml0UVZFgZ85uveJhLKua793a469WxcsGo6zBN1EQoM14E6uQScSCl4qjGF0EFBT&#10;xGXg6ICr5KKQGAdz1THiRKLABNIBF0cARQykI4ASRQcmkI4AZB07BtIRQMmFzEbTgnTClJfqY6Qg&#10;oVDxbisLKjR3wt5BTgGbue32kVNV5kxhaaNP8GZMW1E54xGrTry/ILEw4boXq43a8LTVDxUEhr20&#10;6ZuC6ksMrDC1gASEiRUkF4CSwApsL+UgsV5BfmEyp/JoS6/A9kWiTwTFIBOOeS0sbXv0QbuJusvX&#10;Tcpc2vRSc2+0UFu+Qv2P2cIgzVBzSUkMFSQaypSxgkRDyYUzBpSeZJJjOsg0SKWXAaW7PDYSJxqo&#10;zZ4YPEENCGUI3OsbMgRDhmDIEKAOw9qV+3tkCM4O+clDUcxPA9yK+cMl1lTI70qE6nzISe6KYrb2&#10;zAefEvCfLjUAjSCGuTAbwLolbrCXrBhxTqCBmWTFaOGL5MA68nJuLRyMIi9HBWvAA1vIy2HjLsmB&#10;CfTIiVWOE7E3mv90hQSuNAEePI+Hzc+sH3ptLk0A64pZ8uq57SPwqlm0Gt4cjYXHzIrRmgGJ9fQA&#10;F27A02XRwi7szTUE90Nw/+aDe4zhbnDPI+vSwT1OBqpdlcAUxVFuQ8dxR/CkrGYYs1wlMJ5fMLaX&#10;ckNdABCF9tnIHivuL6MYRHNuXriMNxXrQKek+CtG0XQ7gaK5NtP2GEUHOKhFANeOWqSjG2LsMYgO&#10;bZiv+7z0l7wh9WxyBDszNzqHGhEG+Xf/Qrz/8Z/itmndvl/KOby2qNZj+E/BGvwdH+8x7HDc7PwB&#10;kp/LCRiYTrv+jun1pf0dKt2qqRuSxaSqpOrt6O/g7ihXyf4OVbGXzGUTlc35Owl3tIRO7/Genqiu&#10;Trs7nGzxMIpBtLuzQbS346O+YpDA20lusNsc7e047xyjaG9ng2hvx/u5YpAgdy1Zrq4qQeaanKag&#10;DDkuO73hYvwbmE0CRt6OcraPpTgU+QfY/vXpB/QHOM9284h3h/5T3KIIITzOhbsuKm57gofwnwIF&#10;lfG8nhL8wQ0Pbtgd6vy5uWFM4l03zLm6S7vhCdaUaSkCg23SzOY4XVXmcL+m3JSTdk0Zh8k248tU&#10;p1dzjvfmnFbSnrYbe04lWahFtDNO4mh/TI7HwNH+uJpQ5TTQuh5Mu2RszDaBtE+uCnLtBpD2ythG&#10;bQJpt1zyIaUGkPbMBR82YLQt8M0lHLipU+Ce8W5trSgkahdwafnMxtIWL3nR1dJLGx3HzyawtNVL&#10;Xgy2sLTdi4oWlg1zBQvLFY5KMC0fVKzPU2pp09fj0oYK1pWRszC1CpaVa95sYLQwqFnnSmOjgeGq&#10;Mqc3LChteN5IYUFpuze8umlBBXZPjONS9/dmSivBFpTu8YmOFZwtMK2pYsFACtaUE2M5WFIGRgJJ&#10;d3dOBcWzAmUc2iExZX5s6aRtnuieQe36lCtgLCRt8oSdggXlpMVpp1GrORfTGP0gOFSg4V0ehlK0&#10;DNJCcc2DARUcKoAwz7Z5cKhAQxGJBaWNLqUrllba6CkvQ9WISvXExFdrq2MjakIt3dOrKtGrsIH2&#10;+MSiSYwa8N2jVIl6ILOv08E/rfZIG9t6TbQrLVFHYmPp3l7iLBbT9LQQ2D6xwBkxNpY2fTmj6hzj&#10;NeJyCIWFMxdtLG37Cu7ExtK2T/kJ2urcKl9xoY+lljY9R/BG56Kz1I5Qqd7VaMurvjWEvb8k7E0e&#10;q+BStDdID6koOS2OXgl2e3PWUdRpdHQuRvfJ554TJCRkHTZ/vMXNH8lO4AoCzjv9Io3uOjCc1in9&#10;nbwW9UgUApwk7jpwm2rJd2DyPYQO73IKuiu9uGlPFO9Bd01tLxDqEXdNnZzWVHfmxU17LkIe3R2c&#10;eYPpXDX17Gwc+R5Kx5F7sfJx/D1M7LNoqYKgrpzPn/lPyaMhsOUX1ubP/df+04nRdlw8FGdfSFv9&#10;1/5TxBCUshjizrwcERnAIabMy7lzQxAvZuUQKTIeYsG8HFF8PBdxXlYOp5ySGGK4rBhWFFmsZ9OT&#10;29tCF9FljSdvAnFVVsxtaAKDz4qB+dD7wmjPPVMe6ZgMuq5/nf5TXquMacQxWSwxLWKUrJTo1ae9&#10;q1NDbJEF85VWshqf1L8BpaTX2VNYRgOP33q+U4Lpsxy4fFY5sHiWA0/PyoGhi1zLQLz1/acbXBQj&#10;QD/w6zzeDJyd5ORM8KRVwJpZrmfMgBGzWE9uPzXdDEVeQ5HXmy/ywkDpZtt5DP6K2fZmjlXv7qI3&#10;rnj1p/pW4+m8nVjOOgmGc1g8leksejdGxU2qNOtoEZ0a4JRaBBKkBSiSN1Awu7QhM6dQIpQgIcBn&#10;h8a6wJG1KAXn0iIYnQvgTVKGMnjRLQwf9ClzvG61zgPIYRIGTpBflwq4SJ8wuz6jBIyFpK2M7BHy&#10;HDFSYGekHWwkbWlJ7cVIga0b2rJl6RRYm9NxMZI2d4HktI2kDZ4A0gafJTQKkur26w9T6ikcbW17&#10;YAT5dMreOAPBz37JlX7J8NQuWkiLC3n5crM36EeIO8+41YwOskH8SN3Sih+FzHuKm4oeJTDoYZDC&#10;g3suv6BpDmy0Z/OH29OBCTXLbV0pZzHLU2oyATFg8RNJBuyijKKN4D3h9p9CvF1FCiaxrG4SZMx8&#10;NsBj+E+HxYq1x6D6L/2njrf8K/LfDUx6YNJvnknDmXeZNGcVLs2km/F0etwuMW9Am5m9+rqVel62&#10;5aNjRMI+pD6fSfP414Sxy6SRjcgQaalTiEA0w8MCKLYoRCgBveNNFxGKZncJFE3tmABFIJrYEf8R&#10;TT4/+nO+I8abp32dkzP8sEtYtjb2zsB/utQQugf8XY9U6Pk9wuBWBrfy1t0KVfd03Ap+hVn20m5F&#10;lUM2s+lshrXmwK3g0B3vVpqGLkrHt5hHzvYqvJyScyqokMk4FUobRBDapcgV5BGGdimUm4kwtEOp&#10;qeAt1kM7FFMP7U+4/i7G0FkCckqRHjpHwJfyxBhBSsYECRIy5NkE5PPzbMngG3aGG7nx6zz59U87&#10;sD/ba6I7wGnC9GcHr9xLoI/3dP5TfKYEr+0r9l/6TxGSOLJntVD8KvJCMtg9gv8cYrrh0sPN7v3V&#10;4TO9FJsoatf5ctBwcec7w1H4mOkxReGHyaTrfPVB+bOpWzy5hPeVxE/O/RZSoKBFdCaZ/F4MEjhg&#10;Xh2JUbQH5px9DBP4YF4eiWG0E+bliBhGu2HsLUBeO4bRfjhxsrX2xECwcQJfjKJmyzqBN04jaTMX&#10;9pnkxMjaVR0cx2c2LTzSjpYQYhNRIrAFYrpj2Cg4z454hoGjbc1LCGLqgWm82QLQs2kPegln7dET&#10;ziY+vBiXJD4u691TzeMy7SjoyrEa0poS7W3/9aTHfwr5QU3QKWI0UIHWFgN6EP8pYG5BoYe5DcmO&#10;Ye/nb773E8cM37+7321/3FLqIfhx+deP7pJoTP5Cl77bbT5sJZYlYUh8R3/6w47LLOjH7zfLf+5H&#10;6823D4v1/eqb/Xa1PGC08ZDs/kn7PPl7n3LY3N2NPtHyW+PGaj3DzfH+fmafDi+qcVOiopDPU8DN&#10;0ZNZw+EMIsWHv0UITT2fo7iNEw7Lhz9/OoyW9IhpPaXaez6SoZlO552k+tE4pCGRw5f9dvTp+WmN&#10;n7b791cPh8P23fX1fvmwel7sv3p+XO42+83d4SucnXGNdjwuV9cvm93tNW60HvNP291mudrvH9f3&#10;9n3c4CsdZvqrlO1g+ps6604KbJKVc9+PZ1UU81l7hROR1MvlhQpfIXR/61p6011uqP3Sx1FEcyY5&#10;cDeG0ZypmNCKgwGk2SluVsbxsTGQ5kzVmPipAaT5KTBsJM2aagiZSJqiJpE0SYU2NlJAUnGRuNm6&#10;gKXizO0E1CkWD2hqwYfjGpYKeCrl5AyTBzyVr06ygLTNiadaQNrkykwDUf1yiSp1E87QYV55PVN1&#10;Z3NiZsnyS1wXSowQ80ZWjHWCHGaF0+RkTkxSZFx6yY/F6M6yX8y1xH57jtzEICJWm2fSA18d+Opv&#10;zld/ExKGsdQhYb9KxUeFHcU41JaH2myOa3/5KYqESUqQ6WldNVjJc2PbM+Xlh/3hu9XmmSa1xUcU&#10;4DG/bWs6j/QJQ7XNArHjjBNlXRLm9oCk8oO0fdlIJWkOhmrkh5EBoykYtiWbOJqCzSnRaOBoNsCn&#10;Uhj6aDZQTBMKBQSMN2YbSJqAQRlbpYCAFaCOZuMCBpbG0gwMdc02lDZ4MaUkqGGpgIFVqQ6gbY6T&#10;rRNQ2uopJG11vrnE0klbPQWkja4UGsjcmyVzyYVczEg0Ed60tbm8lIs3fV5pMY1k4n7UA1/P/UQ3&#10;VPzmuJU7dGqez2W6HZiYjLJgrDfs4UZOkvdhkmG79cnRCQ5E/HBAZbYNQurcjc7Jp4pUz5H8Az8c&#10;+OHnyQ/JzXcIIn6FcXXp9eNjDnSCBGKFbbzM8HwOtCqmCAslfTkvx53sJabO1/JDmek09+vSQ5yc&#10;J7ocSabmKzgE52UUo2i2Mi3BMAwYTQ95Q1sMEzAVvqXLwNFEhUldjKN5Cu6es/Xp8pQYRrMUFEOb&#10;rQqYIdGdGCaghcR2XKMGtvNL2M7ZjAEvhpc10cFfTxhoSR3uVhYtkm6UHkVOWcZSUsxRI3c7YlJM&#10;wFDbknPwItTlHkNF9VBR/dYrqmkhr+uUuTz40k4Z47DyaZtyXNbdtTMsRs4o4ywXm+B40QvmbeQg&#10;jZxjbmq3DJpwzJxIiGG0Z+YTKQ2cwDPLTZW8OKnVCV0zrZ0ZQNo18wZxd0CIBtK+ueRVKgNI+2as&#10;+CFFErcs8M5jcs8GUOCeceyeiRQ4aGTrElABD8JRkzZWYHC5HTR+c0HiBt0ugaWNLidSWk3UVi+4&#10;hM2wVnC47GTGV2caemnD01qr3UZt+kZu9IyxyAm2yUloZGPBRR6l0Drb9sHxsgXq3Uy9gv3wzTjR&#10;Rrpd5aiXpAXj3kUDvZWayH2/Rhu17XHzp62W7vL1NKWWNr2kPQ2ttOWreaLTByfMultLowFNtbJt&#10;Ays+ItjoXOGtpZz3jLUKzpgtmW9bUIHdE10+OGS2kEuNY7PTpupWd84xGkppqxPrdiqBZrWJ9MWD&#10;z60fk1H4CcFtdOif8CuUNAgJ4yRWMueFmQL078an9fPCMAsJ++XCvDAaTsJ+P0FeGD2KhP2CZV6Y&#10;ZkqSbhcae8RdG1EqcIpFaMJj9NOa6Wj2TXt4W48yrqVhjjH9elxTW3qeR6fJh3Rvt1X0iLumtgvA&#10;PeLulUoOAL2zR9w1Ve4w7xWnqYB0b6OHPPobvbUUNkEqmAb4GZGdJFJ7TqlzfaFoze8LQv2nFIa6&#10;Ux/Ab7JBGx0wjLdTjfNiOBaNxWQdMRknIpHEcriDKPtU8A2WA6PIy7laWbCFvJxrBphAj5z03eNE&#10;7I3mP11VLeppqb3w4Hk8Fz/DO2flHKeH582KuQQ+vGpWzN1aCo+ZFaOz4NEGeMOsmKszhqfLisko&#10;HqL7x6cnBPQ0yFd3d6hAHaL7Nx/dYy7qRvc8LV06ukepK1LpMrHgjHmE+jTijkUZ+A3mOQnuca5m&#10;y2vOrsmQWVaHwJp5EzOd8oyjJTABtvz2hFtLpxQIxCiacJd89j5bVj9IRzkJFM215Ty7CEVTbblW&#10;IGoRTNu2iBh7bBUd2hyt8oXTdSF45xzBhfEFboTO8XpqRPEdfJl0sCT9cLeW9khRroUoT56iDP5u&#10;WGL+TJeYMSl3/R3T10v7u2KM47slvsD25Bp7akJ/p28tRWL7cv5Ozo7WTqbr70DI2fXamWxJFHYl&#10;MAW1/kNuLY1AtLuzQbS3w24TXPIZgQTeThJ6XVW0t0POz0LR3o4cb2wT7e3k1tJIlSB3LVmuripB&#10;5pqcpjToC3eaycSPneM628fSJhf4WNj+9T5WQuOek81FqOfIRtIGHrbtCT649p8SZEuSqmfn7eCG&#10;Bzf8mbphDJKuG+YJ+NJuGKVchbsFodabVX2pF64LR7GXiztpzblNG58VeNKdjzjvQZJUOV88hXIZ&#10;Z5zE0f6Yo88YR/vjquEDMWJ90PSjX6eVV0Mh7ZNxlordMO2VsUXSBNJuuZyTSzUspD0zKnhspMA3&#10;l7xQakAF7pmu0jO1ogKH1ga0JG6qRZnCo1RZJrC00dH1Elja6nR9q62XtnshZ7XELzBYWK7k0su4&#10;L1CqttWeNiHYbdS2r7k4wOgOwcJyqonBurIsulpQ2vRyjEzcwmBZeZJqYbCsXNL2F6NDBKvKjVyJ&#10;GxsL9dfKWImBQ1e/tBbFfcj2Oyy13VNKaatP+aR9w1TBonICKVhTBoatU7CmnOgJlHJoWzflA2It&#10;nYLebps8WFFOt06bPNW60OK0jm/ppC0u5yTFXSq8tlRuloz7QXxtqdGlaPtqa6kJ325gaEVLKq0U&#10;7pM1eyfWz45CuEvbbiCtCrVQXPNgaaVnmJr32ltaaavj4IeEWtruFZeIWFja7gXuKbabqPt6yXc4&#10;GFhUfN02seTtXkYbw2tLeVechaUtX+LMJ1Ov8NpSOEuzb9H9R0e9Zok20nJcK1Uk9dK2rzg9bLVR&#10;255LV6wmatNXTYJ54C67o1pyQXnc5YNrS6GPba342lJBGuJeu3jFjnvTYTK6LCLIL/fii6RlXI77&#10;piXp+XIKcuRkyC+2tiNpSLrcmyzTnmeaN+RwbSmVBVl1acO1pQcq4qPE23ZxeBi9yF2ZvOYFp2Al&#10;5MjNUefz5RSpi2e8XL4eBJEto7U92efZ/Kfk2+gMUHoozvOQejn/tf8UMUSlLNa3dQQhp8jJ4Vfp&#10;RTm33laicCn3XISKjEfXpmbl3FogAr283FjagSAuK+ce21eb4xcyep5KMRFsjMAq+1BXdIOgKSsm&#10;YAgZTpFqCYh/n/5T3qtYA4FMFkvewWlPbHqqsigAZlvkX5S/txQWzr133FdKaAgKsmJIOrNY3yE5&#10;riwRZD4LBxrPeCDqWTlQdJFDaiDXCtBvlivanRv+LflPNwrdfS0gz1k80GbG66ksAyVmsZ6bjf18&#10;033msIlrKPN682VemD+6+XaemH7FfPtkPq7H3bN3Jjh7B9yT9nDhjDy6w1QmjLOy7ZS4kKW7XKq9&#10;kBMktIjODVBSJgbRKZmCMjIGis4KUE4gRgkyApS4MlB0PgB7OCwYnQxw95byS9RN0rkATn/F2uhE&#10;QFHxAd+xaYIMu9TAuQqGY9lAmF/nTU1Gw4L8Oh9MFKsUZNeBYZso2LaFFLxlI1p+PWZfkAwxjR0c&#10;zY33aiJpcxecd7Zapw2eANIGd/eWRu8tyKrTukFspDCnTuUGhj7BVi17YAQJdQUzpG/sGG9I36Si&#10;X3trztkFHej6FEBS77YCSCHz3nOkwkdhzFL5k4zPhN9idSxHW2kCg7/qu7dUCD8m1CyYC+CO9wx6&#10;6us/XbzqNOs59cjvhwHDzbbARas98ZtI9ZB9aSbiltwDw1fkmzYw6YFJv3kmjYHZZdJMjC7OpLGf&#10;i0gBJRHKEnUsnQLS4N7SetpmBs5n0hzsa06JId9SKuILyEZg8GsJTaRPubeUCF6Mool0yRsmIlU0&#10;u8M6qoWiiTQToAgEr9Boz+dHf853xHjztLPzHD9MRQnUh7nPJB2xy+T0SA1uZSiI/EwLIhFGdt0K&#10;s9KLu5VjQSSu9qgp6clzuS+I1PeW4n4QnyA+26vEyYPOJCy56JRTobxKBBEkZ6ZwBjGGdikmhnYo&#10;XNsSY2iHQlmiSA/tT2pykDGGzhKQU4owdI5AbrSItvkFKRkTJEjIHBX5/DxbcmEbdoazOevMjbO9&#10;JroDnCb6wOuDV0CgGT3raCIkfS3pWCUMPilca6sqfLzmP/UaWjfuG2K6IaZ78zEdJt+u8+W16Ys7&#10;X5RiujXapqjI/4bOd4pjLeCQ+IS7ix48K4kf7Vy7MZ2reNAiOqjjWsco7AscMCft5UwfjaI9MOfs&#10;Y120D+Y7mAxltBOWWvhIG+2GcQcV0uOxNtoPI6WPYtAIRntiINg4gS+WyvUIKPDGaSRt5oJvQI2R&#10;tKH5Ci6jacHqiGxjiIG0qflUNQtI25p4RmyjYNcBLyGIqQem8WaXEM6mPeglnLVHTzib+HDHTXIa&#10;l/VuF489T/GfLoWOQQMShYujcplq0pqoVtt/PYj/FDBXAdUn5s5ZQ3VY7pk0MeCZPecmDcmOIdnx&#10;myc7jldzwvjtRaLu55d73GZKU/xusX14XP5pcVjof7PUu1W5edg83a52X/8fAAAA//8DAFBLAwQU&#10;AAYACAAAACEAT/eVMt0AAAAGAQAADwAAAGRycy9kb3ducmV2LnhtbEyPzU7DMBCE70i8g7VI3KhT&#10;WkoV4lSoFSDRAyLlAdx48yPsdWS7aXh7Fi5wGWk1o5lvi83krBgxxN6TgvksA4FUe9NTq+Dj8HSz&#10;BhGTJqOtJ1TwhRE25eVFoXPjz/SOY5VawSUUc62gS2nIpYx1h07HmR+Q2Gt8cDrxGVppgj5zubPy&#10;NstW0umeeKHTA247rD+rk1Pwsgu71zimt2ztn7f7yjbNoRqVur6aHh9AJJzSXxh+8BkdSmY6+hOZ&#10;KKwCfiT9KnuL5d0KxJFDy8X9HGRZyP/45TcAAAD//wMAUEsBAi0AFAAGAAgAAAAhALaDOJL+AAAA&#10;4QEAABMAAAAAAAAAAAAAAAAAAAAAAFtDb250ZW50X1R5cGVzXS54bWxQSwECLQAUAAYACAAAACEA&#10;OP0h/9YAAACUAQAACwAAAAAAAAAAAAAAAAAvAQAAX3JlbHMvLnJlbHNQSwECLQAUAAYACAAAACEA&#10;wDGIl3sjAACYDgEADgAAAAAAAAAAAAAAAAAuAgAAZHJzL2Uyb0RvYy54bWxQSwECLQAUAAYACAAA&#10;ACEAT/eVMt0AAAAGAQAADwAAAAAAAAAAAAAAAADVJQAAZHJzL2Rvd25yZXYueG1sUEsFBgAAAAAE&#10;AAQA8wAAAN8m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eNJwgAAANoAAAAPAAAAZHJzL2Rvd25yZXYueG1sRI9BawIx&#10;FITvhf6H8ArearYKdtkaxQqCp4JWEG+vm2eyunlZkqjbf98UBI/DzHzDTOe9a8WVQmw8K3gbFiCI&#10;a68bNgp236vXEkRMyBpbz6TglyLMZ89PU6y0v/GGrttkRIZwrFCBTamrpIy1JYdx6Dvi7B19cJiy&#10;DEbqgLcMd60cFcVEOmw4L1jsaGmpPm8vTkF5OpXjz/3PMbz7ODFfB7s0l41Sg5d+8QEiUZ8e4Xt7&#10;rRWM4f9KvgFy9gcAAP//AwBQSwECLQAUAAYACAAAACEA2+H2y+4AAACFAQAAEwAAAAAAAAAAAAAA&#10;AAAAAAAAW0NvbnRlbnRfVHlwZXNdLnhtbFBLAQItABQABgAIAAAAIQBa9CxbvwAAABUBAAALAAAA&#10;AAAAAAAAAAAAAB8BAABfcmVscy8ucmVsc1BLAQItABQABgAIAAAAIQBc8eNJwgAAANoAAAAPAAAA&#10;AAAAAAAAAAAAAAcCAABkcnMvZG93bnJldi54bWxQSwUGAAAAAAMAAwC3AAAA9gIAAAAA&#10;" fillcolor="#196b24 [3206]" strokecolor="#030f05 [486]"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XMYwQAAANoAAAAPAAAAZHJzL2Rvd25yZXYueG1sRI9Bi8Iw&#10;FITvgv8hPGFvmiqLSDWKCIKHsrAqirdn82yKzUttonb//UYQPA4z8w0zW7S2Eg9qfOlYwXCQgCDO&#10;nS65ULDfrfsTED4ga6wck4I/8rCYdzszTLV78i89tqEQEcI+RQUmhDqV0ueGLPqBq4mjd3GNxRBl&#10;U0jd4DPCbSVHSTKWFkuOCwZrWhnKr9u7VZBlxeHoNtl9dzvv7eRkcpv8ZEp99drlFESgNnzC7/ZG&#10;K/iG15V4A+T8HwAA//8DAFBLAQItABQABgAIAAAAIQDb4fbL7gAAAIUBAAATAAAAAAAAAAAAAAAA&#10;AAAAAABbQ29udGVudF9UeXBlc10ueG1sUEsBAi0AFAAGAAgAAAAhAFr0LFu/AAAAFQEAAAsAAAAA&#10;AAAAAAAAAAAAHwEAAF9yZWxzLy5yZWxzUEsBAi0AFAAGAAgAAAAhALfhcxjBAAAA2gAAAA8AAAAA&#10;AAAAAAAAAAAABwIAAGRycy9kb3ducmV2LnhtbFBLBQYAAAAAAwADALcAAAD1AgAAAAA=&#10;" adj="18883" fillcolor="#196b24 [3206]" strokecolor="#030f05 [486]" strokeweight="1pt">
                      <v:textbox inset=",0,14.4pt,0">
                        <w:txbxContent>
                          <w:sdt>
                            <w:sdtPr>
                              <w:rPr>
                                <w:color w:val="B3E5A1" w:themeColor="accent6" w:themeTint="66"/>
                                <w:sz w:val="28"/>
                                <w:szCs w:val="28"/>
                              </w:rPr>
                              <w:alias w:val="Date"/>
                              <w:tag w:val=""/>
                              <w:id w:val="-650599894"/>
                              <w:dataBinding w:prefixMappings="xmlns:ns0='http://schemas.microsoft.com/office/2006/coverPageProps' " w:xpath="/ns0:CoverPageProperties[1]/ns0:PublishDate[1]" w:storeItemID="{55AF091B-3C7A-41E3-B477-F2FDAA23CFDA}"/>
                              <w:date w:fullDate="2024-08-14T00:00:00Z">
                                <w:dateFormat w:val="dd/MM/yyyy"/>
                                <w:lid w:val="en-GB"/>
                                <w:storeMappedDataAs w:val="dateTime"/>
                                <w:calendar w:val="gregorian"/>
                              </w:date>
                            </w:sdtPr>
                            <w:sdtEndPr/>
                            <w:sdtContent>
                              <w:p w14:paraId="14577657" w14:textId="2AE59DB0" w:rsidR="0061727C" w:rsidRPr="007115DC" w:rsidRDefault="004862AC">
                                <w:pPr>
                                  <w:pStyle w:val="NoSpacing"/>
                                  <w:jc w:val="right"/>
                                  <w:rPr>
                                    <w:color w:val="B3E5A1" w:themeColor="accent6" w:themeTint="66"/>
                                    <w:sz w:val="28"/>
                                    <w:szCs w:val="28"/>
                                  </w:rPr>
                                </w:pPr>
                                <w:r w:rsidRPr="007115DC">
                                  <w:rPr>
                                    <w:color w:val="B3E5A1" w:themeColor="accent6" w:themeTint="66"/>
                                    <w:sz w:val="28"/>
                                    <w:szCs w:val="28"/>
                                  </w:rPr>
                                  <w:t>14/08/2024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1z7vAAAANsAAAAPAAAAZHJzL2Rvd25yZXYueG1sRE+7CsIw&#10;FN0F/yFcwU1TBUWqUcQXipPVwfHSXNtic1OaaOvfm0FwPJz3YtWaUrypdoVlBaNhBII4tbrgTMHt&#10;uh/MQDiPrLG0TAo+5GC17HYWGGvb8IXeic9ECGEXo4Lc+yqW0qU5GXRDWxEH7mFrgz7AOpO6xiaE&#10;m1KOo2gqDRYcGnKsaJNT+kxeRsFhkjW30f1j2c7otDtf9GS/1Ur1e+16DsJT6//in/uoFYzD+vAl&#10;/AC5/AIAAP//AwBQSwECLQAUAAYACAAAACEA2+H2y+4AAACFAQAAEwAAAAAAAAAAAAAAAAAAAAAA&#10;W0NvbnRlbnRfVHlwZXNdLnhtbFBLAQItABQABgAIAAAAIQBa9CxbvwAAABUBAAALAAAAAAAAAAAA&#10;AAAAAB8BAABfcmVscy8ucmVsc1BLAQItABQABgAIAAAAIQCYI1z7vAAAANsAAAAPAAAAAAAAAAAA&#10;AAAAAAcCAABkcnMvZG93bnJldi54bWxQSwUGAAAAAAMAAwC3AAAA8AIAAAAA&#10;" path="m,l39,152,84,304r38,113l122,440,76,306,39,180,6,53,,xe" fillcolor="#196b24 [3206]" strokecolor="#030f05 [486]" strokeweight="1pt">
                          <v:stroke joinstyle="miter"/>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jz4wgAAANsAAAAPAAAAZHJzL2Rvd25yZXYueG1sRI9BawIx&#10;FITvBf9DeEJvNeuCUrZGEUUQEUQrnh/Jcze4eVk20d321zeC0OMwM98ws0XvavGgNljPCsajDASx&#10;9sZyqeD8vfn4BBEissHaMyn4oQCL+eBthoXxHR/pcYqlSBAOBSqoYmwKKYOuyGEY+YY4eVffOoxJ&#10;tqU0LXYJ7mqZZ9lUOrScFipsaFWRvp3uLlHWh8vv9mb3l25yyHd5ra0+75V6H/bLLxCR+vgffrW3&#10;RkE+hueX9APk/A8AAP//AwBQSwECLQAUAAYACAAAACEA2+H2y+4AAACFAQAAEwAAAAAAAAAAAAAA&#10;AAAAAAAAW0NvbnRlbnRfVHlwZXNdLnhtbFBLAQItABQABgAIAAAAIQBa9CxbvwAAABUBAAALAAAA&#10;AAAAAAAAAAAAAB8BAABfcmVscy8ucmVsc1BLAQItABQABgAIAAAAIQBkAjz4wgAAANsAAAAPAAAA&#10;AAAAAAAAAAAAAAcCAABkcnMvZG93bnJldi54bWxQSwUGAAAAAAMAAwC3AAAA9gIAAAAA&#10;" path="m,l8,19,37,93r30,74l116,269r-8,l60,169,30,98,1,25,,xe" fillcolor="#196b24 [3206]" strokecolor="#030f05 [486]" strokeweight="1pt">
                          <v:stroke joinstyle="miter"/>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74xAAAANsAAAAPAAAAZHJzL2Rvd25yZXYueG1sRI/NasMw&#10;EITvhbyD2EAuJpHtQylulBDyA6E91c0DLNbGNrFWiiXHzttXhUKPw8x8w6y3k+nEg3rfWlaQrVIQ&#10;xJXVLdcKLt+n5RsIH5A1dpZJwZM8bDezlzUW2o78RY8y1CJC2BeooAnBFVL6qiGDfmUdcfSutjcY&#10;ouxrqXscI9x0Mk/TV2mw5bjQoKN9Q9WtHIwCvqZt8nE8OJlf9p+Zu4/nIdkptZhPu3cQgabwH/5r&#10;n7WCPIffL/EHyM0PAAAA//8DAFBLAQItABQABgAIAAAAIQDb4fbL7gAAAIUBAAATAAAAAAAAAAAA&#10;AAAAAAAAAABbQ29udGVudF9UeXBlc10ueG1sUEsBAi0AFAAGAAgAAAAhAFr0LFu/AAAAFQEAAAsA&#10;AAAAAAAAAAAAAAAAHwEAAF9yZWxzLy5yZWxzUEsBAi0AFAAGAAgAAAAhAD5m/vjEAAAA2wAAAA8A&#10;AAAAAAAAAAAAAAAABwIAAGRycy9kb3ducmV2LnhtbFBLBQYAAAAAAwADALcAAAD4AgAAAAA=&#10;" path="m,l,,1,79r2,80l12,317,23,476,39,634,58,792,83,948r24,138l135,1223r5,49l138,1262,105,1106,77,949,53,792,35,634,20,476,9,317,2,159,,79,,xe" fillcolor="#196b24 [3206]" strokecolor="#030f05 [486]" strokeweight="1pt">
                          <v:stroke joinstyle="miter"/>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mBIxQAAANsAAAAPAAAAZHJzL2Rvd25yZXYueG1sRI/RasJA&#10;FETfC/2H5Qq+FN0Y0UrMKsWi1IdCq37AJXuTDWbvhuw2xn59t1Do4zAzZ5h8O9hG9NT52rGC2TQB&#10;QVw4XXOl4HLeT1YgfEDW2DgmBXfysN08PuSYaXfjT+pPoRIRwj5DBSaENpPSF4Ys+qlriaNXus5i&#10;iLKrpO7wFuG2kWmSLKXFmuOCwZZ2horr6csqWL2nz4uyN/tj+tQkh+9l//HKUqnxaHhZgwg0hP/w&#10;X/tNK0jn8Psl/gC5+QEAAP//AwBQSwECLQAUAAYACAAAACEA2+H2y+4AAACFAQAAEwAAAAAAAAAA&#10;AAAAAAAAAAAAW0NvbnRlbnRfVHlwZXNdLnhtbFBLAQItABQABgAIAAAAIQBa9CxbvwAAABUBAAAL&#10;AAAAAAAAAAAAAAAAAB8BAABfcmVscy8ucmVsc1BLAQItABQABgAIAAAAIQDT3mBIxQAAANsAAAAP&#10;AAAAAAAAAAAAAAAAAAcCAABkcnMvZG93bnJldi54bWxQSwUGAAAAAAMAAwC3AAAA+QIAAAAA&#10;" path="m45,r,l35,66r-9,67l14,267,6,401,3,534,6,669r8,134l18,854r,-3l9,814,8,803,1,669,,534,3,401,12,267,25,132,34,66,45,xe" fillcolor="#196b24 [3206]" strokecolor="#030f05 [486]" strokeweight="1pt">
                          <v:stroke joinstyle="miter"/>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zADwgAAANsAAAAPAAAAZHJzL2Rvd25yZXYueG1sRI9La8Mw&#10;EITvgf4HsYVeQiPXCaW4kU1xKc01j0OPi7V+UGtlJDWR/30VCOQ4zMw3zLaKZhRncn6wrOBllYEg&#10;bqweuFNwOn49v4HwAVnjaJkUzOShKh8WWyy0vfCezofQiQRhX6CCPoSpkNI3PRn0KzsRJ6+1zmBI&#10;0nVSO7wkuBllnmWv0uDAaaHHieqemt/Dn1HwUxvMs03t8k9uluMc1+0cv5V6eowf7yACxXAP39o7&#10;rSDfwPVL+gGy/AcAAP//AwBQSwECLQAUAAYACAAAACEA2+H2y+4AAACFAQAAEwAAAAAAAAAAAAAA&#10;AAAAAAAAW0NvbnRlbnRfVHlwZXNdLnhtbFBLAQItABQABgAIAAAAIQBa9CxbvwAAABUBAAALAAAA&#10;AAAAAAAAAAAAAB8BAABfcmVscy8ucmVsc1BLAQItABQABgAIAAAAIQCUEzADwgAAANsAAAAPAAAA&#10;AAAAAAAAAAAAAAcCAABkcnMvZG93bnJldi54bWxQSwUGAAAAAAMAAwC3AAAA9gIAAAAA&#10;" path="m,l10,44r11,82l34,207r19,86l75,380r25,86l120,521r21,55l152,618r2,11l140,595,115,532,93,468,67,383,47,295,28,207,12,104,,xe" fillcolor="#196b24 [3206]" strokecolor="#030f05 [486]" strokeweight="1pt">
                          <v:stroke joinstyle="miter"/>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3/mxQAAANsAAAAPAAAAZHJzL2Rvd25yZXYueG1sRI/BasMw&#10;EETvhf6D2EIuJpFt2mLcKCGkGHLooXFzyW2xNraptRKW6jh/HxUKPQ4z84ZZb2cziIlG31tWkK1S&#10;EMSN1T23Ck5f1bIA4QOyxsEyKbiRh+3m8WGNpbZXPtJUh1ZECPsSFXQhuFJK33Rk0K+sI47exY4G&#10;Q5RjK/WI1wg3g8zT9FUa7DkudOho31HzXf8YBZ/v+TFJkvPHxQ9Z1Va5c8/FWanF07x7AxFoDv/h&#10;v/ZBK8hf4PdL/AFycwcAAP//AwBQSwECLQAUAAYACAAAACEA2+H2y+4AAACFAQAAEwAAAAAAAAAA&#10;AAAAAAAAAAAAW0NvbnRlbnRfVHlwZXNdLnhtbFBLAQItABQABgAIAAAAIQBa9CxbvwAAABUBAAAL&#10;AAAAAAAAAAAAAAAAAB8BAABfcmVscy8ucmVsc1BLAQItABQABgAIAAAAIQDJR3/mxQAAANsAAAAP&#10;AAAAAAAAAAAAAAAAAAcCAABkcnMvZG93bnJldi54bWxQSwUGAAAAAAMAAwC3AAAA+QIAAAAA&#10;" path="m,l33,69r-9,l12,35,,xe" fillcolor="#196b24 [3206]" strokecolor="#030f05 [486]" strokeweight="1pt">
                          <v:stroke joinstyle="miter"/>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7KkxAAAANsAAAAPAAAAZHJzL2Rvd25yZXYueG1sRI9Ba8JA&#10;FITvQv/D8gq9mU2kaImu0hZa9FS0rV6f2WcSzL4Nu1sT/fVdQfA4zMw3zGzRm0acyPnasoIsSUEQ&#10;F1bXXCr4+f4YvoDwAVljY5kUnMnDYv4wmGGubcdrOm1CKSKEfY4KqhDaXEpfVGTQJ7Yljt7BOoMh&#10;SldK7bCLcNPIUZqOpcGa40KFLb1XVBw3fyZS8Lh6O1yySbb/fa53zdfWdZ9GqafH/nUKIlAf7uFb&#10;e6kVjMZw/RJ/gJz/AwAA//8DAFBLAQItABQABgAIAAAAIQDb4fbL7gAAAIUBAAATAAAAAAAAAAAA&#10;AAAAAAAAAABbQ29udGVudF9UeXBlc10ueG1sUEsBAi0AFAAGAAgAAAAhAFr0LFu/AAAAFQEAAAsA&#10;AAAAAAAAAAAAAAAAHwEAAF9yZWxzLy5yZWxzUEsBAi0AFAAGAAgAAAAhAIYbsqTEAAAA2wAAAA8A&#10;AAAAAAAAAAAAAAAABwIAAGRycy9kb3ducmV2LnhtbFBLBQYAAAAAAwADALcAAAD4AgAAAAA=&#10;" path="m,l9,37r,3l15,93,5,49,,xe" fillcolor="#196b24 [3206]" strokecolor="#030f05 [486]" strokeweight="1pt">
                          <v:stroke joinstyle="miter"/>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gddxQAAANsAAAAPAAAAZHJzL2Rvd25yZXYueG1sRI/dasJA&#10;FITvC32H5RS8KboxYCvRVUpBFC2CP6CXp9nTJJg9G7NrEt/eLRR6OczMN8x03plSNFS7wrKC4SAC&#10;QZxaXXCm4HhY9McgnEfWWFomBXdyMJ89P00x0bblHTV7n4kAYZeggtz7KpHSpTkZdANbEQfvx9YG&#10;fZB1JnWNbYCbUsZR9CYNFhwWcqzoM6f0sr8ZBe1pren7Em9fN1+75Xh0NbI5G6V6L93HBISnzv+H&#10;/9orrSB+h98v4QfI2QMAAP//AwBQSwECLQAUAAYACAAAACEA2+H2y+4AAACFAQAAEwAAAAAAAAAA&#10;AAAAAAAAAAAAW0NvbnRlbnRfVHlwZXNdLnhtbFBLAQItABQABgAIAAAAIQBa9CxbvwAAABUBAAAL&#10;AAAAAAAAAAAAAAAAAB8BAABfcmVscy8ucmVsc1BLAQItABQABgAIAAAAIQDosgddxQAAANsAAAAP&#10;AAAAAAAAAAAAAAAAAAcCAABkcnMvZG93bnJldi54bWxQSwUGAAAAAAMAAwC3AAAA+QIAAAAA&#10;" path="m394,r,l356,38,319,77r-35,40l249,160r-42,58l168,276r-37,63l98,402,69,467,45,535,26,604,14,673,7,746,6,766,,749r1,-5l7,673,21,603,40,533,65,466,94,400r33,-64l164,275r40,-60l248,158r34,-42l318,76,354,37,394,xe" fillcolor="#196b24 [3206]" strokecolor="#030f05 [486]" strokeweight="1pt">
                          <v:stroke joinstyle="miter"/>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hw0wgAAANsAAAAPAAAAZHJzL2Rvd25yZXYueG1sRE/LisIw&#10;FN0L/kO4wuw01YWPjlFU0HEzwnQGhtldmmtTbW5Kk2r9+8lCcHk47+W6s5W4UeNLxwrGowQEce50&#10;yYWCn+/9cA7CB2SNlWNS8CAP61W/t8RUuzt/0S0LhYgh7FNUYEKoUyl9bsiiH7maOHJn11gMETaF&#10;1A3eY7it5CRJptJiybHBYE07Q/k1a62Cj9miPW3z0+ditv/dHLJLrU37p9TboNu8gwjUhZf46T5q&#10;BZM4Nn6JP0Cu/gEAAP//AwBQSwECLQAUAAYACAAAACEA2+H2y+4AAACFAQAAEwAAAAAAAAAAAAAA&#10;AAAAAAAAW0NvbnRlbnRfVHlwZXNdLnhtbFBLAQItABQABgAIAAAAIQBa9CxbvwAAABUBAAALAAAA&#10;AAAAAAAAAAAAAB8BAABfcmVscy8ucmVsc1BLAQItABQABgAIAAAAIQAzBhw0wgAAANsAAAAPAAAA&#10;AAAAAAAAAAAAAAcCAABkcnMvZG93bnJldi54bWxQSwUGAAAAAAMAAwC3AAAA9gIAAAAA&#10;" path="m,l6,16r1,3l11,80r9,52l33,185r3,9l21,161,15,145,5,81,1,41,,xe" fillcolor="#196b24 [3206]" strokecolor="#030f05 [486]" strokeweight="1pt">
                          <v:stroke joinstyle="miter"/>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UfRwwAAANsAAAAPAAAAZHJzL2Rvd25yZXYueG1sRI9Bi8Iw&#10;FITvgv8hPMGbpqsgbtcoi+yKgh50vezt2TybavNSmqj13xtB8DjMzDfMZNbYUlyp9oVjBR/9BARx&#10;5nTBuYL9329vDMIHZI2lY1JwJw+zabs1wVS7G2/pugu5iBD2KSowIVSplD4zZNH3XUUcvaOrLYYo&#10;61zqGm8Rbks5SJKRtFhwXDBY0dxQdt5drIL1YR+W/6uz/hn68jTfjLaLIxmlup3m+wtEoCa8w6/2&#10;UisYfMLzS/wBcvoAAAD//wMAUEsBAi0AFAAGAAgAAAAhANvh9svuAAAAhQEAABMAAAAAAAAAAAAA&#10;AAAAAAAAAFtDb250ZW50X1R5cGVzXS54bWxQSwECLQAUAAYACAAAACEAWvQsW78AAAAVAQAACwAA&#10;AAAAAAAAAAAAAAAfAQAAX3JlbHMvLnJlbHNQSwECLQAUAAYACAAAACEAhwFH0cMAAADbAAAADwAA&#10;AAAAAAAAAAAAAAAHAgAAZHJzL2Rvd25yZXYueG1sUEsFBgAAAAADAAMAtwAAAPcCAAAAAA==&#10;" path="m,l31,65r-8,l,xe" fillcolor="#196b24 [3206]" strokecolor="#030f05 [486]" strokeweight="1pt">
                          <v:stroke joinstyle="miter"/>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OKiwAAAANsAAAAPAAAAZHJzL2Rvd25yZXYueG1sRE/Pa8Iw&#10;FL4P/B/CE3abaS2bUo2iY4Vd103w+GieTbB5KU3Wdv/9chjs+PH93h9n14mRhmA9K8hXGQjixmvL&#10;rYKvz+ppCyJEZI2dZ1LwQwGOh8XDHkvtJ/6gsY6tSCEcSlRgYuxLKUNjyGFY+Z44cTc/OIwJDq3U&#10;A04p3HVynWUv0qHl1GCwp1dDzb3+dgqu+bPZFG8uv1hTWS2v7Xo+T0o9LufTDkSkOf6L/9zvWkGR&#10;1qcv6QfIwy8AAAD//wMAUEsBAi0AFAAGAAgAAAAhANvh9svuAAAAhQEAABMAAAAAAAAAAAAAAAAA&#10;AAAAAFtDb250ZW50X1R5cGVzXS54bWxQSwECLQAUAAYACAAAACEAWvQsW78AAAAVAQAACwAAAAAA&#10;AAAAAAAAAAAfAQAAX3JlbHMvLnJlbHNQSwECLQAUAAYACAAAACEAwsziosAAAADbAAAADwAAAAAA&#10;AAAAAAAAAAAHAgAAZHJzL2Rvd25yZXYueG1sUEsFBgAAAAADAAMAtwAAAPQCAAAAAA==&#10;" path="m,l6,17,7,42,6,39,,23,,xe" fillcolor="#196b24 [3206]" strokecolor="#030f05 [486]" strokeweight="1pt">
                          <v:stroke joinstyle="miter"/>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H/xAAAANsAAAAPAAAAZHJzL2Rvd25yZXYueG1sRI/dasJA&#10;FITvhb7Dcgq9040piKSu0hbaBoqC2gc4ZI9JaPZssrvNz9t3BcHLYWa+YTa70TSiJ+drywqWiwQE&#10;cWF1zaWCn/PHfA3CB2SNjWVSMJGH3fZhtsFM24GP1J9CKSKEfYYKqhDaTEpfVGTQL2xLHL2LdQZD&#10;lK6U2uEQ4aaRaZKspMGa40KFLb1XVPye/oyC7jPFPD189fV02J/7725kd3lT6ulxfH0BEWgM9/Ct&#10;nWsFz0u4fok/QG7/AQAA//8DAFBLAQItABQABgAIAAAAIQDb4fbL7gAAAIUBAAATAAAAAAAAAAAA&#10;AAAAAAAAAABbQ29udGVudF9UeXBlc10ueG1sUEsBAi0AFAAGAAgAAAAhAFr0LFu/AAAAFQEAAAsA&#10;AAAAAAAAAAAAAAAAHwEAAF9yZWxzLy5yZWxzUEsBAi0AFAAGAAgAAAAhAMd38f/EAAAA2wAAAA8A&#10;AAAAAAAAAAAAAAAABwIAAGRycy9kb3ducmV2LnhtbFBLBQYAAAAAAwADALcAAAD4AgAAAAA=&#10;" path="m,l6,16,21,49,33,84r12,34l44,118,13,53,11,42,,xe" fillcolor="#196b24 [3206]" strokecolor="#030f05 [486]" strokeweight="1pt">
                          <v:stroke joinstyle="miter"/>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BmdwAAAANoAAAAPAAAAZHJzL2Rvd25yZXYueG1sRE/Pa8Iw&#10;FL4P9j+EJ3ibqSJjdEZRYcOLk1YRdns0z6bYvJQkq/W/Nwdhx4/v92I12Fb05EPjWMF0koEgrpxu&#10;uFZwOn69fYAIEVlj65gU3CnAavn6ssBcuxsX1JexFimEQ44KTIxdLmWoDFkME9cRJ+7ivMWYoK+l&#10;9nhL4baVsyx7lxYbTg0GO9oaqq7ln1XgL7/mh+6n/eZ8KAq5/Z73s81OqfFoWH+CiDTEf/HTvdMK&#10;0tZ0Jd0AuXwAAAD//wMAUEsBAi0AFAAGAAgAAAAhANvh9svuAAAAhQEAABMAAAAAAAAAAAAAAAAA&#10;AAAAAFtDb250ZW50X1R5cGVzXS54bWxQSwECLQAUAAYACAAAACEAWvQsW78AAAAVAQAACwAAAAAA&#10;AAAAAAAAAAAfAQAAX3JlbHMvLnJlbHNQSwECLQAUAAYACAAAACEAkXQZncAAAADaAAAADwAAAAAA&#10;AAAAAAAAAAAHAgAAZHJzL2Rvd25yZXYueG1sUEsFBgAAAAADAAMAtwAAAPQCAAAAAA==&#10;" path="m,l41,155,86,309r39,116l125,450,79,311,41,183,7,54,,xe" fillcolor="#196b24 [3206]" strokecolor="#030f05 [486]" strokeweight="1pt">
                          <v:stroke joinstyle="miter"/>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l9MwwAAANoAAAAPAAAAZHJzL2Rvd25yZXYueG1sRI9Ba8JA&#10;FITvBf/D8gRvzaYKpUZXKaIg9FBNCsXbI/uahO6+jdk1Sf99t1DwOMzMN8x6O1ojeup841jBU5KC&#10;IC6dbrhS8FEcHl9A+ICs0TgmBT/kYbuZPKwx027gM/V5qESEsM9QQR1Cm0npy5os+sS1xNH7cp3F&#10;EGVXSd3hEOHWyHmaPkuLDceFGlva1VR+5zer4CL13tL7+fS2OLjT9dOapsiNUrPp+LoCEWgM9/B/&#10;+6gVLOHvSrwBcvMLAAD//wMAUEsBAi0AFAAGAAgAAAAhANvh9svuAAAAhQEAABMAAAAAAAAAAAAA&#10;AAAAAAAAAFtDb250ZW50X1R5cGVzXS54bWxQSwECLQAUAAYACAAAACEAWvQsW78AAAAVAQAACwAA&#10;AAAAAAAAAAAAAAAfAQAAX3JlbHMvLnJlbHNQSwECLQAUAAYACAAAACEAwpJfTMMAAADaAAAADwAA&#10;AAAAAAAAAAAAAAAHAgAAZHJzL2Rvd25yZXYueG1sUEsFBgAAAAADAAMAtwAAAPcCAAAAAA==&#10;" path="m,l8,20,37,96r32,74l118,275r-9,l61,174,30,100,,26,,xe" fillcolor="#196b24 [3206]" strokecolor="#030f05 [486]" strokeweight="1pt">
                          <v:stroke joinstyle="miter"/>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x5TxgAAANsAAAAPAAAAZHJzL2Rvd25yZXYueG1sRI9Pa8Mw&#10;DMXvhX0Ho8FurdMxykjrlrLSEbYV+u/Sm4jVJCyWTey02befDoPdJN7Tez8tVoNr1Y262Hg2MJ1k&#10;oIhLbxuuDJxP2/ErqJiQLbaeycAPRVgtH0YLzK2/84Fux1QpCeGYo4E6pZBrHcuaHMaJD8SiXX3n&#10;MMnaVdp2eJdw1+rnLJtphw1LQ42B3moqv4+9M3DYF9X08xwuL+/97qvfFLOwKz+MeXoc1nNQiYb0&#10;b/67LqzgC738IgPo5S8AAAD//wMAUEsBAi0AFAAGAAgAAAAhANvh9svuAAAAhQEAABMAAAAAAAAA&#10;AAAAAAAAAAAAAFtDb250ZW50X1R5cGVzXS54bWxQSwECLQAUAAYACAAAACEAWvQsW78AAAAVAQAA&#10;CwAAAAAAAAAAAAAAAAAfAQAAX3JlbHMvLnJlbHNQSwECLQAUAAYACAAAACEAU6MeU8YAAADbAAAA&#10;DwAAAAAAAAAAAAAAAAAHAgAAZHJzL2Rvd25yZXYueG1sUEsFBgAAAAADAAMAtwAAAPoCAAAAAA==&#10;" path="m,l16,72r4,49l18,112,,31,,xe" fillcolor="#196b24 [3206]" strokecolor="#030f05 [486]" strokeweight="1pt">
                          <v:stroke joinstyle="miter"/>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4uIvwAAANsAAAAPAAAAZHJzL2Rvd25yZXYueG1sRE9LCsIw&#10;EN0L3iGM4E5TFUSqUVQQRHHhZ9Hl0IxtsZnUJmq9vREEd/N435ktGlOKJ9WusKxg0I9AEKdWF5wp&#10;uJw3vQkI55E1lpZJwZscLObt1gxjbV98pOfJZyKEsItRQe59FUvp0pwMur6tiAN3tbVBH2CdSV3j&#10;K4SbUg6jaCwNFhwacqxonVN6Oz2Mgt1q0Dy2+/dhdEsuyS653yNTjZXqdprlFISnxv/FP/dWh/lD&#10;+P4SDpDzDwAAAP//AwBQSwECLQAUAAYACAAAACEA2+H2y+4AAACFAQAAEwAAAAAAAAAAAAAAAAAA&#10;AAAAW0NvbnRlbnRfVHlwZXNdLnhtbFBLAQItABQABgAIAAAAIQBa9CxbvwAAABUBAAALAAAAAAAA&#10;AAAAAAAAAB8BAABfcmVscy8ucmVsc1BLAQItABQABgAIAAAAIQAFx4uIvwAAANsAAAAPAAAAAAAA&#10;AAAAAAAAAAcCAABkcnMvZG93bnJldi54bWxQSwUGAAAAAAMAAwC3AAAA8wIAAAAA&#10;" path="m,l11,46r11,83l36,211r19,90l76,389r27,87l123,533r21,55l155,632r3,11l142,608,118,544,95,478,69,391,47,302,29,212,13,107,,xe" fillcolor="#196b24 [3206]" strokecolor="#030f05 [486]" strokeweight="1pt">
                          <v:stroke joinstyle="miter"/>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TODwgAAANsAAAAPAAAAZHJzL2Rvd25yZXYueG1sRE9Na8JA&#10;EL0L/Q/LFHrTTa3GkrqKCMWAINT24HGanSax2dmwuzXJv3cFobd5vM9ZrnvTiAs5X1tW8DxJQBAX&#10;VtdcKvj6fB+/gvABWWNjmRQM5GG9ehgtMdO24w+6HEMpYgj7DBVUIbSZlL6oyKCf2JY4cj/WGQwR&#10;ulJqh10MN42cJkkqDdYcGypsaVtR8Xv8MwpmvtnhfDi4NOTnxcltv90Z90o9PfabNxCB+vAvvrtz&#10;Hee/wO2XeIBcXQEAAP//AwBQSwECLQAUAAYACAAAACEA2+H2y+4AAACFAQAAEwAAAAAAAAAAAAAA&#10;AAAAAAAAW0NvbnRlbnRfVHlwZXNdLnhtbFBLAQItABQABgAIAAAAIQBa9CxbvwAAABUBAAALAAAA&#10;AAAAAAAAAAAAAB8BAABfcmVscy8ucmVsc1BLAQItABQABgAIAAAAIQAiFTODwgAAANsAAAAPAAAA&#10;AAAAAAAAAAAAAAcCAABkcnMvZG93bnJldi54bWxQSwUGAAAAAAMAAwC3AAAA9gIAAAAA&#10;" path="m,l33,71r-9,l11,36,,xe" fillcolor="#196b24 [3206]" strokecolor="#030f05 [486]" strokeweight="1pt">
                          <v:stroke joinstyle="miter"/>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VQzwAAAANsAAAAPAAAAZHJzL2Rvd25yZXYueG1sRE/NasJA&#10;EL4LfYdlCt50o1jR1FVqoaWXIlEfYMiOSTA7G7KjSX16tyB4m4/vd1ab3tXqSm2oPBuYjBNQxLm3&#10;FRcGjoev0QJUEGSLtWcy8EcBNuuXwQpT6zvO6LqXQsUQDikaKEWaVOuQl+QwjH1DHLmTbx1KhG2h&#10;bYtdDHe1nibJXDusODaU2NBnSfl5f3EGssn3Sba0vLhK/HnXudvbb30wZvjaf7yDEurlKX64f2yc&#10;P4P/X+IBen0HAAD//wMAUEsBAi0AFAAGAAgAAAAhANvh9svuAAAAhQEAABMAAAAAAAAAAAAAAAAA&#10;AAAAAFtDb250ZW50X1R5cGVzXS54bWxQSwECLQAUAAYACAAAACEAWvQsW78AAAAVAQAACwAAAAAA&#10;AAAAAAAAAAAfAQAAX3JlbHMvLnJlbHNQSwECLQAUAAYACAAAACEA4RFUM8AAAADbAAAADwAAAAAA&#10;AAAAAAAAAAAHAgAAZHJzL2Rvd25yZXYueG1sUEsFBgAAAAADAAMAtwAAAPQCAAAAAA==&#10;" path="m,l8,37r,4l15,95,4,49,,xe" fillcolor="#196b24 [3206]" strokecolor="#030f05 [486]" strokeweight="1pt">
                          <v:stroke joinstyle="miter"/>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xQqwgAAANsAAAAPAAAAZHJzL2Rvd25yZXYueG1sRE9Na8JA&#10;EL0X+h+WKXgpurFg0egaREgRCwWjPfQ2ZMckJDsbsquu/75bKHibx/ucVRZMJ640uMaygukkAUFc&#10;Wt1wpeB0zMdzEM4ja+wsk4I7OcjWz08rTLW98YGuha9EDGGXooLa+z6V0pU1GXQT2xNH7mwHgz7C&#10;oZJ6wFsMN518S5J3abDh2FBjT9uayra4GAWh3Te74tN+t8XrPNh88fXx05JSo5ewWYLwFPxD/O/e&#10;6Th/Bn+/xAPk+hcAAP//AwBQSwECLQAUAAYACAAAACEA2+H2y+4AAACFAQAAEwAAAAAAAAAAAAAA&#10;AAAAAAAAW0NvbnRlbnRfVHlwZXNdLnhtbFBLAQItABQABgAIAAAAIQBa9CxbvwAAABUBAAALAAAA&#10;AAAAAAAAAAAAAB8BAABfcmVscy8ucmVsc1BLAQItABQABgAIAAAAIQDOhxQqwgAAANsAAAAPAAAA&#10;AAAAAAAAAAAAAAcCAABkcnMvZG93bnJldi54bWxQSwUGAAAAAAMAAwC3AAAA9gIAAAAA&#10;" path="m402,r,1l363,39,325,79r-35,42l255,164r-44,58l171,284r-38,62l100,411,71,478,45,546,27,617,13,689,7,761r,21l,765r1,-4l7,688,21,616,40,545,66,475,95,409r35,-66l167,281r42,-61l253,163r34,-43l324,78,362,38,402,xe" fillcolor="#196b24 [3206]" strokecolor="#030f05 [486]" strokeweight="1pt">
                          <v:stroke joinstyle="miter"/>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ydLwgAAANsAAAAPAAAAZHJzL2Rvd25yZXYueG1sRE9NawIx&#10;EL0X/A9hhN5qtntYympctEXxIEJV0OOwGTeLm8k2SXXbX98UCr3N433OrBpsJ27kQ+tYwfMkA0Fc&#10;O91yo+B4WD29gAgRWWPnmBR8UYBqPnqYYandnd/pto+NSCEcSlRgYuxLKUNtyGKYuJ44cRfnLcYE&#10;fSO1x3sKt53Ms6yQFltODQZ7ejVUX/efVsFyi5suNx/r4nTafW/Pb9LvtFTqcTwspiAiDfFf/Ofe&#10;6DS/gN9f0gFy/gMAAP//AwBQSwECLQAUAAYACAAAACEA2+H2y+4AAACFAQAAEwAAAAAAAAAAAAAA&#10;AAAAAAAAW0NvbnRlbnRfVHlwZXNdLnhtbFBLAQItABQABgAIAAAAIQBa9CxbvwAAABUBAAALAAAA&#10;AAAAAAAAAAAAAB8BAABfcmVscy8ucmVsc1BLAQItABQABgAIAAAAIQDerydLwgAAANsAAAAPAAAA&#10;AAAAAAAAAAAAAAcCAABkcnMvZG93bnJldi54bWxQSwUGAAAAAAMAAwC3AAAA9gIAAAAA&#10;" path="m,l6,15r1,3l12,80r9,54l33,188r4,8l22,162,15,146,5,81,1,40,,xe" fillcolor="#196b24 [3206]" strokecolor="#030f05 [486]" strokeweight="1pt">
                          <v:stroke joinstyle="miter"/>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rhXwgAAANsAAAAPAAAAZHJzL2Rvd25yZXYueG1sRE/NasJA&#10;EL4XfIdlBG91Y6FWomuQ2EoRejDmAYbsmESzsyG70dind4VCb/Px/c4qGUwjrtS52rKC2TQCQVxY&#10;XXOpID9+vS5AOI+ssbFMCu7kIFmPXlYYa3vjA10zX4oQwi5GBZX3bSylKyoy6Ka2JQ7cyXYGfYBd&#10;KXWHtxBuGvkWRXNpsObQUGFLaUXFJeuNgnnen1v9+S5p95Oe3fb3vt+nqVKT8bBZgvA0+H/xn/tb&#10;h/kf8PwlHCDXDwAAAP//AwBQSwECLQAUAAYACAAAACEA2+H2y+4AAACFAQAAEwAAAAAAAAAAAAAA&#10;AAAAAAAAW0NvbnRlbnRfVHlwZXNdLnhtbFBLAQItABQABgAIAAAAIQBa9CxbvwAAABUBAAALAAAA&#10;AAAAAAAAAAAAAB8BAABfcmVscy8ucmVsc1BLAQItABQABgAIAAAAIQAFbrhXwgAAANsAAAAPAAAA&#10;AAAAAAAAAAAAAAcCAABkcnMvZG93bnJldi54bWxQSwUGAAAAAAMAAwC3AAAA9gIAAAAA&#10;" path="m,l31,66r-7,l,xe" fillcolor="#196b24 [3206]" strokecolor="#030f05 [486]" strokeweight="1pt">
                          <v:stroke joinstyle="miter"/>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RrHwwAAANsAAAAPAAAAZHJzL2Rvd25yZXYueG1sRI/NasNA&#10;DITvhbzDokBvzTo5mOBmY4qh0JBD/voAqlf+oV6t2d3G7ttHh0JvEjOa+bQrZzeoO4XYezawXmWg&#10;iGtve24NfN7eX7agYkK2OHgmA78UodwvnnZYWD/xhe7X1CoJ4ViggS6lsdA61h05jCs/EovW+OAw&#10;yRpabQNOEu4GvcmyXDvsWRo6HKnqqP6+/jgDOdPxFPxxSrfz4avJp2adVSdjnpfz2yuoRHP6N/9d&#10;f1jBF1j5RQbQ+wcAAAD//wMAUEsBAi0AFAAGAAgAAAAhANvh9svuAAAAhQEAABMAAAAAAAAAAAAA&#10;AAAAAAAAAFtDb250ZW50X1R5cGVzXS54bWxQSwECLQAUAAYACAAAACEAWvQsW78AAAAVAQAACwAA&#10;AAAAAAAAAAAAAAAfAQAAX3JlbHMvLnJlbHNQSwECLQAUAAYACAAAACEAgrEax8MAAADbAAAADwAA&#10;AAAAAAAAAAAAAAAHAgAAZHJzL2Rvd25yZXYueG1sUEsFBgAAAAADAAMAtwAAAPcCAAAAAA==&#10;" path="m,l7,17r,26l6,40,,25,,xe" fillcolor="#196b24 [3206]" strokecolor="#030f05 [486]" strokeweight="1pt">
                          <v:stroke joinstyle="miter"/>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Co5wwAAANsAAAAPAAAAZHJzL2Rvd25yZXYueG1sRE9Na8JA&#10;EL0X/A/LFHopurEFialrCKK0h1yMHjyO2WmSJjsbstuY/vtuoeBtHu9zNulkOjHS4BrLCpaLCARx&#10;aXXDlYLz6TCPQTiPrLGzTAp+yEG6nT1sMNH2xkcaC1+JEMIuQQW1930ipStrMugWticO3KcdDPoA&#10;h0rqAW8h3HTyJYpW0mDDoaHGnnY1lW3xbRS01zin/Mu9ts/lJdtf32XlDqNST49T9gbC0+Tv4n/3&#10;hw7z1/D3SzhAbn8BAAD//wMAUEsBAi0AFAAGAAgAAAAhANvh9svuAAAAhQEAABMAAAAAAAAAAAAA&#10;AAAAAAAAAFtDb250ZW50X1R5cGVzXS54bWxQSwECLQAUAAYACAAAACEAWvQsW78AAAAVAQAACwAA&#10;AAAAAAAAAAAAAAAfAQAAX3JlbHMvLnJlbHNQSwECLQAUAAYACAAAACEA2+AqOcMAAADbAAAADwAA&#10;AAAAAAAAAAAAAAAHAgAAZHJzL2Rvd25yZXYueG1sUEsFBgAAAAADAAMAtwAAAPcCAAAAAA==&#10;" path="m,l7,16,22,50,33,86r13,35l45,121,14,55,11,44,,xe" fillcolor="#196b24 [3206]" strokecolor="#030f05 [486]" strokeweight="1pt">
                          <v:stroke joinstyle="miter"/>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DCFEED6" wp14:editId="642289A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B9421F" w14:textId="3AFD045F" w:rsidR="0061727C" w:rsidRPr="00DA64C0" w:rsidRDefault="002651D5">
                                <w:pPr>
                                  <w:pStyle w:val="NoSpacing"/>
                                  <w:rPr>
                                    <w:rFonts w:asciiTheme="majorHAnsi" w:eastAsiaTheme="majorEastAsia" w:hAnsiTheme="majorHAnsi" w:cstheme="majorBidi"/>
                                    <w:color w:val="3A7C22" w:themeColor="accent6" w:themeShade="BF"/>
                                    <w:sz w:val="7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rFonts w:asciiTheme="majorHAnsi" w:eastAsiaTheme="majorEastAsia" w:hAnsiTheme="majorHAnsi" w:cstheme="majorBidi"/>
                                      <w:color w:val="3A7C22" w:themeColor="accent6" w:themeShade="BF"/>
                                      <w:sz w:val="72"/>
                                      <w:szCs w:val="7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14BEE" w:rsidRPr="00DA64C0">
                                      <w:rPr>
                                        <w:rFonts w:asciiTheme="majorHAnsi" w:eastAsiaTheme="majorEastAsia" w:hAnsiTheme="majorHAnsi" w:cstheme="majorBidi"/>
                                        <w:color w:val="3A7C22" w:themeColor="accent6" w:themeShade="BF"/>
                                        <w:sz w:val="72"/>
                                        <w:szCs w:val="7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International Financial Management Essay</w:t>
                                    </w:r>
                                  </w:sdtContent>
                                </w:sdt>
                              </w:p>
                              <w:p w14:paraId="5B2A6937" w14:textId="085C1D05" w:rsidR="0061727C" w:rsidRPr="00141C2F" w:rsidRDefault="002651D5">
                                <w:pPr>
                                  <w:spacing w:before="120"/>
                                  <w:rPr>
                                    <w:color w:val="404040" w:themeColor="text1" w:themeTint="BF"/>
                                    <w:sz w:val="36"/>
                                    <w:szCs w:val="36"/>
                                    <w:lang w:val="fr-FR"/>
                                  </w:rPr>
                                </w:pPr>
                                <w:sdt>
                                  <w:sdtPr>
                                    <w:rPr>
                                      <w:color w:val="404040" w:themeColor="text1" w:themeTint="BF"/>
                                      <w:sz w:val="36"/>
                                      <w:szCs w:val="36"/>
                                      <w:lang w:val="fr-FR"/>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14BEE" w:rsidRPr="00141C2F">
                                      <w:rPr>
                                        <w:color w:val="404040" w:themeColor="text1" w:themeTint="BF"/>
                                        <w:sz w:val="36"/>
                                        <w:szCs w:val="36"/>
                                        <w:lang w:val="fr-FR"/>
                                      </w:rPr>
                                      <w:t>LCBB6002</w:t>
                                    </w:r>
                                  </w:sdtContent>
                                </w:sdt>
                                <w:r w:rsidR="00813DF2" w:rsidRPr="00141C2F">
                                  <w:rPr>
                                    <w:color w:val="404040" w:themeColor="text1" w:themeTint="BF"/>
                                    <w:sz w:val="36"/>
                                    <w:szCs w:val="36"/>
                                    <w:lang w:val="fr-FR"/>
                                  </w:rPr>
                                  <w:t xml:space="preserve"> UWTSD</w:t>
                                </w:r>
                              </w:p>
                              <w:p w14:paraId="68B575BD" w14:textId="22FC05B5" w:rsidR="001E6C3A" w:rsidRDefault="001E6C3A">
                                <w:pPr>
                                  <w:spacing w:before="120"/>
                                  <w:rPr>
                                    <w:color w:val="404040" w:themeColor="text1" w:themeTint="BF"/>
                                    <w:sz w:val="36"/>
                                    <w:szCs w:val="36"/>
                                  </w:rPr>
                                </w:pPr>
                                <w:r>
                                  <w:rPr>
                                    <w:color w:val="404040" w:themeColor="text1" w:themeTint="BF"/>
                                    <w:sz w:val="36"/>
                                    <w:szCs w:val="36"/>
                                  </w:rPr>
                                  <w:t xml:space="preserve">Lecturer: </w:t>
                                </w:r>
                                <w:r w:rsidRPr="00C663DA">
                                  <w:rPr>
                                    <w:i/>
                                    <w:iCs/>
                                    <w:color w:val="404040" w:themeColor="text1" w:themeTint="BF"/>
                                    <w:sz w:val="36"/>
                                    <w:szCs w:val="36"/>
                                  </w:rPr>
                                  <w:t xml:space="preserve">Amandeep </w:t>
                                </w:r>
                                <w:r w:rsidR="005418E7" w:rsidRPr="00C663DA">
                                  <w:rPr>
                                    <w:i/>
                                    <w:iCs/>
                                    <w:color w:val="404040" w:themeColor="text1" w:themeTint="BF"/>
                                    <w:sz w:val="36"/>
                                    <w:szCs w:val="36"/>
                                  </w:rPr>
                                  <w:t>Sahota</w:t>
                                </w:r>
                              </w:p>
                              <w:p w14:paraId="4987385F" w14:textId="280BFE62" w:rsidR="009F0438" w:rsidRDefault="009F0438">
                                <w:pPr>
                                  <w:spacing w:before="120"/>
                                  <w:rPr>
                                    <w:color w:val="404040" w:themeColor="text1" w:themeTint="BF"/>
                                    <w:sz w:val="36"/>
                                    <w:szCs w:val="36"/>
                                  </w:rPr>
                                </w:pPr>
                                <w:r>
                                  <w:rPr>
                                    <w:color w:val="404040" w:themeColor="text1" w:themeTint="BF"/>
                                    <w:sz w:val="36"/>
                                    <w:szCs w:val="36"/>
                                  </w:rPr>
                                  <w:t xml:space="preserve">Student: </w:t>
                                </w:r>
                                <w:r w:rsidRPr="00C663DA">
                                  <w:rPr>
                                    <w:i/>
                                    <w:iCs/>
                                    <w:color w:val="404040" w:themeColor="text1" w:themeTint="BF"/>
                                    <w:sz w:val="36"/>
                                    <w:szCs w:val="36"/>
                                  </w:rPr>
                                  <w:t>Silviya Petkova 2131598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DCFEED6" id="_x0000_t202" coordsize="21600,21600" o:spt="202" path="m,l,21600r21600,l21600,xe">
                    <v:stroke joinstyle="miter"/>
                    <v:path gradientshapeok="t" o:connecttype="rect"/>
                  </v:shapetype>
                  <v:shape id="Text Box 30" o:spid="_x0000_s1055" type="#_x0000_t202" style="position:absolute;margin-left:0;margin-top:0;width:4in;height:84.25pt;z-index:25165926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21B9421F" w14:textId="3AFD045F" w:rsidR="0061727C" w:rsidRPr="00DA64C0" w:rsidRDefault="002651D5">
                          <w:pPr>
                            <w:pStyle w:val="NoSpacing"/>
                            <w:rPr>
                              <w:rFonts w:asciiTheme="majorHAnsi" w:eastAsiaTheme="majorEastAsia" w:hAnsiTheme="majorHAnsi" w:cstheme="majorBidi"/>
                              <w:color w:val="3A7C22" w:themeColor="accent6" w:themeShade="BF"/>
                              <w:sz w:val="7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rFonts w:asciiTheme="majorHAnsi" w:eastAsiaTheme="majorEastAsia" w:hAnsiTheme="majorHAnsi" w:cstheme="majorBidi"/>
                                <w:color w:val="3A7C22" w:themeColor="accent6" w:themeShade="BF"/>
                                <w:sz w:val="72"/>
                                <w:szCs w:val="7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14BEE" w:rsidRPr="00DA64C0">
                                <w:rPr>
                                  <w:rFonts w:asciiTheme="majorHAnsi" w:eastAsiaTheme="majorEastAsia" w:hAnsiTheme="majorHAnsi" w:cstheme="majorBidi"/>
                                  <w:color w:val="3A7C22" w:themeColor="accent6" w:themeShade="BF"/>
                                  <w:sz w:val="72"/>
                                  <w:szCs w:val="7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International Financial Management Essay</w:t>
                              </w:r>
                            </w:sdtContent>
                          </w:sdt>
                        </w:p>
                        <w:p w14:paraId="5B2A6937" w14:textId="085C1D05" w:rsidR="0061727C" w:rsidRPr="00141C2F" w:rsidRDefault="002651D5">
                          <w:pPr>
                            <w:spacing w:before="120"/>
                            <w:rPr>
                              <w:color w:val="404040" w:themeColor="text1" w:themeTint="BF"/>
                              <w:sz w:val="36"/>
                              <w:szCs w:val="36"/>
                              <w:lang w:val="fr-FR"/>
                            </w:rPr>
                          </w:pPr>
                          <w:sdt>
                            <w:sdtPr>
                              <w:rPr>
                                <w:color w:val="404040" w:themeColor="text1" w:themeTint="BF"/>
                                <w:sz w:val="36"/>
                                <w:szCs w:val="36"/>
                                <w:lang w:val="fr-FR"/>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14BEE" w:rsidRPr="00141C2F">
                                <w:rPr>
                                  <w:color w:val="404040" w:themeColor="text1" w:themeTint="BF"/>
                                  <w:sz w:val="36"/>
                                  <w:szCs w:val="36"/>
                                  <w:lang w:val="fr-FR"/>
                                </w:rPr>
                                <w:t>LCBB6002</w:t>
                              </w:r>
                            </w:sdtContent>
                          </w:sdt>
                          <w:r w:rsidR="00813DF2" w:rsidRPr="00141C2F">
                            <w:rPr>
                              <w:color w:val="404040" w:themeColor="text1" w:themeTint="BF"/>
                              <w:sz w:val="36"/>
                              <w:szCs w:val="36"/>
                              <w:lang w:val="fr-FR"/>
                            </w:rPr>
                            <w:t xml:space="preserve"> UWTSD</w:t>
                          </w:r>
                        </w:p>
                        <w:p w14:paraId="68B575BD" w14:textId="22FC05B5" w:rsidR="001E6C3A" w:rsidRDefault="001E6C3A">
                          <w:pPr>
                            <w:spacing w:before="120"/>
                            <w:rPr>
                              <w:color w:val="404040" w:themeColor="text1" w:themeTint="BF"/>
                              <w:sz w:val="36"/>
                              <w:szCs w:val="36"/>
                            </w:rPr>
                          </w:pPr>
                          <w:r>
                            <w:rPr>
                              <w:color w:val="404040" w:themeColor="text1" w:themeTint="BF"/>
                              <w:sz w:val="36"/>
                              <w:szCs w:val="36"/>
                            </w:rPr>
                            <w:t xml:space="preserve">Lecturer: </w:t>
                          </w:r>
                          <w:r w:rsidRPr="00C663DA">
                            <w:rPr>
                              <w:i/>
                              <w:iCs/>
                              <w:color w:val="404040" w:themeColor="text1" w:themeTint="BF"/>
                              <w:sz w:val="36"/>
                              <w:szCs w:val="36"/>
                            </w:rPr>
                            <w:t xml:space="preserve">Amandeep </w:t>
                          </w:r>
                          <w:r w:rsidR="005418E7" w:rsidRPr="00C663DA">
                            <w:rPr>
                              <w:i/>
                              <w:iCs/>
                              <w:color w:val="404040" w:themeColor="text1" w:themeTint="BF"/>
                              <w:sz w:val="36"/>
                              <w:szCs w:val="36"/>
                            </w:rPr>
                            <w:t>Sahota</w:t>
                          </w:r>
                        </w:p>
                        <w:p w14:paraId="4987385F" w14:textId="280BFE62" w:rsidR="009F0438" w:rsidRDefault="009F0438">
                          <w:pPr>
                            <w:spacing w:before="120"/>
                            <w:rPr>
                              <w:color w:val="404040" w:themeColor="text1" w:themeTint="BF"/>
                              <w:sz w:val="36"/>
                              <w:szCs w:val="36"/>
                            </w:rPr>
                          </w:pPr>
                          <w:r>
                            <w:rPr>
                              <w:color w:val="404040" w:themeColor="text1" w:themeTint="BF"/>
                              <w:sz w:val="36"/>
                              <w:szCs w:val="36"/>
                            </w:rPr>
                            <w:t xml:space="preserve">Student: </w:t>
                          </w:r>
                          <w:r w:rsidRPr="00C663DA">
                            <w:rPr>
                              <w:i/>
                              <w:iCs/>
                              <w:color w:val="404040" w:themeColor="text1" w:themeTint="BF"/>
                              <w:sz w:val="36"/>
                              <w:szCs w:val="36"/>
                            </w:rPr>
                            <w:t>Silviya Petkova 2131598</w:t>
                          </w:r>
                        </w:p>
                      </w:txbxContent>
                    </v:textbox>
                    <w10:wrap anchorx="page" anchory="page"/>
                  </v:shape>
                </w:pict>
              </mc:Fallback>
            </mc:AlternateContent>
          </w:r>
        </w:p>
        <w:p w14:paraId="3125CB68" w14:textId="1992D0E3" w:rsidR="00173AFB" w:rsidRPr="006A43A6" w:rsidRDefault="0061727C" w:rsidP="006A43A6">
          <w:pPr>
            <w:rPr>
              <w:rFonts w:asciiTheme="majorHAnsi" w:eastAsiaTheme="majorEastAsia" w:hAnsiTheme="majorHAnsi" w:cstheme="majorBidi"/>
              <w:color w:val="0F4761" w:themeColor="accent1" w:themeShade="BF"/>
              <w:sz w:val="40"/>
              <w:szCs w:val="40"/>
            </w:rPr>
          </w:pPr>
          <w:r>
            <w:br w:type="page"/>
          </w:r>
        </w:p>
      </w:sdtContent>
    </w:sdt>
    <w:sdt>
      <w:sdtPr>
        <w:rPr>
          <w:rFonts w:asciiTheme="minorHAnsi" w:eastAsiaTheme="minorHAnsi" w:hAnsiTheme="minorHAnsi" w:cstheme="minorBidi"/>
          <w:color w:val="auto"/>
          <w:kern w:val="2"/>
          <w:sz w:val="22"/>
          <w:szCs w:val="22"/>
          <w:lang w:eastAsia="en-US"/>
          <w14:ligatures w14:val="standardContextual"/>
        </w:rPr>
        <w:id w:val="576017271"/>
        <w:docPartObj>
          <w:docPartGallery w:val="Table of Contents"/>
          <w:docPartUnique/>
        </w:docPartObj>
      </w:sdtPr>
      <w:sdtEndPr>
        <w:rPr>
          <w:b/>
          <w:bCs/>
        </w:rPr>
      </w:sdtEndPr>
      <w:sdtContent>
        <w:p w14:paraId="0EB4AA88" w14:textId="149AC956" w:rsidR="00C93CAB" w:rsidRPr="00585C66" w:rsidRDefault="00C93CAB">
          <w:pPr>
            <w:pStyle w:val="TOCHeading"/>
            <w:rPr>
              <w:i/>
              <w:iCs/>
              <w:color w:val="275317" w:themeColor="accent6" w:themeShade="80"/>
            </w:rPr>
          </w:pPr>
          <w:r w:rsidRPr="00585C66">
            <w:rPr>
              <w:i/>
              <w:iCs/>
              <w:color w:val="275317" w:themeColor="accent6" w:themeShade="80"/>
            </w:rPr>
            <w:t>Contents</w:t>
          </w:r>
        </w:p>
        <w:p w14:paraId="5BEEF5E0" w14:textId="77777777" w:rsidR="0074257F" w:rsidRPr="007115DC" w:rsidRDefault="0074257F" w:rsidP="0074257F">
          <w:pPr>
            <w:rPr>
              <w:color w:val="275317" w:themeColor="accent6" w:themeShade="80"/>
              <w:lang w:eastAsia="en-GB"/>
            </w:rPr>
          </w:pPr>
        </w:p>
        <w:p w14:paraId="798263E2" w14:textId="30949603" w:rsidR="00C77ED3" w:rsidRPr="001968B8" w:rsidRDefault="00C93CAB" w:rsidP="001968B8">
          <w:pPr>
            <w:pStyle w:val="TOC1"/>
            <w:rPr>
              <w:rFonts w:asciiTheme="minorHAnsi" w:eastAsiaTheme="minorEastAsia" w:hAnsiTheme="minorHAnsi" w:cstheme="minorBidi"/>
              <w:color w:val="3A7C22" w:themeColor="accent6" w:themeShade="BF"/>
              <w:sz w:val="24"/>
              <w:szCs w:val="24"/>
              <w:lang w:eastAsia="en-GB"/>
            </w:rPr>
          </w:pPr>
          <w:r w:rsidRPr="007115DC">
            <w:rPr>
              <w:color w:val="275317" w:themeColor="accent6" w:themeShade="80"/>
              <w14:textFill>
                <w14:solidFill>
                  <w14:schemeClr w14:val="accent6">
                    <w14:lumMod w14:val="50000"/>
                    <w14:lumMod w14:val="75000"/>
                  </w14:schemeClr>
                </w14:solidFill>
              </w14:textFill>
            </w:rPr>
            <w:fldChar w:fldCharType="begin"/>
          </w:r>
          <w:r w:rsidRPr="007115DC">
            <w:rPr>
              <w:color w:val="275317" w:themeColor="accent6" w:themeShade="80"/>
              <w14:textFill>
                <w14:solidFill>
                  <w14:schemeClr w14:val="accent6">
                    <w14:lumMod w14:val="50000"/>
                    <w14:lumMod w14:val="75000"/>
                  </w14:schemeClr>
                </w14:solidFill>
              </w14:textFill>
            </w:rPr>
            <w:instrText xml:space="preserve"> TOC \o "1-3" \h \z \u </w:instrText>
          </w:r>
          <w:r w:rsidRPr="007115DC">
            <w:rPr>
              <w:color w:val="275317" w:themeColor="accent6" w:themeShade="80"/>
              <w14:textFill>
                <w14:solidFill>
                  <w14:schemeClr w14:val="accent6">
                    <w14:lumMod w14:val="50000"/>
                    <w14:lumMod w14:val="75000"/>
                  </w14:schemeClr>
                </w14:solidFill>
              </w14:textFill>
            </w:rPr>
            <w:fldChar w:fldCharType="separate"/>
          </w:r>
          <w:hyperlink w:anchor="_Toc175060397" w:history="1">
            <w:r w:rsidR="00C77ED3" w:rsidRPr="001968B8">
              <w:rPr>
                <w:rStyle w:val="Hyperlink"/>
                <w:color w:val="3A7C22" w:themeColor="accent6" w:themeShade="BF"/>
              </w:rPr>
              <w:t>International Financial Management</w:t>
            </w:r>
            <w:r w:rsidR="00C77ED3" w:rsidRPr="001968B8">
              <w:rPr>
                <w:webHidden/>
                <w:color w:val="3A7C22" w:themeColor="accent6" w:themeShade="BF"/>
              </w:rPr>
              <w:tab/>
            </w:r>
            <w:r w:rsidR="00C77ED3" w:rsidRPr="001968B8">
              <w:rPr>
                <w:webHidden/>
                <w:color w:val="3A7C22" w:themeColor="accent6" w:themeShade="BF"/>
              </w:rPr>
              <w:fldChar w:fldCharType="begin"/>
            </w:r>
            <w:r w:rsidR="00C77ED3" w:rsidRPr="001968B8">
              <w:rPr>
                <w:webHidden/>
                <w:color w:val="3A7C22" w:themeColor="accent6" w:themeShade="BF"/>
              </w:rPr>
              <w:instrText xml:space="preserve"> PAGEREF _Toc175060397 \h </w:instrText>
            </w:r>
            <w:r w:rsidR="00C77ED3" w:rsidRPr="001968B8">
              <w:rPr>
                <w:webHidden/>
                <w:color w:val="3A7C22" w:themeColor="accent6" w:themeShade="BF"/>
              </w:rPr>
            </w:r>
            <w:r w:rsidR="00C77ED3" w:rsidRPr="001968B8">
              <w:rPr>
                <w:webHidden/>
                <w:color w:val="3A7C22" w:themeColor="accent6" w:themeShade="BF"/>
              </w:rPr>
              <w:fldChar w:fldCharType="separate"/>
            </w:r>
            <w:r w:rsidR="00C77ED3" w:rsidRPr="001968B8">
              <w:rPr>
                <w:webHidden/>
                <w:color w:val="3A7C22" w:themeColor="accent6" w:themeShade="BF"/>
              </w:rPr>
              <w:t>1</w:t>
            </w:r>
            <w:r w:rsidR="00C77ED3" w:rsidRPr="001968B8">
              <w:rPr>
                <w:webHidden/>
                <w:color w:val="3A7C22" w:themeColor="accent6" w:themeShade="BF"/>
              </w:rPr>
              <w:fldChar w:fldCharType="end"/>
            </w:r>
          </w:hyperlink>
        </w:p>
        <w:p w14:paraId="1A3ED1C9" w14:textId="311BC1BA" w:rsidR="00C77ED3" w:rsidRPr="001968B8" w:rsidRDefault="00C77ED3" w:rsidP="001968B8">
          <w:pPr>
            <w:pStyle w:val="TOC1"/>
            <w:rPr>
              <w:rFonts w:asciiTheme="minorHAnsi" w:eastAsiaTheme="minorEastAsia" w:hAnsiTheme="minorHAnsi" w:cstheme="minorBidi"/>
              <w:color w:val="3A7C22" w:themeColor="accent6" w:themeShade="BF"/>
              <w:sz w:val="24"/>
              <w:szCs w:val="24"/>
              <w:lang w:eastAsia="en-GB"/>
            </w:rPr>
          </w:pPr>
          <w:hyperlink w:anchor="_Toc175060398" w:history="1">
            <w:r w:rsidRPr="001968B8">
              <w:rPr>
                <w:rStyle w:val="Hyperlink"/>
                <w:color w:val="3A7C22" w:themeColor="accent6" w:themeShade="BF"/>
              </w:rPr>
              <w:t>IFM Theories and Strategies</w:t>
            </w:r>
            <w:r w:rsidRPr="001968B8">
              <w:rPr>
                <w:webHidden/>
                <w:color w:val="3A7C22" w:themeColor="accent6" w:themeShade="BF"/>
              </w:rPr>
              <w:tab/>
            </w:r>
            <w:r w:rsidRPr="001968B8">
              <w:rPr>
                <w:webHidden/>
                <w:color w:val="3A7C22" w:themeColor="accent6" w:themeShade="BF"/>
              </w:rPr>
              <w:fldChar w:fldCharType="begin"/>
            </w:r>
            <w:r w:rsidRPr="001968B8">
              <w:rPr>
                <w:webHidden/>
                <w:color w:val="3A7C22" w:themeColor="accent6" w:themeShade="BF"/>
              </w:rPr>
              <w:instrText xml:space="preserve"> PAGEREF _Toc175060398 \h </w:instrText>
            </w:r>
            <w:r w:rsidRPr="001968B8">
              <w:rPr>
                <w:webHidden/>
                <w:color w:val="3A7C22" w:themeColor="accent6" w:themeShade="BF"/>
              </w:rPr>
            </w:r>
            <w:r w:rsidRPr="001968B8">
              <w:rPr>
                <w:webHidden/>
                <w:color w:val="3A7C22" w:themeColor="accent6" w:themeShade="BF"/>
              </w:rPr>
              <w:fldChar w:fldCharType="separate"/>
            </w:r>
            <w:r w:rsidRPr="001968B8">
              <w:rPr>
                <w:webHidden/>
                <w:color w:val="3A7C22" w:themeColor="accent6" w:themeShade="BF"/>
              </w:rPr>
              <w:t>2</w:t>
            </w:r>
            <w:r w:rsidRPr="001968B8">
              <w:rPr>
                <w:webHidden/>
                <w:color w:val="3A7C22" w:themeColor="accent6" w:themeShade="BF"/>
              </w:rPr>
              <w:fldChar w:fldCharType="end"/>
            </w:r>
          </w:hyperlink>
        </w:p>
        <w:p w14:paraId="7702C915" w14:textId="31ED3F45" w:rsidR="00C77ED3" w:rsidRPr="001968B8" w:rsidRDefault="00C77ED3" w:rsidP="001968B8">
          <w:pPr>
            <w:pStyle w:val="TOC1"/>
            <w:rPr>
              <w:rFonts w:asciiTheme="minorHAnsi" w:eastAsiaTheme="minorEastAsia" w:hAnsiTheme="minorHAnsi" w:cstheme="minorBidi"/>
              <w:color w:val="3A7C22" w:themeColor="accent6" w:themeShade="BF"/>
              <w:sz w:val="24"/>
              <w:szCs w:val="24"/>
              <w:lang w:eastAsia="en-GB"/>
            </w:rPr>
          </w:pPr>
          <w:hyperlink w:anchor="_Toc175060399" w:history="1">
            <w:r w:rsidRPr="001968B8">
              <w:rPr>
                <w:rStyle w:val="Hyperlink"/>
                <w:color w:val="3A7C22" w:themeColor="accent6" w:themeShade="BF"/>
              </w:rPr>
              <w:t>Conclusion</w:t>
            </w:r>
            <w:r w:rsidRPr="001968B8">
              <w:rPr>
                <w:webHidden/>
                <w:color w:val="3A7C22" w:themeColor="accent6" w:themeShade="BF"/>
              </w:rPr>
              <w:tab/>
            </w:r>
            <w:r w:rsidRPr="001968B8">
              <w:rPr>
                <w:webHidden/>
                <w:color w:val="3A7C22" w:themeColor="accent6" w:themeShade="BF"/>
              </w:rPr>
              <w:fldChar w:fldCharType="begin"/>
            </w:r>
            <w:r w:rsidRPr="001968B8">
              <w:rPr>
                <w:webHidden/>
                <w:color w:val="3A7C22" w:themeColor="accent6" w:themeShade="BF"/>
              </w:rPr>
              <w:instrText xml:space="preserve"> PAGEREF _Toc175060399 \h </w:instrText>
            </w:r>
            <w:r w:rsidRPr="001968B8">
              <w:rPr>
                <w:webHidden/>
                <w:color w:val="3A7C22" w:themeColor="accent6" w:themeShade="BF"/>
              </w:rPr>
            </w:r>
            <w:r w:rsidRPr="001968B8">
              <w:rPr>
                <w:webHidden/>
                <w:color w:val="3A7C22" w:themeColor="accent6" w:themeShade="BF"/>
              </w:rPr>
              <w:fldChar w:fldCharType="separate"/>
            </w:r>
            <w:r w:rsidRPr="001968B8">
              <w:rPr>
                <w:webHidden/>
                <w:color w:val="3A7C22" w:themeColor="accent6" w:themeShade="BF"/>
              </w:rPr>
              <w:t>6</w:t>
            </w:r>
            <w:r w:rsidRPr="001968B8">
              <w:rPr>
                <w:webHidden/>
                <w:color w:val="3A7C22" w:themeColor="accent6" w:themeShade="BF"/>
              </w:rPr>
              <w:fldChar w:fldCharType="end"/>
            </w:r>
          </w:hyperlink>
        </w:p>
        <w:p w14:paraId="40E92C41" w14:textId="135381BE" w:rsidR="00C77ED3" w:rsidRPr="001968B8" w:rsidRDefault="00C77ED3" w:rsidP="001968B8">
          <w:pPr>
            <w:pStyle w:val="TOC1"/>
            <w:rPr>
              <w:rFonts w:asciiTheme="minorHAnsi" w:eastAsiaTheme="minorEastAsia" w:hAnsiTheme="minorHAnsi" w:cstheme="minorBidi"/>
              <w:color w:val="3A7C22" w:themeColor="accent6" w:themeShade="BF"/>
              <w:sz w:val="24"/>
              <w:szCs w:val="24"/>
              <w:lang w:eastAsia="en-GB"/>
            </w:rPr>
          </w:pPr>
          <w:hyperlink w:anchor="_Toc175060400" w:history="1">
            <w:r w:rsidRPr="001968B8">
              <w:rPr>
                <w:rStyle w:val="Hyperlink"/>
                <w:color w:val="3A7C22" w:themeColor="accent6" w:themeShade="BF"/>
              </w:rPr>
              <w:t>References:</w:t>
            </w:r>
            <w:r w:rsidRPr="001968B8">
              <w:rPr>
                <w:webHidden/>
                <w:color w:val="3A7C22" w:themeColor="accent6" w:themeShade="BF"/>
              </w:rPr>
              <w:tab/>
            </w:r>
            <w:r w:rsidRPr="001968B8">
              <w:rPr>
                <w:webHidden/>
                <w:color w:val="3A7C22" w:themeColor="accent6" w:themeShade="BF"/>
              </w:rPr>
              <w:fldChar w:fldCharType="begin"/>
            </w:r>
            <w:r w:rsidRPr="001968B8">
              <w:rPr>
                <w:webHidden/>
                <w:color w:val="3A7C22" w:themeColor="accent6" w:themeShade="BF"/>
              </w:rPr>
              <w:instrText xml:space="preserve"> PAGEREF _Toc175060400 \h </w:instrText>
            </w:r>
            <w:r w:rsidRPr="001968B8">
              <w:rPr>
                <w:webHidden/>
                <w:color w:val="3A7C22" w:themeColor="accent6" w:themeShade="BF"/>
              </w:rPr>
            </w:r>
            <w:r w:rsidRPr="001968B8">
              <w:rPr>
                <w:webHidden/>
                <w:color w:val="3A7C22" w:themeColor="accent6" w:themeShade="BF"/>
              </w:rPr>
              <w:fldChar w:fldCharType="separate"/>
            </w:r>
            <w:r w:rsidRPr="001968B8">
              <w:rPr>
                <w:webHidden/>
                <w:color w:val="3A7C22" w:themeColor="accent6" w:themeShade="BF"/>
              </w:rPr>
              <w:t>7</w:t>
            </w:r>
            <w:r w:rsidRPr="001968B8">
              <w:rPr>
                <w:webHidden/>
                <w:color w:val="3A7C22" w:themeColor="accent6" w:themeShade="BF"/>
              </w:rPr>
              <w:fldChar w:fldCharType="end"/>
            </w:r>
          </w:hyperlink>
        </w:p>
        <w:p w14:paraId="43FECE31" w14:textId="4C539CBE" w:rsidR="00C93CAB" w:rsidRDefault="00C93CAB">
          <w:r w:rsidRPr="007115DC">
            <w:rPr>
              <w:b/>
              <w:bCs/>
              <w:color w:val="275317" w:themeColor="accent6" w:themeShade="80"/>
            </w:rPr>
            <w:fldChar w:fldCharType="end"/>
          </w:r>
        </w:p>
      </w:sdtContent>
    </w:sdt>
    <w:p w14:paraId="26794A14" w14:textId="77777777" w:rsidR="00757A90" w:rsidRDefault="00757A90" w:rsidP="00EC72ED">
      <w:pPr>
        <w:pStyle w:val="Heading1"/>
        <w:rPr>
          <w:rFonts w:ascii="Arial" w:hAnsi="Arial" w:cs="Arial"/>
          <w:sz w:val="32"/>
          <w:szCs w:val="32"/>
        </w:rPr>
      </w:pPr>
    </w:p>
    <w:p w14:paraId="3E5669F8" w14:textId="77777777" w:rsidR="00757A90" w:rsidRDefault="00757A90" w:rsidP="00EC72ED">
      <w:pPr>
        <w:pStyle w:val="Heading1"/>
        <w:rPr>
          <w:rFonts w:ascii="Arial" w:hAnsi="Arial" w:cs="Arial"/>
          <w:sz w:val="32"/>
          <w:szCs w:val="32"/>
        </w:rPr>
      </w:pPr>
    </w:p>
    <w:p w14:paraId="7A2E8CE5" w14:textId="77777777" w:rsidR="00757A90" w:rsidRDefault="00757A90" w:rsidP="00EC72ED">
      <w:pPr>
        <w:pStyle w:val="Heading1"/>
        <w:rPr>
          <w:rFonts w:ascii="Arial" w:hAnsi="Arial" w:cs="Arial"/>
          <w:sz w:val="32"/>
          <w:szCs w:val="32"/>
        </w:rPr>
      </w:pPr>
    </w:p>
    <w:p w14:paraId="3EB66A68" w14:textId="77777777" w:rsidR="00757A90" w:rsidRDefault="00757A90" w:rsidP="00EC72ED">
      <w:pPr>
        <w:pStyle w:val="Heading1"/>
        <w:rPr>
          <w:rFonts w:ascii="Arial" w:hAnsi="Arial" w:cs="Arial"/>
          <w:sz w:val="32"/>
          <w:szCs w:val="32"/>
        </w:rPr>
      </w:pPr>
    </w:p>
    <w:p w14:paraId="2730BF2C" w14:textId="66E01C9C" w:rsidR="007C60E7" w:rsidRPr="001F1E91" w:rsidRDefault="0072616A" w:rsidP="00AF4EEA">
      <w:pPr>
        <w:pStyle w:val="Heading1"/>
        <w:jc w:val="center"/>
        <w:rPr>
          <w:rFonts w:ascii="Arial" w:hAnsi="Arial" w:cs="Arial"/>
          <w:i/>
          <w:iCs/>
          <w:color w:val="275317" w:themeColor="accent6" w:themeShade="80"/>
          <w:sz w:val="32"/>
          <w:szCs w:val="32"/>
        </w:rPr>
      </w:pPr>
      <w:bookmarkStart w:id="0" w:name="_Toc175060397"/>
      <w:r w:rsidRPr="001F1E91">
        <w:rPr>
          <w:rFonts w:ascii="Arial" w:hAnsi="Arial" w:cs="Arial"/>
          <w:i/>
          <w:iCs/>
          <w:color w:val="275317" w:themeColor="accent6" w:themeShade="80"/>
          <w:sz w:val="32"/>
          <w:szCs w:val="32"/>
        </w:rPr>
        <w:t>Internatio</w:t>
      </w:r>
      <w:r w:rsidR="00372DCD" w:rsidRPr="001F1E91">
        <w:rPr>
          <w:rFonts w:ascii="Arial" w:hAnsi="Arial" w:cs="Arial"/>
          <w:i/>
          <w:iCs/>
          <w:color w:val="275317" w:themeColor="accent6" w:themeShade="80"/>
          <w:sz w:val="32"/>
          <w:szCs w:val="32"/>
        </w:rPr>
        <w:t>nal Financial Management</w:t>
      </w:r>
      <w:bookmarkEnd w:id="0"/>
    </w:p>
    <w:p w14:paraId="12CA7967" w14:textId="77777777" w:rsidR="00757A90" w:rsidRPr="00757A90" w:rsidRDefault="00757A90" w:rsidP="00757A90"/>
    <w:p w14:paraId="0DAA8597" w14:textId="77777777" w:rsidR="00757A90" w:rsidRPr="00757A90" w:rsidRDefault="00757A90" w:rsidP="00757A90"/>
    <w:p w14:paraId="2B2A265A" w14:textId="77777777" w:rsidR="00D50D42" w:rsidRDefault="00D50D42" w:rsidP="00D50D42"/>
    <w:p w14:paraId="7E2C3B5E" w14:textId="77777777" w:rsidR="00D03BEC" w:rsidRDefault="0049777D" w:rsidP="00E520CC">
      <w:pPr>
        <w:spacing w:line="360" w:lineRule="auto"/>
        <w:rPr>
          <w:rFonts w:ascii="Arial" w:hAnsi="Arial" w:cs="Arial"/>
          <w:sz w:val="24"/>
          <w:szCs w:val="24"/>
        </w:rPr>
      </w:pPr>
      <w:r w:rsidRPr="0049777D">
        <w:rPr>
          <w:rFonts w:ascii="Arial" w:hAnsi="Arial" w:cs="Arial"/>
          <w:sz w:val="24"/>
          <w:szCs w:val="24"/>
        </w:rPr>
        <w:t xml:space="preserve">International financial management is </w:t>
      </w:r>
      <w:r w:rsidR="009E6326" w:rsidRPr="0049777D">
        <w:rPr>
          <w:rFonts w:ascii="Arial" w:hAnsi="Arial" w:cs="Arial"/>
          <w:sz w:val="24"/>
          <w:szCs w:val="24"/>
        </w:rPr>
        <w:t>an</w:t>
      </w:r>
      <w:r w:rsidRPr="0049777D">
        <w:rPr>
          <w:rFonts w:ascii="Arial" w:hAnsi="Arial" w:cs="Arial"/>
          <w:sz w:val="24"/>
          <w:szCs w:val="24"/>
        </w:rPr>
        <w:t xml:space="preserve"> </w:t>
      </w:r>
      <w:r w:rsidR="00251E41">
        <w:rPr>
          <w:rFonts w:ascii="Arial" w:hAnsi="Arial" w:cs="Arial"/>
          <w:sz w:val="24"/>
          <w:szCs w:val="24"/>
        </w:rPr>
        <w:t>important</w:t>
      </w:r>
      <w:r w:rsidRPr="0049777D">
        <w:rPr>
          <w:rFonts w:ascii="Arial" w:hAnsi="Arial" w:cs="Arial"/>
          <w:sz w:val="24"/>
          <w:szCs w:val="24"/>
        </w:rPr>
        <w:t xml:space="preserve"> aspect of global business operations, </w:t>
      </w:r>
      <w:r w:rsidR="00DF3594">
        <w:rPr>
          <w:rFonts w:ascii="Arial" w:hAnsi="Arial" w:cs="Arial"/>
          <w:sz w:val="24"/>
          <w:szCs w:val="24"/>
        </w:rPr>
        <w:t>encircling</w:t>
      </w:r>
      <w:r w:rsidRPr="0049777D">
        <w:rPr>
          <w:rFonts w:ascii="Arial" w:hAnsi="Arial" w:cs="Arial"/>
          <w:sz w:val="24"/>
          <w:szCs w:val="24"/>
        </w:rPr>
        <w:t xml:space="preserve"> the management of financial resources in a cross-border context. According to Madura and Fox (2011), </w:t>
      </w:r>
      <w:r w:rsidR="004D6C6B">
        <w:rPr>
          <w:rFonts w:ascii="Arial" w:hAnsi="Arial" w:cs="Arial"/>
          <w:sz w:val="24"/>
          <w:szCs w:val="24"/>
        </w:rPr>
        <w:t xml:space="preserve">successful </w:t>
      </w:r>
      <w:r w:rsidRPr="0049777D">
        <w:rPr>
          <w:rFonts w:ascii="Arial" w:hAnsi="Arial" w:cs="Arial"/>
          <w:sz w:val="24"/>
          <w:szCs w:val="24"/>
        </w:rPr>
        <w:t xml:space="preserve">international financial management </w:t>
      </w:r>
      <w:r w:rsidR="009B3986">
        <w:rPr>
          <w:rFonts w:ascii="Arial" w:hAnsi="Arial" w:cs="Arial"/>
          <w:sz w:val="24"/>
          <w:szCs w:val="24"/>
        </w:rPr>
        <w:t>stand needs of</w:t>
      </w:r>
      <w:r w:rsidRPr="0049777D">
        <w:rPr>
          <w:rFonts w:ascii="Arial" w:hAnsi="Arial" w:cs="Arial"/>
          <w:sz w:val="24"/>
          <w:szCs w:val="24"/>
        </w:rPr>
        <w:t xml:space="preserve"> understanding the complexities of </w:t>
      </w:r>
      <w:r w:rsidR="001F7AD5">
        <w:rPr>
          <w:rFonts w:ascii="Arial" w:hAnsi="Arial" w:cs="Arial"/>
          <w:sz w:val="24"/>
          <w:szCs w:val="24"/>
        </w:rPr>
        <w:t>different</w:t>
      </w:r>
      <w:r w:rsidRPr="0049777D">
        <w:rPr>
          <w:rFonts w:ascii="Arial" w:hAnsi="Arial" w:cs="Arial"/>
          <w:sz w:val="24"/>
          <w:szCs w:val="24"/>
        </w:rPr>
        <w:t xml:space="preserve"> financial markets, exchange rates, and international monetary systems. This field </w:t>
      </w:r>
      <w:r w:rsidR="002C6E63">
        <w:rPr>
          <w:rFonts w:ascii="Arial" w:hAnsi="Arial" w:cs="Arial"/>
          <w:sz w:val="24"/>
          <w:szCs w:val="24"/>
        </w:rPr>
        <w:t>require</w:t>
      </w:r>
      <w:r w:rsidRPr="0049777D">
        <w:rPr>
          <w:rFonts w:ascii="Arial" w:hAnsi="Arial" w:cs="Arial"/>
          <w:sz w:val="24"/>
          <w:szCs w:val="24"/>
        </w:rPr>
        <w:t xml:space="preserve"> strategies for optimizing financial performance while </w:t>
      </w:r>
      <w:r w:rsidR="00C41299">
        <w:rPr>
          <w:rFonts w:ascii="Arial" w:hAnsi="Arial" w:cs="Arial"/>
          <w:sz w:val="24"/>
          <w:szCs w:val="24"/>
        </w:rPr>
        <w:t xml:space="preserve">reduce </w:t>
      </w:r>
      <w:r w:rsidRPr="0049777D">
        <w:rPr>
          <w:rFonts w:ascii="Arial" w:hAnsi="Arial" w:cs="Arial"/>
          <w:sz w:val="24"/>
          <w:szCs w:val="24"/>
        </w:rPr>
        <w:t>risks associated with currency fluctuations, political instability, and diverse regulatory environments (Arnold, 2012).</w:t>
      </w:r>
    </w:p>
    <w:p w14:paraId="52E08E0C" w14:textId="7F9B26CB" w:rsidR="0049777D" w:rsidRPr="0049777D" w:rsidRDefault="0049777D" w:rsidP="00E520CC">
      <w:pPr>
        <w:spacing w:line="360" w:lineRule="auto"/>
        <w:rPr>
          <w:rFonts w:ascii="Arial" w:hAnsi="Arial" w:cs="Arial"/>
          <w:sz w:val="24"/>
          <w:szCs w:val="24"/>
        </w:rPr>
      </w:pPr>
      <w:r w:rsidRPr="0049777D">
        <w:rPr>
          <w:rFonts w:ascii="Arial" w:hAnsi="Arial" w:cs="Arial"/>
          <w:sz w:val="24"/>
          <w:szCs w:val="24"/>
        </w:rPr>
        <w:t xml:space="preserve">The principles </w:t>
      </w:r>
      <w:r w:rsidR="00A619A7">
        <w:rPr>
          <w:rFonts w:ascii="Arial" w:hAnsi="Arial" w:cs="Arial"/>
          <w:sz w:val="24"/>
          <w:szCs w:val="24"/>
        </w:rPr>
        <w:t>defined</w:t>
      </w:r>
      <w:r w:rsidRPr="0049777D">
        <w:rPr>
          <w:rFonts w:ascii="Arial" w:hAnsi="Arial" w:cs="Arial"/>
          <w:sz w:val="24"/>
          <w:szCs w:val="24"/>
        </w:rPr>
        <w:t xml:space="preserve"> by Bekaert and Hodrick (2011) </w:t>
      </w:r>
      <w:r w:rsidR="0048734F">
        <w:rPr>
          <w:rFonts w:ascii="Arial" w:hAnsi="Arial" w:cs="Arial"/>
          <w:sz w:val="24"/>
          <w:szCs w:val="24"/>
        </w:rPr>
        <w:t>pay attention to</w:t>
      </w:r>
      <w:r w:rsidRPr="0049777D">
        <w:rPr>
          <w:rFonts w:ascii="Arial" w:hAnsi="Arial" w:cs="Arial"/>
          <w:sz w:val="24"/>
          <w:szCs w:val="24"/>
        </w:rPr>
        <w:t xml:space="preserve"> the importance of risk management techniques, such as hedging and diversification, to protect investments against </w:t>
      </w:r>
      <w:r w:rsidR="00171F46">
        <w:rPr>
          <w:rFonts w:ascii="Arial" w:hAnsi="Arial" w:cs="Arial"/>
          <w:sz w:val="24"/>
          <w:szCs w:val="24"/>
        </w:rPr>
        <w:t>changeful</w:t>
      </w:r>
      <w:r w:rsidRPr="0049777D">
        <w:rPr>
          <w:rFonts w:ascii="Arial" w:hAnsi="Arial" w:cs="Arial"/>
          <w:sz w:val="24"/>
          <w:szCs w:val="24"/>
        </w:rPr>
        <w:t xml:space="preserve"> international financial variables. Additionally, Arnold (2012) </w:t>
      </w:r>
      <w:r w:rsidR="0003696B">
        <w:rPr>
          <w:rFonts w:ascii="Arial" w:hAnsi="Arial" w:cs="Arial"/>
          <w:sz w:val="24"/>
          <w:szCs w:val="24"/>
        </w:rPr>
        <w:t xml:space="preserve">highlight </w:t>
      </w:r>
      <w:r w:rsidRPr="0049777D">
        <w:rPr>
          <w:rFonts w:ascii="Arial" w:hAnsi="Arial" w:cs="Arial"/>
          <w:sz w:val="24"/>
          <w:szCs w:val="24"/>
        </w:rPr>
        <w:t xml:space="preserve">the necessity for corporations to adapt their financial strategies to </w:t>
      </w:r>
      <w:r w:rsidR="002D0ABB">
        <w:rPr>
          <w:rFonts w:ascii="Arial" w:hAnsi="Arial" w:cs="Arial"/>
          <w:sz w:val="24"/>
          <w:szCs w:val="24"/>
        </w:rPr>
        <w:t>match</w:t>
      </w:r>
      <w:r w:rsidRPr="0049777D">
        <w:rPr>
          <w:rFonts w:ascii="Arial" w:hAnsi="Arial" w:cs="Arial"/>
          <w:sz w:val="24"/>
          <w:szCs w:val="24"/>
        </w:rPr>
        <w:t xml:space="preserve"> with global economic trends and market demands.</w:t>
      </w:r>
    </w:p>
    <w:p w14:paraId="0BB63E00" w14:textId="77777777" w:rsidR="0049777D" w:rsidRPr="0049777D" w:rsidRDefault="0049777D" w:rsidP="00E520CC">
      <w:pPr>
        <w:spacing w:line="360" w:lineRule="auto"/>
        <w:rPr>
          <w:rFonts w:ascii="Arial" w:hAnsi="Arial" w:cs="Arial"/>
          <w:sz w:val="24"/>
          <w:szCs w:val="24"/>
        </w:rPr>
      </w:pPr>
    </w:p>
    <w:p w14:paraId="65E53D2F" w14:textId="77777777" w:rsidR="00882AF7" w:rsidRPr="00882AF7" w:rsidRDefault="00882AF7" w:rsidP="00882AF7">
      <w:pPr>
        <w:spacing w:line="360" w:lineRule="auto"/>
        <w:rPr>
          <w:rFonts w:ascii="Arial" w:hAnsi="Arial" w:cs="Arial"/>
          <w:sz w:val="24"/>
          <w:szCs w:val="24"/>
        </w:rPr>
      </w:pPr>
      <w:r w:rsidRPr="00882AF7">
        <w:rPr>
          <w:rFonts w:ascii="Arial" w:hAnsi="Arial" w:cs="Arial"/>
          <w:sz w:val="24"/>
          <w:szCs w:val="24"/>
        </w:rPr>
        <w:lastRenderedPageBreak/>
        <w:t xml:space="preserve">Additionally, </w:t>
      </w:r>
      <w:proofErr w:type="spellStart"/>
      <w:r w:rsidRPr="00882AF7">
        <w:rPr>
          <w:rFonts w:ascii="Arial" w:hAnsi="Arial" w:cs="Arial"/>
          <w:sz w:val="24"/>
          <w:szCs w:val="24"/>
        </w:rPr>
        <w:t>Atril</w:t>
      </w:r>
      <w:proofErr w:type="spellEnd"/>
      <w:r w:rsidRPr="00882AF7">
        <w:rPr>
          <w:rFonts w:ascii="Arial" w:hAnsi="Arial" w:cs="Arial"/>
          <w:sz w:val="24"/>
          <w:szCs w:val="24"/>
        </w:rPr>
        <w:t xml:space="preserve"> (2011) and McLaney (2011) talk on the importance of financial decision-making in a global setting, emphasising capital budgeting, financing methods that support multinational operations, and investment assessment. Neale and McElroy (2004) emphasise that decisions on foreign funding should be made with the purpose of maximising shareholder value. They support a value-based approach to company finance. Pike and Neale (2012) investigate sophisticated financial tools and how they are used in international finance to elucidate these ideas.</w:t>
      </w:r>
    </w:p>
    <w:p w14:paraId="37493CB4" w14:textId="318F00AE" w:rsidR="00D50D42" w:rsidRDefault="0049777D" w:rsidP="00E520CC">
      <w:pPr>
        <w:spacing w:line="360" w:lineRule="auto"/>
        <w:rPr>
          <w:rFonts w:ascii="Arial" w:hAnsi="Arial" w:cs="Arial"/>
          <w:sz w:val="24"/>
          <w:szCs w:val="24"/>
        </w:rPr>
      </w:pPr>
      <w:r w:rsidRPr="0049777D">
        <w:rPr>
          <w:rFonts w:ascii="Arial" w:hAnsi="Arial" w:cs="Arial"/>
          <w:sz w:val="24"/>
          <w:szCs w:val="24"/>
        </w:rPr>
        <w:t xml:space="preserve">In summary, international financial management is </w:t>
      </w:r>
      <w:r w:rsidR="005C0B38">
        <w:rPr>
          <w:rFonts w:ascii="Arial" w:hAnsi="Arial" w:cs="Arial"/>
          <w:sz w:val="24"/>
          <w:szCs w:val="24"/>
        </w:rPr>
        <w:t>essential</w:t>
      </w:r>
      <w:r w:rsidRPr="0049777D">
        <w:rPr>
          <w:rFonts w:ascii="Arial" w:hAnsi="Arial" w:cs="Arial"/>
          <w:sz w:val="24"/>
          <w:szCs w:val="24"/>
        </w:rPr>
        <w:t xml:space="preserve"> </w:t>
      </w:r>
      <w:r w:rsidR="0064307A">
        <w:rPr>
          <w:rFonts w:ascii="Arial" w:hAnsi="Arial" w:cs="Arial"/>
          <w:sz w:val="24"/>
          <w:szCs w:val="24"/>
        </w:rPr>
        <w:t>for</w:t>
      </w:r>
      <w:r w:rsidRPr="0049777D">
        <w:rPr>
          <w:rFonts w:ascii="Arial" w:hAnsi="Arial" w:cs="Arial"/>
          <w:sz w:val="24"/>
          <w:szCs w:val="24"/>
        </w:rPr>
        <w:t xml:space="preserve"> the success of multinational enterprises, </w:t>
      </w:r>
      <w:r w:rsidR="00061F78" w:rsidRPr="00061F78">
        <w:rPr>
          <w:rFonts w:ascii="Arial" w:hAnsi="Arial" w:cs="Arial"/>
          <w:sz w:val="24"/>
          <w:szCs w:val="24"/>
        </w:rPr>
        <w:t>requiring a deep comprehension of strategic financial planning and global financial dynamics in order to guarantee sustainable growth and a competitive edge in the global market.</w:t>
      </w:r>
    </w:p>
    <w:p w14:paraId="28BD91D7" w14:textId="77777777" w:rsidR="003679AD" w:rsidRDefault="003679AD" w:rsidP="00E520CC">
      <w:pPr>
        <w:spacing w:line="360" w:lineRule="auto"/>
        <w:rPr>
          <w:rFonts w:ascii="Arial" w:hAnsi="Arial" w:cs="Arial"/>
          <w:sz w:val="24"/>
          <w:szCs w:val="24"/>
        </w:rPr>
      </w:pPr>
    </w:p>
    <w:p w14:paraId="4AC09E2C" w14:textId="77777777" w:rsidR="003679AD" w:rsidRDefault="003679AD" w:rsidP="00E520CC">
      <w:pPr>
        <w:spacing w:line="360" w:lineRule="auto"/>
        <w:rPr>
          <w:rFonts w:ascii="Arial" w:hAnsi="Arial" w:cs="Arial"/>
          <w:sz w:val="24"/>
          <w:szCs w:val="24"/>
        </w:rPr>
      </w:pPr>
    </w:p>
    <w:p w14:paraId="5E743D89" w14:textId="3F3140E8" w:rsidR="007B0B78" w:rsidRPr="001F1E91" w:rsidRDefault="00D45B80" w:rsidP="00053D56">
      <w:pPr>
        <w:pStyle w:val="Heading1"/>
        <w:jc w:val="center"/>
        <w:rPr>
          <w:rFonts w:ascii="Arial" w:hAnsi="Arial" w:cs="Arial"/>
          <w:i/>
          <w:iCs/>
          <w:color w:val="275317" w:themeColor="accent6" w:themeShade="80"/>
          <w:sz w:val="32"/>
          <w:szCs w:val="32"/>
        </w:rPr>
      </w:pPr>
      <w:bookmarkStart w:id="1" w:name="_Toc175060398"/>
      <w:r w:rsidRPr="001F1E91">
        <w:rPr>
          <w:rFonts w:ascii="Arial" w:hAnsi="Arial" w:cs="Arial"/>
          <w:i/>
          <w:iCs/>
          <w:color w:val="275317" w:themeColor="accent6" w:themeShade="80"/>
          <w:sz w:val="32"/>
          <w:szCs w:val="32"/>
        </w:rPr>
        <w:t>IFM Theories and Strategies</w:t>
      </w:r>
      <w:bookmarkEnd w:id="1"/>
    </w:p>
    <w:p w14:paraId="5CDF84D8" w14:textId="77777777" w:rsidR="00E520CC" w:rsidRDefault="00E520CC" w:rsidP="0049777D">
      <w:pPr>
        <w:rPr>
          <w:rFonts w:ascii="Arial" w:hAnsi="Arial" w:cs="Arial"/>
          <w:color w:val="0F4761" w:themeColor="accent1" w:themeShade="BF"/>
          <w:sz w:val="32"/>
          <w:szCs w:val="32"/>
        </w:rPr>
      </w:pPr>
    </w:p>
    <w:p w14:paraId="3AFD55B3" w14:textId="78D7F023" w:rsidR="00E520CC" w:rsidRPr="00D11818" w:rsidRDefault="00603B32" w:rsidP="00D11818">
      <w:pPr>
        <w:spacing w:line="360" w:lineRule="auto"/>
        <w:rPr>
          <w:rFonts w:ascii="Arial" w:hAnsi="Arial" w:cs="Arial"/>
          <w:sz w:val="24"/>
          <w:szCs w:val="24"/>
        </w:rPr>
      </w:pPr>
      <w:r w:rsidRPr="00D11818">
        <w:rPr>
          <w:rFonts w:ascii="Arial" w:hAnsi="Arial" w:cs="Arial"/>
          <w:sz w:val="24"/>
          <w:szCs w:val="24"/>
        </w:rPr>
        <w:t xml:space="preserve">The complex area of international financial management (IFM) addresses financial decision-making in a worldwide setting. It includes all of the tactics and equipment required to manage financial resources internationally while taking into consideration the different risks and possibilities that exist in global marketplaces. Using knowledge from important works in the area, this </w:t>
      </w:r>
      <w:r w:rsidR="005A3F4E" w:rsidRPr="00D11818">
        <w:rPr>
          <w:rFonts w:ascii="Arial" w:hAnsi="Arial" w:cs="Arial"/>
          <w:sz w:val="24"/>
          <w:szCs w:val="24"/>
        </w:rPr>
        <w:t>essay</w:t>
      </w:r>
      <w:r w:rsidRPr="00D11818">
        <w:rPr>
          <w:rFonts w:ascii="Arial" w:hAnsi="Arial" w:cs="Arial"/>
          <w:sz w:val="24"/>
          <w:szCs w:val="24"/>
        </w:rPr>
        <w:t xml:space="preserve"> </w:t>
      </w:r>
      <w:r w:rsidR="005A3F4E" w:rsidRPr="00D11818">
        <w:rPr>
          <w:rFonts w:ascii="Arial" w:hAnsi="Arial" w:cs="Arial"/>
          <w:sz w:val="24"/>
          <w:szCs w:val="24"/>
        </w:rPr>
        <w:t>present some of</w:t>
      </w:r>
      <w:r w:rsidRPr="00D11818">
        <w:rPr>
          <w:rFonts w:ascii="Arial" w:hAnsi="Arial" w:cs="Arial"/>
          <w:sz w:val="24"/>
          <w:szCs w:val="24"/>
        </w:rPr>
        <w:t xml:space="preserve"> the core ideas and methods of IFM.</w:t>
      </w:r>
    </w:p>
    <w:p w14:paraId="5FC8243E" w14:textId="77777777" w:rsidR="00D05623" w:rsidRPr="00EB0EC8" w:rsidRDefault="00D05623" w:rsidP="00E520CC">
      <w:pPr>
        <w:spacing w:line="360" w:lineRule="auto"/>
        <w:rPr>
          <w:rFonts w:ascii="Arial" w:hAnsi="Arial" w:cs="Arial"/>
          <w:b/>
          <w:bCs/>
          <w:i/>
          <w:iCs/>
          <w:sz w:val="24"/>
          <w:szCs w:val="24"/>
        </w:rPr>
      </w:pPr>
    </w:p>
    <w:p w14:paraId="30E33485" w14:textId="77777777" w:rsidR="00E735AC" w:rsidRDefault="00E735AC" w:rsidP="00E520CC">
      <w:pPr>
        <w:spacing w:line="360" w:lineRule="auto"/>
        <w:rPr>
          <w:rFonts w:ascii="Arial" w:hAnsi="Arial" w:cs="Arial"/>
          <w:sz w:val="24"/>
          <w:szCs w:val="24"/>
        </w:rPr>
      </w:pPr>
    </w:p>
    <w:p w14:paraId="3BAD77A8" w14:textId="77777777" w:rsidR="00E735AC" w:rsidRDefault="00E735AC" w:rsidP="00E520CC">
      <w:pPr>
        <w:spacing w:line="360" w:lineRule="auto"/>
        <w:rPr>
          <w:rFonts w:ascii="Arial" w:hAnsi="Arial" w:cs="Arial"/>
          <w:sz w:val="24"/>
          <w:szCs w:val="24"/>
        </w:rPr>
      </w:pPr>
    </w:p>
    <w:p w14:paraId="52689440" w14:textId="77777777" w:rsidR="00E735AC" w:rsidRDefault="00E735AC" w:rsidP="00E520CC">
      <w:pPr>
        <w:spacing w:line="360" w:lineRule="auto"/>
        <w:rPr>
          <w:rFonts w:ascii="Arial" w:hAnsi="Arial" w:cs="Arial"/>
          <w:sz w:val="24"/>
          <w:szCs w:val="24"/>
        </w:rPr>
      </w:pPr>
    </w:p>
    <w:p w14:paraId="1F1AE579" w14:textId="77777777" w:rsidR="00E735AC" w:rsidRDefault="00E735AC" w:rsidP="00E520CC">
      <w:pPr>
        <w:spacing w:line="360" w:lineRule="auto"/>
        <w:rPr>
          <w:rFonts w:ascii="Arial" w:hAnsi="Arial" w:cs="Arial"/>
          <w:sz w:val="24"/>
          <w:szCs w:val="24"/>
        </w:rPr>
      </w:pPr>
    </w:p>
    <w:p w14:paraId="23CD8361" w14:textId="110C4760" w:rsidR="00E520CC" w:rsidRPr="003D453E" w:rsidRDefault="00E520CC" w:rsidP="00E520CC">
      <w:pPr>
        <w:spacing w:line="360" w:lineRule="auto"/>
        <w:rPr>
          <w:rFonts w:ascii="Arial" w:hAnsi="Arial" w:cs="Arial"/>
          <w:b/>
          <w:bCs/>
          <w:i/>
          <w:iCs/>
          <w:sz w:val="24"/>
          <w:szCs w:val="24"/>
        </w:rPr>
      </w:pPr>
      <w:r w:rsidRPr="00E520CC">
        <w:rPr>
          <w:rFonts w:ascii="Arial" w:hAnsi="Arial" w:cs="Arial"/>
          <w:sz w:val="24"/>
          <w:szCs w:val="24"/>
        </w:rPr>
        <w:t xml:space="preserve"> </w:t>
      </w:r>
      <w:r w:rsidRPr="00E735AC">
        <w:rPr>
          <w:rFonts w:ascii="Arial" w:hAnsi="Arial" w:cs="Arial"/>
          <w:b/>
          <w:bCs/>
          <w:i/>
          <w:iCs/>
          <w:color w:val="3A7C22" w:themeColor="accent6" w:themeShade="BF"/>
          <w:sz w:val="24"/>
          <w:szCs w:val="24"/>
        </w:rPr>
        <w:t>Exchange Rate Theories</w:t>
      </w:r>
    </w:p>
    <w:p w14:paraId="1E35E16E" w14:textId="77777777" w:rsidR="00E520CC" w:rsidRPr="00E520CC" w:rsidRDefault="00E520CC" w:rsidP="00E520CC">
      <w:pPr>
        <w:spacing w:line="360" w:lineRule="auto"/>
        <w:rPr>
          <w:rFonts w:ascii="Arial" w:hAnsi="Arial" w:cs="Arial"/>
          <w:sz w:val="24"/>
          <w:szCs w:val="24"/>
        </w:rPr>
      </w:pPr>
    </w:p>
    <w:p w14:paraId="1415ED7D" w14:textId="77777777" w:rsidR="00E520CC" w:rsidRDefault="00E520CC" w:rsidP="00E520CC">
      <w:pPr>
        <w:spacing w:line="360" w:lineRule="auto"/>
        <w:rPr>
          <w:rFonts w:ascii="Arial" w:hAnsi="Arial" w:cs="Arial"/>
          <w:sz w:val="24"/>
          <w:szCs w:val="24"/>
        </w:rPr>
      </w:pPr>
      <w:r w:rsidRPr="00E520CC">
        <w:rPr>
          <w:rFonts w:ascii="Arial" w:hAnsi="Arial" w:cs="Arial"/>
          <w:sz w:val="24"/>
          <w:szCs w:val="24"/>
        </w:rPr>
        <w:t>Exchange rates are pivotal to IFM as they affect international trade, investment, and corporate profits. Two primary theories explain exchange rate movements:</w:t>
      </w:r>
    </w:p>
    <w:p w14:paraId="5BE61ED8" w14:textId="77777777" w:rsidR="004801AD" w:rsidRDefault="004801AD" w:rsidP="004801AD">
      <w:pPr>
        <w:spacing w:line="360" w:lineRule="auto"/>
        <w:rPr>
          <w:rFonts w:ascii="Arial" w:hAnsi="Arial" w:cs="Arial"/>
          <w:sz w:val="24"/>
          <w:szCs w:val="24"/>
        </w:rPr>
      </w:pPr>
      <w:r w:rsidRPr="004801AD">
        <w:rPr>
          <w:rFonts w:ascii="Arial" w:hAnsi="Arial" w:cs="Arial"/>
          <w:i/>
          <w:iCs/>
          <w:sz w:val="24"/>
          <w:szCs w:val="24"/>
        </w:rPr>
        <w:t>Purchasing Power Parity</w:t>
      </w:r>
      <w:r w:rsidRPr="004801AD">
        <w:rPr>
          <w:rFonts w:ascii="Arial" w:hAnsi="Arial" w:cs="Arial"/>
          <w:sz w:val="24"/>
          <w:szCs w:val="24"/>
        </w:rPr>
        <w:t xml:space="preserve"> (PPP): Madura and Fox (2011) state that PPP holds that equivalent items should be priced the same when stated in a common currency if there are no transportation costs or other obstacles. Based on the comparative inflation rates of various nations, this hypothesis aids in the prediction of long-term changes in exchange values.</w:t>
      </w:r>
    </w:p>
    <w:p w14:paraId="3C8EA65F" w14:textId="77777777" w:rsidR="00B20B59" w:rsidRPr="00B20B59" w:rsidRDefault="00B20B59" w:rsidP="00B20B59">
      <w:pPr>
        <w:spacing w:line="360" w:lineRule="auto"/>
        <w:rPr>
          <w:rFonts w:ascii="Arial" w:hAnsi="Arial" w:cs="Arial"/>
          <w:sz w:val="24"/>
          <w:szCs w:val="24"/>
        </w:rPr>
      </w:pPr>
      <w:r w:rsidRPr="00B20B59">
        <w:rPr>
          <w:rFonts w:ascii="Arial" w:hAnsi="Arial" w:cs="Arial"/>
          <w:i/>
          <w:iCs/>
          <w:sz w:val="24"/>
          <w:szCs w:val="24"/>
        </w:rPr>
        <w:t>Interest Rate Parity</w:t>
      </w:r>
      <w:r w:rsidRPr="00B20B59">
        <w:rPr>
          <w:rFonts w:ascii="Arial" w:hAnsi="Arial" w:cs="Arial"/>
          <w:sz w:val="24"/>
          <w:szCs w:val="24"/>
        </w:rPr>
        <w:t xml:space="preserve"> (IRP): According to IRP theory, which was covered by Bekaert and Hodrick (2011), the predicted change in exchange rates between the currencies of two nations is equal to the difference in interest rates between those two countries. This connection guarantees that investors cannot profit from arbitrage by using various interest rates.</w:t>
      </w:r>
    </w:p>
    <w:p w14:paraId="27578809" w14:textId="7D83684A" w:rsidR="00E520CC" w:rsidRPr="00F52F63" w:rsidRDefault="00E520CC" w:rsidP="00E520CC">
      <w:pPr>
        <w:spacing w:line="360" w:lineRule="auto"/>
        <w:rPr>
          <w:rFonts w:ascii="Arial" w:hAnsi="Arial" w:cs="Arial"/>
          <w:i/>
          <w:iCs/>
          <w:sz w:val="24"/>
          <w:szCs w:val="24"/>
        </w:rPr>
      </w:pPr>
      <w:r w:rsidRPr="004F2E6B">
        <w:rPr>
          <w:rFonts w:ascii="Arial" w:hAnsi="Arial" w:cs="Arial"/>
          <w:i/>
          <w:iCs/>
          <w:sz w:val="24"/>
          <w:szCs w:val="24"/>
        </w:rPr>
        <w:t>International Fisher Effect (IFE)</w:t>
      </w:r>
      <w:r w:rsidR="00F52F63">
        <w:rPr>
          <w:rFonts w:ascii="Arial" w:hAnsi="Arial" w:cs="Arial"/>
          <w:i/>
          <w:iCs/>
          <w:sz w:val="24"/>
          <w:szCs w:val="24"/>
        </w:rPr>
        <w:t xml:space="preserve"> </w:t>
      </w:r>
      <w:r w:rsidRPr="00E520CC">
        <w:rPr>
          <w:rFonts w:ascii="Arial" w:hAnsi="Arial" w:cs="Arial"/>
          <w:sz w:val="24"/>
          <w:szCs w:val="24"/>
        </w:rPr>
        <w:t xml:space="preserve">The IFE theory extends the IRP concept, asserting </w:t>
      </w:r>
      <w:r w:rsidR="00F52F63">
        <w:rPr>
          <w:rFonts w:ascii="Arial" w:hAnsi="Arial" w:cs="Arial"/>
          <w:sz w:val="24"/>
          <w:szCs w:val="24"/>
        </w:rPr>
        <w:t xml:space="preserve"> </w:t>
      </w:r>
      <w:r w:rsidRPr="00E520CC">
        <w:rPr>
          <w:rFonts w:ascii="Arial" w:hAnsi="Arial" w:cs="Arial"/>
          <w:sz w:val="24"/>
          <w:szCs w:val="24"/>
        </w:rPr>
        <w:t>that the expected difference in the nominal interest rates between two countries equals the expected change in their exchange rates. Madura and Fox (2011) highlight that this theory is crucial for multinational corporations (MNCs) in making decisions about where to allocate their financial resources globally.</w:t>
      </w:r>
    </w:p>
    <w:p w14:paraId="125ACE6B" w14:textId="1A19AC6D" w:rsidR="00AC203D" w:rsidRPr="00AC203D" w:rsidRDefault="00E520CC" w:rsidP="00AC203D">
      <w:pPr>
        <w:spacing w:line="360" w:lineRule="auto"/>
        <w:rPr>
          <w:rFonts w:ascii="Arial" w:hAnsi="Arial" w:cs="Arial"/>
          <w:i/>
          <w:iCs/>
          <w:sz w:val="24"/>
          <w:szCs w:val="24"/>
        </w:rPr>
      </w:pPr>
      <w:r w:rsidRPr="004F2E6B">
        <w:rPr>
          <w:rFonts w:ascii="Arial" w:hAnsi="Arial" w:cs="Arial"/>
          <w:i/>
          <w:iCs/>
          <w:sz w:val="24"/>
          <w:szCs w:val="24"/>
        </w:rPr>
        <w:t>Theory of Optimum Currency Areas</w:t>
      </w:r>
      <w:r w:rsidR="00943CA7">
        <w:rPr>
          <w:rFonts w:ascii="Arial" w:hAnsi="Arial" w:cs="Arial"/>
          <w:i/>
          <w:iCs/>
          <w:sz w:val="24"/>
          <w:szCs w:val="24"/>
        </w:rPr>
        <w:t xml:space="preserve"> </w:t>
      </w:r>
      <w:r w:rsidR="00AC203D">
        <w:rPr>
          <w:rFonts w:ascii="Arial" w:hAnsi="Arial" w:cs="Arial"/>
          <w:i/>
          <w:iCs/>
          <w:sz w:val="24"/>
          <w:szCs w:val="24"/>
        </w:rPr>
        <w:t xml:space="preserve"> </w:t>
      </w:r>
      <w:r w:rsidR="00AC203D" w:rsidRPr="00943CA7">
        <w:rPr>
          <w:rFonts w:ascii="Arial" w:hAnsi="Arial" w:cs="Arial"/>
          <w:sz w:val="24"/>
          <w:szCs w:val="24"/>
        </w:rPr>
        <w:t>According to Arnold (2012), this theory takes into</w:t>
      </w:r>
      <w:r w:rsidR="00AC203D" w:rsidRPr="00AC203D">
        <w:rPr>
          <w:rFonts w:ascii="Arial" w:hAnsi="Arial" w:cs="Arial"/>
          <w:i/>
          <w:iCs/>
          <w:sz w:val="24"/>
          <w:szCs w:val="24"/>
        </w:rPr>
        <w:t xml:space="preserve"> </w:t>
      </w:r>
      <w:r w:rsidR="00AC203D" w:rsidRPr="00943CA7">
        <w:rPr>
          <w:rFonts w:ascii="Arial" w:hAnsi="Arial" w:cs="Arial"/>
          <w:sz w:val="24"/>
          <w:szCs w:val="24"/>
        </w:rPr>
        <w:t>account the circumstances in which a number of nations gain by using a single currency. An ideal currency region, like the Eurozone, must include elements like wage and price freedom, capital and labour mobility, and comparable economic cycles</w:t>
      </w:r>
      <w:r w:rsidR="00AC203D" w:rsidRPr="00AC203D">
        <w:rPr>
          <w:rFonts w:ascii="Arial" w:hAnsi="Arial" w:cs="Arial"/>
          <w:i/>
          <w:iCs/>
          <w:sz w:val="24"/>
          <w:szCs w:val="24"/>
        </w:rPr>
        <w:t>.</w:t>
      </w:r>
    </w:p>
    <w:p w14:paraId="349954B3" w14:textId="5E298B21" w:rsidR="00E520CC" w:rsidRPr="0032529A" w:rsidRDefault="00E520CC" w:rsidP="00E520CC">
      <w:pPr>
        <w:spacing w:line="360" w:lineRule="auto"/>
        <w:rPr>
          <w:rFonts w:ascii="Arial" w:hAnsi="Arial" w:cs="Arial"/>
          <w:i/>
          <w:iCs/>
          <w:sz w:val="24"/>
          <w:szCs w:val="24"/>
        </w:rPr>
      </w:pPr>
      <w:r w:rsidRPr="004F2E6B">
        <w:rPr>
          <w:rFonts w:ascii="Arial" w:hAnsi="Arial" w:cs="Arial"/>
          <w:i/>
          <w:iCs/>
          <w:sz w:val="24"/>
          <w:szCs w:val="24"/>
        </w:rPr>
        <w:t>International Capital Asset Pricing Model (ICAPM)</w:t>
      </w:r>
      <w:r w:rsidR="0032529A">
        <w:rPr>
          <w:rFonts w:ascii="Arial" w:hAnsi="Arial" w:cs="Arial"/>
          <w:i/>
          <w:iCs/>
          <w:sz w:val="24"/>
          <w:szCs w:val="24"/>
        </w:rPr>
        <w:t xml:space="preserve"> </w:t>
      </w:r>
      <w:r w:rsidRPr="00E520CC">
        <w:rPr>
          <w:rFonts w:ascii="Arial" w:hAnsi="Arial" w:cs="Arial"/>
          <w:sz w:val="24"/>
          <w:szCs w:val="24"/>
        </w:rPr>
        <w:t xml:space="preserve">ICAPM extends the domestic Capital Asset Pricing Model (CAPM) to an international framework. As noted by Arnold (2012), this model </w:t>
      </w:r>
      <w:r w:rsidR="00DB0A21">
        <w:rPr>
          <w:rFonts w:ascii="Arial" w:hAnsi="Arial" w:cs="Arial"/>
          <w:sz w:val="24"/>
          <w:szCs w:val="24"/>
        </w:rPr>
        <w:t>consolidate</w:t>
      </w:r>
      <w:r w:rsidRPr="00E520CC">
        <w:rPr>
          <w:rFonts w:ascii="Arial" w:hAnsi="Arial" w:cs="Arial"/>
          <w:sz w:val="24"/>
          <w:szCs w:val="24"/>
        </w:rPr>
        <w:t xml:space="preserve"> exchange rate risk into the calculation of expected returns on international investments, helping MNCs and investors optimize their</w:t>
      </w:r>
      <w:r w:rsidR="00CE673D">
        <w:rPr>
          <w:rFonts w:ascii="Arial" w:hAnsi="Arial" w:cs="Arial"/>
          <w:sz w:val="24"/>
          <w:szCs w:val="24"/>
        </w:rPr>
        <w:t xml:space="preserve"> investment bundle</w:t>
      </w:r>
      <w:r w:rsidR="00E564B9">
        <w:rPr>
          <w:rFonts w:ascii="Arial" w:hAnsi="Arial" w:cs="Arial"/>
          <w:sz w:val="24"/>
          <w:szCs w:val="24"/>
        </w:rPr>
        <w:t xml:space="preserve">s </w:t>
      </w:r>
      <w:r w:rsidRPr="00E520CC">
        <w:rPr>
          <w:rFonts w:ascii="Arial" w:hAnsi="Arial" w:cs="Arial"/>
          <w:sz w:val="24"/>
          <w:szCs w:val="24"/>
        </w:rPr>
        <w:t>globally.</w:t>
      </w:r>
    </w:p>
    <w:p w14:paraId="795321F4" w14:textId="77777777" w:rsidR="00E520CC" w:rsidRPr="00E520CC" w:rsidRDefault="00E520CC" w:rsidP="00E520CC">
      <w:pPr>
        <w:spacing w:line="360" w:lineRule="auto"/>
        <w:rPr>
          <w:rFonts w:ascii="Arial" w:hAnsi="Arial" w:cs="Arial"/>
          <w:sz w:val="24"/>
          <w:szCs w:val="24"/>
        </w:rPr>
      </w:pPr>
    </w:p>
    <w:p w14:paraId="60D3AFBA" w14:textId="77777777" w:rsidR="00E735AC" w:rsidRDefault="00E735AC" w:rsidP="00E520CC">
      <w:pPr>
        <w:spacing w:line="360" w:lineRule="auto"/>
        <w:rPr>
          <w:rFonts w:ascii="Arial" w:hAnsi="Arial" w:cs="Arial"/>
          <w:b/>
          <w:bCs/>
          <w:i/>
          <w:iCs/>
          <w:color w:val="3A7C22" w:themeColor="accent6" w:themeShade="BF"/>
          <w:sz w:val="24"/>
          <w:szCs w:val="24"/>
        </w:rPr>
      </w:pPr>
    </w:p>
    <w:p w14:paraId="6857152E" w14:textId="77777777" w:rsidR="00E735AC" w:rsidRDefault="00E735AC" w:rsidP="00E520CC">
      <w:pPr>
        <w:spacing w:line="360" w:lineRule="auto"/>
        <w:rPr>
          <w:rFonts w:ascii="Arial" w:hAnsi="Arial" w:cs="Arial"/>
          <w:b/>
          <w:bCs/>
          <w:i/>
          <w:iCs/>
          <w:color w:val="3A7C22" w:themeColor="accent6" w:themeShade="BF"/>
          <w:sz w:val="24"/>
          <w:szCs w:val="24"/>
        </w:rPr>
      </w:pPr>
    </w:p>
    <w:p w14:paraId="054A800F" w14:textId="6FD469D0" w:rsidR="00E520CC" w:rsidRPr="009135CB" w:rsidRDefault="00E520CC" w:rsidP="00E520CC">
      <w:pPr>
        <w:spacing w:line="360" w:lineRule="auto"/>
        <w:rPr>
          <w:rFonts w:ascii="Arial" w:hAnsi="Arial" w:cs="Arial"/>
          <w:b/>
          <w:bCs/>
          <w:i/>
          <w:iCs/>
          <w:color w:val="3A7C22" w:themeColor="accent6" w:themeShade="BF"/>
          <w:sz w:val="24"/>
          <w:szCs w:val="24"/>
        </w:rPr>
      </w:pPr>
      <w:r w:rsidRPr="009135CB">
        <w:rPr>
          <w:rFonts w:ascii="Arial" w:hAnsi="Arial" w:cs="Arial"/>
          <w:b/>
          <w:bCs/>
          <w:i/>
          <w:iCs/>
          <w:color w:val="3A7C22" w:themeColor="accent6" w:themeShade="BF"/>
          <w:sz w:val="24"/>
          <w:szCs w:val="24"/>
        </w:rPr>
        <w:t>Strategies of International Financial Management</w:t>
      </w:r>
    </w:p>
    <w:p w14:paraId="161F8104" w14:textId="7168FE9A" w:rsidR="00E520CC" w:rsidRPr="00F81DCE" w:rsidRDefault="00E520CC" w:rsidP="00E520CC">
      <w:pPr>
        <w:spacing w:line="360" w:lineRule="auto"/>
        <w:rPr>
          <w:rFonts w:ascii="Arial" w:hAnsi="Arial" w:cs="Arial"/>
          <w:i/>
          <w:iCs/>
          <w:sz w:val="24"/>
          <w:szCs w:val="24"/>
        </w:rPr>
      </w:pPr>
    </w:p>
    <w:p w14:paraId="47E78566" w14:textId="77777777" w:rsidR="00E520CC" w:rsidRPr="00E520CC" w:rsidRDefault="00E520CC" w:rsidP="00E520CC">
      <w:pPr>
        <w:spacing w:line="360" w:lineRule="auto"/>
        <w:rPr>
          <w:rFonts w:ascii="Arial" w:hAnsi="Arial" w:cs="Arial"/>
          <w:sz w:val="24"/>
          <w:szCs w:val="24"/>
        </w:rPr>
      </w:pPr>
      <w:r w:rsidRPr="00E520CC">
        <w:rPr>
          <w:rFonts w:ascii="Arial" w:hAnsi="Arial" w:cs="Arial"/>
          <w:sz w:val="24"/>
          <w:szCs w:val="24"/>
        </w:rPr>
        <w:t>Hedging is a fundamental strategy to manage currency risk in IFM. According to Bekaert and Hodrick (2011), common hedging techniques include:</w:t>
      </w:r>
    </w:p>
    <w:p w14:paraId="417CA68F" w14:textId="681A0961" w:rsidR="00E520CC" w:rsidRPr="00E520CC" w:rsidRDefault="00E520CC" w:rsidP="00E520CC">
      <w:pPr>
        <w:spacing w:line="360" w:lineRule="auto"/>
        <w:rPr>
          <w:rFonts w:ascii="Arial" w:hAnsi="Arial" w:cs="Arial"/>
          <w:sz w:val="24"/>
          <w:szCs w:val="24"/>
        </w:rPr>
      </w:pPr>
      <w:r w:rsidRPr="00F81DCE">
        <w:rPr>
          <w:rFonts w:ascii="Arial" w:hAnsi="Arial" w:cs="Arial"/>
          <w:i/>
          <w:iCs/>
          <w:sz w:val="24"/>
          <w:szCs w:val="24"/>
        </w:rPr>
        <w:t>Forward Contracts</w:t>
      </w:r>
      <w:r w:rsidRPr="00E520CC">
        <w:rPr>
          <w:rFonts w:ascii="Arial" w:hAnsi="Arial" w:cs="Arial"/>
          <w:sz w:val="24"/>
          <w:szCs w:val="24"/>
        </w:rPr>
        <w:t xml:space="preserve">: These contracts lock in an exchange rate for a future date, </w:t>
      </w:r>
      <w:r w:rsidR="00884F69">
        <w:rPr>
          <w:rFonts w:ascii="Arial" w:hAnsi="Arial" w:cs="Arial"/>
          <w:sz w:val="24"/>
          <w:szCs w:val="24"/>
        </w:rPr>
        <w:t xml:space="preserve">reduce </w:t>
      </w:r>
      <w:r w:rsidRPr="00E520CC">
        <w:rPr>
          <w:rFonts w:ascii="Arial" w:hAnsi="Arial" w:cs="Arial"/>
          <w:sz w:val="24"/>
          <w:szCs w:val="24"/>
        </w:rPr>
        <w:t xml:space="preserve">the risk of </w:t>
      </w:r>
      <w:r w:rsidR="00AD47E6" w:rsidRPr="00E520CC">
        <w:rPr>
          <w:rFonts w:ascii="Arial" w:hAnsi="Arial" w:cs="Arial"/>
          <w:sz w:val="24"/>
          <w:szCs w:val="24"/>
        </w:rPr>
        <w:t>unfavourable</w:t>
      </w:r>
      <w:r w:rsidRPr="00E520CC">
        <w:rPr>
          <w:rFonts w:ascii="Arial" w:hAnsi="Arial" w:cs="Arial"/>
          <w:sz w:val="24"/>
          <w:szCs w:val="24"/>
        </w:rPr>
        <w:t xml:space="preserve"> currency movements.</w:t>
      </w:r>
    </w:p>
    <w:p w14:paraId="56A3EE6D" w14:textId="77777777" w:rsidR="00E520CC" w:rsidRPr="00E520CC" w:rsidRDefault="00E520CC" w:rsidP="00E520CC">
      <w:pPr>
        <w:spacing w:line="360" w:lineRule="auto"/>
        <w:rPr>
          <w:rFonts w:ascii="Arial" w:hAnsi="Arial" w:cs="Arial"/>
          <w:sz w:val="24"/>
          <w:szCs w:val="24"/>
        </w:rPr>
      </w:pPr>
      <w:r w:rsidRPr="00F81DCE">
        <w:rPr>
          <w:rFonts w:ascii="Arial" w:hAnsi="Arial" w:cs="Arial"/>
          <w:i/>
          <w:iCs/>
          <w:sz w:val="24"/>
          <w:szCs w:val="24"/>
        </w:rPr>
        <w:t>Options:</w:t>
      </w:r>
      <w:r w:rsidRPr="00E520CC">
        <w:rPr>
          <w:rFonts w:ascii="Arial" w:hAnsi="Arial" w:cs="Arial"/>
          <w:sz w:val="24"/>
          <w:szCs w:val="24"/>
        </w:rPr>
        <w:t xml:space="preserve"> Currency options give the holder the right, but not the obligation, to exchange currency at a predetermined rate, providing flexibility and protection against adverse currency movements.</w:t>
      </w:r>
    </w:p>
    <w:p w14:paraId="6C67C577" w14:textId="77777777" w:rsidR="00E520CC" w:rsidRPr="00E520CC" w:rsidRDefault="00E520CC" w:rsidP="00E520CC">
      <w:pPr>
        <w:spacing w:line="360" w:lineRule="auto"/>
        <w:rPr>
          <w:rFonts w:ascii="Arial" w:hAnsi="Arial" w:cs="Arial"/>
          <w:sz w:val="24"/>
          <w:szCs w:val="24"/>
        </w:rPr>
      </w:pPr>
      <w:r w:rsidRPr="00F81DCE">
        <w:rPr>
          <w:rFonts w:ascii="Arial" w:hAnsi="Arial" w:cs="Arial"/>
          <w:i/>
          <w:iCs/>
          <w:sz w:val="24"/>
          <w:szCs w:val="24"/>
        </w:rPr>
        <w:t>Swaps</w:t>
      </w:r>
      <w:r w:rsidRPr="00E520CC">
        <w:rPr>
          <w:rFonts w:ascii="Arial" w:hAnsi="Arial" w:cs="Arial"/>
          <w:sz w:val="24"/>
          <w:szCs w:val="24"/>
        </w:rPr>
        <w:t>: Currency swaps involve exchanging principal and interest payments in one currency for equivalent amounts in another currency, helping MNCs manage exposure to fluctuating exchange rates.</w:t>
      </w:r>
    </w:p>
    <w:p w14:paraId="1B50C510" w14:textId="583EB065" w:rsidR="00E520CC" w:rsidRPr="0097651E" w:rsidRDefault="00E520CC" w:rsidP="00E520CC">
      <w:pPr>
        <w:spacing w:line="360" w:lineRule="auto"/>
        <w:rPr>
          <w:rFonts w:ascii="Arial" w:hAnsi="Arial" w:cs="Arial"/>
          <w:i/>
          <w:iCs/>
          <w:sz w:val="24"/>
          <w:szCs w:val="24"/>
        </w:rPr>
      </w:pPr>
      <w:r w:rsidRPr="00E520CC">
        <w:rPr>
          <w:rFonts w:ascii="Arial" w:hAnsi="Arial" w:cs="Arial"/>
          <w:sz w:val="24"/>
          <w:szCs w:val="24"/>
        </w:rPr>
        <w:t xml:space="preserve"> </w:t>
      </w:r>
      <w:r w:rsidRPr="00F81DCE">
        <w:rPr>
          <w:rFonts w:ascii="Arial" w:hAnsi="Arial" w:cs="Arial"/>
          <w:i/>
          <w:iCs/>
          <w:sz w:val="24"/>
          <w:szCs w:val="24"/>
        </w:rPr>
        <w:t>Diversification</w:t>
      </w:r>
      <w:r w:rsidR="005B0F47">
        <w:rPr>
          <w:rFonts w:ascii="Arial" w:hAnsi="Arial" w:cs="Arial"/>
          <w:i/>
          <w:iCs/>
          <w:sz w:val="24"/>
          <w:szCs w:val="24"/>
        </w:rPr>
        <w:t>:</w:t>
      </w:r>
      <w:r w:rsidRPr="00E520CC">
        <w:rPr>
          <w:rFonts w:ascii="Arial" w:hAnsi="Arial" w:cs="Arial"/>
          <w:sz w:val="24"/>
          <w:szCs w:val="24"/>
        </w:rPr>
        <w:t xml:space="preserve"> is a key</w:t>
      </w:r>
      <w:r w:rsidR="00AE521B">
        <w:rPr>
          <w:rFonts w:ascii="Arial" w:hAnsi="Arial" w:cs="Arial"/>
          <w:sz w:val="24"/>
          <w:szCs w:val="24"/>
        </w:rPr>
        <w:t xml:space="preserve"> </w:t>
      </w:r>
      <w:r w:rsidRPr="00E520CC">
        <w:rPr>
          <w:rFonts w:ascii="Arial" w:hAnsi="Arial" w:cs="Arial"/>
          <w:sz w:val="24"/>
          <w:szCs w:val="24"/>
        </w:rPr>
        <w:t>strategy to</w:t>
      </w:r>
      <w:r w:rsidR="00EE5CB3">
        <w:rPr>
          <w:rFonts w:ascii="Arial" w:hAnsi="Arial" w:cs="Arial"/>
          <w:sz w:val="24"/>
          <w:szCs w:val="24"/>
        </w:rPr>
        <w:t xml:space="preserve"> all</w:t>
      </w:r>
      <w:r w:rsidR="003C3FCE">
        <w:rPr>
          <w:rFonts w:ascii="Arial" w:hAnsi="Arial" w:cs="Arial"/>
          <w:sz w:val="24"/>
          <w:szCs w:val="24"/>
        </w:rPr>
        <w:t>eviate</w:t>
      </w:r>
      <w:r w:rsidRPr="00E520CC">
        <w:rPr>
          <w:rFonts w:ascii="Arial" w:hAnsi="Arial" w:cs="Arial"/>
          <w:sz w:val="24"/>
          <w:szCs w:val="24"/>
        </w:rPr>
        <w:t xml:space="preserve"> risks and optimize returns. </w:t>
      </w:r>
      <w:proofErr w:type="spellStart"/>
      <w:r w:rsidRPr="00E520CC">
        <w:rPr>
          <w:rFonts w:ascii="Arial" w:hAnsi="Arial" w:cs="Arial"/>
          <w:sz w:val="24"/>
          <w:szCs w:val="24"/>
        </w:rPr>
        <w:t>Atril</w:t>
      </w:r>
      <w:proofErr w:type="spellEnd"/>
      <w:r w:rsidRPr="00E520CC">
        <w:rPr>
          <w:rFonts w:ascii="Arial" w:hAnsi="Arial" w:cs="Arial"/>
          <w:sz w:val="24"/>
          <w:szCs w:val="24"/>
        </w:rPr>
        <w:t xml:space="preserve"> (2011) emphasizes the importance of diversifying across different countries and asset classes to reduce exposure to country-specific risks. By spreading investments globally, companies can achieve more stable returns and capitalize on growth opportunities in </w:t>
      </w:r>
      <w:r w:rsidR="00E71177">
        <w:rPr>
          <w:rFonts w:ascii="Arial" w:hAnsi="Arial" w:cs="Arial"/>
          <w:sz w:val="24"/>
          <w:szCs w:val="24"/>
        </w:rPr>
        <w:t>different</w:t>
      </w:r>
      <w:r w:rsidRPr="00E520CC">
        <w:rPr>
          <w:rFonts w:ascii="Arial" w:hAnsi="Arial" w:cs="Arial"/>
          <w:sz w:val="24"/>
          <w:szCs w:val="24"/>
        </w:rPr>
        <w:t xml:space="preserve"> markets.</w:t>
      </w:r>
    </w:p>
    <w:p w14:paraId="42872EF2" w14:textId="168875CE" w:rsidR="006F67EC" w:rsidRPr="006F67EC" w:rsidRDefault="00E520CC" w:rsidP="006F67EC">
      <w:pPr>
        <w:spacing w:line="360" w:lineRule="auto"/>
        <w:rPr>
          <w:rFonts w:ascii="Arial" w:hAnsi="Arial" w:cs="Arial"/>
          <w:i/>
          <w:iCs/>
          <w:sz w:val="24"/>
          <w:szCs w:val="24"/>
        </w:rPr>
      </w:pPr>
      <w:r w:rsidRPr="00F81DCE">
        <w:rPr>
          <w:rFonts w:ascii="Arial" w:hAnsi="Arial" w:cs="Arial"/>
          <w:i/>
          <w:iCs/>
          <w:sz w:val="24"/>
          <w:szCs w:val="24"/>
        </w:rPr>
        <w:t>Capital Structure Decisions</w:t>
      </w:r>
      <w:r w:rsidR="00E71177">
        <w:rPr>
          <w:rFonts w:ascii="Arial" w:hAnsi="Arial" w:cs="Arial"/>
          <w:i/>
          <w:iCs/>
          <w:sz w:val="24"/>
          <w:szCs w:val="24"/>
        </w:rPr>
        <w:t>:</w:t>
      </w:r>
      <w:r w:rsidR="006F67EC">
        <w:rPr>
          <w:rFonts w:ascii="Arial" w:hAnsi="Arial" w:cs="Arial"/>
          <w:i/>
          <w:iCs/>
          <w:sz w:val="24"/>
          <w:szCs w:val="24"/>
        </w:rPr>
        <w:t xml:space="preserve"> </w:t>
      </w:r>
      <w:r w:rsidR="006F67EC" w:rsidRPr="006F67EC">
        <w:rPr>
          <w:rFonts w:ascii="Arial" w:hAnsi="Arial" w:cs="Arial"/>
          <w:sz w:val="24"/>
          <w:szCs w:val="24"/>
        </w:rPr>
        <w:t>For MNCs, selecting the appropriate ratio of debt to</w:t>
      </w:r>
      <w:r w:rsidR="006F67EC" w:rsidRPr="006F67EC">
        <w:rPr>
          <w:rFonts w:ascii="Arial" w:hAnsi="Arial" w:cs="Arial"/>
          <w:i/>
          <w:iCs/>
          <w:sz w:val="24"/>
          <w:szCs w:val="24"/>
        </w:rPr>
        <w:t xml:space="preserve"> </w:t>
      </w:r>
      <w:r w:rsidR="006F67EC" w:rsidRPr="006F67EC">
        <w:rPr>
          <w:rFonts w:ascii="Arial" w:hAnsi="Arial" w:cs="Arial"/>
          <w:sz w:val="24"/>
          <w:szCs w:val="24"/>
        </w:rPr>
        <w:t>equity financing is crucial. International financial markets, according to Arnold (2012), provide a wider choice of funding options, allowing businesses to optimise their capital structures. These choices are influenced by several factors, including financial flexibility, cost of capital, and tax advantages. According to McLaney (2011), finance costs can be lowered overall by taking advantage of cheaper interest rates in overseas markets.</w:t>
      </w:r>
    </w:p>
    <w:p w14:paraId="1F87D0BA" w14:textId="77777777" w:rsidR="006F67EC" w:rsidRPr="00F81DCE" w:rsidRDefault="006F67EC" w:rsidP="00E520CC">
      <w:pPr>
        <w:spacing w:line="360" w:lineRule="auto"/>
        <w:rPr>
          <w:rFonts w:ascii="Arial" w:hAnsi="Arial" w:cs="Arial"/>
          <w:i/>
          <w:iCs/>
          <w:sz w:val="24"/>
          <w:szCs w:val="24"/>
        </w:rPr>
      </w:pPr>
    </w:p>
    <w:p w14:paraId="154698B0" w14:textId="582DE6A7" w:rsidR="00E520CC" w:rsidRPr="00264BEC" w:rsidRDefault="00E520CC" w:rsidP="00E520CC">
      <w:pPr>
        <w:spacing w:line="360" w:lineRule="auto"/>
        <w:rPr>
          <w:rFonts w:ascii="Arial" w:hAnsi="Arial" w:cs="Arial"/>
          <w:i/>
          <w:iCs/>
          <w:sz w:val="24"/>
          <w:szCs w:val="24"/>
        </w:rPr>
      </w:pPr>
      <w:r w:rsidRPr="00F81DCE">
        <w:rPr>
          <w:rFonts w:ascii="Arial" w:hAnsi="Arial" w:cs="Arial"/>
          <w:i/>
          <w:iCs/>
          <w:sz w:val="24"/>
          <w:szCs w:val="24"/>
        </w:rPr>
        <w:t>Investment Appraisal and Project Evaluation</w:t>
      </w:r>
      <w:r w:rsidR="00264BEC">
        <w:rPr>
          <w:rFonts w:ascii="Arial" w:hAnsi="Arial" w:cs="Arial"/>
          <w:i/>
          <w:iCs/>
          <w:sz w:val="24"/>
          <w:szCs w:val="24"/>
        </w:rPr>
        <w:t xml:space="preserve">: </w:t>
      </w:r>
      <w:r w:rsidRPr="00E520CC">
        <w:rPr>
          <w:rFonts w:ascii="Arial" w:hAnsi="Arial" w:cs="Arial"/>
          <w:sz w:val="24"/>
          <w:szCs w:val="24"/>
        </w:rPr>
        <w:t>Evaluating international investment opportunities requires</w:t>
      </w:r>
      <w:r w:rsidR="00AF6C1A">
        <w:rPr>
          <w:rFonts w:ascii="Arial" w:hAnsi="Arial" w:cs="Arial"/>
          <w:sz w:val="24"/>
          <w:szCs w:val="24"/>
        </w:rPr>
        <w:t xml:space="preserve"> experienced</w:t>
      </w:r>
      <w:r w:rsidRPr="00E520CC">
        <w:rPr>
          <w:rFonts w:ascii="Arial" w:hAnsi="Arial" w:cs="Arial"/>
          <w:sz w:val="24"/>
          <w:szCs w:val="24"/>
        </w:rPr>
        <w:t xml:space="preserve"> techniques. Pike and Neale (2012) discuss methods such as Net Present Value (NPV), Internal Rate of Return (IRR), and Real Options Analysis. These tools help in </w:t>
      </w:r>
      <w:proofErr w:type="spellStart"/>
      <w:r w:rsidR="00482629">
        <w:rPr>
          <w:rFonts w:ascii="Arial" w:hAnsi="Arial" w:cs="Arial"/>
          <w:sz w:val="24"/>
          <w:szCs w:val="24"/>
        </w:rPr>
        <w:t>anaysin</w:t>
      </w:r>
      <w:r w:rsidR="00FF5F60">
        <w:rPr>
          <w:rFonts w:ascii="Arial" w:hAnsi="Arial" w:cs="Arial"/>
          <w:sz w:val="24"/>
          <w:szCs w:val="24"/>
        </w:rPr>
        <w:t>g</w:t>
      </w:r>
      <w:proofErr w:type="spellEnd"/>
      <w:r w:rsidRPr="00E520CC">
        <w:rPr>
          <w:rFonts w:ascii="Arial" w:hAnsi="Arial" w:cs="Arial"/>
          <w:sz w:val="24"/>
          <w:szCs w:val="24"/>
        </w:rPr>
        <w:t xml:space="preserve"> the viability and profitability of </w:t>
      </w:r>
      <w:r w:rsidRPr="00E520CC">
        <w:rPr>
          <w:rFonts w:ascii="Arial" w:hAnsi="Arial" w:cs="Arial"/>
          <w:sz w:val="24"/>
          <w:szCs w:val="24"/>
        </w:rPr>
        <w:lastRenderedPageBreak/>
        <w:t xml:space="preserve">projects in </w:t>
      </w:r>
      <w:r w:rsidR="00944005">
        <w:rPr>
          <w:rFonts w:ascii="Arial" w:hAnsi="Arial" w:cs="Arial"/>
          <w:sz w:val="24"/>
          <w:szCs w:val="24"/>
        </w:rPr>
        <w:t>various</w:t>
      </w:r>
      <w:r w:rsidRPr="00E520CC">
        <w:rPr>
          <w:rFonts w:ascii="Arial" w:hAnsi="Arial" w:cs="Arial"/>
          <w:sz w:val="24"/>
          <w:szCs w:val="24"/>
        </w:rPr>
        <w:t xml:space="preserve"> economic environments. Incorporating political risk analysis, as highlighted by Neale and McElroy (2004), is also essential to account for potential disruptions in foreign investments.</w:t>
      </w:r>
    </w:p>
    <w:p w14:paraId="5DEEDACB" w14:textId="1500F8BD" w:rsidR="002719A0" w:rsidRPr="00E520CC" w:rsidRDefault="0057151D" w:rsidP="00E520CC">
      <w:pPr>
        <w:spacing w:line="360" w:lineRule="auto"/>
        <w:rPr>
          <w:rFonts w:ascii="Arial" w:hAnsi="Arial" w:cs="Arial"/>
          <w:sz w:val="24"/>
          <w:szCs w:val="24"/>
        </w:rPr>
      </w:pPr>
      <w:r w:rsidRPr="0057151D">
        <w:rPr>
          <w:rFonts w:ascii="Arial" w:hAnsi="Arial" w:cs="Arial"/>
          <w:sz w:val="24"/>
          <w:szCs w:val="24"/>
        </w:rPr>
        <w:t xml:space="preserve">Tesco's approach to international financial management (IFM) exemplifies the practical application of key theories and strategies discussed. As highlighted by </w:t>
      </w:r>
      <w:proofErr w:type="spellStart"/>
      <w:r w:rsidRPr="0057151D">
        <w:rPr>
          <w:rFonts w:ascii="Arial" w:hAnsi="Arial" w:cs="Arial"/>
          <w:sz w:val="24"/>
          <w:szCs w:val="24"/>
        </w:rPr>
        <w:t>Rosnizam</w:t>
      </w:r>
      <w:proofErr w:type="spellEnd"/>
      <w:r w:rsidRPr="0057151D">
        <w:rPr>
          <w:rFonts w:ascii="Arial" w:hAnsi="Arial" w:cs="Arial"/>
          <w:sz w:val="24"/>
          <w:szCs w:val="24"/>
        </w:rPr>
        <w:t xml:space="preserve"> et al. (2020), Tesco navigates market opportunities and challenges by leveraging hedging strategies to manage currency risks and utilizing diversification to mitigate regional market volatility. The company's capital structure decisions optimize global financing options, reducing costs and enhancing financial flexibility. By employing sophisticated investment appraisal techniques and focusing on effective working capital management, Tesco ensures liquidity and operational efficiency across its international operations. These IFM practices enable Tesco to sustain growth and maintain competitiveness in the global retail market.</w:t>
      </w:r>
    </w:p>
    <w:p w14:paraId="7C4FFA25" w14:textId="55646F6C" w:rsidR="00E520CC" w:rsidRPr="00C7545F" w:rsidRDefault="00E520CC" w:rsidP="00E520CC">
      <w:pPr>
        <w:spacing w:line="360" w:lineRule="auto"/>
        <w:rPr>
          <w:rFonts w:ascii="Arial" w:hAnsi="Arial" w:cs="Arial"/>
          <w:i/>
          <w:iCs/>
          <w:sz w:val="24"/>
          <w:szCs w:val="24"/>
        </w:rPr>
      </w:pPr>
      <w:r w:rsidRPr="00F81DCE">
        <w:rPr>
          <w:rFonts w:ascii="Arial" w:hAnsi="Arial" w:cs="Arial"/>
          <w:i/>
          <w:iCs/>
          <w:sz w:val="24"/>
          <w:szCs w:val="24"/>
        </w:rPr>
        <w:t>Working Capital Management</w:t>
      </w:r>
      <w:r w:rsidR="00C7545F">
        <w:rPr>
          <w:rFonts w:ascii="Arial" w:hAnsi="Arial" w:cs="Arial"/>
          <w:i/>
          <w:iCs/>
          <w:sz w:val="24"/>
          <w:szCs w:val="24"/>
        </w:rPr>
        <w:t xml:space="preserve">: </w:t>
      </w:r>
      <w:r w:rsidRPr="00E520CC">
        <w:rPr>
          <w:rFonts w:ascii="Arial" w:hAnsi="Arial" w:cs="Arial"/>
          <w:sz w:val="24"/>
          <w:szCs w:val="24"/>
        </w:rPr>
        <w:t>Effective working capital management ensures liquidity and operational efficiency. Arnold (2012) highlights the importance of managing receivables, payables, and inventory across different countries. Strategies such as centralizing cash management and utilizing international banking services can enhance liquidity and reduce costs.</w:t>
      </w:r>
    </w:p>
    <w:p w14:paraId="2DC6F3EF" w14:textId="7A0546FA" w:rsidR="003A19AA" w:rsidRPr="003A19AA" w:rsidRDefault="00E520CC" w:rsidP="003A19AA">
      <w:pPr>
        <w:spacing w:line="360" w:lineRule="auto"/>
        <w:rPr>
          <w:rFonts w:ascii="Arial" w:hAnsi="Arial" w:cs="Arial"/>
          <w:i/>
          <w:iCs/>
          <w:sz w:val="24"/>
          <w:szCs w:val="24"/>
        </w:rPr>
      </w:pPr>
      <w:r w:rsidRPr="00F81DCE">
        <w:rPr>
          <w:rFonts w:ascii="Arial" w:hAnsi="Arial" w:cs="Arial"/>
          <w:i/>
          <w:iCs/>
          <w:sz w:val="24"/>
          <w:szCs w:val="24"/>
        </w:rPr>
        <w:t>Transfer Pricing</w:t>
      </w:r>
      <w:r w:rsidR="00DA37EB">
        <w:rPr>
          <w:rFonts w:ascii="Arial" w:hAnsi="Arial" w:cs="Arial"/>
          <w:i/>
          <w:iCs/>
          <w:sz w:val="24"/>
          <w:szCs w:val="24"/>
        </w:rPr>
        <w:t>:</w:t>
      </w:r>
      <w:r w:rsidR="003A19AA">
        <w:rPr>
          <w:rFonts w:ascii="Arial" w:hAnsi="Arial" w:cs="Arial"/>
          <w:i/>
          <w:iCs/>
          <w:sz w:val="24"/>
          <w:szCs w:val="24"/>
        </w:rPr>
        <w:t xml:space="preserve"> </w:t>
      </w:r>
      <w:r w:rsidR="003A19AA" w:rsidRPr="003A19AA">
        <w:rPr>
          <w:rFonts w:ascii="Arial" w:hAnsi="Arial" w:cs="Arial"/>
          <w:sz w:val="24"/>
          <w:szCs w:val="24"/>
        </w:rPr>
        <w:t xml:space="preserve">Setting rates for transactions between an MNC's subsidiaries is known as transfer pricing. Transfer pricing schemes, according to </w:t>
      </w:r>
      <w:proofErr w:type="spellStart"/>
      <w:r w:rsidR="003A19AA" w:rsidRPr="003A19AA">
        <w:rPr>
          <w:rFonts w:ascii="Arial" w:hAnsi="Arial" w:cs="Arial"/>
          <w:sz w:val="24"/>
          <w:szCs w:val="24"/>
        </w:rPr>
        <w:t>Atril</w:t>
      </w:r>
      <w:proofErr w:type="spellEnd"/>
      <w:r w:rsidR="003A19AA" w:rsidRPr="003A19AA">
        <w:rPr>
          <w:rFonts w:ascii="Arial" w:hAnsi="Arial" w:cs="Arial"/>
          <w:sz w:val="24"/>
          <w:szCs w:val="24"/>
        </w:rPr>
        <w:t xml:space="preserve"> (2011), may be used to manage earnings between jurisdictions and optimise tax liability. To prevent legal repercussions, adherence to international laws and the arm's length principle are essential.</w:t>
      </w:r>
    </w:p>
    <w:p w14:paraId="39C11573" w14:textId="77777777" w:rsidR="003A19AA" w:rsidRPr="00F81DCE" w:rsidRDefault="003A19AA" w:rsidP="00E520CC">
      <w:pPr>
        <w:spacing w:line="360" w:lineRule="auto"/>
        <w:rPr>
          <w:rFonts w:ascii="Arial" w:hAnsi="Arial" w:cs="Arial"/>
          <w:i/>
          <w:iCs/>
          <w:sz w:val="24"/>
          <w:szCs w:val="24"/>
        </w:rPr>
      </w:pPr>
    </w:p>
    <w:p w14:paraId="22712C91" w14:textId="0BC65122" w:rsidR="006C156D" w:rsidRPr="006C156D" w:rsidRDefault="00E520CC" w:rsidP="006C156D">
      <w:pPr>
        <w:spacing w:line="360" w:lineRule="auto"/>
        <w:rPr>
          <w:rFonts w:ascii="Arial" w:hAnsi="Arial" w:cs="Arial"/>
          <w:i/>
          <w:iCs/>
          <w:sz w:val="24"/>
          <w:szCs w:val="24"/>
        </w:rPr>
      </w:pPr>
      <w:r w:rsidRPr="00F81DCE">
        <w:rPr>
          <w:rFonts w:ascii="Arial" w:hAnsi="Arial" w:cs="Arial"/>
          <w:i/>
          <w:iCs/>
          <w:sz w:val="24"/>
          <w:szCs w:val="24"/>
        </w:rPr>
        <w:t>Risk Management</w:t>
      </w:r>
      <w:r w:rsidR="00633989">
        <w:rPr>
          <w:rFonts w:ascii="Arial" w:hAnsi="Arial" w:cs="Arial"/>
          <w:i/>
          <w:iCs/>
          <w:sz w:val="24"/>
          <w:szCs w:val="24"/>
        </w:rPr>
        <w:t xml:space="preserve"> </w:t>
      </w:r>
      <w:r w:rsidR="003D5462">
        <w:rPr>
          <w:rFonts w:ascii="Arial" w:hAnsi="Arial" w:cs="Arial"/>
          <w:i/>
          <w:iCs/>
          <w:sz w:val="24"/>
          <w:szCs w:val="24"/>
        </w:rPr>
        <w:t>:</w:t>
      </w:r>
      <w:r w:rsidR="00633989">
        <w:rPr>
          <w:rFonts w:ascii="Arial" w:hAnsi="Arial" w:cs="Arial"/>
          <w:i/>
          <w:iCs/>
          <w:sz w:val="24"/>
          <w:szCs w:val="24"/>
        </w:rPr>
        <w:t xml:space="preserve">  </w:t>
      </w:r>
      <w:r w:rsidR="006C156D" w:rsidRPr="006C156D">
        <w:rPr>
          <w:rFonts w:ascii="Arial" w:hAnsi="Arial" w:cs="Arial"/>
          <w:sz w:val="24"/>
          <w:szCs w:val="24"/>
        </w:rPr>
        <w:t>Political,</w:t>
      </w:r>
      <w:r w:rsidR="006C156D" w:rsidRPr="006C156D">
        <w:rPr>
          <w:rFonts w:ascii="Arial" w:hAnsi="Arial" w:cs="Arial"/>
          <w:i/>
          <w:iCs/>
          <w:sz w:val="24"/>
          <w:szCs w:val="24"/>
        </w:rPr>
        <w:t xml:space="preserve"> </w:t>
      </w:r>
      <w:r w:rsidR="006C156D" w:rsidRPr="006C156D">
        <w:rPr>
          <w:rFonts w:ascii="Arial" w:hAnsi="Arial" w:cs="Arial"/>
          <w:sz w:val="24"/>
          <w:szCs w:val="24"/>
        </w:rPr>
        <w:t>economic, and operational risks are only a few of the many kinds of hazards that are covered under comprehensive risk management. Neale and McElroy (2004) support a value-based strategy, stating that the goal of all financial choices should be to maximise shareholder value while reducing risks. Strategic partnerships, insurance, and financial derivatives may all be used to efficiently control these risks.</w:t>
      </w:r>
    </w:p>
    <w:p w14:paraId="54FEB6BD" w14:textId="6AC78CC4" w:rsidR="00E520CC" w:rsidRPr="00633989" w:rsidRDefault="00E520CC" w:rsidP="00E520CC">
      <w:pPr>
        <w:spacing w:line="360" w:lineRule="auto"/>
        <w:rPr>
          <w:rFonts w:ascii="Arial" w:hAnsi="Arial" w:cs="Arial"/>
          <w:i/>
          <w:iCs/>
          <w:sz w:val="24"/>
          <w:szCs w:val="24"/>
        </w:rPr>
      </w:pPr>
    </w:p>
    <w:p w14:paraId="5583135D" w14:textId="77777777" w:rsidR="00605F23" w:rsidRPr="00605F23" w:rsidRDefault="00605F23" w:rsidP="00D90B9F">
      <w:pPr>
        <w:spacing w:line="360" w:lineRule="auto"/>
        <w:rPr>
          <w:rFonts w:ascii="Arial" w:hAnsi="Arial" w:cs="Arial"/>
          <w:sz w:val="24"/>
          <w:szCs w:val="24"/>
        </w:rPr>
      </w:pPr>
      <w:r w:rsidRPr="00605F23">
        <w:rPr>
          <w:rFonts w:ascii="Arial" w:hAnsi="Arial" w:cs="Arial"/>
          <w:sz w:val="24"/>
          <w:szCs w:val="24"/>
        </w:rPr>
        <w:lastRenderedPageBreak/>
        <w:t xml:space="preserve">Expanding upon the previously mentioned concepts, Shapiro and </w:t>
      </w:r>
      <w:proofErr w:type="spellStart"/>
      <w:r w:rsidRPr="00605F23">
        <w:rPr>
          <w:rFonts w:ascii="Arial" w:hAnsi="Arial" w:cs="Arial"/>
          <w:sz w:val="24"/>
          <w:szCs w:val="24"/>
        </w:rPr>
        <w:t>Hanouna</w:t>
      </w:r>
      <w:proofErr w:type="spellEnd"/>
      <w:r w:rsidRPr="00605F23">
        <w:rPr>
          <w:rFonts w:ascii="Arial" w:hAnsi="Arial" w:cs="Arial"/>
          <w:sz w:val="24"/>
          <w:szCs w:val="24"/>
        </w:rPr>
        <w:t xml:space="preserve"> (2019) in "Multinational Financial Management" stress the significance of risk management and strategic financial planning for MNCs such as Tesco. They emphasise how important it is to comprehend cross-border funding, exchange rate systems, and global markets. Tesco's use of these tactics, which include capitalising on global capital markets and utilising sophisticated risk management methodologies, is consistent with the framework proposed by Shapiro and </w:t>
      </w:r>
      <w:proofErr w:type="spellStart"/>
      <w:r w:rsidRPr="00605F23">
        <w:rPr>
          <w:rFonts w:ascii="Arial" w:hAnsi="Arial" w:cs="Arial"/>
          <w:sz w:val="24"/>
          <w:szCs w:val="24"/>
        </w:rPr>
        <w:t>Hanouna</w:t>
      </w:r>
      <w:proofErr w:type="spellEnd"/>
      <w:r w:rsidRPr="00605F23">
        <w:rPr>
          <w:rFonts w:ascii="Arial" w:hAnsi="Arial" w:cs="Arial"/>
          <w:sz w:val="24"/>
          <w:szCs w:val="24"/>
        </w:rPr>
        <w:t>. By using these strategies, Tesco is able to maximise its financial performance, efficiently manage political and currency risk, and take advantage of global market possibilities. This ensures sustainable development and keeps Tesco's competitive advantage in the global retail industry.</w:t>
      </w:r>
    </w:p>
    <w:p w14:paraId="724E9C0D" w14:textId="1AD1463E" w:rsidR="003732BD" w:rsidRPr="003732BD" w:rsidRDefault="00E520CC" w:rsidP="00D90B9F">
      <w:pPr>
        <w:spacing w:line="360" w:lineRule="auto"/>
        <w:rPr>
          <w:rFonts w:ascii="Arial" w:hAnsi="Arial" w:cs="Arial"/>
          <w:sz w:val="24"/>
          <w:szCs w:val="24"/>
        </w:rPr>
      </w:pPr>
      <w:r w:rsidRPr="00F81DCE">
        <w:rPr>
          <w:rFonts w:ascii="Arial" w:hAnsi="Arial" w:cs="Arial"/>
          <w:i/>
          <w:iCs/>
          <w:sz w:val="24"/>
          <w:szCs w:val="24"/>
        </w:rPr>
        <w:t>Cross-Border Mergers and Acquisitions (M&amp;A)</w:t>
      </w:r>
      <w:r w:rsidR="003732BD">
        <w:rPr>
          <w:rFonts w:ascii="Arial" w:hAnsi="Arial" w:cs="Arial"/>
          <w:i/>
          <w:iCs/>
          <w:sz w:val="24"/>
          <w:szCs w:val="24"/>
        </w:rPr>
        <w:t>:</w:t>
      </w:r>
      <w:r w:rsidR="00C80333">
        <w:rPr>
          <w:rFonts w:ascii="Arial" w:hAnsi="Arial" w:cs="Arial"/>
          <w:i/>
          <w:iCs/>
          <w:sz w:val="24"/>
          <w:szCs w:val="24"/>
        </w:rPr>
        <w:t xml:space="preserve">  </w:t>
      </w:r>
      <w:r w:rsidRPr="00E520CC">
        <w:rPr>
          <w:rFonts w:ascii="Arial" w:hAnsi="Arial" w:cs="Arial"/>
          <w:sz w:val="24"/>
          <w:szCs w:val="24"/>
        </w:rPr>
        <w:t xml:space="preserve">M&amp;A activities are significant strategies for achieving growth and competitive advantage. According to Pike and Neale (2012), successful cross-border M&amp;A requires thorough due diligence, cultural integration, and strategic alignment. </w:t>
      </w:r>
      <w:r w:rsidR="003732BD" w:rsidRPr="003732BD">
        <w:rPr>
          <w:rFonts w:ascii="Arial" w:hAnsi="Arial" w:cs="Arial"/>
          <w:sz w:val="24"/>
          <w:szCs w:val="24"/>
        </w:rPr>
        <w:t>Realising the advantages of foreign acquisitions also requires negotiating regulatory environments and finding synergies.</w:t>
      </w:r>
    </w:p>
    <w:p w14:paraId="5A7DC37B" w14:textId="3F4BFBB2" w:rsidR="006246DD" w:rsidRPr="006246DD" w:rsidRDefault="00E520CC" w:rsidP="00D90B9F">
      <w:pPr>
        <w:spacing w:line="360" w:lineRule="auto"/>
        <w:rPr>
          <w:rFonts w:ascii="Arial" w:hAnsi="Arial" w:cs="Arial"/>
          <w:i/>
          <w:iCs/>
          <w:sz w:val="24"/>
          <w:szCs w:val="24"/>
        </w:rPr>
      </w:pPr>
      <w:r w:rsidRPr="00E520CC">
        <w:rPr>
          <w:rFonts w:ascii="Arial" w:hAnsi="Arial" w:cs="Arial"/>
          <w:sz w:val="24"/>
          <w:szCs w:val="24"/>
        </w:rPr>
        <w:t xml:space="preserve"> </w:t>
      </w:r>
      <w:r w:rsidRPr="00F81DCE">
        <w:rPr>
          <w:rFonts w:ascii="Arial" w:hAnsi="Arial" w:cs="Arial"/>
          <w:i/>
          <w:iCs/>
          <w:sz w:val="24"/>
          <w:szCs w:val="24"/>
        </w:rPr>
        <w:t>Corporate Governance and Ethical Considerations</w:t>
      </w:r>
      <w:r w:rsidR="003732BD">
        <w:rPr>
          <w:rFonts w:ascii="Arial" w:hAnsi="Arial" w:cs="Arial"/>
          <w:i/>
          <w:iCs/>
          <w:sz w:val="24"/>
          <w:szCs w:val="24"/>
        </w:rPr>
        <w:t>:</w:t>
      </w:r>
      <w:r w:rsidR="00C80333">
        <w:rPr>
          <w:rFonts w:ascii="Arial" w:hAnsi="Arial" w:cs="Arial"/>
          <w:i/>
          <w:iCs/>
          <w:sz w:val="24"/>
          <w:szCs w:val="24"/>
        </w:rPr>
        <w:t xml:space="preserve"> </w:t>
      </w:r>
      <w:r w:rsidR="006246DD" w:rsidRPr="006246DD">
        <w:rPr>
          <w:rFonts w:ascii="Arial" w:hAnsi="Arial" w:cs="Arial"/>
          <w:sz w:val="24"/>
          <w:szCs w:val="24"/>
        </w:rPr>
        <w:t>Robust corporate governance structures are crucial for preserving investor trust and guaranteeing moral behaviour. Arnold (2012) emphasises how crucial it is to maintain international standards, be accountable, and be transparent. IFM's ethical considerations include abstaining from actions like tax evasion and making sure that fair employment practices are applied to all international businesses.</w:t>
      </w:r>
    </w:p>
    <w:p w14:paraId="43B59A65" w14:textId="17B634D7" w:rsidR="00E520CC" w:rsidRPr="00C80333" w:rsidRDefault="00C80333" w:rsidP="00E520CC">
      <w:pPr>
        <w:spacing w:line="360" w:lineRule="auto"/>
        <w:rPr>
          <w:rFonts w:ascii="Arial" w:hAnsi="Arial" w:cs="Arial"/>
          <w:i/>
          <w:iCs/>
          <w:sz w:val="24"/>
          <w:szCs w:val="24"/>
        </w:rPr>
      </w:pPr>
      <w:r>
        <w:rPr>
          <w:rFonts w:ascii="Arial" w:hAnsi="Arial" w:cs="Arial"/>
          <w:i/>
          <w:iCs/>
          <w:sz w:val="24"/>
          <w:szCs w:val="24"/>
        </w:rPr>
        <w:t xml:space="preserve">                                        </w:t>
      </w:r>
    </w:p>
    <w:p w14:paraId="28F0DC8D" w14:textId="77777777" w:rsidR="00E520CC" w:rsidRPr="00E520CC" w:rsidRDefault="00E520CC" w:rsidP="00E520CC">
      <w:pPr>
        <w:spacing w:line="360" w:lineRule="auto"/>
        <w:rPr>
          <w:rFonts w:ascii="Arial" w:hAnsi="Arial" w:cs="Arial"/>
          <w:sz w:val="24"/>
          <w:szCs w:val="24"/>
        </w:rPr>
      </w:pPr>
    </w:p>
    <w:p w14:paraId="4DA57A38" w14:textId="6D7D644B" w:rsidR="00EE4762" w:rsidRPr="00F505B0" w:rsidRDefault="00E520CC" w:rsidP="00EE4762">
      <w:pPr>
        <w:pStyle w:val="Heading1"/>
        <w:rPr>
          <w:rFonts w:ascii="Arial" w:hAnsi="Arial" w:cs="Arial"/>
          <w:i/>
          <w:iCs/>
          <w:color w:val="275317" w:themeColor="accent6" w:themeShade="80"/>
          <w:sz w:val="32"/>
          <w:szCs w:val="32"/>
        </w:rPr>
      </w:pPr>
      <w:bookmarkStart w:id="2" w:name="_Toc175060399"/>
      <w:r w:rsidRPr="00F505B0">
        <w:rPr>
          <w:rFonts w:ascii="Arial" w:hAnsi="Arial" w:cs="Arial"/>
          <w:i/>
          <w:iCs/>
          <w:color w:val="275317" w:themeColor="accent6" w:themeShade="80"/>
          <w:sz w:val="32"/>
          <w:szCs w:val="32"/>
        </w:rPr>
        <w:t>Conclusion</w:t>
      </w:r>
      <w:bookmarkEnd w:id="2"/>
    </w:p>
    <w:p w14:paraId="2EBE0314" w14:textId="77777777" w:rsidR="00EE4762" w:rsidRPr="00EE4762" w:rsidRDefault="00EE4762" w:rsidP="00EE4762"/>
    <w:p w14:paraId="661B778A" w14:textId="617FA846" w:rsidR="004F3C8A" w:rsidRPr="004F3C8A" w:rsidRDefault="004F3C8A" w:rsidP="004F3C8A">
      <w:pPr>
        <w:spacing w:line="360" w:lineRule="auto"/>
        <w:rPr>
          <w:rFonts w:ascii="Arial" w:hAnsi="Arial" w:cs="Arial"/>
          <w:sz w:val="24"/>
          <w:szCs w:val="24"/>
        </w:rPr>
      </w:pPr>
      <w:r w:rsidRPr="004F3C8A">
        <w:rPr>
          <w:rFonts w:ascii="Arial" w:hAnsi="Arial" w:cs="Arial"/>
          <w:sz w:val="24"/>
          <w:szCs w:val="24"/>
        </w:rPr>
        <w:t xml:space="preserve">In order to successfully negotiate the complexity of global finance, </w:t>
      </w:r>
      <w:r>
        <w:rPr>
          <w:rFonts w:ascii="Arial" w:hAnsi="Arial" w:cs="Arial"/>
          <w:sz w:val="24"/>
          <w:szCs w:val="24"/>
        </w:rPr>
        <w:t>I</w:t>
      </w:r>
      <w:r w:rsidRPr="004F3C8A">
        <w:rPr>
          <w:rFonts w:ascii="Arial" w:hAnsi="Arial" w:cs="Arial"/>
          <w:sz w:val="24"/>
          <w:szCs w:val="24"/>
        </w:rPr>
        <w:t xml:space="preserve">nternational </w:t>
      </w:r>
      <w:r>
        <w:rPr>
          <w:rFonts w:ascii="Arial" w:hAnsi="Arial" w:cs="Arial"/>
          <w:sz w:val="24"/>
          <w:szCs w:val="24"/>
        </w:rPr>
        <w:t>F</w:t>
      </w:r>
      <w:r w:rsidRPr="004F3C8A">
        <w:rPr>
          <w:rFonts w:ascii="Arial" w:hAnsi="Arial" w:cs="Arial"/>
          <w:sz w:val="24"/>
          <w:szCs w:val="24"/>
        </w:rPr>
        <w:t xml:space="preserve">inancial </w:t>
      </w:r>
      <w:r>
        <w:rPr>
          <w:rFonts w:ascii="Arial" w:hAnsi="Arial" w:cs="Arial"/>
          <w:sz w:val="24"/>
          <w:szCs w:val="24"/>
        </w:rPr>
        <w:t>M</w:t>
      </w:r>
      <w:r w:rsidRPr="004F3C8A">
        <w:rPr>
          <w:rFonts w:ascii="Arial" w:hAnsi="Arial" w:cs="Arial"/>
          <w:sz w:val="24"/>
          <w:szCs w:val="24"/>
        </w:rPr>
        <w:t xml:space="preserve">anagement is a comprehensive profession that blends numerous ideas and tactics. A thorough grasp of both theoretical concepts and useful tactics is necessary for integrated financial management (IFM), which covers everything from </w:t>
      </w:r>
      <w:r w:rsidRPr="004F3C8A">
        <w:rPr>
          <w:rFonts w:ascii="Arial" w:hAnsi="Arial" w:cs="Arial"/>
          <w:sz w:val="24"/>
          <w:szCs w:val="24"/>
        </w:rPr>
        <w:lastRenderedPageBreak/>
        <w:t xml:space="preserve">controlling exchange rate risks and optimising capital structures to assessing foreign investments and guaranteeing efficient corporate governance. </w:t>
      </w:r>
    </w:p>
    <w:p w14:paraId="1DD6D838" w14:textId="1E376BF8" w:rsidR="00E520CC" w:rsidRDefault="00E520CC" w:rsidP="00E520CC">
      <w:pPr>
        <w:spacing w:line="360" w:lineRule="auto"/>
        <w:rPr>
          <w:rFonts w:ascii="Arial" w:hAnsi="Arial" w:cs="Arial"/>
          <w:sz w:val="24"/>
          <w:szCs w:val="24"/>
        </w:rPr>
      </w:pPr>
      <w:r w:rsidRPr="00E520CC">
        <w:rPr>
          <w:rFonts w:ascii="Arial" w:hAnsi="Arial" w:cs="Arial"/>
          <w:sz w:val="24"/>
          <w:szCs w:val="24"/>
        </w:rPr>
        <w:t>The insights from essential texts such as those by Madura and Fox (2011), Arnold (2012), Bekaert and Hodrick (2011), and others provide a robust foundation for managing financial resources in an increasingly interconnected world. By leveraging these theories and strategies, MNCs can achieve sustainable growth and maintain a competitive edge in the global marketplace.</w:t>
      </w:r>
    </w:p>
    <w:p w14:paraId="357AAD5D" w14:textId="77777777" w:rsidR="00B215F1" w:rsidRDefault="00B215F1" w:rsidP="00E520CC">
      <w:pPr>
        <w:spacing w:line="360" w:lineRule="auto"/>
        <w:rPr>
          <w:rFonts w:ascii="Arial" w:hAnsi="Arial" w:cs="Arial"/>
          <w:sz w:val="24"/>
          <w:szCs w:val="24"/>
        </w:rPr>
      </w:pPr>
    </w:p>
    <w:p w14:paraId="51EDADC4" w14:textId="77777777" w:rsidR="00E520CC" w:rsidRDefault="00E520CC" w:rsidP="00E520CC">
      <w:pPr>
        <w:spacing w:line="360" w:lineRule="auto"/>
        <w:rPr>
          <w:rFonts w:ascii="Arial" w:hAnsi="Arial" w:cs="Arial"/>
          <w:sz w:val="24"/>
          <w:szCs w:val="24"/>
        </w:rPr>
      </w:pPr>
    </w:p>
    <w:p w14:paraId="1CFA6421" w14:textId="77777777" w:rsidR="00E520CC" w:rsidRDefault="00E520CC" w:rsidP="00E520CC">
      <w:pPr>
        <w:spacing w:line="360" w:lineRule="auto"/>
        <w:rPr>
          <w:rFonts w:ascii="Arial" w:hAnsi="Arial" w:cs="Arial"/>
          <w:sz w:val="24"/>
          <w:szCs w:val="24"/>
        </w:rPr>
      </w:pPr>
    </w:p>
    <w:p w14:paraId="479D39F6" w14:textId="5253CC12" w:rsidR="00E520CC" w:rsidRPr="00C77ED3" w:rsidRDefault="00E520CC" w:rsidP="00C77ED3">
      <w:pPr>
        <w:pStyle w:val="Heading1"/>
        <w:rPr>
          <w:color w:val="3A7C22" w:themeColor="accent6" w:themeShade="BF"/>
        </w:rPr>
      </w:pPr>
      <w:bookmarkStart w:id="3" w:name="_Toc175060400"/>
      <w:r w:rsidRPr="00C77ED3">
        <w:rPr>
          <w:color w:val="3A7C22" w:themeColor="accent6" w:themeShade="BF"/>
        </w:rPr>
        <w:t>References:</w:t>
      </w:r>
      <w:bookmarkEnd w:id="3"/>
    </w:p>
    <w:p w14:paraId="2B6836AD" w14:textId="77777777" w:rsidR="0062734D" w:rsidRPr="001C3665" w:rsidRDefault="0062734D" w:rsidP="001C3665">
      <w:pPr>
        <w:spacing w:line="360" w:lineRule="auto"/>
        <w:rPr>
          <w:rFonts w:ascii="Arial" w:hAnsi="Arial" w:cs="Arial"/>
          <w:sz w:val="20"/>
          <w:szCs w:val="20"/>
        </w:rPr>
      </w:pPr>
      <w:r w:rsidRPr="001C3665">
        <w:rPr>
          <w:rFonts w:ascii="Arial" w:hAnsi="Arial" w:cs="Arial"/>
          <w:sz w:val="20"/>
          <w:szCs w:val="20"/>
        </w:rPr>
        <w:t xml:space="preserve"> Arnold. G. (2012) </w:t>
      </w:r>
      <w:r w:rsidRPr="000D78C0">
        <w:rPr>
          <w:rFonts w:ascii="Arial" w:hAnsi="Arial" w:cs="Arial"/>
          <w:i/>
          <w:iCs/>
          <w:sz w:val="20"/>
          <w:szCs w:val="20"/>
        </w:rPr>
        <w:t>Corporate Financial Management</w:t>
      </w:r>
      <w:r w:rsidRPr="001C3665">
        <w:rPr>
          <w:rFonts w:ascii="Arial" w:hAnsi="Arial" w:cs="Arial"/>
          <w:sz w:val="20"/>
          <w:szCs w:val="20"/>
        </w:rPr>
        <w:t xml:space="preserve">, Aston, Financial Times, Prentice Hall </w:t>
      </w:r>
      <w:r w:rsidRPr="001C3665">
        <w:rPr>
          <w:rFonts w:ascii="Arial" w:hAnsi="Arial" w:cs="Arial"/>
          <w:sz w:val="20"/>
          <w:szCs w:val="20"/>
        </w:rPr>
        <w:tab/>
        <w:t xml:space="preserve"> </w:t>
      </w:r>
    </w:p>
    <w:p w14:paraId="580655DA" w14:textId="77777777" w:rsidR="0062734D" w:rsidRPr="001C3665" w:rsidRDefault="0062734D" w:rsidP="001C3665">
      <w:pPr>
        <w:spacing w:line="360" w:lineRule="auto"/>
        <w:rPr>
          <w:rFonts w:ascii="Arial" w:hAnsi="Arial" w:cs="Arial"/>
          <w:sz w:val="20"/>
          <w:szCs w:val="20"/>
        </w:rPr>
      </w:pPr>
      <w:r w:rsidRPr="001C3665">
        <w:rPr>
          <w:rFonts w:ascii="Arial" w:hAnsi="Arial" w:cs="Arial"/>
          <w:sz w:val="20"/>
          <w:szCs w:val="20"/>
        </w:rPr>
        <w:t xml:space="preserve">Arnold. G. (2012) </w:t>
      </w:r>
      <w:r w:rsidRPr="000D78C0">
        <w:rPr>
          <w:rFonts w:ascii="Arial" w:hAnsi="Arial" w:cs="Arial"/>
          <w:i/>
          <w:iCs/>
          <w:sz w:val="20"/>
          <w:szCs w:val="20"/>
        </w:rPr>
        <w:t>Essentials of Corporate Financial Management</w:t>
      </w:r>
      <w:r w:rsidRPr="001C3665">
        <w:rPr>
          <w:rFonts w:ascii="Arial" w:hAnsi="Arial" w:cs="Arial"/>
          <w:sz w:val="20"/>
          <w:szCs w:val="20"/>
        </w:rPr>
        <w:t xml:space="preserve">, 1st Ed., Financial Times, Prentice Hall </w:t>
      </w:r>
      <w:r w:rsidRPr="001C3665">
        <w:rPr>
          <w:rFonts w:ascii="Arial" w:hAnsi="Arial" w:cs="Arial"/>
          <w:sz w:val="20"/>
          <w:szCs w:val="20"/>
        </w:rPr>
        <w:tab/>
        <w:t xml:space="preserve"> </w:t>
      </w:r>
      <w:r w:rsidRPr="001C3665">
        <w:rPr>
          <w:rFonts w:ascii="Arial" w:hAnsi="Arial" w:cs="Arial"/>
          <w:sz w:val="20"/>
          <w:szCs w:val="20"/>
        </w:rPr>
        <w:tab/>
      </w:r>
    </w:p>
    <w:p w14:paraId="06185F38" w14:textId="77777777" w:rsidR="0062734D" w:rsidRPr="001C3665" w:rsidRDefault="0062734D" w:rsidP="001C3665">
      <w:pPr>
        <w:spacing w:line="360" w:lineRule="auto"/>
        <w:rPr>
          <w:rFonts w:ascii="Arial" w:hAnsi="Arial" w:cs="Arial"/>
          <w:sz w:val="20"/>
          <w:szCs w:val="20"/>
        </w:rPr>
      </w:pPr>
      <w:proofErr w:type="spellStart"/>
      <w:r w:rsidRPr="001C3665">
        <w:rPr>
          <w:rFonts w:ascii="Arial" w:hAnsi="Arial" w:cs="Arial"/>
          <w:sz w:val="20"/>
          <w:szCs w:val="20"/>
        </w:rPr>
        <w:t>Atril</w:t>
      </w:r>
      <w:proofErr w:type="spellEnd"/>
      <w:r w:rsidRPr="001C3665">
        <w:rPr>
          <w:rFonts w:ascii="Arial" w:hAnsi="Arial" w:cs="Arial"/>
          <w:sz w:val="20"/>
          <w:szCs w:val="20"/>
        </w:rPr>
        <w:t xml:space="preserve">. P. (2011) </w:t>
      </w:r>
      <w:r w:rsidRPr="000D78C0">
        <w:rPr>
          <w:rFonts w:ascii="Arial" w:hAnsi="Arial" w:cs="Arial"/>
          <w:i/>
          <w:iCs/>
          <w:sz w:val="20"/>
          <w:szCs w:val="20"/>
        </w:rPr>
        <w:t>Financial Management for Decision Makers</w:t>
      </w:r>
      <w:r w:rsidRPr="001C3665">
        <w:rPr>
          <w:rFonts w:ascii="Arial" w:hAnsi="Arial" w:cs="Arial"/>
          <w:sz w:val="20"/>
          <w:szCs w:val="20"/>
        </w:rPr>
        <w:t xml:space="preserve">, 4th Ed, Financial Times, Prentice Hall  </w:t>
      </w:r>
      <w:r w:rsidRPr="001C3665">
        <w:rPr>
          <w:rFonts w:ascii="Arial" w:hAnsi="Arial" w:cs="Arial"/>
          <w:sz w:val="20"/>
          <w:szCs w:val="20"/>
        </w:rPr>
        <w:tab/>
      </w:r>
    </w:p>
    <w:p w14:paraId="7009A4B5" w14:textId="77777777" w:rsidR="0062734D" w:rsidRPr="001C3665" w:rsidRDefault="0062734D" w:rsidP="001C3665">
      <w:pPr>
        <w:spacing w:line="360" w:lineRule="auto"/>
        <w:rPr>
          <w:rFonts w:ascii="Arial" w:hAnsi="Arial" w:cs="Arial"/>
          <w:sz w:val="20"/>
          <w:szCs w:val="20"/>
        </w:rPr>
      </w:pPr>
      <w:proofErr w:type="spellStart"/>
      <w:r w:rsidRPr="001C3665">
        <w:rPr>
          <w:rFonts w:ascii="Arial" w:hAnsi="Arial" w:cs="Arial"/>
          <w:sz w:val="20"/>
          <w:szCs w:val="20"/>
        </w:rPr>
        <w:t>Bekaert.G</w:t>
      </w:r>
      <w:proofErr w:type="spellEnd"/>
      <w:r w:rsidRPr="001C3665">
        <w:rPr>
          <w:rFonts w:ascii="Arial" w:hAnsi="Arial" w:cs="Arial"/>
          <w:sz w:val="20"/>
          <w:szCs w:val="20"/>
        </w:rPr>
        <w:t xml:space="preserve">. and Hodrick. R. (2011) </w:t>
      </w:r>
      <w:r w:rsidRPr="000D78C0">
        <w:rPr>
          <w:rFonts w:ascii="Arial" w:hAnsi="Arial" w:cs="Arial"/>
          <w:i/>
          <w:iCs/>
          <w:sz w:val="20"/>
          <w:szCs w:val="20"/>
        </w:rPr>
        <w:t>International Financial Management</w:t>
      </w:r>
      <w:r w:rsidRPr="001C3665">
        <w:rPr>
          <w:rFonts w:ascii="Arial" w:hAnsi="Arial" w:cs="Arial"/>
          <w:sz w:val="20"/>
          <w:szCs w:val="20"/>
        </w:rPr>
        <w:t xml:space="preserve">, 2nd Ed., Prentice Hall </w:t>
      </w:r>
      <w:r w:rsidRPr="001C3665">
        <w:rPr>
          <w:rFonts w:ascii="Arial" w:hAnsi="Arial" w:cs="Arial"/>
          <w:sz w:val="20"/>
          <w:szCs w:val="20"/>
        </w:rPr>
        <w:tab/>
        <w:t xml:space="preserve"> </w:t>
      </w:r>
      <w:r w:rsidRPr="001C3665">
        <w:rPr>
          <w:rFonts w:ascii="Arial" w:hAnsi="Arial" w:cs="Arial"/>
          <w:sz w:val="20"/>
          <w:szCs w:val="20"/>
        </w:rPr>
        <w:tab/>
      </w:r>
    </w:p>
    <w:p w14:paraId="3D00AAE4" w14:textId="77777777" w:rsidR="0062734D" w:rsidRDefault="002651D5" w:rsidP="001C3665">
      <w:pPr>
        <w:spacing w:line="360" w:lineRule="auto"/>
        <w:rPr>
          <w:rFonts w:ascii="Arial" w:hAnsi="Arial" w:cs="Arial"/>
          <w:sz w:val="20"/>
          <w:szCs w:val="20"/>
        </w:rPr>
      </w:pPr>
      <w:hyperlink r:id="rId11" w:history="1">
        <w:r w:rsidR="0062734D" w:rsidRPr="009135CB">
          <w:rPr>
            <w:rStyle w:val="Hyperlink"/>
            <w:rFonts w:ascii="Arial" w:hAnsi="Arial" w:cs="Arial"/>
            <w:color w:val="275317" w:themeColor="accent6" w:themeShade="80"/>
            <w:sz w:val="20"/>
            <w:szCs w:val="20"/>
          </w:rPr>
          <w:t>CAPM - What is the Capital Asset Pricing Model (youtube.com)</w:t>
        </w:r>
      </w:hyperlink>
      <w:r w:rsidR="0062734D">
        <w:rPr>
          <w:rFonts w:ascii="Arial" w:hAnsi="Arial" w:cs="Arial"/>
          <w:sz w:val="20"/>
          <w:szCs w:val="20"/>
        </w:rPr>
        <w:t xml:space="preserve"> Acceded 14</w:t>
      </w:r>
      <w:r w:rsidR="0062734D" w:rsidRPr="00B227F6">
        <w:rPr>
          <w:rFonts w:ascii="Arial" w:hAnsi="Arial" w:cs="Arial"/>
          <w:sz w:val="20"/>
          <w:szCs w:val="20"/>
          <w:vertAlign w:val="superscript"/>
        </w:rPr>
        <w:t>th</w:t>
      </w:r>
      <w:r w:rsidR="0062734D">
        <w:rPr>
          <w:rFonts w:ascii="Arial" w:hAnsi="Arial" w:cs="Arial"/>
          <w:sz w:val="20"/>
          <w:szCs w:val="20"/>
        </w:rPr>
        <w:t xml:space="preserve"> of August, 2024</w:t>
      </w:r>
    </w:p>
    <w:p w14:paraId="5DA8BF79" w14:textId="77777777" w:rsidR="0062734D" w:rsidRDefault="002651D5" w:rsidP="001C3665">
      <w:pPr>
        <w:spacing w:line="360" w:lineRule="auto"/>
        <w:rPr>
          <w:rFonts w:ascii="Arial" w:hAnsi="Arial" w:cs="Arial"/>
          <w:sz w:val="20"/>
          <w:szCs w:val="20"/>
        </w:rPr>
      </w:pPr>
      <w:hyperlink r:id="rId12" w:history="1">
        <w:r w:rsidR="0062734D" w:rsidRPr="009135CB">
          <w:rPr>
            <w:rStyle w:val="Hyperlink"/>
            <w:rFonts w:ascii="Arial" w:hAnsi="Arial" w:cs="Arial"/>
            <w:color w:val="275317" w:themeColor="accent6" w:themeShade="80"/>
            <w:sz w:val="20"/>
            <w:szCs w:val="20"/>
          </w:rPr>
          <w:t>Exchange Rates &amp; Purchasing Power Parity (youtube.com)</w:t>
        </w:r>
      </w:hyperlink>
      <w:r w:rsidR="0062734D">
        <w:rPr>
          <w:rFonts w:ascii="Arial" w:hAnsi="Arial" w:cs="Arial"/>
          <w:sz w:val="20"/>
          <w:szCs w:val="20"/>
        </w:rPr>
        <w:t xml:space="preserve"> Acceded on 14</w:t>
      </w:r>
      <w:r w:rsidR="0062734D" w:rsidRPr="003F10F3">
        <w:rPr>
          <w:rFonts w:ascii="Arial" w:hAnsi="Arial" w:cs="Arial"/>
          <w:sz w:val="20"/>
          <w:szCs w:val="20"/>
          <w:vertAlign w:val="superscript"/>
        </w:rPr>
        <w:t>th</w:t>
      </w:r>
      <w:r w:rsidR="0062734D">
        <w:rPr>
          <w:rFonts w:ascii="Arial" w:hAnsi="Arial" w:cs="Arial"/>
          <w:sz w:val="20"/>
          <w:szCs w:val="20"/>
        </w:rPr>
        <w:t xml:space="preserve"> of August, 2024</w:t>
      </w:r>
    </w:p>
    <w:p w14:paraId="2DC66C36" w14:textId="77777777" w:rsidR="0062734D" w:rsidRDefault="002651D5" w:rsidP="001C3665">
      <w:pPr>
        <w:spacing w:line="360" w:lineRule="auto"/>
        <w:rPr>
          <w:rFonts w:ascii="Arial" w:hAnsi="Arial" w:cs="Arial"/>
          <w:sz w:val="20"/>
          <w:szCs w:val="20"/>
        </w:rPr>
      </w:pPr>
      <w:hyperlink r:id="rId13" w:history="1">
        <w:r w:rsidR="0062734D" w:rsidRPr="009135CB">
          <w:rPr>
            <w:rStyle w:val="Hyperlink"/>
            <w:rFonts w:ascii="Arial" w:hAnsi="Arial" w:cs="Arial"/>
            <w:color w:val="275317" w:themeColor="accent6" w:themeShade="80"/>
            <w:sz w:val="20"/>
            <w:szCs w:val="20"/>
          </w:rPr>
          <w:t>Forward contract introduction | Finance &amp; Capital Markets | Khan Academy (youtube.com)</w:t>
        </w:r>
      </w:hyperlink>
      <w:r w:rsidR="0062734D">
        <w:rPr>
          <w:rFonts w:ascii="Arial" w:hAnsi="Arial" w:cs="Arial"/>
          <w:sz w:val="20"/>
          <w:szCs w:val="20"/>
        </w:rPr>
        <w:t xml:space="preserve"> Acceded of 14</w:t>
      </w:r>
      <w:r w:rsidR="0062734D" w:rsidRPr="00803805">
        <w:rPr>
          <w:rFonts w:ascii="Arial" w:hAnsi="Arial" w:cs="Arial"/>
          <w:sz w:val="20"/>
          <w:szCs w:val="20"/>
          <w:vertAlign w:val="superscript"/>
        </w:rPr>
        <w:t>th</w:t>
      </w:r>
      <w:r w:rsidR="0062734D">
        <w:rPr>
          <w:rFonts w:ascii="Arial" w:hAnsi="Arial" w:cs="Arial"/>
          <w:sz w:val="20"/>
          <w:szCs w:val="20"/>
        </w:rPr>
        <w:t xml:space="preserve"> of August, 2024</w:t>
      </w:r>
    </w:p>
    <w:p w14:paraId="303212A2" w14:textId="77777777" w:rsidR="0062734D" w:rsidRDefault="002651D5" w:rsidP="001C3665">
      <w:pPr>
        <w:spacing w:line="360" w:lineRule="auto"/>
        <w:rPr>
          <w:rFonts w:ascii="Arial" w:hAnsi="Arial" w:cs="Arial"/>
          <w:sz w:val="20"/>
          <w:szCs w:val="20"/>
        </w:rPr>
      </w:pPr>
      <w:hyperlink r:id="rId14" w:history="1">
        <w:r w:rsidR="0062734D" w:rsidRPr="009135CB">
          <w:rPr>
            <w:rStyle w:val="Hyperlink"/>
            <w:rFonts w:ascii="Arial" w:hAnsi="Arial" w:cs="Arial"/>
            <w:color w:val="275317" w:themeColor="accent6" w:themeShade="80"/>
            <w:sz w:val="20"/>
            <w:szCs w:val="20"/>
          </w:rPr>
          <w:t>Interest Rate Parity Made Easy! (youtube.com)</w:t>
        </w:r>
      </w:hyperlink>
      <w:r w:rsidR="0062734D">
        <w:rPr>
          <w:rFonts w:ascii="Arial" w:hAnsi="Arial" w:cs="Arial"/>
          <w:sz w:val="20"/>
          <w:szCs w:val="20"/>
        </w:rPr>
        <w:t xml:space="preserve"> Acceded on 14th of August, 2024</w:t>
      </w:r>
    </w:p>
    <w:p w14:paraId="0C01A17A" w14:textId="77777777" w:rsidR="0062734D" w:rsidRPr="001C3665" w:rsidRDefault="0062734D" w:rsidP="001C3665">
      <w:pPr>
        <w:spacing w:line="360" w:lineRule="auto"/>
        <w:rPr>
          <w:rFonts w:ascii="Arial" w:hAnsi="Arial" w:cs="Arial"/>
          <w:sz w:val="20"/>
          <w:szCs w:val="20"/>
        </w:rPr>
      </w:pPr>
      <w:r w:rsidRPr="001C3665">
        <w:rPr>
          <w:rFonts w:ascii="Arial" w:hAnsi="Arial" w:cs="Arial"/>
          <w:sz w:val="20"/>
          <w:szCs w:val="20"/>
        </w:rPr>
        <w:t xml:space="preserve">Madura &amp; Fox (2011) Roland, </w:t>
      </w:r>
      <w:r w:rsidRPr="000D78C0">
        <w:rPr>
          <w:rFonts w:ascii="Arial" w:hAnsi="Arial" w:cs="Arial"/>
          <w:i/>
          <w:iCs/>
          <w:sz w:val="20"/>
          <w:szCs w:val="20"/>
        </w:rPr>
        <w:t>International Financial Management</w:t>
      </w:r>
      <w:r w:rsidRPr="001C3665">
        <w:rPr>
          <w:rFonts w:ascii="Arial" w:hAnsi="Arial" w:cs="Arial"/>
          <w:sz w:val="20"/>
          <w:szCs w:val="20"/>
        </w:rPr>
        <w:t>, 2nd edition, Cengage Learning EMEA.</w:t>
      </w:r>
      <w:r w:rsidRPr="001C3665">
        <w:rPr>
          <w:rFonts w:ascii="Arial" w:hAnsi="Arial" w:cs="Arial"/>
          <w:sz w:val="20"/>
          <w:szCs w:val="20"/>
        </w:rPr>
        <w:tab/>
      </w:r>
    </w:p>
    <w:p w14:paraId="359C89E1" w14:textId="77777777" w:rsidR="0062734D" w:rsidRDefault="0062734D" w:rsidP="001C3665">
      <w:pPr>
        <w:spacing w:line="360" w:lineRule="auto"/>
        <w:rPr>
          <w:rFonts w:ascii="Arial" w:hAnsi="Arial" w:cs="Arial"/>
          <w:sz w:val="20"/>
          <w:szCs w:val="20"/>
        </w:rPr>
      </w:pPr>
      <w:proofErr w:type="spellStart"/>
      <w:r w:rsidRPr="001C3665">
        <w:rPr>
          <w:rFonts w:ascii="Arial" w:hAnsi="Arial" w:cs="Arial"/>
          <w:sz w:val="20"/>
          <w:szCs w:val="20"/>
        </w:rPr>
        <w:t>Mclaney</w:t>
      </w:r>
      <w:proofErr w:type="spellEnd"/>
      <w:r w:rsidRPr="001C3665">
        <w:rPr>
          <w:rFonts w:ascii="Arial" w:hAnsi="Arial" w:cs="Arial"/>
          <w:sz w:val="20"/>
          <w:szCs w:val="20"/>
        </w:rPr>
        <w:t xml:space="preserve">. E. (2011) </w:t>
      </w:r>
      <w:r w:rsidRPr="000D78C0">
        <w:rPr>
          <w:rFonts w:ascii="Arial" w:hAnsi="Arial" w:cs="Arial"/>
          <w:i/>
          <w:iCs/>
          <w:sz w:val="20"/>
          <w:szCs w:val="20"/>
        </w:rPr>
        <w:t>Business Finance</w:t>
      </w:r>
      <w:r w:rsidRPr="001C3665">
        <w:rPr>
          <w:rFonts w:ascii="Arial" w:hAnsi="Arial" w:cs="Arial"/>
          <w:sz w:val="20"/>
          <w:szCs w:val="20"/>
        </w:rPr>
        <w:t xml:space="preserve">, 7th Ed, Financial Times, Prentice Hall </w:t>
      </w:r>
    </w:p>
    <w:p w14:paraId="51625E4B" w14:textId="77777777" w:rsidR="0062734D" w:rsidRPr="001C3665" w:rsidRDefault="0062734D" w:rsidP="001C3665">
      <w:pPr>
        <w:spacing w:line="360" w:lineRule="auto"/>
        <w:rPr>
          <w:rFonts w:ascii="Arial" w:hAnsi="Arial" w:cs="Arial"/>
          <w:sz w:val="20"/>
          <w:szCs w:val="20"/>
        </w:rPr>
      </w:pPr>
      <w:r w:rsidRPr="001C3665">
        <w:rPr>
          <w:rFonts w:ascii="Arial" w:hAnsi="Arial" w:cs="Arial"/>
          <w:sz w:val="20"/>
          <w:szCs w:val="20"/>
        </w:rPr>
        <w:t xml:space="preserve"> Neale. B. and McElroy. T. (2004) </w:t>
      </w:r>
      <w:r w:rsidRPr="002D1B68">
        <w:rPr>
          <w:rFonts w:ascii="Arial" w:hAnsi="Arial" w:cs="Arial"/>
          <w:i/>
          <w:iCs/>
          <w:sz w:val="20"/>
          <w:szCs w:val="20"/>
        </w:rPr>
        <w:t>Business Finance a Value-based approach</w:t>
      </w:r>
      <w:r w:rsidRPr="001C3665">
        <w:rPr>
          <w:rFonts w:ascii="Arial" w:hAnsi="Arial" w:cs="Arial"/>
          <w:sz w:val="20"/>
          <w:szCs w:val="20"/>
        </w:rPr>
        <w:t xml:space="preserve">, 1st Ed., Financial Times, Prentice Hall </w:t>
      </w:r>
      <w:r w:rsidRPr="001C3665">
        <w:rPr>
          <w:rFonts w:ascii="Arial" w:hAnsi="Arial" w:cs="Arial"/>
          <w:sz w:val="20"/>
          <w:szCs w:val="20"/>
        </w:rPr>
        <w:tab/>
        <w:t xml:space="preserve"> </w:t>
      </w:r>
      <w:r w:rsidRPr="001C3665">
        <w:rPr>
          <w:rFonts w:ascii="Arial" w:hAnsi="Arial" w:cs="Arial"/>
          <w:sz w:val="20"/>
          <w:szCs w:val="20"/>
        </w:rPr>
        <w:tab/>
      </w:r>
    </w:p>
    <w:p w14:paraId="45C8501E" w14:textId="77777777" w:rsidR="0062734D" w:rsidRDefault="002651D5" w:rsidP="001C3665">
      <w:pPr>
        <w:spacing w:line="360" w:lineRule="auto"/>
        <w:rPr>
          <w:rFonts w:ascii="Arial" w:hAnsi="Arial" w:cs="Arial"/>
          <w:sz w:val="20"/>
          <w:szCs w:val="20"/>
        </w:rPr>
      </w:pPr>
      <w:hyperlink r:id="rId15" w:history="1">
        <w:r w:rsidR="0062734D" w:rsidRPr="009135CB">
          <w:rPr>
            <w:rStyle w:val="Hyperlink"/>
            <w:rFonts w:ascii="Arial" w:hAnsi="Arial" w:cs="Arial"/>
            <w:color w:val="275317" w:themeColor="accent6" w:themeShade="80"/>
            <w:sz w:val="20"/>
            <w:szCs w:val="20"/>
          </w:rPr>
          <w:t xml:space="preserve">Optimum Currency Areas | </w:t>
        </w:r>
        <w:proofErr w:type="spellStart"/>
        <w:r w:rsidR="0062734D" w:rsidRPr="009135CB">
          <w:rPr>
            <w:rStyle w:val="Hyperlink"/>
            <w:rFonts w:ascii="Arial" w:hAnsi="Arial" w:cs="Arial"/>
            <w:color w:val="275317" w:themeColor="accent6" w:themeShade="80"/>
            <w:sz w:val="20"/>
            <w:szCs w:val="20"/>
          </w:rPr>
          <w:t>Ecoholics</w:t>
        </w:r>
        <w:proofErr w:type="spellEnd"/>
        <w:r w:rsidR="0062734D" w:rsidRPr="009135CB">
          <w:rPr>
            <w:rStyle w:val="Hyperlink"/>
            <w:rFonts w:ascii="Arial" w:hAnsi="Arial" w:cs="Arial"/>
            <w:color w:val="275317" w:themeColor="accent6" w:themeShade="80"/>
            <w:sz w:val="20"/>
            <w:szCs w:val="20"/>
          </w:rPr>
          <w:t xml:space="preserve"> (youtube.com)</w:t>
        </w:r>
      </w:hyperlink>
      <w:r w:rsidR="0062734D">
        <w:rPr>
          <w:rFonts w:ascii="Arial" w:hAnsi="Arial" w:cs="Arial"/>
          <w:sz w:val="20"/>
          <w:szCs w:val="20"/>
        </w:rPr>
        <w:t xml:space="preserve"> Acceded on 14</w:t>
      </w:r>
      <w:r w:rsidR="0062734D" w:rsidRPr="00B227F6">
        <w:rPr>
          <w:rFonts w:ascii="Arial" w:hAnsi="Arial" w:cs="Arial"/>
          <w:sz w:val="20"/>
          <w:szCs w:val="20"/>
          <w:vertAlign w:val="superscript"/>
        </w:rPr>
        <w:t>th</w:t>
      </w:r>
      <w:r w:rsidR="0062734D">
        <w:rPr>
          <w:rFonts w:ascii="Arial" w:hAnsi="Arial" w:cs="Arial"/>
          <w:sz w:val="20"/>
          <w:szCs w:val="20"/>
        </w:rPr>
        <w:t xml:space="preserve">  of August, 2024</w:t>
      </w:r>
    </w:p>
    <w:p w14:paraId="30B665D1" w14:textId="77777777" w:rsidR="0062734D" w:rsidRDefault="0062734D" w:rsidP="001C3665">
      <w:pPr>
        <w:spacing w:line="360" w:lineRule="auto"/>
        <w:rPr>
          <w:rFonts w:ascii="Arial" w:hAnsi="Arial" w:cs="Arial"/>
          <w:sz w:val="20"/>
          <w:szCs w:val="20"/>
        </w:rPr>
      </w:pPr>
      <w:r w:rsidRPr="001C3665">
        <w:rPr>
          <w:rFonts w:ascii="Arial" w:hAnsi="Arial" w:cs="Arial"/>
          <w:sz w:val="20"/>
          <w:szCs w:val="20"/>
        </w:rPr>
        <w:lastRenderedPageBreak/>
        <w:t xml:space="preserve">Pike. R. and Neale. B (2012) </w:t>
      </w:r>
      <w:r w:rsidRPr="002D1B68">
        <w:rPr>
          <w:rFonts w:ascii="Arial" w:hAnsi="Arial" w:cs="Arial"/>
          <w:i/>
          <w:iCs/>
          <w:sz w:val="20"/>
          <w:szCs w:val="20"/>
        </w:rPr>
        <w:t>Corporate Finance and Investment</w:t>
      </w:r>
      <w:r w:rsidRPr="001C3665">
        <w:rPr>
          <w:rFonts w:ascii="Arial" w:hAnsi="Arial" w:cs="Arial"/>
          <w:sz w:val="20"/>
          <w:szCs w:val="20"/>
        </w:rPr>
        <w:t>, 5th Ed., Financial Times, Prentice Hall.</w:t>
      </w:r>
    </w:p>
    <w:p w14:paraId="606CD160" w14:textId="77777777" w:rsidR="0062734D" w:rsidRDefault="0062734D" w:rsidP="001C3665">
      <w:pPr>
        <w:spacing w:line="360" w:lineRule="auto"/>
        <w:rPr>
          <w:rFonts w:ascii="Arial" w:hAnsi="Arial" w:cs="Arial"/>
          <w:sz w:val="20"/>
          <w:szCs w:val="20"/>
        </w:rPr>
      </w:pPr>
      <w:proofErr w:type="spellStart"/>
      <w:r w:rsidRPr="00EA2D9B">
        <w:rPr>
          <w:rFonts w:ascii="Arial" w:hAnsi="Arial" w:cs="Arial"/>
          <w:sz w:val="20"/>
          <w:szCs w:val="20"/>
        </w:rPr>
        <w:t>Rosnizam</w:t>
      </w:r>
      <w:proofErr w:type="spellEnd"/>
      <w:r w:rsidRPr="00EA2D9B">
        <w:rPr>
          <w:rFonts w:ascii="Arial" w:hAnsi="Arial" w:cs="Arial"/>
          <w:sz w:val="20"/>
          <w:szCs w:val="20"/>
        </w:rPr>
        <w:t xml:space="preserve">, M.R.A.B., Kee, D.M.H., Akhir, M.E.H.B.M., </w:t>
      </w:r>
      <w:proofErr w:type="spellStart"/>
      <w:r w:rsidRPr="00EA2D9B">
        <w:rPr>
          <w:rFonts w:ascii="Arial" w:hAnsi="Arial" w:cs="Arial"/>
          <w:sz w:val="20"/>
          <w:szCs w:val="20"/>
        </w:rPr>
        <w:t>Shahqira</w:t>
      </w:r>
      <w:proofErr w:type="spellEnd"/>
      <w:r w:rsidRPr="00EA2D9B">
        <w:rPr>
          <w:rFonts w:ascii="Arial" w:hAnsi="Arial" w:cs="Arial"/>
          <w:sz w:val="20"/>
          <w:szCs w:val="20"/>
        </w:rPr>
        <w:t>, M., Yusoff, M.A.H.B.M., Budiman, R.S. and Alajmi, A.M., 2020. Market opportunities and challenges: A case study of Tesco. </w:t>
      </w:r>
      <w:r w:rsidRPr="00EA2D9B">
        <w:rPr>
          <w:rFonts w:ascii="Arial" w:hAnsi="Arial" w:cs="Arial"/>
          <w:i/>
          <w:iCs/>
          <w:sz w:val="20"/>
          <w:szCs w:val="20"/>
        </w:rPr>
        <w:t>Journal of the community development in Asia</w:t>
      </w:r>
      <w:r w:rsidRPr="00EA2D9B">
        <w:rPr>
          <w:rFonts w:ascii="Arial" w:hAnsi="Arial" w:cs="Arial"/>
          <w:sz w:val="20"/>
          <w:szCs w:val="20"/>
        </w:rPr>
        <w:t>, </w:t>
      </w:r>
      <w:r w:rsidRPr="00EA2D9B">
        <w:rPr>
          <w:rFonts w:ascii="Arial" w:hAnsi="Arial" w:cs="Arial"/>
          <w:i/>
          <w:iCs/>
          <w:sz w:val="20"/>
          <w:szCs w:val="20"/>
        </w:rPr>
        <w:t>3</w:t>
      </w:r>
      <w:r w:rsidRPr="00EA2D9B">
        <w:rPr>
          <w:rFonts w:ascii="Arial" w:hAnsi="Arial" w:cs="Arial"/>
          <w:sz w:val="20"/>
          <w:szCs w:val="20"/>
        </w:rPr>
        <w:t>(2), pp.18-27.</w:t>
      </w:r>
    </w:p>
    <w:p w14:paraId="49A93088" w14:textId="77777777" w:rsidR="0062734D" w:rsidRDefault="0062734D" w:rsidP="001C3665">
      <w:pPr>
        <w:spacing w:line="360" w:lineRule="auto"/>
        <w:rPr>
          <w:rFonts w:ascii="Arial" w:hAnsi="Arial" w:cs="Arial"/>
          <w:sz w:val="20"/>
          <w:szCs w:val="20"/>
        </w:rPr>
      </w:pPr>
      <w:r w:rsidRPr="002D4F69">
        <w:rPr>
          <w:rFonts w:ascii="Arial" w:hAnsi="Arial" w:cs="Arial"/>
          <w:sz w:val="20"/>
          <w:szCs w:val="20"/>
        </w:rPr>
        <w:t xml:space="preserve">Shapiro, A.C. and </w:t>
      </w:r>
      <w:proofErr w:type="spellStart"/>
      <w:r w:rsidRPr="002D4F69">
        <w:rPr>
          <w:rFonts w:ascii="Arial" w:hAnsi="Arial" w:cs="Arial"/>
          <w:sz w:val="20"/>
          <w:szCs w:val="20"/>
        </w:rPr>
        <w:t>Hanouna</w:t>
      </w:r>
      <w:proofErr w:type="spellEnd"/>
      <w:r w:rsidRPr="002D4F69">
        <w:rPr>
          <w:rFonts w:ascii="Arial" w:hAnsi="Arial" w:cs="Arial"/>
          <w:sz w:val="20"/>
          <w:szCs w:val="20"/>
        </w:rPr>
        <w:t>, P., 2019. </w:t>
      </w:r>
      <w:r w:rsidRPr="002D4F69">
        <w:rPr>
          <w:rFonts w:ascii="Arial" w:hAnsi="Arial" w:cs="Arial"/>
          <w:i/>
          <w:iCs/>
          <w:sz w:val="20"/>
          <w:szCs w:val="20"/>
        </w:rPr>
        <w:t>Multinational financial management</w:t>
      </w:r>
      <w:r w:rsidRPr="002D4F69">
        <w:rPr>
          <w:rFonts w:ascii="Arial" w:hAnsi="Arial" w:cs="Arial"/>
          <w:sz w:val="20"/>
          <w:szCs w:val="20"/>
        </w:rPr>
        <w:t>. John Wiley &amp; Sons.</w:t>
      </w:r>
    </w:p>
    <w:p w14:paraId="7AB7B761" w14:textId="77777777" w:rsidR="0062734D" w:rsidRPr="001C3665" w:rsidRDefault="002651D5" w:rsidP="001C3665">
      <w:pPr>
        <w:spacing w:line="360" w:lineRule="auto"/>
        <w:rPr>
          <w:rFonts w:ascii="Arial" w:hAnsi="Arial" w:cs="Arial"/>
          <w:sz w:val="20"/>
          <w:szCs w:val="20"/>
        </w:rPr>
      </w:pPr>
      <w:hyperlink r:id="rId16" w:history="1">
        <w:r w:rsidR="0062734D" w:rsidRPr="009135CB">
          <w:rPr>
            <w:rStyle w:val="Hyperlink"/>
            <w:rFonts w:ascii="Arial" w:hAnsi="Arial" w:cs="Arial"/>
            <w:color w:val="275317" w:themeColor="accent6" w:themeShade="80"/>
            <w:sz w:val="20"/>
            <w:szCs w:val="20"/>
          </w:rPr>
          <w:t>What is CAPITAL STRUCTURE? Exploring DEBT &amp; EQUITY in Capital Structure - EDUCATIONLEAVES -2024 (youtube.com)</w:t>
        </w:r>
      </w:hyperlink>
      <w:r w:rsidR="0062734D">
        <w:rPr>
          <w:rFonts w:ascii="Arial" w:hAnsi="Arial" w:cs="Arial"/>
          <w:sz w:val="20"/>
          <w:szCs w:val="20"/>
        </w:rPr>
        <w:t xml:space="preserve"> Acceded on 14</w:t>
      </w:r>
      <w:r w:rsidR="0062734D" w:rsidRPr="005043FC">
        <w:rPr>
          <w:rFonts w:ascii="Arial" w:hAnsi="Arial" w:cs="Arial"/>
          <w:sz w:val="20"/>
          <w:szCs w:val="20"/>
          <w:vertAlign w:val="superscript"/>
        </w:rPr>
        <w:t>th</w:t>
      </w:r>
      <w:r w:rsidR="0062734D">
        <w:rPr>
          <w:rFonts w:ascii="Arial" w:hAnsi="Arial" w:cs="Arial"/>
          <w:sz w:val="20"/>
          <w:szCs w:val="20"/>
        </w:rPr>
        <w:t xml:space="preserve"> of August, 2024</w:t>
      </w:r>
    </w:p>
    <w:p w14:paraId="75030C9B" w14:textId="77777777" w:rsidR="0062734D" w:rsidRDefault="002651D5" w:rsidP="001C3665">
      <w:pPr>
        <w:spacing w:line="360" w:lineRule="auto"/>
        <w:rPr>
          <w:rFonts w:ascii="Arial" w:hAnsi="Arial" w:cs="Arial"/>
          <w:sz w:val="20"/>
          <w:szCs w:val="20"/>
        </w:rPr>
      </w:pPr>
      <w:hyperlink r:id="rId17" w:history="1">
        <w:r w:rsidR="0062734D" w:rsidRPr="009135CB">
          <w:rPr>
            <w:rStyle w:val="Hyperlink"/>
            <w:rFonts w:ascii="Arial" w:hAnsi="Arial" w:cs="Arial"/>
            <w:color w:val="275317" w:themeColor="accent6" w:themeShade="80"/>
            <w:sz w:val="20"/>
            <w:szCs w:val="20"/>
          </w:rPr>
          <w:t>What Is the Fisher Effect? - YouTube</w:t>
        </w:r>
      </w:hyperlink>
      <w:r w:rsidR="0062734D">
        <w:rPr>
          <w:rFonts w:ascii="Arial" w:hAnsi="Arial" w:cs="Arial"/>
          <w:sz w:val="20"/>
          <w:szCs w:val="20"/>
        </w:rPr>
        <w:t xml:space="preserve"> Acceded on 14</w:t>
      </w:r>
      <w:r w:rsidR="0062734D" w:rsidRPr="00141DC1">
        <w:rPr>
          <w:rFonts w:ascii="Arial" w:hAnsi="Arial" w:cs="Arial"/>
          <w:sz w:val="20"/>
          <w:szCs w:val="20"/>
          <w:vertAlign w:val="superscript"/>
        </w:rPr>
        <w:t>th</w:t>
      </w:r>
      <w:r w:rsidR="0062734D">
        <w:rPr>
          <w:rFonts w:ascii="Arial" w:hAnsi="Arial" w:cs="Arial"/>
          <w:sz w:val="20"/>
          <w:szCs w:val="20"/>
        </w:rPr>
        <w:t xml:space="preserve"> of August, 2024</w:t>
      </w:r>
    </w:p>
    <w:p w14:paraId="558302DF" w14:textId="77777777" w:rsidR="003679AD" w:rsidRPr="00E520CC" w:rsidRDefault="003679AD" w:rsidP="00E520CC">
      <w:pPr>
        <w:spacing w:line="360" w:lineRule="auto"/>
        <w:rPr>
          <w:rFonts w:ascii="Arial" w:hAnsi="Arial" w:cs="Arial"/>
          <w:sz w:val="24"/>
          <w:szCs w:val="24"/>
        </w:rPr>
      </w:pPr>
    </w:p>
    <w:p w14:paraId="322BB139" w14:textId="77777777" w:rsidR="003679AD" w:rsidRPr="00E520CC" w:rsidRDefault="003679AD" w:rsidP="00E520CC">
      <w:pPr>
        <w:spacing w:line="360" w:lineRule="auto"/>
        <w:rPr>
          <w:rFonts w:ascii="Arial" w:hAnsi="Arial" w:cs="Arial"/>
          <w:sz w:val="24"/>
          <w:szCs w:val="24"/>
        </w:rPr>
      </w:pPr>
    </w:p>
    <w:p w14:paraId="68077066" w14:textId="77777777" w:rsidR="00DF3892" w:rsidRPr="00E520CC" w:rsidRDefault="00DF3892" w:rsidP="00E520CC">
      <w:pPr>
        <w:spacing w:line="360" w:lineRule="auto"/>
        <w:rPr>
          <w:rFonts w:ascii="Arial" w:hAnsi="Arial" w:cs="Arial"/>
          <w:sz w:val="24"/>
          <w:szCs w:val="24"/>
        </w:rPr>
      </w:pPr>
    </w:p>
    <w:p w14:paraId="5D4B003E" w14:textId="77777777" w:rsidR="00DF3892" w:rsidRPr="00E520CC" w:rsidRDefault="00DF3892" w:rsidP="00E520CC">
      <w:pPr>
        <w:spacing w:line="360" w:lineRule="auto"/>
        <w:rPr>
          <w:rFonts w:ascii="Arial" w:hAnsi="Arial" w:cs="Arial"/>
          <w:sz w:val="24"/>
          <w:szCs w:val="24"/>
        </w:rPr>
      </w:pPr>
    </w:p>
    <w:p w14:paraId="5EA80FA5" w14:textId="77777777" w:rsidR="00DF3892" w:rsidRPr="00D50D42" w:rsidRDefault="00DF3892" w:rsidP="0049777D">
      <w:pPr>
        <w:rPr>
          <w:rFonts w:ascii="Arial" w:hAnsi="Arial" w:cs="Arial"/>
          <w:sz w:val="24"/>
          <w:szCs w:val="24"/>
        </w:rPr>
      </w:pPr>
    </w:p>
    <w:sectPr w:rsidR="00DF3892" w:rsidRPr="00D50D42" w:rsidSect="0061727C">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15344" w14:textId="77777777" w:rsidR="00F62D25" w:rsidRDefault="00F62D25" w:rsidP="00757A90">
      <w:pPr>
        <w:spacing w:after="0" w:line="240" w:lineRule="auto"/>
      </w:pPr>
      <w:r>
        <w:separator/>
      </w:r>
    </w:p>
  </w:endnote>
  <w:endnote w:type="continuationSeparator" w:id="0">
    <w:p w14:paraId="7BF6A5DC" w14:textId="77777777" w:rsidR="00F62D25" w:rsidRDefault="00F62D25" w:rsidP="00757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2154312"/>
      <w:docPartObj>
        <w:docPartGallery w:val="Page Numbers (Bottom of Page)"/>
        <w:docPartUnique/>
      </w:docPartObj>
    </w:sdtPr>
    <w:sdtEndPr/>
    <w:sdtContent>
      <w:p w14:paraId="7AED9C43" w14:textId="323C29BB" w:rsidR="00757A90" w:rsidRDefault="00757A90">
        <w:pPr>
          <w:pStyle w:val="Footer"/>
          <w:jc w:val="center"/>
        </w:pPr>
        <w:r>
          <w:fldChar w:fldCharType="begin"/>
        </w:r>
        <w:r>
          <w:instrText>PAGE   \* MERGEFORMAT</w:instrText>
        </w:r>
        <w:r>
          <w:fldChar w:fldCharType="separate"/>
        </w:r>
        <w:r>
          <w:t>2</w:t>
        </w:r>
        <w:r>
          <w:fldChar w:fldCharType="end"/>
        </w:r>
      </w:p>
    </w:sdtContent>
  </w:sdt>
  <w:p w14:paraId="2A185E89" w14:textId="77777777" w:rsidR="00757A90" w:rsidRDefault="00757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6967C6" w14:textId="77777777" w:rsidR="00F62D25" w:rsidRDefault="00F62D25" w:rsidP="00757A90">
      <w:pPr>
        <w:spacing w:after="0" w:line="240" w:lineRule="auto"/>
      </w:pPr>
      <w:r>
        <w:separator/>
      </w:r>
    </w:p>
  </w:footnote>
  <w:footnote w:type="continuationSeparator" w:id="0">
    <w:p w14:paraId="18B87158" w14:textId="77777777" w:rsidR="00F62D25" w:rsidRDefault="00F62D25" w:rsidP="00757A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C4D"/>
    <w:rsid w:val="0003696B"/>
    <w:rsid w:val="00053D56"/>
    <w:rsid w:val="00061F78"/>
    <w:rsid w:val="000D78C0"/>
    <w:rsid w:val="00114BEE"/>
    <w:rsid w:val="00141C2F"/>
    <w:rsid w:val="00141DC1"/>
    <w:rsid w:val="00171F46"/>
    <w:rsid w:val="00173AFB"/>
    <w:rsid w:val="00184427"/>
    <w:rsid w:val="00195EC5"/>
    <w:rsid w:val="001968B8"/>
    <w:rsid w:val="001977A7"/>
    <w:rsid w:val="001C3665"/>
    <w:rsid w:val="001C4852"/>
    <w:rsid w:val="001C5703"/>
    <w:rsid w:val="001E6C3A"/>
    <w:rsid w:val="001F1E91"/>
    <w:rsid w:val="001F7AD5"/>
    <w:rsid w:val="0023646F"/>
    <w:rsid w:val="00251E41"/>
    <w:rsid w:val="00264BEC"/>
    <w:rsid w:val="002651D5"/>
    <w:rsid w:val="00267180"/>
    <w:rsid w:val="002719A0"/>
    <w:rsid w:val="00275145"/>
    <w:rsid w:val="002C6E63"/>
    <w:rsid w:val="002D0ABB"/>
    <w:rsid w:val="002D1B68"/>
    <w:rsid w:val="002D4F69"/>
    <w:rsid w:val="00300EE6"/>
    <w:rsid w:val="0032529A"/>
    <w:rsid w:val="003679AD"/>
    <w:rsid w:val="00372DCD"/>
    <w:rsid w:val="003732BD"/>
    <w:rsid w:val="00383226"/>
    <w:rsid w:val="00385C52"/>
    <w:rsid w:val="003A19AA"/>
    <w:rsid w:val="003C3FCE"/>
    <w:rsid w:val="003D453E"/>
    <w:rsid w:val="003D5462"/>
    <w:rsid w:val="003F10F3"/>
    <w:rsid w:val="004431FC"/>
    <w:rsid w:val="00447524"/>
    <w:rsid w:val="004801AD"/>
    <w:rsid w:val="00482629"/>
    <w:rsid w:val="004862AC"/>
    <w:rsid w:val="0048734F"/>
    <w:rsid w:val="0049777D"/>
    <w:rsid w:val="004D6C6B"/>
    <w:rsid w:val="004F2E6B"/>
    <w:rsid w:val="004F3C8A"/>
    <w:rsid w:val="004F77B1"/>
    <w:rsid w:val="005043FC"/>
    <w:rsid w:val="0051027E"/>
    <w:rsid w:val="005418E7"/>
    <w:rsid w:val="00556545"/>
    <w:rsid w:val="0057151D"/>
    <w:rsid w:val="00583C52"/>
    <w:rsid w:val="00585C66"/>
    <w:rsid w:val="005900BD"/>
    <w:rsid w:val="0059477B"/>
    <w:rsid w:val="00596BB6"/>
    <w:rsid w:val="005A0DA5"/>
    <w:rsid w:val="005A3F4E"/>
    <w:rsid w:val="005B0F47"/>
    <w:rsid w:val="005C0B38"/>
    <w:rsid w:val="005E04A8"/>
    <w:rsid w:val="00602117"/>
    <w:rsid w:val="00603B32"/>
    <w:rsid w:val="00605F23"/>
    <w:rsid w:val="0061727C"/>
    <w:rsid w:val="006246DD"/>
    <w:rsid w:val="0062734D"/>
    <w:rsid w:val="00633989"/>
    <w:rsid w:val="006411B2"/>
    <w:rsid w:val="0064307A"/>
    <w:rsid w:val="00674A4A"/>
    <w:rsid w:val="0069712A"/>
    <w:rsid w:val="006A43A6"/>
    <w:rsid w:val="006C156D"/>
    <w:rsid w:val="006C593F"/>
    <w:rsid w:val="006D5393"/>
    <w:rsid w:val="006F0EE8"/>
    <w:rsid w:val="006F67EC"/>
    <w:rsid w:val="00700F55"/>
    <w:rsid w:val="007115DC"/>
    <w:rsid w:val="0072616A"/>
    <w:rsid w:val="007344A5"/>
    <w:rsid w:val="0074257F"/>
    <w:rsid w:val="00757A90"/>
    <w:rsid w:val="00760061"/>
    <w:rsid w:val="00781C3C"/>
    <w:rsid w:val="007B0B78"/>
    <w:rsid w:val="007C60E7"/>
    <w:rsid w:val="007F05E2"/>
    <w:rsid w:val="00803805"/>
    <w:rsid w:val="00813DF2"/>
    <w:rsid w:val="0082540A"/>
    <w:rsid w:val="00882AF7"/>
    <w:rsid w:val="00884F69"/>
    <w:rsid w:val="008C5C84"/>
    <w:rsid w:val="008E04F2"/>
    <w:rsid w:val="008F39FD"/>
    <w:rsid w:val="0091313F"/>
    <w:rsid w:val="009135CB"/>
    <w:rsid w:val="00943CA7"/>
    <w:rsid w:val="00944005"/>
    <w:rsid w:val="00945CCD"/>
    <w:rsid w:val="0096083B"/>
    <w:rsid w:val="0097651E"/>
    <w:rsid w:val="00985BC6"/>
    <w:rsid w:val="009B3986"/>
    <w:rsid w:val="009B59E2"/>
    <w:rsid w:val="009E6326"/>
    <w:rsid w:val="009F0438"/>
    <w:rsid w:val="00A619A7"/>
    <w:rsid w:val="00AA088A"/>
    <w:rsid w:val="00AA152A"/>
    <w:rsid w:val="00AC203D"/>
    <w:rsid w:val="00AD47E6"/>
    <w:rsid w:val="00AE521B"/>
    <w:rsid w:val="00AF4EEA"/>
    <w:rsid w:val="00AF6C1A"/>
    <w:rsid w:val="00B01165"/>
    <w:rsid w:val="00B20B59"/>
    <w:rsid w:val="00B215F1"/>
    <w:rsid w:val="00B227F6"/>
    <w:rsid w:val="00B77C4B"/>
    <w:rsid w:val="00C10C4D"/>
    <w:rsid w:val="00C36579"/>
    <w:rsid w:val="00C41299"/>
    <w:rsid w:val="00C423ED"/>
    <w:rsid w:val="00C4347F"/>
    <w:rsid w:val="00C60BA1"/>
    <w:rsid w:val="00C663DA"/>
    <w:rsid w:val="00C7545F"/>
    <w:rsid w:val="00C77ED3"/>
    <w:rsid w:val="00C80333"/>
    <w:rsid w:val="00C93CAB"/>
    <w:rsid w:val="00CA3020"/>
    <w:rsid w:val="00CC03B7"/>
    <w:rsid w:val="00CD246A"/>
    <w:rsid w:val="00CE4D84"/>
    <w:rsid w:val="00CE673D"/>
    <w:rsid w:val="00D03BEC"/>
    <w:rsid w:val="00D05623"/>
    <w:rsid w:val="00D11818"/>
    <w:rsid w:val="00D45B80"/>
    <w:rsid w:val="00D50D42"/>
    <w:rsid w:val="00D54D18"/>
    <w:rsid w:val="00D608B7"/>
    <w:rsid w:val="00D90B9F"/>
    <w:rsid w:val="00DA37EB"/>
    <w:rsid w:val="00DA64C0"/>
    <w:rsid w:val="00DB0A21"/>
    <w:rsid w:val="00DE1007"/>
    <w:rsid w:val="00DF3594"/>
    <w:rsid w:val="00DF3892"/>
    <w:rsid w:val="00DF79CA"/>
    <w:rsid w:val="00E136A4"/>
    <w:rsid w:val="00E4633E"/>
    <w:rsid w:val="00E520CC"/>
    <w:rsid w:val="00E55C5B"/>
    <w:rsid w:val="00E564B9"/>
    <w:rsid w:val="00E56EBD"/>
    <w:rsid w:val="00E71177"/>
    <w:rsid w:val="00E735AC"/>
    <w:rsid w:val="00EA0266"/>
    <w:rsid w:val="00EA2D9B"/>
    <w:rsid w:val="00EB0EC8"/>
    <w:rsid w:val="00EB60F5"/>
    <w:rsid w:val="00EC72ED"/>
    <w:rsid w:val="00EE4762"/>
    <w:rsid w:val="00EE5CB3"/>
    <w:rsid w:val="00EF1D6B"/>
    <w:rsid w:val="00F505B0"/>
    <w:rsid w:val="00F52F63"/>
    <w:rsid w:val="00F62D25"/>
    <w:rsid w:val="00F81DCE"/>
    <w:rsid w:val="00FF5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63365"/>
  <w15:chartTrackingRefBased/>
  <w15:docId w15:val="{A370C8F6-D761-4D16-A8DB-86BE21E59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C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0C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0C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0C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0C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0C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0C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0C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0C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C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0C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0C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0C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0C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0C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0C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0C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0C4D"/>
    <w:rPr>
      <w:rFonts w:eastAsiaTheme="majorEastAsia" w:cstheme="majorBidi"/>
      <w:color w:val="272727" w:themeColor="text1" w:themeTint="D8"/>
    </w:rPr>
  </w:style>
  <w:style w:type="paragraph" w:styleId="Title">
    <w:name w:val="Title"/>
    <w:basedOn w:val="Normal"/>
    <w:next w:val="Normal"/>
    <w:link w:val="TitleChar"/>
    <w:uiPriority w:val="10"/>
    <w:qFormat/>
    <w:rsid w:val="00C10C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0C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0C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0C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0C4D"/>
    <w:pPr>
      <w:spacing w:before="160"/>
      <w:jc w:val="center"/>
    </w:pPr>
    <w:rPr>
      <w:i/>
      <w:iCs/>
      <w:color w:val="404040" w:themeColor="text1" w:themeTint="BF"/>
    </w:rPr>
  </w:style>
  <w:style w:type="character" w:customStyle="1" w:styleId="QuoteChar">
    <w:name w:val="Quote Char"/>
    <w:basedOn w:val="DefaultParagraphFont"/>
    <w:link w:val="Quote"/>
    <w:uiPriority w:val="29"/>
    <w:rsid w:val="00C10C4D"/>
    <w:rPr>
      <w:i/>
      <w:iCs/>
      <w:color w:val="404040" w:themeColor="text1" w:themeTint="BF"/>
    </w:rPr>
  </w:style>
  <w:style w:type="paragraph" w:styleId="ListParagraph">
    <w:name w:val="List Paragraph"/>
    <w:basedOn w:val="Normal"/>
    <w:uiPriority w:val="34"/>
    <w:qFormat/>
    <w:rsid w:val="00C10C4D"/>
    <w:pPr>
      <w:ind w:left="720"/>
      <w:contextualSpacing/>
    </w:pPr>
  </w:style>
  <w:style w:type="character" w:styleId="IntenseEmphasis">
    <w:name w:val="Intense Emphasis"/>
    <w:basedOn w:val="DefaultParagraphFont"/>
    <w:uiPriority w:val="21"/>
    <w:qFormat/>
    <w:rsid w:val="00C10C4D"/>
    <w:rPr>
      <w:i/>
      <w:iCs/>
      <w:color w:val="0F4761" w:themeColor="accent1" w:themeShade="BF"/>
    </w:rPr>
  </w:style>
  <w:style w:type="paragraph" w:styleId="IntenseQuote">
    <w:name w:val="Intense Quote"/>
    <w:basedOn w:val="Normal"/>
    <w:next w:val="Normal"/>
    <w:link w:val="IntenseQuoteChar"/>
    <w:uiPriority w:val="30"/>
    <w:qFormat/>
    <w:rsid w:val="00C10C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0C4D"/>
    <w:rPr>
      <w:i/>
      <w:iCs/>
      <w:color w:val="0F4761" w:themeColor="accent1" w:themeShade="BF"/>
    </w:rPr>
  </w:style>
  <w:style w:type="character" w:styleId="IntenseReference">
    <w:name w:val="Intense Reference"/>
    <w:basedOn w:val="DefaultParagraphFont"/>
    <w:uiPriority w:val="32"/>
    <w:qFormat/>
    <w:rsid w:val="00C10C4D"/>
    <w:rPr>
      <w:b/>
      <w:bCs/>
      <w:smallCaps/>
      <w:color w:val="0F4761" w:themeColor="accent1" w:themeShade="BF"/>
      <w:spacing w:val="5"/>
    </w:rPr>
  </w:style>
  <w:style w:type="paragraph" w:styleId="TOCHeading">
    <w:name w:val="TOC Heading"/>
    <w:basedOn w:val="Heading1"/>
    <w:next w:val="Normal"/>
    <w:uiPriority w:val="39"/>
    <w:unhideWhenUsed/>
    <w:qFormat/>
    <w:rsid w:val="00EC72ED"/>
    <w:pPr>
      <w:spacing w:before="240" w:after="0"/>
      <w:outlineLvl w:val="9"/>
    </w:pPr>
    <w:rPr>
      <w:kern w:val="0"/>
      <w:sz w:val="32"/>
      <w:szCs w:val="32"/>
      <w:lang w:eastAsia="en-GB"/>
      <w14:ligatures w14:val="none"/>
    </w:rPr>
  </w:style>
  <w:style w:type="paragraph" w:styleId="NoSpacing">
    <w:name w:val="No Spacing"/>
    <w:link w:val="NoSpacingChar"/>
    <w:uiPriority w:val="1"/>
    <w:qFormat/>
    <w:rsid w:val="0061727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1727C"/>
    <w:rPr>
      <w:rFonts w:eastAsiaTheme="minorEastAsia"/>
      <w:kern w:val="0"/>
      <w:lang w:eastAsia="en-GB"/>
      <w14:ligatures w14:val="none"/>
    </w:rPr>
  </w:style>
  <w:style w:type="paragraph" w:styleId="TOC1">
    <w:name w:val="toc 1"/>
    <w:basedOn w:val="Normal"/>
    <w:next w:val="Normal"/>
    <w:autoRedefine/>
    <w:uiPriority w:val="39"/>
    <w:unhideWhenUsed/>
    <w:rsid w:val="001968B8"/>
    <w:pPr>
      <w:tabs>
        <w:tab w:val="right" w:leader="dot" w:pos="9016"/>
      </w:tabs>
      <w:spacing w:after="100"/>
    </w:pPr>
    <w:rPr>
      <w:rFonts w:ascii="Arial" w:hAnsi="Arial" w:cs="Arial"/>
      <w:i/>
      <w:iCs/>
      <w:noProof/>
      <w:color w:val="3A7C22" w:themeColor="accent6" w:themeShade="BF"/>
    </w:rPr>
  </w:style>
  <w:style w:type="character" w:styleId="Hyperlink">
    <w:name w:val="Hyperlink"/>
    <w:basedOn w:val="DefaultParagraphFont"/>
    <w:uiPriority w:val="99"/>
    <w:unhideWhenUsed/>
    <w:rsid w:val="00781C3C"/>
    <w:rPr>
      <w:color w:val="467886" w:themeColor="hyperlink"/>
      <w:u w:val="single"/>
    </w:rPr>
  </w:style>
  <w:style w:type="paragraph" w:styleId="Header">
    <w:name w:val="header"/>
    <w:basedOn w:val="Normal"/>
    <w:link w:val="HeaderChar"/>
    <w:uiPriority w:val="99"/>
    <w:unhideWhenUsed/>
    <w:rsid w:val="00757A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A90"/>
  </w:style>
  <w:style w:type="paragraph" w:styleId="Footer">
    <w:name w:val="footer"/>
    <w:basedOn w:val="Normal"/>
    <w:link w:val="FooterChar"/>
    <w:uiPriority w:val="99"/>
    <w:unhideWhenUsed/>
    <w:rsid w:val="00757A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A90"/>
  </w:style>
  <w:style w:type="character" w:styleId="UnresolvedMention">
    <w:name w:val="Unresolved Mention"/>
    <w:basedOn w:val="DefaultParagraphFont"/>
    <w:uiPriority w:val="99"/>
    <w:semiHidden/>
    <w:unhideWhenUsed/>
    <w:rsid w:val="00C434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107243">
      <w:bodyDiv w:val="1"/>
      <w:marLeft w:val="0"/>
      <w:marRight w:val="0"/>
      <w:marTop w:val="0"/>
      <w:marBottom w:val="0"/>
      <w:divBdr>
        <w:top w:val="none" w:sz="0" w:space="0" w:color="auto"/>
        <w:left w:val="none" w:sz="0" w:space="0" w:color="auto"/>
        <w:bottom w:val="none" w:sz="0" w:space="0" w:color="auto"/>
        <w:right w:val="none" w:sz="0" w:space="0" w:color="auto"/>
      </w:divBdr>
    </w:div>
    <w:div w:id="435954034">
      <w:bodyDiv w:val="1"/>
      <w:marLeft w:val="0"/>
      <w:marRight w:val="0"/>
      <w:marTop w:val="0"/>
      <w:marBottom w:val="0"/>
      <w:divBdr>
        <w:top w:val="none" w:sz="0" w:space="0" w:color="auto"/>
        <w:left w:val="none" w:sz="0" w:space="0" w:color="auto"/>
        <w:bottom w:val="none" w:sz="0" w:space="0" w:color="auto"/>
        <w:right w:val="none" w:sz="0" w:space="0" w:color="auto"/>
      </w:divBdr>
    </w:div>
    <w:div w:id="594366188">
      <w:bodyDiv w:val="1"/>
      <w:marLeft w:val="0"/>
      <w:marRight w:val="0"/>
      <w:marTop w:val="0"/>
      <w:marBottom w:val="0"/>
      <w:divBdr>
        <w:top w:val="none" w:sz="0" w:space="0" w:color="auto"/>
        <w:left w:val="none" w:sz="0" w:space="0" w:color="auto"/>
        <w:bottom w:val="none" w:sz="0" w:space="0" w:color="auto"/>
        <w:right w:val="none" w:sz="0" w:space="0" w:color="auto"/>
      </w:divBdr>
    </w:div>
    <w:div w:id="623124136">
      <w:bodyDiv w:val="1"/>
      <w:marLeft w:val="0"/>
      <w:marRight w:val="0"/>
      <w:marTop w:val="0"/>
      <w:marBottom w:val="0"/>
      <w:divBdr>
        <w:top w:val="none" w:sz="0" w:space="0" w:color="auto"/>
        <w:left w:val="none" w:sz="0" w:space="0" w:color="auto"/>
        <w:bottom w:val="none" w:sz="0" w:space="0" w:color="auto"/>
        <w:right w:val="none" w:sz="0" w:space="0" w:color="auto"/>
      </w:divBdr>
    </w:div>
    <w:div w:id="909465684">
      <w:bodyDiv w:val="1"/>
      <w:marLeft w:val="0"/>
      <w:marRight w:val="0"/>
      <w:marTop w:val="0"/>
      <w:marBottom w:val="0"/>
      <w:divBdr>
        <w:top w:val="none" w:sz="0" w:space="0" w:color="auto"/>
        <w:left w:val="none" w:sz="0" w:space="0" w:color="auto"/>
        <w:bottom w:val="none" w:sz="0" w:space="0" w:color="auto"/>
        <w:right w:val="none" w:sz="0" w:space="0" w:color="auto"/>
      </w:divBdr>
    </w:div>
    <w:div w:id="917246341">
      <w:bodyDiv w:val="1"/>
      <w:marLeft w:val="0"/>
      <w:marRight w:val="0"/>
      <w:marTop w:val="0"/>
      <w:marBottom w:val="0"/>
      <w:divBdr>
        <w:top w:val="none" w:sz="0" w:space="0" w:color="auto"/>
        <w:left w:val="none" w:sz="0" w:space="0" w:color="auto"/>
        <w:bottom w:val="none" w:sz="0" w:space="0" w:color="auto"/>
        <w:right w:val="none" w:sz="0" w:space="0" w:color="auto"/>
      </w:divBdr>
    </w:div>
    <w:div w:id="934092152">
      <w:bodyDiv w:val="1"/>
      <w:marLeft w:val="0"/>
      <w:marRight w:val="0"/>
      <w:marTop w:val="0"/>
      <w:marBottom w:val="0"/>
      <w:divBdr>
        <w:top w:val="none" w:sz="0" w:space="0" w:color="auto"/>
        <w:left w:val="none" w:sz="0" w:space="0" w:color="auto"/>
        <w:bottom w:val="none" w:sz="0" w:space="0" w:color="auto"/>
        <w:right w:val="none" w:sz="0" w:space="0" w:color="auto"/>
      </w:divBdr>
    </w:div>
    <w:div w:id="970091447">
      <w:bodyDiv w:val="1"/>
      <w:marLeft w:val="0"/>
      <w:marRight w:val="0"/>
      <w:marTop w:val="0"/>
      <w:marBottom w:val="0"/>
      <w:divBdr>
        <w:top w:val="none" w:sz="0" w:space="0" w:color="auto"/>
        <w:left w:val="none" w:sz="0" w:space="0" w:color="auto"/>
        <w:bottom w:val="none" w:sz="0" w:space="0" w:color="auto"/>
        <w:right w:val="none" w:sz="0" w:space="0" w:color="auto"/>
      </w:divBdr>
    </w:div>
    <w:div w:id="1044906064">
      <w:bodyDiv w:val="1"/>
      <w:marLeft w:val="0"/>
      <w:marRight w:val="0"/>
      <w:marTop w:val="0"/>
      <w:marBottom w:val="0"/>
      <w:divBdr>
        <w:top w:val="none" w:sz="0" w:space="0" w:color="auto"/>
        <w:left w:val="none" w:sz="0" w:space="0" w:color="auto"/>
        <w:bottom w:val="none" w:sz="0" w:space="0" w:color="auto"/>
        <w:right w:val="none" w:sz="0" w:space="0" w:color="auto"/>
      </w:divBdr>
    </w:div>
    <w:div w:id="1081678605">
      <w:bodyDiv w:val="1"/>
      <w:marLeft w:val="0"/>
      <w:marRight w:val="0"/>
      <w:marTop w:val="0"/>
      <w:marBottom w:val="0"/>
      <w:divBdr>
        <w:top w:val="none" w:sz="0" w:space="0" w:color="auto"/>
        <w:left w:val="none" w:sz="0" w:space="0" w:color="auto"/>
        <w:bottom w:val="none" w:sz="0" w:space="0" w:color="auto"/>
        <w:right w:val="none" w:sz="0" w:space="0" w:color="auto"/>
      </w:divBdr>
    </w:div>
    <w:div w:id="1110247068">
      <w:bodyDiv w:val="1"/>
      <w:marLeft w:val="0"/>
      <w:marRight w:val="0"/>
      <w:marTop w:val="0"/>
      <w:marBottom w:val="0"/>
      <w:divBdr>
        <w:top w:val="none" w:sz="0" w:space="0" w:color="auto"/>
        <w:left w:val="none" w:sz="0" w:space="0" w:color="auto"/>
        <w:bottom w:val="none" w:sz="0" w:space="0" w:color="auto"/>
        <w:right w:val="none" w:sz="0" w:space="0" w:color="auto"/>
      </w:divBdr>
    </w:div>
    <w:div w:id="1122572943">
      <w:bodyDiv w:val="1"/>
      <w:marLeft w:val="0"/>
      <w:marRight w:val="0"/>
      <w:marTop w:val="0"/>
      <w:marBottom w:val="0"/>
      <w:divBdr>
        <w:top w:val="none" w:sz="0" w:space="0" w:color="auto"/>
        <w:left w:val="none" w:sz="0" w:space="0" w:color="auto"/>
        <w:bottom w:val="none" w:sz="0" w:space="0" w:color="auto"/>
        <w:right w:val="none" w:sz="0" w:space="0" w:color="auto"/>
      </w:divBdr>
    </w:div>
    <w:div w:id="1137726959">
      <w:bodyDiv w:val="1"/>
      <w:marLeft w:val="0"/>
      <w:marRight w:val="0"/>
      <w:marTop w:val="0"/>
      <w:marBottom w:val="0"/>
      <w:divBdr>
        <w:top w:val="none" w:sz="0" w:space="0" w:color="auto"/>
        <w:left w:val="none" w:sz="0" w:space="0" w:color="auto"/>
        <w:bottom w:val="none" w:sz="0" w:space="0" w:color="auto"/>
        <w:right w:val="none" w:sz="0" w:space="0" w:color="auto"/>
      </w:divBdr>
    </w:div>
    <w:div w:id="1325014785">
      <w:bodyDiv w:val="1"/>
      <w:marLeft w:val="0"/>
      <w:marRight w:val="0"/>
      <w:marTop w:val="0"/>
      <w:marBottom w:val="0"/>
      <w:divBdr>
        <w:top w:val="none" w:sz="0" w:space="0" w:color="auto"/>
        <w:left w:val="none" w:sz="0" w:space="0" w:color="auto"/>
        <w:bottom w:val="none" w:sz="0" w:space="0" w:color="auto"/>
        <w:right w:val="none" w:sz="0" w:space="0" w:color="auto"/>
      </w:divBdr>
    </w:div>
    <w:div w:id="1360817666">
      <w:bodyDiv w:val="1"/>
      <w:marLeft w:val="0"/>
      <w:marRight w:val="0"/>
      <w:marTop w:val="0"/>
      <w:marBottom w:val="0"/>
      <w:divBdr>
        <w:top w:val="none" w:sz="0" w:space="0" w:color="auto"/>
        <w:left w:val="none" w:sz="0" w:space="0" w:color="auto"/>
        <w:bottom w:val="none" w:sz="0" w:space="0" w:color="auto"/>
        <w:right w:val="none" w:sz="0" w:space="0" w:color="auto"/>
      </w:divBdr>
    </w:div>
    <w:div w:id="1716586979">
      <w:bodyDiv w:val="1"/>
      <w:marLeft w:val="0"/>
      <w:marRight w:val="0"/>
      <w:marTop w:val="0"/>
      <w:marBottom w:val="0"/>
      <w:divBdr>
        <w:top w:val="none" w:sz="0" w:space="0" w:color="auto"/>
        <w:left w:val="none" w:sz="0" w:space="0" w:color="auto"/>
        <w:bottom w:val="none" w:sz="0" w:space="0" w:color="auto"/>
        <w:right w:val="none" w:sz="0" w:space="0" w:color="auto"/>
      </w:divBdr>
    </w:div>
    <w:div w:id="1811441933">
      <w:bodyDiv w:val="1"/>
      <w:marLeft w:val="0"/>
      <w:marRight w:val="0"/>
      <w:marTop w:val="0"/>
      <w:marBottom w:val="0"/>
      <w:divBdr>
        <w:top w:val="none" w:sz="0" w:space="0" w:color="auto"/>
        <w:left w:val="none" w:sz="0" w:space="0" w:color="auto"/>
        <w:bottom w:val="none" w:sz="0" w:space="0" w:color="auto"/>
        <w:right w:val="none" w:sz="0" w:space="0" w:color="auto"/>
      </w:divBdr>
    </w:div>
    <w:div w:id="2013218076">
      <w:bodyDiv w:val="1"/>
      <w:marLeft w:val="0"/>
      <w:marRight w:val="0"/>
      <w:marTop w:val="0"/>
      <w:marBottom w:val="0"/>
      <w:divBdr>
        <w:top w:val="none" w:sz="0" w:space="0" w:color="auto"/>
        <w:left w:val="none" w:sz="0" w:space="0" w:color="auto"/>
        <w:bottom w:val="none" w:sz="0" w:space="0" w:color="auto"/>
        <w:right w:val="none" w:sz="0" w:space="0" w:color="auto"/>
      </w:divBdr>
    </w:div>
    <w:div w:id="2088838733">
      <w:bodyDiv w:val="1"/>
      <w:marLeft w:val="0"/>
      <w:marRight w:val="0"/>
      <w:marTop w:val="0"/>
      <w:marBottom w:val="0"/>
      <w:divBdr>
        <w:top w:val="none" w:sz="0" w:space="0" w:color="auto"/>
        <w:left w:val="none" w:sz="0" w:space="0" w:color="auto"/>
        <w:bottom w:val="none" w:sz="0" w:space="0" w:color="auto"/>
        <w:right w:val="none" w:sz="0" w:space="0" w:color="auto"/>
      </w:divBdr>
    </w:div>
    <w:div w:id="2118134045">
      <w:bodyDiv w:val="1"/>
      <w:marLeft w:val="0"/>
      <w:marRight w:val="0"/>
      <w:marTop w:val="0"/>
      <w:marBottom w:val="0"/>
      <w:divBdr>
        <w:top w:val="none" w:sz="0" w:space="0" w:color="auto"/>
        <w:left w:val="none" w:sz="0" w:space="0" w:color="auto"/>
        <w:bottom w:val="none" w:sz="0" w:space="0" w:color="auto"/>
        <w:right w:val="none" w:sz="0" w:space="0" w:color="auto"/>
      </w:divBdr>
    </w:div>
    <w:div w:id="2119985486">
      <w:bodyDiv w:val="1"/>
      <w:marLeft w:val="0"/>
      <w:marRight w:val="0"/>
      <w:marTop w:val="0"/>
      <w:marBottom w:val="0"/>
      <w:divBdr>
        <w:top w:val="none" w:sz="0" w:space="0" w:color="auto"/>
        <w:left w:val="none" w:sz="0" w:space="0" w:color="auto"/>
        <w:bottom w:val="none" w:sz="0" w:space="0" w:color="auto"/>
        <w:right w:val="none" w:sz="0" w:space="0" w:color="auto"/>
      </w:divBdr>
    </w:div>
    <w:div w:id="2124880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H9UEZdAnnt8"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h3u3NDFkeLE" TargetMode="External"/><Relationship Id="rId17" Type="http://schemas.openxmlformats.org/officeDocument/2006/relationships/hyperlink" Target="https://www.youtube.com/watch?v=unEUz90JP8A" TargetMode="External"/><Relationship Id="rId2" Type="http://schemas.openxmlformats.org/officeDocument/2006/relationships/customXml" Target="../customXml/item2.xml"/><Relationship Id="rId16" Type="http://schemas.openxmlformats.org/officeDocument/2006/relationships/hyperlink" Target="https://www.youtube.com/watch?v=tGrAwBdAV8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fCYZjNA7Ps" TargetMode="External"/><Relationship Id="rId5" Type="http://schemas.openxmlformats.org/officeDocument/2006/relationships/customXml" Target="../customXml/item5.xml"/><Relationship Id="rId15" Type="http://schemas.openxmlformats.org/officeDocument/2006/relationships/hyperlink" Target="https://www.youtube.com/watch?v=rVXPow4JfOU"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Oz9c_ELAS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2024-08-14T00:00:00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0" ma:contentTypeDescription="Create a new document." ma:contentTypeScope="" ma:versionID="2898de61cc678b08d52c0274fc00c7ea">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c25b0747c9ab957021a40effc5900ede"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F772CD-FCBC-4E38-9766-BAA39F2B6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45BF2D-B693-4B29-B63B-AAAB1067129F}">
  <ds:schemaRefs>
    <ds:schemaRef ds:uri="http://schemas.microsoft.com/sharepoint/v3/contenttype/forms"/>
  </ds:schemaRefs>
</ds:datastoreItem>
</file>

<file path=customXml/itemProps4.xml><?xml version="1.0" encoding="utf-8"?>
<ds:datastoreItem xmlns:ds="http://schemas.openxmlformats.org/officeDocument/2006/customXml" ds:itemID="{81C06EC7-FD19-42D3-BE15-1F90B10013B1}">
  <ds:schemaRefs>
    <ds:schemaRef ds:uri="http://schemas.microsoft.com/office/2006/documentManagement/types"/>
    <ds:schemaRef ds:uri="http://www.w3.org/XML/1998/namespace"/>
    <ds:schemaRef ds:uri="http://purl.org/dc/dcmitype/"/>
    <ds:schemaRef ds:uri="ab0404f2-73f1-4c8b-8b8f-e15f0c5ca697"/>
    <ds:schemaRef ds:uri="http://purl.org/dc/terms/"/>
    <ds:schemaRef ds:uri="http://purl.org/dc/elements/1.1/"/>
    <ds:schemaRef ds:uri="http://schemas.microsoft.com/office/2006/metadata/properties"/>
    <ds:schemaRef ds:uri="ec64fcab-bbc9-4804-8cc6-0a77e40cec50"/>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CDBA0515-1943-4C01-B90B-EA0AE426A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2029</Words>
  <Characters>11570</Characters>
  <Application>Microsoft Office Word</Application>
  <DocSecurity>0</DocSecurity>
  <Lines>96</Lines>
  <Paragraphs>27</Paragraphs>
  <ScaleCrop>false</ScaleCrop>
  <Company/>
  <LinksUpToDate>false</LinksUpToDate>
  <CharactersWithSpaces>13572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Financial Management Essay</dc:title>
  <dc:subject>LCBB6002</dc:subject>
  <dc:creator>Silviya Petkova (2131598)</dc:creator>
  <cp:keywords/>
  <dc:description/>
  <cp:lastModifiedBy>Silviya Petkova (2131598)</cp:lastModifiedBy>
  <cp:revision>2</cp:revision>
  <dcterms:created xsi:type="dcterms:W3CDTF">2024-08-20T14:34:00Z</dcterms:created>
  <dcterms:modified xsi:type="dcterms:W3CDTF">2024-08-20T14:34:00Z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