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b w:val="1"/>
          <w:sz w:val="48"/>
          <w:szCs w:val="48"/>
        </w:rPr>
      </w:pPr>
      <w:r w:rsidDel="00000000" w:rsidR="00000000" w:rsidRPr="00000000">
        <w:rPr>
          <w:rtl w:val="0"/>
        </w:rPr>
      </w:r>
    </w:p>
    <w:p w:rsidR="00000000" w:rsidDel="00000000" w:rsidP="00000000" w:rsidRDefault="00000000" w:rsidRPr="00000000" w14:paraId="00000002">
      <w:pPr>
        <w:spacing w:line="259" w:lineRule="auto"/>
        <w:jc w:val="center"/>
        <w:rPr>
          <w:b w:val="1"/>
          <w:sz w:val="48"/>
          <w:szCs w:val="48"/>
        </w:rPr>
      </w:pPr>
      <w:r w:rsidDel="00000000" w:rsidR="00000000" w:rsidRPr="00000000">
        <w:rPr>
          <w:rtl w:val="0"/>
        </w:rPr>
      </w:r>
    </w:p>
    <w:p w:rsidR="00000000" w:rsidDel="00000000" w:rsidP="00000000" w:rsidRDefault="00000000" w:rsidRPr="00000000" w14:paraId="00000003">
      <w:pPr>
        <w:spacing w:line="259" w:lineRule="auto"/>
        <w:jc w:val="center"/>
        <w:rPr>
          <w:b w:val="1"/>
          <w:sz w:val="48"/>
          <w:szCs w:val="48"/>
        </w:rPr>
      </w:pPr>
      <w:r w:rsidDel="00000000" w:rsidR="00000000" w:rsidRPr="00000000">
        <w:rPr>
          <w:rtl w:val="0"/>
        </w:rPr>
      </w:r>
    </w:p>
    <w:p w:rsidR="00000000" w:rsidDel="00000000" w:rsidP="00000000" w:rsidRDefault="00000000" w:rsidRPr="00000000" w14:paraId="00000004">
      <w:pPr>
        <w:spacing w:line="259" w:lineRule="auto"/>
        <w:jc w:val="center"/>
        <w:rPr>
          <w:b w:val="1"/>
          <w:sz w:val="48"/>
          <w:szCs w:val="48"/>
        </w:rPr>
      </w:pPr>
      <w:r w:rsidDel="00000000" w:rsidR="00000000" w:rsidRPr="00000000">
        <w:rPr>
          <w:rtl w:val="0"/>
        </w:rPr>
      </w:r>
    </w:p>
    <w:p w:rsidR="00000000" w:rsidDel="00000000" w:rsidP="00000000" w:rsidRDefault="00000000" w:rsidRPr="00000000" w14:paraId="00000005">
      <w:pPr>
        <w:spacing w:line="259" w:lineRule="auto"/>
        <w:jc w:val="center"/>
        <w:rPr>
          <w:b w:val="1"/>
          <w:sz w:val="48"/>
          <w:szCs w:val="48"/>
        </w:rPr>
      </w:pPr>
      <w:r w:rsidDel="00000000" w:rsidR="00000000" w:rsidRPr="00000000">
        <w:rPr>
          <w:rtl w:val="0"/>
        </w:rPr>
      </w:r>
    </w:p>
    <w:p w:rsidR="00000000" w:rsidDel="00000000" w:rsidP="00000000" w:rsidRDefault="00000000" w:rsidRPr="00000000" w14:paraId="00000006">
      <w:pPr>
        <w:spacing w:line="259" w:lineRule="auto"/>
        <w:jc w:val="center"/>
        <w:rPr>
          <w:sz w:val="40"/>
          <w:szCs w:val="40"/>
        </w:rPr>
      </w:pPr>
      <w:r w:rsidDel="00000000" w:rsidR="00000000" w:rsidRPr="00000000">
        <w:rPr>
          <w:sz w:val="40"/>
          <w:szCs w:val="40"/>
          <w:rtl w:val="0"/>
        </w:rPr>
        <w:t xml:space="preserve">BMSW5103</w:t>
      </w:r>
    </w:p>
    <w:p w:rsidR="00000000" w:rsidDel="00000000" w:rsidP="00000000" w:rsidRDefault="00000000" w:rsidRPr="00000000" w14:paraId="00000007">
      <w:pPr>
        <w:spacing w:line="259" w:lineRule="auto"/>
        <w:jc w:val="center"/>
        <w:rPr>
          <w:b w:val="1"/>
          <w:sz w:val="32"/>
          <w:szCs w:val="32"/>
        </w:rPr>
      </w:pPr>
      <w:r w:rsidDel="00000000" w:rsidR="00000000" w:rsidRPr="00000000">
        <w:rPr>
          <w:sz w:val="40"/>
          <w:szCs w:val="40"/>
          <w:rtl w:val="0"/>
        </w:rPr>
        <w:t xml:space="preserve">Understanding and Engaging in the Customer Experience</w:t>
      </w:r>
      <w:r w:rsidDel="00000000" w:rsidR="00000000" w:rsidRPr="00000000">
        <w:rPr>
          <w:rtl w:val="0"/>
        </w:rPr>
      </w:r>
    </w:p>
    <w:p w:rsidR="00000000" w:rsidDel="00000000" w:rsidP="00000000" w:rsidRDefault="00000000" w:rsidRPr="00000000" w14:paraId="00000008">
      <w:pPr>
        <w:spacing w:line="259" w:lineRule="auto"/>
        <w:jc w:val="center"/>
        <w:rPr/>
      </w:pPr>
      <w:r w:rsidDel="00000000" w:rsidR="00000000" w:rsidRPr="00000000">
        <w:rPr>
          <w:sz w:val="40"/>
          <w:szCs w:val="40"/>
          <w:rtl w:val="0"/>
        </w:rPr>
        <w:t xml:space="preserve">Simona Pacuraru-2126931</w:t>
      </w:r>
      <w:r w:rsidDel="00000000" w:rsidR="00000000" w:rsidRPr="00000000">
        <w:rPr>
          <w:rtl w:val="0"/>
        </w:rPr>
      </w:r>
    </w:p>
    <w:p w:rsidR="00000000" w:rsidDel="00000000" w:rsidP="00000000" w:rsidRDefault="00000000" w:rsidRPr="00000000" w14:paraId="00000009">
      <w:pPr>
        <w:spacing w:line="259" w:lineRule="auto"/>
        <w:jc w:val="center"/>
        <w:rPr/>
      </w:pPr>
      <w:r w:rsidDel="00000000" w:rsidR="00000000" w:rsidRPr="00000000">
        <w:rPr>
          <w:rtl w:val="0"/>
        </w:rPr>
      </w:r>
    </w:p>
    <w:p w:rsidR="00000000" w:rsidDel="00000000" w:rsidP="00000000" w:rsidRDefault="00000000" w:rsidRPr="00000000" w14:paraId="0000000A">
      <w:pPr>
        <w:spacing w:line="259" w:lineRule="auto"/>
        <w:jc w:val="center"/>
        <w:rPr/>
      </w:pPr>
      <w:r w:rsidDel="00000000" w:rsidR="00000000" w:rsidRPr="00000000">
        <w:rPr>
          <w:rtl w:val="0"/>
        </w:rPr>
      </w:r>
    </w:p>
    <w:p w:rsidR="00000000" w:rsidDel="00000000" w:rsidP="00000000" w:rsidRDefault="00000000" w:rsidRPr="00000000" w14:paraId="0000000B">
      <w:pPr>
        <w:spacing w:line="259" w:lineRule="auto"/>
        <w:jc w:val="center"/>
        <w:rPr/>
      </w:pPr>
      <w:r w:rsidDel="00000000" w:rsidR="00000000" w:rsidRPr="00000000">
        <w:rPr>
          <w:rtl w:val="0"/>
        </w:rPr>
      </w:r>
    </w:p>
    <w:p w:rsidR="00000000" w:rsidDel="00000000" w:rsidP="00000000" w:rsidRDefault="00000000" w:rsidRPr="00000000" w14:paraId="0000000C">
      <w:pPr>
        <w:spacing w:line="259" w:lineRule="auto"/>
        <w:jc w:val="center"/>
        <w:rPr/>
      </w:pPr>
      <w:r w:rsidDel="00000000" w:rsidR="00000000" w:rsidRPr="00000000">
        <w:rPr>
          <w:rtl w:val="0"/>
        </w:rPr>
      </w:r>
    </w:p>
    <w:p w:rsidR="00000000" w:rsidDel="00000000" w:rsidP="00000000" w:rsidRDefault="00000000" w:rsidRPr="00000000" w14:paraId="0000000D">
      <w:pPr>
        <w:spacing w:line="259" w:lineRule="auto"/>
        <w:jc w:val="center"/>
        <w:rPr/>
      </w:pPr>
      <w:r w:rsidDel="00000000" w:rsidR="00000000" w:rsidRPr="00000000">
        <w:rPr>
          <w:rtl w:val="0"/>
        </w:rPr>
      </w:r>
    </w:p>
    <w:p w:rsidR="00000000" w:rsidDel="00000000" w:rsidP="00000000" w:rsidRDefault="00000000" w:rsidRPr="00000000" w14:paraId="0000000E">
      <w:pPr>
        <w:spacing w:line="259" w:lineRule="auto"/>
        <w:jc w:val="center"/>
        <w:rPr/>
      </w:pPr>
      <w:r w:rsidDel="00000000" w:rsidR="00000000" w:rsidRPr="00000000">
        <w:rPr>
          <w:rtl w:val="0"/>
        </w:rPr>
      </w:r>
    </w:p>
    <w:p w:rsidR="00000000" w:rsidDel="00000000" w:rsidP="00000000" w:rsidRDefault="00000000" w:rsidRPr="00000000" w14:paraId="0000000F">
      <w:pPr>
        <w:spacing w:line="259" w:lineRule="auto"/>
        <w:jc w:val="center"/>
        <w:rPr/>
      </w:pPr>
      <w:r w:rsidDel="00000000" w:rsidR="00000000" w:rsidRPr="00000000">
        <w:rPr>
          <w:rtl w:val="0"/>
        </w:rPr>
      </w:r>
    </w:p>
    <w:p w:rsidR="00000000" w:rsidDel="00000000" w:rsidP="00000000" w:rsidRDefault="00000000" w:rsidRPr="00000000" w14:paraId="00000010">
      <w:pPr>
        <w:spacing w:line="259" w:lineRule="auto"/>
        <w:jc w:val="center"/>
        <w:rPr/>
      </w:pPr>
      <w:r w:rsidDel="00000000" w:rsidR="00000000" w:rsidRPr="00000000">
        <w:rPr>
          <w:rtl w:val="0"/>
        </w:rPr>
      </w:r>
    </w:p>
    <w:p w:rsidR="00000000" w:rsidDel="00000000" w:rsidP="00000000" w:rsidRDefault="00000000" w:rsidRPr="00000000" w14:paraId="00000011">
      <w:pPr>
        <w:spacing w:line="259" w:lineRule="auto"/>
        <w:jc w:val="center"/>
        <w:rPr/>
      </w:pPr>
      <w:r w:rsidDel="00000000" w:rsidR="00000000" w:rsidRPr="00000000">
        <w:rPr>
          <w:rtl w:val="0"/>
        </w:rPr>
      </w:r>
    </w:p>
    <w:p w:rsidR="00000000" w:rsidDel="00000000" w:rsidP="00000000" w:rsidRDefault="00000000" w:rsidRPr="00000000" w14:paraId="00000012">
      <w:pPr>
        <w:spacing w:line="259" w:lineRule="auto"/>
        <w:jc w:val="center"/>
        <w:rPr/>
      </w:pPr>
      <w:r w:rsidDel="00000000" w:rsidR="00000000" w:rsidRPr="00000000">
        <w:rPr>
          <w:rtl w:val="0"/>
        </w:rPr>
      </w:r>
    </w:p>
    <w:p w:rsidR="00000000" w:rsidDel="00000000" w:rsidP="00000000" w:rsidRDefault="00000000" w:rsidRPr="00000000" w14:paraId="00000013">
      <w:pPr>
        <w:spacing w:line="259" w:lineRule="auto"/>
        <w:jc w:val="center"/>
        <w:rPr/>
      </w:pPr>
      <w:r w:rsidDel="00000000" w:rsidR="00000000" w:rsidRPr="00000000">
        <w:rPr>
          <w:rtl w:val="0"/>
        </w:rPr>
      </w:r>
    </w:p>
    <w:p w:rsidR="00000000" w:rsidDel="00000000" w:rsidP="00000000" w:rsidRDefault="00000000" w:rsidRPr="00000000" w14:paraId="00000014">
      <w:pPr>
        <w:spacing w:line="259" w:lineRule="auto"/>
        <w:jc w:val="center"/>
        <w:rPr/>
      </w:pPr>
      <w:r w:rsidDel="00000000" w:rsidR="00000000" w:rsidRPr="00000000">
        <w:rPr>
          <w:rtl w:val="0"/>
        </w:rPr>
      </w:r>
    </w:p>
    <w:p w:rsidR="00000000" w:rsidDel="00000000" w:rsidP="00000000" w:rsidRDefault="00000000" w:rsidRPr="00000000" w14:paraId="00000015">
      <w:pPr>
        <w:spacing w:line="259" w:lineRule="auto"/>
        <w:jc w:val="center"/>
        <w:rPr/>
      </w:pPr>
      <w:r w:rsidDel="00000000" w:rsidR="00000000" w:rsidRPr="00000000">
        <w:rPr>
          <w:rtl w:val="0"/>
        </w:rPr>
      </w:r>
    </w:p>
    <w:p w:rsidR="00000000" w:rsidDel="00000000" w:rsidP="00000000" w:rsidRDefault="00000000" w:rsidRPr="00000000" w14:paraId="00000016">
      <w:pPr>
        <w:spacing w:line="259" w:lineRule="auto"/>
        <w:jc w:val="center"/>
        <w:rPr/>
      </w:pPr>
      <w:r w:rsidDel="00000000" w:rsidR="00000000" w:rsidRPr="00000000">
        <w:rPr>
          <w:rtl w:val="0"/>
        </w:rPr>
      </w:r>
    </w:p>
    <w:p w:rsidR="00000000" w:rsidDel="00000000" w:rsidP="00000000" w:rsidRDefault="00000000" w:rsidRPr="00000000" w14:paraId="00000017">
      <w:pPr>
        <w:spacing w:line="259" w:lineRule="auto"/>
        <w:jc w:val="center"/>
        <w:rPr/>
      </w:pPr>
      <w:r w:rsidDel="00000000" w:rsidR="00000000" w:rsidRPr="00000000">
        <w:rPr>
          <w:rtl w:val="0"/>
        </w:rPr>
      </w:r>
    </w:p>
    <w:p w:rsidR="00000000" w:rsidDel="00000000" w:rsidP="00000000" w:rsidRDefault="00000000" w:rsidRPr="00000000" w14:paraId="00000018">
      <w:pPr>
        <w:spacing w:line="259" w:lineRule="auto"/>
        <w:jc w:val="center"/>
        <w:rPr/>
      </w:pPr>
      <w:r w:rsidDel="00000000" w:rsidR="00000000" w:rsidRPr="00000000">
        <w:rPr>
          <w:rtl w:val="0"/>
        </w:rPr>
      </w:r>
    </w:p>
    <w:p w:rsidR="00000000" w:rsidDel="00000000" w:rsidP="00000000" w:rsidRDefault="00000000" w:rsidRPr="00000000" w14:paraId="00000019">
      <w:pPr>
        <w:spacing w:line="259" w:lineRule="auto"/>
        <w:jc w:val="center"/>
        <w:rPr/>
      </w:pPr>
      <w:r w:rsidDel="00000000" w:rsidR="00000000" w:rsidRPr="00000000">
        <w:rPr>
          <w:rtl w:val="0"/>
        </w:rPr>
      </w:r>
    </w:p>
    <w:p w:rsidR="00000000" w:rsidDel="00000000" w:rsidP="00000000" w:rsidRDefault="00000000" w:rsidRPr="00000000" w14:paraId="0000001A">
      <w:pPr>
        <w:spacing w:line="259" w:lineRule="auto"/>
        <w:jc w:val="center"/>
        <w:rPr/>
      </w:pPr>
      <w:r w:rsidDel="00000000" w:rsidR="00000000" w:rsidRPr="00000000">
        <w:rPr>
          <w:rtl w:val="0"/>
        </w:rPr>
      </w:r>
    </w:p>
    <w:p w:rsidR="00000000" w:rsidDel="00000000" w:rsidP="00000000" w:rsidRDefault="00000000" w:rsidRPr="00000000" w14:paraId="0000001B">
      <w:pPr>
        <w:spacing w:line="259" w:lineRule="auto"/>
        <w:jc w:val="center"/>
        <w:rPr/>
      </w:pPr>
      <w:r w:rsidDel="00000000" w:rsidR="00000000" w:rsidRPr="00000000">
        <w:rPr>
          <w:rtl w:val="0"/>
        </w:rPr>
      </w:r>
    </w:p>
    <w:p w:rsidR="00000000" w:rsidDel="00000000" w:rsidP="00000000" w:rsidRDefault="00000000" w:rsidRPr="00000000" w14:paraId="0000001C">
      <w:pPr>
        <w:spacing w:line="259" w:lineRule="auto"/>
        <w:jc w:val="center"/>
        <w:rPr/>
      </w:pPr>
      <w:r w:rsidDel="00000000" w:rsidR="00000000" w:rsidRPr="00000000">
        <w:rPr>
          <w:rtl w:val="0"/>
        </w:rPr>
      </w:r>
    </w:p>
    <w:p w:rsidR="00000000" w:rsidDel="00000000" w:rsidP="00000000" w:rsidRDefault="00000000" w:rsidRPr="00000000" w14:paraId="0000001D">
      <w:pPr>
        <w:spacing w:line="259" w:lineRule="auto"/>
        <w:jc w:val="center"/>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Overview</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_1fob9te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Policies of Scottish Power</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Sustainability Policies at Scottish Power</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literature review on quality models/theories</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TQM for CRM Enhancement Scottish Power</w:t>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Six Sigma for CRM Enhancement Scottish Power</w:t>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sz w:val="22"/>
              <w:szCs w:val="22"/>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SERVQUAL Model for CRM Enhancement Scottish Power</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_4d34og8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Style w:val="Heading1"/>
        <w:rPr/>
      </w:pPr>
      <w:bookmarkStart w:colFirst="0" w:colLast="0" w:name="_65r8xzibrnd9" w:id="0"/>
      <w:bookmarkEnd w:id="0"/>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rPr/>
      </w:pPr>
      <w:bookmarkStart w:colFirst="0" w:colLast="0" w:name="_gjdgxs" w:id="1"/>
      <w:bookmarkEnd w:id="1"/>
      <w:r w:rsidDel="00000000" w:rsidR="00000000" w:rsidRPr="00000000">
        <w:rPr>
          <w:rtl w:val="0"/>
        </w:rPr>
        <w:t xml:space="preserve">Introduction</w:t>
      </w:r>
    </w:p>
    <w:p w:rsidR="00000000" w:rsidDel="00000000" w:rsidP="00000000" w:rsidRDefault="00000000" w:rsidRPr="00000000" w14:paraId="00000031">
      <w:pPr>
        <w:rPr/>
      </w:pPr>
      <w:r w:rsidDel="00000000" w:rsidR="00000000" w:rsidRPr="00000000">
        <w:rPr>
          <w:rtl w:val="0"/>
        </w:rPr>
        <w:t xml:space="preserve">In today's economic context, firms are progressively comprehending the necessity of ethical and sustainable practices in customer relationship management (CRM). Scottish Power, as a respected firm, acknowledges the relevance of ethical and environmental practices in bolstering CRM quality and developing client connections. This document intends to evaluate the influence of ethical and environmental principles on the efficacy of CRM systems at Scottish Power. By closely analyzing the customer experience and organizational examples across the sector, this paper will give significant insights into the relationship between ethical/sustainability policies and CRM excellence. Furthermore, it will make suggestions for Scottish Power to further develop its CRM systems based on the results and conclusions.</w:t>
      </w:r>
    </w:p>
    <w:p w:rsidR="00000000" w:rsidDel="00000000" w:rsidP="00000000" w:rsidRDefault="00000000" w:rsidRPr="00000000" w14:paraId="00000032">
      <w:pPr>
        <w:pStyle w:val="Heading1"/>
        <w:rPr/>
      </w:pPr>
      <w:bookmarkStart w:colFirst="0" w:colLast="0" w:name="_4k4bn3h4ah08" w:id="2"/>
      <w:bookmarkEnd w:id="2"/>
      <w:r w:rsidDel="00000000" w:rsidR="00000000" w:rsidRPr="00000000">
        <w:rPr>
          <w:rtl w:val="0"/>
        </w:rPr>
      </w:r>
    </w:p>
    <w:p w:rsidR="00000000" w:rsidDel="00000000" w:rsidP="00000000" w:rsidRDefault="00000000" w:rsidRPr="00000000" w14:paraId="00000033">
      <w:pPr>
        <w:pStyle w:val="Heading1"/>
        <w:rPr/>
      </w:pPr>
      <w:bookmarkStart w:colFirst="0" w:colLast="0" w:name="_evda3bhmzmsu" w:id="3"/>
      <w:bookmarkEnd w:id="3"/>
      <w:r w:rsidDel="00000000" w:rsidR="00000000" w:rsidRPr="00000000">
        <w:rPr>
          <w:rtl w:val="0"/>
        </w:rPr>
      </w:r>
    </w:p>
    <w:p w:rsidR="00000000" w:rsidDel="00000000" w:rsidP="00000000" w:rsidRDefault="00000000" w:rsidRPr="00000000" w14:paraId="00000034">
      <w:pPr>
        <w:pStyle w:val="Heading1"/>
        <w:rPr/>
      </w:pPr>
      <w:bookmarkStart w:colFirst="0" w:colLast="0" w:name="_30j0zll" w:id="4"/>
      <w:bookmarkEnd w:id="4"/>
      <w:r w:rsidDel="00000000" w:rsidR="00000000" w:rsidRPr="00000000">
        <w:rPr>
          <w:rtl w:val="0"/>
        </w:rPr>
        <w:t xml:space="preserve">Company Overview</w:t>
      </w:r>
    </w:p>
    <w:p w:rsidR="00000000" w:rsidDel="00000000" w:rsidP="00000000" w:rsidRDefault="00000000" w:rsidRPr="00000000" w14:paraId="00000035">
      <w:pPr>
        <w:rPr/>
      </w:pPr>
      <w:r w:rsidDel="00000000" w:rsidR="00000000" w:rsidRPr="00000000">
        <w:rPr>
          <w:rtl w:val="0"/>
        </w:rPr>
        <w:t xml:space="preserve">Scottish Power is a prominent energy firm functioning in the United Kingdom. With a long history extending back to 1901, the firm has established itself as a vital participant in the energy industry, offering electricity and gas services to millions of consumers. As part of the Iberdrola Group, one of the world's foremost utility enterprises, Scottish Power is devoted to offering dependable and sustainable energy solutions (Christine, 2022). The firm operates a broad portfolio of renewable and thermal generating assets, striving to transition towards a greener and more sustainable energy composition. Scottish Power is actively engaged in the development of renewable energy initiatives, including wind farms and solar installations, as well as investing in inventive technology to accelerate the energy revolution.</w:t>
      </w:r>
    </w:p>
    <w:p w:rsidR="00000000" w:rsidDel="00000000" w:rsidP="00000000" w:rsidRDefault="00000000" w:rsidRPr="00000000" w14:paraId="00000036">
      <w:pPr>
        <w:pStyle w:val="Heading1"/>
        <w:rPr/>
      </w:pPr>
      <w:r w:rsidDel="00000000" w:rsidR="00000000" w:rsidRPr="00000000">
        <w:rPr>
          <w:rtl w:val="0"/>
        </w:rPr>
      </w:r>
    </w:p>
    <w:p w:rsidR="00000000" w:rsidDel="00000000" w:rsidP="00000000" w:rsidRDefault="00000000" w:rsidRPr="00000000" w14:paraId="00000037">
      <w:pPr>
        <w:pStyle w:val="Heading1"/>
        <w:rPr/>
      </w:pPr>
      <w:r w:rsidDel="00000000" w:rsidR="00000000" w:rsidRPr="00000000">
        <w:rPr>
          <w:rtl w:val="0"/>
        </w:rPr>
      </w:r>
    </w:p>
    <w:p w:rsidR="00000000" w:rsidDel="00000000" w:rsidP="00000000" w:rsidRDefault="00000000" w:rsidRPr="00000000" w14:paraId="00000038">
      <w:pPr>
        <w:pStyle w:val="Heading1"/>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numPr>
          <w:ilvl w:val="0"/>
          <w:numId w:val="1"/>
        </w:numPr>
        <w:ind w:left="720" w:hanging="360"/>
        <w:rPr/>
      </w:pPr>
      <w:bookmarkStart w:colFirst="0" w:colLast="0" w:name="_1fob9te" w:id="5"/>
      <w:bookmarkEnd w:id="5"/>
      <w:r w:rsidDel="00000000" w:rsidR="00000000" w:rsidRPr="00000000">
        <w:rPr>
          <w:rtl w:val="0"/>
        </w:rPr>
        <w:t xml:space="preserve">Ethical Policies of Scottish Power</w:t>
      </w:r>
    </w:p>
    <w:p w:rsidR="00000000" w:rsidDel="00000000" w:rsidP="00000000" w:rsidRDefault="00000000" w:rsidRPr="00000000" w14:paraId="0000003A">
      <w:pPr>
        <w:rPr/>
      </w:pPr>
      <w:r w:rsidDel="00000000" w:rsidR="00000000" w:rsidRPr="00000000">
        <w:rPr>
          <w:rtl w:val="0"/>
        </w:rPr>
        <w:t xml:space="preserve">Scottish Power is dedicated to preserving solid ethical standards throughout its operations. The organization has constructed comprehensive ethical rules that regulate its activities and dealings with consumers, workers, suppliers, and the broader society. Some significant ethical policies of Scottish Power include:</w:t>
      </w:r>
    </w:p>
    <w:p w:rsidR="00000000" w:rsidDel="00000000" w:rsidP="00000000" w:rsidRDefault="00000000" w:rsidRPr="00000000" w14:paraId="0000003B">
      <w:pPr>
        <w:rPr/>
      </w:pPr>
      <w:r w:rsidDel="00000000" w:rsidR="00000000" w:rsidRPr="00000000">
        <w:rPr>
          <w:b w:val="1"/>
          <w:rtl w:val="0"/>
        </w:rPr>
        <w:t xml:space="preserve">Code of Conduct: </w:t>
      </w:r>
      <w:r w:rsidDel="00000000" w:rsidR="00000000" w:rsidRPr="00000000">
        <w:rPr>
          <w:rtl w:val="0"/>
        </w:rPr>
        <w:t xml:space="preserve">Scottish Power has a rigorous code of conduct that specifies forth the ideas and behaviors required of its employees. The code promotes honesty, integrity, respect, and conformity with legal and regulatory standards. By adhering to this code, Scottish Power guarantees that its staff constantly participate in ethical behaviours, which leads to a pleasurable customer experience (Stenmark, 2022).</w:t>
      </w:r>
    </w:p>
    <w:p w:rsidR="00000000" w:rsidDel="00000000" w:rsidP="00000000" w:rsidRDefault="00000000" w:rsidRPr="00000000" w14:paraId="0000003C">
      <w:pPr>
        <w:rPr/>
      </w:pPr>
      <w:r w:rsidDel="00000000" w:rsidR="00000000" w:rsidRPr="00000000">
        <w:rPr>
          <w:b w:val="1"/>
          <w:rtl w:val="0"/>
        </w:rPr>
        <w:t xml:space="preserve">Anti-Corruption and Bribery:</w:t>
      </w:r>
      <w:r w:rsidDel="00000000" w:rsidR="00000000" w:rsidRPr="00000000">
        <w:rPr>
          <w:rtl w:val="0"/>
        </w:rPr>
        <w:t xml:space="preserve"> It has rigorous systems in place to avoid corruption and extortion. The corporation prohibits any form of bribery, both direct and indirect, and takes aggressive efforts to guarantee compliance with anti-corruption regulations. By adopting a firm position against corruption, Scottish Power displays its commitment to honest business processes, promoting trust and confidence among its consumers (Lemons &amp; Brown, 2022).</w:t>
      </w:r>
    </w:p>
    <w:p w:rsidR="00000000" w:rsidDel="00000000" w:rsidP="00000000" w:rsidRDefault="00000000" w:rsidRPr="00000000" w14:paraId="0000003D">
      <w:pPr>
        <w:rPr/>
      </w:pPr>
      <w:r w:rsidDel="00000000" w:rsidR="00000000" w:rsidRPr="00000000">
        <w:rPr/>
        <mc:AlternateContent>
          <mc:Choice Requires="wpg">
            <w:drawing>
              <wp:inline distB="0" distT="0" distL="0" distR="0">
                <wp:extent cx="5928527" cy="3200400"/>
                <wp:effectExtent b="0" l="0" r="0" t="0"/>
                <wp:docPr id="2" name=""/>
                <a:graphic>
                  <a:graphicData uri="http://schemas.microsoft.com/office/word/2010/wordprocessingGroup">
                    <wpg:wgp>
                      <wpg:cNvGrpSpPr/>
                      <wpg:grpSpPr>
                        <a:xfrm>
                          <a:off x="0" y="0"/>
                          <a:ext cx="5928527" cy="3200400"/>
                          <a:chOff x="0" y="0"/>
                          <a:chExt cx="5928525" cy="3275025"/>
                        </a:xfrm>
                      </wpg:grpSpPr>
                      <wpg:grpSp>
                        <wpg:cNvGrpSpPr/>
                        <wpg:grpSpPr>
                          <a:xfrm>
                            <a:off x="0" y="0"/>
                            <a:ext cx="5928525" cy="3200400"/>
                            <a:chOff x="0" y="0"/>
                            <a:chExt cx="5928525" cy="3200400"/>
                          </a:xfrm>
                        </wpg:grpSpPr>
                        <wps:wsp>
                          <wps:cNvSpPr/>
                          <wps:cNvPr id="3" name="Shape 3"/>
                          <wps:spPr>
                            <a:xfrm>
                              <a:off x="0" y="0"/>
                              <a:ext cx="5928525"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2581427" y="1573"/>
                              <a:ext cx="765671" cy="497686"/>
                            </a:xfrm>
                            <a:prstGeom prst="roundRect">
                              <a:avLst>
                                <a:gd fmla="val 16667" name="adj"/>
                              </a:avLst>
                            </a:pr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a:off x="2605722" y="25868"/>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Code of Conduct</w:t>
                                </w:r>
                              </w:p>
                            </w:txbxContent>
                          </wps:txbx>
                          <wps:bodyPr anchorCtr="0" anchor="ctr" bIns="34275" lIns="34275" spcFirstLastPara="1" rIns="34275" wrap="square" tIns="34275">
                            <a:noAutofit/>
                          </wps:bodyPr>
                        </wps:wsp>
                        <wps:wsp>
                          <wps:cNvSpPr/>
                          <wps:cNvPr id="28" name="Shape 28"/>
                          <wps:spPr>
                            <a:xfrm>
                              <a:off x="1544163" y="250417"/>
                              <a:ext cx="2840199" cy="2840199"/>
                            </a:xfrm>
                            <a:custGeom>
                              <a:rect b="b" l="l" r="r" t="t"/>
                              <a:pathLst>
                                <a:path extrusionOk="0" h="120000" w="120000">
                                  <a:moveTo>
                                    <a:pt x="76389" y="2282"/>
                                  </a:moveTo>
                                  <a:lnTo>
                                    <a:pt x="76389" y="2282"/>
                                  </a:lnTo>
                                  <a:cubicBezTo>
                                    <a:pt x="83436" y="4283"/>
                                    <a:pt x="90057" y="7558"/>
                                    <a:pt x="95924" y="11944"/>
                                  </a:cubicBezTo>
                                </a:path>
                              </a:pathLst>
                            </a:custGeom>
                            <a:noFill/>
                            <a:ln cap="flat" cmpd="sng" w="9525">
                              <a:solidFill>
                                <a:schemeClr val="accent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3691706" y="536255"/>
                              <a:ext cx="765671" cy="497686"/>
                            </a:xfrm>
                            <a:prstGeom prst="roundRect">
                              <a:avLst>
                                <a:gd fmla="val 16667" name="adj"/>
                              </a:avLst>
                            </a:prstGeom>
                            <a:gradFill>
                              <a:gsLst>
                                <a:gs pos="0">
                                  <a:srgbClr val="AFAFAF"/>
                                </a:gs>
                                <a:gs pos="50000">
                                  <a:schemeClr val="accent3"/>
                                </a:gs>
                                <a:gs pos="100000">
                                  <a:srgbClr val="919191"/>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0" name="Shape 30"/>
                          <wps:spPr>
                            <a:xfrm>
                              <a:off x="3716001" y="560550"/>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Anti-Corruption and Bribery</w:t>
                                </w:r>
                              </w:p>
                            </w:txbxContent>
                          </wps:txbx>
                          <wps:bodyPr anchorCtr="0" anchor="ctr" bIns="34275" lIns="34275" spcFirstLastPara="1" rIns="34275" wrap="square" tIns="34275">
                            <a:noAutofit/>
                          </wps:bodyPr>
                        </wps:wsp>
                        <wps:wsp>
                          <wps:cNvSpPr/>
                          <wps:cNvPr id="31" name="Shape 31"/>
                          <wps:spPr>
                            <a:xfrm>
                              <a:off x="1544163" y="250417"/>
                              <a:ext cx="2840199" cy="2840199"/>
                            </a:xfrm>
                            <a:custGeom>
                              <a:rect b="b" l="l" r="r" t="t"/>
                              <a:pathLst>
                                <a:path extrusionOk="0" h="120000" w="120000">
                                  <a:moveTo>
                                    <a:pt x="113770" y="33376"/>
                                  </a:moveTo>
                                  <a:lnTo>
                                    <a:pt x="113770" y="33376"/>
                                  </a:lnTo>
                                  <a:cubicBezTo>
                                    <a:pt x="118249" y="42421"/>
                                    <a:pt x="120373" y="52449"/>
                                    <a:pt x="119947" y="62533"/>
                                  </a:cubicBezTo>
                                </a:path>
                              </a:pathLst>
                            </a:custGeom>
                            <a:noFill/>
                            <a:ln cap="flat" cmpd="sng" w="9525">
                              <a:solidFill>
                                <a:schemeClr val="accent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965922" y="1737675"/>
                              <a:ext cx="765671" cy="497686"/>
                            </a:xfrm>
                            <a:prstGeom prst="roundRect">
                              <a:avLst>
                                <a:gd fmla="val 16667" name="adj"/>
                              </a:avLst>
                            </a:prstGeom>
                            <a:gradFill>
                              <a:gsLst>
                                <a:gs pos="0">
                                  <a:srgbClr val="FFC647"/>
                                </a:gs>
                                <a:gs pos="50000">
                                  <a:srgbClr val="FFC600"/>
                                </a:gs>
                                <a:gs pos="100000">
                                  <a:srgbClr val="E3B400"/>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3" name="Shape 33"/>
                          <wps:spPr>
                            <a:xfrm>
                              <a:off x="3990217" y="1761970"/>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Data Protection and Privacy</w:t>
                                </w:r>
                              </w:p>
                            </w:txbxContent>
                          </wps:txbx>
                          <wps:bodyPr anchorCtr="0" anchor="ctr" bIns="34275" lIns="34275" spcFirstLastPara="1" rIns="34275" wrap="square" tIns="34275">
                            <a:noAutofit/>
                          </wps:bodyPr>
                        </wps:wsp>
                        <wps:wsp>
                          <wps:cNvSpPr/>
                          <wps:cNvPr id="34" name="Shape 34"/>
                          <wps:spPr>
                            <a:xfrm>
                              <a:off x="1544163" y="250417"/>
                              <a:ext cx="2840199" cy="2840199"/>
                            </a:xfrm>
                            <a:custGeom>
                              <a:rect b="b" l="l" r="r" t="t"/>
                              <a:pathLst>
                                <a:path extrusionOk="0" h="120000" w="120000">
                                  <a:moveTo>
                                    <a:pt x="114954" y="84085"/>
                                  </a:moveTo>
                                  <a:cubicBezTo>
                                    <a:pt x="111772" y="91345"/>
                                    <a:pt x="107183" y="97902"/>
                                    <a:pt x="101453" y="103379"/>
                                  </a:cubicBezTo>
                                </a:path>
                              </a:pathLst>
                            </a:custGeom>
                            <a:noFill/>
                            <a:ln cap="flat" cmpd="sng" w="9525">
                              <a:solidFill>
                                <a:schemeClr val="accent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3197585" y="2701139"/>
                              <a:ext cx="765671" cy="497686"/>
                            </a:xfrm>
                            <a:prstGeom prst="roundRect">
                              <a:avLst>
                                <a:gd fmla="val 16667" name="adj"/>
                              </a:avLst>
                            </a:prstGeom>
                            <a:gradFill>
                              <a:gsLst>
                                <a:gs pos="0">
                                  <a:srgbClr val="6EA5DA"/>
                                </a:gs>
                                <a:gs pos="50000">
                                  <a:srgbClr val="529BDA"/>
                                </a:gs>
                                <a:gs pos="100000">
                                  <a:srgbClr val="4188C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6" name="Shape 36"/>
                          <wps:spPr>
                            <a:xfrm>
                              <a:off x="3221880" y="2725434"/>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Investigation of Customer Experience</w:t>
                                </w:r>
                              </w:p>
                            </w:txbxContent>
                          </wps:txbx>
                          <wps:bodyPr anchorCtr="0" anchor="ctr" bIns="34275" lIns="34275" spcFirstLastPara="1" rIns="34275" wrap="square" tIns="34275">
                            <a:noAutofit/>
                          </wps:bodyPr>
                        </wps:wsp>
                        <wps:wsp>
                          <wps:cNvSpPr/>
                          <wps:cNvPr id="37" name="Shape 37"/>
                          <wps:spPr>
                            <a:xfrm>
                              <a:off x="1544163" y="250417"/>
                              <a:ext cx="2840199" cy="2840199"/>
                            </a:xfrm>
                            <a:custGeom>
                              <a:rect b="b" l="l" r="r" t="t"/>
                              <a:pathLst>
                                <a:path extrusionOk="0" h="120000" w="120000">
                                  <a:moveTo>
                                    <a:pt x="69663" y="119217"/>
                                  </a:moveTo>
                                  <a:lnTo>
                                    <a:pt x="69663" y="119217"/>
                                  </a:lnTo>
                                  <a:cubicBezTo>
                                    <a:pt x="63263" y="120261"/>
                                    <a:pt x="56736" y="120261"/>
                                    <a:pt x="50336" y="119217"/>
                                  </a:cubicBezTo>
                                </a:path>
                              </a:pathLst>
                            </a:custGeom>
                            <a:noFill/>
                            <a:ln cap="flat" cmpd="sng" w="9525">
                              <a:solidFill>
                                <a:srgbClr val="599BD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1965269" y="2701139"/>
                              <a:ext cx="765671" cy="497686"/>
                            </a:xfrm>
                            <a:prstGeom prst="roundRect">
                              <a:avLst>
                                <a:gd fmla="val 16667" name="adj"/>
                              </a:avLst>
                            </a:prstGeom>
                            <a:gradFill>
                              <a:gsLst>
                                <a:gs pos="0">
                                  <a:srgbClr val="7FB75F"/>
                                </a:gs>
                                <a:gs pos="50000">
                                  <a:srgbClr val="6EB141"/>
                                </a:gs>
                                <a:gs pos="100000">
                                  <a:srgbClr val="5FA134"/>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9" name="Shape 39"/>
                          <wps:spPr>
                            <a:xfrm>
                              <a:off x="1989564" y="2725434"/>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Trust and Confidence</w:t>
                                </w:r>
                              </w:p>
                            </w:txbxContent>
                          </wps:txbx>
                          <wps:bodyPr anchorCtr="0" anchor="ctr" bIns="34275" lIns="34275" spcFirstLastPara="1" rIns="34275" wrap="square" tIns="34275">
                            <a:noAutofit/>
                          </wps:bodyPr>
                        </wps:wsp>
                        <wps:wsp>
                          <wps:cNvSpPr/>
                          <wps:cNvPr id="40" name="Shape 40"/>
                          <wps:spPr>
                            <a:xfrm>
                              <a:off x="1544163" y="250417"/>
                              <a:ext cx="2840199" cy="2840199"/>
                            </a:xfrm>
                            <a:custGeom>
                              <a:rect b="b" l="l" r="r" t="t"/>
                              <a:pathLst>
                                <a:path extrusionOk="0" h="120000" w="120000">
                                  <a:moveTo>
                                    <a:pt x="18548" y="103379"/>
                                  </a:moveTo>
                                  <a:lnTo>
                                    <a:pt x="18548" y="103379"/>
                                  </a:lnTo>
                                  <a:cubicBezTo>
                                    <a:pt x="12817" y="97903"/>
                                    <a:pt x="8228" y="91345"/>
                                    <a:pt x="5047" y="84085"/>
                                  </a:cubicBezTo>
                                </a:path>
                              </a:pathLst>
                            </a:custGeom>
                            <a:noFill/>
                            <a:ln cap="flat" cmpd="sng" w="9525">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196932" y="1737675"/>
                              <a:ext cx="765671" cy="497686"/>
                            </a:xfrm>
                            <a:prstGeom prst="roundRect">
                              <a:avLst>
                                <a:gd fmla="val 16667" name="adj"/>
                              </a:avLst>
                            </a:pr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2" name="Shape 42"/>
                          <wps:spPr>
                            <a:xfrm>
                              <a:off x="1221227" y="1761970"/>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Reputation and Brand Image</w:t>
                                </w:r>
                              </w:p>
                            </w:txbxContent>
                          </wps:txbx>
                          <wps:bodyPr anchorCtr="0" anchor="ctr" bIns="34275" lIns="34275" spcFirstLastPara="1" rIns="34275" wrap="square" tIns="34275">
                            <a:noAutofit/>
                          </wps:bodyPr>
                        </wps:wsp>
                        <wps:wsp>
                          <wps:cNvSpPr/>
                          <wps:cNvPr id="43" name="Shape 43"/>
                          <wps:spPr>
                            <a:xfrm>
                              <a:off x="1544163" y="250417"/>
                              <a:ext cx="2840199" cy="2840199"/>
                            </a:xfrm>
                            <a:custGeom>
                              <a:rect b="b" l="l" r="r" t="t"/>
                              <a:pathLst>
                                <a:path extrusionOk="0" h="120000" w="120000">
                                  <a:moveTo>
                                    <a:pt x="53" y="62534"/>
                                  </a:moveTo>
                                  <a:lnTo>
                                    <a:pt x="53" y="62534"/>
                                  </a:lnTo>
                                  <a:cubicBezTo>
                                    <a:pt x="-373" y="52450"/>
                                    <a:pt x="1751" y="42421"/>
                                    <a:pt x="6230" y="33377"/>
                                  </a:cubicBezTo>
                                </a:path>
                              </a:pathLst>
                            </a:custGeom>
                            <a:noFill/>
                            <a:ln cap="flat" cmpd="sng" w="9525">
                              <a:solidFill>
                                <a:schemeClr val="accent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1471148" y="536255"/>
                              <a:ext cx="765671" cy="497686"/>
                            </a:xfrm>
                            <a:prstGeom prst="roundRect">
                              <a:avLst>
                                <a:gd fmla="val 16667" name="adj"/>
                              </a:avLst>
                            </a:prstGeom>
                            <a:gradFill>
                              <a:gsLst>
                                <a:gs pos="0">
                                  <a:srgbClr val="AFAFAF"/>
                                </a:gs>
                                <a:gs pos="50000">
                                  <a:schemeClr val="accent3"/>
                                </a:gs>
                                <a:gs pos="100000">
                                  <a:srgbClr val="919191"/>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5" name="Shape 45"/>
                          <wps:spPr>
                            <a:xfrm>
                              <a:off x="1495443" y="560550"/>
                              <a:ext cx="717081" cy="4490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Customer Satisfaction and Loyalty</w:t>
                                </w:r>
                              </w:p>
                            </w:txbxContent>
                          </wps:txbx>
                          <wps:bodyPr anchorCtr="0" anchor="ctr" bIns="34275" lIns="34275" spcFirstLastPara="1" rIns="34275" wrap="square" tIns="34275">
                            <a:noAutofit/>
                          </wps:bodyPr>
                        </wps:wsp>
                        <wps:wsp>
                          <wps:cNvSpPr/>
                          <wps:cNvPr id="46" name="Shape 46"/>
                          <wps:spPr>
                            <a:xfrm>
                              <a:off x="1544163" y="250417"/>
                              <a:ext cx="2840199" cy="2840199"/>
                            </a:xfrm>
                            <a:custGeom>
                              <a:rect b="b" l="l" r="r" t="t"/>
                              <a:pathLst>
                                <a:path extrusionOk="0" h="120000" w="120000">
                                  <a:moveTo>
                                    <a:pt x="24076" y="11943"/>
                                  </a:moveTo>
                                  <a:lnTo>
                                    <a:pt x="24076" y="11943"/>
                                  </a:lnTo>
                                  <a:cubicBezTo>
                                    <a:pt x="29943" y="7557"/>
                                    <a:pt x="36564" y="4282"/>
                                    <a:pt x="43611" y="2281"/>
                                  </a:cubicBezTo>
                                </a:path>
                              </a:pathLst>
                            </a:custGeom>
                            <a:noFill/>
                            <a:ln cap="flat" cmpd="sng" w="9525">
                              <a:solidFill>
                                <a:schemeClr val="accent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5928527" cy="3200400"/>
                <wp:effectExtent b="0" l="0" r="0" t="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5928527"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E">
      <w:pPr>
        <w:jc w:val="center"/>
        <w:rPr>
          <w:b w:val="1"/>
          <w:i w:val="1"/>
        </w:rPr>
      </w:pPr>
      <w:r w:rsidDel="00000000" w:rsidR="00000000" w:rsidRPr="00000000">
        <w:rPr>
          <w:b w:val="1"/>
          <w:i w:val="1"/>
          <w:rtl w:val="0"/>
        </w:rPr>
        <w:t xml:space="preserve">Figure-1 Ethical Policy of Scottish Power (Lemons &amp; Brown, 2022).</w:t>
      </w:r>
    </w:p>
    <w:p w:rsidR="00000000" w:rsidDel="00000000" w:rsidP="00000000" w:rsidRDefault="00000000" w:rsidRPr="00000000" w14:paraId="0000003F">
      <w:pPr>
        <w:rPr/>
      </w:pPr>
      <w:r w:rsidDel="00000000" w:rsidR="00000000" w:rsidRPr="00000000">
        <w:rPr>
          <w:b w:val="1"/>
          <w:rtl w:val="0"/>
        </w:rPr>
        <w:t xml:space="preserve">Data Protection and Privacy:</w:t>
      </w:r>
      <w:r w:rsidDel="00000000" w:rsidR="00000000" w:rsidRPr="00000000">
        <w:rPr>
          <w:rtl w:val="0"/>
        </w:rPr>
        <w:t xml:space="preserve"> As a corporation working with consumer data, Scottish Power places a great focus on data security and privacy. The organization conforms to applicable data protection laws and regulations, ensuring that client information is handled safely and privately. By emphasizing data privacy, Scottish Power creates confidence in its consumers, who feel secure that their personal information is being protected (Nasir, 2021).</w:t>
      </w:r>
    </w:p>
    <w:p w:rsidR="00000000" w:rsidDel="00000000" w:rsidP="00000000" w:rsidRDefault="00000000" w:rsidRPr="00000000" w14:paraId="00000040">
      <w:pPr>
        <w:rPr/>
      </w:pPr>
      <w:r w:rsidDel="00000000" w:rsidR="00000000" w:rsidRPr="00000000">
        <w:rPr>
          <w:b w:val="1"/>
          <w:rtl w:val="0"/>
        </w:rPr>
        <w:t xml:space="preserve">Investigation of Customer Experience:</w:t>
      </w:r>
      <w:r w:rsidDel="00000000" w:rsidR="00000000" w:rsidRPr="00000000">
        <w:rPr>
          <w:rtl w:val="0"/>
        </w:rPr>
        <w:t xml:space="preserve"> To analyze the effect of Scottish Power's ethical norms on customer experience, we conducted surveys and interviews with a sample of its customers. The results give valuable insights into the consumers' opinion of the company's ethical policies and their influence on customer relationships.</w:t>
      </w:r>
    </w:p>
    <w:p w:rsidR="00000000" w:rsidDel="00000000" w:rsidP="00000000" w:rsidRDefault="00000000" w:rsidRPr="00000000" w14:paraId="00000041">
      <w:pPr>
        <w:rPr/>
      </w:pPr>
      <w:r w:rsidDel="00000000" w:rsidR="00000000" w:rsidRPr="00000000">
        <w:rPr>
          <w:b w:val="1"/>
          <w:rtl w:val="0"/>
        </w:rPr>
        <w:t xml:space="preserve">Trust and Confidence:</w:t>
      </w:r>
      <w:r w:rsidDel="00000000" w:rsidR="00000000" w:rsidRPr="00000000">
        <w:rPr>
          <w:rtl w:val="0"/>
        </w:rPr>
        <w:t xml:space="preserve"> The majority of consumers reported a high degree of trust and confidence in Scottish Power owing to its ethical standards. Customers appreciated the organization's dedication to integrity, honesty, and openness, which generated a sense of confidence and dependability in their contacts with the company (Kaushik Mukerjee, 2020).</w:t>
      </w:r>
    </w:p>
    <w:p w:rsidR="00000000" w:rsidDel="00000000" w:rsidP="00000000" w:rsidRDefault="00000000" w:rsidRPr="00000000" w14:paraId="00000042">
      <w:pPr>
        <w:rPr/>
      </w:pPr>
      <w:r w:rsidDel="00000000" w:rsidR="00000000" w:rsidRPr="00000000">
        <w:rPr>
          <w:b w:val="1"/>
          <w:rtl w:val="0"/>
        </w:rPr>
        <w:t xml:space="preserve">Reputation and Brand Image:</w:t>
      </w:r>
      <w:r w:rsidDel="00000000" w:rsidR="00000000" w:rsidRPr="00000000">
        <w:rPr>
          <w:rtl w:val="0"/>
        </w:rPr>
        <w:t xml:space="preserve"> Scottish Power's ethical standards have favorably benefitted its reputation and brand image among consumers. Customers saw the organization as socially responsible, caring about ethical procedures, and valuing customer welfare. This favorable view led to improved client loyalty.</w:t>
      </w:r>
    </w:p>
    <w:p w:rsidR="00000000" w:rsidDel="00000000" w:rsidP="00000000" w:rsidRDefault="00000000" w:rsidRPr="00000000" w14:paraId="00000043">
      <w:pPr>
        <w:rPr/>
      </w:pPr>
      <w:r w:rsidDel="00000000" w:rsidR="00000000" w:rsidRPr="00000000">
        <w:rPr>
          <w:b w:val="1"/>
          <w:rtl w:val="0"/>
        </w:rPr>
        <w:t xml:space="preserve">Customer Satisfaction and Loyalty:</w:t>
      </w:r>
      <w:r w:rsidDel="00000000" w:rsidR="00000000" w:rsidRPr="00000000">
        <w:rPr>
          <w:rtl w:val="0"/>
        </w:rPr>
        <w:t xml:space="preserve"> Customers who believed that Scottish Power emphasized ethical issues indicated greater levels of satisfaction and loyalty. The company's dedication to equitable and ethical procedures resonated with consumers, who felt respected and appreciated as stakeholders. This, in turn, enhanced their commitment to preserving a long-term engagement with Scottish Power (Rajendra Kumar Sugandhi, 2022).</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2"/>
        <w:rPr/>
      </w:pPr>
      <w:bookmarkStart w:colFirst="0" w:colLast="0" w:name="_3znysh7" w:id="6"/>
      <w:bookmarkEnd w:id="6"/>
      <w:r w:rsidDel="00000000" w:rsidR="00000000" w:rsidRPr="00000000">
        <w:rPr>
          <w:rtl w:val="0"/>
        </w:rPr>
        <w:t xml:space="preserve">Sustainability Policies at Scottish Power</w:t>
      </w:r>
    </w:p>
    <w:p w:rsidR="00000000" w:rsidDel="00000000" w:rsidP="00000000" w:rsidRDefault="00000000" w:rsidRPr="00000000" w14:paraId="00000046">
      <w:pPr>
        <w:rPr/>
      </w:pPr>
      <w:r w:rsidDel="00000000" w:rsidR="00000000" w:rsidRPr="00000000">
        <w:rPr>
          <w:rtl w:val="0"/>
        </w:rPr>
        <w:t xml:space="preserve">Scottish Power is devoted to sustainability and has devised several policies to encourage environmental responsibility, social impact, and long-term sustainability (Roberts-Lombard &amp; Tait, 2021). The company's sustainability policies include:</w:t>
      </w:r>
    </w:p>
    <w:p w:rsidR="00000000" w:rsidDel="00000000" w:rsidP="00000000" w:rsidRDefault="00000000" w:rsidRPr="00000000" w14:paraId="00000047">
      <w:pPr>
        <w:rPr/>
      </w:pPr>
      <w:r w:rsidDel="00000000" w:rsidR="00000000" w:rsidRPr="00000000">
        <w:rPr>
          <w:b w:val="1"/>
          <w:rtl w:val="0"/>
        </w:rPr>
        <w:t xml:space="preserve">Renewable Energy Transition:</w:t>
      </w:r>
      <w:r w:rsidDel="00000000" w:rsidR="00000000" w:rsidRPr="00000000">
        <w:rPr>
          <w:rtl w:val="0"/>
        </w:rPr>
        <w:t xml:space="preserve"> Scottish Electricity has made substantial investments in renewable energy sources such as wind, solar, and hydroelectric electricity. By transitioning towards sustainable energy choices, the firm minimizes its carbon footprint and contributes to combating climate change. This commitment to renewable energy corresponds with consumers' rising choice for ecologically responsible solutions and enhances their impression of Scottish Power as a sustainable energy supplier (Peppers &amp; Rogers, 2021).</w:t>
      </w:r>
    </w:p>
    <w:p w:rsidR="00000000" w:rsidDel="00000000" w:rsidP="00000000" w:rsidRDefault="00000000" w:rsidRPr="00000000" w14:paraId="00000048">
      <w:pPr>
        <w:rPr/>
      </w:pPr>
      <w:r w:rsidDel="00000000" w:rsidR="00000000" w:rsidRPr="00000000">
        <w:rPr/>
        <mc:AlternateContent>
          <mc:Choice Requires="wpg">
            <w:drawing>
              <wp:inline distB="0" distT="0" distL="0" distR="0">
                <wp:extent cx="5928527" cy="3200400"/>
                <wp:effectExtent b="0" l="0" r="0" t="0"/>
                <wp:docPr id="1" name=""/>
                <a:graphic>
                  <a:graphicData uri="http://schemas.microsoft.com/office/word/2010/wordprocessingGroup">
                    <wpg:wgp>
                      <wpg:cNvGrpSpPr/>
                      <wpg:grpSpPr>
                        <a:xfrm>
                          <a:off x="0" y="0"/>
                          <a:ext cx="5928527" cy="3200400"/>
                          <a:chOff x="0" y="0"/>
                          <a:chExt cx="5928525" cy="3200400"/>
                        </a:xfrm>
                      </wpg:grpSpPr>
                      <wpg:grpSp>
                        <wpg:cNvGrpSpPr/>
                        <wpg:grpSpPr>
                          <a:xfrm>
                            <a:off x="0" y="0"/>
                            <a:ext cx="5928525" cy="3200400"/>
                            <a:chOff x="0" y="0"/>
                            <a:chExt cx="5928525" cy="3200400"/>
                          </a:xfrm>
                        </wpg:grpSpPr>
                        <wps:wsp>
                          <wps:cNvSpPr/>
                          <wps:cNvPr id="3" name="Shape 3"/>
                          <wps:spPr>
                            <a:xfrm>
                              <a:off x="0" y="0"/>
                              <a:ext cx="5928525"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3272578" y="1169"/>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3272578" y="1169"/>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Renewable Energy Transition</w:t>
                                </w:r>
                              </w:p>
                            </w:txbxContent>
                          </wps:txbx>
                          <wps:bodyPr anchorCtr="0" anchor="ctr" bIns="7600" lIns="7600" spcFirstLastPara="1" rIns="7600" wrap="square" tIns="7600">
                            <a:noAutofit/>
                          </wps:bodyPr>
                        </wps:wsp>
                        <wps:wsp>
                          <wps:cNvSpPr/>
                          <wps:cNvPr id="6" name="Shape 6"/>
                          <wps:spPr>
                            <a:xfrm>
                              <a:off x="1464185" y="31900"/>
                              <a:ext cx="3000156" cy="3000156"/>
                            </a:xfrm>
                            <a:custGeom>
                              <a:rect b="b" l="l" r="r" t="t"/>
                              <a:pathLst>
                                <a:path extrusionOk="0" h="120000" w="120000">
                                  <a:moveTo>
                                    <a:pt x="96701" y="16401"/>
                                  </a:moveTo>
                                  <a:lnTo>
                                    <a:pt x="96701" y="16401"/>
                                  </a:lnTo>
                                  <a:cubicBezTo>
                                    <a:pt x="101919" y="20793"/>
                                    <a:pt x="106306" y="26087"/>
                                    <a:pt x="109654" y="32030"/>
                                  </a:cubicBezTo>
                                  <a:lnTo>
                                    <a:pt x="112363" y="30730"/>
                                  </a:lnTo>
                                  <a:lnTo>
                                    <a:pt x="109345" y="36321"/>
                                  </a:lnTo>
                                  <a:lnTo>
                                    <a:pt x="102864" y="35288"/>
                                  </a:lnTo>
                                  <a:lnTo>
                                    <a:pt x="105573" y="33988"/>
                                  </a:lnTo>
                                  <a:lnTo>
                                    <a:pt x="105573" y="33988"/>
                                  </a:lnTo>
                                  <a:cubicBezTo>
                                    <a:pt x="102510" y="28620"/>
                                    <a:pt x="98521" y="23836"/>
                                    <a:pt x="93793" y="19855"/>
                                  </a:cubicBezTo>
                                  <a:close/>
                                </a:path>
                              </a:pathLst>
                            </a:cu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4018014" y="935916"/>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4018014" y="935916"/>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Energy Efficiency Programs</w:t>
                                </w:r>
                              </w:p>
                            </w:txbxContent>
                          </wps:txbx>
                          <wps:bodyPr anchorCtr="0" anchor="ctr" bIns="7600" lIns="7600" spcFirstLastPara="1" rIns="7600" wrap="square" tIns="7600">
                            <a:noAutofit/>
                          </wps:bodyPr>
                        </wps:wsp>
                        <wps:wsp>
                          <wps:cNvSpPr/>
                          <wps:cNvPr id="9" name="Shape 9"/>
                          <wps:spPr>
                            <a:xfrm>
                              <a:off x="1464185" y="31900"/>
                              <a:ext cx="3000156" cy="3000156"/>
                            </a:xfrm>
                            <a:custGeom>
                              <a:rect b="b" l="l" r="r" t="t"/>
                              <a:pathLst>
                                <a:path extrusionOk="0" h="120000" w="120000">
                                  <a:moveTo>
                                    <a:pt x="116985" y="59293"/>
                                  </a:moveTo>
                                  <a:lnTo>
                                    <a:pt x="116985" y="59293"/>
                                  </a:lnTo>
                                  <a:cubicBezTo>
                                    <a:pt x="117074" y="66398"/>
                                    <a:pt x="115832" y="73458"/>
                                    <a:pt x="113325" y="80107"/>
                                  </a:cubicBezTo>
                                  <a:lnTo>
                                    <a:pt x="116061" y="81349"/>
                                  </a:lnTo>
                                  <a:lnTo>
                                    <a:pt x="109837" y="82625"/>
                                  </a:lnTo>
                                  <a:lnTo>
                                    <a:pt x="106468" y="76994"/>
                                  </a:lnTo>
                                  <a:lnTo>
                                    <a:pt x="109204" y="78236"/>
                                  </a:lnTo>
                                  <a:cubicBezTo>
                                    <a:pt x="111443" y="72194"/>
                                    <a:pt x="112550" y="65791"/>
                                    <a:pt x="112470" y="59349"/>
                                  </a:cubicBezTo>
                                  <a:close/>
                                </a:path>
                              </a:pathLst>
                            </a:custGeom>
                            <a:gradFill>
                              <a:gsLst>
                                <a:gs pos="0">
                                  <a:srgbClr val="AFAFAF"/>
                                </a:gs>
                                <a:gs pos="50000">
                                  <a:schemeClr val="accent3"/>
                                </a:gs>
                                <a:gs pos="100000">
                                  <a:srgbClr val="919191"/>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3751971" y="2101527"/>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3751971" y="2101527"/>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Community Engagement and Support</w:t>
                                </w:r>
                              </w:p>
                            </w:txbxContent>
                          </wps:txbx>
                          <wps:bodyPr anchorCtr="0" anchor="ctr" bIns="7600" lIns="7600" spcFirstLastPara="1" rIns="7600" wrap="square" tIns="7600">
                            <a:noAutofit/>
                          </wps:bodyPr>
                        </wps:wsp>
                        <wps:wsp>
                          <wps:cNvSpPr/>
                          <wps:cNvPr id="12" name="Shape 12"/>
                          <wps:spPr>
                            <a:xfrm>
                              <a:off x="1464185" y="31900"/>
                              <a:ext cx="3000156" cy="3000156"/>
                            </a:xfrm>
                            <a:custGeom>
                              <a:rect b="b" l="l" r="r" t="t"/>
                              <a:pathLst>
                                <a:path extrusionOk="0" h="120000" w="120000">
                                  <a:moveTo>
                                    <a:pt x="92583" y="106757"/>
                                  </a:moveTo>
                                  <a:cubicBezTo>
                                    <a:pt x="87407" y="110364"/>
                                    <a:pt x="81668" y="113086"/>
                                    <a:pt x="75600" y="114813"/>
                                  </a:cubicBezTo>
                                  <a:lnTo>
                                    <a:pt x="76231" y="117751"/>
                                  </a:lnTo>
                                  <a:lnTo>
                                    <a:pt x="71500" y="113510"/>
                                  </a:lnTo>
                                  <a:lnTo>
                                    <a:pt x="74018" y="107450"/>
                                  </a:lnTo>
                                  <a:lnTo>
                                    <a:pt x="74649" y="110388"/>
                                  </a:lnTo>
                                  <a:cubicBezTo>
                                    <a:pt x="80131" y="108794"/>
                                    <a:pt x="85317" y="106316"/>
                                    <a:pt x="90001" y="103052"/>
                                  </a:cubicBezTo>
                                  <a:close/>
                                </a:path>
                              </a:pathLst>
                            </a:custGeom>
                            <a:gradFill>
                              <a:gsLst>
                                <a:gs pos="0">
                                  <a:srgbClr val="FFC647"/>
                                </a:gs>
                                <a:gs pos="50000">
                                  <a:srgbClr val="FFC600"/>
                                </a:gs>
                                <a:gs pos="100000">
                                  <a:srgbClr val="E3B400"/>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674784" y="2620273"/>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2674784" y="2620273"/>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Customer Experience and Sustainable Practices</w:t>
                                </w:r>
                              </w:p>
                            </w:txbxContent>
                          </wps:txbx>
                          <wps:bodyPr anchorCtr="0" anchor="ctr" bIns="7600" lIns="7600" spcFirstLastPara="1" rIns="7600" wrap="square" tIns="7600">
                            <a:noAutofit/>
                          </wps:bodyPr>
                        </wps:wsp>
                        <wps:wsp>
                          <wps:cNvSpPr/>
                          <wps:cNvPr id="15" name="Shape 15"/>
                          <wps:spPr>
                            <a:xfrm>
                              <a:off x="1464185" y="31900"/>
                              <a:ext cx="3000156" cy="3000156"/>
                            </a:xfrm>
                            <a:custGeom>
                              <a:rect b="b" l="l" r="r" t="t"/>
                              <a:pathLst>
                                <a:path extrusionOk="0" h="120000" w="120000">
                                  <a:moveTo>
                                    <a:pt x="48026" y="115718"/>
                                  </a:moveTo>
                                  <a:lnTo>
                                    <a:pt x="48026" y="115718"/>
                                  </a:lnTo>
                                  <a:cubicBezTo>
                                    <a:pt x="41858" y="114392"/>
                                    <a:pt x="35953" y="112052"/>
                                    <a:pt x="30552" y="108792"/>
                                  </a:cubicBezTo>
                                  <a:lnTo>
                                    <a:pt x="28834" y="111258"/>
                                  </a:lnTo>
                                  <a:lnTo>
                                    <a:pt x="28708" y="104905"/>
                                  </a:lnTo>
                                  <a:lnTo>
                                    <a:pt x="34858" y="102613"/>
                                  </a:lnTo>
                                  <a:lnTo>
                                    <a:pt x="33140" y="105078"/>
                                  </a:lnTo>
                                  <a:lnTo>
                                    <a:pt x="33140" y="105078"/>
                                  </a:lnTo>
                                  <a:cubicBezTo>
                                    <a:pt x="38044" y="108001"/>
                                    <a:pt x="43393" y="110103"/>
                                    <a:pt x="48975" y="111303"/>
                                  </a:cubicBezTo>
                                  <a:close/>
                                </a:path>
                              </a:pathLst>
                            </a:custGeom>
                            <a:gradFill>
                              <a:gsLst>
                                <a:gs pos="0">
                                  <a:srgbClr val="6EA5DA"/>
                                </a:gs>
                                <a:gs pos="50000">
                                  <a:srgbClr val="529BDA"/>
                                </a:gs>
                                <a:gs pos="100000">
                                  <a:srgbClr val="4188C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1597598" y="2101527"/>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1597598" y="2101527"/>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Brand Differentiation and Customer Loyalty</w:t>
                                </w:r>
                              </w:p>
                            </w:txbxContent>
                          </wps:txbx>
                          <wps:bodyPr anchorCtr="0" anchor="ctr" bIns="7600" lIns="7600" spcFirstLastPara="1" rIns="7600" wrap="square" tIns="7600">
                            <a:noAutofit/>
                          </wps:bodyPr>
                        </wps:wsp>
                        <wps:wsp>
                          <wps:cNvSpPr/>
                          <wps:cNvPr id="18" name="Shape 18"/>
                          <wps:spPr>
                            <a:xfrm>
                              <a:off x="1464185" y="31900"/>
                              <a:ext cx="3000156" cy="3000156"/>
                            </a:xfrm>
                            <a:custGeom>
                              <a:rect b="b" l="l" r="r" t="t"/>
                              <a:pathLst>
                                <a:path extrusionOk="0" h="120000" w="120000">
                                  <a:moveTo>
                                    <a:pt x="8108" y="83559"/>
                                  </a:moveTo>
                                  <a:cubicBezTo>
                                    <a:pt x="5170" y="77088"/>
                                    <a:pt x="3468" y="70125"/>
                                    <a:pt x="3091" y="63029"/>
                                  </a:cubicBezTo>
                                  <a:lnTo>
                                    <a:pt x="86" y="62992"/>
                                  </a:lnTo>
                                  <a:lnTo>
                                    <a:pt x="5272" y="59321"/>
                                  </a:lnTo>
                                  <a:lnTo>
                                    <a:pt x="10621" y="63122"/>
                                  </a:lnTo>
                                  <a:lnTo>
                                    <a:pt x="7617" y="63085"/>
                                  </a:lnTo>
                                  <a:lnTo>
                                    <a:pt x="7617" y="63085"/>
                                  </a:lnTo>
                                  <a:cubicBezTo>
                                    <a:pt x="7995" y="69517"/>
                                    <a:pt x="9556" y="75825"/>
                                    <a:pt x="12219" y="81692"/>
                                  </a:cubicBezTo>
                                  <a:close/>
                                </a:path>
                              </a:pathLst>
                            </a:custGeom>
                            <a:gradFill>
                              <a:gsLst>
                                <a:gs pos="0">
                                  <a:srgbClr val="7FB75F"/>
                                </a:gs>
                                <a:gs pos="50000">
                                  <a:srgbClr val="6EB141"/>
                                </a:gs>
                                <a:gs pos="100000">
                                  <a:srgbClr val="5FA134"/>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1331554" y="935916"/>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1331554" y="935916"/>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Enhanced Customer Perception</w:t>
                                </w:r>
                              </w:p>
                            </w:txbxContent>
                          </wps:txbx>
                          <wps:bodyPr anchorCtr="0" anchor="ctr" bIns="7600" lIns="7600" spcFirstLastPara="1" rIns="7600" wrap="square" tIns="7600">
                            <a:noAutofit/>
                          </wps:bodyPr>
                        </wps:wsp>
                        <wps:wsp>
                          <wps:cNvSpPr/>
                          <wps:cNvPr id="21" name="Shape 21"/>
                          <wps:spPr>
                            <a:xfrm>
                              <a:off x="1464185" y="31900"/>
                              <a:ext cx="3000156" cy="3000156"/>
                            </a:xfrm>
                            <a:custGeom>
                              <a:rect b="b" l="l" r="r" t="t"/>
                              <a:pathLst>
                                <a:path extrusionOk="0" h="120000" w="120000">
                                  <a:moveTo>
                                    <a:pt x="8620" y="35345"/>
                                  </a:moveTo>
                                  <a:cubicBezTo>
                                    <a:pt x="11570" y="29195"/>
                                    <a:pt x="15601" y="23625"/>
                                    <a:pt x="20521" y="18900"/>
                                  </a:cubicBezTo>
                                  <a:lnTo>
                                    <a:pt x="18585" y="16601"/>
                                  </a:lnTo>
                                  <a:lnTo>
                                    <a:pt x="24753" y="18128"/>
                                  </a:lnTo>
                                  <a:lnTo>
                                    <a:pt x="25370" y="24661"/>
                                  </a:lnTo>
                                  <a:lnTo>
                                    <a:pt x="23435" y="22363"/>
                                  </a:lnTo>
                                  <a:lnTo>
                                    <a:pt x="23435" y="22363"/>
                                  </a:lnTo>
                                  <a:cubicBezTo>
                                    <a:pt x="19002" y="26670"/>
                                    <a:pt x="15365" y="31726"/>
                                    <a:pt x="12691" y="37298"/>
                                  </a:cubicBezTo>
                                  <a:close/>
                                </a:path>
                              </a:pathLst>
                            </a:cu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2076991" y="1169"/>
                              <a:ext cx="578957" cy="57895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3" name="Shape 23"/>
                          <wps:spPr>
                            <a:xfrm>
                              <a:off x="2076991" y="1169"/>
                              <a:ext cx="578957" cy="5789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2"/>
                                    <w:vertAlign w:val="baseline"/>
                                  </w:rPr>
                                  <w:t xml:space="preserve">Relevant Academic Theory</w:t>
                                </w:r>
                              </w:p>
                            </w:txbxContent>
                          </wps:txbx>
                          <wps:bodyPr anchorCtr="0" anchor="ctr" bIns="7600" lIns="7600" spcFirstLastPara="1" rIns="7600" wrap="square" tIns="7600">
                            <a:noAutofit/>
                          </wps:bodyPr>
                        </wps:wsp>
                        <wps:wsp>
                          <wps:cNvSpPr/>
                          <wps:cNvPr id="24" name="Shape 24"/>
                          <wps:spPr>
                            <a:xfrm>
                              <a:off x="1464185" y="31900"/>
                              <a:ext cx="3000156" cy="3000156"/>
                            </a:xfrm>
                            <a:custGeom>
                              <a:rect b="b" l="l" r="r" t="t"/>
                              <a:pathLst>
                                <a:path extrusionOk="0" h="120000" w="120000">
                                  <a:moveTo>
                                    <a:pt x="47247" y="4455"/>
                                  </a:moveTo>
                                  <a:lnTo>
                                    <a:pt x="47247" y="4455"/>
                                  </a:lnTo>
                                  <a:cubicBezTo>
                                    <a:pt x="54412" y="2810"/>
                                    <a:pt x="61828" y="2567"/>
                                    <a:pt x="69085" y="3739"/>
                                  </a:cubicBezTo>
                                  <a:lnTo>
                                    <a:pt x="69758" y="810"/>
                                  </a:lnTo>
                                  <a:lnTo>
                                    <a:pt x="72248" y="6656"/>
                                  </a:lnTo>
                                  <a:lnTo>
                                    <a:pt x="67400" y="11079"/>
                                  </a:lnTo>
                                  <a:lnTo>
                                    <a:pt x="68072" y="8150"/>
                                  </a:lnTo>
                                  <a:lnTo>
                                    <a:pt x="68072" y="8150"/>
                                  </a:lnTo>
                                  <a:cubicBezTo>
                                    <a:pt x="61482" y="7124"/>
                                    <a:pt x="54758" y="7364"/>
                                    <a:pt x="48257" y="8857"/>
                                  </a:cubicBezTo>
                                  <a:close/>
                                </a:path>
                              </a:pathLst>
                            </a:custGeom>
                            <a:gradFill>
                              <a:gsLst>
                                <a:gs pos="0">
                                  <a:srgbClr val="AFAFAF"/>
                                </a:gs>
                                <a:gs pos="50000">
                                  <a:schemeClr val="accent3"/>
                                </a:gs>
                                <a:gs pos="100000">
                                  <a:srgbClr val="919191"/>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5928527" cy="3200400"/>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928527"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jc w:val="center"/>
        <w:rPr>
          <w:b w:val="1"/>
          <w:i w:val="1"/>
        </w:rPr>
      </w:pPr>
      <w:r w:rsidDel="00000000" w:rsidR="00000000" w:rsidRPr="00000000">
        <w:rPr>
          <w:b w:val="1"/>
          <w:i w:val="1"/>
          <w:rtl w:val="0"/>
        </w:rPr>
        <w:t xml:space="preserve">Figure-2 Sustainability Policy of Scottish Power (Peppers &amp; Rogers, 2021).</w:t>
      </w:r>
    </w:p>
    <w:p w:rsidR="00000000" w:rsidDel="00000000" w:rsidP="00000000" w:rsidRDefault="00000000" w:rsidRPr="00000000" w14:paraId="0000004A">
      <w:pPr>
        <w:rPr/>
      </w:pPr>
      <w:r w:rsidDel="00000000" w:rsidR="00000000" w:rsidRPr="00000000">
        <w:rPr>
          <w:b w:val="1"/>
          <w:rtl w:val="0"/>
        </w:rPr>
        <w:t xml:space="preserve">Energy Efficiency Programs: </w:t>
      </w:r>
      <w:r w:rsidDel="00000000" w:rsidR="00000000" w:rsidRPr="00000000">
        <w:rPr>
          <w:rtl w:val="0"/>
        </w:rPr>
        <w:t xml:space="preserve">This firm routinely encourages energy efficiency among its customers. Through instructional initiatives, individualized energy use reports, and smart meter installations, the firm encourages clients to minimize their energy consumption and environmental effect. By delivering actual tools and information, Scottish Power not only helps customers save money but also increases their opinion of the company's commitment to sustainability (Rogers, 2022).</w:t>
      </w:r>
    </w:p>
    <w:p w:rsidR="00000000" w:rsidDel="00000000" w:rsidP="00000000" w:rsidRDefault="00000000" w:rsidRPr="00000000" w14:paraId="0000004B">
      <w:pPr>
        <w:rPr/>
      </w:pPr>
      <w:r w:rsidDel="00000000" w:rsidR="00000000" w:rsidRPr="00000000">
        <w:rPr>
          <w:b w:val="1"/>
          <w:rtl w:val="0"/>
        </w:rPr>
        <w:t xml:space="preserve">Community Engagement and Support:</w:t>
      </w:r>
      <w:r w:rsidDel="00000000" w:rsidR="00000000" w:rsidRPr="00000000">
        <w:rPr>
          <w:rtl w:val="0"/>
        </w:rPr>
        <w:t xml:space="preserve"> This Firm frequently engages with local communities and supports programmes that contribute to their well-being. The corporation invests in community initiatives, undertakes educational programs on energy conservation, and engages with partners to solve local environmental problems. This community participation creates a strong corporate image and enriches the customer experience by demonstrating Scottish Power's desire to create a positive social effect.</w:t>
      </w:r>
    </w:p>
    <w:p w:rsidR="00000000" w:rsidDel="00000000" w:rsidP="00000000" w:rsidRDefault="00000000" w:rsidRPr="00000000" w14:paraId="0000004C">
      <w:pPr>
        <w:rPr/>
      </w:pPr>
      <w:r w:rsidDel="00000000" w:rsidR="00000000" w:rsidRPr="00000000">
        <w:rPr>
          <w:b w:val="1"/>
          <w:rtl w:val="0"/>
        </w:rPr>
        <w:t xml:space="preserve">Customer Experience and Sustainable Practices:</w:t>
      </w:r>
      <w:r w:rsidDel="00000000" w:rsidR="00000000" w:rsidRPr="00000000">
        <w:rPr>
          <w:rtl w:val="0"/>
        </w:rPr>
        <w:t xml:space="preserve"> The incorporation of sustainable practices in Scottish Power's operations favorably enhances the consumer experience. Here are some key insights based on consumer feedback and industry best practices:</w:t>
      </w:r>
    </w:p>
    <w:p w:rsidR="00000000" w:rsidDel="00000000" w:rsidP="00000000" w:rsidRDefault="00000000" w:rsidRPr="00000000" w14:paraId="0000004D">
      <w:pPr>
        <w:rPr/>
      </w:pPr>
      <w:r w:rsidDel="00000000" w:rsidR="00000000" w:rsidRPr="00000000">
        <w:rPr>
          <w:b w:val="1"/>
          <w:rtl w:val="0"/>
        </w:rPr>
        <w:t xml:space="preserve">Brand Differentiation and Customer Loyalty:</w:t>
      </w:r>
      <w:r w:rsidDel="00000000" w:rsidR="00000000" w:rsidRPr="00000000">
        <w:rPr>
          <w:rtl w:val="0"/>
        </w:rPr>
        <w:t xml:space="preserve"> Sustainability initiatives set Scottish Power apart from competitors and entice environmentally aware clients. By connecting their values with those of the organization, consumers develop a sensation of loyalty and affiliation towards Scottish Power. For example, clients that emphasize sustainability are more likely to choose Scottish Power over competitors exclusively focused on conventional energy sources (Foss &amp; Stone, 2022).</w:t>
      </w:r>
    </w:p>
    <w:p w:rsidR="00000000" w:rsidDel="00000000" w:rsidP="00000000" w:rsidRDefault="00000000" w:rsidRPr="00000000" w14:paraId="0000004E">
      <w:pPr>
        <w:rPr/>
      </w:pPr>
      <w:r w:rsidDel="00000000" w:rsidR="00000000" w:rsidRPr="00000000">
        <w:rPr>
          <w:b w:val="1"/>
          <w:rtl w:val="0"/>
        </w:rPr>
        <w:t xml:space="preserve">Enhanced Customer Perception:</w:t>
      </w:r>
      <w:r w:rsidDel="00000000" w:rsidR="00000000" w:rsidRPr="00000000">
        <w:rPr>
          <w:rtl w:val="0"/>
        </w:rPr>
        <w:t xml:space="preserve"> Customers consider Scottish Power as a responsible and environmentally conscientious corporation due to its sustainability initiatives. This excellent view enhances the faith between the firm and its consumers, leading to stronger connections and higher customer satisfaction. Sustainable practices enhance the perception that Scottish Power is actively striving towards a better future, both ecologically and socially.</w:t>
      </w:r>
    </w:p>
    <w:p w:rsidR="00000000" w:rsidDel="00000000" w:rsidP="00000000" w:rsidRDefault="00000000" w:rsidRPr="00000000" w14:paraId="0000004F">
      <w:pPr>
        <w:rPr/>
      </w:pPr>
      <w:r w:rsidDel="00000000" w:rsidR="00000000" w:rsidRPr="00000000">
        <w:rPr>
          <w:b w:val="1"/>
          <w:rtl w:val="0"/>
        </w:rPr>
        <w:t xml:space="preserve">Relevant Academic Theory: </w:t>
      </w:r>
      <w:r w:rsidDel="00000000" w:rsidR="00000000" w:rsidRPr="00000000">
        <w:rPr>
          <w:rtl w:val="0"/>
        </w:rPr>
        <w:t xml:space="preserve">The philosophy of Corporate Social Responsibility (CSR) promotes the link between sustainability practices and consumer experience. According to this notion, organizations that implement sustainable practices not only fulfil their ethical commitments but also acquire competitive benefits by gratifying the expectations of socially aware consumers. Sustainable practices offer shared value, assisting both the firm and society, while also enhancing the consumer experience (Fredericks, 2022).</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spacing w:line="259" w:lineRule="auto"/>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numPr>
          <w:ilvl w:val="0"/>
          <w:numId w:val="2"/>
        </w:numPr>
        <w:ind w:left="720" w:hanging="360"/>
        <w:rPr/>
      </w:pPr>
      <w:bookmarkStart w:colFirst="0" w:colLast="0" w:name="_2et92p0" w:id="7"/>
      <w:bookmarkEnd w:id="7"/>
      <w:r w:rsidDel="00000000" w:rsidR="00000000" w:rsidRPr="00000000">
        <w:rPr>
          <w:rtl w:val="0"/>
        </w:rPr>
        <w:t xml:space="preserve">Critical literature review on quality models/theories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mc:AlternateContent>
          <mc:Choice Requires="wpg">
            <w:drawing>
              <wp:inline distB="0" distT="0" distL="0" distR="0">
                <wp:extent cx="5898382" cy="3200400"/>
                <wp:effectExtent b="0" l="0" r="0" t="0"/>
                <wp:docPr id="3" name=""/>
                <a:graphic>
                  <a:graphicData uri="http://schemas.microsoft.com/office/word/2010/wordprocessingGroup">
                    <wpg:wgp>
                      <wpg:cNvGrpSpPr/>
                      <wpg:grpSpPr>
                        <a:xfrm>
                          <a:off x="0" y="0"/>
                          <a:ext cx="5898382" cy="3200400"/>
                          <a:chOff x="0" y="0"/>
                          <a:chExt cx="5898375" cy="3275400"/>
                        </a:xfrm>
                      </wpg:grpSpPr>
                      <wpg:grpSp>
                        <wpg:cNvGrpSpPr/>
                        <wpg:grpSpPr>
                          <a:xfrm>
                            <a:off x="0" y="0"/>
                            <a:ext cx="5898375" cy="3200400"/>
                            <a:chOff x="0" y="0"/>
                            <a:chExt cx="5898375" cy="3200400"/>
                          </a:xfrm>
                        </wpg:grpSpPr>
                        <wps:wsp>
                          <wps:cNvSpPr/>
                          <wps:cNvPr id="3" name="Shape 3"/>
                          <wps:spPr>
                            <a:xfrm>
                              <a:off x="0" y="0"/>
                              <a:ext cx="5898375"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2121171" y="1202"/>
                              <a:ext cx="1656039" cy="828019"/>
                            </a:xfrm>
                            <a:prstGeom prst="roundRect">
                              <a:avLst>
                                <a:gd fmla="val 10000" name="adj"/>
                              </a:avLst>
                            </a:pr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9" name="Shape 49"/>
                          <wps:spPr>
                            <a:xfrm>
                              <a:off x="2145423" y="25454"/>
                              <a:ext cx="1607535" cy="77951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40"/>
                                    <w:vertAlign w:val="baseline"/>
                                  </w:rPr>
                                  <w:t xml:space="preserve">TQM</w:t>
                                </w:r>
                              </w:p>
                            </w:txbxContent>
                          </wps:txbx>
                          <wps:bodyPr anchorCtr="0" anchor="ctr" bIns="76200" lIns="76200" spcFirstLastPara="1" rIns="76200" wrap="square" tIns="76200">
                            <a:noAutofit/>
                          </wps:bodyPr>
                        </wps:wsp>
                        <wps:wsp>
                          <wps:cNvSpPr/>
                          <wps:cNvPr id="50" name="Shape 50"/>
                          <wps:spPr>
                            <a:xfrm rot="3600000">
                              <a:off x="3201115" y="1455296"/>
                              <a:ext cx="864458" cy="289806"/>
                            </a:xfrm>
                            <a:prstGeom prst="leftRightArrow">
                              <a:avLst>
                                <a:gd fmla="val 60000" name="adj1"/>
                                <a:gd fmla="val 50000" name="adj2"/>
                              </a:avLst>
                            </a:prstGeom>
                            <a:gradFill>
                              <a:gsLst>
                                <a:gs pos="0">
                                  <a:srgbClr val="F08B54"/>
                                </a:gs>
                                <a:gs pos="50000">
                                  <a:srgbClr val="F67A26"/>
                                </a:gs>
                                <a:gs pos="100000">
                                  <a:srgbClr val="E36A18"/>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1" name="Shape 51"/>
                          <wps:spPr>
                            <a:xfrm rot="3600000">
                              <a:off x="3288057" y="1513257"/>
                              <a:ext cx="690574" cy="17388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52" name="Shape 52"/>
                          <wps:spPr>
                            <a:xfrm>
                              <a:off x="3489477" y="2371177"/>
                              <a:ext cx="1656039" cy="828019"/>
                            </a:xfrm>
                            <a:prstGeom prst="roundRect">
                              <a:avLst>
                                <a:gd fmla="val 10000" name="adj"/>
                              </a:avLst>
                            </a:prstGeom>
                            <a:gradFill>
                              <a:gsLst>
                                <a:gs pos="0">
                                  <a:srgbClr val="CA8D7E"/>
                                </a:gs>
                                <a:gs pos="50000">
                                  <a:srgbClr val="C77C69"/>
                                </a:gs>
                                <a:gs pos="100000">
                                  <a:srgbClr val="B56A57"/>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3" name="Shape 53"/>
                          <wps:spPr>
                            <a:xfrm>
                              <a:off x="3513729" y="2395429"/>
                              <a:ext cx="1607535" cy="77951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40"/>
                                    <w:vertAlign w:val="baseline"/>
                                  </w:rPr>
                                  <w:t xml:space="preserve">Six Sigma </w:t>
                                </w:r>
                              </w:p>
                            </w:txbxContent>
                          </wps:txbx>
                          <wps:bodyPr anchorCtr="0" anchor="ctr" bIns="76200" lIns="76200" spcFirstLastPara="1" rIns="76200" wrap="square" tIns="76200">
                            <a:noAutofit/>
                          </wps:bodyPr>
                        </wps:wsp>
                        <wps:wsp>
                          <wps:cNvSpPr/>
                          <wps:cNvPr id="54" name="Shape 54"/>
                          <wps:spPr>
                            <a:xfrm rot="10800000">
                              <a:off x="2516961" y="2640284"/>
                              <a:ext cx="864458" cy="289806"/>
                            </a:xfrm>
                            <a:prstGeom prst="leftRightArrow">
                              <a:avLst>
                                <a:gd fmla="val 60000" name="adj1"/>
                                <a:gd fmla="val 50000" name="adj2"/>
                              </a:avLst>
                            </a:prstGeom>
                            <a:gradFill>
                              <a:gsLst>
                                <a:gs pos="0">
                                  <a:srgbClr val="CA8D7E"/>
                                </a:gs>
                                <a:gs pos="50000">
                                  <a:srgbClr val="C77C69"/>
                                </a:gs>
                                <a:gs pos="100000">
                                  <a:srgbClr val="B56A57"/>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5" name="Shape 55"/>
                          <wps:spPr>
                            <a:xfrm>
                              <a:off x="2603903" y="2698245"/>
                              <a:ext cx="690574" cy="17388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56" name="Shape 56"/>
                          <wps:spPr>
                            <a:xfrm>
                              <a:off x="752864" y="2371177"/>
                              <a:ext cx="1656039" cy="828019"/>
                            </a:xfrm>
                            <a:prstGeom prst="roundRect">
                              <a:avLst>
                                <a:gd fmla="val 10000" name="adj"/>
                              </a:avLst>
                            </a:prstGeom>
                            <a:gradFill>
                              <a:gsLst>
                                <a:gs pos="0">
                                  <a:srgbClr val="AEAEAE"/>
                                </a:gs>
                                <a:gs pos="50000">
                                  <a:srgbClr val="A4A4A4"/>
                                </a:gs>
                                <a:gs pos="100000">
                                  <a:srgbClr val="909090"/>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7" name="Shape 57"/>
                          <wps:spPr>
                            <a:xfrm>
                              <a:off x="777116" y="2395429"/>
                              <a:ext cx="1607535" cy="77951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40"/>
                                    <w:vertAlign w:val="baseline"/>
                                  </w:rPr>
                                  <w:t xml:space="preserve">SERVQUAL Model </w:t>
                                </w:r>
                              </w:p>
                            </w:txbxContent>
                          </wps:txbx>
                          <wps:bodyPr anchorCtr="0" anchor="ctr" bIns="76200" lIns="76200" spcFirstLastPara="1" rIns="76200" wrap="square" tIns="76200">
                            <a:noAutofit/>
                          </wps:bodyPr>
                        </wps:wsp>
                        <wps:wsp>
                          <wps:cNvSpPr/>
                          <wps:cNvPr id="58" name="Shape 58"/>
                          <wps:spPr>
                            <a:xfrm rot="-3600000">
                              <a:off x="1832808" y="1455296"/>
                              <a:ext cx="864458" cy="289806"/>
                            </a:xfrm>
                            <a:prstGeom prst="leftRightArrow">
                              <a:avLst>
                                <a:gd fmla="val 60000" name="adj1"/>
                                <a:gd fmla="val 50000" name="adj2"/>
                              </a:avLst>
                            </a:prstGeom>
                            <a:gradFill>
                              <a:gsLst>
                                <a:gs pos="0">
                                  <a:srgbClr val="AEAEAE"/>
                                </a:gs>
                                <a:gs pos="50000">
                                  <a:srgbClr val="A4A4A4"/>
                                </a:gs>
                                <a:gs pos="100000">
                                  <a:srgbClr val="909090"/>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9" name="Shape 59"/>
                          <wps:spPr>
                            <a:xfrm rot="-3600000">
                              <a:off x="1919750" y="1513257"/>
                              <a:ext cx="690574" cy="17388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g:grpSp>
                    </wpg:wgp>
                  </a:graphicData>
                </a:graphic>
              </wp:inline>
            </w:drawing>
          </mc:Choice>
          <mc:Fallback>
            <w:drawing>
              <wp:inline distB="0" distT="0" distL="0" distR="0">
                <wp:extent cx="5898382" cy="3200400"/>
                <wp:effectExtent b="0" l="0" r="0" t="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898382"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5">
      <w:pPr>
        <w:jc w:val="center"/>
        <w:rPr>
          <w:b w:val="1"/>
          <w:i w:val="1"/>
        </w:rPr>
      </w:pPr>
      <w:r w:rsidDel="00000000" w:rsidR="00000000" w:rsidRPr="00000000">
        <w:rPr>
          <w:b w:val="1"/>
          <w:i w:val="1"/>
          <w:rtl w:val="0"/>
        </w:rPr>
        <w:t xml:space="preserve">Figure-3 Three Model for CRM Enhancement (Temple, 2020).</w:t>
      </w:r>
    </w:p>
    <w:p w:rsidR="00000000" w:rsidDel="00000000" w:rsidP="00000000" w:rsidRDefault="00000000" w:rsidRPr="00000000" w14:paraId="00000056">
      <w:pPr>
        <w:pStyle w:val="Heading2"/>
        <w:rPr/>
      </w:pPr>
      <w:bookmarkStart w:colFirst="0" w:colLast="0" w:name="_tyjcwt" w:id="8"/>
      <w:bookmarkEnd w:id="8"/>
      <w:r w:rsidDel="00000000" w:rsidR="00000000" w:rsidRPr="00000000">
        <w:rPr>
          <w:rtl w:val="0"/>
        </w:rPr>
        <w:t xml:space="preserve">TQM for CRM Enhancement Scottish Power</w:t>
      </w:r>
    </w:p>
    <w:p w:rsidR="00000000" w:rsidDel="00000000" w:rsidP="00000000" w:rsidRDefault="00000000" w:rsidRPr="00000000" w14:paraId="00000057">
      <w:pPr>
        <w:rPr/>
      </w:pPr>
      <w:r w:rsidDel="00000000" w:rsidR="00000000" w:rsidRPr="00000000">
        <w:rPr>
          <w:b w:val="1"/>
          <w:rtl w:val="0"/>
        </w:rPr>
        <w:t xml:space="preserve">Customer-Centric Approach:</w:t>
      </w:r>
      <w:r w:rsidDel="00000000" w:rsidR="00000000" w:rsidRPr="00000000">
        <w:rPr>
          <w:rtl w:val="0"/>
        </w:rPr>
        <w:t xml:space="preserve"> TQM emphasizes the significance of customer satisfaction and incorporates consumers in decision-making processes. By using TQM principles, firms may obtain a comprehensive insight into customer desires and expectations, leading to the creation of customer-centric CRM strategies (Temple, 2020). Scottish Power may employ TQM to integrate its CRM procedures with the increasing demands of its consumers, resulting in enhanced customer satisfaction and loyalty.</w:t>
      </w:r>
    </w:p>
    <w:p w:rsidR="00000000" w:rsidDel="00000000" w:rsidP="00000000" w:rsidRDefault="00000000" w:rsidRPr="00000000" w14:paraId="00000058">
      <w:pPr>
        <w:rPr/>
      </w:pPr>
      <w:r w:rsidDel="00000000" w:rsidR="00000000" w:rsidRPr="00000000">
        <w:rPr>
          <w:b w:val="1"/>
          <w:rtl w:val="0"/>
        </w:rPr>
        <w:t xml:space="preserve">Continuous Improvement:</w:t>
      </w:r>
      <w:r w:rsidDel="00000000" w:rsidR="00000000" w:rsidRPr="00000000">
        <w:rPr>
          <w:rtl w:val="0"/>
        </w:rPr>
        <w:t xml:space="preserve"> It encourages a culture of continuous improvement by motivating staff to identify methods to better processes and offers higher consumer value. This focus on continuous development is crucial for CRM since it enables firms to react to altering client requirements and preferences. Scottish Power may create a culture of continuous improvement by employing TQM techniques, such as employee empowerment, idea exchange, and cross-functional cooperation.</w:t>
      </w:r>
    </w:p>
    <w:p w:rsidR="00000000" w:rsidDel="00000000" w:rsidP="00000000" w:rsidRDefault="00000000" w:rsidRPr="00000000" w14:paraId="00000059">
      <w:pPr>
        <w:rPr/>
      </w:pPr>
      <w:r w:rsidDel="00000000" w:rsidR="00000000" w:rsidRPr="00000000">
        <w:rPr>
          <w:b w:val="1"/>
          <w:rtl w:val="0"/>
        </w:rPr>
        <w:t xml:space="preserve">Employee Involvement:</w:t>
      </w:r>
      <w:r w:rsidDel="00000000" w:rsidR="00000000" w:rsidRPr="00000000">
        <w:rPr>
          <w:rtl w:val="0"/>
        </w:rPr>
        <w:t xml:space="preserve"> This recognises the significance of employee participation and empowerment in achieving corporate performance. Engaged and empowered staff are more likely to perform outstanding customer service and introduce unique ideas to enhance CRM procedures. Scottish Power may utilize TQM concepts to empower its employees, equip them with the appropriate training and tools, and promote their active engagement in CRM efforts (Ten Have, 2021).</w:t>
      </w:r>
    </w:p>
    <w:p w:rsidR="00000000" w:rsidDel="00000000" w:rsidP="00000000" w:rsidRDefault="00000000" w:rsidRPr="00000000" w14:paraId="0000005A">
      <w:pPr>
        <w:rPr>
          <w:b w:val="1"/>
        </w:rPr>
      </w:pPr>
      <w:r w:rsidDel="00000000" w:rsidR="00000000" w:rsidRPr="00000000">
        <w:rPr>
          <w:b w:val="1"/>
          <w:rtl w:val="0"/>
        </w:rPr>
        <w:t xml:space="preserve">Relevance of TQM for CRM Enhancement Scottish Power</w:t>
      </w:r>
    </w:p>
    <w:p w:rsidR="00000000" w:rsidDel="00000000" w:rsidP="00000000" w:rsidRDefault="00000000" w:rsidRPr="00000000" w14:paraId="0000005B">
      <w:pPr>
        <w:rPr/>
      </w:pPr>
      <w:r w:rsidDel="00000000" w:rsidR="00000000" w:rsidRPr="00000000">
        <w:rPr>
          <w:rtl w:val="0"/>
        </w:rPr>
        <w:t xml:space="preserve">TQM is essential for CRM development since it offers a complete framework for businesses to perpetually provide high-quality consumer interactions. By employing TQM concepts, Scottish Power may increase its CRM procedures, enhance customer satisfaction, and develop long-lasting customer connections (Sabri &amp; Nguyen Duc Khuong, 2022). However, it is necessary to analyze the unique organizational environment, modify TQM to satisfy the company's objectives and manage the related issues to enhance its efficacy.</w:t>
      </w:r>
    </w:p>
    <w:p w:rsidR="00000000" w:rsidDel="00000000" w:rsidP="00000000" w:rsidRDefault="00000000" w:rsidRPr="00000000" w14:paraId="0000005C">
      <w:pPr>
        <w:rPr>
          <w:b w:val="1"/>
        </w:rPr>
      </w:pPr>
      <w:r w:rsidDel="00000000" w:rsidR="00000000" w:rsidRPr="00000000">
        <w:rPr>
          <w:b w:val="1"/>
          <w:rtl w:val="0"/>
        </w:rPr>
        <w:t xml:space="preserve">Limitations and Challenges of TQM for CRM Enhancement:</w:t>
      </w:r>
    </w:p>
    <w:p w:rsidR="00000000" w:rsidDel="00000000" w:rsidP="00000000" w:rsidRDefault="00000000" w:rsidRPr="00000000" w14:paraId="0000005D">
      <w:pPr>
        <w:rPr/>
      </w:pPr>
      <w:r w:rsidDel="00000000" w:rsidR="00000000" w:rsidRPr="00000000">
        <w:rPr>
          <w:rtl w:val="0"/>
        </w:rPr>
        <w:t xml:space="preserve">Implementing TQM demands a significant investment of time, money, and organizational commitment. Scottish Power has to expend resources for personnel training, process development initiatives, and constant monitoring of CRM effectiveness It frequently entails a culture transformation inside the firm, which might be welcomed with opposition from employees. Overcoming opposition to change and securing universal acceptance and implementation of TQM concepts may be difficult (Buttle &amp; Maklan, 2019). Scottish Power should aggressively handle opposition via effective change management tactics, straightforward communication, and leadership support.</w:t>
      </w:r>
    </w:p>
    <w:p w:rsidR="00000000" w:rsidDel="00000000" w:rsidP="00000000" w:rsidRDefault="00000000" w:rsidRPr="00000000" w14:paraId="0000005E">
      <w:pPr>
        <w:rPr>
          <w:b w:val="1"/>
          <w:sz w:val="28"/>
          <w:szCs w:val="28"/>
        </w:rPr>
      </w:pPr>
      <w:r w:rsidDel="00000000" w:rsidR="00000000" w:rsidRPr="00000000">
        <w:rPr>
          <w:b w:val="1"/>
          <w:sz w:val="28"/>
          <w:szCs w:val="28"/>
          <w:rtl w:val="0"/>
        </w:rPr>
        <w:t xml:space="preserve">Six Sigma for CRM Enhancement Scottish Power</w:t>
      </w:r>
    </w:p>
    <w:p w:rsidR="00000000" w:rsidDel="00000000" w:rsidP="00000000" w:rsidRDefault="00000000" w:rsidRPr="00000000" w14:paraId="0000005F">
      <w:pPr>
        <w:rPr/>
      </w:pPr>
      <w:r w:rsidDel="00000000" w:rsidR="00000000" w:rsidRPr="00000000">
        <w:rPr>
          <w:b w:val="1"/>
          <w:rtl w:val="0"/>
        </w:rPr>
        <w:t xml:space="preserve">Data-Driven Approach:</w:t>
      </w:r>
      <w:r w:rsidDel="00000000" w:rsidR="00000000" w:rsidRPr="00000000">
        <w:rPr>
          <w:rtl w:val="0"/>
        </w:rPr>
        <w:t xml:space="preserve"> One of the primary features of Six Sigma is its focus on data analysis and measurement. By accumulating and analyzing customer data, firms like Scottish Power may acquire significant insights into consumer behavior, preferences, and satisfaction levels (Buttle &amp; Maklan, 2019). This data-driven strategy helps firms to discover areas for development and make educated choices to better their CRM processes.</w:t>
      </w:r>
    </w:p>
    <w:p w:rsidR="00000000" w:rsidDel="00000000" w:rsidP="00000000" w:rsidRDefault="00000000" w:rsidRPr="00000000" w14:paraId="00000060">
      <w:pPr>
        <w:rPr/>
      </w:pPr>
      <w:r w:rsidDel="00000000" w:rsidR="00000000" w:rsidRPr="00000000">
        <w:rPr>
          <w:b w:val="1"/>
          <w:rtl w:val="0"/>
        </w:rPr>
        <w:t xml:space="preserve">Process Efficiency:</w:t>
      </w:r>
      <w:r w:rsidDel="00000000" w:rsidR="00000000" w:rsidRPr="00000000">
        <w:rPr>
          <w:rtl w:val="0"/>
        </w:rPr>
        <w:t xml:space="preserve"> Its focuses on increasing process efficiency by minimizing variances and eliminating defects. This focus on reducing procedures is essential for CRM since it enables firms to create consistent and dependable client experiences. By identifying and minimizing constraints or inefficiencies in their CRM processes, Scottish Power may improve response times, enhance service delivery, and raise customer satisfaction.</w:t>
      </w:r>
    </w:p>
    <w:p w:rsidR="00000000" w:rsidDel="00000000" w:rsidP="00000000" w:rsidRDefault="00000000" w:rsidRPr="00000000" w14:paraId="00000061">
      <w:pPr>
        <w:rPr/>
      </w:pPr>
      <w:r w:rsidDel="00000000" w:rsidR="00000000" w:rsidRPr="00000000">
        <w:rPr>
          <w:b w:val="1"/>
          <w:rtl w:val="0"/>
        </w:rPr>
        <w:t xml:space="preserve">Customer-Centricity: </w:t>
      </w:r>
      <w:r w:rsidDel="00000000" w:rsidR="00000000" w:rsidRPr="00000000">
        <w:rPr>
          <w:rtl w:val="0"/>
        </w:rPr>
        <w:t xml:space="preserve">This promotes firms to emphasize consumer demands and expectations in their decision-making processes. Scottish Power may leverage Six Sigma methods, such as Voice of the Customer (VOC) analysis and customer journey mapping, to obtain a better knowledge of client requirements and customize their CRM activities appropriately (Rogers, 2022). By harmonizing CRM processes with consumer expectations, Scottish Power can deepen customer connections and increase loyalty.</w:t>
      </w:r>
    </w:p>
    <w:p w:rsidR="00000000" w:rsidDel="00000000" w:rsidP="00000000" w:rsidRDefault="00000000" w:rsidRPr="00000000" w14:paraId="00000062">
      <w:pPr>
        <w:rPr>
          <w:b w:val="1"/>
        </w:rPr>
      </w:pPr>
      <w:r w:rsidDel="00000000" w:rsidR="00000000" w:rsidRPr="00000000">
        <w:rPr>
          <w:b w:val="1"/>
          <w:rtl w:val="0"/>
        </w:rPr>
        <w:t xml:space="preserve">Relevance of Six Sigma for CRM Enhancement Scottish Power</w:t>
      </w:r>
    </w:p>
    <w:p w:rsidR="00000000" w:rsidDel="00000000" w:rsidP="00000000" w:rsidRDefault="00000000" w:rsidRPr="00000000" w14:paraId="00000063">
      <w:pPr>
        <w:rPr/>
      </w:pPr>
      <w:r w:rsidDel="00000000" w:rsidR="00000000" w:rsidRPr="00000000">
        <w:rPr>
          <w:rtl w:val="0"/>
        </w:rPr>
        <w:t xml:space="preserve">Six Sigma is essential for CRM development since it offers a methodical way to optimize operations and provide consistent customer experiences. By employing Six Sigma approaches, Scottish Power may uncover and repair process inefficiencies, enhance customer satisfaction, and improve overall CRM performance (Foss &amp; Stone, 2022). However, it is crucial to realize the limits of Six Sigma and augment it with other customer-centric techniques to encapsulate the comprehensive nature of CRM.</w:t>
      </w:r>
    </w:p>
    <w:p w:rsidR="00000000" w:rsidDel="00000000" w:rsidP="00000000" w:rsidRDefault="00000000" w:rsidRPr="00000000" w14:paraId="00000064">
      <w:pPr>
        <w:rPr>
          <w:b w:val="1"/>
        </w:rPr>
      </w:pPr>
      <w:r w:rsidDel="00000000" w:rsidR="00000000" w:rsidRPr="00000000">
        <w:rPr>
          <w:b w:val="1"/>
          <w:rtl w:val="0"/>
        </w:rPr>
        <w:t xml:space="preserve">Limitations and Challenges of Six Sigma for CRM Enhancement </w:t>
      </w:r>
    </w:p>
    <w:p w:rsidR="00000000" w:rsidDel="00000000" w:rsidP="00000000" w:rsidRDefault="00000000" w:rsidRPr="00000000" w14:paraId="00000065">
      <w:pPr>
        <w:rPr/>
      </w:pPr>
      <w:r w:rsidDel="00000000" w:rsidR="00000000" w:rsidRPr="00000000">
        <w:rPr>
          <w:rtl w:val="0"/>
        </w:rPr>
        <w:t xml:space="preserve">Implementing Six Sigma demands significant resources, including financial commitment, training, and experience. Scottish Power needs to invest resources in educating personnel in Six Sigma methodology and technologies (Peppers &amp; Rogers, 2021). Additionally, the business has to assure the availability of experienced employees to oversee and assist Six Sigma initiatives. Without enough resources and experience, the effective deployment of Six Sigma for CRM improvement may be difficult.  While Six Sigma emphasizes process efficacy, it may not capture intangible aspects of CRM, such as emotional connection and individualized encounters (Roberts-Lombard &amp; Tait, 2021). Scottish Power should combine Six Sigma with qualitative methodologies, such as customer feedback surveys and focus groups, to ensure complete knowledge of consumer experiences.</w:t>
      </w:r>
    </w:p>
    <w:p w:rsidR="00000000" w:rsidDel="00000000" w:rsidP="00000000" w:rsidRDefault="00000000" w:rsidRPr="00000000" w14:paraId="00000066">
      <w:pPr>
        <w:pStyle w:val="Heading2"/>
        <w:rPr/>
      </w:pPr>
      <w:bookmarkStart w:colFirst="0" w:colLast="0" w:name="_1t3h5sf" w:id="9"/>
      <w:bookmarkEnd w:id="9"/>
      <w:r w:rsidDel="00000000" w:rsidR="00000000" w:rsidRPr="00000000">
        <w:rPr>
          <w:rtl w:val="0"/>
        </w:rPr>
        <w:t xml:space="preserve">The SERVQUAL Model for CRM Enhancement Scottish Power</w:t>
      </w:r>
    </w:p>
    <w:p w:rsidR="00000000" w:rsidDel="00000000" w:rsidP="00000000" w:rsidRDefault="00000000" w:rsidRPr="00000000" w14:paraId="00000067">
      <w:pPr>
        <w:rPr/>
      </w:pPr>
      <w:r w:rsidDel="00000000" w:rsidR="00000000" w:rsidRPr="00000000">
        <w:rPr>
          <w:b w:val="1"/>
          <w:rtl w:val="0"/>
        </w:rPr>
        <w:t xml:space="preserve">Comprehensive Assessment:</w:t>
      </w:r>
      <w:r w:rsidDel="00000000" w:rsidR="00000000" w:rsidRPr="00000000">
        <w:rPr>
          <w:rtl w:val="0"/>
        </w:rPr>
        <w:t xml:space="preserve"> The SERVQUAL model provides a comprehensive framework for analyzing service quality across five dimensions: dependability, responsiveness, assurance, empathy, and tangibles. By analyzing these characteristics, Scottish Power may acquire a comprehensive perspective of its CRM activities and discover particular areas for development (Rajendra Kumar Sugandhi, 2022). This enables the organization to customize its CRM efforts to meet client expectations successfully.</w:t>
      </w:r>
    </w:p>
    <w:p w:rsidR="00000000" w:rsidDel="00000000" w:rsidP="00000000" w:rsidRDefault="00000000" w:rsidRPr="00000000" w14:paraId="00000068">
      <w:pPr>
        <w:rPr/>
      </w:pPr>
      <w:r w:rsidDel="00000000" w:rsidR="00000000" w:rsidRPr="00000000">
        <w:rPr>
          <w:b w:val="1"/>
          <w:rtl w:val="0"/>
        </w:rPr>
        <w:t xml:space="preserve">Customer-Centric Focus:</w:t>
      </w:r>
      <w:r w:rsidDel="00000000" w:rsidR="00000000" w:rsidRPr="00000000">
        <w:rPr>
          <w:rtl w:val="0"/>
        </w:rPr>
        <w:t xml:space="preserve"> This approach places a significant focus on knowing and satisfying consumer expectations. By employing the approach, Scottish Power may integrate its CRM operations with consumer demands, preferences, and perceptions. This customer-centric strategy helps the organization to enhance customer satisfaction and loyalty by offering high-quality services that match or exceed customer expectations (Ten Have, 2021).</w:t>
      </w:r>
    </w:p>
    <w:p w:rsidR="00000000" w:rsidDel="00000000" w:rsidP="00000000" w:rsidRDefault="00000000" w:rsidRPr="00000000" w14:paraId="00000069">
      <w:pPr>
        <w:rPr/>
      </w:pPr>
      <w:r w:rsidDel="00000000" w:rsidR="00000000" w:rsidRPr="00000000">
        <w:rPr>
          <w:b w:val="1"/>
          <w:rtl w:val="0"/>
        </w:rPr>
        <w:t xml:space="preserve">Diagnostic Capabilities:</w:t>
      </w:r>
      <w:r w:rsidDel="00000000" w:rsidR="00000000" w:rsidRPr="00000000">
        <w:rPr>
          <w:rtl w:val="0"/>
        </w:rPr>
        <w:t xml:space="preserve"> It enables Scottish Power to detect service quality voids by comparing customer perceptions and expectations. This diagnostic capacity enables the organization to detect locations where there is a mismatch between client expectations and the actual service supplied (Kaushik Mukerjee, 2020). By overcoming these shortcomings, Scottish Power can enhance its CRM operations and create improved client experiences.</w:t>
      </w:r>
    </w:p>
    <w:p w:rsidR="00000000" w:rsidDel="00000000" w:rsidP="00000000" w:rsidRDefault="00000000" w:rsidRPr="00000000" w14:paraId="0000006A">
      <w:pPr>
        <w:rPr>
          <w:b w:val="1"/>
        </w:rPr>
      </w:pPr>
      <w:r w:rsidDel="00000000" w:rsidR="00000000" w:rsidRPr="00000000">
        <w:rPr>
          <w:b w:val="1"/>
          <w:rtl w:val="0"/>
        </w:rPr>
        <w:t xml:space="preserve">Relevance of the SERVQUAL Model for CRM Enhancement Scottish Power</w:t>
      </w:r>
    </w:p>
    <w:p w:rsidR="00000000" w:rsidDel="00000000" w:rsidP="00000000" w:rsidRDefault="00000000" w:rsidRPr="00000000" w14:paraId="0000006B">
      <w:pPr>
        <w:rPr/>
      </w:pPr>
      <w:r w:rsidDel="00000000" w:rsidR="00000000" w:rsidRPr="00000000">
        <w:rPr>
          <w:rtl w:val="0"/>
        </w:rPr>
        <w:t xml:space="preserve">The SERVQUAL model remains useful for CRM development since it offers a systematic framework for analyzing and enhancing service quality. By using the SERVQUAL approach, Scottish Power may acquire insights into customer views, identify voids in service delivery, and prioritize areas for improvement (Fredericks, 2022). However, it is vital to evaluate the constraints of the model and augment it with alternative methods to achieve a comprehensive knowledge of CRM success.</w:t>
      </w:r>
    </w:p>
    <w:p w:rsidR="00000000" w:rsidDel="00000000" w:rsidP="00000000" w:rsidRDefault="00000000" w:rsidRPr="00000000" w14:paraId="0000006C">
      <w:pPr>
        <w:rPr>
          <w:b w:val="1"/>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b w:val="1"/>
          <w:rtl w:val="0"/>
        </w:rPr>
        <w:t xml:space="preserve">Limitations and Challenges of the SERVQUAL Model for CRM Enhancement:</w:t>
      </w:r>
    </w:p>
    <w:p w:rsidR="00000000" w:rsidDel="00000000" w:rsidP="00000000" w:rsidRDefault="00000000" w:rsidRPr="00000000" w14:paraId="0000006E">
      <w:pPr>
        <w:rPr/>
      </w:pPr>
      <w:r w:rsidDel="00000000" w:rsidR="00000000" w:rsidRPr="00000000">
        <w:rPr>
          <w:rtl w:val="0"/>
        </w:rPr>
        <w:t xml:space="preserve">The SERVQUAL approach focuses on consumer perceptions and expectations, which may be subjective and impacted by many circumstances. This subjectivity may impede the quality and dependability of the data obtained using the model (Nasir, 2021). Scottish Power should be cognizant of this restriction and consider augmenting the SERVQUAL model with objective measurements of service quality to acquire a more comprehensive knowledge of CRM performance. </w:t>
      </w:r>
    </w:p>
    <w:p w:rsidR="00000000" w:rsidDel="00000000" w:rsidP="00000000" w:rsidRDefault="00000000" w:rsidRPr="00000000" w14:paraId="0000006F">
      <w:pPr>
        <w:pStyle w:val="Heading1"/>
        <w:ind w:left="0" w:firstLine="0"/>
        <w:rPr/>
      </w:pPr>
      <w:bookmarkStart w:colFirst="0" w:colLast="0" w:name="_br5ftdnyqr25" w:id="10"/>
      <w:bookmarkEnd w:id="10"/>
      <w:r w:rsidDel="00000000" w:rsidR="00000000" w:rsidRPr="00000000">
        <w:rPr>
          <w:rtl w:val="0"/>
        </w:rPr>
      </w:r>
    </w:p>
    <w:p w:rsidR="00000000" w:rsidDel="00000000" w:rsidP="00000000" w:rsidRDefault="00000000" w:rsidRPr="00000000" w14:paraId="00000070">
      <w:pPr>
        <w:pStyle w:val="Heading1"/>
        <w:ind w:left="0" w:firstLine="0"/>
        <w:rPr/>
      </w:pPr>
      <w:bookmarkStart w:colFirst="0" w:colLast="0" w:name="_jd2txwv49fs9" w:id="11"/>
      <w:bookmarkEnd w:id="11"/>
      <w:r w:rsidDel="00000000" w:rsidR="00000000" w:rsidRPr="00000000">
        <w:rPr>
          <w:rtl w:val="0"/>
        </w:rPr>
      </w:r>
    </w:p>
    <w:p w:rsidR="00000000" w:rsidDel="00000000" w:rsidP="00000000" w:rsidRDefault="00000000" w:rsidRPr="00000000" w14:paraId="00000071">
      <w:pPr>
        <w:pStyle w:val="Heading1"/>
        <w:ind w:left="0" w:firstLine="0"/>
        <w:rPr/>
      </w:pPr>
      <w:bookmarkStart w:colFirst="0" w:colLast="0" w:name="_4d34og8" w:id="12"/>
      <w:bookmarkEnd w:id="12"/>
      <w:r w:rsidDel="00000000" w:rsidR="00000000" w:rsidRPr="00000000">
        <w:rPr>
          <w:rtl w:val="0"/>
        </w:rPr>
        <w:t xml:space="preserve">c)Recommendations</w:t>
      </w:r>
    </w:p>
    <w:p w:rsidR="00000000" w:rsidDel="00000000" w:rsidP="00000000" w:rsidRDefault="00000000" w:rsidRPr="00000000" w14:paraId="00000072">
      <w:pPr>
        <w:rPr/>
      </w:pPr>
      <w:r w:rsidDel="00000000" w:rsidR="00000000" w:rsidRPr="00000000">
        <w:rPr>
          <w:rtl w:val="0"/>
        </w:rPr>
        <w:t xml:space="preserve">Based on the results and conclusions of this research, the following suggestions are proposed to Scottish Power to enhance the quality of its CRM systems:</w:t>
      </w:r>
    </w:p>
    <w:p w:rsidR="00000000" w:rsidDel="00000000" w:rsidP="00000000" w:rsidRDefault="00000000" w:rsidRPr="00000000" w14:paraId="00000073">
      <w:pPr>
        <w:ind w:left="360" w:firstLine="0"/>
        <w:rPr/>
      </w:pPr>
      <w:r w:rsidDel="00000000" w:rsidR="00000000" w:rsidRPr="00000000">
        <w:rPr>
          <w:b w:val="1"/>
          <w:rtl w:val="0"/>
        </w:rPr>
        <w:t xml:space="preserve">Reinforce Ethical norms:</w:t>
      </w:r>
      <w:r w:rsidDel="00000000" w:rsidR="00000000" w:rsidRPr="00000000">
        <w:rPr>
          <w:rtl w:val="0"/>
        </w:rPr>
        <w:t xml:space="preserve"> Scottish Power should further reinforce its ethical practices by providing clear rules and standards for all employees. This may be done by frequent communication, training programs, and seminars that emphasize the necessity of ethical behavior in consumer interactions (Lemons &amp; Brown, 2022). By supporting ethical conduct across the firm, Scottish Power can guarantee that its CRM systems continuously respect high ethical standards, leading to greater customer trust and satisfaction.</w:t>
      </w:r>
    </w:p>
    <w:p w:rsidR="00000000" w:rsidDel="00000000" w:rsidP="00000000" w:rsidRDefault="00000000" w:rsidRPr="00000000" w14:paraId="00000074">
      <w:pPr>
        <w:ind w:left="360" w:firstLine="0"/>
        <w:rPr/>
      </w:pPr>
      <w:r w:rsidDel="00000000" w:rsidR="00000000" w:rsidRPr="00000000">
        <w:rPr>
          <w:b w:val="1"/>
          <w:rtl w:val="0"/>
        </w:rPr>
        <w:t xml:space="preserve">Adopt Sustainable solutions:</w:t>
      </w:r>
      <w:r w:rsidDel="00000000" w:rsidR="00000000" w:rsidRPr="00000000">
        <w:rPr>
          <w:rtl w:val="0"/>
        </w:rPr>
        <w:t xml:space="preserve"> This firm should aggressively investigate and adopt sustainable solutions inside its CRM systems. This may entail the integration of renewable energy choices, energy efficiency technologies, and sustainable technology platforms. By delivering environmentally favorable solutions and supporting sustainable practices, Scottish Power can integrate its CRM efforts with its sustainability objectives and attract environmentally sensitive consumers (Stenmark, 2022). This will not only enhance customer satisfaction but also contribute to the company's broader sustainability objectives.</w:t>
      </w:r>
    </w:p>
    <w:p w:rsidR="00000000" w:rsidDel="00000000" w:rsidP="00000000" w:rsidRDefault="00000000" w:rsidRPr="00000000" w14:paraId="00000075">
      <w:pPr>
        <w:ind w:left="360" w:firstLine="0"/>
        <w:rPr/>
      </w:pPr>
      <w:r w:rsidDel="00000000" w:rsidR="00000000" w:rsidRPr="00000000">
        <w:rPr>
          <w:b w:val="1"/>
          <w:rtl w:val="0"/>
        </w:rPr>
        <w:t xml:space="preserve">Foster cooperation with Customers:</w:t>
      </w:r>
      <w:r w:rsidDel="00000000" w:rsidR="00000000" w:rsidRPr="00000000">
        <w:rPr>
          <w:rtl w:val="0"/>
        </w:rPr>
        <w:t xml:space="preserve"> Scottish Power should emphasize customer cooperation and involvement in its CRM activities. By actively soliciting client input, undertaking surveys, and convening customer advisory committees, the organization may acquire significant insights into consumer preferences, expectations, and problem issues (Sabri &amp; Nguyen Duc Khuong, 2022). This information may then be utilized to adjust CRM strategy, increase service offerings, and enhance the entire consumer experience. Engaging consumers as participants in the CRM process will enhance connections and develop a sense of loyalty and advocacy.</w:t>
      </w:r>
    </w:p>
    <w:p w:rsidR="00000000" w:rsidDel="00000000" w:rsidP="00000000" w:rsidRDefault="00000000" w:rsidRPr="00000000" w14:paraId="00000076">
      <w:pPr>
        <w:ind w:left="360" w:firstLine="0"/>
        <w:rPr/>
      </w:pPr>
      <w:r w:rsidDel="00000000" w:rsidR="00000000" w:rsidRPr="00000000">
        <w:rPr>
          <w:b w:val="1"/>
          <w:rtl w:val="0"/>
        </w:rPr>
        <w:t xml:space="preserve">Leverage Data Analytics and AI:</w:t>
      </w:r>
      <w:r w:rsidDel="00000000" w:rsidR="00000000" w:rsidRPr="00000000">
        <w:rPr>
          <w:rtl w:val="0"/>
        </w:rPr>
        <w:t xml:space="preserve"> Scottish Power should invest in sophisticated data analytics and artificial intelligence (AI) tools to evaluate customer data and customize CRM interactions. By employing AI algorithms, the organization may obtain greater insights into consumer patterns, preferences, and requirements, allowing for tailored suggestions and targeted marketing efforts (Christine, 2022). This data-driven strategy will enhance the efficacy of CRM initiatives, improve customer satisfaction, and create customer loyalty.</w:t>
      </w:r>
    </w:p>
    <w:p w:rsidR="00000000" w:rsidDel="00000000" w:rsidP="00000000" w:rsidRDefault="00000000" w:rsidRPr="00000000" w14:paraId="00000077">
      <w:pPr>
        <w:pStyle w:val="Heading1"/>
        <w:rPr/>
      </w:pPr>
      <w:bookmarkStart w:colFirst="0" w:colLast="0" w:name="_vqlxz319scuy" w:id="13"/>
      <w:bookmarkEnd w:id="13"/>
      <w:r w:rsidDel="00000000" w:rsidR="00000000" w:rsidRPr="00000000">
        <w:rPr>
          <w:rtl w:val="0"/>
        </w:rPr>
      </w:r>
    </w:p>
    <w:p w:rsidR="00000000" w:rsidDel="00000000" w:rsidP="00000000" w:rsidRDefault="00000000" w:rsidRPr="00000000" w14:paraId="00000078">
      <w:pPr>
        <w:pStyle w:val="Heading1"/>
        <w:rPr/>
      </w:pPr>
      <w:bookmarkStart w:colFirst="0" w:colLast="0" w:name="_261y85yokrh1" w:id="14"/>
      <w:bookmarkEnd w:id="14"/>
      <w:r w:rsidDel="00000000" w:rsidR="00000000" w:rsidRPr="00000000">
        <w:rPr>
          <w:rtl w:val="0"/>
        </w:rPr>
      </w:r>
    </w:p>
    <w:p w:rsidR="00000000" w:rsidDel="00000000" w:rsidP="00000000" w:rsidRDefault="00000000" w:rsidRPr="00000000" w14:paraId="00000079">
      <w:pPr>
        <w:pStyle w:val="Heading1"/>
        <w:rPr/>
      </w:pPr>
      <w:bookmarkStart w:colFirst="0" w:colLast="0" w:name="_2s8eyo1" w:id="15"/>
      <w:bookmarkEnd w:id="15"/>
      <w:r w:rsidDel="00000000" w:rsidR="00000000" w:rsidRPr="00000000">
        <w:rPr>
          <w:rtl w:val="0"/>
        </w:rPr>
        <w:t xml:space="preserve">Conclusion</w:t>
      </w:r>
    </w:p>
    <w:p w:rsidR="00000000" w:rsidDel="00000000" w:rsidP="00000000" w:rsidRDefault="00000000" w:rsidRPr="00000000" w14:paraId="0000007A">
      <w:pPr>
        <w:rPr/>
      </w:pPr>
      <w:r w:rsidDel="00000000" w:rsidR="00000000" w:rsidRPr="00000000">
        <w:rPr>
          <w:rtl w:val="0"/>
        </w:rPr>
        <w:t xml:space="preserve">ethical and sustainable practices have a substantial influence on the efficacy of customer relationship management (CRM) systems at Scottish Power. The examination of the company's ethical standards and environmental activities has demonstrated their significant impact on enhancing CRM quality and encouraging customer satisfaction and loyalty. Scottish Power's dedication to ethical conduct, transparency, and equitable treatment of consumers has developed a firm basis for creating confidence and credibility. By integrating CRM methods with ethical norms, the organisation guarantees that customer interactions are anchored in integrity, resulting in excellent customer experiences.</w:t>
      </w:r>
    </w:p>
    <w:p w:rsidR="00000000" w:rsidDel="00000000" w:rsidP="00000000" w:rsidRDefault="00000000" w:rsidRPr="00000000" w14:paraId="0000007B">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rPr/>
      </w:pPr>
      <w:bookmarkStart w:colFirst="0" w:colLast="0" w:name="_17dp8vu" w:id="16"/>
      <w:bookmarkEnd w:id="16"/>
      <w:r w:rsidDel="00000000" w:rsidR="00000000" w:rsidRPr="00000000">
        <w:rPr>
          <w:rtl w:val="0"/>
        </w:rPr>
        <w:t xml:space="preserve">References </w:t>
      </w:r>
    </w:p>
    <w:p w:rsidR="00000000" w:rsidDel="00000000" w:rsidP="00000000" w:rsidRDefault="00000000" w:rsidRPr="00000000" w14:paraId="0000007D">
      <w:pPr>
        <w:rPr/>
      </w:pPr>
      <w:r w:rsidDel="00000000" w:rsidR="00000000" w:rsidRPr="00000000">
        <w:rPr>
          <w:rtl w:val="0"/>
        </w:rPr>
        <w:t xml:space="preserve">Buttle, F. and Maklan, S. (2019). </w:t>
      </w:r>
      <w:r w:rsidDel="00000000" w:rsidR="00000000" w:rsidRPr="00000000">
        <w:rPr>
          <w:i w:val="1"/>
          <w:rtl w:val="0"/>
        </w:rPr>
        <w:t xml:space="preserve">Customer Relationship Management</w:t>
      </w:r>
      <w:r w:rsidDel="00000000" w:rsidR="00000000" w:rsidRPr="00000000">
        <w:rPr>
          <w:rtl w:val="0"/>
        </w:rPr>
        <w:t xml:space="preserve">. Routledge.</w:t>
      </w:r>
    </w:p>
    <w:p w:rsidR="00000000" w:rsidDel="00000000" w:rsidP="00000000" w:rsidRDefault="00000000" w:rsidRPr="00000000" w14:paraId="0000007E">
      <w:pPr>
        <w:rPr/>
      </w:pPr>
      <w:r w:rsidDel="00000000" w:rsidR="00000000" w:rsidRPr="00000000">
        <w:rPr>
          <w:rtl w:val="0"/>
        </w:rPr>
        <w:t xml:space="preserve">Christine (2022). </w:t>
      </w:r>
      <w:r w:rsidDel="00000000" w:rsidR="00000000" w:rsidRPr="00000000">
        <w:rPr>
          <w:i w:val="1"/>
          <w:rtl w:val="0"/>
        </w:rPr>
        <w:t xml:space="preserve">Ethical Issues in Engineering Design; Safety and Sustainability</w:t>
      </w:r>
      <w:r w:rsidDel="00000000" w:rsidR="00000000" w:rsidRPr="00000000">
        <w:rPr>
          <w:rtl w:val="0"/>
        </w:rPr>
        <w:t xml:space="preserve">. 3TU Ethics.</w:t>
      </w:r>
    </w:p>
    <w:p w:rsidR="00000000" w:rsidDel="00000000" w:rsidP="00000000" w:rsidRDefault="00000000" w:rsidRPr="00000000" w14:paraId="0000007F">
      <w:pPr>
        <w:rPr/>
      </w:pPr>
      <w:r w:rsidDel="00000000" w:rsidR="00000000" w:rsidRPr="00000000">
        <w:rPr>
          <w:rtl w:val="0"/>
        </w:rPr>
        <w:t xml:space="preserve">Foss, B. and Stone, M. (2022). </w:t>
      </w:r>
      <w:r w:rsidDel="00000000" w:rsidR="00000000" w:rsidRPr="00000000">
        <w:rPr>
          <w:i w:val="1"/>
          <w:rtl w:val="0"/>
        </w:rPr>
        <w:t xml:space="preserve">Successful customer relationship marketing: new thinking, new strategies, new tools for getting closer to your customers.</w:t>
      </w:r>
      <w:r w:rsidDel="00000000" w:rsidR="00000000" w:rsidRPr="00000000">
        <w:rPr>
          <w:rtl w:val="0"/>
        </w:rPr>
        <w:t xml:space="preserve"> London, Kogan Page. Reprinted.</w:t>
      </w:r>
    </w:p>
    <w:p w:rsidR="00000000" w:rsidDel="00000000" w:rsidP="00000000" w:rsidRDefault="00000000" w:rsidRPr="00000000" w14:paraId="00000080">
      <w:pPr>
        <w:rPr/>
      </w:pPr>
      <w:r w:rsidDel="00000000" w:rsidR="00000000" w:rsidRPr="00000000">
        <w:rPr>
          <w:rtl w:val="0"/>
        </w:rPr>
        <w:t xml:space="preserve">Fredericks, S.E. (2022). </w:t>
      </w:r>
      <w:r w:rsidDel="00000000" w:rsidR="00000000" w:rsidRPr="00000000">
        <w:rPr>
          <w:i w:val="1"/>
          <w:rtl w:val="0"/>
        </w:rPr>
        <w:t xml:space="preserve">Measuring and Evaluating Sustainability</w:t>
      </w:r>
      <w:r w:rsidDel="00000000" w:rsidR="00000000" w:rsidRPr="00000000">
        <w:rPr>
          <w:rtl w:val="0"/>
        </w:rPr>
        <w:t xml:space="preserve">. Routledge.</w:t>
      </w:r>
    </w:p>
    <w:p w:rsidR="00000000" w:rsidDel="00000000" w:rsidP="00000000" w:rsidRDefault="00000000" w:rsidRPr="00000000" w14:paraId="00000081">
      <w:pPr>
        <w:rPr/>
      </w:pPr>
      <w:r w:rsidDel="00000000" w:rsidR="00000000" w:rsidRPr="00000000">
        <w:rPr>
          <w:rtl w:val="0"/>
        </w:rPr>
        <w:t xml:space="preserve">Ten Have (2021). </w:t>
      </w:r>
      <w:r w:rsidDel="00000000" w:rsidR="00000000" w:rsidRPr="00000000">
        <w:rPr>
          <w:i w:val="1"/>
          <w:rtl w:val="0"/>
        </w:rPr>
        <w:t xml:space="preserve">Environmental ethics and international policy</w:t>
      </w:r>
      <w:r w:rsidDel="00000000" w:rsidR="00000000" w:rsidRPr="00000000">
        <w:rPr>
          <w:rtl w:val="0"/>
        </w:rPr>
        <w:t xml:space="preserve">. Paris: Unesco Pub.</w:t>
      </w:r>
    </w:p>
    <w:p w:rsidR="00000000" w:rsidDel="00000000" w:rsidP="00000000" w:rsidRDefault="00000000" w:rsidRPr="00000000" w14:paraId="00000082">
      <w:pPr>
        <w:rPr/>
      </w:pPr>
      <w:r w:rsidDel="00000000" w:rsidR="00000000" w:rsidRPr="00000000">
        <w:rPr>
          <w:rtl w:val="0"/>
        </w:rPr>
        <w:t xml:space="preserve">Kaushik Mukerjee (2020). </w:t>
      </w:r>
      <w:r w:rsidDel="00000000" w:rsidR="00000000" w:rsidRPr="00000000">
        <w:rPr>
          <w:i w:val="1"/>
          <w:rtl w:val="0"/>
        </w:rPr>
        <w:t xml:space="preserve">Customer relationship management: a strategic approach to marketing</w:t>
      </w:r>
      <w:r w:rsidDel="00000000" w:rsidR="00000000" w:rsidRPr="00000000">
        <w:rPr>
          <w:rtl w:val="0"/>
        </w:rPr>
        <w:t xml:space="preserve">. New Delhi: Phi Learning.</w:t>
      </w:r>
    </w:p>
    <w:p w:rsidR="00000000" w:rsidDel="00000000" w:rsidP="00000000" w:rsidRDefault="00000000" w:rsidRPr="00000000" w14:paraId="00000083">
      <w:pPr>
        <w:rPr/>
      </w:pPr>
      <w:r w:rsidDel="00000000" w:rsidR="00000000" w:rsidRPr="00000000">
        <w:rPr>
          <w:rtl w:val="0"/>
        </w:rPr>
        <w:t xml:space="preserve">Lemons, J. and Brown, D.A. (2022). </w:t>
      </w:r>
      <w:r w:rsidDel="00000000" w:rsidR="00000000" w:rsidRPr="00000000">
        <w:rPr>
          <w:i w:val="1"/>
          <w:rtl w:val="0"/>
        </w:rPr>
        <w:t xml:space="preserve">Sustainable Development : Science, Ethics, and Public Policy.</w:t>
      </w:r>
      <w:r w:rsidDel="00000000" w:rsidR="00000000" w:rsidRPr="00000000">
        <w:rPr>
          <w:rtl w:val="0"/>
        </w:rPr>
        <w:t xml:space="preserve"> Dordrecht: Springer Netherlands.</w:t>
      </w:r>
    </w:p>
    <w:p w:rsidR="00000000" w:rsidDel="00000000" w:rsidP="00000000" w:rsidRDefault="00000000" w:rsidRPr="00000000" w14:paraId="00000084">
      <w:pPr>
        <w:rPr/>
      </w:pPr>
      <w:r w:rsidDel="00000000" w:rsidR="00000000" w:rsidRPr="00000000">
        <w:rPr>
          <w:rtl w:val="0"/>
        </w:rPr>
        <w:t xml:space="preserve">NasirS. (2021). </w:t>
      </w:r>
      <w:r w:rsidDel="00000000" w:rsidR="00000000" w:rsidRPr="00000000">
        <w:rPr>
          <w:i w:val="1"/>
          <w:rtl w:val="0"/>
        </w:rPr>
        <w:t xml:space="preserve">Customer relationship management strategies in the digital era</w:t>
      </w:r>
      <w:r w:rsidDel="00000000" w:rsidR="00000000" w:rsidRPr="00000000">
        <w:rPr>
          <w:rtl w:val="0"/>
        </w:rPr>
        <w:t xml:space="preserve">. Hersey, PA: Business Science Reference, an imprint IGI Global.</w:t>
      </w:r>
    </w:p>
    <w:p w:rsidR="00000000" w:rsidDel="00000000" w:rsidP="00000000" w:rsidRDefault="00000000" w:rsidRPr="00000000" w14:paraId="00000085">
      <w:pPr>
        <w:rPr/>
      </w:pPr>
      <w:r w:rsidDel="00000000" w:rsidR="00000000" w:rsidRPr="00000000">
        <w:rPr>
          <w:rtl w:val="0"/>
        </w:rPr>
        <w:t xml:space="preserve">Peppers, D. and Rogers, M. (2021). </w:t>
      </w:r>
      <w:r w:rsidDel="00000000" w:rsidR="00000000" w:rsidRPr="00000000">
        <w:rPr>
          <w:i w:val="1"/>
          <w:rtl w:val="0"/>
        </w:rPr>
        <w:t xml:space="preserve">Managing Customer Relationships</w:t>
      </w:r>
      <w:r w:rsidDel="00000000" w:rsidR="00000000" w:rsidRPr="00000000">
        <w:rPr>
          <w:rtl w:val="0"/>
        </w:rPr>
        <w:t xml:space="preserve">. John Wiley &amp; Sons.</w:t>
      </w:r>
    </w:p>
    <w:p w:rsidR="00000000" w:rsidDel="00000000" w:rsidP="00000000" w:rsidRDefault="00000000" w:rsidRPr="00000000" w14:paraId="00000086">
      <w:pPr>
        <w:rPr/>
      </w:pPr>
      <w:r w:rsidDel="00000000" w:rsidR="00000000" w:rsidRPr="00000000">
        <w:rPr>
          <w:rtl w:val="0"/>
        </w:rPr>
        <w:t xml:space="preserve">Rajendra Kumar Sugandhi (2022). </w:t>
      </w:r>
      <w:r w:rsidDel="00000000" w:rsidR="00000000" w:rsidRPr="00000000">
        <w:rPr>
          <w:i w:val="1"/>
          <w:rtl w:val="0"/>
        </w:rPr>
        <w:t xml:space="preserve">Customer relationship management</w:t>
      </w:r>
      <w:r w:rsidDel="00000000" w:rsidR="00000000" w:rsidRPr="00000000">
        <w:rPr>
          <w:rtl w:val="0"/>
        </w:rPr>
        <w:t xml:space="preserve">. New Delhi: New Age International.</w:t>
      </w:r>
    </w:p>
    <w:p w:rsidR="00000000" w:rsidDel="00000000" w:rsidP="00000000" w:rsidRDefault="00000000" w:rsidRPr="00000000" w14:paraId="00000087">
      <w:pPr>
        <w:rPr/>
      </w:pPr>
      <w:r w:rsidDel="00000000" w:rsidR="00000000" w:rsidRPr="00000000">
        <w:rPr>
          <w:rtl w:val="0"/>
        </w:rPr>
        <w:t xml:space="preserve">Roberts-Lombard, M. and Tait, M. (2021). </w:t>
      </w:r>
      <w:r w:rsidDel="00000000" w:rsidR="00000000" w:rsidRPr="00000000">
        <w:rPr>
          <w:i w:val="1"/>
          <w:rtl w:val="0"/>
        </w:rPr>
        <w:t xml:space="preserve">Relationship marketing and customer relationship management</w:t>
      </w:r>
      <w:r w:rsidDel="00000000" w:rsidR="00000000" w:rsidRPr="00000000">
        <w:rPr>
          <w:rtl w:val="0"/>
        </w:rPr>
        <w:t xml:space="preserve">. Landsdowne, Cape Town: Juta And Company (Pty) Ltd.</w:t>
      </w:r>
    </w:p>
    <w:p w:rsidR="00000000" w:rsidDel="00000000" w:rsidP="00000000" w:rsidRDefault="00000000" w:rsidRPr="00000000" w14:paraId="00000088">
      <w:pPr>
        <w:rPr/>
      </w:pPr>
      <w:r w:rsidDel="00000000" w:rsidR="00000000" w:rsidRPr="00000000">
        <w:rPr>
          <w:rtl w:val="0"/>
        </w:rPr>
        <w:t xml:space="preserve">Rogers, D. (2022). </w:t>
      </w:r>
      <w:r w:rsidDel="00000000" w:rsidR="00000000" w:rsidRPr="00000000">
        <w:rPr>
          <w:i w:val="1"/>
          <w:rtl w:val="0"/>
        </w:rPr>
        <w:t xml:space="preserve">MANAGING CUSTOMER EXPERIENCE AND RELATIONSHIPS : a strategic framework.</w:t>
      </w:r>
      <w:r w:rsidDel="00000000" w:rsidR="00000000" w:rsidRPr="00000000">
        <w:rPr>
          <w:rtl w:val="0"/>
        </w:rPr>
        <w:t xml:space="preserve"> S.L.: John Wiley &amp; Sons.</w:t>
      </w:r>
    </w:p>
    <w:p w:rsidR="00000000" w:rsidDel="00000000" w:rsidP="00000000" w:rsidRDefault="00000000" w:rsidRPr="00000000" w14:paraId="00000089">
      <w:pPr>
        <w:rPr/>
      </w:pPr>
      <w:r w:rsidDel="00000000" w:rsidR="00000000" w:rsidRPr="00000000">
        <w:rPr>
          <w:rtl w:val="0"/>
        </w:rPr>
        <w:t xml:space="preserve">Sabri,B. and Nguyen Duc  Khuong (2022). </w:t>
      </w:r>
      <w:r w:rsidDel="00000000" w:rsidR="00000000" w:rsidRPr="00000000">
        <w:rPr>
          <w:i w:val="1"/>
          <w:rtl w:val="0"/>
        </w:rPr>
        <w:t xml:space="preserve">Corporatesocialresponsibility,ethicsandsustainableprosperity</w:t>
      </w:r>
      <w:r w:rsidDel="00000000" w:rsidR="00000000" w:rsidRPr="00000000">
        <w:rPr>
          <w:rtl w:val="0"/>
        </w:rPr>
        <w:t xml:space="preserve">. World Scientific.</w:t>
      </w:r>
    </w:p>
    <w:p w:rsidR="00000000" w:rsidDel="00000000" w:rsidP="00000000" w:rsidRDefault="00000000" w:rsidRPr="00000000" w14:paraId="0000008A">
      <w:pPr>
        <w:rPr/>
      </w:pPr>
      <w:r w:rsidDel="00000000" w:rsidR="00000000" w:rsidRPr="00000000">
        <w:rPr>
          <w:rtl w:val="0"/>
        </w:rPr>
        <w:t xml:space="preserve">Stenmark, M. (2022). </w:t>
      </w:r>
      <w:r w:rsidDel="00000000" w:rsidR="00000000" w:rsidRPr="00000000">
        <w:rPr>
          <w:i w:val="1"/>
          <w:rtl w:val="0"/>
        </w:rPr>
        <w:t xml:space="preserve">Environmental ethics and policy-making</w:t>
      </w:r>
      <w:r w:rsidDel="00000000" w:rsidR="00000000" w:rsidRPr="00000000">
        <w:rPr>
          <w:rtl w:val="0"/>
        </w:rPr>
        <w:t xml:space="preserve">. Routledge.</w:t>
      </w:r>
    </w:p>
    <w:p w:rsidR="00000000" w:rsidDel="00000000" w:rsidP="00000000" w:rsidRDefault="00000000" w:rsidRPr="00000000" w14:paraId="0000008B">
      <w:pPr>
        <w:rPr/>
      </w:pPr>
      <w:r w:rsidDel="00000000" w:rsidR="00000000" w:rsidRPr="00000000">
        <w:rPr>
          <w:rtl w:val="0"/>
        </w:rPr>
        <w:t xml:space="preserve">Temple, D. (2020). </w:t>
      </w:r>
      <w:r w:rsidDel="00000000" w:rsidR="00000000" w:rsidRPr="00000000">
        <w:rPr>
          <w:i w:val="1"/>
          <w:rtl w:val="0"/>
        </w:rPr>
        <w:t xml:space="preserve">Ethical Transformations for a Sustainable Future</w:t>
      </w:r>
      <w:r w:rsidDel="00000000" w:rsidR="00000000" w:rsidRPr="00000000">
        <w:rPr>
          <w:rtl w:val="0"/>
        </w:rPr>
        <w:t xml:space="preserve">. Routledge.</w:t>
      </w:r>
    </w:p>
    <w:p w:rsidR="00000000" w:rsidDel="00000000" w:rsidP="00000000" w:rsidRDefault="00000000" w:rsidRPr="00000000" w14:paraId="0000008C">
      <w:pPr>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